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val="en-US" w:eastAsia="zh-CN"/>
        </w:rPr>
        <w:t xml:space="preserve">   </w:t>
      </w: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263"/>
        <w:ind w:firstLine="300"/>
        <w:spacing w:line="360" w:lineRule="auto"/>
        <w:rPr>
          <w:sz w:val="60"/>
          <w:szCs w:val="60"/>
        </w:rPr>
      </w:pPr>
      <w:r>
        <w:rPr>
          <w:sz w:val="60"/>
          <w:szCs w:val="60"/>
        </w:rPr>
      </w:r>
      <w:r/>
    </w:p>
    <w:p>
      <w:pPr>
        <w:pStyle w:val="1263"/>
        <w:jc w:val="center"/>
        <w:rPr>
          <w:b/>
          <w:bCs/>
          <w:sz w:val="60"/>
          <w:szCs w:val="60"/>
        </w:rPr>
      </w:pPr>
      <w:r>
        <w:rPr>
          <w:rFonts w:hint="eastAsia" w:ascii="Times New Roman" w:hAnsi="Times New Roman" w:eastAsia="宋体" w:cs="Times New Roman"/>
          <w:b/>
          <w:bCs/>
          <w:sz w:val="60"/>
          <w:szCs w:val="60"/>
          <w:highlight w:val="none"/>
          <w:lang w:eastAsia="zh-CN"/>
        </w:rPr>
        <w:t xml:space="preserve">联强路（永兴大道-通港大道）改造工程</w:t>
      </w:r>
      <w:r>
        <w:rPr>
          <w:b/>
          <w:bCs/>
          <w:sz w:val="60"/>
          <w:szCs w:val="60"/>
        </w:rPr>
        <w:t xml:space="preserve">竞争性磋商文件</w:t>
      </w:r>
      <w:r>
        <w:rPr>
          <w:b/>
          <w:bCs/>
          <w:sz w:val="60"/>
          <w:szCs w:val="60"/>
        </w:rPr>
      </w:r>
      <w:r/>
    </w:p>
    <w:p>
      <w:pPr>
        <w:pStyle w:val="1263"/>
        <w:jc w:val="center"/>
        <w:spacing w:line="360" w:lineRule="auto"/>
        <w:rPr>
          <w:rFonts w:ascii="宋体" w:hAnsi="宋体"/>
          <w:b/>
          <w:bCs/>
          <w:sz w:val="60"/>
          <w:szCs w:val="60"/>
        </w:rPr>
      </w:pPr>
      <w:r>
        <w:rPr>
          <w:rFonts w:ascii="宋体" w:hAnsi="宋体"/>
          <w:b/>
          <w:bCs/>
          <w:sz w:val="60"/>
          <w:szCs w:val="60"/>
        </w:rPr>
      </w:r>
      <w:r/>
    </w:p>
    <w:p>
      <w:pPr>
        <w:pStyle w:val="1263"/>
        <w:jc w:val="center"/>
        <w:spacing w:line="360" w:lineRule="auto"/>
        <w:rPr>
          <w:rFonts w:ascii="宋体" w:hAnsi="宋体"/>
          <w:b/>
          <w:bCs/>
          <w:sz w:val="60"/>
          <w:szCs w:val="60"/>
        </w:rPr>
      </w:pPr>
      <w:r>
        <w:rPr>
          <w:rFonts w:ascii="宋体" w:hAnsi="宋体"/>
          <w:b/>
          <w:bCs/>
          <w:sz w:val="60"/>
          <w:szCs w:val="60"/>
        </w:rPr>
      </w:r>
      <w:r/>
    </w:p>
    <w:p>
      <w:pPr>
        <w:pStyle w:val="1263"/>
        <w:jc w:val="center"/>
        <w:spacing w:line="360" w:lineRule="auto"/>
        <w:rPr>
          <w:rFonts w:ascii="宋体" w:hAnsi="宋体"/>
          <w:b/>
          <w:bCs/>
          <w:sz w:val="60"/>
          <w:szCs w:val="60"/>
        </w:rPr>
      </w:pPr>
      <w:r>
        <w:rPr>
          <w:rFonts w:ascii="宋体" w:hAnsi="宋体"/>
          <w:b/>
          <w:bCs/>
          <w:sz w:val="60"/>
          <w:szCs w:val="60"/>
        </w:rPr>
      </w:r>
      <w:r/>
    </w:p>
    <w:p>
      <w:pPr>
        <w:pStyle w:val="1263"/>
        <w:ind w:firstLine="1080"/>
        <w:jc w:val="both"/>
        <w:spacing w:line="360" w:lineRule="auto"/>
        <w:tabs>
          <w:tab w:val="left" w:pos="5609" w:leader="none"/>
        </w:tabs>
        <w:rPr>
          <w:bCs/>
          <w:sz w:val="36"/>
          <w:szCs w:val="36"/>
          <w:highlight w:val="none"/>
        </w:rPr>
      </w:pPr>
      <w:r>
        <w:rPr>
          <w:bCs/>
          <w:sz w:val="36"/>
          <w:szCs w:val="36"/>
        </w:rPr>
        <w:t xml:space="preserve">项目名称：</w:t>
      </w:r>
      <w:r>
        <w:rPr>
          <w:rFonts w:hint="eastAsia" w:ascii="宋体" w:hAnsi="宋体" w:cs="宋体"/>
          <w:bCs/>
          <w:sz w:val="32"/>
          <w:szCs w:val="32"/>
          <w:highlight w:val="none"/>
          <w:lang w:eastAsia="zh-CN"/>
        </w:rPr>
        <w:t xml:space="preserve">联强路（永兴大道-通港大道）改造工程</w:t>
      </w:r>
      <w:r>
        <w:rPr>
          <w:bCs/>
          <w:sz w:val="36"/>
          <w:szCs w:val="36"/>
          <w:highlight w:val="none"/>
        </w:rPr>
      </w:r>
      <w:r/>
    </w:p>
    <w:p>
      <w:pPr>
        <w:pStyle w:val="1263"/>
        <w:ind w:left="2832" w:hanging="1900"/>
        <w:jc w:val="center"/>
        <w:spacing w:line="360" w:lineRule="auto"/>
        <w:tabs>
          <w:tab w:val="left" w:pos="3240" w:leader="none"/>
          <w:tab w:val="left" w:pos="3420" w:leader="none"/>
        </w:tabs>
        <w:rPr>
          <w:bCs/>
          <w:sz w:val="36"/>
          <w:szCs w:val="36"/>
        </w:rPr>
      </w:pPr>
      <w:r>
        <w:rPr>
          <w:bCs/>
          <w:sz w:val="36"/>
          <w:szCs w:val="36"/>
        </w:rPr>
      </w:r>
      <w:r/>
    </w:p>
    <w:p>
      <w:pPr>
        <w:pStyle w:val="1263"/>
        <w:ind w:firstLine="1080"/>
        <w:jc w:val="both"/>
        <w:spacing w:line="360" w:lineRule="auto"/>
        <w:tabs>
          <w:tab w:val="left" w:pos="3240" w:leader="none"/>
          <w:tab w:val="left" w:pos="3420" w:leader="none"/>
        </w:tabs>
        <w:rPr>
          <w:bCs/>
          <w:sz w:val="36"/>
          <w:szCs w:val="36"/>
          <w:highlight w:val="none"/>
        </w:rPr>
      </w:pPr>
      <w:r>
        <w:rPr>
          <w:bCs/>
          <w:sz w:val="36"/>
          <w:szCs w:val="36"/>
        </w:rPr>
        <w:t xml:space="preserve">项目编号：</w:t>
      </w:r>
      <w:r>
        <w:rPr>
          <w:rFonts w:hint="eastAsia" w:ascii="宋体" w:hAnsi="宋体" w:cs="宋体"/>
          <w:bCs/>
          <w:sz w:val="32"/>
          <w:szCs w:val="32"/>
          <w:highlight w:val="none"/>
          <w:lang w:eastAsia="zh-CN"/>
        </w:rPr>
        <w:t xml:space="preserve">JSZC-320481-SNGL-C2026-0006</w:t>
      </w:r>
      <w:r>
        <w:rPr>
          <w:bCs/>
          <w:sz w:val="36"/>
          <w:szCs w:val="36"/>
          <w:highlight w:val="none"/>
        </w:rPr>
      </w:r>
      <w:r/>
    </w:p>
    <w:p>
      <w:pPr>
        <w:pStyle w:val="1263"/>
        <w:ind w:left="2832" w:hanging="1900"/>
        <w:jc w:val="center"/>
        <w:spacing w:line="360" w:lineRule="auto"/>
        <w:tabs>
          <w:tab w:val="left" w:pos="3240" w:leader="none"/>
          <w:tab w:val="left" w:pos="3420" w:leader="none"/>
        </w:tabs>
        <w:rPr>
          <w:bCs/>
          <w:sz w:val="36"/>
          <w:szCs w:val="36"/>
          <w:highlight w:val="yellow"/>
        </w:rPr>
      </w:pPr>
      <w:r>
        <w:rPr>
          <w:bCs/>
          <w:sz w:val="36"/>
          <w:szCs w:val="36"/>
          <w:highlight w:val="yellow"/>
        </w:rPr>
      </w:r>
      <w:r/>
    </w:p>
    <w:p>
      <w:pPr>
        <w:pStyle w:val="1263"/>
        <w:ind w:firstLine="1080"/>
        <w:jc w:val="both"/>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ascii="宋体" w:hAnsi="宋体" w:cs="宋体"/>
          <w:bCs/>
          <w:sz w:val="32"/>
          <w:szCs w:val="32"/>
          <w:highlight w:val="none"/>
          <w:lang w:eastAsia="zh-CN"/>
        </w:rPr>
        <w:t xml:space="preserve">溧阳市上兴镇人民政府</w:t>
      </w:r>
      <w:r>
        <w:rPr>
          <w:bCs/>
          <w:sz w:val="36"/>
          <w:szCs w:val="36"/>
          <w:highlight w:val="none"/>
        </w:rPr>
      </w:r>
      <w:r/>
    </w:p>
    <w:p>
      <w:pPr>
        <w:pStyle w:val="1263"/>
        <w:ind w:left="2832" w:hanging="1900"/>
        <w:jc w:val="center"/>
        <w:spacing w:line="360" w:lineRule="auto"/>
        <w:tabs>
          <w:tab w:val="left" w:pos="3240" w:leader="none"/>
          <w:tab w:val="left" w:pos="3420" w:leader="none"/>
        </w:tabs>
        <w:rPr>
          <w:rFonts w:hint="eastAsia" w:eastAsia="宋体"/>
          <w:bCs/>
          <w:sz w:val="36"/>
          <w:szCs w:val="36"/>
          <w:lang w:val="en-US" w:eastAsia="zh-CN"/>
        </w:rPr>
      </w:pPr>
      <w:r>
        <w:rPr>
          <w:rFonts w:hint="eastAsia"/>
          <w:bCs/>
          <w:sz w:val="36"/>
          <w:szCs w:val="36"/>
          <w:lang w:val="en-US" w:eastAsia="zh-CN"/>
        </w:rPr>
        <w:t xml:space="preserve"> </w:t>
      </w:r>
      <w:r>
        <w:rPr>
          <w:rFonts w:hint="eastAsia" w:eastAsia="宋体"/>
          <w:bCs/>
          <w:sz w:val="36"/>
          <w:szCs w:val="36"/>
          <w:lang w:val="en-US" w:eastAsia="zh-CN"/>
        </w:rPr>
      </w:r>
      <w:r/>
    </w:p>
    <w:p>
      <w:pPr>
        <w:pStyle w:val="1263"/>
        <w:ind w:firstLine="1080"/>
        <w:jc w:val="both"/>
        <w:spacing w:line="360" w:lineRule="auto"/>
        <w:tabs>
          <w:tab w:val="left" w:pos="3240" w:leader="none"/>
          <w:tab w:val="left" w:pos="3420" w:leader="none"/>
        </w:tabs>
        <w:rPr>
          <w:rFonts w:hint="eastAsia" w:ascii="宋体" w:hAnsi="宋体" w:cs="宋体"/>
          <w:bCs/>
          <w:sz w:val="32"/>
          <w:szCs w:val="32"/>
          <w:lang w:eastAsia="zh-CN"/>
        </w:rPr>
        <w:sectPr>
          <w:headerReference w:type="default" r:id="rId9"/>
          <w:headerReference w:type="first" r:id="rId10"/>
          <w:footerReference w:type="default" r:id="rId18"/>
          <w:footerReference w:type="even" r:id="rId19"/>
          <w:footerReference w:type="first" r:id="rId20"/>
          <w:footnotePr/>
          <w:endnotePr/>
          <w:type w:val="nextColumn"/>
          <w:pgSz w:w="11905" w:h="16838" w:orient="portrait"/>
          <w:pgMar w:top="1417" w:right="1531" w:bottom="1417" w:left="1531" w:header="851" w:footer="992" w:gutter="0"/>
          <w:pgNumType w:start="1"/>
          <w:cols w:num="1" w:sep="0" w:space="1701" w:equalWidth="1"/>
          <w:docGrid w:linePitch="360"/>
          <w:titlePg/>
        </w:sectPr>
      </w:pPr>
      <w:r>
        <w:rPr>
          <w:rFonts w:hint="eastAsia"/>
          <w:bCs/>
          <w:sz w:val="36"/>
          <w:szCs w:val="36"/>
        </w:rPr>
        <w:t xml:space="preserve">采购</w:t>
      </w:r>
      <w:r>
        <w:rPr>
          <w:bCs/>
          <w:sz w:val="36"/>
          <w:szCs w:val="36"/>
        </w:rPr>
        <w:t xml:space="preserve">代理机构：</w:t>
      </w:r>
      <w:r>
        <w:rPr>
          <w:rFonts w:hint="eastAsia" w:ascii="宋体" w:hAnsi="宋体" w:cs="宋体"/>
          <w:bCs/>
          <w:sz w:val="32"/>
          <w:szCs w:val="32"/>
          <w:lang w:eastAsia="zh-CN"/>
        </w:rPr>
        <w:t xml:space="preserve">江苏苏南项目管理有限公司</w:t>
      </w:r>
      <w:r>
        <w:rPr>
          <w:rFonts w:hint="eastAsia" w:ascii="宋体" w:hAnsi="宋体" w:cs="宋体"/>
          <w:bCs/>
          <w:sz w:val="32"/>
          <w:szCs w:val="32"/>
          <w:lang w:eastAsia="zh-CN"/>
        </w:rPr>
      </w:r>
      <w:r/>
    </w:p>
    <w:p>
      <w:pPr>
        <w:pStyle w:val="1263"/>
        <w:ind w:left="2832" w:hanging="1900"/>
        <w:jc w:val="left"/>
        <w:spacing w:line="360" w:lineRule="auto"/>
        <w:tabs>
          <w:tab w:val="left" w:pos="3240" w:leader="none"/>
          <w:tab w:val="left" w:pos="3420" w:leader="none"/>
        </w:tabs>
        <w:rPr>
          <w:rFonts w:ascii="Times New Roman" w:hAnsi="Times New Roman" w:cs="Times New Roman"/>
        </w:rPr>
      </w:pPr>
      <w:r>
        <w:rPr>
          <w:bCs/>
          <w:sz w:val="36"/>
          <w:szCs w:val="36"/>
        </w:rPr>
        <w:t xml:space="preserve"> </w:t>
      </w:r>
      <w:r>
        <w:rPr>
          <w:rFonts w:ascii="Times New Roman" w:hAnsi="Times New Roman" w:cs="Times New Roman"/>
        </w:rPr>
      </w:r>
      <w:r/>
    </w:p>
    <w:p>
      <w:pPr>
        <w:pStyle w:val="1263"/>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263"/>
      </w:pPr>
      <w:r/>
      <w:r/>
    </w:p>
    <w:p>
      <w:pPr>
        <w:pStyle w:val="1263"/>
      </w:pPr>
      <w:r/>
      <w:r/>
    </w:p>
    <w:p>
      <w:pPr>
        <w:pStyle w:val="1263"/>
      </w:pPr>
      <w:r/>
      <w:r/>
    </w:p>
    <w:p>
      <w:pPr>
        <w:pStyle w:val="1263"/>
      </w:pPr>
      <w:r/>
      <w:r/>
    </w:p>
    <w:p>
      <w:pPr>
        <w:pStyle w:val="1316"/>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316"/>
        <w:tabs>
          <w:tab w:val="left" w:pos="1050" w:leader="none"/>
          <w:tab w:val="right" w:pos="8937" w:leader="dot"/>
        </w:tabs>
        <w:rPr>
          <w:rFonts w:ascii="Calibri" w:hAnsi="Calibri"/>
          <w:b w:val="0"/>
          <w:sz w:val="21"/>
          <w:szCs w:val="22"/>
        </w:rPr>
      </w:pPr>
      <w:r>
        <w:rPr>
          <w:rStyle w:val="1340"/>
        </w:rPr>
        <w:fldChar w:fldCharType="begin"/>
      </w:r>
      <w:r>
        <w:rPr>
          <w:rStyle w:val="1340"/>
        </w:rPr>
        <w:instrText xml:space="preserve"> </w:instrText>
      </w:r>
      <w:r>
        <w:instrText xml:space="preserve">HYPERLINK \l "_Toc104818925"</w:instrText>
      </w:r>
      <w:r>
        <w:rPr>
          <w:rStyle w:val="1340"/>
        </w:rPr>
        <w:instrText xml:space="preserve"> </w:instrText>
      </w:r>
      <w:r>
        <w:rPr>
          <w:rStyle w:val="1340"/>
        </w:rPr>
        <w:fldChar w:fldCharType="separate"/>
      </w:r>
      <w:r>
        <w:rPr>
          <w:rStyle w:val="1340"/>
          <w:rFonts w:hint="eastAsia"/>
        </w:rPr>
        <w:t xml:space="preserve">第一章</w:t>
      </w:r>
      <w:r>
        <w:rPr>
          <w:rStyle w:val="1340"/>
        </w:rPr>
        <w:t xml:space="preserve">   </w:t>
      </w:r>
      <w:r>
        <w:rPr>
          <w:rStyle w:val="1340"/>
          <w:rFonts w:hint="eastAsia"/>
        </w:rPr>
        <w:t xml:space="preserve">采购邀请</w:t>
      </w:r>
      <w:r>
        <w:tab/>
      </w:r>
      <w:r>
        <w:fldChar w:fldCharType="begin"/>
      </w:r>
      <w:r>
        <w:instrText xml:space="preserve"> PAGEREF _Toc104818925 \h </w:instrText>
      </w:r>
      <w:r>
        <w:fldChar w:fldCharType="separate"/>
      </w:r>
      <w:r>
        <w:t xml:space="preserve">1</w:t>
      </w:r>
      <w:r>
        <w:fldChar w:fldCharType="end"/>
      </w:r>
      <w:r>
        <w:rPr>
          <w:rStyle w:val="1340"/>
        </w:rPr>
        <w:fldChar w:fldCharType="end"/>
      </w:r>
      <w:r>
        <w:rPr>
          <w:rFonts w:ascii="Calibri" w:hAnsi="Calibri"/>
          <w:b w:val="0"/>
          <w:sz w:val="21"/>
          <w:szCs w:val="22"/>
        </w:rPr>
      </w:r>
      <w:r/>
    </w:p>
    <w:p>
      <w:pPr>
        <w:pStyle w:val="1316"/>
        <w:tabs>
          <w:tab w:val="left" w:pos="1050" w:leader="none"/>
          <w:tab w:val="right" w:pos="8937" w:leader="dot"/>
        </w:tabs>
        <w:rPr>
          <w:rFonts w:ascii="Calibri" w:hAnsi="Calibri"/>
          <w:b w:val="0"/>
          <w:sz w:val="21"/>
          <w:szCs w:val="22"/>
        </w:rPr>
      </w:pPr>
      <w:r>
        <w:rPr>
          <w:rStyle w:val="1340"/>
        </w:rPr>
        <w:fldChar w:fldCharType="begin"/>
      </w:r>
      <w:r>
        <w:rPr>
          <w:rStyle w:val="1340"/>
        </w:rPr>
        <w:instrText xml:space="preserve"> </w:instrText>
      </w:r>
      <w:r>
        <w:instrText xml:space="preserve">HYPERLINK \l "_Toc104818926"</w:instrText>
      </w:r>
      <w:r>
        <w:rPr>
          <w:rStyle w:val="1340"/>
        </w:rPr>
        <w:instrText xml:space="preserve"> </w:instrText>
      </w:r>
      <w:r>
        <w:rPr>
          <w:rStyle w:val="1340"/>
        </w:rPr>
        <w:fldChar w:fldCharType="separate"/>
      </w:r>
      <w:r>
        <w:rPr>
          <w:rStyle w:val="1340"/>
          <w:rFonts w:hint="eastAsia"/>
        </w:rPr>
        <w:t xml:space="preserve">第二章</w:t>
      </w:r>
      <w:r>
        <w:rPr>
          <w:rStyle w:val="1340"/>
        </w:rPr>
        <w:t xml:space="preserve">   </w:t>
      </w:r>
      <w:r>
        <w:rPr>
          <w:rStyle w:val="1340"/>
          <w:rFonts w:hint="eastAsia"/>
        </w:rPr>
        <w:t xml:space="preserve">供应商须知</w:t>
      </w:r>
      <w:r>
        <w:tab/>
      </w:r>
      <w:r>
        <w:fldChar w:fldCharType="begin"/>
      </w:r>
      <w:r>
        <w:instrText xml:space="preserve"> PAGEREF _Toc104818926 \h </w:instrText>
      </w:r>
      <w:r>
        <w:fldChar w:fldCharType="separate"/>
      </w:r>
      <w:r>
        <w:t xml:space="preserve">6</w:t>
      </w:r>
      <w:r>
        <w:fldChar w:fldCharType="end"/>
      </w:r>
      <w:r>
        <w:rPr>
          <w:rStyle w:val="1340"/>
        </w:rPr>
        <w:fldChar w:fldCharType="end"/>
      </w:r>
      <w:r>
        <w:rPr>
          <w:rFonts w:ascii="Calibri" w:hAnsi="Calibri"/>
          <w:b w:val="0"/>
          <w:sz w:val="21"/>
          <w:szCs w:val="22"/>
        </w:rPr>
      </w:r>
      <w:r/>
    </w:p>
    <w:p>
      <w:pPr>
        <w:pStyle w:val="1316"/>
        <w:tabs>
          <w:tab w:val="left" w:pos="1050" w:leader="none"/>
          <w:tab w:val="right" w:pos="8937" w:leader="dot"/>
        </w:tabs>
        <w:rPr>
          <w:rFonts w:ascii="Calibri" w:hAnsi="Calibri"/>
          <w:b w:val="0"/>
          <w:sz w:val="21"/>
          <w:szCs w:val="22"/>
        </w:rPr>
      </w:pPr>
      <w:r>
        <w:rPr>
          <w:rStyle w:val="1340"/>
        </w:rPr>
        <w:fldChar w:fldCharType="begin"/>
      </w:r>
      <w:r>
        <w:rPr>
          <w:rStyle w:val="1340"/>
        </w:rPr>
        <w:instrText xml:space="preserve"> </w:instrText>
      </w:r>
      <w:r>
        <w:instrText xml:space="preserve">HYPERLINK \l "_Toc104818927"</w:instrText>
      </w:r>
      <w:r>
        <w:rPr>
          <w:rStyle w:val="1340"/>
        </w:rPr>
        <w:instrText xml:space="preserve"> </w:instrText>
      </w:r>
      <w:r>
        <w:rPr>
          <w:rStyle w:val="1340"/>
        </w:rPr>
        <w:fldChar w:fldCharType="separate"/>
      </w:r>
      <w:r>
        <w:rPr>
          <w:rStyle w:val="1340"/>
          <w:rFonts w:hint="eastAsia"/>
        </w:rPr>
        <w:t xml:space="preserve">第三章</w:t>
      </w:r>
      <w:r>
        <w:rPr>
          <w:rStyle w:val="1340"/>
        </w:rPr>
        <w:t xml:space="preserve">   </w:t>
      </w:r>
      <w:r>
        <w:rPr>
          <w:rStyle w:val="1340"/>
          <w:rFonts w:hint="eastAsia"/>
        </w:rPr>
        <w:t xml:space="preserve">评审程序、评审方法和评审标准</w:t>
      </w:r>
      <w:r>
        <w:tab/>
      </w:r>
      <w:r>
        <w:fldChar w:fldCharType="begin"/>
      </w:r>
      <w:r>
        <w:instrText xml:space="preserve"> PAGEREF _Toc104818927 \h </w:instrText>
      </w:r>
      <w:r>
        <w:fldChar w:fldCharType="separate"/>
      </w:r>
      <w:r>
        <w:t xml:space="preserve">19</w:t>
      </w:r>
      <w:r>
        <w:fldChar w:fldCharType="end"/>
      </w:r>
      <w:r>
        <w:rPr>
          <w:rStyle w:val="1340"/>
        </w:rPr>
        <w:fldChar w:fldCharType="end"/>
      </w:r>
      <w:r>
        <w:rPr>
          <w:rFonts w:ascii="Calibri" w:hAnsi="Calibri"/>
          <w:b w:val="0"/>
          <w:sz w:val="21"/>
          <w:szCs w:val="22"/>
        </w:rPr>
      </w:r>
      <w:r/>
    </w:p>
    <w:p>
      <w:pPr>
        <w:pStyle w:val="1316"/>
        <w:tabs>
          <w:tab w:val="left" w:pos="1050" w:leader="none"/>
          <w:tab w:val="right" w:pos="8937" w:leader="dot"/>
        </w:tabs>
        <w:rPr>
          <w:rFonts w:ascii="Calibri" w:hAnsi="Calibri"/>
          <w:b w:val="0"/>
          <w:sz w:val="21"/>
          <w:szCs w:val="22"/>
        </w:rPr>
      </w:pPr>
      <w:r>
        <w:rPr>
          <w:rStyle w:val="1340"/>
        </w:rPr>
        <w:fldChar w:fldCharType="begin"/>
      </w:r>
      <w:r>
        <w:rPr>
          <w:rStyle w:val="1340"/>
        </w:rPr>
        <w:instrText xml:space="preserve"> </w:instrText>
      </w:r>
      <w:r>
        <w:instrText xml:space="preserve">HYPERLINK \l "_Toc104818928"</w:instrText>
      </w:r>
      <w:r>
        <w:rPr>
          <w:rStyle w:val="1340"/>
        </w:rPr>
        <w:instrText xml:space="preserve"> </w:instrText>
      </w:r>
      <w:r>
        <w:rPr>
          <w:rStyle w:val="1340"/>
        </w:rPr>
        <w:fldChar w:fldCharType="separate"/>
      </w:r>
      <w:r>
        <w:rPr>
          <w:rStyle w:val="1340"/>
          <w:rFonts w:hint="eastAsia"/>
        </w:rPr>
        <w:t xml:space="preserve">第四章</w:t>
      </w:r>
      <w:r>
        <w:rPr>
          <w:rStyle w:val="1340"/>
        </w:rPr>
        <w:t xml:space="preserve">   </w:t>
      </w:r>
      <w:r>
        <w:rPr>
          <w:rStyle w:val="1340"/>
          <w:rFonts w:hint="eastAsia"/>
        </w:rPr>
        <w:t xml:space="preserve">采购需求</w:t>
      </w:r>
      <w:r>
        <w:tab/>
      </w:r>
      <w:r>
        <w:fldChar w:fldCharType="begin"/>
      </w:r>
      <w:r>
        <w:instrText xml:space="preserve"> PAGEREF _Toc104818928 \h </w:instrText>
      </w:r>
      <w:r>
        <w:fldChar w:fldCharType="separate"/>
      </w:r>
      <w:r>
        <w:t xml:space="preserve">30</w:t>
      </w:r>
      <w:r>
        <w:fldChar w:fldCharType="end"/>
      </w:r>
      <w:r>
        <w:rPr>
          <w:rStyle w:val="1340"/>
        </w:rPr>
        <w:fldChar w:fldCharType="end"/>
      </w:r>
      <w:r>
        <w:rPr>
          <w:rFonts w:ascii="Calibri" w:hAnsi="Calibri"/>
          <w:b w:val="0"/>
          <w:sz w:val="21"/>
          <w:szCs w:val="22"/>
        </w:rPr>
      </w:r>
      <w:r/>
    </w:p>
    <w:p>
      <w:pPr>
        <w:pStyle w:val="1316"/>
        <w:tabs>
          <w:tab w:val="left" w:pos="1050" w:leader="none"/>
          <w:tab w:val="right" w:pos="8937" w:leader="dot"/>
        </w:tabs>
        <w:rPr>
          <w:rFonts w:ascii="Calibri" w:hAnsi="Calibri"/>
          <w:b w:val="0"/>
          <w:sz w:val="21"/>
          <w:szCs w:val="22"/>
        </w:rPr>
      </w:pPr>
      <w:r>
        <w:rPr>
          <w:rStyle w:val="1340"/>
        </w:rPr>
        <w:fldChar w:fldCharType="begin"/>
      </w:r>
      <w:r>
        <w:rPr>
          <w:rStyle w:val="1340"/>
        </w:rPr>
        <w:instrText xml:space="preserve"> </w:instrText>
      </w:r>
      <w:r>
        <w:instrText xml:space="preserve">HYPERLINK \l "_Toc104818929"</w:instrText>
      </w:r>
      <w:r>
        <w:rPr>
          <w:rStyle w:val="1340"/>
        </w:rPr>
        <w:instrText xml:space="preserve"> </w:instrText>
      </w:r>
      <w:r>
        <w:rPr>
          <w:rStyle w:val="1340"/>
        </w:rPr>
        <w:fldChar w:fldCharType="separate"/>
      </w:r>
      <w:r>
        <w:rPr>
          <w:rStyle w:val="1340"/>
          <w:rFonts w:hint="eastAsia"/>
        </w:rPr>
        <w:t xml:space="preserve">第五章</w:t>
      </w:r>
      <w:r>
        <w:rPr>
          <w:rStyle w:val="1340"/>
        </w:rPr>
        <w:t xml:space="preserve">   </w:t>
      </w:r>
      <w:r>
        <w:rPr>
          <w:rStyle w:val="1340"/>
          <w:rFonts w:hint="eastAsia"/>
        </w:rPr>
        <w:t xml:space="preserve">合同草案条款</w:t>
      </w:r>
      <w:r>
        <w:tab/>
      </w:r>
      <w:r>
        <w:fldChar w:fldCharType="begin"/>
      </w:r>
      <w:r>
        <w:instrText xml:space="preserve"> PAGEREF _Toc104818929 \h </w:instrText>
      </w:r>
      <w:r>
        <w:fldChar w:fldCharType="separate"/>
      </w:r>
      <w:r>
        <w:t xml:space="preserve">32</w:t>
      </w:r>
      <w:r>
        <w:fldChar w:fldCharType="end"/>
      </w:r>
      <w:r>
        <w:rPr>
          <w:rStyle w:val="1340"/>
        </w:rPr>
        <w:fldChar w:fldCharType="end"/>
      </w:r>
      <w:r>
        <w:rPr>
          <w:rFonts w:ascii="Calibri" w:hAnsi="Calibri"/>
          <w:b w:val="0"/>
          <w:sz w:val="21"/>
          <w:szCs w:val="22"/>
        </w:rPr>
      </w:r>
      <w:r/>
    </w:p>
    <w:p>
      <w:pPr>
        <w:pStyle w:val="1316"/>
        <w:tabs>
          <w:tab w:val="left" w:pos="1050" w:leader="none"/>
          <w:tab w:val="right" w:pos="8937" w:leader="dot"/>
        </w:tabs>
        <w:rPr>
          <w:rFonts w:ascii="Calibri" w:hAnsi="Calibri"/>
          <w:b w:val="0"/>
          <w:sz w:val="21"/>
          <w:szCs w:val="22"/>
        </w:rPr>
      </w:pPr>
      <w:r>
        <w:rPr>
          <w:rStyle w:val="1340"/>
        </w:rPr>
        <w:fldChar w:fldCharType="begin"/>
      </w:r>
      <w:r>
        <w:rPr>
          <w:rStyle w:val="1340"/>
        </w:rPr>
        <w:instrText xml:space="preserve"> </w:instrText>
      </w:r>
      <w:r>
        <w:instrText xml:space="preserve">HYPERLINK \l "_Toc104818930"</w:instrText>
      </w:r>
      <w:r>
        <w:rPr>
          <w:rStyle w:val="1340"/>
        </w:rPr>
        <w:instrText xml:space="preserve"> </w:instrText>
      </w:r>
      <w:r>
        <w:rPr>
          <w:rStyle w:val="1340"/>
        </w:rPr>
        <w:fldChar w:fldCharType="separate"/>
      </w:r>
      <w:r>
        <w:rPr>
          <w:rStyle w:val="1340"/>
          <w:rFonts w:hint="eastAsia"/>
        </w:rPr>
        <w:t xml:space="preserve">第六章</w:t>
      </w:r>
      <w:r>
        <w:rPr>
          <w:rStyle w:val="1340"/>
        </w:rPr>
        <w:t xml:space="preserve">   </w:t>
      </w:r>
      <w:r>
        <w:rPr>
          <w:rStyle w:val="1340"/>
          <w:rFonts w:hint="eastAsia"/>
        </w:rPr>
        <w:t xml:space="preserve">响应文件格式</w:t>
      </w:r>
      <w:r>
        <w:tab/>
      </w:r>
      <w:r>
        <w:fldChar w:fldCharType="begin"/>
      </w:r>
      <w:r>
        <w:instrText xml:space="preserve"> PAGEREF _Toc104818930 \h </w:instrText>
      </w:r>
      <w:r>
        <w:fldChar w:fldCharType="separate"/>
      </w:r>
      <w:r>
        <w:t xml:space="preserve">79</w:t>
      </w:r>
      <w:r>
        <w:fldChar w:fldCharType="end"/>
      </w:r>
      <w:r>
        <w:rPr>
          <w:rStyle w:val="1340"/>
        </w:rPr>
        <w:fldChar w:fldCharType="end"/>
      </w:r>
      <w:r>
        <w:rPr>
          <w:rFonts w:ascii="Calibri" w:hAnsi="Calibri"/>
          <w:b w:val="0"/>
          <w:sz w:val="21"/>
          <w:szCs w:val="22"/>
        </w:rPr>
      </w:r>
      <w:r/>
    </w:p>
    <w:p>
      <w:pPr>
        <w:pStyle w:val="1316"/>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316"/>
        <w:spacing w:line="360" w:lineRule="auto"/>
        <w:tabs>
          <w:tab w:val="left" w:pos="1050" w:leader="none"/>
          <w:tab w:val="right" w:pos="8937" w:leader="dot"/>
        </w:tabs>
        <w:rPr>
          <w:b w:val="0"/>
          <w:sz w:val="36"/>
          <w:szCs w:val="36"/>
        </w:rPr>
      </w:pPr>
      <w:r>
        <w:rPr>
          <w:b w:val="0"/>
          <w:sz w:val="36"/>
          <w:szCs w:val="36"/>
        </w:rPr>
      </w:r>
      <w:r/>
    </w:p>
    <w:p>
      <w:pPr>
        <w:pStyle w:val="1263"/>
        <w:jc w:val="center"/>
        <w:spacing w:line="360" w:lineRule="auto"/>
        <w:rPr>
          <w:b/>
          <w:sz w:val="36"/>
          <w:szCs w:val="36"/>
        </w:rPr>
        <w:sectPr>
          <w:headerReference w:type="default" r:id="rId11"/>
          <w:headerReference w:type="first" r:id="rId12"/>
          <w:footerReference w:type="default" r:id="rId21"/>
          <w:footerReference w:type="first" r:id="rId22"/>
          <w:footnotePr/>
          <w:endnotePr/>
          <w:type w:val="nextPage"/>
          <w:pgSz w:w="11905" w:h="16838" w:orient="portrait"/>
          <w:pgMar w:top="1417" w:right="1531" w:bottom="1417" w:left="1531" w:header="851" w:footer="992" w:gutter="0"/>
          <w:pgNumType w:start="1"/>
          <w:cols w:num="1" w:sep="0" w:space="1701" w:equalWidth="1"/>
          <w:docGrid w:linePitch="360"/>
          <w:titlePg/>
        </w:sectPr>
        <w:outlineLvl w:val="0"/>
      </w:pPr>
      <w:r>
        <w:rPr>
          <w:b/>
          <w:sz w:val="36"/>
          <w:szCs w:val="36"/>
        </w:rPr>
      </w:r>
      <w:r/>
    </w:p>
    <w:p>
      <w:pPr>
        <w:pStyle w:val="1263"/>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02"/>
      <w:r/>
      <w:bookmarkStart w:id="3" w:name="_Toc35393790"/>
      <w:r/>
      <w:bookmarkStart w:id="4" w:name="_Toc35393621"/>
      <w:r/>
      <w:bookmarkStart w:id="5" w:name="_Toc28359079"/>
      <w:r/>
      <w:bookmarkStart w:id="6" w:name="_Hlk24379207"/>
      <w:r>
        <w:rPr>
          <w:b/>
          <w:sz w:val="36"/>
          <w:szCs w:val="36"/>
        </w:rPr>
      </w:r>
      <w:r/>
    </w:p>
    <w:p>
      <w:pPr>
        <w:pStyle w:val="1263"/>
        <w:ind w:firstLine="480"/>
        <w:spacing w:line="360" w:lineRule="auto"/>
        <w:rPr>
          <w:sz w:val="24"/>
        </w:rPr>
      </w:pPr>
      <w:r>
        <w:rPr>
          <w:sz w:val="24"/>
        </w:rPr>
      </w:r>
      <w:r/>
    </w:p>
    <w:p>
      <w:pPr>
        <w:pStyle w:val="1265"/>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1263"/>
        <w:ind w:firstLine="480"/>
        <w:spacing w:line="360" w:lineRule="auto"/>
        <w:rPr>
          <w:sz w:val="24"/>
          <w:highlight w:val="none"/>
          <w:u w:val="none"/>
        </w:rPr>
      </w:pPr>
      <w:r>
        <w:rPr>
          <w:sz w:val="24"/>
        </w:rPr>
        <w:t xml:space="preserve">1.项目编号：</w:t>
      </w:r>
      <w:r>
        <w:rPr>
          <w:rFonts w:hint="eastAsia" w:ascii="宋体" w:hAnsi="宋体" w:eastAsia="宋体" w:cs="仿宋"/>
          <w:sz w:val="24"/>
          <w:highlight w:val="none"/>
          <w:u w:val="none"/>
          <w:lang w:eastAsia="zh-CN" w:bidi="ar"/>
        </w:rPr>
        <w:t xml:space="preserve">JSZC-320481-SNGL-C2026-0006</w:t>
      </w:r>
      <w:r>
        <w:rPr>
          <w:sz w:val="24"/>
          <w:highlight w:val="none"/>
          <w:u w:val="none"/>
        </w:rPr>
      </w:r>
      <w:r/>
    </w:p>
    <w:p>
      <w:pPr>
        <w:pStyle w:val="1263"/>
        <w:ind w:firstLine="480"/>
        <w:spacing w:line="360" w:lineRule="auto"/>
        <w:rPr>
          <w:rFonts w:hint="eastAsia" w:ascii="宋体" w:hAnsi="宋体" w:eastAsia="宋体" w:cs="仿宋"/>
          <w:sz w:val="24"/>
          <w:highlight w:val="none"/>
          <w:lang w:eastAsia="zh-CN" w:bidi="ar"/>
        </w:rPr>
      </w:pPr>
      <w:r>
        <w:rPr>
          <w:sz w:val="24"/>
          <w:highlight w:val="none"/>
        </w:rPr>
        <w:t xml:space="preserve">2.项目名称：</w:t>
      </w:r>
      <w:r>
        <w:rPr>
          <w:rFonts w:hint="eastAsia" w:ascii="宋体" w:hAnsi="宋体" w:eastAsia="宋体" w:cs="仿宋"/>
          <w:sz w:val="24"/>
          <w:highlight w:val="none"/>
          <w:lang w:eastAsia="zh-CN" w:bidi="ar"/>
        </w:rPr>
        <w:t xml:space="preserve">联强路（永兴大道-通港大道）改造工程</w:t>
      </w:r>
      <w:r>
        <w:rPr>
          <w:rFonts w:hint="eastAsia" w:ascii="宋体" w:hAnsi="宋体" w:eastAsia="宋体" w:cs="仿宋"/>
          <w:sz w:val="24"/>
          <w:highlight w:val="none"/>
          <w:lang w:eastAsia="zh-CN" w:bidi="ar"/>
        </w:rPr>
      </w:r>
      <w:r/>
    </w:p>
    <w:p>
      <w:pPr>
        <w:pStyle w:val="1263"/>
        <w:ind w:firstLine="480"/>
        <w:spacing w:line="360" w:lineRule="auto"/>
        <w:rPr>
          <w:sz w:val="24"/>
          <w:highlight w:val="none"/>
        </w:rPr>
      </w:pPr>
      <w:r>
        <w:rPr>
          <w:sz w:val="24"/>
          <w:highlight w:val="none"/>
        </w:rPr>
        <w:t xml:space="preserve">3.采购方式：竞争性磋商</w:t>
      </w:r>
      <w:r>
        <w:rPr>
          <w:sz w:val="24"/>
          <w:highlight w:val="none"/>
        </w:rPr>
      </w:r>
      <w:r/>
    </w:p>
    <w:p>
      <w:pPr>
        <w:pStyle w:val="1263"/>
        <w:ind w:firstLine="480"/>
        <w:spacing w:line="360" w:lineRule="auto"/>
        <w:rPr>
          <w:rFonts w:hint="eastAsia" w:ascii="Times New Roman" w:hAnsi="Times New Roman" w:eastAsia="宋体" w:cs="Times New Roman"/>
          <w:color w:val="000000"/>
          <w:sz w:val="24"/>
          <w:highlight w:val="none"/>
          <w:u w:val="single"/>
          <w:lang w:val="en-US" w:eastAsia="zh-CN"/>
        </w:rPr>
      </w:pPr>
      <w:r/>
      <w:bookmarkEnd w:id="6"/>
      <w:r>
        <w:rPr>
          <w:sz w:val="24"/>
          <w:highlight w:val="none"/>
        </w:rPr>
        <w:t xml:space="preserve">4.项目预算金额</w:t>
      </w:r>
      <w:r>
        <w:rPr>
          <w:color w:val="000000"/>
          <w:sz w:val="24"/>
          <w:highlight w:val="none"/>
        </w:rPr>
        <w:t xml:space="preserve">：</w:t>
      </w:r>
      <w:r>
        <w:rPr>
          <w:rFonts w:hint="eastAsia" w:ascii="Times New Roman" w:hAnsi="Times New Roman" w:eastAsia="宋体" w:cs="Times New Roman"/>
          <w:color w:val="000000"/>
          <w:sz w:val="24"/>
          <w:highlight w:val="none"/>
          <w:u w:val="single"/>
          <w:lang w:val="en-US" w:eastAsia="zh-CN"/>
        </w:rPr>
        <w:t xml:space="preserve">2279915.91元</w:t>
      </w:r>
      <w:r>
        <w:rPr>
          <w:rFonts w:hint="eastAsia" w:ascii="Times New Roman" w:hAnsi="Times New Roman" w:eastAsia="宋体" w:cs="Times New Roman"/>
          <w:color w:val="000000"/>
          <w:sz w:val="24"/>
          <w:highlight w:val="none"/>
          <w:u w:val="single"/>
          <w:lang w:val="en-US" w:eastAsia="zh-CN"/>
        </w:rPr>
      </w:r>
      <w:r/>
    </w:p>
    <w:p>
      <w:pPr>
        <w:pStyle w:val="1263"/>
        <w:ind w:firstLine="723"/>
        <w:spacing w:line="360" w:lineRule="auto"/>
        <w:rPr>
          <w:rFonts w:hint="eastAsia" w:ascii="Times New Roman" w:hAnsi="Times New Roman" w:eastAsia="宋体" w:cs="Times New Roman"/>
          <w:b/>
          <w:bCs/>
          <w:color w:val="000000"/>
          <w:sz w:val="24"/>
          <w:highlight w:val="none"/>
          <w:u w:val="single"/>
          <w:lang w:val="en-US" w:eastAsia="zh-CN"/>
        </w:rPr>
      </w:pPr>
      <w:r>
        <w:rPr>
          <w:rFonts w:hint="eastAsia" w:ascii="Times New Roman" w:hAnsi="Times New Roman" w:eastAsia="宋体" w:cs="Times New Roman"/>
          <w:b/>
          <w:bCs/>
          <w:color w:val="000000"/>
          <w:sz w:val="24"/>
          <w:highlight w:val="none"/>
          <w:u w:val="single"/>
          <w:lang w:val="en-US" w:eastAsia="zh-CN"/>
        </w:rPr>
        <w:t xml:space="preserve">项目最高限价（控制价）</w:t>
      </w:r>
      <w:r>
        <w:rPr>
          <w:rFonts w:hint="eastAsia" w:ascii="Times New Roman" w:hAnsi="Times New Roman" w:eastAsia="宋体" w:cs="Times New Roman"/>
          <w:b/>
          <w:bCs/>
          <w:color w:val="000000"/>
          <w:sz w:val="24"/>
          <w:highlight w:val="none"/>
          <w:u w:val="single"/>
          <w:lang w:val="en-US" w:eastAsia="zh-CN"/>
        </w:rPr>
        <w:t xml:space="preserve">：</w:t>
      </w:r>
      <w:r>
        <w:rPr>
          <w:rFonts w:hint="eastAsia" w:ascii="Times New Roman" w:hAnsi="Times New Roman" w:eastAsia="宋体" w:cs="Times New Roman"/>
          <w:b/>
          <w:bCs/>
          <w:color w:val="000000"/>
          <w:sz w:val="24"/>
          <w:highlight w:val="none"/>
          <w:u w:val="single"/>
          <w:lang w:val="en-US" w:eastAsia="zh-CN"/>
        </w:rPr>
        <w:t xml:space="preserve">1809106.33</w:t>
      </w:r>
      <w:r>
        <w:rPr>
          <w:rFonts w:hint="eastAsia" w:ascii="Times New Roman" w:hAnsi="Times New Roman" w:eastAsia="宋体" w:cs="Times New Roman"/>
          <w:b/>
          <w:bCs/>
          <w:color w:val="000000"/>
          <w:sz w:val="24"/>
          <w:highlight w:val="none"/>
          <w:u w:val="single"/>
          <w:lang w:val="en-US" w:eastAsia="zh-CN"/>
        </w:rPr>
        <w:t xml:space="preserve">元</w:t>
      </w:r>
      <w:r>
        <w:rPr>
          <w:rFonts w:hint="eastAsia" w:ascii="Times New Roman" w:hAnsi="Times New Roman" w:eastAsia="宋体" w:cs="Times New Roman"/>
          <w:b/>
          <w:bCs/>
          <w:color w:val="000000"/>
          <w:sz w:val="24"/>
          <w:highlight w:val="none"/>
          <w:u w:val="single"/>
          <w:lang w:val="en-US" w:eastAsia="zh-CN"/>
        </w:rPr>
        <w:t xml:space="preserve">，其中暂估价及暂列金额（含税金）为109000元，供应商报价总价不得超过控制价总价、已标价工程量清单中所有分部分项工程响应单价不得超过分部分项工程控制价单价，否则作无效响应处理。</w:t>
      </w:r>
      <w:r>
        <w:rPr>
          <w:rFonts w:hint="eastAsia" w:ascii="Times New Roman" w:hAnsi="Times New Roman" w:eastAsia="宋体" w:cs="Times New Roman"/>
          <w:b/>
          <w:bCs/>
          <w:color w:val="000000"/>
          <w:sz w:val="24"/>
          <w:highlight w:val="none"/>
          <w:u w:val="single"/>
          <w:lang w:val="en-US" w:eastAsia="zh-CN"/>
        </w:rPr>
      </w:r>
      <w:r/>
    </w:p>
    <w:p>
      <w:pPr>
        <w:pStyle w:val="1263"/>
        <w:ind w:firstLine="480"/>
        <w:spacing w:line="360" w:lineRule="auto"/>
        <w:rPr>
          <w:color w:val="000000"/>
          <w:sz w:val="24"/>
          <w:highlight w:val="none"/>
        </w:rPr>
      </w:pPr>
      <w:r>
        <w:rPr>
          <w:color w:val="000000"/>
          <w:sz w:val="24"/>
          <w:highlight w:val="none"/>
        </w:rPr>
        <w:t xml:space="preserve">5.采购需求：</w:t>
      </w:r>
      <w:r>
        <w:rPr>
          <w:rFonts w:hint="eastAsia" w:ascii="宋体" w:hAnsi="宋体" w:eastAsia="宋体" w:cs="仿宋"/>
          <w:color w:val="000000"/>
          <w:sz w:val="24"/>
          <w:highlight w:val="none"/>
          <w:lang w:eastAsia="zh-CN" w:bidi="ar"/>
        </w:rPr>
        <w:t xml:space="preserve">本次招标内容为</w:t>
      </w:r>
      <w:r>
        <w:rPr>
          <w:rFonts w:hint="eastAsia" w:ascii="宋体" w:hAnsi="宋体" w:eastAsia="宋体" w:cs="仿宋"/>
          <w:color w:val="000000"/>
          <w:sz w:val="24"/>
          <w:highlight w:val="none"/>
          <w:lang w:eastAsia="zh-CN" w:bidi="ar"/>
        </w:rPr>
        <w:t xml:space="preserve">联强路（永兴大道-通港大道）改造工程</w:t>
      </w:r>
      <w:r>
        <w:rPr>
          <w:rFonts w:hint="eastAsia" w:ascii="宋体" w:hAnsi="宋体" w:eastAsia="宋体" w:cs="仿宋"/>
          <w:color w:val="000000"/>
          <w:sz w:val="24"/>
          <w:highlight w:val="none"/>
          <w:lang w:val="en-US" w:eastAsia="zh-CN" w:bidi="ar"/>
        </w:rPr>
        <w:t xml:space="preserve">。</w:t>
      </w:r>
      <w:r>
        <w:rPr>
          <w:color w:val="000000"/>
          <w:sz w:val="24"/>
          <w:highlight w:val="none"/>
        </w:rPr>
      </w:r>
      <w:r/>
    </w:p>
    <w:tbl>
      <w:tblPr>
        <w:tblW w:w="512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970"/>
        <w:gridCol w:w="1256"/>
        <w:gridCol w:w="1046"/>
        <w:gridCol w:w="4344"/>
      </w:tblGrid>
      <w:tr>
        <w:trPr>
          <w:trHeight w:val="454"/>
        </w:trPr>
        <w:tc>
          <w:tcPr>
            <w:tcW w:w="362" w:type="dxa"/>
            <w:vAlign w:val="center"/>
            <w:textDirection w:val="lrTb"/>
            <w:noWrap w:val="false"/>
          </w:tcPr>
          <w:p>
            <w:pPr>
              <w:pStyle w:val="1263"/>
              <w:jc w:val="center"/>
              <w:rPr>
                <w:bCs/>
                <w:color w:val="000000"/>
                <w:szCs w:val="21"/>
                <w:highlight w:val="none"/>
              </w:rPr>
            </w:pPr>
            <w:r>
              <w:rPr>
                <w:bCs/>
                <w:color w:val="000000"/>
                <w:szCs w:val="21"/>
                <w:highlight w:val="none"/>
              </w:rPr>
              <w:t xml:space="preserve">包号</w:t>
            </w:r>
            <w:r>
              <w:rPr>
                <w:bCs/>
                <w:color w:val="000000"/>
                <w:szCs w:val="21"/>
                <w:highlight w:val="none"/>
              </w:rPr>
            </w:r>
            <w:r/>
          </w:p>
        </w:tc>
        <w:tc>
          <w:tcPr>
            <w:tcW w:w="1060" w:type="dxa"/>
            <w:vAlign w:val="center"/>
            <w:textDirection w:val="lrTb"/>
            <w:noWrap w:val="false"/>
          </w:tcPr>
          <w:p>
            <w:pPr>
              <w:pStyle w:val="1263"/>
              <w:jc w:val="center"/>
              <w:rPr>
                <w:bCs/>
                <w:color w:val="000000"/>
                <w:szCs w:val="21"/>
                <w:highlight w:val="none"/>
              </w:rPr>
            </w:pPr>
            <w:r>
              <w:rPr>
                <w:bCs/>
                <w:color w:val="000000"/>
                <w:szCs w:val="21"/>
                <w:highlight w:val="none"/>
              </w:rPr>
              <w:t xml:space="preserve">标的名称</w:t>
            </w:r>
            <w:r>
              <w:rPr>
                <w:bCs/>
                <w:color w:val="000000"/>
                <w:szCs w:val="21"/>
                <w:highlight w:val="none"/>
              </w:rPr>
            </w:r>
            <w:r/>
          </w:p>
        </w:tc>
        <w:tc>
          <w:tcPr>
            <w:tcW w:w="676" w:type="dxa"/>
            <w:vAlign w:val="center"/>
            <w:textDirection w:val="lrTb"/>
            <w:noWrap w:val="false"/>
          </w:tcPr>
          <w:p>
            <w:pPr>
              <w:pStyle w:val="1263"/>
              <w:jc w:val="center"/>
              <w:rPr>
                <w:bCs/>
                <w:color w:val="000000"/>
                <w:szCs w:val="21"/>
                <w:highlight w:val="none"/>
              </w:rPr>
            </w:pPr>
            <w:r>
              <w:rPr>
                <w:bCs/>
                <w:color w:val="000000"/>
                <w:szCs w:val="21"/>
                <w:highlight w:val="none"/>
              </w:rPr>
              <w:t xml:space="preserve">采购包预算金额</w:t>
            </w:r>
            <w:r>
              <w:rPr>
                <w:bCs/>
                <w:color w:val="000000"/>
                <w:szCs w:val="21"/>
                <w:highlight w:val="none"/>
              </w:rPr>
            </w:r>
            <w:r/>
          </w:p>
          <w:p>
            <w:pPr>
              <w:pStyle w:val="1263"/>
              <w:jc w:val="center"/>
              <w:rPr>
                <w:bCs/>
                <w:color w:val="000000"/>
                <w:szCs w:val="21"/>
                <w:highlight w:val="none"/>
              </w:rPr>
            </w:pPr>
            <w:r>
              <w:rPr>
                <w:bCs/>
                <w:color w:val="000000"/>
                <w:szCs w:val="21"/>
                <w:highlight w:val="none"/>
              </w:rPr>
              <w:t xml:space="preserve">（万元）</w:t>
            </w:r>
            <w:r>
              <w:rPr>
                <w:bCs/>
                <w:color w:val="000000"/>
                <w:szCs w:val="21"/>
                <w:highlight w:val="none"/>
              </w:rPr>
            </w:r>
            <w:r/>
          </w:p>
        </w:tc>
        <w:tc>
          <w:tcPr>
            <w:tcW w:w="563" w:type="dxa"/>
            <w:vAlign w:val="center"/>
            <w:textDirection w:val="lrTb"/>
            <w:noWrap w:val="false"/>
          </w:tcPr>
          <w:p>
            <w:pPr>
              <w:pStyle w:val="1263"/>
              <w:jc w:val="center"/>
              <w:rPr>
                <w:bCs/>
                <w:color w:val="000000"/>
                <w:szCs w:val="21"/>
                <w:highlight w:val="none"/>
              </w:rPr>
            </w:pPr>
            <w:r>
              <w:rPr>
                <w:bCs/>
                <w:color w:val="000000"/>
                <w:szCs w:val="21"/>
                <w:highlight w:val="none"/>
              </w:rPr>
              <w:t xml:space="preserve">数量</w:t>
            </w:r>
            <w:r>
              <w:rPr>
                <w:bCs/>
                <w:color w:val="000000"/>
                <w:szCs w:val="21"/>
                <w:highlight w:val="none"/>
              </w:rPr>
            </w:r>
            <w:r/>
          </w:p>
        </w:tc>
        <w:tc>
          <w:tcPr>
            <w:tcW w:w="2337" w:type="dxa"/>
            <w:vAlign w:val="center"/>
            <w:textDirection w:val="lrTb"/>
            <w:noWrap w:val="false"/>
          </w:tcPr>
          <w:p>
            <w:pPr>
              <w:pStyle w:val="1263"/>
              <w:jc w:val="center"/>
              <w:rPr>
                <w:color w:val="000000"/>
                <w:szCs w:val="21"/>
                <w:highlight w:val="none"/>
              </w:rPr>
            </w:pPr>
            <w:r>
              <w:rPr>
                <w:color w:val="000000"/>
                <w:szCs w:val="21"/>
                <w:highlight w:val="none"/>
              </w:rPr>
              <w:t xml:space="preserve">简要技术需求或服务要求</w:t>
            </w:r>
            <w:r>
              <w:rPr>
                <w:color w:val="000000"/>
                <w:szCs w:val="21"/>
                <w:highlight w:val="none"/>
              </w:rPr>
            </w:r>
            <w:r/>
          </w:p>
        </w:tc>
      </w:tr>
      <w:tr>
        <w:trPr>
          <w:trHeight w:val="454"/>
        </w:trPr>
        <w:tc>
          <w:tcPr>
            <w:tcW w:w="362" w:type="dxa"/>
            <w:vAlign w:val="center"/>
            <w:textDirection w:val="lrTb"/>
            <w:noWrap w:val="false"/>
          </w:tcPr>
          <w:p>
            <w:pPr>
              <w:pStyle w:val="1263"/>
              <w:jc w:val="center"/>
              <w:rPr>
                <w:bCs/>
                <w:color w:val="000000"/>
                <w:szCs w:val="21"/>
                <w:highlight w:val="none"/>
              </w:rPr>
            </w:pPr>
            <w:r>
              <w:rPr>
                <w:bCs/>
                <w:color w:val="000000"/>
                <w:szCs w:val="21"/>
                <w:highlight w:val="none"/>
              </w:rPr>
              <w:t xml:space="preserve">01</w:t>
            </w:r>
            <w:r>
              <w:rPr>
                <w:bCs/>
                <w:color w:val="000000"/>
                <w:szCs w:val="21"/>
                <w:highlight w:val="none"/>
              </w:rPr>
            </w:r>
            <w:r/>
          </w:p>
        </w:tc>
        <w:tc>
          <w:tcPr>
            <w:tcW w:w="1060" w:type="dxa"/>
            <w:vAlign w:val="center"/>
            <w:textDirection w:val="lrTb"/>
            <w:noWrap w:val="false"/>
          </w:tcPr>
          <w:p>
            <w:pPr>
              <w:pStyle w:val="1263"/>
              <w:jc w:val="center"/>
              <w:rPr>
                <w:rFonts w:hint="eastAsia" w:ascii="Calibri" w:hAnsi="Calibri" w:eastAsia="宋体" w:cs="Calibri"/>
                <w:bCs/>
                <w:color w:val="000000"/>
                <w:szCs w:val="21"/>
                <w:highlight w:val="none"/>
                <w:lang w:val="en-US" w:eastAsia="zh-CN"/>
              </w:rPr>
            </w:pPr>
            <w:r>
              <w:rPr>
                <w:rFonts w:hint="eastAsia" w:ascii="Calibri" w:hAnsi="Calibri" w:eastAsia="宋体" w:cs="Calibri"/>
                <w:bCs/>
                <w:color w:val="000000"/>
                <w:szCs w:val="21"/>
                <w:highlight w:val="none"/>
                <w:lang w:val="en-US" w:eastAsia="zh-CN"/>
              </w:rPr>
              <w:t xml:space="preserve">联强路（永兴大道-通港大道）改造工程</w:t>
            </w:r>
            <w:r>
              <w:rPr>
                <w:rFonts w:hint="eastAsia" w:ascii="Calibri" w:hAnsi="Calibri" w:eastAsia="宋体" w:cs="Calibri"/>
                <w:bCs/>
                <w:color w:val="000000"/>
                <w:szCs w:val="21"/>
                <w:highlight w:val="none"/>
                <w:lang w:val="en-US" w:eastAsia="zh-CN"/>
              </w:rPr>
            </w:r>
            <w:r/>
          </w:p>
        </w:tc>
        <w:tc>
          <w:tcPr>
            <w:tcW w:w="676" w:type="dxa"/>
            <w:vAlign w:val="center"/>
            <w:textDirection w:val="lrTb"/>
            <w:noWrap w:val="false"/>
          </w:tcPr>
          <w:p>
            <w:pPr>
              <w:pStyle w:val="1263"/>
              <w:jc w:val="center"/>
              <w:rPr>
                <w:rFonts w:ascii="Calibri" w:hAnsi="Calibri" w:eastAsia="宋体" w:cs="Calibri"/>
                <w:bCs/>
                <w:color w:val="000000"/>
                <w:szCs w:val="21"/>
                <w:highlight w:val="none"/>
                <w:lang w:val="en-US" w:eastAsia="zh-CN"/>
              </w:rPr>
            </w:pPr>
            <w:r>
              <w:rPr>
                <w:rFonts w:hint="eastAsia" w:ascii="Calibri" w:hAnsi="Calibri" w:eastAsia="宋体" w:cs="Calibri"/>
                <w:bCs/>
                <w:color w:val="000000"/>
                <w:szCs w:val="21"/>
                <w:highlight w:val="none"/>
                <w:lang w:val="en-US" w:eastAsia="zh-CN"/>
              </w:rPr>
              <w:t xml:space="preserve">227.991591</w:t>
            </w:r>
            <w:r>
              <w:rPr>
                <w:rFonts w:ascii="Calibri" w:hAnsi="Calibri" w:eastAsia="宋体" w:cs="Calibri"/>
                <w:bCs/>
                <w:color w:val="000000"/>
                <w:szCs w:val="21"/>
                <w:highlight w:val="none"/>
                <w:lang w:val="en-US" w:eastAsia="zh-CN"/>
              </w:rPr>
            </w:r>
            <w:r/>
          </w:p>
        </w:tc>
        <w:tc>
          <w:tcPr>
            <w:tcW w:w="563" w:type="dxa"/>
            <w:vAlign w:val="center"/>
            <w:textDirection w:val="lrTb"/>
            <w:noWrap w:val="false"/>
          </w:tcPr>
          <w:p>
            <w:pPr>
              <w:pStyle w:val="1263"/>
              <w:jc w:val="center"/>
              <w:rPr>
                <w:rFonts w:eastAsia="宋体"/>
                <w:bCs/>
                <w:color w:val="000000"/>
                <w:szCs w:val="21"/>
                <w:highlight w:val="none"/>
                <w:lang w:val="en-US" w:eastAsia="zh-CN"/>
              </w:rPr>
            </w:pPr>
            <w:r>
              <w:rPr>
                <w:rFonts w:hint="eastAsia"/>
                <w:bCs/>
                <w:color w:val="000000"/>
                <w:szCs w:val="21"/>
                <w:highlight w:val="none"/>
                <w:lang w:val="en-US" w:eastAsia="zh-CN"/>
              </w:rPr>
              <w:t xml:space="preserve">详见工程量清单</w:t>
            </w:r>
            <w:r>
              <w:rPr>
                <w:rFonts w:eastAsia="宋体"/>
                <w:bCs/>
                <w:color w:val="000000"/>
                <w:szCs w:val="21"/>
                <w:highlight w:val="none"/>
                <w:lang w:val="en-US" w:eastAsia="zh-CN"/>
              </w:rPr>
            </w:r>
            <w:r/>
          </w:p>
        </w:tc>
        <w:tc>
          <w:tcPr>
            <w:tcW w:w="2337" w:type="dxa"/>
            <w:vAlign w:val="center"/>
            <w:textDirection w:val="lrTb"/>
            <w:noWrap w:val="false"/>
          </w:tcPr>
          <w:p>
            <w:pPr>
              <w:pStyle w:val="1263"/>
              <w:jc w:val="center"/>
              <w:rPr>
                <w:rFonts w:eastAsia="宋体"/>
                <w:color w:val="000000"/>
                <w:szCs w:val="21"/>
                <w:highlight w:val="none"/>
                <w:lang w:val="en-US" w:eastAsia="zh-CN"/>
              </w:rPr>
            </w:pPr>
            <w:r>
              <w:rPr>
                <w:rFonts w:hint="eastAsia" w:ascii="Calibri" w:hAnsi="Calibri" w:eastAsia="宋体" w:cs="Calibri"/>
                <w:bCs/>
                <w:spacing w:val="0"/>
                <w:position w:val="0"/>
                <w:szCs w:val="21"/>
                <w:highlight w:val="none"/>
                <w:lang w:val="en-US" w:eastAsia="zh-CN"/>
              </w:rPr>
              <w:t xml:space="preserve">全长约380m，宽14m，主要建设内容包括:改造沥青混凝土路面约5300平方米，出入口改造约265平方目，雨水管道改造约142m以及标志、标线等交安工程</w:t>
            </w:r>
            <w:r>
              <w:rPr>
                <w:rFonts w:hint="eastAsia" w:ascii="Calibri" w:hAnsi="Calibri" w:eastAsia="宋体" w:cs="Calibri"/>
                <w:bCs/>
                <w:color w:val="000000"/>
                <w:szCs w:val="21"/>
                <w:highlight w:val="none"/>
                <w:lang w:val="en-US" w:eastAsia="zh-CN"/>
              </w:rPr>
              <w:t xml:space="preserve">。</w:t>
            </w:r>
            <w:r>
              <w:rPr>
                <w:rFonts w:hint="eastAsia" w:ascii="宋体" w:hAnsi="宋体" w:eastAsia="宋体" w:cs="宋体"/>
                <w:color w:val="000000"/>
                <w:spacing w:val="4"/>
                <w:sz w:val="21"/>
                <w:szCs w:val="21"/>
                <w:highlight w:val="none"/>
                <w:lang w:val="en-US" w:eastAsia="zh-CN"/>
              </w:rPr>
              <w:t xml:space="preserve">详见第四章 采购需求及</w:t>
            </w:r>
            <w:r>
              <w:rPr>
                <w:rFonts w:hint="eastAsia" w:ascii="Calibri" w:hAnsi="Calibri" w:eastAsia="宋体" w:cs="Calibri"/>
                <w:bCs/>
                <w:color w:val="000000"/>
                <w:szCs w:val="21"/>
                <w:highlight w:val="none"/>
                <w:lang w:val="en-US" w:eastAsia="zh-CN"/>
              </w:rPr>
              <w:t xml:space="preserve">工程量清单</w:t>
            </w:r>
            <w:r>
              <w:rPr>
                <w:rFonts w:eastAsia="宋体"/>
                <w:color w:val="000000"/>
                <w:szCs w:val="21"/>
                <w:highlight w:val="none"/>
                <w:lang w:val="en-US" w:eastAsia="zh-CN"/>
              </w:rPr>
            </w:r>
            <w:r/>
          </w:p>
        </w:tc>
      </w:tr>
    </w:tbl>
    <w:p>
      <w:pPr>
        <w:pStyle w:val="1263"/>
        <w:ind w:firstLine="480"/>
        <w:spacing w:line="360" w:lineRule="auto"/>
        <w:rPr>
          <w:color w:val="000000"/>
          <w:sz w:val="24"/>
          <w:highlight w:val="none"/>
          <w:u w:val="single"/>
          <w:lang w:val="en-US"/>
        </w:rPr>
      </w:pPr>
      <w:r>
        <w:rPr>
          <w:color w:val="000000"/>
          <w:sz w:val="24"/>
          <w:highlight w:val="none"/>
        </w:rPr>
        <w:t xml:space="preserve">6.合同履行期限：</w:t>
      </w:r>
      <w:r>
        <w:rPr>
          <w:rFonts w:hint="eastAsia"/>
          <w:color w:val="000000"/>
          <w:sz w:val="24"/>
          <w:highlight w:val="none"/>
          <w:lang w:val="en-US" w:eastAsia="zh-CN"/>
        </w:rPr>
        <w:t xml:space="preserve">合同签订后60日历天</w:t>
      </w:r>
      <w:r>
        <w:rPr>
          <w:color w:val="000000"/>
          <w:sz w:val="24"/>
          <w:highlight w:val="none"/>
          <w:u w:val="single"/>
          <w:lang w:val="en-US"/>
        </w:rPr>
      </w:r>
      <w:r/>
    </w:p>
    <w:p>
      <w:pPr>
        <w:pStyle w:val="1263"/>
        <w:ind w:firstLine="480"/>
        <w:spacing w:line="360" w:lineRule="auto"/>
        <w:rPr>
          <w:sz w:val="24"/>
        </w:rPr>
      </w:pPr>
      <w:r>
        <w:rPr>
          <w:sz w:val="24"/>
        </w:rPr>
        <w:t xml:space="preserve">7.本项目是否接受联合体：</w:t>
      </w:r>
      <w:r>
        <w:t xml:space="preserve">□</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sz w:val="24"/>
        </w:rPr>
      </w:r>
      <w:r/>
    </w:p>
    <w:p>
      <w:pPr>
        <w:pStyle w:val="1263"/>
        <w:ind w:firstLine="480"/>
        <w:spacing w:line="360" w:lineRule="auto"/>
        <w:rPr>
          <w:sz w:val="24"/>
        </w:rPr>
      </w:pPr>
      <w:r/>
      <w:bookmarkStart w:id="7" w:name="_Toc28359003"/>
      <w:r/>
      <w:bookmarkStart w:id="8" w:name="_Toc28359080"/>
      <w:r/>
      <w:bookmarkStart w:id="9" w:name="_Toc35393622"/>
      <w:r/>
      <w:bookmarkStart w:id="10" w:name="_Toc35393791"/>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sz w:val="24"/>
        </w:rPr>
      </w:r>
      <w:r/>
    </w:p>
    <w:p>
      <w:pPr>
        <w:pStyle w:val="1265"/>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Pr>
          <w:rFonts w:ascii="Times New Roman" w:hAnsi="Times New Roman" w:eastAsia="宋体"/>
          <w:sz w:val="24"/>
          <w:szCs w:val="24"/>
        </w:rPr>
      </w:r>
      <w:r/>
    </w:p>
    <w:p>
      <w:pPr>
        <w:pStyle w:val="1263"/>
        <w:ind w:firstLine="480"/>
        <w:spacing w:line="360" w:lineRule="auto"/>
        <w:rPr>
          <w:rFonts w:hint="eastAsia"/>
          <w:sz w:val="24"/>
        </w:rPr>
      </w:pPr>
      <w:r/>
      <w:bookmarkStart w:id="11" w:name="_Toc28359004"/>
      <w:r/>
      <w:bookmarkStart w:id="12" w:name="_Toc28359081"/>
      <w:r>
        <w:rPr>
          <w:sz w:val="24"/>
        </w:rPr>
        <w:t xml:space="preserve">1.满足《中华人民共和国政府采购法》第二十二条规定</w:t>
      </w:r>
      <w:r>
        <w:rPr>
          <w:rFonts w:hint="eastAsia"/>
          <w:sz w:val="24"/>
        </w:rPr>
        <w:t xml:space="preserve">以及下列情形：</w:t>
      </w:r>
      <w:r>
        <w:rPr>
          <w:rFonts w:hint="eastAsia"/>
          <w:sz w:val="24"/>
        </w:rPr>
      </w:r>
      <w:r/>
    </w:p>
    <w:p>
      <w:pPr>
        <w:pStyle w:val="1263"/>
        <w:ind w:firstLine="480"/>
        <w:spacing w:line="360" w:lineRule="auto"/>
        <w:rPr>
          <w:sz w:val="24"/>
        </w:rPr>
      </w:pPr>
      <w:r>
        <w:rPr>
          <w:rFonts w:hint="eastAsia"/>
          <w:sz w:val="24"/>
        </w:rPr>
        <w:t xml:space="preserve">1.1未被“信用中国”网站（WWW.creditchina.gov.cn）</w:t>
      </w:r>
      <w:r>
        <w:rPr>
          <w:rFonts w:hint="eastAsia"/>
          <w:sz w:val="24"/>
          <w:lang w:val="en-US" w:eastAsia="zh-CN"/>
        </w:rPr>
        <w:t xml:space="preserve">和</w:t>
      </w:r>
      <w:r>
        <w:rPr>
          <w:rFonts w:hint="eastAsia"/>
          <w:sz w:val="24"/>
        </w:rPr>
        <w:t xml:space="preserve">“中国政府采购网”网站（www.ccgp.gov.cn）列入失信被执行人、重大税收违法案件当事人名单、政府采购严重失信行为记录名单；</w:t>
      </w:r>
      <w:r>
        <w:rPr>
          <w:sz w:val="24"/>
        </w:rPr>
      </w:r>
      <w:r/>
    </w:p>
    <w:p>
      <w:pPr>
        <w:pStyle w:val="1263"/>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263"/>
        <w:numPr>
          <w:ilvl w:val="0"/>
          <w:numId w:val="8"/>
        </w:numPr>
        <w:ind w:firstLine="480"/>
        <w:spacing w:line="360" w:lineRule="auto"/>
        <w:tabs>
          <w:tab w:val="left" w:pos="312" w:leader="none"/>
        </w:tabs>
        <w:rPr>
          <w:sz w:val="24"/>
        </w:rPr>
      </w:pPr>
      <w:r>
        <w:rPr>
          <w:sz w:val="24"/>
        </w:rPr>
        <w:t xml:space="preserve">落实政府采购政策需满足的资格要求：</w:t>
      </w:r>
      <w:r>
        <w:rPr>
          <w:sz w:val="24"/>
        </w:rPr>
      </w:r>
      <w:r/>
    </w:p>
    <w:p>
      <w:pPr>
        <w:pStyle w:val="1263"/>
        <w:ind w:firstLine="480"/>
        <w:spacing w:line="360" w:lineRule="auto"/>
        <w:rPr>
          <w:sz w:val="24"/>
        </w:rPr>
      </w:pPr>
      <w:r>
        <w:rPr>
          <w:sz w:val="24"/>
        </w:rPr>
        <w:t xml:space="preserve">2.1 中小企业政策</w:t>
      </w:r>
      <w:r>
        <w:rPr>
          <w:sz w:val="24"/>
        </w:rPr>
      </w:r>
      <w:r/>
    </w:p>
    <w:p>
      <w:pPr>
        <w:pStyle w:val="1263"/>
        <w:ind w:firstLine="420"/>
        <w:spacing w:line="360" w:lineRule="auto"/>
        <w:rPr>
          <w:sz w:val="24"/>
        </w:rPr>
      </w:pPr>
      <w:r>
        <w:t xml:space="preserve">□</w:t>
      </w:r>
      <w:r>
        <w:rPr>
          <w:sz w:val="24"/>
        </w:rPr>
        <w:t xml:space="preserve">本项目不专门面向中小企业预留采购份额。</w:t>
      </w:r>
      <w:r>
        <w:rPr>
          <w:sz w:val="24"/>
        </w:rPr>
      </w:r>
      <w:r/>
    </w:p>
    <w:p>
      <w:pPr>
        <w:pStyle w:val="1263"/>
        <w:ind w:firstLine="480"/>
        <w:spacing w:line="360" w:lineRule="auto"/>
        <w:rPr>
          <w:rFonts w:ascii="Times New Roman" w:hAnsi="Times New Roman" w:eastAsia="宋体" w:cs="Times New Roman"/>
          <w:b/>
          <w:bCs/>
          <w:sz w:val="24"/>
          <w:lang w:val="en-US" w:eastAsia="zh-CN"/>
        </w:rPr>
      </w:pPr>
      <w:r>
        <w:rPr>
          <w:rFonts w:hint="eastAsia" w:ascii="宋体" w:hAnsi="宋体" w:eastAsia="宋体" w:cs="宋体"/>
          <w:sz w:val="24"/>
          <w:szCs w:val="24"/>
          <w:lang w:val="en-US" w:eastAsia="zh-CN"/>
        </w:rPr>
        <w:t xml:space="preserve">■</w:t>
      </w:r>
      <w:r>
        <w:rPr>
          <w:sz w:val="24"/>
        </w:rPr>
        <w:t xml:space="preserve">本项目专门面向  </w:t>
      </w:r>
      <w:r>
        <w:rPr>
          <w:rFonts w:hint="eastAsia" w:ascii="宋体" w:hAnsi="宋体" w:eastAsia="宋体" w:cs="宋体"/>
          <w:sz w:val="24"/>
          <w:szCs w:val="24"/>
          <w:lang w:val="en-US" w:eastAsia="zh-CN"/>
        </w:rPr>
        <w:t xml:space="preserve">■</w:t>
      </w:r>
      <w:r>
        <w:rPr>
          <w:sz w:val="24"/>
        </w:rPr>
        <w:t xml:space="preserve">中小 </w:t>
      </w:r>
      <w:r>
        <w:rPr>
          <w:rFonts w:ascii="Wingdings 2" w:hAnsi="Wingdings 2" w:eastAsia="Wingdings 2" w:cs="Wingdings 2"/>
        </w:rPr>
        <w:t xml:space="preserve">£</w:t>
      </w:r>
      <w:r>
        <w:rPr>
          <w:sz w:val="24"/>
        </w:rPr>
        <w:t xml:space="preserve">小微</w:t>
      </w:r>
      <w:r>
        <w:rPr>
          <w:rFonts w:hint="eastAsia"/>
          <w:sz w:val="24"/>
          <w:lang w:val="en-US" w:eastAsia="zh-CN"/>
        </w:rPr>
        <w:t xml:space="preserve"> </w:t>
      </w:r>
      <w:r>
        <w:rPr>
          <w:sz w:val="24"/>
        </w:rPr>
        <w:t xml:space="preserve">企业  采购。即：</w:t>
      </w:r>
      <w:r>
        <w:rPr>
          <w:rFonts w:hint="eastAsia"/>
          <w:sz w:val="24"/>
          <w:lang w:val="en-US" w:eastAsia="zh-CN"/>
        </w:rPr>
        <w:t xml:space="preserve">工程由中小企业承建，</w:t>
      </w:r>
      <w:r>
        <w:rPr>
          <w:rFonts w:ascii="Times New Roman" w:hAnsi="Times New Roman" w:eastAsia="宋体" w:cs="Times New Roman"/>
          <w:sz w:val="24"/>
        </w:rPr>
        <w:t xml:space="preserve">即工程施工单位为中小</w:t>
      </w:r>
      <w:r>
        <w:rPr>
          <w:rFonts w:hint="eastAsia" w:ascii="Times New Roman" w:hAnsi="Times New Roman" w:eastAsia="宋体" w:cs="Times New Roman"/>
          <w:sz w:val="24"/>
          <w:lang w:val="en-US" w:eastAsia="zh-CN"/>
        </w:rPr>
        <w:t xml:space="preserve">微</w:t>
      </w:r>
      <w:r>
        <w:rPr>
          <w:rFonts w:ascii="Times New Roman" w:hAnsi="Times New Roman" w:eastAsia="宋体" w:cs="Times New Roman"/>
          <w:sz w:val="24"/>
        </w:rPr>
        <w:t xml:space="preserve">企业，所属行业为建筑业</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提供《中小企业声明函》</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w:t>
      </w:r>
      <w:r>
        <w:rPr>
          <w:rFonts w:hint="eastAsia" w:ascii="Times New Roman" w:hAnsi="Times New Roman" w:eastAsia="宋体" w:cs="Times New Roman"/>
          <w:b/>
          <w:bCs/>
          <w:sz w:val="24"/>
          <w:lang w:val="en-US" w:eastAsia="zh-CN"/>
        </w:rPr>
        <w:t xml:space="preserve">监狱企业、残疾人福利企业视为小微企业。</w:t>
      </w:r>
      <w:r>
        <w:rPr>
          <w:rFonts w:ascii="Times New Roman" w:hAnsi="Times New Roman" w:eastAsia="宋体" w:cs="Times New Roman"/>
          <w:b/>
          <w:bCs/>
          <w:sz w:val="24"/>
          <w:lang w:val="en-US" w:eastAsia="zh-CN"/>
        </w:rPr>
      </w:r>
      <w:r/>
    </w:p>
    <w:p>
      <w:pPr>
        <w:pStyle w:val="1263"/>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lang w:val="en-US" w:eastAsia="zh-CN"/>
        </w:rPr>
        <w:t xml:space="preserve">   /   </w:t>
      </w:r>
      <w:r>
        <w:rPr>
          <w:rFonts w:hint="eastAsia"/>
          <w:sz w:val="24"/>
        </w:rPr>
        <w:t xml:space="preserve">。</w:t>
      </w:r>
      <w:r>
        <w:rPr>
          <w:sz w:val="24"/>
        </w:rPr>
      </w:r>
      <w:r/>
    </w:p>
    <w:p>
      <w:pPr>
        <w:pStyle w:val="1263"/>
        <w:ind w:firstLine="480"/>
        <w:spacing w:line="360" w:lineRule="auto"/>
        <w:rPr>
          <w:sz w:val="24"/>
        </w:rPr>
      </w:pPr>
      <w:r>
        <w:rPr>
          <w:sz w:val="24"/>
        </w:rPr>
        <w:t xml:space="preserve">2.2 其它落实政府采购政策的资格要求（如有）：</w:t>
      </w:r>
      <w:r>
        <w:rPr>
          <w:rFonts w:hint="eastAsia"/>
          <w:sz w:val="24"/>
          <w:u w:val="single"/>
          <w:lang w:val="en-US" w:eastAsia="zh-CN"/>
        </w:rPr>
        <w:t xml:space="preserve">  /  </w:t>
      </w:r>
      <w:r>
        <w:rPr>
          <w:rFonts w:hint="eastAsia"/>
          <w:sz w:val="24"/>
          <w:lang w:val="en-US" w:eastAsia="zh-CN"/>
        </w:rPr>
        <w:t xml:space="preserve"> </w:t>
      </w:r>
      <w:r>
        <w:rPr>
          <w:rFonts w:hint="eastAsia"/>
          <w:sz w:val="24"/>
        </w:rPr>
        <w:t xml:space="preserve">。</w:t>
      </w:r>
      <w:r>
        <w:rPr>
          <w:sz w:val="24"/>
        </w:rPr>
      </w:r>
      <w:r/>
    </w:p>
    <w:p>
      <w:pPr>
        <w:pStyle w:val="1263"/>
        <w:ind w:firstLine="480"/>
        <w:spacing w:line="360" w:lineRule="auto"/>
        <w:rPr>
          <w:i/>
          <w:iCs/>
          <w:sz w:val="24"/>
          <w:u w:val="single"/>
        </w:rPr>
      </w:pPr>
      <w:r>
        <w:rPr>
          <w:sz w:val="24"/>
        </w:rPr>
        <w:t xml:space="preserve">3.本项目的特定资格要求：</w:t>
      </w:r>
      <w:r>
        <w:rPr>
          <w:i/>
          <w:iCs/>
          <w:sz w:val="24"/>
          <w:u w:val="single"/>
        </w:rPr>
      </w:r>
      <w:r/>
    </w:p>
    <w:p>
      <w:pPr>
        <w:pStyle w:val="1263"/>
        <w:ind w:firstLine="480"/>
        <w:spacing w:line="360" w:lineRule="auto"/>
        <w:tabs>
          <w:tab w:val="left" w:pos="900" w:leader="none"/>
          <w:tab w:val="left" w:pos="1134" w:leader="none"/>
          <w:tab w:val="left" w:pos="1589" w:leader="none"/>
          <w:tab w:val="left" w:pos="5521" w:leader="none"/>
        </w:tabs>
        <w:rPr>
          <w:color w:val="ff0000"/>
          <w:sz w:val="24"/>
        </w:rPr>
      </w:pPr>
      <w:r>
        <w:rPr>
          <w:sz w:val="24"/>
        </w:rPr>
        <w:t xml:space="preserve">3.1本项目是否接受分支机构参与响应：</w:t>
      </w:r>
      <w:r>
        <w:t xml:space="preserve">□</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color w:val="ff0000"/>
          <w:sz w:val="24"/>
        </w:rPr>
      </w:r>
      <w:r/>
    </w:p>
    <w:p>
      <w:pPr>
        <w:pStyle w:val="1263"/>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1263"/>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eastAsia="宋体" w:cs="宋体"/>
          <w:sz w:val="24"/>
          <w:szCs w:val="24"/>
          <w:lang w:val="en-US" w:eastAsia="zh-CN"/>
        </w:rPr>
        <w:t xml:space="preserve">■</w:t>
      </w:r>
      <w:r>
        <w:rPr>
          <w:sz w:val="24"/>
        </w:rPr>
        <w:t xml:space="preserve">否</w:t>
      </w:r>
      <w:r>
        <w:rPr>
          <w:sz w:val="24"/>
        </w:rPr>
      </w:r>
      <w:r/>
    </w:p>
    <w:p>
      <w:pPr>
        <w:pStyle w:val="1263"/>
        <w:ind w:left="991" w:firstLine="2"/>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是，公益一类事业单位、使用事业编制且由财政拨款保障的群团组织，不得作为承接主体；</w:t>
      </w:r>
      <w:r>
        <w:rPr>
          <w:sz w:val="24"/>
        </w:rPr>
      </w:r>
      <w:r/>
    </w:p>
    <w:p>
      <w:pPr>
        <w:pStyle w:val="1263"/>
        <w:ind w:firstLine="480"/>
        <w:spacing w:line="360" w:lineRule="auto"/>
        <w:rPr>
          <w:sz w:val="24"/>
        </w:rPr>
      </w:pPr>
      <w:r>
        <w:rPr>
          <w:sz w:val="24"/>
        </w:rPr>
        <w:t xml:space="preserve">3.3其他特定资格要求：</w:t>
      </w:r>
      <w:r>
        <w:rPr>
          <w:sz w:val="24"/>
        </w:rPr>
      </w:r>
      <w:r/>
    </w:p>
    <w:p>
      <w:pPr>
        <w:pStyle w:val="1263"/>
        <w:ind w:firstLine="482"/>
        <w:spacing w:line="360" w:lineRule="auto"/>
        <w:rPr>
          <w:rFonts w:hint="eastAsia" w:ascii="宋体" w:hAnsi="宋体" w:eastAsia="宋体" w:cs="仿宋"/>
          <w:b/>
          <w:bCs/>
          <w:sz w:val="24"/>
          <w:lang w:bidi="ar"/>
        </w:rPr>
      </w:pPr>
      <w:r>
        <w:rPr>
          <w:rFonts w:hint="eastAsia" w:ascii="宋体" w:hAnsi="宋体" w:eastAsia="宋体" w:cs="仿宋"/>
          <w:b/>
          <w:bCs/>
          <w:sz w:val="24"/>
          <w:lang w:bidi="ar"/>
        </w:rPr>
        <w:t xml:space="preserve">（1）</w:t>
      </w:r>
      <w:r>
        <w:rPr>
          <w:rFonts w:hint="eastAsia" w:ascii="宋体" w:hAnsi="宋体" w:eastAsia="宋体" w:cs="仿宋"/>
          <w:b/>
          <w:bCs/>
          <w:sz w:val="24"/>
          <w:highlight w:val="none"/>
          <w:lang w:val="en-US" w:eastAsia="zh-CN" w:bidi="ar"/>
        </w:rPr>
        <w:t xml:space="preserve">投标人具有有效期内市政公用工程施工总承包三级及以上资质证书；</w:t>
      </w:r>
      <w:r>
        <w:rPr>
          <w:rFonts w:hint="eastAsia" w:ascii="宋体" w:hAnsi="宋体" w:eastAsia="宋体" w:cs="仿宋"/>
          <w:b/>
          <w:bCs/>
          <w:sz w:val="24"/>
          <w:lang w:bidi="ar"/>
        </w:rPr>
      </w:r>
      <w:r/>
    </w:p>
    <w:p>
      <w:pPr>
        <w:pStyle w:val="1263"/>
        <w:ind w:firstLine="482"/>
        <w:spacing w:line="360" w:lineRule="auto"/>
        <w:rPr>
          <w:rFonts w:hint="eastAsia" w:ascii="宋体" w:hAnsi="宋体" w:eastAsia="宋体" w:cs="仿宋"/>
          <w:b/>
          <w:bCs/>
          <w:sz w:val="24"/>
          <w:lang w:bidi="ar"/>
        </w:rPr>
      </w:pPr>
      <w:r>
        <w:rPr>
          <w:rFonts w:hint="eastAsia" w:ascii="宋体" w:hAnsi="宋体" w:eastAsia="宋体" w:cs="仿宋"/>
          <w:b/>
          <w:bCs/>
          <w:sz w:val="24"/>
          <w:lang w:bidi="ar"/>
        </w:rPr>
        <w:t xml:space="preserve">（2）投标人具有有效期内企业安全生产许可证证书；</w:t>
      </w:r>
      <w:r>
        <w:rPr>
          <w:rFonts w:hint="eastAsia" w:ascii="宋体" w:hAnsi="宋体" w:eastAsia="宋体" w:cs="仿宋"/>
          <w:b/>
          <w:bCs/>
          <w:sz w:val="24"/>
          <w:lang w:bidi="ar"/>
        </w:rPr>
      </w:r>
      <w:r/>
    </w:p>
    <w:p>
      <w:pPr>
        <w:pStyle w:val="1263"/>
        <w:ind w:firstLine="482"/>
        <w:spacing w:line="360" w:lineRule="auto"/>
        <w:rPr>
          <w:rFonts w:hint="eastAsia" w:ascii="宋体" w:hAnsi="宋体" w:eastAsia="宋体" w:cs="仿宋"/>
          <w:b/>
          <w:bCs/>
          <w:sz w:val="24"/>
          <w:lang w:eastAsia="zh-CN" w:bidi="ar"/>
        </w:rPr>
      </w:pPr>
      <w:r>
        <w:rPr>
          <w:rFonts w:hint="eastAsia" w:ascii="宋体" w:hAnsi="宋体" w:eastAsia="宋体" w:cs="仿宋"/>
          <w:b/>
          <w:bCs/>
          <w:sz w:val="24"/>
          <w:lang w:bidi="ar"/>
        </w:rPr>
        <w:t xml:space="preserve">（3）项目负责人具有</w:t>
      </w:r>
      <w:r>
        <w:rPr>
          <w:rFonts w:hint="eastAsia" w:ascii="宋体" w:hAnsi="宋体" w:eastAsia="宋体" w:cs="仿宋"/>
          <w:b/>
          <w:bCs/>
          <w:sz w:val="24"/>
          <w:lang w:val="en-US" w:eastAsia="zh-CN" w:bidi="ar"/>
        </w:rPr>
        <w:t xml:space="preserve">市政公用工程二级及以上</w:t>
      </w:r>
      <w:r>
        <w:rPr>
          <w:rFonts w:hint="eastAsia" w:ascii="宋体" w:hAnsi="宋体" w:eastAsia="宋体" w:cs="仿宋"/>
          <w:b/>
          <w:bCs/>
          <w:sz w:val="24"/>
          <w:lang w:bidi="ar"/>
        </w:rPr>
        <w:t xml:space="preserve">注册建造师证书</w:t>
      </w:r>
      <w:r>
        <w:rPr>
          <w:rFonts w:hint="eastAsia" w:ascii="宋体" w:hAnsi="宋体" w:eastAsia="宋体" w:cs="仿宋"/>
          <w:b/>
          <w:bCs/>
          <w:sz w:val="24"/>
          <w:lang w:eastAsia="zh-CN" w:bidi="ar"/>
        </w:rPr>
        <w:t xml:space="preserve">、</w:t>
      </w:r>
      <w:r>
        <w:rPr>
          <w:rFonts w:hint="eastAsia" w:ascii="宋体" w:hAnsi="宋体" w:eastAsia="宋体" w:cs="仿宋"/>
          <w:b/>
          <w:bCs/>
          <w:sz w:val="24"/>
          <w:lang w:bidi="ar"/>
        </w:rPr>
        <w:t xml:space="preserve">安全生产考核合格证</w:t>
      </w:r>
      <w:r>
        <w:rPr>
          <w:rFonts w:hint="eastAsia" w:ascii="宋体" w:hAnsi="宋体" w:eastAsia="宋体" w:cs="仿宋"/>
          <w:b/>
          <w:bCs/>
          <w:sz w:val="24"/>
          <w:lang w:bidi="ar"/>
        </w:rPr>
        <w:t xml:space="preserve">（B 证）</w:t>
      </w:r>
      <w:r>
        <w:rPr>
          <w:rFonts w:hint="eastAsia" w:ascii="宋体" w:hAnsi="宋体" w:eastAsia="宋体" w:cs="仿宋"/>
          <w:b/>
          <w:bCs/>
          <w:sz w:val="24"/>
          <w:lang w:val="en-US" w:eastAsia="zh-CN" w:bidi="ar"/>
        </w:rPr>
        <w:t xml:space="preserve">及为其缴纳</w:t>
      </w:r>
      <w:r>
        <w:rPr>
          <w:rFonts w:hint="eastAsia" w:ascii="宋体" w:hAnsi="宋体" w:eastAsia="宋体" w:cs="仿宋"/>
          <w:b/>
          <w:bCs/>
          <w:sz w:val="24"/>
          <w:highlight w:val="none"/>
          <w:lang w:val="en-US" w:eastAsia="zh-CN" w:bidi="ar"/>
        </w:rPr>
        <w:t xml:space="preserve">的2026年8月至2026年10月任意</w:t>
      </w:r>
      <w:r>
        <w:rPr>
          <w:rFonts w:hint="eastAsia" w:ascii="宋体" w:hAnsi="宋体" w:eastAsia="宋体" w:cs="仿宋"/>
          <w:b/>
          <w:bCs/>
          <w:sz w:val="24"/>
          <w:lang w:val="en-US" w:eastAsia="zh-CN" w:bidi="ar"/>
        </w:rPr>
        <w:t xml:space="preserve">1个月的社保证明（</w:t>
      </w:r>
      <w:r>
        <w:rPr>
          <w:rFonts w:hint="eastAsia" w:ascii="宋体" w:hAnsi="宋体" w:eastAsia="宋体" w:cs="仿宋"/>
          <w:b/>
          <w:bCs/>
          <w:sz w:val="24"/>
          <w:lang w:val="en-US" w:eastAsia="zh-CN" w:bidi="ar"/>
        </w:rPr>
        <w:t xml:space="preserve">暂未缴纳社保的新成立的公司，则需提供人员社保缴纳承诺书，格式自拟</w:t>
      </w:r>
      <w:r>
        <w:rPr>
          <w:rFonts w:hint="eastAsia" w:ascii="宋体" w:hAnsi="宋体" w:eastAsia="宋体" w:cs="仿宋"/>
          <w:b/>
          <w:bCs/>
          <w:sz w:val="24"/>
          <w:lang w:val="en-US" w:eastAsia="zh-CN" w:bidi="ar"/>
        </w:rPr>
        <w:t xml:space="preserve">）及无在建承诺（承诺书格式自拟）</w:t>
      </w:r>
      <w:r>
        <w:rPr>
          <w:rFonts w:hint="eastAsia" w:ascii="宋体" w:hAnsi="宋体" w:eastAsia="宋体" w:cs="仿宋"/>
          <w:b/>
          <w:bCs/>
          <w:sz w:val="24"/>
          <w:lang w:eastAsia="zh-CN" w:bidi="ar"/>
        </w:rPr>
        <w:t xml:space="preserve">。</w:t>
      </w:r>
      <w:r>
        <w:rPr>
          <w:rFonts w:hint="eastAsia" w:ascii="宋体" w:hAnsi="宋体" w:eastAsia="宋体" w:cs="仿宋"/>
          <w:b/>
          <w:bCs/>
          <w:sz w:val="24"/>
          <w:lang w:eastAsia="zh-CN" w:bidi="ar"/>
        </w:rPr>
      </w:r>
      <w:r/>
    </w:p>
    <w:p>
      <w:pPr>
        <w:pStyle w:val="1263"/>
        <w:ind w:firstLine="482"/>
        <w:spacing w:line="360" w:lineRule="auto"/>
        <w:rPr>
          <w:rFonts w:hint="eastAsia" w:ascii="宋体" w:hAnsi="宋体" w:eastAsia="宋体" w:cs="仿宋"/>
          <w:b/>
          <w:bCs/>
          <w:sz w:val="24"/>
          <w:lang w:val="en-US" w:eastAsia="zh-CN" w:bidi="ar"/>
        </w:rPr>
      </w:pPr>
      <w:r>
        <w:rPr>
          <w:rFonts w:hint="eastAsia" w:ascii="宋体" w:hAnsi="宋体" w:eastAsia="宋体" w:cs="仿宋"/>
          <w:b/>
          <w:bCs/>
          <w:sz w:val="24"/>
          <w:lang w:val="en-US" w:eastAsia="zh-CN" w:bidi="ar"/>
        </w:rPr>
        <w:t xml:space="preserve">（注：一级建造师电子注册证书，执行《住房和城乡建设部办公厅关于全面实行一级建造师电子注册证书的通知》（建办市 [2021]40 号）文件。</w:t>
      </w:r>
      <w:r>
        <w:rPr>
          <w:rFonts w:hint="eastAsia" w:ascii="宋体" w:hAnsi="宋体" w:eastAsia="宋体" w:cs="仿宋"/>
          <w:b/>
          <w:bCs/>
          <w:sz w:val="24"/>
          <w:lang w:val="en-US" w:eastAsia="zh-CN" w:bidi="ar"/>
        </w:rPr>
      </w:r>
      <w:r/>
    </w:p>
    <w:p>
      <w:pPr>
        <w:pStyle w:val="1263"/>
        <w:ind w:firstLine="482"/>
        <w:spacing w:line="360" w:lineRule="auto"/>
        <w:rPr>
          <w:rFonts w:hint="eastAsia" w:ascii="宋体" w:hAnsi="宋体" w:eastAsia="宋体" w:cs="仿宋"/>
          <w:b/>
          <w:bCs/>
          <w:sz w:val="24"/>
          <w:lang w:val="en-US" w:eastAsia="zh-CN" w:bidi="ar"/>
        </w:rPr>
      </w:pPr>
      <w:r>
        <w:rPr>
          <w:rFonts w:hint="eastAsia" w:ascii="宋体" w:hAnsi="宋体" w:eastAsia="宋体" w:cs="仿宋"/>
          <w:b/>
          <w:bCs/>
          <w:sz w:val="24"/>
          <w:lang w:val="en-US" w:eastAsia="zh-CN" w:bidi="ar"/>
        </w:rPr>
        <w:t xml:space="preserve">使用电子证书的，需按江苏省住房和城乡建设厅〔2023〕第5号公告规定使用新版电子证照。）</w:t>
      </w:r>
      <w:r>
        <w:rPr>
          <w:rFonts w:hint="eastAsia" w:ascii="宋体" w:hAnsi="宋体" w:eastAsia="宋体" w:cs="仿宋"/>
          <w:b/>
          <w:bCs/>
          <w:sz w:val="24"/>
          <w:lang w:val="en-US" w:eastAsia="zh-CN" w:bidi="ar"/>
        </w:rPr>
      </w:r>
      <w:r/>
    </w:p>
    <w:p>
      <w:pPr>
        <w:pStyle w:val="1263"/>
        <w:ind w:firstLine="480"/>
        <w:spacing w:line="360" w:lineRule="auto"/>
        <w:rPr>
          <w:i/>
          <w:iCs/>
          <w:sz w:val="24"/>
          <w:u w:val="single"/>
        </w:rPr>
      </w:pPr>
      <w:r>
        <w:rPr>
          <w:rFonts w:hint="eastAsia" w:ascii="Times New Roman" w:hAnsi="Times New Roman" w:eastAsia="宋体" w:cs="Times New Roman"/>
          <w:sz w:val="24"/>
          <w:u w:val="none"/>
          <w:lang w:val="en-US" w:eastAsia="zh-CN"/>
        </w:rPr>
        <w:t xml:space="preserve">  </w:t>
      </w:r>
      <w:r>
        <w:rPr>
          <w:i/>
          <w:iCs/>
          <w:sz w:val="24"/>
          <w:u w:val="single"/>
        </w:rPr>
      </w:r>
      <w:r/>
    </w:p>
    <w:p>
      <w:pPr>
        <w:pStyle w:val="1265"/>
        <w:jc w:val="left"/>
        <w:spacing w:before="0" w:line="360" w:lineRule="auto"/>
        <w:widowControl/>
        <w:rPr>
          <w:rFonts w:ascii="Times New Roman" w:hAnsi="Times New Roman" w:eastAsia="宋体"/>
          <w:sz w:val="24"/>
          <w:szCs w:val="24"/>
          <w:highlight w:val="none"/>
        </w:rPr>
      </w:pPr>
      <w:r/>
      <w:bookmarkEnd w:id="11"/>
      <w:r/>
      <w:bookmarkEnd w:id="12"/>
      <w:r/>
      <w:bookmarkStart w:id="13" w:name="_Toc35393623"/>
      <w:r/>
      <w:bookmarkStart w:id="14" w:name="_Toc35393792"/>
      <w:r>
        <w:rPr>
          <w:rFonts w:ascii="Times New Roman" w:hAnsi="Times New Roman" w:eastAsia="宋体"/>
          <w:sz w:val="24"/>
          <w:szCs w:val="24"/>
        </w:rPr>
        <w:t xml:space="preserve">三、获取采</w:t>
      </w:r>
      <w:r>
        <w:rPr>
          <w:rFonts w:ascii="Times New Roman" w:hAnsi="Times New Roman" w:eastAsia="宋体"/>
          <w:sz w:val="24"/>
          <w:szCs w:val="24"/>
          <w:highlight w:val="none"/>
        </w:rPr>
        <w:t xml:space="preserve">购文件</w:t>
      </w:r>
      <w:bookmarkEnd w:id="13"/>
      <w:r/>
      <w:bookmarkEnd w:id="14"/>
      <w:r>
        <w:rPr>
          <w:rFonts w:ascii="Times New Roman" w:hAnsi="Times New Roman" w:eastAsia="宋体"/>
          <w:sz w:val="24"/>
          <w:szCs w:val="24"/>
          <w:highlight w:val="none"/>
        </w:rPr>
      </w:r>
      <w:r/>
    </w:p>
    <w:p>
      <w:pPr>
        <w:pStyle w:val="1263"/>
        <w:ind w:firstLine="480"/>
        <w:spacing w:line="360" w:lineRule="auto"/>
        <w:rPr>
          <w:sz w:val="24"/>
          <w:highlight w:val="none"/>
          <w:lang w:bidi="ar"/>
        </w:rPr>
      </w:pPr>
      <w:r>
        <w:rPr>
          <w:sz w:val="24"/>
          <w:highlight w:val="none"/>
          <w:lang w:bidi="ar"/>
        </w:rPr>
        <w:t xml:space="preserve">1.时间：</w:t>
      </w:r>
      <w:r>
        <w:rPr>
          <w:rFonts w:hint="eastAsia"/>
          <w:sz w:val="24"/>
          <w:highlight w:val="none"/>
          <w:lang w:val="en-US" w:eastAsia="zh-CN"/>
        </w:rPr>
        <w:t xml:space="preserve">自公告发布之日起</w:t>
      </w:r>
      <w:r>
        <w:rPr>
          <w:sz w:val="24"/>
          <w:highlight w:val="none"/>
          <w:lang w:bidi="ar"/>
        </w:rPr>
        <w:t xml:space="preserve">至</w:t>
      </w:r>
      <w:r>
        <w:rPr>
          <w:rFonts w:hint="eastAsia"/>
          <w:sz w:val="24"/>
          <w:highlight w:val="none"/>
          <w:lang w:val="en-US" w:eastAsia="zh-CN"/>
        </w:rPr>
        <w:t xml:space="preserve">2026</w:t>
      </w:r>
      <w:r>
        <w:rPr>
          <w:sz w:val="24"/>
          <w:highlight w:val="none"/>
          <w:lang w:bidi="ar"/>
        </w:rPr>
        <w:t xml:space="preserve">年</w:t>
      </w:r>
      <w:r>
        <w:rPr>
          <w:rFonts w:hint="eastAsia"/>
          <w:sz w:val="24"/>
          <w:highlight w:val="none"/>
          <w:lang w:val="en-US" w:eastAsia="zh-CN"/>
        </w:rPr>
        <w:t xml:space="preserve">11</w:t>
      </w:r>
      <w:r>
        <w:rPr>
          <w:sz w:val="24"/>
          <w:highlight w:val="none"/>
          <w:lang w:bidi="ar"/>
        </w:rPr>
        <w:t xml:space="preserve">月</w:t>
      </w:r>
      <w:r>
        <w:rPr>
          <w:rFonts w:hint="eastAsia"/>
          <w:sz w:val="24"/>
          <w:highlight w:val="none"/>
          <w:lang w:val="en-US" w:eastAsia="zh-CN"/>
        </w:rPr>
        <w:t xml:space="preserve">6</w:t>
      </w:r>
      <w:r>
        <w:rPr>
          <w:sz w:val="24"/>
          <w:highlight w:val="none"/>
          <w:lang w:bidi="ar"/>
        </w:rPr>
        <w:t xml:space="preserve">日。</w:t>
      </w:r>
      <w:r>
        <w:rPr>
          <w:sz w:val="24"/>
          <w:highlight w:val="none"/>
          <w:lang w:bidi="ar"/>
        </w:rPr>
      </w:r>
      <w:r/>
    </w:p>
    <w:p>
      <w:pPr>
        <w:pStyle w:val="1263"/>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bidi="ar"/>
        </w:rPr>
        <w:t xml:space="preserve">2.地点：</w:t>
      </w:r>
      <w:r>
        <w:rPr>
          <w:rFonts w:hint="eastAsia" w:ascii="宋体" w:hAnsi="宋体"/>
          <w:sz w:val="24"/>
          <w:szCs w:val="24"/>
          <w:highlight w:val="none"/>
          <w:lang w:eastAsia="zh-CN"/>
        </w:rPr>
        <w:t xml:space="preserve">“苏采云”政府采购一体化平台</w:t>
      </w:r>
      <w:r>
        <w:rPr>
          <w:rFonts w:hint="eastAsia" w:ascii="宋体" w:hAnsi="宋体" w:eastAsia="宋体" w:cs="宋体"/>
          <w:sz w:val="24"/>
          <w:highlight w:val="none"/>
          <w:lang w:eastAsia="zh-CN"/>
        </w:rPr>
      </w:r>
      <w:r/>
    </w:p>
    <w:p>
      <w:pPr>
        <w:pStyle w:val="1263"/>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bidi="ar"/>
        </w:rPr>
        <w:t xml:space="preserve">3.方式：</w:t>
      </w:r>
      <w:r>
        <w:rPr>
          <w:rFonts w:hint="eastAsia" w:ascii="宋体" w:hAnsi="宋体"/>
          <w:sz w:val="24"/>
          <w:szCs w:val="24"/>
          <w:highlight w:val="none"/>
        </w:rPr>
        <w:t xml:space="preserve">供应商持CA数字认证证书登录</w:t>
      </w:r>
      <w:r>
        <w:rPr>
          <w:rFonts w:hint="eastAsia" w:ascii="宋体" w:hAnsi="宋体"/>
          <w:sz w:val="24"/>
          <w:szCs w:val="24"/>
          <w:highlight w:val="none"/>
          <w:lang w:eastAsia="zh-CN"/>
        </w:rPr>
        <w:t xml:space="preserve">“苏采云”政府采购一体化平台</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https://jszfcg.jsczt.cn/jszc/login</w:t>
      </w:r>
      <w:r>
        <w:rPr>
          <w:rFonts w:hint="eastAsia" w:ascii="宋体" w:hAnsi="宋体"/>
          <w:sz w:val="24"/>
          <w:szCs w:val="24"/>
          <w:highlight w:val="none"/>
        </w:rPr>
        <w:t xml:space="preserve">）获取电子版</w:t>
      </w: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文件</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1263"/>
        <w:ind w:firstLine="480"/>
        <w:spacing w:line="360" w:lineRule="auto"/>
        <w:rPr>
          <w:rFonts w:hint="eastAsia" w:ascii="宋体" w:hAnsi="宋体" w:eastAsia="宋体" w:cs="仿宋"/>
          <w:sz w:val="24"/>
          <w:highlight w:val="none"/>
          <w:lang w:bidi="ar"/>
        </w:rPr>
      </w:pPr>
      <w:r>
        <w:rPr>
          <w:rFonts w:hint="eastAsia" w:ascii="Times New Roman" w:hAnsi="Times New Roman" w:eastAsia="宋体" w:cs="Times New Roman"/>
          <w:sz w:val="24"/>
          <w:highlight w:val="none"/>
          <w:lang w:bidi="ar"/>
        </w:rPr>
        <w:t xml:space="preserve">4.售价：</w:t>
      </w:r>
      <w:r>
        <w:rPr>
          <w:rFonts w:hint="eastAsia" w:cs="Times New Roman"/>
          <w:sz w:val="24"/>
          <w:highlight w:val="none"/>
          <w:lang w:val="en-US" w:eastAsia="zh-CN" w:bidi="ar"/>
        </w:rPr>
        <w:t xml:space="preserve">0</w:t>
      </w:r>
      <w:r>
        <w:rPr>
          <w:rFonts w:hint="eastAsia" w:ascii="Times New Roman" w:hAnsi="Times New Roman" w:eastAsia="宋体" w:cs="Times New Roman"/>
          <w:sz w:val="24"/>
          <w:highlight w:val="none"/>
          <w:lang w:bidi="ar"/>
        </w:rPr>
        <w:t xml:space="preserve">元/份</w:t>
      </w:r>
      <w:r>
        <w:rPr>
          <w:rFonts w:hint="eastAsia" w:ascii="宋体" w:hAnsi="宋体" w:cs="宋体"/>
          <w:sz w:val="24"/>
          <w:highlight w:val="none"/>
          <w:lang w:bidi="ar"/>
        </w:rPr>
        <w:t xml:space="preserve">。</w:t>
      </w:r>
      <w:r>
        <w:rPr>
          <w:rFonts w:hint="eastAsia" w:ascii="宋体" w:hAnsi="宋体" w:eastAsia="宋体" w:cs="仿宋"/>
          <w:sz w:val="24"/>
          <w:highlight w:val="none"/>
          <w:lang w:bidi="ar"/>
        </w:rPr>
      </w:r>
      <w:r/>
    </w:p>
    <w:p>
      <w:pPr>
        <w:pStyle w:val="1263"/>
        <w:ind w:left="840"/>
        <w:spacing w:line="360" w:lineRule="auto"/>
        <w:tabs>
          <w:tab w:val="left" w:pos="900" w:leader="none"/>
          <w:tab w:val="left" w:pos="1980" w:leader="none"/>
        </w:tabs>
        <w:rPr>
          <w:sz w:val="24"/>
          <w:highlight w:val="none"/>
        </w:rPr>
      </w:pPr>
      <w:r>
        <w:rPr>
          <w:sz w:val="24"/>
          <w:highlight w:val="none"/>
        </w:rPr>
      </w:r>
      <w:r/>
    </w:p>
    <w:p>
      <w:pPr>
        <w:pStyle w:val="1265"/>
        <w:jc w:val="left"/>
        <w:spacing w:before="0" w:line="360" w:lineRule="auto"/>
        <w:widowControl/>
        <w:rPr>
          <w:rFonts w:ascii="Times New Roman" w:hAnsi="Times New Roman" w:eastAsia="宋体"/>
          <w:sz w:val="24"/>
          <w:szCs w:val="24"/>
          <w:highlight w:val="none"/>
        </w:rPr>
      </w:pPr>
      <w:r/>
      <w:bookmarkStart w:id="15" w:name="_Toc28359005"/>
      <w:r/>
      <w:bookmarkStart w:id="16" w:name="_Toc35393624"/>
      <w:r/>
      <w:bookmarkStart w:id="17" w:name="_Toc35393793"/>
      <w:r/>
      <w:bookmarkStart w:id="18" w:name="_Toc28359082"/>
      <w:r>
        <w:rPr>
          <w:rFonts w:ascii="Times New Roman" w:hAnsi="Times New Roman" w:eastAsia="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响应文件提交</w:t>
      </w:r>
      <w:r>
        <w:rPr>
          <w:rFonts w:ascii="Times New Roman" w:hAnsi="Times New Roman" w:eastAsia="宋体"/>
          <w:sz w:val="24"/>
          <w:szCs w:val="24"/>
          <w:highlight w:val="none"/>
        </w:rPr>
      </w:r>
      <w:r/>
    </w:p>
    <w:p>
      <w:pPr>
        <w:pStyle w:val="1263"/>
        <w:ind w:firstLine="480"/>
        <w:spacing w:line="360" w:lineRule="auto"/>
        <w:rPr>
          <w:bCs/>
          <w:sz w:val="24"/>
          <w:highlight w:val="none"/>
          <w:u w:val="single"/>
        </w:rPr>
      </w:pPr>
      <w:r>
        <w:rPr>
          <w:sz w:val="24"/>
          <w:highlight w:val="none"/>
          <w:lang w:bidi="ar"/>
        </w:rPr>
        <w:t xml:space="preserve">截止时间：</w:t>
      </w:r>
      <w:r>
        <w:rPr>
          <w:rFonts w:hint="eastAsia"/>
          <w:sz w:val="24"/>
          <w:highlight w:val="none"/>
          <w:lang w:val="en-US" w:eastAsia="zh-CN"/>
        </w:rPr>
        <w:t xml:space="preserve">2026</w:t>
      </w:r>
      <w:r>
        <w:rPr>
          <w:sz w:val="24"/>
          <w:highlight w:val="none"/>
          <w:lang w:bidi="ar"/>
        </w:rPr>
        <w:t xml:space="preserve">年</w:t>
      </w:r>
      <w:r>
        <w:rPr>
          <w:rFonts w:hint="eastAsia"/>
          <w:sz w:val="24"/>
          <w:highlight w:val="none"/>
          <w:lang w:val="en-US" w:eastAsia="zh-CN"/>
        </w:rPr>
        <w:t xml:space="preserve">11</w:t>
      </w:r>
      <w:r>
        <w:rPr>
          <w:sz w:val="24"/>
          <w:highlight w:val="none"/>
          <w:lang w:bidi="ar"/>
        </w:rPr>
        <w:t xml:space="preserve">月</w:t>
      </w:r>
      <w:r>
        <w:rPr>
          <w:rFonts w:hint="eastAsia"/>
          <w:sz w:val="24"/>
          <w:highlight w:val="none"/>
          <w:lang w:val="en-US" w:eastAsia="zh-CN" w:bidi="ar"/>
        </w:rPr>
        <w:t xml:space="preserve">12</w:t>
      </w:r>
      <w:r>
        <w:rPr>
          <w:sz w:val="24"/>
          <w:highlight w:val="none"/>
          <w:lang w:bidi="ar"/>
        </w:rPr>
        <w:t xml:space="preserve">日</w:t>
      </w:r>
      <w:r>
        <w:rPr>
          <w:rFonts w:hint="eastAsia"/>
          <w:sz w:val="24"/>
          <w:highlight w:val="none"/>
          <w:lang w:val="en-US" w:eastAsia="zh-CN"/>
        </w:rPr>
        <w:t xml:space="preserve">9</w:t>
      </w:r>
      <w:r>
        <w:rPr>
          <w:sz w:val="24"/>
          <w:highlight w:val="none"/>
          <w:lang w:bidi="ar"/>
        </w:rPr>
        <w:t xml:space="preserve">点</w:t>
      </w:r>
      <w:r>
        <w:rPr>
          <w:rFonts w:hint="eastAsia"/>
          <w:sz w:val="24"/>
          <w:highlight w:val="none"/>
          <w:lang w:val="en-US" w:eastAsia="zh-CN"/>
        </w:rPr>
        <w:t xml:space="preserve">30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1263"/>
        <w:ind w:firstLine="480"/>
        <w:spacing w:line="360" w:lineRule="auto"/>
        <w:rPr>
          <w:rFonts w:hint="eastAsia" w:eastAsia="宋体"/>
          <w:sz w:val="24"/>
          <w:highlight w:val="none"/>
          <w:lang w:val="zh-TW" w:eastAsia="zh-CN" w:bidi="ar"/>
        </w:rPr>
      </w:pPr>
      <w:r>
        <w:rPr>
          <w:sz w:val="24"/>
          <w:highlight w:val="none"/>
          <w:lang w:bidi="ar"/>
        </w:rPr>
        <w:t xml:space="preserve">地点：</w:t>
      </w:r>
      <w:r>
        <w:rPr>
          <w:rFonts w:hint="eastAsia" w:ascii="宋体" w:hAnsi="宋体"/>
          <w:sz w:val="24"/>
          <w:szCs w:val="24"/>
          <w:highlight w:val="none"/>
        </w:rPr>
        <w:t xml:space="preserve">本项目采用不见面交易方式，无需到现场提交，供应商登录“苏采云”政府采购一体化平台供应商端，通过系统在线提交电子响应文件。</w:t>
      </w:r>
      <w:r>
        <w:rPr>
          <w:rFonts w:hint="eastAsia" w:eastAsia="宋体"/>
          <w:sz w:val="24"/>
          <w:highlight w:val="none"/>
          <w:lang w:val="zh-TW" w:eastAsia="zh-CN" w:bidi="ar"/>
        </w:rPr>
      </w:r>
      <w:r/>
    </w:p>
    <w:p>
      <w:pPr>
        <w:pStyle w:val="1263"/>
        <w:ind w:firstLine="480"/>
        <w:spacing w:line="360" w:lineRule="auto"/>
        <w:rPr>
          <w:sz w:val="24"/>
          <w:highlight w:val="none"/>
          <w:lang w:val="zh-TW" w:bidi="ar"/>
        </w:rPr>
      </w:pPr>
      <w:r>
        <w:rPr>
          <w:sz w:val="24"/>
          <w:highlight w:val="none"/>
          <w:lang w:val="zh-TW" w:bidi="ar"/>
        </w:rPr>
      </w:r>
      <w:r/>
    </w:p>
    <w:p>
      <w:pPr>
        <w:pStyle w:val="1265"/>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1263"/>
        <w:ind w:firstLine="480"/>
        <w:spacing w:line="360" w:lineRule="auto"/>
        <w:rPr>
          <w:bCs/>
          <w:sz w:val="24"/>
          <w:u w:val="single"/>
        </w:rPr>
      </w:pPr>
      <w:r>
        <w:rPr>
          <w:sz w:val="24"/>
          <w:highlight w:val="none"/>
          <w:lang w:bidi="ar"/>
        </w:rPr>
        <w:t xml:space="preserve">时间：</w:t>
      </w:r>
      <w:r>
        <w:rPr>
          <w:rFonts w:hint="eastAsia"/>
          <w:sz w:val="24"/>
          <w:highlight w:val="none"/>
          <w:lang w:val="en-US" w:eastAsia="zh-CN"/>
        </w:rPr>
        <w:t xml:space="preserve">2026</w:t>
      </w:r>
      <w:r>
        <w:rPr>
          <w:sz w:val="24"/>
          <w:highlight w:val="none"/>
          <w:lang w:bidi="ar"/>
        </w:rPr>
        <w:t xml:space="preserve">年</w:t>
      </w:r>
      <w:r>
        <w:rPr>
          <w:rFonts w:hint="eastAsia"/>
          <w:sz w:val="24"/>
          <w:highlight w:val="none"/>
          <w:lang w:val="en-US" w:eastAsia="zh-CN"/>
        </w:rPr>
        <w:t xml:space="preserve">11 </w:t>
      </w:r>
      <w:r>
        <w:rPr>
          <w:sz w:val="24"/>
          <w:highlight w:val="none"/>
          <w:lang w:bidi="ar"/>
        </w:rPr>
        <w:t xml:space="preserve">月</w:t>
      </w:r>
      <w:r>
        <w:rPr>
          <w:rFonts w:hint="eastAsia"/>
          <w:sz w:val="24"/>
          <w:highlight w:val="none"/>
          <w:lang w:val="en-US" w:eastAsia="zh-CN" w:bidi="ar"/>
        </w:rPr>
        <w:t xml:space="preserve">12</w:t>
      </w:r>
      <w:r>
        <w:rPr>
          <w:sz w:val="24"/>
          <w:highlight w:val="none"/>
          <w:lang w:bidi="ar"/>
        </w:rPr>
        <w:t xml:space="preserve">日</w:t>
      </w:r>
      <w:r>
        <w:rPr>
          <w:rFonts w:hint="eastAsia"/>
          <w:sz w:val="24"/>
          <w:highlight w:val="none"/>
          <w:lang w:val="en-US" w:eastAsia="zh-CN"/>
        </w:rPr>
        <w:t xml:space="preserve">9</w:t>
      </w:r>
      <w:r>
        <w:rPr>
          <w:sz w:val="24"/>
          <w:highlight w:val="none"/>
          <w:lang w:bidi="ar"/>
        </w:rPr>
        <w:t xml:space="preserve">点</w:t>
      </w:r>
      <w:r>
        <w:rPr>
          <w:rFonts w:hint="eastAsia"/>
          <w:sz w:val="24"/>
          <w:highlight w:val="none"/>
          <w:lang w:val="en-US" w:eastAsia="zh-CN"/>
        </w:rPr>
        <w:t xml:space="preserve">30</w:t>
      </w:r>
      <w:r>
        <w:rPr>
          <w:sz w:val="24"/>
          <w:highlight w:val="none"/>
          <w:lang w:bidi="ar"/>
        </w:rPr>
        <w:t xml:space="preserve">分</w:t>
      </w:r>
      <w:r>
        <w:rPr>
          <w:bCs/>
          <w:sz w:val="24"/>
          <w:highlight w:val="none"/>
          <w:lang w:bidi="ar"/>
        </w:rPr>
        <w:t xml:space="preserve">（</w:t>
      </w:r>
      <w:r>
        <w:rPr>
          <w:bCs/>
          <w:sz w:val="24"/>
          <w:lang w:bidi="ar"/>
        </w:rPr>
        <w:t xml:space="preserve">北京时间）</w:t>
      </w:r>
      <w:r>
        <w:rPr>
          <w:iCs/>
          <w:sz w:val="24"/>
          <w:lang w:bidi="ar"/>
        </w:rPr>
        <w:t xml:space="preserve">。</w:t>
      </w:r>
      <w:r>
        <w:rPr>
          <w:bCs/>
          <w:sz w:val="24"/>
          <w:u w:val="single"/>
        </w:rPr>
      </w:r>
      <w:r/>
    </w:p>
    <w:p>
      <w:pPr>
        <w:pStyle w:val="1263"/>
        <w:ind w:firstLine="480"/>
        <w:spacing w:line="360" w:lineRule="auto"/>
        <w:rPr>
          <w:sz w:val="24"/>
          <w:lang w:val="zh-TW" w:bidi="ar"/>
        </w:rPr>
      </w:pPr>
      <w:r>
        <w:rPr>
          <w:sz w:val="24"/>
          <w:lang w:bidi="ar"/>
        </w:rPr>
        <w:t xml:space="preserve">地点：</w:t>
      </w:r>
      <w:r>
        <w:rPr>
          <w:rFonts w:hint="eastAsia" w:ascii="宋体" w:hAnsi="宋体"/>
          <w:sz w:val="24"/>
          <w:szCs w:val="24"/>
        </w:rPr>
        <w:t xml:space="preserve">本项目采用不见面交易方式，无需到现场提交，供应商登录</w:t>
      </w:r>
      <w:r>
        <w:rPr>
          <w:rFonts w:hint="eastAsia" w:ascii="宋体" w:hAnsi="宋体"/>
          <w:sz w:val="24"/>
          <w:szCs w:val="24"/>
          <w:lang w:eastAsia="zh-CN"/>
        </w:rPr>
        <w:t xml:space="preserve">“苏采云”政府采购一体化平台</w:t>
      </w:r>
      <w:r>
        <w:rPr>
          <w:rFonts w:hint="eastAsia" w:ascii="宋体" w:hAnsi="宋体"/>
          <w:sz w:val="24"/>
          <w:szCs w:val="24"/>
        </w:rPr>
        <w:t xml:space="preserve">供应商端，通过系统在线提交电子响应文件。</w:t>
      </w:r>
      <w:r>
        <w:rPr>
          <w:sz w:val="24"/>
          <w:lang w:val="zh-TW" w:bidi="ar"/>
        </w:rPr>
      </w:r>
      <w:r/>
    </w:p>
    <w:p>
      <w:pPr>
        <w:pStyle w:val="1263"/>
        <w:ind w:firstLine="480"/>
        <w:spacing w:line="360" w:lineRule="auto"/>
        <w:rPr>
          <w:bCs/>
          <w:sz w:val="24"/>
          <w:u w:val="single"/>
        </w:rPr>
      </w:pPr>
      <w:r>
        <w:rPr>
          <w:bCs/>
          <w:sz w:val="24"/>
          <w:u w:val="single"/>
        </w:rPr>
      </w:r>
      <w:r/>
    </w:p>
    <w:p>
      <w:pPr>
        <w:pStyle w:val="1265"/>
        <w:jc w:val="left"/>
        <w:spacing w:before="0" w:line="360" w:lineRule="auto"/>
        <w:rPr>
          <w:rFonts w:hint="eastAsia" w:ascii="Times New Roman" w:hAnsi="Times New Roman" w:eastAsia="宋体"/>
          <w:sz w:val="24"/>
          <w:szCs w:val="24"/>
          <w:lang w:val="en-US" w:eastAsia="zh-CN"/>
        </w:rPr>
      </w:pPr>
      <w:r/>
      <w:bookmarkStart w:id="19" w:name="_Toc35393625"/>
      <w:r/>
      <w:bookmarkStart w:id="20" w:name="_Toc28359084"/>
      <w:r/>
      <w:bookmarkStart w:id="21" w:name="_Toc35393794"/>
      <w:r/>
      <w:bookmarkStart w:id="22" w:name="_Toc28359007"/>
      <w:r>
        <w:rPr>
          <w:rFonts w:ascii="Times New Roman" w:hAnsi="Times New Roman" w:eastAsia="宋体"/>
          <w:sz w:val="24"/>
          <w:szCs w:val="24"/>
        </w:rPr>
        <w:t xml:space="preserve">六、公告期限</w:t>
      </w:r>
      <w:bookmarkEnd w:id="19"/>
      <w:r/>
      <w:bookmarkEnd w:id="20"/>
      <w:r/>
      <w:bookmarkEnd w:id="21"/>
      <w:r/>
      <w:bookmarkEnd w:id="22"/>
      <w:r>
        <w:rPr>
          <w:rFonts w:hint="eastAsia" w:ascii="Times New Roman" w:hAnsi="Times New Roman" w:eastAsia="宋体"/>
          <w:sz w:val="24"/>
          <w:szCs w:val="24"/>
          <w:lang w:val="en-US" w:eastAsia="zh-CN"/>
        </w:rPr>
        <w:t xml:space="preserve"> </w:t>
      </w:r>
      <w:r>
        <w:rPr>
          <w:rFonts w:hint="eastAsia" w:ascii="Times New Roman" w:hAnsi="Times New Roman" w:eastAsia="宋体"/>
          <w:sz w:val="24"/>
          <w:szCs w:val="24"/>
          <w:lang w:val="en-US" w:eastAsia="zh-CN"/>
        </w:rPr>
      </w:r>
      <w:r/>
    </w:p>
    <w:p>
      <w:pPr>
        <w:pStyle w:val="1263"/>
        <w:ind w:firstLine="480"/>
        <w:spacing w:line="360" w:lineRule="auto"/>
        <w:rPr>
          <w:sz w:val="24"/>
        </w:rPr>
      </w:pPr>
      <w:r>
        <w:rPr>
          <w:sz w:val="24"/>
        </w:rPr>
        <w:t xml:space="preserve">自本公告发布之日起</w:t>
      </w:r>
      <w:r>
        <w:rPr>
          <w:rFonts w:hint="eastAsia"/>
          <w:sz w:val="24"/>
          <w:lang w:val="en-US" w:eastAsia="zh-CN"/>
        </w:rPr>
        <w:t xml:space="preserve">5</w:t>
      </w:r>
      <w:r>
        <w:rPr>
          <w:sz w:val="24"/>
        </w:rPr>
        <w:t xml:space="preserve">个工作日。</w:t>
      </w:r>
      <w:r>
        <w:rPr>
          <w:sz w:val="24"/>
        </w:rPr>
      </w:r>
      <w:r/>
    </w:p>
    <w:p>
      <w:pPr>
        <w:pStyle w:val="1265"/>
        <w:jc w:val="left"/>
        <w:spacing w:before="0" w:line="360" w:lineRule="auto"/>
        <w:rPr>
          <w:rFonts w:ascii="Times New Roman" w:hAnsi="Times New Roman" w:eastAsia="宋体"/>
          <w:sz w:val="24"/>
          <w:szCs w:val="24"/>
        </w:rPr>
      </w:pPr>
      <w:r/>
      <w:bookmarkStart w:id="23" w:name="_Toc35393795"/>
      <w:r/>
      <w:bookmarkStart w:id="24" w:name="_Toc35393626"/>
      <w:r>
        <w:rPr>
          <w:rFonts w:ascii="Times New Roman" w:hAnsi="Times New Roman" w:eastAsia="宋体"/>
          <w:sz w:val="24"/>
          <w:szCs w:val="24"/>
        </w:rPr>
      </w:r>
      <w:r/>
    </w:p>
    <w:p>
      <w:pPr>
        <w:pStyle w:val="1265"/>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七、其他补充事宜</w:t>
      </w:r>
      <w:bookmarkEnd w:id="23"/>
      <w:r/>
      <w:bookmarkEnd w:id="24"/>
      <w:r>
        <w:rPr>
          <w:rFonts w:ascii="Times New Roman" w:hAnsi="Times New Roman" w:eastAsia="宋体"/>
          <w:sz w:val="24"/>
          <w:szCs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1.本项目需要落实的政府采购政策：</w:t>
      </w:r>
      <w:r>
        <w:rPr>
          <w:rFonts w:hint="eastAsia" w:ascii="宋体" w:hAnsi="宋体" w:cs="宋体"/>
          <w:b/>
          <w:bCs/>
          <w:sz w:val="24"/>
        </w:rPr>
        <w:t xml:space="preserve">扶持中小企业、监狱企业、残疾人福利企业。</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2.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技术保障服务：“苏采云”系统使用期间，由系统开发商江苏富深协通科技股份有限公司提供技术保障服务，指导软件操作，维护系统稳定运行。</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运维保障联系方式：0519-85588210、0519-85588163</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2.1办理CA认证证书</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2.2注册</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供应商登录常州市政府采购网“下载中心”-“苏采云”系统（供应商）操作手册下载相关操作手册、操作视频等，查阅后进行自助注册。</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2.3控件、客户端下载</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供应商登录常州市政府采购网“下载中心”-政府采购管理交易系统（苏采云）CA及签章控件驱动下载相关控件及客户端。</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2.4 获取电子磋商文件</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供应商持CA数字认证证书登录“苏采云”政府采购一体化平台获取电子磋商文件。未在规定期限内通过“苏采云”政府采购一体化平台获取磋商文件的响应无效。</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2.5编制电子响应文件</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2.6提交电子响应文件</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供应商应于响应截止时间前在“苏采云”政府采购一体化平台提交电子响应文件，上传电子响应文件过程中请保持与互联网的连接畅通。</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2.7电子开标</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供应商使用CA认证证书登录“苏采云”政府采购一体化平台进行电子化不见面开标。 </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2.8注意事项</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rPr>
      </w:r>
      <w:r/>
    </w:p>
    <w:p>
      <w:pPr>
        <w:pStyle w:val="1263"/>
        <w:ind w:firstLine="480"/>
        <w:spacing w:line="360" w:lineRule="auto"/>
        <w:rPr>
          <w:rFonts w:hint="eastAsia" w:ascii="宋体" w:hAnsi="宋体" w:cs="宋体"/>
          <w:sz w:val="24"/>
        </w:rPr>
      </w:pPr>
      <w:r>
        <w:rPr>
          <w:rFonts w:hint="eastAsia" w:ascii="宋体" w:hAnsi="宋体" w:cs="宋体"/>
          <w:sz w:val="24"/>
        </w:rPr>
        <w:t xml:space="preserve">3.关于常州市中小企业政府采购信用融资：</w:t>
      </w:r>
      <w:r>
        <w:rPr>
          <w:rFonts w:hint="eastAsia" w:ascii="宋体" w:hAnsi="宋体" w:cs="宋体"/>
          <w:sz w:val="24"/>
        </w:rPr>
      </w:r>
      <w:r/>
    </w:p>
    <w:p>
      <w:pPr>
        <w:pStyle w:val="1263"/>
        <w:ind w:firstLine="480"/>
        <w:spacing w:line="360" w:lineRule="auto"/>
        <w:rPr>
          <w:rFonts w:hint="eastAsia" w:ascii="宋体" w:hAnsi="宋体" w:eastAsia="宋体" w:cs="仿宋"/>
          <w:sz w:val="24"/>
          <w:lang w:bidi="ar"/>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仿宋"/>
          <w:sz w:val="24"/>
          <w:lang w:bidi="ar"/>
        </w:rPr>
      </w:r>
      <w:r/>
    </w:p>
    <w:p>
      <w:pPr>
        <w:pStyle w:val="1325"/>
        <w:ind w:left="0" w:right="0" w:firstLine="480"/>
        <w:jc w:val="both"/>
        <w:keepLines w:val="0"/>
        <w:keepNext w:val="0"/>
        <w:spacing w:before="0" w:beforeAutospacing="0" w:after="0" w:afterAutospacing="0" w:line="360" w:lineRule="auto"/>
        <w:widowControl w:val="off"/>
        <w:rPr>
          <w:rFonts w:hint="eastAsia" w:eastAsia="宋体"/>
          <w:sz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t xml:space="preserve">4.因系统固定格式，网页采购公告与采购文件有不一致之处以及制作响应文件涉及采购文件页码的，以附件PDF版采购文件为准</w:t>
      </w:r>
      <w:r>
        <w:rPr>
          <w:rFonts w:hint="eastAsia" w:ascii="Times New Roman" w:hAnsi="Times New Roman" w:cs="Times New Roman"/>
          <w:b/>
          <w:bCs/>
          <w:color w:val="000000"/>
          <w:sz w:val="24"/>
          <w:szCs w:val="24"/>
          <w:lang w:eastAsia="zh-CN"/>
        </w:rPr>
        <w:t xml:space="preserve">。</w:t>
      </w:r>
      <w:r>
        <w:rPr>
          <w:rFonts w:ascii="SimSun" w:hAnsi="SimSun" w:eastAsia="SimSun" w:cs="SimSun"/>
          <w:b/>
          <w:color w:val="000000"/>
          <w:sz w:val="24"/>
        </w:rPr>
        <w:t xml:space="preserve">另</w:t>
      </w:r>
      <w:hyperlink r:id="rId31" w:tooltip="mailto:4.%E7%94%B1%E4%BA%8E%E7%B3%BB%E7%BB%9F%E5%9B%BA%E5%AE%9A%E6%A8%A1%E6%9D%BF%EF%BC%8C%E5%9B%BE%E7%BA%B8%E6%97%A0%E6%B3%95%E4%B8%8A%E4%BC%A0%EF%BC%8C%E7%BC%96%E5%88%B6%E6%8A%95%E6%A0%87%E6%96%87%E4%BB%B6%E6%97%B6%E5%A6%82%E6%9C%89%E9%9C%80%E8%A6%81%EF%BC%8C%E5%8F%AF%E5%8F%91%E9%80%81%E9%82%AE%E4%BB%B6%E8%87%B31799755685@qq.comhuo" w:history="1">
        <w:r>
          <w:rPr>
            <w:rStyle w:val="1340"/>
            <w:rFonts w:ascii="SimSun" w:hAnsi="SimSun" w:eastAsia="SimSun" w:cs="SimSun"/>
            <w:b/>
            <w:color w:val="000000" w:themeColor="text1"/>
            <w:sz w:val="24"/>
            <w:u w:val="none"/>
          </w:rPr>
          <w:t xml:space="preserve">由于系统固定模板，CAD版图纸无法上传，编制投标文件时如有需要，请根据采购文件中“供应商须知资料表”中方法获取</w:t>
        </w:r>
      </w:hyperlink>
      <w:r>
        <w:rPr>
          <w:rFonts w:ascii="SimSun" w:hAnsi="SimSun" w:eastAsia="SimSun" w:cs="SimSun"/>
          <w:b/>
          <w:color w:val="000000" w:themeColor="text1"/>
          <w:sz w:val="24"/>
          <w:u w:val="none"/>
        </w:rPr>
        <w:t xml:space="preserve">。</w:t>
      </w:r>
      <w:r>
        <w:rPr>
          <w:rFonts w:hint="eastAsia" w:eastAsia="宋体"/>
          <w:color w:val="000000" w:themeColor="text1"/>
          <w:sz w:val="24"/>
          <w:u w:val="none"/>
          <w:lang w:val="en-US" w:eastAsia="zh-CN"/>
        </w:rPr>
      </w:r>
      <w:r/>
    </w:p>
    <w:p>
      <w:pPr>
        <w:pStyle w:val="1265"/>
        <w:jc w:val="left"/>
        <w:spacing w:before="0" w:line="360" w:lineRule="auto"/>
        <w:rPr>
          <w:rFonts w:ascii="Times New Roman" w:hAnsi="Times New Roman" w:eastAsia="宋体"/>
          <w:sz w:val="24"/>
          <w:szCs w:val="24"/>
        </w:rPr>
      </w:pPr>
      <w:r/>
      <w:bookmarkStart w:id="25" w:name="_Toc35393796"/>
      <w:r/>
      <w:bookmarkStart w:id="26" w:name="_Toc28359008"/>
      <w:r/>
      <w:bookmarkStart w:id="27" w:name="_Toc28359085"/>
      <w:r/>
      <w:bookmarkStart w:id="28" w:name="_Toc35393627"/>
      <w:r>
        <w:rPr>
          <w:rFonts w:ascii="Times New Roman" w:hAnsi="Times New Roman" w:eastAsia="宋体"/>
          <w:sz w:val="24"/>
          <w:szCs w:val="24"/>
        </w:rPr>
        <w:t xml:space="preserve">八、对本项目提出询问，请按以下方式联系。</w:t>
      </w:r>
      <w:bookmarkEnd w:id="25"/>
      <w:r/>
      <w:bookmarkEnd w:id="26"/>
      <w:r/>
      <w:bookmarkEnd w:id="27"/>
      <w:r/>
      <w:bookmarkEnd w:id="28"/>
      <w:r>
        <w:rPr>
          <w:rFonts w:ascii="Times New Roman" w:hAnsi="Times New Roman" w:eastAsia="宋体"/>
          <w:sz w:val="24"/>
          <w:szCs w:val="24"/>
        </w:rPr>
      </w:r>
      <w:r/>
    </w:p>
    <w:p>
      <w:pPr>
        <w:pStyle w:val="1263"/>
        <w:jc w:val="left"/>
        <w:spacing w:line="360" w:lineRule="auto"/>
        <w:widowControl/>
        <w:rPr>
          <w:b/>
          <w:sz w:val="24"/>
        </w:rPr>
      </w:pPr>
      <w:r>
        <w:rPr>
          <w:sz w:val="24"/>
        </w:rPr>
        <w:t xml:space="preserve">　　　</w:t>
      </w:r>
      <w:r>
        <w:rPr>
          <w:b/>
          <w:sz w:val="24"/>
        </w:rPr>
        <w:t xml:space="preserve">1.采购人信息</w:t>
      </w:r>
      <w:r>
        <w:rPr>
          <w:b/>
          <w:sz w:val="24"/>
        </w:rPr>
      </w:r>
      <w:r/>
    </w:p>
    <w:p>
      <w:pPr>
        <w:pStyle w:val="1263"/>
        <w:ind w:firstLine="720"/>
        <w:spacing w:line="360" w:lineRule="auto"/>
        <w:rPr>
          <w:rFonts w:hint="eastAsia" w:ascii="宋体" w:hAnsi="宋体" w:eastAsia="宋体" w:cs="仿宋"/>
          <w:sz w:val="24"/>
          <w:lang w:eastAsia="zh-CN" w:bidi="ar"/>
        </w:rPr>
      </w:pPr>
      <w:r/>
      <w:bookmarkStart w:id="29" w:name="_Toc28359086"/>
      <w:r/>
      <w:bookmarkStart w:id="30" w:name="_Toc28359009"/>
      <w:r>
        <w:rPr>
          <w:rFonts w:hint="eastAsia" w:ascii="宋体" w:hAnsi="宋体" w:eastAsia="宋体" w:cs="仿宋"/>
          <w:sz w:val="24"/>
          <w:lang w:bidi="ar"/>
        </w:rPr>
        <w:t xml:space="preserve">名    称：</w:t>
      </w:r>
      <w:r>
        <w:rPr>
          <w:rFonts w:hint="eastAsia" w:ascii="宋体" w:hAnsi="宋体" w:eastAsia="宋体" w:cs="仿宋"/>
          <w:sz w:val="24"/>
          <w:u w:val="single"/>
          <w:lang w:eastAsia="zh-CN" w:bidi="ar"/>
        </w:rPr>
        <w:t xml:space="preserve">溧阳市上兴镇人民政府</w:t>
      </w:r>
      <w:r>
        <w:rPr>
          <w:rFonts w:hint="eastAsia" w:ascii="宋体" w:hAnsi="宋体" w:eastAsia="宋体" w:cs="仿宋"/>
          <w:sz w:val="24"/>
          <w:lang w:eastAsia="zh-CN" w:bidi="ar"/>
        </w:rPr>
      </w:r>
      <w:r/>
    </w:p>
    <w:p>
      <w:pPr>
        <w:pStyle w:val="1263"/>
        <w:ind w:firstLine="720"/>
        <w:spacing w:line="360" w:lineRule="auto"/>
        <w:rPr>
          <w:rFonts w:hint="eastAsia" w:ascii="宋体" w:hAnsi="宋体" w:eastAsia="宋体" w:cs="仿宋"/>
          <w:sz w:val="24"/>
          <w:u w:val="single"/>
          <w:lang w:eastAsia="zh-CN" w:bidi="ar"/>
        </w:rPr>
      </w:pPr>
      <w:r>
        <w:rPr>
          <w:rFonts w:hint="eastAsia" w:ascii="宋体" w:hAnsi="宋体" w:eastAsia="宋体" w:cs="仿宋"/>
          <w:sz w:val="24"/>
          <w:lang w:bidi="ar"/>
        </w:rPr>
        <w:t xml:space="preserve">地    址：</w:t>
      </w:r>
      <w:r>
        <w:rPr>
          <w:rFonts w:hint="eastAsia" w:ascii="宋体" w:hAnsi="宋体" w:eastAsia="宋体" w:cs="仿宋"/>
          <w:sz w:val="24"/>
          <w:u w:val="single"/>
          <w:lang w:eastAsia="zh-CN" w:bidi="ar"/>
        </w:rPr>
        <w:t xml:space="preserve">溧阳市上兴镇</w:t>
      </w:r>
      <w:r>
        <w:rPr>
          <w:rFonts w:hint="eastAsia" w:ascii="宋体" w:hAnsi="宋体" w:eastAsia="宋体" w:cs="仿宋"/>
          <w:sz w:val="24"/>
          <w:u w:val="single"/>
          <w:lang w:eastAsia="zh-CN" w:bidi="ar"/>
        </w:rPr>
      </w:r>
      <w:r/>
    </w:p>
    <w:p>
      <w:pPr>
        <w:pStyle w:val="1263"/>
        <w:ind w:firstLine="720"/>
        <w:spacing w:line="360" w:lineRule="auto"/>
        <w:rPr>
          <w:rFonts w:ascii="宋体" w:hAnsi="宋体" w:eastAsia="宋体" w:cs="仿宋"/>
          <w:sz w:val="24"/>
          <w:u w:val="single"/>
          <w:lang w:val="en-US" w:bidi="ar"/>
        </w:rPr>
      </w:pPr>
      <w:r>
        <w:rPr>
          <w:rFonts w:hint="eastAsia" w:ascii="宋体" w:hAnsi="宋体" w:eastAsia="宋体" w:cs="仿宋"/>
          <w:sz w:val="24"/>
          <w:lang w:bidi="ar"/>
        </w:rPr>
        <w:t xml:space="preserve">联系方式：</w:t>
      </w:r>
      <w:r>
        <w:rPr>
          <w:rFonts w:hint="eastAsia" w:ascii="宋体" w:hAnsi="宋体" w:eastAsia="宋体" w:cs="仿宋"/>
          <w:sz w:val="24"/>
          <w:u w:val="single"/>
          <w:lang w:val="en-US" w:eastAsia="zh-CN" w:bidi="ar"/>
        </w:rPr>
        <w:t xml:space="preserve">0519-67180019</w:t>
      </w:r>
      <w:r>
        <w:rPr>
          <w:rFonts w:ascii="宋体" w:hAnsi="宋体" w:eastAsia="宋体" w:cs="仿宋"/>
          <w:sz w:val="24"/>
          <w:u w:val="single"/>
          <w:lang w:val="en-US" w:bidi="ar"/>
        </w:rPr>
      </w:r>
      <w:r/>
    </w:p>
    <w:p>
      <w:pPr>
        <w:pStyle w:val="1263"/>
        <w:ind w:left="1078" w:hanging="299"/>
        <w:jc w:val="left"/>
        <w:spacing w:line="360" w:lineRule="auto"/>
        <w:rPr>
          <w:b/>
          <w:sz w:val="24"/>
        </w:rPr>
      </w:pPr>
      <w:r>
        <w:rPr>
          <w:b/>
          <w:sz w:val="24"/>
        </w:rPr>
        <w:t xml:space="preserve">2.采购代理机构信息</w:t>
      </w:r>
      <w:bookmarkEnd w:id="29"/>
      <w:r/>
      <w:bookmarkEnd w:id="30"/>
      <w:r>
        <w:rPr>
          <w:b/>
          <w:sz w:val="24"/>
        </w:rPr>
      </w:r>
      <w:r/>
    </w:p>
    <w:p>
      <w:pPr>
        <w:pStyle w:val="1263"/>
        <w:ind w:firstLine="720"/>
        <w:spacing w:line="360" w:lineRule="auto"/>
        <w:rPr>
          <w:rFonts w:hint="eastAsia" w:ascii="宋体" w:hAnsi="宋体" w:eastAsia="宋体" w:cs="仿宋"/>
          <w:sz w:val="24"/>
          <w:lang w:eastAsia="zh-CN" w:bidi="ar"/>
        </w:rPr>
      </w:pPr>
      <w:r/>
      <w:bookmarkStart w:id="31" w:name="_Toc28359010"/>
      <w:r/>
      <w:bookmarkStart w:id="32" w:name="_Toc28359087"/>
      <w:r>
        <w:rPr>
          <w:rFonts w:hint="eastAsia" w:ascii="宋体" w:hAnsi="宋体" w:eastAsia="宋体" w:cs="仿宋"/>
          <w:sz w:val="24"/>
          <w:lang w:bidi="ar"/>
        </w:rPr>
        <w:t xml:space="preserve">名    称：</w:t>
      </w:r>
      <w:r>
        <w:rPr>
          <w:rFonts w:hint="eastAsia" w:ascii="宋体" w:hAnsi="宋体" w:eastAsia="宋体" w:cs="仿宋"/>
          <w:sz w:val="24"/>
          <w:u w:val="single"/>
          <w:lang w:eastAsia="zh-CN" w:bidi="ar"/>
        </w:rPr>
        <w:t xml:space="preserve">江苏苏南项目管理有限公司</w:t>
      </w:r>
      <w:r>
        <w:rPr>
          <w:rFonts w:hint="eastAsia" w:ascii="宋体" w:hAnsi="宋体" w:eastAsia="宋体" w:cs="仿宋"/>
          <w:sz w:val="24"/>
          <w:lang w:eastAsia="zh-CN" w:bidi="ar"/>
        </w:rPr>
      </w:r>
      <w:r/>
    </w:p>
    <w:p>
      <w:pPr>
        <w:pStyle w:val="1263"/>
        <w:ind w:firstLine="720"/>
        <w:spacing w:line="360" w:lineRule="auto"/>
        <w:rPr>
          <w:rFonts w:hint="eastAsia" w:ascii="宋体" w:hAnsi="宋体" w:eastAsia="宋体" w:cs="仿宋"/>
          <w:sz w:val="24"/>
          <w:lang w:bidi="ar"/>
        </w:rPr>
      </w:pPr>
      <w:r>
        <w:rPr>
          <w:rFonts w:hint="eastAsia" w:ascii="宋体" w:hAnsi="宋体" w:eastAsia="宋体" w:cs="仿宋"/>
          <w:sz w:val="24"/>
          <w:lang w:bidi="ar"/>
        </w:rPr>
        <w:t xml:space="preserve">地　　址：</w:t>
      </w:r>
      <w:r>
        <w:rPr>
          <w:rFonts w:hint="eastAsia" w:ascii="宋体" w:hAnsi="宋体" w:eastAsia="宋体" w:cs="仿宋"/>
          <w:sz w:val="24"/>
          <w:u w:val="single"/>
          <w:lang w:bidi="ar"/>
        </w:rPr>
        <w:t xml:space="preserve">江苏省溧阳市游子吟大道263号汉宇大厦40</w:t>
      </w:r>
      <w:r>
        <w:rPr>
          <w:rFonts w:hint="eastAsia" w:ascii="宋体" w:hAnsi="宋体" w:eastAsia="宋体" w:cs="仿宋"/>
          <w:sz w:val="24"/>
          <w:u w:val="single"/>
          <w:lang w:val="en-US" w:eastAsia="zh-CN" w:bidi="ar"/>
        </w:rPr>
        <w:t xml:space="preserve">7</w:t>
      </w:r>
      <w:r>
        <w:rPr>
          <w:rFonts w:hint="eastAsia" w:ascii="宋体" w:hAnsi="宋体" w:eastAsia="宋体" w:cs="仿宋"/>
          <w:sz w:val="24"/>
          <w:u w:val="single"/>
          <w:lang w:bidi="ar"/>
        </w:rPr>
        <w:t xml:space="preserve">室</w:t>
      </w:r>
      <w:r>
        <w:rPr>
          <w:rFonts w:hint="eastAsia" w:ascii="宋体" w:hAnsi="宋体" w:eastAsia="宋体" w:cs="仿宋"/>
          <w:sz w:val="24"/>
          <w:lang w:bidi="ar"/>
        </w:rPr>
      </w:r>
      <w:r/>
    </w:p>
    <w:p>
      <w:pPr>
        <w:pStyle w:val="1263"/>
        <w:ind w:firstLine="720"/>
        <w:spacing w:line="360" w:lineRule="auto"/>
        <w:rPr>
          <w:rFonts w:ascii="宋体" w:hAnsi="宋体" w:eastAsia="宋体" w:cs="仿宋"/>
          <w:sz w:val="24"/>
          <w:lang w:val="en-US" w:eastAsia="zh-CN" w:bidi="ar"/>
        </w:rPr>
      </w:pPr>
      <w:r>
        <w:rPr>
          <w:rFonts w:hint="eastAsia" w:ascii="宋体" w:hAnsi="宋体" w:eastAsia="宋体" w:cs="仿宋"/>
          <w:sz w:val="24"/>
          <w:lang w:bidi="ar"/>
        </w:rPr>
        <w:t xml:space="preserve">联系方式：</w:t>
      </w:r>
      <w:r>
        <w:rPr>
          <w:rFonts w:hint="eastAsia" w:ascii="宋体" w:hAnsi="宋体" w:eastAsia="宋体" w:cs="仿宋"/>
          <w:sz w:val="24"/>
          <w:u w:val="single"/>
          <w:lang w:bidi="ar"/>
        </w:rPr>
        <w:t xml:space="preserve">0519-8727</w:t>
      </w:r>
      <w:r>
        <w:rPr>
          <w:rFonts w:hint="eastAsia" w:ascii="宋体" w:hAnsi="宋体" w:eastAsia="宋体" w:cs="仿宋"/>
          <w:sz w:val="24"/>
          <w:u w:val="single"/>
          <w:lang w:val="en-US" w:eastAsia="zh-CN" w:bidi="ar"/>
        </w:rPr>
        <w:t xml:space="preserve">8789</w:t>
      </w:r>
      <w:r>
        <w:rPr>
          <w:rFonts w:ascii="宋体" w:hAnsi="宋体" w:eastAsia="宋体" w:cs="仿宋"/>
          <w:sz w:val="24"/>
          <w:lang w:val="en-US" w:eastAsia="zh-CN" w:bidi="ar"/>
        </w:rPr>
      </w:r>
      <w:r/>
    </w:p>
    <w:p>
      <w:pPr>
        <w:pStyle w:val="1263"/>
        <w:ind w:left="1078" w:hanging="299"/>
        <w:spacing w:line="360" w:lineRule="auto"/>
        <w:rPr>
          <w:b/>
          <w:sz w:val="24"/>
          <w:u w:val="single"/>
        </w:rPr>
      </w:pPr>
      <w:r>
        <w:rPr>
          <w:b/>
          <w:sz w:val="24"/>
        </w:rPr>
        <w:t xml:space="preserve">3.项目联系方式</w:t>
      </w:r>
      <w:bookmarkEnd w:id="31"/>
      <w:r/>
      <w:bookmarkEnd w:id="32"/>
      <w:r>
        <w:rPr>
          <w:b/>
          <w:sz w:val="24"/>
          <w:u w:val="single"/>
        </w:rPr>
      </w:r>
      <w:r/>
    </w:p>
    <w:p>
      <w:pPr>
        <w:pStyle w:val="1263"/>
        <w:ind w:firstLine="720"/>
        <w:spacing w:line="360" w:lineRule="auto"/>
        <w:rPr>
          <w:rFonts w:hint="eastAsia" w:ascii="宋体" w:hAnsi="宋体" w:eastAsia="宋体" w:cs="仿宋"/>
          <w:sz w:val="24"/>
          <w:lang w:eastAsia="zh-CN" w:bidi="ar"/>
        </w:rPr>
      </w:pPr>
      <w:r>
        <w:rPr>
          <w:rFonts w:hint="eastAsia" w:ascii="宋体" w:hAnsi="宋体" w:eastAsia="宋体" w:cs="仿宋"/>
          <w:sz w:val="24"/>
          <w:lang w:bidi="ar"/>
        </w:rPr>
        <w:t xml:space="preserve">项目联系人：</w:t>
      </w:r>
      <w:r>
        <w:rPr>
          <w:rFonts w:hint="eastAsia" w:ascii="宋体" w:hAnsi="宋体" w:eastAsia="宋体" w:cs="仿宋"/>
          <w:sz w:val="24"/>
          <w:u w:val="single"/>
          <w:lang w:val="en-US" w:eastAsia="zh-CN" w:bidi="ar"/>
        </w:rPr>
        <w:t xml:space="preserve">王女士</w:t>
      </w:r>
      <w:r>
        <w:rPr>
          <w:rFonts w:hint="eastAsia" w:ascii="宋体" w:hAnsi="宋体" w:eastAsia="宋体" w:cs="仿宋"/>
          <w:sz w:val="24"/>
          <w:lang w:eastAsia="zh-CN" w:bidi="ar"/>
        </w:rPr>
      </w:r>
      <w:r/>
    </w:p>
    <w:p>
      <w:pPr>
        <w:pStyle w:val="1302"/>
        <w:ind w:firstLine="720"/>
        <w:spacing w:line="360" w:lineRule="auto"/>
        <w:rPr>
          <w:sz w:val="24"/>
        </w:rPr>
      </w:pPr>
      <w:r>
        <w:rPr>
          <w:rFonts w:hint="eastAsia" w:ascii="宋体" w:hAnsi="宋体" w:eastAsia="宋体" w:cs="仿宋"/>
          <w:sz w:val="24"/>
          <w:lang w:bidi="ar"/>
        </w:rPr>
        <w:t xml:space="preserve">电　　 </w:t>
      </w:r>
      <w:r>
        <w:rPr>
          <w:rFonts w:hint="eastAsia" w:ascii="宋体" w:hAnsi="宋体" w:eastAsia="宋体" w:cs="仿宋"/>
          <w:sz w:val="24"/>
          <w:lang w:val="en-US" w:eastAsia="zh-CN" w:bidi="ar"/>
        </w:rPr>
        <w:t xml:space="preserve"> </w:t>
      </w:r>
      <w:r>
        <w:rPr>
          <w:rFonts w:hint="eastAsia" w:ascii="宋体" w:hAnsi="宋体" w:eastAsia="宋体" w:cs="仿宋"/>
          <w:sz w:val="24"/>
          <w:lang w:bidi="ar"/>
        </w:rPr>
        <w:t xml:space="preserve">话：</w:t>
      </w:r>
      <w:r>
        <w:rPr>
          <w:rFonts w:hint="eastAsia" w:ascii="宋体" w:hAnsi="宋体" w:eastAsia="宋体" w:cs="仿宋"/>
          <w:sz w:val="24"/>
          <w:szCs w:val="24"/>
          <w:u w:val="single"/>
          <w:lang w:val="en-US" w:eastAsia="zh-CN" w:bidi="ar"/>
        </w:rPr>
        <w:t xml:space="preserve">0519-87278789</w:t>
      </w:r>
      <w:r>
        <w:rPr>
          <w:sz w:val="24"/>
        </w:rPr>
      </w:r>
      <w:r/>
    </w:p>
    <w:p>
      <w:pPr>
        <w:pStyle w:val="1263"/>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r>
      <w:r/>
    </w:p>
    <w:p>
      <w:pPr>
        <w:pStyle w:val="1263"/>
        <w:jc w:val="center"/>
        <w:spacing w:line="360" w:lineRule="auto"/>
        <w:rPr>
          <w:b/>
          <w:sz w:val="36"/>
          <w:szCs w:val="36"/>
        </w:rPr>
        <w:outlineLvl w:val="0"/>
      </w:pPr>
      <w:r/>
      <w:bookmarkStart w:id="33" w:name="_Toc305158928"/>
      <w:r/>
      <w:bookmarkStart w:id="34" w:name="_Toc104818926"/>
      <w:r/>
      <w:bookmarkStart w:id="35" w:name="_Toc305158854"/>
      <w:r/>
      <w:bookmarkStart w:id="36" w:name="_Toc353825548"/>
      <w:r/>
      <w:bookmarkStart w:id="37" w:name="_Toc127161488"/>
      <w:r/>
      <w:bookmarkStart w:id="38" w:name="_Toc265228423"/>
      <w:r/>
      <w:bookmarkStart w:id="39" w:name="_Toc264969275"/>
      <w:r/>
      <w:bookmarkStart w:id="40" w:name="_Toc127151777"/>
      <w:r/>
      <w:bookmarkStart w:id="41" w:name="_Toc353873938"/>
      <w:r/>
      <w:bookmarkStart w:id="42" w:name="_Toc512937850"/>
      <w:r/>
      <w:bookmarkStart w:id="43" w:name="_Toc195842950"/>
      <w:r/>
      <w:bookmarkStart w:id="44" w:name="_Toc226965856"/>
      <w:r/>
      <w:bookmarkStart w:id="45" w:name="_Toc150774783"/>
      <w:r>
        <w:rPr>
          <w:b/>
          <w:sz w:val="36"/>
          <w:szCs w:val="36"/>
        </w:rPr>
      </w:r>
      <w:r/>
    </w:p>
    <w:p>
      <w:pPr>
        <w:pStyle w:val="1263"/>
        <w:jc w:val="center"/>
        <w:spacing w:line="360" w:lineRule="auto"/>
        <w:rPr>
          <w:b/>
          <w:sz w:val="36"/>
          <w:szCs w:val="36"/>
        </w:rPr>
        <w:outlineLvl w:val="0"/>
      </w:pPr>
      <w:r>
        <w:rPr>
          <w:b/>
          <w:sz w:val="36"/>
          <w:szCs w:val="36"/>
        </w:rPr>
      </w:r>
      <w:r/>
    </w:p>
    <w:p>
      <w:pPr>
        <w:pStyle w:val="1263"/>
        <w:jc w:val="center"/>
        <w:spacing w:line="360" w:lineRule="auto"/>
        <w:rPr>
          <w:b/>
          <w:sz w:val="36"/>
          <w:szCs w:val="36"/>
        </w:rPr>
        <w:outlineLvl w:val="0"/>
      </w:pPr>
      <w:r>
        <w:rPr>
          <w:b/>
          <w:sz w:val="36"/>
          <w:szCs w:val="36"/>
        </w:rPr>
      </w:r>
      <w:r/>
    </w:p>
    <w:p>
      <w:pPr>
        <w:pStyle w:val="1263"/>
        <w:jc w:val="center"/>
        <w:spacing w:line="360" w:lineRule="auto"/>
        <w:rPr>
          <w:b/>
          <w:sz w:val="36"/>
          <w:szCs w:val="36"/>
        </w:rPr>
        <w:outlineLvl w:val="0"/>
      </w:pPr>
      <w:r>
        <w:rPr>
          <w:b/>
          <w:sz w:val="36"/>
          <w:szCs w:val="36"/>
        </w:rPr>
      </w:r>
      <w:r/>
    </w:p>
    <w:p>
      <w:pPr>
        <w:pStyle w:val="1263"/>
        <w:jc w:val="center"/>
        <w:spacing w:line="360" w:lineRule="auto"/>
        <w:rPr>
          <w:b/>
          <w:sz w:val="36"/>
          <w:szCs w:val="36"/>
        </w:rPr>
        <w:outlineLvl w:val="0"/>
      </w:pPr>
      <w:r>
        <w:rPr>
          <w:b/>
          <w:sz w:val="36"/>
          <w:szCs w:val="36"/>
        </w:rPr>
      </w:r>
      <w:r/>
    </w:p>
    <w:p>
      <w:pPr>
        <w:pStyle w:val="1263"/>
        <w:jc w:val="center"/>
        <w:spacing w:line="360" w:lineRule="auto"/>
        <w:rPr>
          <w:b/>
          <w:sz w:val="36"/>
          <w:szCs w:val="36"/>
        </w:rPr>
        <w:outlineLvl w:val="0"/>
      </w:pPr>
      <w:r>
        <w:rPr>
          <w:b/>
          <w:sz w:val="36"/>
          <w:szCs w:val="36"/>
        </w:rPr>
      </w:r>
      <w:r/>
    </w:p>
    <w:p>
      <w:pPr>
        <w:pStyle w:val="1263"/>
        <w:jc w:val="center"/>
        <w:spacing w:line="360" w:lineRule="auto"/>
        <w:rPr>
          <w:b/>
          <w:sz w:val="36"/>
          <w:szCs w:val="36"/>
        </w:rPr>
        <w:outlineLvl w:val="0"/>
      </w:pPr>
      <w:r>
        <w:rPr>
          <w:b/>
          <w:sz w:val="36"/>
          <w:szCs w:val="36"/>
        </w:rPr>
      </w:r>
      <w:r/>
    </w:p>
    <w:p>
      <w:pPr>
        <w:pStyle w:val="1263"/>
        <w:jc w:val="center"/>
        <w:spacing w:line="360" w:lineRule="auto"/>
        <w:rPr>
          <w:b/>
          <w:sz w:val="36"/>
          <w:szCs w:val="36"/>
        </w:rPr>
        <w:outlineLvl w:val="0"/>
      </w:pPr>
      <w:r>
        <w:rPr>
          <w:b/>
          <w:sz w:val="36"/>
          <w:szCs w:val="36"/>
        </w:rPr>
      </w:r>
      <w:r/>
    </w:p>
    <w:p>
      <w:pPr>
        <w:pStyle w:val="1263"/>
        <w:jc w:val="left"/>
        <w:spacing w:line="360" w:lineRule="auto"/>
        <w:rPr>
          <w:b/>
          <w:sz w:val="36"/>
          <w:szCs w:val="36"/>
        </w:rPr>
        <w:outlineLvl w:val="0"/>
      </w:pPr>
      <w:r>
        <w:rPr>
          <w:b/>
          <w:sz w:val="36"/>
          <w:szCs w:val="36"/>
        </w:rPr>
      </w:r>
      <w:r/>
    </w:p>
    <w:p>
      <w:pPr>
        <w:pStyle w:val="1263"/>
      </w:pPr>
      <w:r/>
      <w:r/>
    </w:p>
    <w:p>
      <w:pPr>
        <w:pStyle w:val="1263"/>
        <w:jc w:val="center"/>
        <w:spacing w:line="360" w:lineRule="auto"/>
        <w:rPr>
          <w:b/>
          <w:sz w:val="32"/>
          <w:szCs w:val="32"/>
        </w:rPr>
        <w:outlineLvl w:val="0"/>
      </w:pPr>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265"/>
        <w:spacing w:before="0" w:line="360" w:lineRule="auto"/>
        <w:tabs>
          <w:tab w:val="center" w:pos="4592" w:leader="none"/>
          <w:tab w:val="left" w:pos="7860" w:leader="none"/>
        </w:tabs>
        <w:rPr>
          <w:rFonts w:ascii="Times New Roman" w:hAnsi="Times New Roman" w:eastAsia="宋体"/>
          <w:b w:val="0"/>
          <w:sz w:val="28"/>
        </w:rPr>
      </w:pPr>
      <w:r/>
      <w:bookmarkStart w:id="46" w:name="_Toc164608788"/>
      <w:r/>
      <w:bookmarkStart w:id="47" w:name="_Toc149720812"/>
      <w:r/>
      <w:bookmarkStart w:id="48" w:name="_Toc226965792"/>
      <w:r/>
      <w:bookmarkStart w:id="49" w:name="_Toc151193689"/>
      <w:r/>
      <w:bookmarkStart w:id="50" w:name="_Toc226309763"/>
      <w:r/>
      <w:bookmarkStart w:id="51" w:name="_Toc151193907"/>
      <w:r/>
      <w:bookmarkStart w:id="52" w:name="_Toc127151720"/>
      <w:r/>
      <w:bookmarkStart w:id="53" w:name="_Toc520356144"/>
      <w:r/>
      <w:bookmarkStart w:id="54" w:name="_Toc164608633"/>
      <w:r/>
      <w:bookmarkStart w:id="55" w:name="_Toc226965709"/>
      <w:r/>
      <w:bookmarkStart w:id="56" w:name="_Toc151193833"/>
      <w:r/>
      <w:bookmarkStart w:id="57" w:name="_Toc150480757"/>
      <w:r/>
      <w:bookmarkStart w:id="58" w:name="_Toc127151519"/>
      <w:r/>
      <w:bookmarkStart w:id="59" w:name="_Toc127161433"/>
      <w:r/>
      <w:bookmarkStart w:id="60" w:name="_Toc195842884"/>
      <w:r/>
      <w:bookmarkStart w:id="61" w:name="_Toc164351613"/>
      <w:r/>
      <w:bookmarkStart w:id="62" w:name="_Toc150509270"/>
      <w:r/>
      <w:bookmarkStart w:id="63" w:name="_Toc150774619"/>
      <w:r/>
      <w:bookmarkStart w:id="64" w:name="_Toc151190146"/>
      <w:r/>
      <w:bookmarkStart w:id="65" w:name="_Toc151193617"/>
      <w:r/>
      <w:bookmarkStart w:id="66" w:name="_Toc164229360"/>
      <w:r/>
      <w:bookmarkStart w:id="67" w:name="_Toc151193761"/>
      <w:r/>
      <w:bookmarkStart w:id="68" w:name="_Toc142311021"/>
      <w:r/>
      <w:bookmarkStart w:id="69" w:name="_Toc164229214"/>
      <w:r/>
      <w:bookmarkStart w:id="70" w:name="_Toc226337215"/>
      <w:r/>
      <w:bookmarkStart w:id="71" w:name="_Toc150774724"/>
      <w:r>
        <w:rPr>
          <w:rFonts w:ascii="Times New Roman" w:hAnsi="Times New Roman" w:eastAsia="宋体"/>
          <w:sz w:val="28"/>
        </w:rPr>
        <w:t xml:space="preserve">供应商须知资料表</w:t>
      </w:r>
      <w:r>
        <w:rPr>
          <w:rFonts w:ascii="Times New Roman" w:hAnsi="Times New Roman" w:eastAsia="宋体"/>
          <w:b w:val="0"/>
          <w:sz w:val="28"/>
        </w:rPr>
      </w:r>
      <w:r/>
    </w:p>
    <w:p>
      <w:pPr>
        <w:pStyle w:val="1263"/>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263"/>
              <w:jc w:val="center"/>
              <w:rPr>
                <w:b/>
                <w:bCs/>
                <w:sz w:val="24"/>
              </w:rPr>
            </w:pPr>
            <w:r>
              <w:rPr>
                <w:b/>
                <w:sz w:val="24"/>
              </w:rPr>
              <w:t xml:space="preserve">条款号</w:t>
            </w:r>
            <w:r>
              <w:rPr>
                <w:b/>
                <w:bCs/>
                <w:sz w:val="24"/>
              </w:rPr>
            </w:r>
            <w:r/>
          </w:p>
        </w:tc>
        <w:tc>
          <w:tcPr>
            <w:tcW w:w="1701" w:type="dxa"/>
            <w:vAlign w:val="center"/>
            <w:textDirection w:val="lrTb"/>
            <w:noWrap w:val="false"/>
          </w:tcPr>
          <w:p>
            <w:pPr>
              <w:pStyle w:val="1263"/>
              <w:jc w:val="center"/>
              <w:rPr>
                <w:b/>
                <w:bCs/>
                <w:sz w:val="24"/>
              </w:rPr>
            </w:pPr>
            <w:r>
              <w:rPr>
                <w:b/>
                <w:bCs/>
                <w:sz w:val="24"/>
              </w:rPr>
              <w:t xml:space="preserve">条目</w:t>
            </w:r>
            <w:r>
              <w:rPr>
                <w:b/>
                <w:bCs/>
                <w:sz w:val="24"/>
              </w:rPr>
            </w:r>
            <w:r/>
          </w:p>
        </w:tc>
        <w:tc>
          <w:tcPr>
            <w:tcW w:w="7253" w:type="dxa"/>
            <w:vAlign w:val="center"/>
            <w:textDirection w:val="lrTb"/>
            <w:noWrap w:val="false"/>
          </w:tcPr>
          <w:p>
            <w:pPr>
              <w:pStyle w:val="1263"/>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302"/>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263"/>
              <w:jc w:val="center"/>
              <w:rPr>
                <w:sz w:val="24"/>
              </w:rPr>
            </w:pPr>
            <w:r>
              <w:rPr>
                <w:sz w:val="24"/>
              </w:rPr>
              <w:t xml:space="preserve">项目属性</w:t>
            </w:r>
            <w:r>
              <w:rPr>
                <w:sz w:val="24"/>
              </w:rPr>
            </w:r>
            <w:r/>
          </w:p>
        </w:tc>
        <w:tc>
          <w:tcPr>
            <w:tcW w:w="7253" w:type="dxa"/>
            <w:vAlign w:val="center"/>
            <w:textDirection w:val="lrTb"/>
            <w:noWrap w:val="false"/>
          </w:tcPr>
          <w:p>
            <w:pPr>
              <w:pStyle w:val="1263"/>
              <w:jc w:val="left"/>
              <w:rPr>
                <w:sz w:val="24"/>
              </w:rPr>
            </w:pPr>
            <w:r>
              <w:rPr>
                <w:sz w:val="24"/>
              </w:rPr>
              <w:t xml:space="preserve">项目属性：</w:t>
            </w:r>
            <w:r>
              <w:rPr>
                <w:sz w:val="24"/>
              </w:rPr>
            </w:r>
            <w:r/>
          </w:p>
          <w:p>
            <w:pPr>
              <w:pStyle w:val="1263"/>
              <w:jc w:val="left"/>
              <w:rPr>
                <w:sz w:val="24"/>
              </w:rPr>
            </w:pPr>
            <w:r>
              <w:t xml:space="preserve">□</w:t>
            </w:r>
            <w:r>
              <w:rPr>
                <w:sz w:val="24"/>
              </w:rPr>
              <w:t xml:space="preserve">服务</w:t>
            </w:r>
            <w:r>
              <w:rPr>
                <w:sz w:val="24"/>
              </w:rPr>
            </w:r>
            <w:r/>
          </w:p>
          <w:p>
            <w:pPr>
              <w:pStyle w:val="1263"/>
              <w:jc w:val="left"/>
              <w:rPr>
                <w:sz w:val="24"/>
              </w:rPr>
            </w:pPr>
            <w:r>
              <w:t xml:space="preserve">□</w:t>
            </w:r>
            <w:r>
              <w:rPr>
                <w:sz w:val="24"/>
              </w:rPr>
              <w:t xml:space="preserve">货物</w:t>
            </w:r>
            <w:r>
              <w:rPr>
                <w:sz w:val="24"/>
              </w:rPr>
            </w:r>
            <w:r/>
          </w:p>
          <w:p>
            <w:pPr>
              <w:pStyle w:val="1263"/>
              <w:jc w:val="left"/>
              <w:rPr>
                <w:sz w:val="24"/>
                <w:u w:val="single"/>
              </w:rPr>
            </w:pPr>
            <w:r>
              <w:rPr>
                <w:b/>
                <w:color w:val="000000"/>
                <w:sz w:val="24"/>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302"/>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263"/>
              <w:jc w:val="center"/>
              <w:rPr>
                <w:sz w:val="24"/>
              </w:rPr>
            </w:pPr>
            <w:r>
              <w:rPr>
                <w:sz w:val="24"/>
              </w:rPr>
              <w:t xml:space="preserve">科研仪器设备</w:t>
            </w:r>
            <w:r>
              <w:rPr>
                <w:sz w:val="24"/>
              </w:rPr>
            </w:r>
            <w:r/>
          </w:p>
        </w:tc>
        <w:tc>
          <w:tcPr>
            <w:tcW w:w="7253" w:type="dxa"/>
            <w:vAlign w:val="center"/>
            <w:textDirection w:val="lrTb"/>
            <w:noWrap w:val="false"/>
          </w:tcPr>
          <w:p>
            <w:pPr>
              <w:pStyle w:val="1263"/>
              <w:jc w:val="left"/>
              <w:rPr>
                <w:sz w:val="24"/>
              </w:rPr>
            </w:pPr>
            <w:r>
              <w:rPr>
                <w:sz w:val="24"/>
              </w:rPr>
              <w:t xml:space="preserve">是否属于科研仪器设备采购项目：</w:t>
            </w:r>
            <w:r>
              <w:rPr>
                <w:sz w:val="24"/>
              </w:rPr>
            </w:r>
            <w:r/>
          </w:p>
          <w:p>
            <w:pPr>
              <w:pStyle w:val="1263"/>
              <w:jc w:val="left"/>
              <w:rPr>
                <w:sz w:val="24"/>
              </w:rPr>
            </w:pPr>
            <w:r>
              <w:t xml:space="preserve">□</w:t>
            </w:r>
            <w:r>
              <w:rPr>
                <w:sz w:val="24"/>
              </w:rPr>
              <w:t xml:space="preserve">是</w:t>
            </w:r>
            <w:r>
              <w:rPr>
                <w:sz w:val="24"/>
              </w:rPr>
            </w:r>
            <w:r/>
          </w:p>
          <w:p>
            <w:pPr>
              <w:pStyle w:val="1263"/>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1302"/>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263"/>
              <w:jc w:val="center"/>
              <w:rPr>
                <w:sz w:val="24"/>
              </w:rPr>
            </w:pPr>
            <w:r>
              <w:rPr>
                <w:sz w:val="24"/>
              </w:rPr>
              <w:t xml:space="preserve">现场考察</w:t>
            </w:r>
            <w:r>
              <w:rPr>
                <w:sz w:val="24"/>
              </w:rPr>
            </w:r>
            <w:r/>
          </w:p>
        </w:tc>
        <w:tc>
          <w:tcPr>
            <w:tcW w:w="7253" w:type="dxa"/>
            <w:vAlign w:val="center"/>
            <w:textDirection w:val="lrTb"/>
            <w:noWrap w:val="false"/>
          </w:tcPr>
          <w:p>
            <w:pPr>
              <w:pStyle w:val="1263"/>
              <w:jc w:val="left"/>
              <w:rPr>
                <w:sz w:val="24"/>
              </w:rPr>
            </w:pPr>
            <w:r>
              <w:rPr>
                <w:b/>
                <w:color w:val="000000"/>
                <w:sz w:val="24"/>
              </w:rPr>
              <w:t xml:space="preserve">■</w:t>
            </w:r>
            <w:r>
              <w:rPr>
                <w:sz w:val="24"/>
              </w:rPr>
              <w:t xml:space="preserve">不组织</w:t>
            </w:r>
            <w:r>
              <w:rPr>
                <w:sz w:val="24"/>
              </w:rPr>
            </w:r>
            <w:r/>
          </w:p>
          <w:p>
            <w:pPr>
              <w:pStyle w:val="1263"/>
              <w:jc w:val="left"/>
              <w:rPr>
                <w:bCs/>
                <w:sz w:val="24"/>
              </w:rPr>
            </w:pPr>
            <w:r>
              <w:t xml:space="preserve">□</w:t>
            </w:r>
            <w:r>
              <w:rPr>
                <w:sz w:val="24"/>
              </w:rPr>
              <w:t xml:space="preserve">组织，考察时间：_</w:t>
            </w:r>
            <w:r>
              <w:rPr>
                <w:rFonts w:hint="eastAsia"/>
                <w:sz w:val="24"/>
                <w:u w:val="single"/>
                <w:lang w:val="en-US" w:eastAsia="zh-CN"/>
              </w:rPr>
              <w:t xml:space="preserve">/</w:t>
            </w:r>
            <w:r>
              <w:rPr>
                <w:sz w:val="24"/>
              </w:rPr>
              <w:t xml:space="preserve">__</w:t>
            </w:r>
            <w:r>
              <w:rPr>
                <w:sz w:val="24"/>
                <w:lang w:bidi="ar"/>
              </w:rPr>
              <w:t xml:space="preserve">年</w:t>
            </w:r>
            <w:r>
              <w:rPr>
                <w:sz w:val="24"/>
              </w:rPr>
              <w:t xml:space="preserve">__</w:t>
            </w:r>
            <w:r>
              <w:rPr>
                <w:rFonts w:hint="eastAsia"/>
                <w:sz w:val="24"/>
                <w:u w:val="single"/>
                <w:lang w:val="en-US" w:eastAsia="zh-CN"/>
              </w:rPr>
              <w:t xml:space="preserve">/</w:t>
            </w:r>
            <w:r>
              <w:rPr>
                <w:sz w:val="24"/>
              </w:rPr>
              <w:t xml:space="preserve">_</w:t>
            </w:r>
            <w:r>
              <w:rPr>
                <w:sz w:val="24"/>
                <w:lang w:bidi="ar"/>
              </w:rPr>
              <w:t xml:space="preserve">月</w:t>
            </w:r>
            <w:r>
              <w:rPr>
                <w:sz w:val="24"/>
              </w:rPr>
              <w:t xml:space="preserve">_</w:t>
            </w:r>
            <w:r>
              <w:rPr>
                <w:rFonts w:hint="eastAsia"/>
                <w:sz w:val="24"/>
                <w:u w:val="single"/>
                <w:lang w:val="en-US" w:eastAsia="zh-CN"/>
              </w:rPr>
              <w:t xml:space="preserve">/</w:t>
            </w:r>
            <w:r>
              <w:rPr>
                <w:sz w:val="24"/>
              </w:rPr>
              <w:t xml:space="preserve">_</w:t>
            </w:r>
            <w:r>
              <w:rPr>
                <w:sz w:val="24"/>
                <w:lang w:bidi="ar"/>
              </w:rPr>
              <w:t xml:space="preserve">日</w:t>
            </w:r>
            <w:r>
              <w:rPr>
                <w:sz w:val="24"/>
              </w:rPr>
              <w:t xml:space="preserve">_</w:t>
            </w:r>
            <w:r>
              <w:rPr>
                <w:rFonts w:hint="eastAsia"/>
                <w:sz w:val="24"/>
                <w:u w:val="single"/>
                <w:lang w:val="en-US" w:eastAsia="zh-CN"/>
              </w:rPr>
              <w:t xml:space="preserve">/</w:t>
            </w:r>
            <w:r>
              <w:rPr>
                <w:sz w:val="24"/>
              </w:rPr>
              <w:t xml:space="preserve">_</w:t>
            </w:r>
            <w:r>
              <w:rPr>
                <w:sz w:val="24"/>
                <w:lang w:bidi="ar"/>
              </w:rPr>
              <w:t xml:space="preserve">点</w:t>
            </w:r>
            <w:r>
              <w:rPr>
                <w:sz w:val="24"/>
              </w:rPr>
              <w:t xml:space="preserve">__</w:t>
            </w:r>
            <w:r>
              <w:rPr>
                <w:rFonts w:hint="eastAsia"/>
                <w:sz w:val="24"/>
                <w:u w:val="single"/>
                <w:lang w:val="en-US" w:eastAsia="zh-CN"/>
              </w:rPr>
              <w:t xml:space="preserve">/</w:t>
            </w:r>
            <w:r>
              <w:rPr>
                <w:sz w:val="24"/>
              </w:rPr>
              <w:t xml:space="preserve">_</w:t>
            </w:r>
            <w:r>
              <w:rPr>
                <w:sz w:val="24"/>
                <w:lang w:bidi="ar"/>
              </w:rPr>
              <w:t xml:space="preserve">分</w:t>
            </w:r>
            <w:r>
              <w:rPr>
                <w:bCs/>
                <w:sz w:val="24"/>
              </w:rPr>
            </w:r>
            <w:r/>
          </w:p>
          <w:p>
            <w:pPr>
              <w:pStyle w:val="1302"/>
              <w:rPr>
                <w:rFonts w:ascii="Times New Roman" w:hAnsi="Times New Roman"/>
                <w:sz w:val="24"/>
                <w:szCs w:val="24"/>
              </w:rPr>
            </w:pPr>
            <w:r>
              <w:rPr>
                <w:rFonts w:ascii="Times New Roman" w:hAnsi="Times New Roman"/>
                <w:sz w:val="24"/>
              </w:rPr>
              <w:t xml:space="preserve">考察地点：______</w:t>
            </w:r>
            <w:r>
              <w:rPr>
                <w:rFonts w:hint="eastAsia" w:ascii="Times New Roman" w:hAnsi="Times New Roman"/>
                <w:sz w:val="24"/>
                <w:u w:val="single"/>
                <w:lang w:val="en-US" w:eastAsia="zh-CN"/>
              </w:rPr>
              <w:t xml:space="preserve">/</w:t>
            </w:r>
            <w:r>
              <w:rPr>
                <w:rFonts w:ascii="Times New Roman" w:hAnsi="Times New Roman"/>
                <w:sz w:val="24"/>
              </w:rPr>
              <w:t xml:space="preserve">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302"/>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263"/>
              <w:jc w:val="center"/>
              <w:rPr>
                <w:sz w:val="24"/>
              </w:rPr>
            </w:pPr>
            <w:r>
              <w:rPr>
                <w:sz w:val="24"/>
              </w:rPr>
              <w:t xml:space="preserve">磋商前答疑会</w:t>
            </w:r>
            <w:r>
              <w:rPr>
                <w:sz w:val="24"/>
              </w:rPr>
            </w:r>
            <w:r/>
          </w:p>
        </w:tc>
        <w:tc>
          <w:tcPr>
            <w:tcW w:w="7253" w:type="dxa"/>
            <w:vAlign w:val="center"/>
            <w:textDirection w:val="lrTb"/>
            <w:noWrap w:val="false"/>
          </w:tcPr>
          <w:p>
            <w:pPr>
              <w:pStyle w:val="1263"/>
              <w:jc w:val="left"/>
              <w:rPr>
                <w:sz w:val="24"/>
              </w:rPr>
            </w:pPr>
            <w:r>
              <w:rPr>
                <w:b/>
                <w:color w:val="000000"/>
                <w:sz w:val="24"/>
              </w:rPr>
              <w:t xml:space="preserve">■</w:t>
            </w:r>
            <w:r>
              <w:rPr>
                <w:sz w:val="24"/>
              </w:rPr>
              <w:t xml:space="preserve">不召开</w:t>
            </w:r>
            <w:r>
              <w:rPr>
                <w:sz w:val="24"/>
              </w:rPr>
            </w:r>
            <w:r/>
          </w:p>
          <w:p>
            <w:pPr>
              <w:pStyle w:val="1263"/>
              <w:jc w:val="left"/>
              <w:rPr>
                <w:sz w:val="24"/>
              </w:rPr>
            </w:pPr>
            <w:r>
              <w:t xml:space="preserve">□</w:t>
            </w:r>
            <w:r>
              <w:rPr>
                <w:sz w:val="24"/>
              </w:rPr>
              <w:t xml:space="preserve">召开，召开时间：_</w:t>
            </w:r>
            <w:r>
              <w:rPr>
                <w:rFonts w:hint="eastAsia"/>
                <w:sz w:val="24"/>
                <w:u w:val="single"/>
                <w:lang w:val="en-US" w:eastAsia="zh-CN"/>
              </w:rPr>
              <w:t xml:space="preserve">/</w:t>
            </w:r>
            <w:r>
              <w:rPr>
                <w:sz w:val="24"/>
              </w:rPr>
              <w:t xml:space="preserve">__</w:t>
            </w:r>
            <w:r>
              <w:rPr>
                <w:sz w:val="24"/>
                <w:lang w:bidi="ar"/>
              </w:rPr>
              <w:t xml:space="preserve">年</w:t>
            </w:r>
            <w:r>
              <w:rPr>
                <w:sz w:val="24"/>
              </w:rPr>
              <w:t xml:space="preserve">__</w:t>
            </w:r>
            <w:r>
              <w:rPr>
                <w:rFonts w:hint="eastAsia"/>
                <w:sz w:val="24"/>
                <w:u w:val="single"/>
                <w:lang w:val="en-US" w:eastAsia="zh-CN"/>
              </w:rPr>
              <w:t xml:space="preserve">/</w:t>
            </w:r>
            <w:r>
              <w:rPr>
                <w:sz w:val="24"/>
              </w:rPr>
              <w:t xml:space="preserve">_</w:t>
            </w:r>
            <w:r>
              <w:rPr>
                <w:sz w:val="24"/>
                <w:lang w:bidi="ar"/>
              </w:rPr>
              <w:t xml:space="preserve">月</w:t>
            </w:r>
            <w:r>
              <w:rPr>
                <w:sz w:val="24"/>
              </w:rPr>
              <w:t xml:space="preserve">__</w:t>
            </w:r>
            <w:r>
              <w:rPr>
                <w:rFonts w:hint="eastAsia"/>
                <w:sz w:val="24"/>
                <w:u w:val="single"/>
                <w:lang w:val="en-US" w:eastAsia="zh-CN"/>
              </w:rPr>
              <w:t xml:space="preserve">/</w:t>
            </w:r>
            <w:r>
              <w:rPr>
                <w:sz w:val="24"/>
              </w:rPr>
              <w:t xml:space="preserve">_</w:t>
            </w:r>
            <w:r>
              <w:rPr>
                <w:sz w:val="24"/>
                <w:lang w:bidi="ar"/>
              </w:rPr>
              <w:t xml:space="preserve">日</w:t>
            </w:r>
            <w:r>
              <w:rPr>
                <w:sz w:val="24"/>
              </w:rPr>
              <w:t xml:space="preserve">__</w:t>
            </w:r>
            <w:r>
              <w:rPr>
                <w:rFonts w:hint="eastAsia"/>
                <w:sz w:val="24"/>
                <w:u w:val="single"/>
                <w:lang w:val="en-US" w:eastAsia="zh-CN"/>
              </w:rPr>
              <w:t xml:space="preserve">/</w:t>
            </w:r>
            <w:r>
              <w:rPr>
                <w:sz w:val="24"/>
              </w:rPr>
              <w:t xml:space="preserve">_</w:t>
            </w:r>
            <w:r>
              <w:rPr>
                <w:sz w:val="24"/>
                <w:lang w:bidi="ar"/>
              </w:rPr>
              <w:t xml:space="preserve">点</w:t>
            </w:r>
            <w:r>
              <w:rPr>
                <w:sz w:val="24"/>
              </w:rPr>
              <w:t xml:space="preserve">_</w:t>
            </w:r>
            <w:r>
              <w:rPr>
                <w:rFonts w:hint="eastAsia"/>
                <w:sz w:val="24"/>
                <w:u w:val="single"/>
                <w:lang w:val="en-US" w:eastAsia="zh-CN"/>
              </w:rPr>
              <w:t xml:space="preserve">/</w:t>
            </w:r>
            <w:r>
              <w:rPr>
                <w:sz w:val="24"/>
              </w:rPr>
              <w:t xml:space="preserve">__</w:t>
            </w:r>
            <w:r>
              <w:rPr>
                <w:sz w:val="24"/>
                <w:lang w:bidi="ar"/>
              </w:rPr>
              <w:t xml:space="preserve">分</w:t>
            </w:r>
            <w:r>
              <w:rPr>
                <w:sz w:val="24"/>
              </w:rPr>
            </w:r>
            <w:r/>
          </w:p>
          <w:p>
            <w:pPr>
              <w:pStyle w:val="1263"/>
              <w:jc w:val="left"/>
              <w:rPr>
                <w:sz w:val="24"/>
              </w:rPr>
            </w:pPr>
            <w:r>
              <w:rPr>
                <w:sz w:val="24"/>
              </w:rPr>
              <w:t xml:space="preserve">召开地点：____</w:t>
            </w:r>
            <w:r>
              <w:rPr>
                <w:rFonts w:hint="eastAsia"/>
                <w:sz w:val="24"/>
                <w:u w:val="single"/>
                <w:lang w:val="en-US" w:eastAsia="zh-CN"/>
              </w:rPr>
              <w:t xml:space="preserve">/</w:t>
            </w:r>
            <w:r>
              <w:rPr>
                <w:sz w:val="24"/>
              </w:rPr>
              <w:t xml:space="preserve">_______</w:t>
            </w:r>
            <w:r>
              <w:rPr>
                <w:rFonts w:hint="eastAsia"/>
                <w:sz w:val="24"/>
              </w:rPr>
              <w:t xml:space="preserve">。</w:t>
            </w:r>
            <w:r>
              <w:rPr>
                <w:sz w:val="24"/>
              </w:rPr>
            </w:r>
            <w:r/>
          </w:p>
        </w:tc>
      </w:tr>
      <w:tr>
        <w:trPr>
          <w:trHeight w:val="1535"/>
        </w:trPr>
        <w:tc>
          <w:tcPr>
            <w:tcW w:w="988" w:type="dxa"/>
            <w:vAlign w:val="center"/>
            <w:textDirection w:val="lrTb"/>
            <w:noWrap w:val="false"/>
          </w:tcPr>
          <w:p>
            <w:pPr>
              <w:pStyle w:val="1302"/>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263"/>
              <w:jc w:val="center"/>
              <w:rPr>
                <w:sz w:val="24"/>
              </w:rPr>
            </w:pPr>
            <w:r>
              <w:rPr>
                <w:sz w:val="24"/>
              </w:rPr>
              <w:t xml:space="preserve">标的所属行业</w:t>
            </w:r>
            <w:r>
              <w:rPr>
                <w:sz w:val="24"/>
              </w:rPr>
            </w:r>
            <w:r/>
          </w:p>
        </w:tc>
        <w:tc>
          <w:tcPr>
            <w:tcW w:w="7253" w:type="dxa"/>
            <w:vAlign w:val="center"/>
            <w:textDirection w:val="lrTb"/>
            <w:noWrap w:val="false"/>
          </w:tcPr>
          <w:p>
            <w:pPr>
              <w:pStyle w:val="1263"/>
              <w:jc w:val="left"/>
              <w:rPr>
                <w:sz w:val="24"/>
              </w:rPr>
            </w:pPr>
            <w:r>
              <w:rPr>
                <w:sz w:val="24"/>
              </w:rPr>
              <w:t xml:space="preserve">本项目</w:t>
            </w:r>
            <w:r>
              <w:rPr>
                <w:rFonts w:hint="eastAsia" w:ascii="宋体" w:hAnsi="宋体" w:cs="宋体"/>
                <w:sz w:val="24"/>
                <w:szCs w:val="24"/>
              </w:rPr>
              <w:t xml:space="preserve">属</w:t>
            </w:r>
            <w:r>
              <w:rPr>
                <w:rFonts w:hint="eastAsia" w:ascii="宋体" w:hAnsi="宋体" w:cs="宋体"/>
                <w:sz w:val="24"/>
                <w:szCs w:val="24"/>
                <w:highlight w:val="none"/>
              </w:rPr>
              <w:t xml:space="preserve">于</w:t>
            </w:r>
            <w:r>
              <w:rPr>
                <w:rFonts w:hint="eastAsia" w:ascii="宋体" w:hAnsi="宋体" w:cs="宋体"/>
                <w:sz w:val="24"/>
                <w:szCs w:val="24"/>
                <w:highlight w:val="none"/>
                <w:u w:val="single"/>
                <w:lang w:val="en-US" w:eastAsia="zh-CN"/>
              </w:rPr>
              <w:t xml:space="preserve">工程</w:t>
            </w:r>
            <w:r>
              <w:rPr>
                <w:rFonts w:hint="eastAsia" w:ascii="宋体" w:hAnsi="宋体" w:cs="宋体"/>
                <w:sz w:val="24"/>
                <w:szCs w:val="24"/>
                <w:highlight w:val="none"/>
                <w:u w:val="single"/>
              </w:rPr>
              <w:t xml:space="preserve">类</w:t>
            </w:r>
            <w:r>
              <w:rPr>
                <w:rFonts w:hint="eastAsia" w:ascii="宋体" w:hAnsi="宋体" w:cs="宋体"/>
                <w:sz w:val="24"/>
                <w:szCs w:val="24"/>
                <w:highlight w:val="none"/>
                <w:u w:val="single"/>
                <w:lang w:eastAsia="zh-CN"/>
              </w:rPr>
              <w:t xml:space="preserve">，</w:t>
            </w:r>
            <w:r>
              <w:rPr>
                <w:sz w:val="24"/>
                <w:highlight w:val="none"/>
              </w:rPr>
              <w:t xml:space="preserve">采购标的对应的中小企业划分标准所属行业：</w:t>
            </w:r>
            <w:r>
              <w:rPr>
                <w:rFonts w:hint="eastAsia"/>
                <w:sz w:val="24"/>
                <w:highlight w:val="none"/>
                <w:u w:val="single"/>
                <w:lang w:val="en-US" w:eastAsia="zh-CN"/>
              </w:rPr>
              <w:t xml:space="preserve">建筑业，</w:t>
            </w:r>
            <w:r>
              <w:rPr>
                <w:rFonts w:ascii="Times New Roman" w:hAnsi="Times New Roman" w:eastAsia="宋体" w:cs="Times New Roman"/>
                <w:spacing w:val="0"/>
                <w:sz w:val="24"/>
                <w:highlight w:val="none"/>
              </w:rPr>
              <w:t xml:space="preserve">工信部联企业〔2011〕300号</w:t>
            </w:r>
            <w:r>
              <w:rPr>
                <w:rFonts w:hint="eastAsia" w:ascii="Times New Roman" w:hAnsi="Times New Roman" w:eastAsia="宋体" w:cs="Times New Roman"/>
                <w:spacing w:val="0"/>
                <w:sz w:val="24"/>
                <w:highlight w:val="none"/>
                <w:lang w:val="en-US" w:eastAsia="zh-CN"/>
              </w:rPr>
              <w:t xml:space="preserve">关于建筑业中小企业划型标准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24"/>
              </w:rPr>
            </w:r>
            <w:r/>
          </w:p>
        </w:tc>
      </w:tr>
      <w:tr>
        <w:trPr>
          <w:trHeight w:val="890"/>
        </w:trPr>
        <w:tc>
          <w:tcPr>
            <w:tcW w:w="988" w:type="dxa"/>
            <w:vAlign w:val="center"/>
            <w:textDirection w:val="lrTb"/>
            <w:noWrap w:val="false"/>
          </w:tcPr>
          <w:p>
            <w:pPr>
              <w:pStyle w:val="1302"/>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263"/>
              <w:jc w:val="center"/>
              <w:rPr>
                <w:sz w:val="24"/>
              </w:rPr>
            </w:pPr>
            <w:r>
              <w:rPr>
                <w:sz w:val="24"/>
              </w:rPr>
              <w:t xml:space="preserve">报价</w:t>
            </w:r>
            <w:r>
              <w:rPr>
                <w:sz w:val="24"/>
              </w:rPr>
            </w:r>
            <w:r/>
          </w:p>
        </w:tc>
        <w:tc>
          <w:tcPr>
            <w:tcW w:w="7253" w:type="dxa"/>
            <w:vAlign w:val="center"/>
            <w:textDirection w:val="lrTb"/>
            <w:noWrap w:val="false"/>
          </w:tcPr>
          <w:p>
            <w:pPr>
              <w:pStyle w:val="1263"/>
              <w:jc w:val="left"/>
              <w:rPr>
                <w:sz w:val="24"/>
              </w:rPr>
            </w:pPr>
            <w:r>
              <w:rPr>
                <w:sz w:val="24"/>
              </w:rPr>
              <w:t xml:space="preserve">报价的特殊规定：</w:t>
            </w:r>
            <w:r>
              <w:rPr>
                <w:sz w:val="24"/>
              </w:rPr>
            </w:r>
            <w:r/>
          </w:p>
          <w:p>
            <w:pPr>
              <w:pStyle w:val="1263"/>
              <w:jc w:val="left"/>
              <w:rPr>
                <w:sz w:val="24"/>
              </w:rPr>
            </w:pPr>
            <w:r>
              <w:t xml:space="preserve">□</w:t>
            </w:r>
            <w:r>
              <w:rPr>
                <w:sz w:val="24"/>
              </w:rPr>
              <w:t xml:space="preserve">无</w:t>
            </w:r>
            <w:r>
              <w:rPr>
                <w:sz w:val="24"/>
              </w:rPr>
            </w:r>
            <w:r/>
          </w:p>
          <w:p>
            <w:pPr>
              <w:pStyle w:val="1263"/>
              <w:jc w:val="left"/>
              <w:rPr>
                <w:sz w:val="24"/>
                <w:szCs w:val="24"/>
                <w:highlight w:val="none"/>
              </w:rPr>
            </w:pPr>
            <w:r>
              <w:rPr>
                <w:b/>
                <w:color w:val="000000"/>
                <w:sz w:val="24"/>
              </w:rPr>
              <w:t xml:space="preserve">■</w:t>
            </w:r>
            <w:r>
              <w:rPr>
                <w:sz w:val="24"/>
              </w:rPr>
              <w:t xml:space="preserve">有，具体情形：</w:t>
            </w:r>
            <w:r>
              <w:rPr>
                <w:rFonts w:hint="eastAsia"/>
                <w:sz w:val="24"/>
                <w:u w:val="single"/>
                <w:lang w:val="en-US" w:eastAsia="zh-CN"/>
              </w:rPr>
              <w:t xml:space="preserve">二轮报价</w:t>
            </w:r>
            <w:r>
              <w:rPr>
                <w:sz w:val="24"/>
              </w:rPr>
              <w:t xml:space="preserve">。</w:t>
            </w:r>
            <w:r>
              <w:rPr>
                <w:sz w:val="24"/>
              </w:rPr>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由于系统固定模板，</w:t>
            </w:r>
            <w:r>
              <w:rPr>
                <w:rFonts w:ascii="Times New Roman" w:hAnsi="Times New Roman" w:eastAsia="Times New Roman" w:cs="Times New Roman"/>
                <w:b/>
                <w:color w:val="000000"/>
                <w:sz w:val="24"/>
              </w:rPr>
              <w:t xml:space="preserve">CAD</w:t>
            </w:r>
            <w:r>
              <w:rPr>
                <w:rFonts w:ascii="SimSun" w:hAnsi="SimSun" w:eastAsia="SimSun" w:cs="SimSun"/>
                <w:b/>
                <w:color w:val="000000"/>
                <w:sz w:val="24"/>
              </w:rPr>
              <w:t xml:space="preserve">版图纸无法上传，编制投标文件时如有需要，可通过以下方式获取：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①登录百度网盘自行获取：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w:t>
            </w:r>
            <w:r>
              <w:rPr>
                <w:rFonts w:ascii="Times New Roman" w:hAnsi="Times New Roman" w:eastAsia="Times New Roman" w:cs="Times New Roman"/>
                <w:b/>
                <w:color w:val="000000"/>
                <w:sz w:val="24"/>
              </w:rPr>
              <w:t xml:space="preserve">: https://pan.baidu.com/s/1pudJmwy03yolKs8gi9tTXw?pwd=m3hs  </w:t>
            </w:r>
            <w:r>
              <w:rPr>
                <w:rFonts w:ascii="SimSun" w:hAnsi="SimSun" w:eastAsia="SimSun" w:cs="SimSun"/>
                <w:b/>
                <w:color w:val="000000"/>
                <w:sz w:val="24"/>
              </w:rPr>
              <w:t xml:space="preserve">提取码</w:t>
            </w:r>
            <w:r>
              <w:rPr>
                <w:rFonts w:ascii="Times New Roman" w:hAnsi="Times New Roman" w:eastAsia="Times New Roman" w:cs="Times New Roman"/>
                <w:b/>
                <w:color w:val="000000"/>
                <w:sz w:val="24"/>
              </w:rPr>
              <w:t xml:space="preserve">: m3hs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②通过电子邮件获取：</w:t>
            </w:r>
            <w:r/>
          </w:p>
          <w:p>
            <w:pPr>
              <w:jc w:val="left"/>
              <w:rPr>
                <w:sz w:val="24"/>
                <w:szCs w:val="24"/>
              </w:rPr>
            </w:pPr>
            <w:r>
              <w:rPr>
                <w:rFonts w:ascii="SimSun" w:hAnsi="SimSun" w:eastAsia="SimSun" w:cs="SimSun"/>
                <w:b/>
                <w:color w:val="000000"/>
                <w:sz w:val="24"/>
              </w:rPr>
              <w:t xml:space="preserve">在投标截止时间前发送邮件“项目名称</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图纸</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获取图纸邮箱”至</w:t>
            </w:r>
            <w:r>
              <w:rPr>
                <w:rFonts w:ascii="Times New Roman" w:hAnsi="Times New Roman" w:eastAsia="Times New Roman" w:cs="Times New Roman"/>
                <w:b/>
                <w:color w:val="000000"/>
                <w:sz w:val="24"/>
              </w:rPr>
              <w:t xml:space="preserve">645245856@qq.com</w:t>
            </w:r>
            <w:r>
              <w:rPr>
                <w:rFonts w:ascii="SimSun" w:hAnsi="SimSun" w:eastAsia="SimSun" w:cs="SimSun"/>
                <w:b/>
                <w:color w:val="000000"/>
                <w:sz w:val="24"/>
              </w:rPr>
              <w:t xml:space="preserve">，但邮件不得提及供应商相关信息。</w:t>
            </w:r>
            <w:r/>
            <w:r>
              <w:rPr>
                <w:sz w:val="24"/>
                <w:highlight w:val="none"/>
              </w:rPr>
            </w:r>
            <w:r>
              <w:rPr>
                <w:sz w:val="24"/>
                <w:highlight w:val="none"/>
              </w:rPr>
            </w:r>
          </w:p>
        </w:tc>
      </w:tr>
      <w:tr>
        <w:trPr>
          <w:trHeight w:val="20"/>
        </w:trPr>
        <w:tc>
          <w:tcPr>
            <w:tcW w:w="988" w:type="dxa"/>
            <w:vAlign w:val="center"/>
            <w:textDirection w:val="lrTb"/>
            <w:noWrap w:val="false"/>
          </w:tcPr>
          <w:p>
            <w:pPr>
              <w:pStyle w:val="1302"/>
              <w:jc w:val="center"/>
              <w:rPr>
                <w:rFonts w:ascii="Times New Roman" w:hAnsi="Times New Roman" w:eastAsia="宋体"/>
                <w:sz w:val="24"/>
                <w:szCs w:val="24"/>
                <w:lang w:val="en-US" w:eastAsia="zh-CN"/>
              </w:rPr>
            </w:pPr>
            <w:r>
              <w:rPr>
                <w:rFonts w:ascii="Times New Roman" w:hAnsi="Times New Roman"/>
                <w:sz w:val="24"/>
                <w:szCs w:val="24"/>
              </w:rPr>
              <w:t xml:space="preserve">11.1</w:t>
            </w:r>
            <w:r>
              <w:rPr>
                <w:rFonts w:hint="eastAsia" w:ascii="Times New Roman" w:hAnsi="Times New Roman"/>
                <w:sz w:val="24"/>
                <w:szCs w:val="24"/>
                <w:lang w:val="en-US" w:eastAsia="zh-CN"/>
              </w:rPr>
              <w:t xml:space="preserve">.1</w:t>
            </w:r>
            <w:r>
              <w:rPr>
                <w:rFonts w:ascii="Times New Roman" w:hAnsi="Times New Roman" w:eastAsia="宋体"/>
                <w:sz w:val="24"/>
                <w:szCs w:val="24"/>
                <w:lang w:val="en-US" w:eastAsia="zh-CN"/>
              </w:rPr>
            </w:r>
            <w:r/>
          </w:p>
        </w:tc>
        <w:tc>
          <w:tcPr>
            <w:tcW w:w="1701" w:type="dxa"/>
            <w:vAlign w:val="center"/>
            <w:textDirection w:val="lrTb"/>
            <w:noWrap w:val="false"/>
          </w:tcPr>
          <w:p>
            <w:pPr>
              <w:pStyle w:val="1263"/>
              <w:jc w:val="center"/>
              <w:rPr>
                <w:sz w:val="24"/>
              </w:rPr>
            </w:pPr>
            <w:r>
              <w:rPr>
                <w:sz w:val="24"/>
              </w:rPr>
              <w:t xml:space="preserve">磋商保证金</w:t>
            </w:r>
            <w:r>
              <w:rPr>
                <w:sz w:val="24"/>
              </w:rPr>
            </w:r>
            <w:r/>
          </w:p>
        </w:tc>
        <w:tc>
          <w:tcPr>
            <w:tcW w:w="7253" w:type="dxa"/>
            <w:vAlign w:val="center"/>
            <w:textDirection w:val="lrTb"/>
            <w:noWrap w:val="false"/>
          </w:tcPr>
          <w:p>
            <w:pPr>
              <w:pStyle w:val="1263"/>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302"/>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11.1.2</w:t>
            </w:r>
            <w:r>
              <w:rPr>
                <w:rFonts w:ascii="Times New Roman" w:hAnsi="Times New Roman" w:eastAsia="宋体"/>
                <w:sz w:val="24"/>
                <w:szCs w:val="24"/>
                <w:lang w:val="en-US" w:eastAsia="zh-CN"/>
              </w:rPr>
            </w:r>
            <w:r/>
          </w:p>
        </w:tc>
        <w:tc>
          <w:tcPr>
            <w:tcW w:w="1701" w:type="dxa"/>
            <w:vAlign w:val="center"/>
            <w:textDirection w:val="lrTb"/>
            <w:noWrap w:val="false"/>
          </w:tcPr>
          <w:p>
            <w:pPr>
              <w:pStyle w:val="1263"/>
              <w:jc w:val="center"/>
              <w:rPr>
                <w:rFonts w:eastAsia="宋体"/>
                <w:sz w:val="24"/>
                <w:szCs w:val="24"/>
                <w:highlight w:val="none"/>
                <w:lang w:val="en-US" w:eastAsia="zh-CN" w:bidi="ar-SA"/>
              </w:rPr>
            </w:pPr>
            <w:r>
              <w:rPr>
                <w:rFonts w:hint="eastAsia"/>
                <w:sz w:val="24"/>
                <w:highlight w:val="none"/>
                <w:lang w:val="en-US" w:eastAsia="zh-CN"/>
              </w:rPr>
              <w:t xml:space="preserve">履约保证金</w:t>
            </w:r>
            <w:r>
              <w:rPr>
                <w:rFonts w:eastAsia="宋体"/>
                <w:sz w:val="24"/>
                <w:szCs w:val="24"/>
                <w:highlight w:val="none"/>
                <w:lang w:val="en-US" w:eastAsia="zh-CN" w:bidi="ar-SA"/>
              </w:rPr>
            </w:r>
            <w:r/>
          </w:p>
        </w:tc>
        <w:tc>
          <w:tcPr>
            <w:tcW w:w="7253" w:type="dxa"/>
            <w:vAlign w:val="center"/>
            <w:textDirection w:val="lrTb"/>
            <w:noWrap w:val="false"/>
          </w:tcPr>
          <w:p>
            <w:pPr>
              <w:pStyle w:val="1263"/>
              <w:jc w:val="left"/>
              <w:rPr>
                <w:rFonts w:hint="eastAsia"/>
                <w:sz w:val="24"/>
                <w:szCs w:val="24"/>
                <w:highlight w:val="none"/>
                <w:lang w:val="en-US" w:eastAsia="zh-CN" w:bidi="ar-SA"/>
              </w:rPr>
            </w:pPr>
            <w:r>
              <w:rPr>
                <w:rFonts w:hint="eastAsia" w:ascii="Calibri" w:hAnsi="Calibri" w:eastAsia="宋体" w:cs="Calibri"/>
                <w:sz w:val="24"/>
                <w:highlight w:val="none"/>
                <w:lang w:val="en-US" w:eastAsia="zh-CN"/>
              </w:rPr>
              <w:t xml:space="preserve">/</w:t>
            </w:r>
            <w:r>
              <w:rPr>
                <w:rFonts w:hint="eastAsia"/>
                <w:sz w:val="24"/>
                <w:szCs w:val="24"/>
                <w:highlight w:val="none"/>
                <w:lang w:val="en-US" w:eastAsia="zh-CN" w:bidi="ar-SA"/>
              </w:rPr>
            </w:r>
            <w:r/>
          </w:p>
        </w:tc>
      </w:tr>
      <w:tr>
        <w:trPr>
          <w:trHeight w:val="20"/>
        </w:trPr>
        <w:tc>
          <w:tcPr>
            <w:tcW w:w="988" w:type="dxa"/>
            <w:vAlign w:val="center"/>
            <w:textDirection w:val="lrTb"/>
            <w:noWrap w:val="false"/>
          </w:tcPr>
          <w:p>
            <w:pPr>
              <w:pStyle w:val="1302"/>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263"/>
              <w:jc w:val="center"/>
              <w:rPr>
                <w:sz w:val="24"/>
              </w:rPr>
            </w:pPr>
            <w:r>
              <w:rPr>
                <w:sz w:val="24"/>
              </w:rPr>
              <w:t xml:space="preserve">响应有效期</w:t>
            </w:r>
            <w:r>
              <w:rPr>
                <w:sz w:val="24"/>
              </w:rPr>
            </w:r>
            <w:r/>
          </w:p>
        </w:tc>
        <w:tc>
          <w:tcPr>
            <w:tcW w:w="7253" w:type="dxa"/>
            <w:vAlign w:val="center"/>
            <w:textDirection w:val="lrTb"/>
            <w:noWrap w:val="false"/>
          </w:tcPr>
          <w:p>
            <w:pPr>
              <w:pStyle w:val="1263"/>
              <w:jc w:val="left"/>
              <w:rPr>
                <w:sz w:val="24"/>
              </w:rPr>
            </w:pPr>
            <w:r>
              <w:rPr>
                <w:sz w:val="24"/>
              </w:rPr>
              <w:t xml:space="preserve">自提交响应文件的截止之日起算</w:t>
            </w:r>
            <w:r>
              <w:rPr>
                <w:rFonts w:hint="eastAsia"/>
                <w:sz w:val="24"/>
                <w:u w:val="single"/>
                <w:lang w:val="en-US" w:eastAsia="zh-CN"/>
              </w:rPr>
              <w:t xml:space="preserve">  60  </w:t>
            </w:r>
            <w:r>
              <w:rPr>
                <w:sz w:val="24"/>
              </w:rPr>
              <w:t xml:space="preserve">日历天。</w:t>
            </w:r>
            <w:r>
              <w:rPr>
                <w:sz w:val="24"/>
              </w:rPr>
            </w:r>
            <w:r/>
          </w:p>
        </w:tc>
      </w:tr>
      <w:tr>
        <w:trPr>
          <w:trHeight w:val="20"/>
        </w:trPr>
        <w:tc>
          <w:tcPr>
            <w:tcW w:w="988" w:type="dxa"/>
            <w:vAlign w:val="center"/>
            <w:textDirection w:val="lrTb"/>
            <w:noWrap w:val="false"/>
          </w:tcPr>
          <w:p>
            <w:pPr>
              <w:pStyle w:val="1302"/>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263"/>
              <w:jc w:val="center"/>
              <w:rPr>
                <w:sz w:val="24"/>
              </w:rPr>
            </w:pPr>
            <w:r>
              <w:rPr>
                <w:sz w:val="24"/>
              </w:rPr>
              <w:t xml:space="preserve">分包</w:t>
            </w:r>
            <w:r>
              <w:rPr>
                <w:sz w:val="24"/>
              </w:rPr>
            </w:r>
            <w:r/>
          </w:p>
        </w:tc>
        <w:tc>
          <w:tcPr>
            <w:tcW w:w="7253" w:type="dxa"/>
            <w:vAlign w:val="center"/>
            <w:textDirection w:val="lrTb"/>
            <w:noWrap w:val="false"/>
          </w:tcPr>
          <w:p>
            <w:pPr>
              <w:pStyle w:val="1263"/>
              <w:jc w:val="left"/>
              <w:rPr>
                <w:sz w:val="24"/>
              </w:rPr>
            </w:pPr>
            <w:r>
              <w:rPr>
                <w:sz w:val="24"/>
              </w:rPr>
              <w:t xml:space="preserve">本项目是否允许分包： </w:t>
            </w:r>
            <w:r>
              <w:rPr>
                <w:sz w:val="24"/>
              </w:rPr>
            </w:r>
            <w:r/>
          </w:p>
          <w:p>
            <w:pPr>
              <w:pStyle w:val="1263"/>
              <w:jc w:val="left"/>
              <w:rPr>
                <w:sz w:val="24"/>
              </w:rPr>
            </w:pPr>
            <w:r>
              <w:rPr>
                <w:b/>
                <w:color w:val="000000"/>
                <w:sz w:val="24"/>
              </w:rPr>
              <w:t xml:space="preserve">■</w:t>
            </w:r>
            <w:r>
              <w:rPr>
                <w:sz w:val="24"/>
              </w:rPr>
              <w:t xml:space="preserve">不允许</w:t>
            </w:r>
            <w:r>
              <w:rPr>
                <w:sz w:val="24"/>
              </w:rPr>
            </w:r>
            <w:r/>
          </w:p>
          <w:p>
            <w:pPr>
              <w:pStyle w:val="1263"/>
              <w:jc w:val="left"/>
              <w:rPr>
                <w:sz w:val="24"/>
              </w:rPr>
            </w:pPr>
            <w:r>
              <w:t xml:space="preserve">□</w:t>
            </w:r>
            <w:r>
              <w:rPr>
                <w:sz w:val="24"/>
              </w:rPr>
              <w:t xml:space="preserve">允许，具体要求：____</w:t>
            </w:r>
            <w:r>
              <w:rPr>
                <w:rFonts w:hint="eastAsia"/>
                <w:sz w:val="24"/>
                <w:u w:val="single"/>
                <w:lang w:val="en-US" w:eastAsia="zh-CN"/>
              </w:rPr>
              <w:t xml:space="preserve">/</w:t>
            </w:r>
            <w:r>
              <w:rPr>
                <w:sz w:val="24"/>
              </w:rPr>
              <w:t xml:space="preserve">___。</w:t>
            </w:r>
            <w:r>
              <w:rPr>
                <w:sz w:val="24"/>
              </w:rPr>
            </w:r>
            <w:r/>
          </w:p>
          <w:p>
            <w:pPr>
              <w:pStyle w:val="1263"/>
              <w:jc w:val="left"/>
              <w:rPr>
                <w:sz w:val="24"/>
              </w:rPr>
            </w:pPr>
            <w:r>
              <w:rPr>
                <w:sz w:val="24"/>
              </w:rPr>
              <w:t xml:space="preserve">（1）可以分包履行的具体内容：___</w:t>
            </w:r>
            <w:r>
              <w:rPr>
                <w:rFonts w:hint="eastAsia"/>
                <w:sz w:val="24"/>
                <w:u w:val="single"/>
                <w:lang w:val="en-US" w:eastAsia="zh-CN"/>
              </w:rPr>
              <w:t xml:space="preserve">/</w:t>
            </w:r>
            <w:r>
              <w:rPr>
                <w:sz w:val="24"/>
              </w:rPr>
              <w:t xml:space="preserve">____；</w:t>
            </w:r>
            <w:r>
              <w:rPr>
                <w:sz w:val="24"/>
              </w:rPr>
            </w:r>
            <w:r/>
          </w:p>
          <w:p>
            <w:pPr>
              <w:pStyle w:val="1263"/>
              <w:jc w:val="left"/>
              <w:rPr>
                <w:sz w:val="24"/>
              </w:rPr>
            </w:pPr>
            <w:r>
              <w:rPr>
                <w:sz w:val="24"/>
              </w:rPr>
              <w:t xml:space="preserve">（2）允许分包的金额或者比例：____</w:t>
            </w:r>
            <w:r>
              <w:rPr>
                <w:rFonts w:hint="eastAsia"/>
                <w:sz w:val="24"/>
                <w:u w:val="single"/>
                <w:lang w:val="en-US" w:eastAsia="zh-CN"/>
              </w:rPr>
              <w:t xml:space="preserve">/</w:t>
            </w:r>
            <w:r>
              <w:rPr>
                <w:sz w:val="24"/>
              </w:rPr>
              <w:t xml:space="preserve">___；</w:t>
            </w:r>
            <w:r>
              <w:rPr>
                <w:sz w:val="24"/>
              </w:rPr>
            </w:r>
            <w:r/>
          </w:p>
          <w:p>
            <w:pPr>
              <w:pStyle w:val="1263"/>
              <w:jc w:val="left"/>
              <w:rPr>
                <w:sz w:val="24"/>
                <w:u w:val="single"/>
              </w:rPr>
            </w:pPr>
            <w:r>
              <w:rPr>
                <w:sz w:val="24"/>
              </w:rPr>
              <w:t xml:space="preserve">（3）其他要求：____</w:t>
            </w:r>
            <w:r>
              <w:rPr>
                <w:rFonts w:hint="eastAsia"/>
                <w:sz w:val="24"/>
                <w:u w:val="single"/>
                <w:lang w:val="en-US" w:eastAsia="zh-CN"/>
              </w:rPr>
              <w:t xml:space="preserve">/</w:t>
            </w:r>
            <w:r>
              <w:rPr>
                <w:sz w:val="24"/>
              </w:rPr>
              <w:t xml:space="preserve">___。</w:t>
            </w:r>
            <w:r>
              <w:rPr>
                <w:sz w:val="24"/>
                <w:u w:val="single"/>
              </w:rPr>
            </w:r>
            <w:r/>
          </w:p>
        </w:tc>
      </w:tr>
      <w:tr>
        <w:trPr>
          <w:trHeight w:val="20"/>
        </w:trPr>
        <w:tc>
          <w:tcPr>
            <w:tcW w:w="988" w:type="dxa"/>
            <w:vAlign w:val="center"/>
            <w:textDirection w:val="lrTb"/>
            <w:noWrap w:val="false"/>
          </w:tcPr>
          <w:p>
            <w:pPr>
              <w:pStyle w:val="1302"/>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1263"/>
              <w:jc w:val="center"/>
              <w:rPr>
                <w:sz w:val="24"/>
              </w:rPr>
            </w:pPr>
            <w:r>
              <w:rPr>
                <w:sz w:val="24"/>
              </w:rPr>
              <w:t xml:space="preserve">询问</w:t>
            </w:r>
            <w:r>
              <w:rPr>
                <w:sz w:val="24"/>
              </w:rPr>
            </w:r>
            <w:r/>
          </w:p>
        </w:tc>
        <w:tc>
          <w:tcPr>
            <w:tcW w:w="7253" w:type="dxa"/>
            <w:vAlign w:val="center"/>
            <w:textDirection w:val="lrTb"/>
            <w:noWrap w:val="false"/>
          </w:tcPr>
          <w:p>
            <w:pPr>
              <w:pStyle w:val="1263"/>
              <w:jc w:val="left"/>
              <w:rPr>
                <w:sz w:val="24"/>
              </w:rPr>
            </w:pPr>
            <w:r>
              <w:rPr>
                <w:sz w:val="24"/>
              </w:rPr>
              <w:t xml:space="preserve">询问送达形式：</w:t>
            </w:r>
            <w:r>
              <w:rPr>
                <w:rFonts w:hint="eastAsia" w:ascii="宋体" w:hAnsi="宋体" w:eastAsia="宋体" w:cs="宋体"/>
                <w:sz w:val="24"/>
                <w:szCs w:val="24"/>
                <w:highlight w:val="none"/>
                <w:lang w:val="en-US" w:eastAsia="zh-CN"/>
              </w:rPr>
              <w:t xml:space="preserve">于2026年11月9日9：30前以书面形式递交至江苏苏南项目管理有限公司</w:t>
            </w:r>
            <w:r>
              <w:rPr>
                <w:sz w:val="24"/>
              </w:rPr>
            </w:r>
            <w:r/>
          </w:p>
        </w:tc>
      </w:tr>
      <w:tr>
        <w:trPr>
          <w:trHeight w:val="20"/>
        </w:trPr>
        <w:tc>
          <w:tcPr>
            <w:tcW w:w="988" w:type="dxa"/>
            <w:vAlign w:val="center"/>
            <w:textDirection w:val="lrTb"/>
            <w:noWrap w:val="false"/>
          </w:tcPr>
          <w:p>
            <w:pPr>
              <w:pStyle w:val="1302"/>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263"/>
              <w:jc w:val="center"/>
              <w:rPr>
                <w:sz w:val="24"/>
              </w:rPr>
            </w:pPr>
            <w:r>
              <w:rPr>
                <w:sz w:val="24"/>
              </w:rPr>
              <w:t xml:space="preserve">联系方式</w:t>
            </w:r>
            <w:r>
              <w:rPr>
                <w:sz w:val="24"/>
              </w:rPr>
            </w:r>
            <w:r/>
          </w:p>
        </w:tc>
        <w:tc>
          <w:tcPr>
            <w:tcW w:w="7253" w:type="dxa"/>
            <w:vAlign w:val="center"/>
            <w:textDirection w:val="lrTb"/>
            <w:noWrap w:val="false"/>
          </w:tcPr>
          <w:p>
            <w:pPr>
              <w:pStyle w:val="1263"/>
              <w:jc w:val="left"/>
              <w:rPr>
                <w:sz w:val="24"/>
              </w:rPr>
            </w:pPr>
            <w:r>
              <w:rPr>
                <w:sz w:val="24"/>
              </w:rPr>
              <w:t xml:space="preserve">接收询问和质疑的联系方式</w:t>
            </w:r>
            <w:r>
              <w:rPr>
                <w:sz w:val="24"/>
              </w:rPr>
            </w:r>
            <w:r/>
          </w:p>
          <w:p>
            <w:pPr>
              <w:pStyle w:val="1263"/>
              <w:jc w:val="left"/>
              <w:rPr>
                <w:sz w:val="24"/>
              </w:rPr>
            </w:pPr>
            <w:r>
              <w:rPr>
                <w:sz w:val="24"/>
              </w:rPr>
              <w:t xml:space="preserve">联系部门：</w:t>
            </w:r>
            <w:r>
              <w:rPr>
                <w:rFonts w:hint="eastAsia"/>
                <w:sz w:val="24"/>
                <w:u w:val="single"/>
                <w:lang w:val="en-US" w:eastAsia="zh-CN"/>
              </w:rPr>
              <w:t xml:space="preserve">江苏苏南项目管理有限公司</w:t>
            </w:r>
            <w:r>
              <w:rPr>
                <w:sz w:val="24"/>
              </w:rPr>
              <w:t xml:space="preserve">；</w:t>
            </w:r>
            <w:r>
              <w:rPr>
                <w:sz w:val="24"/>
              </w:rPr>
            </w:r>
            <w:r/>
          </w:p>
          <w:p>
            <w:pPr>
              <w:pStyle w:val="1263"/>
              <w:jc w:val="left"/>
              <w:rPr>
                <w:sz w:val="24"/>
              </w:rPr>
            </w:pPr>
            <w:r>
              <w:rPr>
                <w:sz w:val="24"/>
              </w:rPr>
              <w:t xml:space="preserve">联系电话：</w:t>
            </w:r>
            <w:r>
              <w:rPr>
                <w:rFonts w:hint="eastAsia"/>
                <w:sz w:val="24"/>
                <w:u w:val="single"/>
                <w:lang w:val="en-US" w:eastAsia="zh-CN"/>
              </w:rPr>
              <w:t xml:space="preserve">0519-87278789</w:t>
            </w:r>
            <w:r>
              <w:rPr>
                <w:sz w:val="24"/>
              </w:rPr>
              <w:t xml:space="preserve">；</w:t>
            </w:r>
            <w:r>
              <w:rPr>
                <w:sz w:val="24"/>
              </w:rPr>
            </w:r>
            <w:r/>
          </w:p>
          <w:p>
            <w:pPr>
              <w:pStyle w:val="1263"/>
              <w:jc w:val="left"/>
              <w:rPr>
                <w:sz w:val="24"/>
              </w:rPr>
            </w:pPr>
            <w:r>
              <w:rPr>
                <w:sz w:val="24"/>
              </w:rPr>
              <w:t xml:space="preserve">通讯地址：</w:t>
            </w:r>
            <w:r>
              <w:rPr>
                <w:rFonts w:hint="eastAsia"/>
                <w:sz w:val="24"/>
                <w:u w:val="single"/>
                <w:lang w:val="en-US" w:eastAsia="zh-CN"/>
              </w:rPr>
              <w:t xml:space="preserve">溧阳市游子吟大道263号汉宇大厦407室</w:t>
            </w:r>
            <w:r>
              <w:rPr>
                <w:sz w:val="24"/>
              </w:rPr>
              <w:t xml:space="preserve">。</w:t>
            </w:r>
            <w:r>
              <w:rPr>
                <w:sz w:val="24"/>
              </w:rPr>
            </w:r>
            <w:r/>
          </w:p>
        </w:tc>
      </w:tr>
      <w:tr>
        <w:trPr>
          <w:trHeight w:val="20"/>
        </w:trPr>
        <w:tc>
          <w:tcPr>
            <w:tcW w:w="988" w:type="dxa"/>
            <w:vAlign w:val="center"/>
            <w:textDirection w:val="lrTb"/>
            <w:noWrap w:val="false"/>
          </w:tcPr>
          <w:p>
            <w:pPr>
              <w:pStyle w:val="1302"/>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263"/>
              <w:jc w:val="center"/>
              <w:rPr>
                <w:sz w:val="24"/>
              </w:rPr>
            </w:pPr>
            <w:r>
              <w:rPr>
                <w:sz w:val="24"/>
              </w:rPr>
              <w:t xml:space="preserve">代理费</w:t>
            </w:r>
            <w:r>
              <w:rPr>
                <w:sz w:val="24"/>
              </w:rPr>
            </w:r>
            <w:r/>
          </w:p>
        </w:tc>
        <w:tc>
          <w:tcPr>
            <w:tcW w:w="7253" w:type="dxa"/>
            <w:vAlign w:val="center"/>
            <w:textDirection w:val="lrTb"/>
            <w:noWrap w:val="false"/>
          </w:tcPr>
          <w:p>
            <w:pPr>
              <w:pStyle w:val="1263"/>
              <w:jc w:val="left"/>
              <w:rPr>
                <w:sz w:val="24"/>
                <w:highlight w:val="none"/>
              </w:rPr>
            </w:pPr>
            <w:r>
              <w:rPr>
                <w:sz w:val="24"/>
                <w:highlight w:val="none"/>
              </w:rPr>
              <w:t xml:space="preserve">收费对象：</w:t>
            </w:r>
            <w:r>
              <w:rPr>
                <w:sz w:val="24"/>
                <w:highlight w:val="none"/>
              </w:rPr>
            </w:r>
            <w:r/>
          </w:p>
          <w:p>
            <w:pPr>
              <w:pStyle w:val="1263"/>
              <w:jc w:val="left"/>
              <w:rPr>
                <w:sz w:val="24"/>
                <w:highlight w:val="none"/>
              </w:rPr>
            </w:pPr>
            <w:r>
              <w:rPr>
                <w:b/>
                <w:color w:val="000000"/>
                <w:sz w:val="24"/>
                <w:highlight w:val="none"/>
              </w:rPr>
              <w:t xml:space="preserve">■</w:t>
            </w:r>
            <w:r>
              <w:rPr>
                <w:sz w:val="24"/>
                <w:highlight w:val="none"/>
              </w:rPr>
              <w:t xml:space="preserve">采购人</w:t>
            </w:r>
            <w:r>
              <w:rPr>
                <w:sz w:val="24"/>
                <w:highlight w:val="none"/>
              </w:rPr>
            </w:r>
            <w:r/>
          </w:p>
          <w:p>
            <w:pPr>
              <w:pStyle w:val="1263"/>
              <w:jc w:val="left"/>
              <w:rPr>
                <w:sz w:val="24"/>
                <w:highlight w:val="none"/>
              </w:rPr>
            </w:pPr>
            <w:r>
              <w:rPr>
                <w:rFonts w:ascii="Wingdings 2" w:hAnsi="Wingdings 2" w:eastAsia="Wingdings 2" w:cs="Wingdings 2"/>
                <w:sz w:val="24"/>
                <w:highlight w:val="none"/>
              </w:rPr>
              <w:t xml:space="preserve">£</w:t>
            </w:r>
            <w:r>
              <w:rPr>
                <w:sz w:val="24"/>
                <w:highlight w:val="none"/>
              </w:rPr>
              <w:t xml:space="preserve">成交供应商</w:t>
            </w:r>
            <w:r>
              <w:rPr>
                <w:sz w:val="24"/>
                <w:highlight w:val="none"/>
              </w:rPr>
            </w:r>
            <w:r/>
          </w:p>
          <w:p>
            <w:pPr>
              <w:pStyle w:val="1263"/>
              <w:rPr>
                <w:rFonts w:hint="eastAsia" w:ascii="宋体" w:hAnsi="宋体" w:cs="宋体"/>
                <w:b/>
                <w:bCs/>
                <w:sz w:val="24"/>
                <w:highlight w:val="none"/>
              </w:rPr>
            </w:pPr>
            <w:r>
              <w:rPr>
                <w:rFonts w:hint="eastAsia" w:ascii="宋体" w:hAnsi="宋体" w:cs="宋体"/>
                <w:b/>
                <w:bCs/>
                <w:sz w:val="24"/>
                <w:highlight w:val="none"/>
              </w:rPr>
              <w:t xml:space="preserve">招标代理费：</w:t>
            </w:r>
            <w:r>
              <w:rPr>
                <w:rFonts w:hint="eastAsia" w:ascii="宋体" w:hAnsi="宋体" w:eastAsia="宋体" w:cs="宋体"/>
                <w:b/>
                <w:bCs/>
                <w:sz w:val="24"/>
                <w:highlight w:val="none"/>
                <w:lang w:val="en-US" w:eastAsia="zh-CN"/>
              </w:rPr>
              <w:t xml:space="preserve">按上兴两区一镇标准及采购代理协议规定收取</w:t>
            </w:r>
            <w:r>
              <w:rPr>
                <w:rFonts w:hint="eastAsia" w:ascii="宋体" w:hAnsi="宋体" w:eastAsia="宋体" w:cs="宋体"/>
                <w:b/>
                <w:bCs/>
                <w:sz w:val="24"/>
                <w:highlight w:val="none"/>
              </w:rPr>
              <w:t xml:space="preserve">；</w:t>
            </w:r>
            <w:r>
              <w:rPr>
                <w:rFonts w:hint="eastAsia" w:ascii="宋体" w:hAnsi="宋体" w:cs="宋体"/>
                <w:b/>
                <w:bCs/>
                <w:sz w:val="24"/>
                <w:highlight w:val="none"/>
              </w:rPr>
            </w:r>
            <w:r/>
          </w:p>
          <w:p>
            <w:pPr>
              <w:pStyle w:val="1263"/>
              <w:rPr>
                <w:rFonts w:hint="eastAsia" w:ascii="宋体" w:hAnsi="宋体" w:cs="宋体"/>
                <w:sz w:val="24"/>
                <w:highlight w:val="none"/>
              </w:rPr>
            </w:pPr>
            <w:r>
              <w:rPr>
                <w:rFonts w:hint="eastAsia" w:ascii="宋体" w:hAnsi="宋体" w:cs="宋体"/>
                <w:sz w:val="24"/>
                <w:highlight w:val="none"/>
              </w:rPr>
              <w:t xml:space="preserve">缴纳时间：</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应在</w:t>
            </w:r>
            <w:r>
              <w:rPr>
                <w:rFonts w:hint="eastAsia" w:ascii="宋体" w:hAnsi="宋体" w:cs="宋体"/>
                <w:sz w:val="24"/>
                <w:highlight w:val="none"/>
                <w:lang w:val="en-US" w:eastAsia="zh-CN"/>
              </w:rPr>
              <w:t xml:space="preserve">资料归档</w:t>
            </w:r>
            <w:r>
              <w:rPr>
                <w:rFonts w:hint="eastAsia" w:ascii="宋体" w:hAnsi="宋体" w:cs="宋体"/>
                <w:sz w:val="24"/>
                <w:highlight w:val="none"/>
              </w:rPr>
              <w:t xml:space="preserve">时将成交服务费付至采购代理机构的</w:t>
            </w:r>
            <w:r>
              <w:rPr>
                <w:rFonts w:hint="eastAsia" w:ascii="宋体" w:hAnsi="宋体" w:cs="宋体"/>
                <w:sz w:val="24"/>
                <w:highlight w:val="none"/>
                <w:lang w:eastAsia="zh-CN"/>
              </w:rPr>
              <w:t xml:space="preserve">账户</w:t>
            </w:r>
            <w:r>
              <w:rPr>
                <w:rFonts w:hint="eastAsia" w:ascii="宋体" w:hAnsi="宋体" w:cs="宋体"/>
                <w:sz w:val="24"/>
                <w:highlight w:val="none"/>
              </w:rPr>
              <w:t xml:space="preserve">并备注项目编号。</w:t>
            </w:r>
            <w:r>
              <w:rPr>
                <w:rFonts w:hint="eastAsia" w:ascii="宋体" w:hAnsi="宋体" w:cs="宋体"/>
                <w:sz w:val="24"/>
                <w:highlight w:val="none"/>
              </w:rPr>
            </w:r>
            <w:r/>
          </w:p>
          <w:p>
            <w:pPr>
              <w:pStyle w:val="1263"/>
              <w:rPr>
                <w:rFonts w:hint="eastAsia" w:ascii="宋体" w:hAnsi="宋体" w:cs="宋体"/>
                <w:sz w:val="24"/>
                <w:highlight w:val="none"/>
              </w:rPr>
            </w:pPr>
            <w:r>
              <w:rPr>
                <w:rFonts w:hint="eastAsia" w:ascii="宋体" w:hAnsi="宋体" w:cs="宋体"/>
                <w:sz w:val="24"/>
                <w:highlight w:val="none"/>
              </w:rPr>
              <w:t xml:space="preserve">收款单位：</w:t>
            </w:r>
            <w:r>
              <w:rPr>
                <w:rFonts w:hint="eastAsia" w:ascii="宋体" w:hAnsi="宋体" w:cs="宋体"/>
                <w:sz w:val="24"/>
                <w:highlight w:val="none"/>
                <w:lang w:eastAsia="zh-CN"/>
              </w:rPr>
              <w:t xml:space="preserve">江苏苏南项目管理有限公司</w:t>
            </w:r>
            <w:r>
              <w:rPr>
                <w:rFonts w:hint="eastAsia" w:ascii="宋体" w:hAnsi="宋体" w:cs="宋体"/>
                <w:sz w:val="24"/>
                <w:highlight w:val="none"/>
              </w:rPr>
              <w:t xml:space="preserve"> </w:t>
            </w:r>
            <w:r>
              <w:rPr>
                <w:rFonts w:hint="eastAsia" w:ascii="宋体" w:hAnsi="宋体" w:cs="宋体"/>
                <w:sz w:val="24"/>
                <w:highlight w:val="none"/>
              </w:rPr>
            </w:r>
            <w:r/>
          </w:p>
          <w:p>
            <w:pPr>
              <w:pStyle w:val="1263"/>
              <w:rPr>
                <w:rFonts w:hint="eastAsia" w:ascii="宋体" w:hAnsi="宋体" w:cs="宋体"/>
                <w:sz w:val="24"/>
                <w:highlight w:val="none"/>
              </w:rPr>
            </w:pPr>
            <w:r>
              <w:rPr>
                <w:rFonts w:hint="eastAsia" w:ascii="宋体" w:hAnsi="宋体" w:cs="宋体"/>
                <w:sz w:val="24"/>
                <w:highlight w:val="none"/>
              </w:rPr>
              <w:t xml:space="preserve">银行账号：1105 0661 0900 0540 750</w:t>
            </w:r>
            <w:r>
              <w:rPr>
                <w:rFonts w:hint="eastAsia" w:ascii="宋体" w:hAnsi="宋体" w:cs="宋体"/>
                <w:sz w:val="24"/>
                <w:highlight w:val="none"/>
              </w:rPr>
            </w:r>
            <w:r/>
          </w:p>
          <w:p>
            <w:pPr>
              <w:pStyle w:val="1263"/>
              <w:jc w:val="left"/>
              <w:rPr>
                <w:sz w:val="24"/>
                <w:highlight w:val="yellow"/>
              </w:rPr>
            </w:pPr>
            <w:r>
              <w:rPr>
                <w:rFonts w:hint="eastAsia" w:ascii="宋体" w:hAnsi="宋体" w:cs="宋体"/>
                <w:sz w:val="24"/>
                <w:highlight w:val="none"/>
              </w:rPr>
              <w:t xml:space="preserve">开户银行：中国工商银行溧阳南环支行</w:t>
            </w:r>
            <w:r>
              <w:rPr>
                <w:sz w:val="24"/>
                <w:highlight w:val="yellow"/>
              </w:rPr>
            </w:r>
            <w:r/>
          </w:p>
        </w:tc>
      </w:tr>
    </w:tbl>
    <w:p>
      <w:pPr>
        <w:pStyle w:val="1263"/>
        <w:jc w:val="both"/>
        <w:spacing w:line="360" w:lineRule="auto"/>
        <w:tabs>
          <w:tab w:val="left" w:pos="5580" w:leader="none"/>
        </w:tabs>
        <w:rPr>
          <w:sz w:val="24"/>
        </w:rPr>
        <w:sectPr>
          <w:footerReference w:type="default" r:id="rId23"/>
          <w:footerReference w:type="first" r:id="rId24"/>
          <w:footnotePr/>
          <w:endnotePr/>
          <w:type w:val="nextPage"/>
          <w:pgSz w:w="11905" w:h="16838" w:orient="portrait"/>
          <w:pgMar w:top="1417" w:right="1531" w:bottom="1417" w:left="1531" w:header="851" w:footer="992" w:gutter="0"/>
          <w:pgNumType w:start="1"/>
          <w:cols w:num="1" w:sep="0" w:space="1701" w:equalWidth="1"/>
          <w:docGrid w:linePitch="360"/>
          <w:titlePg/>
        </w:sectPr>
      </w:pPr>
      <w:r>
        <w:rPr>
          <w:sz w:val="24"/>
        </w:rPr>
      </w:r>
      <w:r/>
    </w:p>
    <w:p>
      <w:pPr>
        <w:pStyle w:val="1263"/>
        <w:jc w:val="center"/>
        <w:spacing w:before="240" w:after="240"/>
        <w:rPr>
          <w:b/>
          <w:sz w:val="28"/>
          <w:szCs w:val="28"/>
        </w:rPr>
      </w:pPr>
      <w:r>
        <w:rPr>
          <w:b/>
          <w:sz w:val="28"/>
          <w:szCs w:val="28"/>
        </w:rPr>
        <w:t xml:space="preserve">供应商须知</w:t>
      </w:r>
      <w:r>
        <w:rPr>
          <w:b/>
          <w:sz w:val="28"/>
          <w:szCs w:val="28"/>
        </w:rPr>
      </w:r>
      <w:r/>
    </w:p>
    <w:p>
      <w:pPr>
        <w:pStyle w:val="1265"/>
        <w:jc w:val="left"/>
        <w:spacing w:before="0" w:line="360" w:lineRule="auto"/>
        <w:tabs>
          <w:tab w:val="center" w:pos="4592" w:leader="none"/>
          <w:tab w:val="left" w:pos="7860" w:leader="none"/>
        </w:tabs>
        <w:rPr>
          <w:rFonts w:ascii="Times New Roman" w:hAnsi="Times New Roman" w:eastAsia="宋体"/>
          <w:sz w:val="28"/>
        </w:rPr>
      </w:pPr>
      <w:r/>
      <w:bookmarkStart w:id="72" w:name="_Toc520356143"/>
      <w:r/>
      <w:bookmarkStart w:id="73" w:name="_Toc127151518"/>
      <w:r>
        <w:rPr>
          <w:rFonts w:ascii="Times New Roman" w:hAnsi="Times New Roman" w:eastAsia="宋体"/>
          <w:sz w:val="28"/>
        </w:rPr>
        <w:tab/>
      </w:r>
      <w:bookmarkStart w:id="74" w:name="_Toc305158860"/>
      <w:r/>
      <w:bookmarkStart w:id="75" w:name="_Toc150774723"/>
      <w:r/>
      <w:bookmarkStart w:id="76" w:name="_Toc226309762"/>
      <w:r/>
      <w:bookmarkStart w:id="77" w:name="_Toc226965791"/>
      <w:r/>
      <w:bookmarkStart w:id="78" w:name="_Toc150509269"/>
      <w:r/>
      <w:bookmarkStart w:id="79" w:name="_Toc195842883"/>
      <w:r/>
      <w:bookmarkStart w:id="80" w:name="_Toc226337214"/>
      <w:r/>
      <w:bookmarkStart w:id="81" w:name="_Toc264969208"/>
      <w:r/>
      <w:bookmarkStart w:id="82" w:name="_Toc151193832"/>
      <w:r/>
      <w:bookmarkStart w:id="83" w:name="_Toc150480756"/>
      <w:r/>
      <w:bookmarkStart w:id="84" w:name="_Toc151193906"/>
      <w:r/>
      <w:bookmarkStart w:id="85" w:name="_Toc150774618"/>
      <w:r/>
      <w:bookmarkStart w:id="86" w:name="_Toc142311020"/>
      <w:r/>
      <w:bookmarkStart w:id="87" w:name="_Toc151190145"/>
      <w:r/>
      <w:bookmarkStart w:id="88" w:name="_Toc151193760"/>
      <w:r/>
      <w:bookmarkStart w:id="89" w:name="_Toc226965708"/>
      <w:r/>
      <w:bookmarkStart w:id="90" w:name="_Toc305158786"/>
      <w:r/>
      <w:bookmarkStart w:id="91" w:name="_Toc151193616"/>
      <w:r/>
      <w:bookmarkStart w:id="92" w:name="_Toc265228356"/>
      <w:r/>
      <w:bookmarkStart w:id="93" w:name="_Toc151193688"/>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rPr>
          <w:rFonts w:ascii="Times New Roman" w:hAnsi="Times New Roman" w:eastAsia="宋体"/>
          <w:sz w:val="28"/>
        </w:rPr>
      </w:r>
      <w:r/>
    </w:p>
    <w:p>
      <w:pPr>
        <w:pStyle w:val="1263"/>
        <w:numPr>
          <w:ilvl w:val="0"/>
          <w:numId w:val="0"/>
        </w:numPr>
        <w:spacing w:line="360" w:lineRule="auto"/>
        <w:tabs>
          <w:tab w:val="left" w:pos="360" w:leader="none"/>
        </w:tabs>
        <w:rPr>
          <w:rFonts w:ascii="宋体" w:hAnsi="宋体"/>
          <w:sz w:val="24"/>
          <w:szCs w:val="24"/>
        </w:rPr>
        <w:outlineLvl w:val="1"/>
      </w:pPr>
      <w:r/>
      <w:bookmarkStart w:id="94" w:name="_Toc265228357"/>
      <w:r/>
      <w:bookmarkStart w:id="95" w:name="_Toc305158787"/>
      <w:r/>
      <w:bookmarkStart w:id="96" w:name="_Toc305158861"/>
      <w:r/>
      <w:bookmarkStart w:id="97" w:name="_Toc264969209"/>
      <w:r>
        <w:rPr>
          <w:rFonts w:hint="eastAsia" w:ascii="宋体" w:hAnsi="宋体"/>
          <w:sz w:val="24"/>
          <w:szCs w:val="24"/>
          <w:lang w:val="en-US" w:eastAsia="zh-CN"/>
        </w:rPr>
        <w:t xml:space="preserve">1、</w:t>
      </w:r>
      <w:r>
        <w:rPr>
          <w:rFonts w:ascii="宋体" w:hAnsi="宋体"/>
          <w:sz w:val="24"/>
          <w:szCs w:val="24"/>
        </w:rPr>
        <w:t xml:space="preserve">采购人、采购代理机构、供应商</w:t>
      </w:r>
      <w:bookmarkEnd w:id="94"/>
      <w:r/>
      <w:bookmarkEnd w:id="95"/>
      <w:r/>
      <w:bookmarkEnd w:id="96"/>
      <w:r/>
      <w:bookmarkEnd w:id="97"/>
      <w:r>
        <w:rPr>
          <w:rFonts w:ascii="宋体" w:hAnsi="宋体"/>
          <w:sz w:val="24"/>
          <w:szCs w:val="24"/>
        </w:rPr>
        <w:t xml:space="preserve">、联合体</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1.1</w:t>
      </w:r>
      <w:r>
        <w:rPr>
          <w:rFonts w:ascii="宋体" w:hAnsi="宋体"/>
          <w:sz w:val="24"/>
          <w:szCs w:val="24"/>
        </w:rPr>
        <w:t xml:space="preserve">采购人、采购代理机构：指依法进行政府采购的国家机关、事业单位、团体组织，及其委托的采购代理机构。本项目采购人、采购代理机构见第一章《采购邀请》。</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1.2</w:t>
      </w:r>
      <w:r>
        <w:rPr>
          <w:rFonts w:ascii="宋体" w:hAnsi="宋体"/>
          <w:sz w:val="24"/>
          <w:szCs w:val="24"/>
        </w:rPr>
        <w:t xml:space="preserve">供应商（也称“申请人”）：指向采购人提供货物、工程或者服务的法人、其他组织或者自然人。</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1.3</w:t>
      </w:r>
      <w:r>
        <w:rPr>
          <w:rFonts w:ascii="宋体" w:hAnsi="宋体"/>
          <w:sz w:val="24"/>
          <w:szCs w:val="24"/>
        </w:rPr>
        <w:t xml:space="preserve">联合体：指两个以上的自然人、法人或者其他组织组成一个联合体，以一个供应商的身份共同参加政府采购。</w:t>
      </w:r>
      <w:r>
        <w:rPr>
          <w:rFonts w:ascii="宋体" w:hAnsi="宋体"/>
          <w:sz w:val="24"/>
          <w:szCs w:val="24"/>
        </w:rPr>
      </w:r>
      <w:r/>
    </w:p>
    <w:p>
      <w:pPr>
        <w:pStyle w:val="1263"/>
        <w:numPr>
          <w:ilvl w:val="0"/>
          <w:numId w:val="0"/>
        </w:numPr>
        <w:spacing w:line="360" w:lineRule="auto"/>
        <w:tabs>
          <w:tab w:val="left" w:pos="360" w:leader="none"/>
        </w:tabs>
        <w:rPr>
          <w:rFonts w:ascii="宋体" w:hAnsi="宋体"/>
          <w:sz w:val="24"/>
          <w:szCs w:val="24"/>
        </w:rPr>
        <w:outlineLvl w:val="1"/>
      </w:pPr>
      <w:r/>
      <w:bookmarkStart w:id="98" w:name="_Toc150480758"/>
      <w:r/>
      <w:bookmarkStart w:id="99" w:name="_Toc151193908"/>
      <w:r/>
      <w:bookmarkStart w:id="100" w:name="_Toc127151520"/>
      <w:r/>
      <w:bookmarkStart w:id="101" w:name="_Toc151193834"/>
      <w:r/>
      <w:bookmarkStart w:id="102" w:name="_Toc305158788"/>
      <w:r/>
      <w:bookmarkStart w:id="103" w:name="_Toc226309764"/>
      <w:r/>
      <w:bookmarkStart w:id="104" w:name="_Toc265228358"/>
      <w:r/>
      <w:bookmarkStart w:id="105" w:name="_Toc150774725"/>
      <w:r/>
      <w:bookmarkStart w:id="106" w:name="_Toc150774620"/>
      <w:r/>
      <w:bookmarkStart w:id="107" w:name="_Toc226337216"/>
      <w:r/>
      <w:bookmarkStart w:id="108" w:name="_Toc195842885"/>
      <w:r/>
      <w:bookmarkStart w:id="109" w:name="_Toc149720813"/>
      <w:r/>
      <w:bookmarkStart w:id="110" w:name="_Toc164229215"/>
      <w:r/>
      <w:bookmarkStart w:id="111" w:name="_Toc164608634"/>
      <w:r/>
      <w:bookmarkStart w:id="112" w:name="_Toc164229361"/>
      <w:r/>
      <w:bookmarkStart w:id="113" w:name="_Toc226965710"/>
      <w:r/>
      <w:bookmarkStart w:id="114" w:name="_Toc151193690"/>
      <w:r/>
      <w:bookmarkStart w:id="115" w:name="_Toc164608789"/>
      <w:r/>
      <w:bookmarkStart w:id="116" w:name="_Toc127161434"/>
      <w:r/>
      <w:bookmarkStart w:id="117" w:name="_Toc151190147"/>
      <w:r/>
      <w:bookmarkStart w:id="118" w:name="_Toc305158862"/>
      <w:r/>
      <w:bookmarkStart w:id="119" w:name="_Toc151193618"/>
      <w:r/>
      <w:bookmarkStart w:id="120" w:name="_Toc150509271"/>
      <w:r/>
      <w:bookmarkStart w:id="121" w:name="_Toc151193762"/>
      <w:r/>
      <w:bookmarkStart w:id="122" w:name="_Toc226965793"/>
      <w:r/>
      <w:bookmarkStart w:id="123" w:name="_Toc164351614"/>
      <w:r/>
      <w:bookmarkStart w:id="124" w:name="_Toc264969210"/>
      <w:r/>
      <w:bookmarkStart w:id="125" w:name="_Toc142311022"/>
      <w:r/>
      <w:bookmarkStart w:id="126" w:name="_Toc127151721"/>
      <w:r>
        <w:rPr>
          <w:rFonts w:hint="eastAsia" w:ascii="宋体" w:hAnsi="宋体"/>
          <w:sz w:val="24"/>
          <w:szCs w:val="24"/>
          <w:lang w:val="en-US" w:eastAsia="zh-CN"/>
        </w:rPr>
        <w:t xml:space="preserve">2、</w:t>
      </w:r>
      <w:r>
        <w:rPr>
          <w:rFonts w:ascii="宋体" w:hAnsi="宋体"/>
          <w:sz w:val="24"/>
          <w:szCs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ascii="宋体" w:hAnsi="宋体"/>
          <w:sz w:val="24"/>
          <w:szCs w:val="24"/>
        </w:rPr>
        <w:t xml:space="preserve">、项目属性、科研仪器设备采购</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2.1</w:t>
      </w:r>
      <w:r>
        <w:rPr>
          <w:rFonts w:ascii="宋体" w:hAnsi="宋体"/>
          <w:sz w:val="24"/>
          <w:szCs w:val="24"/>
        </w:rPr>
        <w:t xml:space="preserve">资金来源为财政性资金和/或本项目采购中无法与财政性资金分割的非财政性资金。</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2.2</w:t>
      </w:r>
      <w:r>
        <w:rPr>
          <w:rFonts w:ascii="宋体" w:hAnsi="宋体"/>
          <w:sz w:val="24"/>
          <w:szCs w:val="24"/>
        </w:rPr>
        <w:t xml:space="preserve">项目属性见《供应商须知资料表》。</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2.3</w:t>
      </w:r>
      <w:r>
        <w:rPr>
          <w:rFonts w:ascii="宋体" w:hAnsi="宋体"/>
          <w:sz w:val="24"/>
          <w:szCs w:val="24"/>
        </w:rPr>
        <w:t xml:space="preserve">是否属于科研仪器设备采购见《供应商须知资料表》。</w:t>
      </w:r>
      <w:r>
        <w:rPr>
          <w:rFonts w:ascii="宋体" w:hAnsi="宋体"/>
          <w:sz w:val="24"/>
          <w:szCs w:val="24"/>
        </w:rPr>
      </w:r>
      <w:r/>
    </w:p>
    <w:p>
      <w:pPr>
        <w:pStyle w:val="1263"/>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3、</w:t>
      </w:r>
      <w:r>
        <w:rPr>
          <w:rFonts w:ascii="宋体" w:hAnsi="宋体"/>
          <w:sz w:val="24"/>
          <w:szCs w:val="24"/>
        </w:rPr>
        <w:t xml:space="preserve">现场考察、磋商前答疑会</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3.1</w:t>
      </w:r>
      <w:r>
        <w:rPr>
          <w:rFonts w:ascii="宋体" w:hAnsi="宋体"/>
          <w:sz w:val="24"/>
          <w:szCs w:val="24"/>
        </w:rPr>
        <w:t xml:space="preserve">若《供应商须知资料表》中规定了组织现场考察、召开磋商前答疑会，则供应商应按要求在规定的时间和地点参加。</w:t>
      </w:r>
      <w:bookmarkStart w:id="127" w:name="_Toc150774727"/>
      <w:r/>
      <w:bookmarkStart w:id="128" w:name="_Toc226965795"/>
      <w:r/>
      <w:bookmarkStart w:id="129" w:name="_Toc226965712"/>
      <w:r/>
      <w:bookmarkStart w:id="130" w:name="_Toc150509273"/>
      <w:r/>
      <w:bookmarkStart w:id="131" w:name="_Toc226309766"/>
      <w:r/>
      <w:bookmarkStart w:id="132" w:name="_Toc265228360"/>
      <w:r/>
      <w:bookmarkStart w:id="133" w:name="_Toc150774622"/>
      <w:r/>
      <w:bookmarkStart w:id="134" w:name="_Toc151193620"/>
      <w:r/>
      <w:bookmarkStart w:id="135" w:name="_Toc151190149"/>
      <w:r/>
      <w:bookmarkStart w:id="136" w:name="_Toc264969212"/>
      <w:r/>
      <w:bookmarkStart w:id="137" w:name="_Toc305158790"/>
      <w:r/>
      <w:bookmarkStart w:id="138" w:name="_Toc150480760"/>
      <w:r/>
      <w:bookmarkStart w:id="139" w:name="_Toc520356146"/>
      <w:r/>
      <w:bookmarkStart w:id="140" w:name="_Toc151193836"/>
      <w:r/>
      <w:bookmarkStart w:id="141" w:name="_Toc142311024"/>
      <w:r/>
      <w:bookmarkStart w:id="142" w:name="_Toc127151522"/>
      <w:r/>
      <w:bookmarkStart w:id="143" w:name="_Toc151193764"/>
      <w:r/>
      <w:bookmarkStart w:id="144" w:name="_Toc226337218"/>
      <w:r/>
      <w:bookmarkStart w:id="145" w:name="_Toc195842887"/>
      <w:r/>
      <w:bookmarkStart w:id="146" w:name="_Toc305158864"/>
      <w:r/>
      <w:bookmarkStart w:id="147" w:name="_Toc151193692"/>
      <w:r/>
      <w:bookmarkStart w:id="148" w:name="_Toc151193910"/>
      <w:r>
        <w:rPr>
          <w:rFonts w:ascii="宋体" w:hAnsi="宋体"/>
          <w:sz w:val="28"/>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3.2</w:t>
      </w:r>
      <w:r>
        <w:rPr>
          <w:rFonts w:ascii="宋体" w:hAnsi="宋体"/>
          <w:sz w:val="24"/>
          <w:szCs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sz w:val="24"/>
          <w:szCs w:val="24"/>
        </w:rPr>
      </w:r>
      <w:r/>
    </w:p>
    <w:p>
      <w:pPr>
        <w:pStyle w:val="1263"/>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4、</w:t>
      </w:r>
      <w:r>
        <w:rPr>
          <w:rFonts w:ascii="宋体" w:hAnsi="宋体"/>
          <w:sz w:val="24"/>
          <w:szCs w:val="24"/>
        </w:rPr>
        <w:t xml:space="preserve">政府采购政策（包括但不限于下列具体政策要求）</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4.1</w:t>
      </w:r>
      <w:r>
        <w:rPr>
          <w:rFonts w:ascii="宋体" w:hAnsi="宋体"/>
          <w:sz w:val="24"/>
          <w:szCs w:val="24"/>
        </w:rPr>
        <w:t xml:space="preserve">进口产品</w:t>
      </w:r>
      <w:r>
        <w:rPr>
          <w:rFonts w:ascii="宋体" w:hAnsi="宋体"/>
          <w:sz w:val="24"/>
          <w:szCs w:val="24"/>
        </w:rPr>
      </w:r>
      <w:r/>
    </w:p>
    <w:p>
      <w:pPr>
        <w:pStyle w:val="1263"/>
        <w:numPr>
          <w:ilvl w:val="0"/>
          <w:numId w:val="0"/>
        </w:numPr>
        <w:ind w:firstLine="480"/>
        <w:spacing w:line="360" w:lineRule="auto"/>
        <w:tabs>
          <w:tab w:val="left" w:pos="2014" w:leader="none"/>
        </w:tabs>
        <w:rPr>
          <w:rFonts w:ascii="宋体" w:hAnsi="宋体"/>
          <w:sz w:val="24"/>
          <w:szCs w:val="24"/>
        </w:rPr>
      </w:pPr>
      <w:r>
        <w:rPr>
          <w:rFonts w:hint="eastAsia" w:ascii="宋体" w:hAnsi="宋体"/>
          <w:sz w:val="24"/>
          <w:szCs w:val="24"/>
          <w:lang w:val="en-US" w:eastAsia="zh-CN"/>
        </w:rPr>
        <w:t xml:space="preserve">4.1.1</w:t>
      </w: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4.2</w:t>
      </w:r>
      <w:r>
        <w:rPr>
          <w:rFonts w:ascii="宋体" w:hAnsi="宋体"/>
          <w:sz w:val="24"/>
          <w:szCs w:val="24"/>
        </w:rPr>
        <w:t xml:space="preserve">中小企业、监狱企业及残疾人福利性单位</w:t>
      </w:r>
      <w:r>
        <w:rPr>
          <w:rFonts w:ascii="宋体" w:hAnsi="宋体"/>
          <w:sz w:val="24"/>
          <w:szCs w:val="24"/>
        </w:rPr>
      </w:r>
      <w:r/>
    </w:p>
    <w:p>
      <w:pPr>
        <w:pStyle w:val="1263"/>
        <w:numPr>
          <w:ilvl w:val="0"/>
          <w:numId w:val="0"/>
        </w:numPr>
        <w:ind w:firstLine="480"/>
        <w:spacing w:line="360" w:lineRule="auto"/>
        <w:rPr>
          <w:rFonts w:ascii="宋体" w:hAnsi="宋体"/>
          <w:sz w:val="24"/>
          <w:szCs w:val="24"/>
        </w:rPr>
      </w:pPr>
      <w:r>
        <w:rPr>
          <w:rFonts w:hint="eastAsia" w:ascii="宋体" w:hAnsi="宋体"/>
          <w:sz w:val="24"/>
          <w:szCs w:val="24"/>
          <w:lang w:val="en-US" w:eastAsia="zh-CN"/>
        </w:rPr>
        <w:t xml:space="preserve">4.2.1</w:t>
      </w:r>
      <w:r>
        <w:rPr>
          <w:rFonts w:ascii="宋体" w:hAnsi="宋体"/>
          <w:sz w:val="24"/>
          <w:szCs w:val="24"/>
        </w:rPr>
        <w:t xml:space="preserve">中小企业定义：</w:t>
      </w:r>
      <w:r>
        <w:rPr>
          <w:rFonts w:ascii="宋体" w:hAnsi="宋体"/>
          <w:sz w:val="24"/>
          <w:szCs w:val="24"/>
        </w:rPr>
      </w:r>
      <w:r/>
    </w:p>
    <w:p>
      <w:pPr>
        <w:pStyle w:val="1263"/>
        <w:ind w:firstLine="480"/>
        <w:spacing w:line="360" w:lineRule="auto"/>
        <w:tabs>
          <w:tab w:val="left" w:pos="1980" w:leader="none"/>
          <w:tab w:val="left" w:pos="2035" w:leader="none"/>
          <w:tab w:val="left" w:pos="2977" w:leader="none"/>
        </w:tabs>
        <w:rPr>
          <w:rFonts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rPr>
      </w:r>
      <w:r/>
    </w:p>
    <w:p>
      <w:pPr>
        <w:pStyle w:val="1263"/>
        <w:ind w:firstLine="480"/>
        <w:spacing w:line="360" w:lineRule="auto"/>
        <w:tabs>
          <w:tab w:val="left" w:pos="1980" w:leader="none"/>
          <w:tab w:val="left" w:pos="2035" w:leader="none"/>
          <w:tab w:val="left" w:pos="2977" w:leader="none"/>
        </w:tabs>
        <w:rPr>
          <w:rFonts w:ascii="宋体" w:hAnsi="宋体" w:eastAsia="宋体" w:cs="Times New Roman"/>
          <w:sz w:val="24"/>
        </w:rPr>
      </w:pPr>
      <w:r>
        <w:rPr>
          <w:rFonts w:ascii="宋体" w:hAnsi="宋体" w:eastAsia="宋体" w:cs="Times New Roman"/>
          <w:sz w:val="24"/>
        </w:rPr>
        <w:t xml:space="preserve">供应商提供的货物、工程或者服务符合下列情形的，享受中小企业扶持政策：</w:t>
      </w:r>
      <w:r>
        <w:rPr>
          <w:rFonts w:ascii="宋体" w:hAnsi="宋体" w:eastAsia="宋体" w:cs="Times New Roman"/>
          <w:sz w:val="24"/>
        </w:rPr>
      </w:r>
      <w:r/>
    </w:p>
    <w:p>
      <w:pPr>
        <w:pStyle w:val="1263"/>
        <w:spacing w:line="360" w:lineRule="auto"/>
        <w:tabs>
          <w:tab w:val="left" w:pos="1980" w:leader="none"/>
          <w:tab w:val="left" w:pos="2035" w:leader="none"/>
          <w:tab w:val="left" w:pos="2977" w:leader="none"/>
        </w:tabs>
        <w:rPr>
          <w:rFonts w:ascii="宋体" w:hAnsi="宋体"/>
          <w:sz w:val="24"/>
          <w:szCs w:val="24"/>
        </w:rPr>
      </w:pPr>
      <w:r>
        <w:rPr>
          <w:rFonts w:ascii="宋体" w:hAnsi="宋体" w:eastAsia="宋体" w:cs="Times New Roman"/>
          <w:sz w:val="24"/>
        </w:rPr>
        <w:t xml:space="preserve">（1）在货物采购项目中，货物由中小企业制造，即货物由中小企业生产且</w:t>
      </w:r>
      <w:r>
        <w:rPr>
          <w:rFonts w:ascii="宋体" w:hAnsi="宋体"/>
          <w:sz w:val="24"/>
          <w:szCs w:val="24"/>
        </w:rPr>
        <w:t xml:space="preserve">使用该中小企业商号或者注册商标；</w:t>
      </w:r>
      <w:r>
        <w:rPr>
          <w:rFonts w:ascii="宋体" w:hAnsi="宋体"/>
          <w:sz w:val="24"/>
          <w:szCs w:val="24"/>
        </w:rPr>
      </w:r>
      <w:r/>
    </w:p>
    <w:p>
      <w:pPr>
        <w:pStyle w:val="1263"/>
        <w:spacing w:line="360" w:lineRule="auto"/>
        <w:tabs>
          <w:tab w:val="left" w:pos="1980" w:leader="none"/>
        </w:tabs>
        <w:rPr>
          <w:rFonts w:ascii="宋体" w:hAnsi="宋体"/>
          <w:sz w:val="24"/>
          <w:szCs w:val="24"/>
        </w:rPr>
      </w:pPr>
      <w:r>
        <w:rPr>
          <w:rFonts w:ascii="宋体" w:hAnsi="宋体"/>
          <w:sz w:val="24"/>
          <w:szCs w:val="24"/>
        </w:rPr>
        <w:t xml:space="preserve">（2）在工程采购项目中，工程由中小企业承建，即工程施工单位为中小企业；</w:t>
      </w:r>
      <w:r>
        <w:rPr>
          <w:rFonts w:ascii="宋体" w:hAnsi="宋体"/>
          <w:sz w:val="24"/>
          <w:szCs w:val="24"/>
        </w:rPr>
      </w:r>
      <w:r/>
    </w:p>
    <w:p>
      <w:pPr>
        <w:pStyle w:val="1263"/>
        <w:spacing w:line="360" w:lineRule="auto"/>
        <w:tabs>
          <w:tab w:val="left" w:pos="1980" w:leader="none"/>
        </w:tabs>
        <w:rPr>
          <w:rFonts w:ascii="宋体" w:hAnsi="宋体"/>
          <w:sz w:val="24"/>
          <w:szCs w:val="24"/>
        </w:rPr>
      </w:pPr>
      <w:r>
        <w:rPr>
          <w:rFonts w:ascii="宋体" w:hAnsi="宋体"/>
          <w:sz w:val="24"/>
          <w:szCs w:val="24"/>
        </w:rPr>
        <w:t xml:space="preserve">（3）在服务采购项目中，服务由中小企业承接，即提供服务的人员为中小企业依照《中华人民共和国劳动合同法》订立劳动合同的从业人员。</w:t>
      </w:r>
      <w:r>
        <w:rPr>
          <w:rFonts w:ascii="宋体" w:hAnsi="宋体"/>
          <w:sz w:val="24"/>
          <w:szCs w:val="24"/>
        </w:rPr>
      </w:r>
      <w:r/>
    </w:p>
    <w:p>
      <w:pPr>
        <w:pStyle w:val="126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126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ascii="宋体" w:hAnsi="宋体"/>
          <w:sz w:val="24"/>
          <w:szCs w:val="24"/>
        </w:rPr>
        <w:t xml:space="preserve">4.2.3残疾人福利单位定义：享受政府采购支持政策的残疾人福利性单位应当同时满足以下条件：</w:t>
      </w:r>
      <w:r>
        <w:rPr>
          <w:rFonts w:ascii="宋体" w:hAnsi="宋体"/>
          <w:sz w:val="24"/>
          <w:szCs w:val="24"/>
        </w:rPr>
      </w:r>
      <w:r/>
    </w:p>
    <w:p>
      <w:pPr>
        <w:pStyle w:val="126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126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126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126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126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1263"/>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.2.4本项目是否专门面向中小企业预留采购份额见第一章《采购邀请》。</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ascii="宋体" w:hAnsi="宋体"/>
          <w:sz w:val="24"/>
          <w:szCs w:val="24"/>
        </w:rPr>
        <w:t xml:space="preserve">4.2.5采购标的对应的中小企业划分标准所属行业见《供应商须知资料表》。</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ascii="宋体" w:hAnsi="宋体"/>
          <w:sz w:val="24"/>
          <w:szCs w:val="24"/>
        </w:rPr>
        <w:t xml:space="preserve">4.2.6小微企业价格评审优惠的政策调整：见第三章《评审方法和评审标准》。</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4.3</w:t>
      </w:r>
      <w:r>
        <w:rPr>
          <w:rFonts w:ascii="宋体" w:hAnsi="宋体"/>
          <w:sz w:val="24"/>
          <w:szCs w:val="24"/>
        </w:rPr>
        <w:t xml:space="preserve">政府采购节能产品、环境标志产品</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.3.3如本项目采购产品属于实施政府强制采购品目清单范围的节能产品，则供应商所报产品必须获得国家确定的认证机构出具的、处于有效期之内的节能产品认证证书，</w:t>
      </w:r>
      <w:r>
        <w:rPr>
          <w:rFonts w:ascii="宋体" w:hAnsi="宋体"/>
          <w:sz w:val="24"/>
          <w:szCs w:val="24"/>
        </w:rPr>
        <w:t xml:space="preserve">否则</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ascii="宋体" w:hAnsi="宋体"/>
          <w:sz w:val="24"/>
          <w:szCs w:val="24"/>
        </w:rPr>
        <w:t xml:space="preserve">4.3.4非政府强制采购的节能产品或环境标志产品，依据品目清单和认证证书实施政府优先采购。优先采购的具体规定见第三章《评审方法和评审标准》（如涉及）。</w:t>
      </w:r>
      <w:r>
        <w:rPr>
          <w:rFonts w:ascii="宋体" w:hAnsi="宋体"/>
          <w:sz w:val="24"/>
          <w:szCs w:val="24"/>
        </w:rPr>
      </w:r>
      <w:r/>
    </w:p>
    <w:p>
      <w:pPr>
        <w:pStyle w:val="1263"/>
        <w:ind w:firstLine="480"/>
        <w:spacing w:line="360" w:lineRule="auto"/>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.3.5</w:t>
      </w: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4.4</w:t>
      </w:r>
      <w:r>
        <w:rPr>
          <w:rFonts w:ascii="宋体" w:hAnsi="宋体"/>
          <w:sz w:val="24"/>
          <w:szCs w:val="24"/>
        </w:rPr>
        <w:t xml:space="preserve">支持乡村产业振兴管理</w:t>
      </w:r>
      <w:r>
        <w:rPr>
          <w:rFonts w:ascii="宋体" w:hAnsi="宋体"/>
          <w:sz w:val="24"/>
          <w:szCs w:val="24"/>
        </w:rPr>
      </w:r>
      <w:r/>
    </w:p>
    <w:p>
      <w:pPr>
        <w:pStyle w:val="1263"/>
        <w:ind w:firstLine="480"/>
        <w:spacing w:line="360" w:lineRule="auto"/>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.4.1为落实《关于运用政府采购政策支持乡村产业振兴的通知》（财库〔2021〕19号）有关要求，做好支持脱贫攻坚工作，本项目采购活动中对于支持乡村振兴管理的相关要求见第四章《采购需求》（如涉及）。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4.5</w:t>
      </w:r>
      <w:r>
        <w:rPr>
          <w:rFonts w:ascii="宋体" w:hAnsi="宋体"/>
          <w:sz w:val="24"/>
          <w:szCs w:val="24"/>
        </w:rPr>
        <w:t xml:space="preserve">正版软件</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sz w:val="24"/>
          <w:szCs w:val="24"/>
        </w:rPr>
        <w:t xml:space="preserve">否则</w:t>
      </w:r>
      <w:r>
        <w:rPr>
          <w:rFonts w:ascii="宋体" w:hAnsi="宋体"/>
          <w:b/>
          <w:sz w:val="24"/>
          <w:szCs w:val="24"/>
        </w:rPr>
        <w:t xml:space="preserve">响应无效</w:t>
      </w:r>
      <w:r>
        <w:rPr>
          <w:rFonts w:ascii="宋体" w:hAnsi="宋体"/>
          <w:sz w:val="24"/>
          <w:szCs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1263"/>
        <w:ind w:firstLine="480"/>
        <w:spacing w:line="360" w:lineRule="auto"/>
        <w:tabs>
          <w:tab w:val="left" w:pos="1980"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4.6</w:t>
      </w:r>
      <w:r>
        <w:rPr>
          <w:rFonts w:ascii="宋体" w:hAnsi="宋体" w:eastAsia="宋体" w:cs="Times New Roman"/>
          <w:sz w:val="24"/>
          <w:szCs w:val="24"/>
        </w:rPr>
        <w:t xml:space="preserve">信息安全产品</w:t>
      </w:r>
      <w:r>
        <w:rPr>
          <w:rFonts w:ascii="宋体" w:hAnsi="宋体" w:eastAsia="宋体" w:cs="Times New Roman"/>
          <w:sz w:val="24"/>
          <w:szCs w:val="24"/>
        </w:rPr>
      </w:r>
      <w:r/>
    </w:p>
    <w:p>
      <w:pPr>
        <w:pStyle w:val="1263"/>
        <w:ind w:firstLine="480"/>
        <w:spacing w:line="360" w:lineRule="auto"/>
        <w:tabs>
          <w:tab w:val="left" w:pos="1980"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4.7</w:t>
      </w:r>
      <w:r>
        <w:rPr>
          <w:rFonts w:hint="eastAsia" w:ascii="宋体" w:hAnsi="宋体" w:eastAsia="宋体" w:cs="Times New Roman"/>
          <w:sz w:val="24"/>
          <w:szCs w:val="24"/>
        </w:rPr>
        <w:t xml:space="preserve">政府采购创新产品政策</w:t>
      </w:r>
      <w:r>
        <w:rPr>
          <w:rFonts w:ascii="宋体" w:hAnsi="宋体" w:eastAsia="宋体" w:cs="Times New Roman"/>
          <w:sz w:val="24"/>
          <w:szCs w:val="24"/>
        </w:rPr>
      </w:r>
      <w:r/>
    </w:p>
    <w:p>
      <w:pPr>
        <w:pStyle w:val="126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Times New Roman"/>
          <w:sz w:val="24"/>
          <w:szCs w:val="24"/>
          <w:lang w:val="en-US" w:eastAsia="zh-CN"/>
        </w:rPr>
      </w:r>
      <w:r/>
    </w:p>
    <w:p>
      <w:pPr>
        <w:pStyle w:val="126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4.8 绿色采购政策</w:t>
      </w:r>
      <w:r>
        <w:rPr>
          <w:rFonts w:hint="eastAsia" w:ascii="宋体" w:hAnsi="宋体" w:eastAsia="宋体" w:cs="Times New Roman"/>
          <w:sz w:val="24"/>
          <w:szCs w:val="24"/>
          <w:lang w:val="en-US" w:eastAsia="zh-CN"/>
        </w:rPr>
      </w:r>
      <w:r/>
    </w:p>
    <w:p>
      <w:pPr>
        <w:pStyle w:val="126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4.8.1 绿色数据中心政策 </w:t>
      </w:r>
      <w:r>
        <w:rPr>
          <w:rFonts w:hint="eastAsia" w:ascii="宋体" w:hAnsi="宋体" w:eastAsia="宋体" w:cs="Times New Roman"/>
          <w:sz w:val="24"/>
          <w:szCs w:val="24"/>
          <w:lang w:val="en-US" w:eastAsia="zh-CN"/>
        </w:rPr>
      </w:r>
      <w:r/>
    </w:p>
    <w:p>
      <w:pPr>
        <w:pStyle w:val="126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依据《绿色数据中心政府采购需求标准（试行）》（财办库〔2023〕7 号）文件精神，采购</w:t>
      </w:r>
      <w:r>
        <w:rPr>
          <w:rFonts w:hint="eastAsia" w:ascii="宋体" w:hAnsi="宋体" w:eastAsia="宋体" w:cs="Times New Roman"/>
          <w:sz w:val="24"/>
          <w:szCs w:val="24"/>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Times New Roman"/>
          <w:sz w:val="24"/>
          <w:szCs w:val="24"/>
          <w:lang w:val="en-US" w:eastAsia="zh-CN"/>
        </w:rPr>
      </w:r>
      <w:r/>
    </w:p>
    <w:p>
      <w:pPr>
        <w:pStyle w:val="126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4.8.2 推广应用绿色建材</w:t>
      </w:r>
      <w:r>
        <w:rPr>
          <w:rFonts w:hint="eastAsia" w:ascii="宋体" w:hAnsi="宋体" w:eastAsia="宋体" w:cs="Times New Roman"/>
          <w:sz w:val="24"/>
          <w:szCs w:val="24"/>
          <w:lang w:val="en-US" w:eastAsia="zh-CN"/>
        </w:rPr>
      </w:r>
      <w:r/>
    </w:p>
    <w:p>
      <w:pPr>
        <w:pStyle w:val="126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Times New Roman"/>
          <w:sz w:val="24"/>
          <w:szCs w:val="24"/>
          <w:lang w:val="en-US" w:eastAsia="zh-CN"/>
        </w:rPr>
      </w:r>
      <w:r/>
    </w:p>
    <w:p>
      <w:pPr>
        <w:pStyle w:val="126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 4.8.3 优先使用低挥发性有机化合物产品</w:t>
      </w:r>
      <w:r>
        <w:rPr>
          <w:rFonts w:hint="eastAsia" w:ascii="宋体" w:hAnsi="宋体" w:eastAsia="宋体" w:cs="Times New Roman"/>
          <w:sz w:val="24"/>
          <w:szCs w:val="24"/>
          <w:lang w:val="en-US" w:eastAsia="zh-CN"/>
        </w:rPr>
      </w:r>
      <w:r/>
    </w:p>
    <w:p>
      <w:pPr>
        <w:pStyle w:val="1263"/>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Times New Roman"/>
          <w:sz w:val="24"/>
          <w:szCs w:val="24"/>
          <w:lang w:val="en-US" w:eastAsia="zh-CN"/>
        </w:rPr>
      </w:r>
      <w:r/>
    </w:p>
    <w:p>
      <w:pPr>
        <w:pStyle w:val="1263"/>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5、</w:t>
      </w:r>
      <w:r>
        <w:rPr>
          <w:rFonts w:ascii="宋体" w:hAnsi="宋体"/>
          <w:sz w:val="24"/>
          <w:szCs w:val="24"/>
        </w:rPr>
        <w:t xml:space="preserve">响应费用</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5.1</w:t>
      </w:r>
      <w:r>
        <w:rPr>
          <w:rFonts w:ascii="宋体" w:hAnsi="宋体"/>
          <w:sz w:val="24"/>
          <w:szCs w:val="24"/>
        </w:rPr>
        <w:t xml:space="preserve">供应商应自行承担所有与准备和参加磋商有关的费用，无论磋商的结果如何，采购人或采购代理机构在任何情况下均无承担这些费用的义务和责任。</w:t>
      </w:r>
      <w:bookmarkStart w:id="149" w:name="_1.8_计量单位"/>
      <w:r/>
      <w:bookmarkEnd w:id="149"/>
      <w:r>
        <w:rPr>
          <w:rFonts w:ascii="宋体" w:hAnsi="宋体"/>
          <w:sz w:val="28"/>
          <w:szCs w:val="24"/>
        </w:rPr>
      </w:r>
      <w:r/>
    </w:p>
    <w:p>
      <w:pPr>
        <w:pStyle w:val="1263"/>
        <w:jc w:val="center"/>
        <w:keepLines/>
        <w:keepNext/>
        <w:spacing w:line="360" w:lineRule="auto"/>
        <w:rPr>
          <w:rFonts w:ascii="宋体" w:hAnsi="宋体"/>
          <w:b/>
          <w:sz w:val="28"/>
          <w:szCs w:val="20"/>
        </w:rPr>
        <w:outlineLvl w:val="1"/>
      </w:pPr>
      <w:r>
        <w:rPr>
          <w:rFonts w:ascii="宋体" w:hAnsi="宋体"/>
          <w:b/>
          <w:sz w:val="28"/>
          <w:szCs w:val="20"/>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宋体" w:hAnsi="宋体"/>
          <w:b/>
          <w:sz w:val="28"/>
          <w:szCs w:val="20"/>
        </w:rPr>
      </w:r>
      <w:r/>
    </w:p>
    <w:p>
      <w:pPr>
        <w:pStyle w:val="1263"/>
        <w:numPr>
          <w:ilvl w:val="0"/>
          <w:numId w:val="0"/>
        </w:numPr>
        <w:spacing w:line="360" w:lineRule="auto"/>
        <w:tabs>
          <w:tab w:val="left" w:pos="360" w:leader="none"/>
        </w:tabs>
        <w:rPr>
          <w:rFonts w:ascii="宋体" w:hAnsi="宋体"/>
          <w:sz w:val="24"/>
          <w:szCs w:val="24"/>
        </w:rPr>
        <w:outlineLvl w:val="1"/>
      </w:pPr>
      <w:r/>
      <w:bookmarkStart w:id="150" w:name="_Toc151193765"/>
      <w:r/>
      <w:bookmarkStart w:id="151" w:name="_Toc164351617"/>
      <w:r/>
      <w:bookmarkStart w:id="152" w:name="_Toc127151523"/>
      <w:r/>
      <w:bookmarkStart w:id="153" w:name="_Toc164608792"/>
      <w:r/>
      <w:bookmarkStart w:id="154" w:name="_Toc226309767"/>
      <w:r/>
      <w:bookmarkStart w:id="155" w:name="_Toc164229364"/>
      <w:r/>
      <w:bookmarkStart w:id="156" w:name="_Toc305158791"/>
      <w:r/>
      <w:bookmarkStart w:id="157" w:name="_Toc149720816"/>
      <w:r/>
      <w:bookmarkStart w:id="158" w:name="_Toc150480761"/>
      <w:r/>
      <w:bookmarkStart w:id="159" w:name="_Toc226965796"/>
      <w:r/>
      <w:bookmarkStart w:id="160" w:name="_Toc150774623"/>
      <w:r/>
      <w:bookmarkStart w:id="161" w:name="_Toc127151724"/>
      <w:r/>
      <w:bookmarkStart w:id="162" w:name="_Toc150509274"/>
      <w:r/>
      <w:bookmarkStart w:id="163" w:name="_Toc150774728"/>
      <w:r/>
      <w:bookmarkStart w:id="164" w:name="_Toc264969213"/>
      <w:r/>
      <w:bookmarkStart w:id="165" w:name="_Toc151190150"/>
      <w:r/>
      <w:bookmarkStart w:id="166" w:name="_Toc151193837"/>
      <w:r/>
      <w:bookmarkStart w:id="167" w:name="_Toc151193911"/>
      <w:r/>
      <w:bookmarkStart w:id="168" w:name="_Toc151193621"/>
      <w:r/>
      <w:bookmarkStart w:id="169" w:name="_Toc305158865"/>
      <w:r/>
      <w:bookmarkStart w:id="170" w:name="_Toc226337219"/>
      <w:r/>
      <w:bookmarkStart w:id="171" w:name="_Toc226965713"/>
      <w:r/>
      <w:bookmarkStart w:id="172" w:name="_Toc520356147"/>
      <w:r/>
      <w:bookmarkStart w:id="173" w:name="_Toc151193693"/>
      <w:r/>
      <w:bookmarkStart w:id="174" w:name="_Toc164608637"/>
      <w:r/>
      <w:bookmarkStart w:id="175" w:name="_Toc164229218"/>
      <w:r/>
      <w:bookmarkStart w:id="176" w:name="_Toc127161437"/>
      <w:r/>
      <w:bookmarkStart w:id="177" w:name="_Toc142311025"/>
      <w:r/>
      <w:bookmarkStart w:id="178" w:name="_Toc265228361"/>
      <w:r/>
      <w:bookmarkStart w:id="179" w:name="_Toc195842888"/>
      <w:r>
        <w:rPr>
          <w:rFonts w:hint="eastAsia" w:ascii="宋体" w:hAnsi="宋体"/>
          <w:sz w:val="24"/>
          <w:szCs w:val="24"/>
          <w:lang w:val="en-US" w:eastAsia="zh-CN"/>
        </w:rPr>
        <w:t xml:space="preserve">6、</w:t>
      </w:r>
      <w:r>
        <w:rPr>
          <w:rFonts w:ascii="宋体" w:hAnsi="宋体"/>
          <w:sz w:val="24"/>
          <w:szCs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ascii="宋体" w:hAnsi="宋体"/>
          <w:sz w:val="24"/>
          <w:szCs w:val="24"/>
        </w:rPr>
        <w:t xml:space="preserve">成</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6.1</w:t>
      </w:r>
      <w:r>
        <w:rPr>
          <w:rFonts w:ascii="宋体" w:hAnsi="宋体"/>
          <w:sz w:val="24"/>
          <w:szCs w:val="24"/>
        </w:rPr>
        <w:t xml:space="preserve">竞争性磋商文件包括以下部分：</w:t>
      </w:r>
      <w:r>
        <w:rPr>
          <w:rFonts w:ascii="宋体" w:hAnsi="宋体"/>
          <w:sz w:val="24"/>
          <w:szCs w:val="24"/>
        </w:rPr>
      </w:r>
      <w:r/>
    </w:p>
    <w:p>
      <w:pPr>
        <w:pStyle w:val="1263"/>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采购邀请</w:t>
      </w:r>
      <w:r>
        <w:rPr>
          <w:rFonts w:ascii="宋体" w:hAnsi="宋体"/>
          <w:sz w:val="24"/>
          <w:szCs w:val="24"/>
        </w:rPr>
      </w:r>
      <w:r/>
    </w:p>
    <w:p>
      <w:pPr>
        <w:pStyle w:val="1263"/>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供应商须知</w:t>
      </w:r>
      <w:r>
        <w:rPr>
          <w:rFonts w:ascii="宋体" w:hAnsi="宋体"/>
          <w:sz w:val="24"/>
          <w:szCs w:val="24"/>
        </w:rPr>
      </w:r>
      <w:r/>
    </w:p>
    <w:p>
      <w:pPr>
        <w:pStyle w:val="1263"/>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评审</w:t>
      </w:r>
      <w:r>
        <w:rPr>
          <w:rFonts w:hint="eastAsia" w:ascii="宋体" w:hAnsi="宋体"/>
          <w:sz w:val="24"/>
          <w:szCs w:val="24"/>
        </w:rPr>
        <w:t xml:space="preserve">程序、评审</w:t>
      </w:r>
      <w:r>
        <w:rPr>
          <w:rFonts w:ascii="宋体" w:hAnsi="宋体"/>
          <w:sz w:val="24"/>
          <w:szCs w:val="24"/>
        </w:rPr>
        <w:t xml:space="preserve">方法和评审标准</w:t>
      </w:r>
      <w:r>
        <w:rPr>
          <w:rFonts w:ascii="宋体" w:hAnsi="宋体"/>
          <w:sz w:val="24"/>
          <w:szCs w:val="24"/>
        </w:rPr>
      </w:r>
      <w:r/>
    </w:p>
    <w:p>
      <w:pPr>
        <w:pStyle w:val="1263"/>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采购需求</w:t>
      </w:r>
      <w:r>
        <w:rPr>
          <w:rFonts w:ascii="宋体" w:hAnsi="宋体"/>
          <w:sz w:val="24"/>
          <w:szCs w:val="24"/>
        </w:rPr>
      </w:r>
      <w:r/>
    </w:p>
    <w:p>
      <w:pPr>
        <w:pStyle w:val="1263"/>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合同草案条款</w:t>
      </w:r>
      <w:r>
        <w:rPr>
          <w:rFonts w:ascii="宋体" w:hAnsi="宋体"/>
          <w:sz w:val="24"/>
          <w:szCs w:val="24"/>
        </w:rPr>
      </w:r>
      <w:r/>
    </w:p>
    <w:p>
      <w:pPr>
        <w:pStyle w:val="1263"/>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响应文件格式</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6.2</w:t>
      </w:r>
      <w:r>
        <w:rPr>
          <w:rFonts w:ascii="宋体" w:hAnsi="宋体"/>
          <w:sz w:val="24"/>
          <w:szCs w:val="24"/>
        </w:rPr>
        <w:t xml:space="preserve">供应商应认真阅读竞争性磋商文件的全部内容。供应商应按照竞争性磋商文件要求提交响应文件并保证所提供的全部资料的真实性，并对竞争性磋商文件</w:t>
      </w:r>
      <w:r>
        <w:rPr>
          <w:rFonts w:hint="eastAsia" w:ascii="宋体" w:hAnsi="宋体"/>
          <w:sz w:val="24"/>
          <w:szCs w:val="24"/>
          <w:lang w:eastAsia="zh-CN"/>
        </w:rPr>
        <w:t xml:space="preserve">作出</w:t>
      </w:r>
      <w:r>
        <w:rPr>
          <w:rFonts w:ascii="宋体" w:hAnsi="宋体"/>
          <w:sz w:val="24"/>
          <w:szCs w:val="24"/>
        </w:rPr>
        <w:t xml:space="preserve">实质性响应，否则</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63"/>
        <w:numPr>
          <w:ilvl w:val="0"/>
          <w:numId w:val="0"/>
        </w:numPr>
        <w:spacing w:line="360" w:lineRule="auto"/>
        <w:tabs>
          <w:tab w:val="left" w:pos="1080" w:leader="none"/>
          <w:tab w:val="left" w:pos="2014" w:leader="none"/>
        </w:tabs>
        <w:rPr>
          <w:rFonts w:ascii="宋体" w:hAnsi="宋体"/>
          <w:sz w:val="24"/>
          <w:szCs w:val="24"/>
        </w:rPr>
        <w:outlineLvl w:val="1"/>
      </w:pPr>
      <w:r>
        <w:rPr>
          <w:rFonts w:hint="eastAsia" w:ascii="宋体" w:hAnsi="宋体"/>
          <w:sz w:val="24"/>
          <w:szCs w:val="24"/>
          <w:lang w:val="en-US" w:eastAsia="zh-CN"/>
        </w:rPr>
        <w:t xml:space="preserve">7、</w:t>
      </w:r>
      <w:r>
        <w:rPr>
          <w:rFonts w:ascii="宋体" w:hAnsi="宋体"/>
          <w:sz w:val="24"/>
          <w:szCs w:val="24"/>
        </w:rPr>
        <w:t xml:space="preserve">对竞争性磋商文件的澄清或修改</w:t>
      </w:r>
      <w:r>
        <w:rPr>
          <w:rFonts w:ascii="宋体" w:hAnsi="宋体"/>
          <w:sz w:val="24"/>
          <w:szCs w:val="24"/>
        </w:rPr>
      </w:r>
      <w:r/>
    </w:p>
    <w:p>
      <w:pPr>
        <w:pStyle w:val="1263"/>
        <w:numPr>
          <w:ilvl w:val="0"/>
          <w:numId w:val="0"/>
        </w:numPr>
        <w:ind w:firstLine="480"/>
        <w:spacing w:line="360" w:lineRule="auto"/>
        <w:tabs>
          <w:tab w:val="left" w:pos="1080" w:leader="none"/>
          <w:tab w:val="left" w:pos="1561"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7.1</w:t>
      </w:r>
      <w:r>
        <w:rPr>
          <w:rFonts w:ascii="宋体" w:hAnsi="宋体"/>
          <w:sz w:val="24"/>
          <w:szCs w:val="24"/>
        </w:rPr>
        <w:t xml:space="preserve">采购人或采购代理机构对已发出的竞争性磋商文件进行必要澄清或者修改的，将在原公告发布媒体上以</w:t>
      </w:r>
      <w:r>
        <w:rPr>
          <w:rFonts w:hint="eastAsia" w:ascii="宋体" w:hAnsi="宋体"/>
          <w:sz w:val="24"/>
          <w:szCs w:val="24"/>
        </w:rPr>
        <w:t xml:space="preserve">发布</w:t>
      </w:r>
      <w:r>
        <w:rPr>
          <w:rFonts w:ascii="宋体" w:hAnsi="宋体"/>
          <w:sz w:val="24"/>
          <w:szCs w:val="24"/>
        </w:rPr>
        <w:t xml:space="preserve">更正公告</w:t>
      </w:r>
      <w:r>
        <w:rPr>
          <w:rFonts w:hint="eastAsia" w:ascii="宋体" w:hAnsi="宋体"/>
          <w:sz w:val="24"/>
          <w:szCs w:val="24"/>
        </w:rPr>
        <w:t xml:space="preserve">的</w:t>
      </w:r>
      <w:r>
        <w:rPr>
          <w:rFonts w:ascii="宋体" w:hAnsi="宋体"/>
          <w:sz w:val="24"/>
          <w:szCs w:val="24"/>
        </w:rPr>
        <w:t xml:space="preserve">形式通知所有获取</w:t>
      </w:r>
      <w:r>
        <w:rPr>
          <w:rFonts w:hint="eastAsia" w:ascii="宋体" w:hAnsi="宋体"/>
          <w:sz w:val="24"/>
          <w:szCs w:val="24"/>
        </w:rPr>
        <w:t xml:space="preserve">磋商文件</w:t>
      </w:r>
      <w:r>
        <w:rPr>
          <w:rFonts w:ascii="宋体" w:hAnsi="宋体"/>
          <w:sz w:val="24"/>
          <w:szCs w:val="24"/>
        </w:rPr>
        <w:t xml:space="preserve">的</w:t>
      </w:r>
      <w:r>
        <w:rPr>
          <w:rFonts w:hint="eastAsia" w:ascii="宋体" w:hAnsi="宋体"/>
          <w:sz w:val="24"/>
          <w:szCs w:val="24"/>
        </w:rPr>
        <w:t xml:space="preserve">供应商。</w:t>
      </w:r>
      <w:r>
        <w:rPr>
          <w:rFonts w:ascii="宋体" w:hAnsi="宋体"/>
          <w:sz w:val="24"/>
          <w:szCs w:val="24"/>
        </w:rPr>
      </w:r>
      <w:r/>
    </w:p>
    <w:p>
      <w:pPr>
        <w:pStyle w:val="1263"/>
        <w:numPr>
          <w:ilvl w:val="0"/>
          <w:numId w:val="0"/>
        </w:numPr>
        <w:ind w:firstLine="480"/>
        <w:spacing w:line="360" w:lineRule="auto"/>
        <w:tabs>
          <w:tab w:val="left" w:pos="1080" w:leader="none"/>
          <w:tab w:val="left" w:pos="1561"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7.2</w:t>
      </w:r>
      <w:r>
        <w:rPr>
          <w:rFonts w:ascii="宋体" w:hAnsi="宋体"/>
          <w:sz w:val="24"/>
          <w:szCs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sz w:val="24"/>
          <w:szCs w:val="24"/>
        </w:rPr>
        <w:t xml:space="preserve">5</w:t>
      </w:r>
      <w:r>
        <w:rPr>
          <w:rFonts w:ascii="宋体" w:hAnsi="宋体"/>
          <w:sz w:val="24"/>
          <w:szCs w:val="24"/>
        </w:rPr>
        <w:t xml:space="preserve">日前</w:t>
      </w:r>
      <w:r>
        <w:rPr>
          <w:rFonts w:hint="eastAsia" w:ascii="宋体" w:hAnsi="宋体"/>
          <w:sz w:val="24"/>
          <w:szCs w:val="24"/>
        </w:rPr>
        <w:t xml:space="preserve">，</w:t>
      </w:r>
      <w:r>
        <w:rPr>
          <w:rFonts w:ascii="宋体" w:hAnsi="宋体"/>
          <w:sz w:val="24"/>
          <w:szCs w:val="24"/>
        </w:rPr>
        <w:t xml:space="preserve">以更正公告形式通知所有获取</w:t>
      </w:r>
      <w:r>
        <w:rPr>
          <w:rFonts w:hint="eastAsia" w:ascii="宋体" w:hAnsi="宋体"/>
          <w:sz w:val="24"/>
          <w:szCs w:val="24"/>
        </w:rPr>
        <w:t xml:space="preserve">磋商</w:t>
      </w:r>
      <w:r>
        <w:rPr>
          <w:rFonts w:ascii="宋体" w:hAnsi="宋体"/>
          <w:sz w:val="24"/>
          <w:szCs w:val="24"/>
        </w:rPr>
        <w:t xml:space="preserve">文件的潜在供应商；不足上述时间的，将顺延提交响应文件的截止时间。</w:t>
      </w:r>
      <w:bookmarkStart w:id="180" w:name="_Toc142311028"/>
      <w:r/>
      <w:bookmarkStart w:id="181" w:name="_Toc264969216"/>
      <w:r/>
      <w:bookmarkStart w:id="182" w:name="_Toc150774731"/>
      <w:r/>
      <w:bookmarkStart w:id="183" w:name="_Toc151193914"/>
      <w:r/>
      <w:bookmarkStart w:id="184" w:name="_Toc151193624"/>
      <w:r/>
      <w:bookmarkStart w:id="185" w:name="_Toc226965716"/>
      <w:r/>
      <w:bookmarkStart w:id="186" w:name="_Toc226309770"/>
      <w:r/>
      <w:bookmarkStart w:id="187" w:name="_Toc265228364"/>
      <w:r/>
      <w:bookmarkStart w:id="188" w:name="_Toc151193768"/>
      <w:r/>
      <w:bookmarkStart w:id="189" w:name="_Toc226965799"/>
      <w:r/>
      <w:bookmarkStart w:id="190" w:name="_Toc150509277"/>
      <w:r/>
      <w:bookmarkStart w:id="191" w:name="_Toc151190153"/>
      <w:r/>
      <w:bookmarkStart w:id="192" w:name="_Toc305158868"/>
      <w:r/>
      <w:bookmarkStart w:id="193" w:name="_Toc195842891"/>
      <w:r/>
      <w:bookmarkStart w:id="194" w:name="_Toc520356150"/>
      <w:r/>
      <w:bookmarkStart w:id="195" w:name="_Toc150480764"/>
      <w:r/>
      <w:bookmarkStart w:id="196" w:name="_Toc150774626"/>
      <w:r/>
      <w:bookmarkStart w:id="197" w:name="_Toc226337222"/>
      <w:r/>
      <w:bookmarkStart w:id="198" w:name="_Toc151193840"/>
      <w:r/>
      <w:bookmarkStart w:id="199" w:name="_Toc305158794"/>
      <w:r/>
      <w:bookmarkStart w:id="200" w:name="_Toc516367020"/>
      <w:r/>
      <w:bookmarkStart w:id="201" w:name="_Toc151193696"/>
      <w:r/>
      <w:bookmarkStart w:id="202" w:name="_Toc127151526"/>
      <w:r>
        <w:rPr>
          <w:rFonts w:ascii="宋体" w:hAnsi="宋体"/>
          <w:sz w:val="28"/>
          <w:szCs w:val="24"/>
        </w:rPr>
      </w:r>
      <w:r/>
    </w:p>
    <w:p>
      <w:pPr>
        <w:pStyle w:val="1263"/>
        <w:jc w:val="center"/>
        <w:keepLines/>
        <w:keepNext/>
        <w:spacing w:line="360" w:lineRule="auto"/>
        <w:rPr>
          <w:rFonts w:ascii="宋体" w:hAnsi="宋体"/>
          <w:b/>
          <w:sz w:val="28"/>
          <w:szCs w:val="20"/>
        </w:rPr>
        <w:outlineLvl w:val="1"/>
      </w:pPr>
      <w:r>
        <w:rPr>
          <w:rFonts w:ascii="宋体" w:hAnsi="宋体"/>
          <w:b/>
          <w:sz w:val="28"/>
          <w:szCs w:val="20"/>
        </w:rPr>
        <w:t xml:space="preserve">三   响应文件</w:t>
      </w:r>
      <w:bookmarkEnd w:id="200"/>
      <w:r>
        <w:rPr>
          <w:rFonts w:ascii="宋体" w:hAnsi="宋体"/>
          <w:b/>
          <w:sz w:val="28"/>
          <w:szCs w:val="20"/>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1"/>
      <w:r/>
      <w:bookmarkEnd w:id="202"/>
      <w:r>
        <w:rPr>
          <w:rFonts w:ascii="宋体" w:hAnsi="宋体"/>
          <w:b/>
          <w:sz w:val="28"/>
          <w:szCs w:val="20"/>
        </w:rPr>
      </w:r>
      <w:r/>
    </w:p>
    <w:p>
      <w:pPr>
        <w:pStyle w:val="1263"/>
        <w:numPr>
          <w:ilvl w:val="0"/>
          <w:numId w:val="0"/>
        </w:numPr>
        <w:spacing w:line="360" w:lineRule="auto"/>
        <w:tabs>
          <w:tab w:val="left" w:pos="360" w:leader="none"/>
        </w:tabs>
        <w:rPr>
          <w:rFonts w:ascii="宋体" w:hAnsi="宋体"/>
          <w:sz w:val="24"/>
          <w:szCs w:val="24"/>
        </w:rPr>
        <w:outlineLvl w:val="1"/>
      </w:pPr>
      <w:r/>
      <w:bookmarkStart w:id="203" w:name="_Toc264969217"/>
      <w:r/>
      <w:bookmarkStart w:id="204" w:name="_Toc265228365"/>
      <w:r/>
      <w:bookmarkStart w:id="205" w:name="_Toc151193625"/>
      <w:r/>
      <w:bookmarkStart w:id="206" w:name="_Toc151193915"/>
      <w:r/>
      <w:bookmarkStart w:id="207" w:name="_Toc150480765"/>
      <w:r/>
      <w:bookmarkStart w:id="208" w:name="_Toc226337223"/>
      <w:r/>
      <w:bookmarkStart w:id="209" w:name="_Toc164608641"/>
      <w:r/>
      <w:bookmarkStart w:id="210" w:name="_Toc151193697"/>
      <w:r/>
      <w:bookmarkStart w:id="211" w:name="_Toc151190154"/>
      <w:r/>
      <w:bookmarkStart w:id="212" w:name="_Toc150774627"/>
      <w:r/>
      <w:bookmarkStart w:id="213" w:name="_Toc150509278"/>
      <w:r/>
      <w:bookmarkStart w:id="214" w:name="_Toc149720820"/>
      <w:r/>
      <w:bookmarkStart w:id="215" w:name="_Toc164608796"/>
      <w:r/>
      <w:bookmarkStart w:id="216" w:name="_Toc226965800"/>
      <w:r/>
      <w:bookmarkStart w:id="217" w:name="_Toc150774732"/>
      <w:r/>
      <w:bookmarkStart w:id="218" w:name="_Toc516367021"/>
      <w:r/>
      <w:bookmarkStart w:id="219" w:name="_Toc151193841"/>
      <w:r/>
      <w:bookmarkStart w:id="220" w:name="_Toc226965717"/>
      <w:r/>
      <w:bookmarkStart w:id="221" w:name="_Toc151193769"/>
      <w:r/>
      <w:bookmarkStart w:id="222" w:name="_Toc127161441"/>
      <w:r/>
      <w:bookmarkStart w:id="223" w:name="_Toc127151728"/>
      <w:r/>
      <w:bookmarkStart w:id="224" w:name="_Toc305158795"/>
      <w:r/>
      <w:bookmarkStart w:id="225" w:name="_Toc226309771"/>
      <w:r/>
      <w:bookmarkStart w:id="226" w:name="_Toc305158869"/>
      <w:r/>
      <w:bookmarkStart w:id="227" w:name="_Toc127151527"/>
      <w:r/>
      <w:bookmarkStart w:id="228" w:name="_Toc520356151"/>
      <w:r/>
      <w:bookmarkStart w:id="229" w:name="_Toc195842892"/>
      <w:r/>
      <w:bookmarkStart w:id="230" w:name="_Toc142311029"/>
      <w:r/>
      <w:bookmarkStart w:id="231" w:name="_Toc164351621"/>
      <w:r/>
      <w:bookmarkStart w:id="232" w:name="_Toc164229368"/>
      <w:r/>
      <w:bookmarkStart w:id="233" w:name="_Toc164229222"/>
      <w:r>
        <w:rPr>
          <w:rFonts w:hint="eastAsia" w:ascii="宋体" w:hAnsi="宋体"/>
          <w:sz w:val="24"/>
          <w:szCs w:val="24"/>
          <w:lang w:val="en-US" w:eastAsia="zh-CN"/>
        </w:rPr>
        <w:t xml:space="preserve">8、</w:t>
      </w:r>
      <w:r>
        <w:rPr>
          <w:rFonts w:ascii="宋体" w:hAnsi="宋体"/>
          <w:sz w:val="24"/>
          <w:szCs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ascii="宋体" w:hAnsi="宋体"/>
          <w:sz w:val="24"/>
          <w:szCs w:val="24"/>
        </w:rPr>
        <w:t xml:space="preserve">及磋商语言</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8.1</w:t>
      </w:r>
      <w:r>
        <w:rPr>
          <w:rFonts w:ascii="宋体" w:hAnsi="宋体"/>
          <w:sz w:val="24"/>
          <w:szCs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8.2</w:t>
      </w:r>
      <w:r>
        <w:rPr>
          <w:rFonts w:ascii="宋体" w:hAnsi="宋体"/>
          <w:sz w:val="24"/>
          <w:szCs w:val="24"/>
        </w:rPr>
        <w:t xml:space="preserve">除竞争性磋商文件有特殊要求外，本项目磋商所使用的计量单位，应采用中华人民共和国法定计量单位。</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8.3</w:t>
      </w:r>
      <w:r>
        <w:rPr>
          <w:rFonts w:ascii="宋体" w:hAnsi="宋体"/>
          <w:sz w:val="24"/>
          <w:szCs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sz w:val="24"/>
          <w:szCs w:val="24"/>
        </w:rPr>
      </w:r>
      <w:r/>
    </w:p>
    <w:p>
      <w:pPr>
        <w:pStyle w:val="1263"/>
        <w:numPr>
          <w:ilvl w:val="0"/>
          <w:numId w:val="0"/>
        </w:numPr>
        <w:spacing w:line="360" w:lineRule="auto"/>
        <w:tabs>
          <w:tab w:val="left" w:pos="360" w:leader="none"/>
        </w:tabs>
        <w:rPr>
          <w:rFonts w:ascii="宋体" w:hAnsi="宋体"/>
          <w:sz w:val="24"/>
          <w:szCs w:val="24"/>
        </w:rPr>
        <w:outlineLvl w:val="1"/>
      </w:pPr>
      <w:r/>
      <w:bookmarkStart w:id="234" w:name="_Toc150774628"/>
      <w:r/>
      <w:bookmarkStart w:id="235" w:name="_Toc195842893"/>
      <w:r/>
      <w:bookmarkStart w:id="236" w:name="_Toc264969218"/>
      <w:r/>
      <w:bookmarkStart w:id="237" w:name="_Toc226965718"/>
      <w:r/>
      <w:bookmarkStart w:id="238" w:name="_Toc149720821"/>
      <w:r/>
      <w:bookmarkStart w:id="239" w:name="_Toc151193626"/>
      <w:r/>
      <w:bookmarkStart w:id="240" w:name="_Toc150774733"/>
      <w:r/>
      <w:bookmarkStart w:id="241" w:name="_Toc151193698"/>
      <w:r/>
      <w:bookmarkStart w:id="242" w:name="_Toc305158796"/>
      <w:r/>
      <w:bookmarkStart w:id="243" w:name="_Toc151193916"/>
      <w:r/>
      <w:bookmarkStart w:id="244" w:name="_Toc151193842"/>
      <w:r/>
      <w:bookmarkStart w:id="245" w:name="_Toc164229369"/>
      <w:r/>
      <w:bookmarkStart w:id="246" w:name="_Toc150509279"/>
      <w:r/>
      <w:bookmarkStart w:id="247" w:name="_Toc516367022"/>
      <w:r/>
      <w:bookmarkStart w:id="248" w:name="_Ref467306195"/>
      <w:r/>
      <w:bookmarkStart w:id="249" w:name="_Ref467306676"/>
      <w:r/>
      <w:bookmarkStart w:id="250" w:name="_Toc520356152"/>
      <w:r/>
      <w:bookmarkStart w:id="251" w:name="_Toc150480766"/>
      <w:r/>
      <w:bookmarkStart w:id="252" w:name="_Toc305158870"/>
      <w:r/>
      <w:bookmarkStart w:id="253" w:name="_Toc151190155"/>
      <w:r/>
      <w:bookmarkStart w:id="254" w:name="_Toc164351622"/>
      <w:r/>
      <w:bookmarkStart w:id="255" w:name="_Toc164229223"/>
      <w:r/>
      <w:bookmarkStart w:id="256" w:name="_Toc265228366"/>
      <w:r/>
      <w:bookmarkStart w:id="257" w:name="_Toc226965801"/>
      <w:r/>
      <w:bookmarkStart w:id="258" w:name="_Toc164608642"/>
      <w:r/>
      <w:bookmarkStart w:id="259" w:name="_Toc127161442"/>
      <w:r/>
      <w:bookmarkStart w:id="260" w:name="_Toc226309772"/>
      <w:r/>
      <w:bookmarkStart w:id="261" w:name="_Toc164608797"/>
      <w:r/>
      <w:bookmarkStart w:id="262" w:name="_Toc127151528"/>
      <w:r/>
      <w:bookmarkStart w:id="263" w:name="_Toc127151729"/>
      <w:r/>
      <w:bookmarkStart w:id="264" w:name="_Toc226337224"/>
      <w:r/>
      <w:bookmarkStart w:id="265" w:name="_Toc142311030"/>
      <w:r/>
      <w:bookmarkStart w:id="266" w:name="_Toc151193770"/>
      <w:r>
        <w:rPr>
          <w:rFonts w:hint="eastAsia" w:ascii="宋体" w:hAnsi="宋体"/>
          <w:sz w:val="24"/>
          <w:szCs w:val="24"/>
          <w:lang w:val="en-US" w:eastAsia="zh-CN"/>
        </w:rPr>
        <w:t xml:space="preserve">9、</w:t>
      </w:r>
      <w:r>
        <w:rPr>
          <w:rFonts w:ascii="宋体" w:hAnsi="宋体"/>
          <w:sz w:val="24"/>
          <w:szCs w:val="24"/>
        </w:rPr>
        <w:t xml:space="preserve">响应文件</w:t>
      </w:r>
      <w:bookmarkEnd w:id="247"/>
      <w:r/>
      <w:bookmarkEnd w:id="248"/>
      <w:r/>
      <w:bookmarkEnd w:id="249"/>
      <w:r>
        <w:rPr>
          <w:rFonts w:ascii="宋体" w:hAnsi="宋体"/>
          <w:sz w:val="24"/>
          <w:szCs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bookmarkStart w:id="267" w:name="_Ref467052588"/>
      <w:r>
        <w:rPr>
          <w:rFonts w:hint="eastAsia" w:ascii="宋体" w:hAnsi="宋体"/>
          <w:sz w:val="24"/>
          <w:szCs w:val="24"/>
          <w:lang w:val="en-US" w:eastAsia="zh-CN"/>
        </w:rPr>
        <w:t xml:space="preserve">9.1</w:t>
      </w:r>
      <w:r>
        <w:rPr>
          <w:rFonts w:ascii="宋体" w:hAnsi="宋体"/>
          <w:sz w:val="24"/>
          <w:szCs w:val="24"/>
        </w:rPr>
        <w:t xml:space="preserve">供应商应当按照竞争性磋商文件的要求编制响应文件，</w:t>
      </w:r>
      <w:r>
        <w:rPr>
          <w:rFonts w:ascii="宋体" w:hAnsi="宋体"/>
          <w:sz w:val="24"/>
          <w:szCs w:val="24"/>
        </w:rPr>
        <w:t xml:space="preserve">并对其提交的响应文件的真实性、合法性承担法律责任</w:t>
      </w:r>
      <w:r>
        <w:rPr>
          <w:rFonts w:ascii="宋体" w:hAnsi="宋体"/>
          <w:sz w:val="24"/>
          <w:szCs w:val="24"/>
        </w:rPr>
        <w:t xml:space="preserve">。响应文件的部分格式要求，见第六章《响应文件格式》。</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9.2</w:t>
      </w:r>
      <w:r>
        <w:rPr>
          <w:rFonts w:ascii="宋体" w:hAnsi="宋体"/>
          <w:sz w:val="24"/>
          <w:szCs w:val="24"/>
        </w:rPr>
        <w:t xml:space="preserve">对于竞争性磋商文件中标记了“实质性格式”文件的，</w:t>
      </w:r>
      <w:r>
        <w:rPr>
          <w:rFonts w:ascii="宋体" w:hAnsi="宋体"/>
          <w:sz w:val="24"/>
          <w:szCs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szCs w:val="24"/>
        </w:rPr>
        <w:t xml:space="preserve">否则响应无效</w:t>
      </w:r>
      <w:r>
        <w:rPr>
          <w:rFonts w:ascii="宋体" w:hAnsi="宋体"/>
          <w:sz w:val="24"/>
          <w:szCs w:val="24"/>
        </w:rPr>
        <w:t xml:space="preserve">。未标记“实质性格式”的文件和竞争性磋商文件未提供格式的内容，可由供应商自行编写。</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9.3</w:t>
      </w:r>
      <w:r>
        <w:rPr>
          <w:rFonts w:ascii="宋体" w:hAnsi="宋体"/>
          <w:sz w:val="24"/>
          <w:szCs w:val="24"/>
        </w:rPr>
        <w:t xml:space="preserve">第三章《评审方法和评审标准》中涉及的证明文件。</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9.4</w:t>
      </w:r>
      <w:r>
        <w:rPr>
          <w:rFonts w:ascii="宋体" w:hAnsi="宋体"/>
          <w:sz w:val="24"/>
          <w:szCs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9.5</w:t>
      </w:r>
      <w:r>
        <w:rPr>
          <w:rFonts w:ascii="宋体" w:hAnsi="宋体"/>
          <w:sz w:val="24"/>
          <w:szCs w:val="24"/>
        </w:rPr>
        <w:t xml:space="preserve">供应商认为应附的其他材料。</w:t>
      </w:r>
      <w:bookmarkEnd w:id="267"/>
      <w:r>
        <w:rPr>
          <w:rFonts w:ascii="宋体" w:hAnsi="宋体"/>
          <w:sz w:val="24"/>
          <w:szCs w:val="24"/>
        </w:rPr>
      </w:r>
      <w:r/>
    </w:p>
    <w:p>
      <w:pPr>
        <w:pStyle w:val="1263"/>
        <w:numPr>
          <w:ilvl w:val="0"/>
          <w:numId w:val="0"/>
        </w:numPr>
        <w:spacing w:line="360" w:lineRule="auto"/>
        <w:tabs>
          <w:tab w:val="left" w:pos="360" w:leader="none"/>
        </w:tabs>
        <w:rPr>
          <w:rFonts w:ascii="宋体" w:hAnsi="宋体"/>
          <w:sz w:val="24"/>
          <w:szCs w:val="24"/>
        </w:rPr>
        <w:outlineLvl w:val="1"/>
      </w:pPr>
      <w:r/>
      <w:bookmarkStart w:id="268" w:name="_Toc151190157"/>
      <w:r/>
      <w:bookmarkStart w:id="269" w:name="_Toc150774735"/>
      <w:r/>
      <w:bookmarkStart w:id="270" w:name="_Toc150509281"/>
      <w:r/>
      <w:bookmarkStart w:id="271" w:name="_Toc520356155"/>
      <w:r/>
      <w:bookmarkStart w:id="272" w:name="_Toc151193918"/>
      <w:r/>
      <w:bookmarkStart w:id="273" w:name="_Toc150480768"/>
      <w:r/>
      <w:bookmarkStart w:id="274" w:name="_Toc164229371"/>
      <w:r/>
      <w:bookmarkStart w:id="275" w:name="_Toc151193628"/>
      <w:r/>
      <w:bookmarkStart w:id="276" w:name="_Toc151193700"/>
      <w:r/>
      <w:bookmarkStart w:id="277" w:name="_Toc127151731"/>
      <w:r/>
      <w:bookmarkStart w:id="278" w:name="_Toc151193772"/>
      <w:r/>
      <w:bookmarkStart w:id="279" w:name="_Toc164229225"/>
      <w:r/>
      <w:bookmarkStart w:id="280" w:name="_Toc151193844"/>
      <w:r/>
      <w:bookmarkStart w:id="281" w:name="_Toc164608799"/>
      <w:r/>
      <w:bookmarkStart w:id="282" w:name="_Toc195842895"/>
      <w:r/>
      <w:bookmarkStart w:id="283" w:name="_Toc149720823"/>
      <w:r/>
      <w:bookmarkStart w:id="284" w:name="_Toc127161444"/>
      <w:r/>
      <w:bookmarkStart w:id="285" w:name="_Toc150774630"/>
      <w:r/>
      <w:bookmarkStart w:id="286" w:name="_Toc164608644"/>
      <w:r/>
      <w:bookmarkStart w:id="287" w:name="_Toc142311032"/>
      <w:r/>
      <w:bookmarkStart w:id="288" w:name="_Toc127151530"/>
      <w:r/>
      <w:bookmarkStart w:id="289" w:name="_Toc164351624"/>
      <w:r>
        <w:rPr>
          <w:rFonts w:hint="eastAsia" w:ascii="宋体" w:hAnsi="宋体"/>
          <w:sz w:val="24"/>
          <w:szCs w:val="24"/>
          <w:lang w:val="en-US" w:eastAsia="zh-CN"/>
        </w:rPr>
        <w:t xml:space="preserve">10、</w:t>
      </w:r>
      <w:r>
        <w:rPr>
          <w:rFonts w:ascii="宋体" w:hAnsi="宋体"/>
          <w:sz w:val="24"/>
          <w:szCs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宋体" w:hAnsi="宋体"/>
          <w:sz w:val="24"/>
          <w:szCs w:val="24"/>
        </w:rPr>
      </w:r>
      <w:r/>
    </w:p>
    <w:p>
      <w:pPr>
        <w:pStyle w:val="1263"/>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0.1所有响应均以人民币报价。</w:t>
      </w:r>
      <w:r>
        <w:rPr>
          <w:rFonts w:ascii="宋体" w:hAnsi="宋体"/>
          <w:sz w:val="24"/>
          <w:szCs w:val="24"/>
        </w:rPr>
      </w:r>
      <w:r/>
    </w:p>
    <w:p>
      <w:pPr>
        <w:pStyle w:val="1263"/>
        <w:ind w:firstLine="723"/>
        <w:spacing w:line="360" w:lineRule="auto"/>
        <w:rPr>
          <w:rFonts w:hint="eastAsia" w:ascii="Times New Roman" w:hAnsi="Times New Roman" w:eastAsia="宋体" w:cs="Times New Roman"/>
          <w:b/>
          <w:bCs/>
          <w:color w:val="000000"/>
          <w:sz w:val="24"/>
          <w:highlight w:val="none"/>
          <w:u w:val="none"/>
          <w:lang w:val="en-US" w:eastAsia="zh-CN"/>
        </w:rPr>
      </w:pPr>
      <w:r>
        <w:rPr>
          <w:rFonts w:hint="eastAsia" w:ascii="Times New Roman" w:hAnsi="Times New Roman" w:eastAsia="宋体" w:cs="Times New Roman"/>
          <w:b/>
          <w:bCs/>
          <w:color w:val="000000"/>
          <w:sz w:val="24"/>
          <w:highlight w:val="none"/>
          <w:u w:val="none"/>
          <w:lang w:val="en-US" w:eastAsia="zh-CN"/>
        </w:rPr>
        <w:t xml:space="preserve">项目最高限价（控制价）：1809106.33元，其中暂估价及暂列金额（含税金）为109000元，供应商报价总价不得超过控制价总价、已标价工程量清单中所有分部分项工程响应单价不得超过分部分项工程控制价单价，否则作无效响应处理。</w:t>
      </w:r>
      <w:r>
        <w:rPr>
          <w:rFonts w:hint="eastAsia" w:ascii="Times New Roman" w:hAnsi="Times New Roman" w:eastAsia="宋体" w:cs="Times New Roman"/>
          <w:b/>
          <w:bCs/>
          <w:color w:val="000000"/>
          <w:sz w:val="24"/>
          <w:highlight w:val="none"/>
          <w:u w:val="none"/>
          <w:lang w:val="en-US" w:eastAsia="zh-CN"/>
        </w:rPr>
      </w:r>
      <w:r/>
    </w:p>
    <w:p>
      <w:pPr>
        <w:pStyle w:val="1263"/>
        <w:ind w:firstLine="480"/>
        <w:spacing w:line="360" w:lineRule="auto"/>
        <w:tabs>
          <w:tab w:val="left" w:pos="1080" w:leader="none"/>
          <w:tab w:val="left" w:pos="1589"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0.1.1供应商的报价应包括</w:t>
      </w:r>
      <w:r>
        <w:rPr>
          <w:rFonts w:hint="eastAsia" w:ascii="宋体" w:hAnsi="宋体"/>
          <w:sz w:val="24"/>
          <w:szCs w:val="24"/>
          <w:lang w:val="zh-CN"/>
        </w:rPr>
        <w:t xml:space="preserve">磋商供应商在响应文件中提出的各项支付金额的总和，为实施、完成招标工程并修补缺陷以及履行竞争性磋商文件中约定的风险范围内的所有责任和义务所发生的全部费用。</w:t>
      </w:r>
      <w:r>
        <w:rPr>
          <w:rFonts w:hint="eastAsia" w:ascii="宋体" w:hAnsi="宋体"/>
          <w:sz w:val="24"/>
          <w:szCs w:val="24"/>
        </w:rPr>
        <w:t xml:space="preserve">供应商的报价应包括但不限于下列内容，《供应商须知资料表》中有特殊规定的，从其规定。</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0.1.2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宋体" w:hAnsi="宋体"/>
          <w:sz w:val="24"/>
          <w:szCs w:val="24"/>
        </w:rPr>
      </w:r>
      <w:r/>
    </w:p>
    <w:p>
      <w:pPr>
        <w:pStyle w:val="1263"/>
        <w:ind w:firstLine="480"/>
        <w:spacing w:line="360" w:lineRule="auto"/>
        <w:tabs>
          <w:tab w:val="left" w:pos="1980" w:leader="none"/>
        </w:tabs>
        <w:rPr>
          <w:rFonts w:ascii="宋体" w:hAnsi="宋体"/>
          <w:sz w:val="24"/>
          <w:szCs w:val="24"/>
        </w:rPr>
      </w:pPr>
      <w:r>
        <w:rPr>
          <w:rFonts w:ascii="宋体" w:hAnsi="宋体"/>
          <w:sz w:val="24"/>
          <w:szCs w:val="24"/>
        </w:rPr>
        <w:t xml:space="preserve">10.1.3按照竞争性磋商文件要求完成本项</w:t>
      </w:r>
      <w:r>
        <w:rPr>
          <w:rFonts w:hint="eastAsia" w:ascii="宋体" w:hAnsi="宋体"/>
          <w:sz w:val="24"/>
          <w:szCs w:val="24"/>
        </w:rPr>
        <w:t xml:space="preserve">目的全部相关工程或服务费用。</w:t>
      </w:r>
      <w:r>
        <w:rPr>
          <w:rFonts w:ascii="宋体" w:hAnsi="宋体"/>
          <w:sz w:val="24"/>
          <w:szCs w:val="24"/>
        </w:rPr>
        <w:t xml:space="preserve"> </w:t>
      </w:r>
      <w:r>
        <w:rPr>
          <w:rFonts w:ascii="宋体" w:hAnsi="宋体"/>
          <w:sz w:val="24"/>
          <w:szCs w:val="24"/>
        </w:rPr>
      </w:r>
      <w:r/>
    </w:p>
    <w:p>
      <w:pPr>
        <w:pStyle w:val="1263"/>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0.2采购人不得向供应商索要或者接受其给予的赠品、回扣或者与采购无关的其他商品、服务。</w:t>
      </w:r>
      <w:r>
        <w:rPr>
          <w:rFonts w:ascii="宋体" w:hAnsi="宋体"/>
          <w:sz w:val="24"/>
          <w:szCs w:val="24"/>
        </w:rPr>
      </w:r>
      <w:r/>
    </w:p>
    <w:p>
      <w:pPr>
        <w:pStyle w:val="1263"/>
        <w:ind w:firstLine="480"/>
        <w:spacing w:line="360" w:lineRule="auto"/>
        <w:tabs>
          <w:tab w:val="left" w:pos="1080" w:leader="none"/>
          <w:tab w:val="left" w:pos="1589" w:leader="none"/>
          <w:tab w:val="left" w:pos="2014" w:leader="none"/>
        </w:tabs>
        <w:rPr>
          <w:rFonts w:ascii="宋体" w:hAnsi="宋体"/>
          <w:sz w:val="24"/>
          <w:szCs w:val="24"/>
        </w:rPr>
      </w:pPr>
      <w:r>
        <w:rPr>
          <w:rFonts w:ascii="宋体" w:hAnsi="宋体"/>
          <w:sz w:val="24"/>
          <w:szCs w:val="24"/>
        </w:rPr>
        <w:t xml:space="preserve">10.3供应商不能提供任何有选择性或可调整的最终报价（</w:t>
      </w:r>
      <w:r>
        <w:rPr>
          <w:rFonts w:ascii="宋体" w:hAnsi="宋体"/>
          <w:sz w:val="24"/>
          <w:szCs w:val="24"/>
        </w:rPr>
        <w:t xml:space="preserve">竞争性磋商文件</w:t>
      </w:r>
      <w:r>
        <w:rPr>
          <w:rFonts w:ascii="宋体" w:hAnsi="宋体"/>
          <w:sz w:val="24"/>
          <w:szCs w:val="24"/>
        </w:rPr>
        <w:t xml:space="preserve">另有规定的除外），否则其</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63"/>
        <w:spacing w:line="360" w:lineRule="auto"/>
        <w:tabs>
          <w:tab w:val="left" w:pos="900" w:leader="none"/>
          <w:tab w:val="left" w:pos="1080" w:leader="none"/>
          <w:tab w:val="left" w:pos="1589" w:leader="none"/>
          <w:tab w:val="left" w:pos="1980" w:leader="none"/>
          <w:tab w:val="left" w:pos="2035" w:leader="none"/>
          <w:tab w:val="left" w:pos="2114" w:leader="none"/>
        </w:tabs>
        <w:rPr>
          <w:rFonts w:ascii="宋体" w:hAnsi="宋体"/>
          <w:sz w:val="24"/>
          <w:szCs w:val="24"/>
        </w:rPr>
      </w:pPr>
      <w:r>
        <w:rPr>
          <w:rFonts w:hint="eastAsia" w:ascii="宋体" w:hAnsi="宋体"/>
          <w:sz w:val="24"/>
          <w:szCs w:val="24"/>
          <w:lang w:val="en-US" w:eastAsia="zh-CN"/>
        </w:rPr>
        <w:t xml:space="preserve">11</w:t>
      </w:r>
      <w:r>
        <w:rPr>
          <w:rFonts w:ascii="宋体" w:hAnsi="宋体"/>
          <w:sz w:val="24"/>
          <w:szCs w:val="24"/>
        </w:rPr>
        <w:t xml:space="preserve">保证金</w:t>
      </w:r>
      <w:r>
        <w:rPr>
          <w:rFonts w:ascii="宋体" w:hAnsi="宋体"/>
          <w:sz w:val="24"/>
          <w:szCs w:val="24"/>
        </w:rPr>
      </w:r>
      <w:r/>
    </w:p>
    <w:p>
      <w:pPr>
        <w:pStyle w:val="1263"/>
        <w:ind w:firstLine="361"/>
        <w:spacing w:line="360" w:lineRule="auto"/>
        <w:tabs>
          <w:tab w:val="left" w:pos="360" w:leader="none"/>
        </w:tabs>
        <w:rPr>
          <w:rFonts w:hint="eastAsia" w:ascii="宋体" w:hAnsi="宋体"/>
          <w:b/>
          <w:bCs/>
          <w:sz w:val="24"/>
          <w:szCs w:val="24"/>
        </w:rPr>
        <w:outlineLvl w:val="1"/>
      </w:pPr>
      <w:r>
        <w:rPr>
          <w:rFonts w:ascii="宋体" w:hAnsi="宋体"/>
          <w:b/>
          <w:bCs/>
          <w:sz w:val="24"/>
          <w:szCs w:val="24"/>
        </w:rPr>
        <w:t xml:space="preserve">磋商保证金</w:t>
      </w:r>
      <w:r>
        <w:rPr>
          <w:rFonts w:hint="eastAsia" w:ascii="宋体" w:hAnsi="宋体"/>
          <w:b/>
          <w:bCs/>
          <w:sz w:val="24"/>
          <w:szCs w:val="24"/>
          <w:lang w:eastAsia="zh-CN"/>
        </w:rPr>
        <w:t xml:space="preserve">：</w:t>
      </w:r>
      <w:r>
        <w:rPr>
          <w:rFonts w:hint="eastAsia" w:ascii="宋体" w:hAnsi="宋体"/>
          <w:b/>
          <w:bCs/>
          <w:sz w:val="24"/>
          <w:szCs w:val="24"/>
        </w:rPr>
        <w:t xml:space="preserve">根据江苏省和常州市的相关文件规定，免收保证金。</w:t>
      </w:r>
      <w:r>
        <w:rPr>
          <w:rFonts w:hint="eastAsia" w:ascii="宋体" w:hAnsi="宋体"/>
          <w:b/>
          <w:bCs/>
          <w:sz w:val="24"/>
          <w:szCs w:val="24"/>
        </w:rPr>
      </w:r>
      <w:r/>
    </w:p>
    <w:p>
      <w:pPr>
        <w:pStyle w:val="1263"/>
        <w:ind w:firstLine="361"/>
        <w:spacing w:line="360" w:lineRule="auto"/>
        <w:tabs>
          <w:tab w:val="left" w:pos="360" w:leader="none"/>
        </w:tabs>
        <w:rPr>
          <w:rFonts w:hint="eastAsia" w:ascii="宋体" w:hAnsi="宋体" w:eastAsia="宋体"/>
          <w:b/>
          <w:bCs/>
          <w:sz w:val="24"/>
          <w:szCs w:val="24"/>
          <w:lang w:val="en-US" w:eastAsia="zh-CN"/>
        </w:rPr>
        <w:outlineLvl w:val="1"/>
      </w:pPr>
      <w:r>
        <w:rPr>
          <w:rFonts w:hint="eastAsia" w:ascii="宋体" w:hAnsi="宋体"/>
          <w:b/>
          <w:bCs/>
          <w:sz w:val="24"/>
          <w:szCs w:val="24"/>
          <w:lang w:val="en-US" w:eastAsia="zh-CN"/>
        </w:rPr>
        <w:t xml:space="preserve">履约</w:t>
      </w:r>
      <w:r>
        <w:rPr>
          <w:rFonts w:ascii="宋体" w:hAnsi="宋体"/>
          <w:b/>
          <w:bCs/>
          <w:sz w:val="24"/>
          <w:szCs w:val="24"/>
        </w:rPr>
        <w:t xml:space="preserve">保证金</w:t>
      </w: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w:t>
      </w:r>
      <w:r>
        <w:rPr>
          <w:rFonts w:hint="eastAsia" w:ascii="宋体" w:hAnsi="宋体" w:eastAsia="宋体"/>
          <w:b/>
          <w:bCs/>
          <w:sz w:val="24"/>
          <w:szCs w:val="24"/>
          <w:lang w:val="en-US" w:eastAsia="zh-CN"/>
        </w:rPr>
      </w:r>
      <w:r/>
    </w:p>
    <w:p>
      <w:pPr>
        <w:pStyle w:val="1263"/>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12、</w:t>
      </w:r>
      <w:r>
        <w:rPr>
          <w:rFonts w:ascii="宋体" w:hAnsi="宋体"/>
          <w:sz w:val="24"/>
          <w:szCs w:val="24"/>
        </w:rPr>
        <w:t xml:space="preserve">响应有效期</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12.1</w:t>
      </w:r>
      <w:r>
        <w:rPr>
          <w:rFonts w:ascii="宋体" w:hAnsi="宋体"/>
          <w:sz w:val="24"/>
          <w:szCs w:val="24"/>
        </w:rPr>
        <w:t xml:space="preserve">响应文件应在本竞争性磋商文件《供应商须知资料表》中规定的响应有效期内保持有效，响应有效期少于竞争性磋商文件规定期限的，其</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63"/>
        <w:numPr>
          <w:ilvl w:val="0"/>
          <w:numId w:val="0"/>
        </w:numPr>
        <w:spacing w:line="360" w:lineRule="auto"/>
        <w:tabs>
          <w:tab w:val="left" w:pos="360" w:leader="none"/>
        </w:tabs>
        <w:rPr>
          <w:rFonts w:ascii="宋体" w:hAnsi="宋体"/>
          <w:sz w:val="24"/>
          <w:szCs w:val="24"/>
        </w:rPr>
        <w:outlineLvl w:val="1"/>
      </w:pPr>
      <w:r/>
      <w:bookmarkStart w:id="290" w:name="_Toc226965723"/>
      <w:r/>
      <w:bookmarkStart w:id="291" w:name="_Toc150509284"/>
      <w:r/>
      <w:bookmarkStart w:id="292" w:name="_Toc195842898"/>
      <w:r/>
      <w:bookmarkStart w:id="293" w:name="_Toc127151533"/>
      <w:r/>
      <w:bookmarkStart w:id="294" w:name="_Toc151190160"/>
      <w:r/>
      <w:bookmarkStart w:id="295" w:name="_Toc164229228"/>
      <w:r/>
      <w:bookmarkStart w:id="296" w:name="_Toc150774738"/>
      <w:r/>
      <w:bookmarkStart w:id="297" w:name="_Toc164608802"/>
      <w:r/>
      <w:bookmarkStart w:id="298" w:name="_Toc164351627"/>
      <w:r/>
      <w:bookmarkStart w:id="299" w:name="_Toc265228371"/>
      <w:r/>
      <w:bookmarkStart w:id="300" w:name="_Toc226337229"/>
      <w:r/>
      <w:bookmarkStart w:id="301" w:name="_Toc264969223"/>
      <w:r/>
      <w:bookmarkStart w:id="302" w:name="_Toc305158875"/>
      <w:r/>
      <w:bookmarkStart w:id="303" w:name="_Toc142311035"/>
      <w:r/>
      <w:bookmarkStart w:id="304" w:name="_Toc151193631"/>
      <w:r/>
      <w:bookmarkStart w:id="305" w:name="_Toc151193847"/>
      <w:r/>
      <w:bookmarkStart w:id="306" w:name="_Toc151193775"/>
      <w:r/>
      <w:bookmarkStart w:id="307" w:name="_Toc226965806"/>
      <w:r/>
      <w:bookmarkStart w:id="308" w:name="_Toc127161447"/>
      <w:r/>
      <w:bookmarkStart w:id="309" w:name="_Toc149720826"/>
      <w:r/>
      <w:bookmarkStart w:id="310" w:name="_Toc127151734"/>
      <w:r/>
      <w:bookmarkStart w:id="311" w:name="_Toc520356158"/>
      <w:r/>
      <w:bookmarkStart w:id="312" w:name="_Toc164608647"/>
      <w:r/>
      <w:bookmarkStart w:id="313" w:name="_Toc150774633"/>
      <w:r/>
      <w:bookmarkStart w:id="314" w:name="_Toc164229374"/>
      <w:r/>
      <w:bookmarkStart w:id="315" w:name="_Toc226309777"/>
      <w:r/>
      <w:bookmarkStart w:id="316" w:name="_Toc150480771"/>
      <w:r/>
      <w:bookmarkStart w:id="317" w:name="_Toc151193921"/>
      <w:r/>
      <w:bookmarkStart w:id="318" w:name="_Toc305158801"/>
      <w:r/>
      <w:bookmarkStart w:id="319" w:name="_Toc151193703"/>
      <w:r>
        <w:rPr>
          <w:rFonts w:hint="eastAsia" w:ascii="宋体" w:hAnsi="宋体"/>
          <w:sz w:val="24"/>
          <w:szCs w:val="24"/>
          <w:lang w:val="en-US" w:eastAsia="zh-CN"/>
        </w:rPr>
        <w:t xml:space="preserve">13、</w:t>
      </w:r>
      <w:r>
        <w:rPr>
          <w:rFonts w:ascii="宋体" w:hAnsi="宋体"/>
          <w:sz w:val="24"/>
          <w:szCs w:val="24"/>
        </w:rPr>
        <w:t xml:space="preserve">响应文件的</w:t>
      </w:r>
      <w:r>
        <w:rPr>
          <w:rFonts w:hint="eastAsia" w:ascii="宋体" w:hAnsi="宋体"/>
          <w:sz w:val="24"/>
          <w:szCs w:val="24"/>
        </w:rPr>
        <w:t xml:space="preserve">份数、</w:t>
      </w:r>
      <w:r>
        <w:rPr>
          <w:rFonts w:ascii="宋体" w:hAnsi="宋体"/>
          <w:sz w:val="24"/>
          <w:szCs w:val="24"/>
        </w:rPr>
        <w:t xml:space="preserve">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bookmarkStart w:id="320" w:name="_Toc264969224"/>
      <w:r/>
      <w:bookmarkStart w:id="321" w:name="_Toc151190161"/>
      <w:r/>
      <w:bookmarkStart w:id="322" w:name="_Toc151193922"/>
      <w:r/>
      <w:bookmarkStart w:id="323" w:name="_Toc520356159"/>
      <w:r/>
      <w:bookmarkStart w:id="324" w:name="_Toc150774634"/>
      <w:r/>
      <w:bookmarkStart w:id="325" w:name="_Toc195842899"/>
      <w:r/>
      <w:bookmarkStart w:id="326" w:name="_Toc150480772"/>
      <w:r/>
      <w:bookmarkStart w:id="327" w:name="_Toc305158802"/>
      <w:r/>
      <w:bookmarkStart w:id="328" w:name="_Toc151193704"/>
      <w:r/>
      <w:bookmarkStart w:id="329" w:name="_Toc226309778"/>
      <w:r/>
      <w:bookmarkStart w:id="330" w:name="_Toc265228372"/>
      <w:r/>
      <w:bookmarkStart w:id="331" w:name="_Toc226965807"/>
      <w:r/>
      <w:bookmarkStart w:id="332" w:name="_Toc226965724"/>
      <w:r/>
      <w:bookmarkStart w:id="333" w:name="_Toc150774739"/>
      <w:r/>
      <w:bookmarkStart w:id="334" w:name="_Toc127151534"/>
      <w:r/>
      <w:bookmarkStart w:id="335" w:name="_Toc151193776"/>
      <w:r/>
      <w:bookmarkStart w:id="336" w:name="_Toc305158876"/>
      <w:r/>
      <w:bookmarkStart w:id="337" w:name="_Toc226337230"/>
      <w:r/>
      <w:bookmarkStart w:id="338" w:name="_Toc151193848"/>
      <w:r/>
      <w:bookmarkStart w:id="339" w:name="_Toc150509285"/>
      <w:r/>
      <w:bookmarkStart w:id="340" w:name="_Toc142311036"/>
      <w:r/>
      <w:bookmarkStart w:id="341" w:name="_Toc151193632"/>
      <w:r>
        <w:rPr>
          <w:rFonts w:hint="eastAsia" w:ascii="宋体" w:hAnsi="宋体"/>
          <w:sz w:val="24"/>
          <w:szCs w:val="24"/>
          <w:lang w:val="en-US" w:eastAsia="zh-CN"/>
        </w:rPr>
        <w:t xml:space="preserve">13.1</w:t>
      </w:r>
      <w:r>
        <w:rPr>
          <w:rFonts w:ascii="宋体" w:hAnsi="宋体"/>
          <w:sz w:val="24"/>
          <w:szCs w:val="24"/>
        </w:rPr>
        <w:t xml:space="preserve">供应商应严格按照竞争性磋商公告要求准备响应文件</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13.2</w:t>
      </w:r>
      <w:r>
        <w:rPr>
          <w:rFonts w:ascii="宋体" w:hAnsi="宋体"/>
          <w:sz w:val="24"/>
          <w:szCs w:val="24"/>
        </w:rPr>
        <w:t xml:space="preserve">响应文件</w:t>
      </w:r>
      <w:r>
        <w:rPr>
          <w:rFonts w:hint="eastAsia" w:ascii="宋体" w:hAnsi="宋体"/>
          <w:sz w:val="24"/>
          <w:szCs w:val="24"/>
        </w:rPr>
        <w:t xml:space="preserve">按顺序编制目录索引，且</w:t>
      </w:r>
      <w:r>
        <w:rPr>
          <w:rFonts w:ascii="宋体" w:hAnsi="宋体"/>
          <w:sz w:val="24"/>
          <w:szCs w:val="24"/>
        </w:rPr>
        <w:t xml:space="preserve">由供应商法定代表人或其授权代表签字。授权代表为非法定代表人时，须将法定代表人以书面形式出具的“法定代表人授权书”（原件）附在响应文件中。</w:t>
      </w:r>
      <w:r>
        <w:rPr>
          <w:rFonts w:ascii="宋体" w:hAnsi="宋体"/>
          <w:sz w:val="24"/>
          <w:szCs w:val="24"/>
        </w:rPr>
      </w:r>
      <w:r/>
    </w:p>
    <w:p>
      <w:pPr>
        <w:pStyle w:val="1263"/>
        <w:numPr>
          <w:ilvl w:val="0"/>
          <w:numId w:val="0"/>
        </w:numPr>
        <w:ind w:firstLine="480"/>
        <w:spacing w:line="360" w:lineRule="auto"/>
        <w:tabs>
          <w:tab w:val="left" w:pos="1080" w:leader="none"/>
          <w:tab w:val="left" w:pos="1589" w:leader="none"/>
          <w:tab w:val="left" w:pos="2014" w:leader="none"/>
        </w:tabs>
        <w:rPr>
          <w:rFonts w:ascii="宋体" w:hAnsi="宋体"/>
          <w:szCs w:val="24"/>
        </w:rPr>
      </w:pPr>
      <w:r>
        <w:rPr>
          <w:rFonts w:hint="eastAsia" w:ascii="宋体" w:hAnsi="宋体"/>
          <w:sz w:val="24"/>
          <w:szCs w:val="24"/>
          <w:lang w:val="en-US" w:eastAsia="zh-CN"/>
        </w:rPr>
        <w:t xml:space="preserve">13.3</w:t>
      </w:r>
      <w:r>
        <w:rPr>
          <w:rFonts w:ascii="宋体" w:hAnsi="宋体"/>
          <w:sz w:val="24"/>
          <w:szCs w:val="24"/>
        </w:rPr>
        <w:t xml:space="preserve">除供应商对错处做必要修改外，响应文件不得行间插字、涂改或增删。如有修改错漏处，必须由响应文件签署人签字或盖章。</w:t>
      </w:r>
      <w:r>
        <w:rPr>
          <w:rFonts w:ascii="宋体" w:hAnsi="宋体"/>
          <w:szCs w:val="24"/>
        </w:rPr>
      </w:r>
      <w:r/>
    </w:p>
    <w:p>
      <w:pPr>
        <w:pStyle w:val="1263"/>
        <w:jc w:val="center"/>
        <w:keepLines/>
        <w:keepNext/>
        <w:spacing w:line="360" w:lineRule="auto"/>
        <w:rPr>
          <w:rFonts w:ascii="宋体" w:hAnsi="宋体"/>
          <w:b/>
          <w:sz w:val="28"/>
          <w:szCs w:val="20"/>
        </w:rPr>
        <w:outlineLvl w:val="1"/>
      </w:pPr>
      <w:r>
        <w:rPr>
          <w:rFonts w:ascii="宋体" w:hAnsi="宋体"/>
          <w:b/>
          <w:sz w:val="28"/>
          <w:szCs w:val="20"/>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宋体" w:hAnsi="宋体"/>
          <w:b/>
          <w:sz w:val="28"/>
          <w:szCs w:val="20"/>
        </w:rPr>
      </w:r>
      <w:r/>
    </w:p>
    <w:p>
      <w:pPr>
        <w:pStyle w:val="1263"/>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4</w:t>
      </w:r>
      <w:r>
        <w:rPr>
          <w:rFonts w:hint="eastAsia" w:ascii="宋体" w:hAnsi="Times New Roman"/>
          <w:sz w:val="24"/>
          <w:szCs w:val="24"/>
          <w:lang w:eastAsia="zh-CN"/>
        </w:rPr>
        <w:t xml:space="preserve">、</w:t>
      </w:r>
      <w:r>
        <w:rPr>
          <w:rFonts w:hint="eastAsia" w:ascii="宋体" w:hAnsi="Times New Roman"/>
          <w:sz w:val="24"/>
          <w:szCs w:val="24"/>
        </w:rPr>
        <w:t xml:space="preserve">投标文件的提交</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4</w:t>
      </w:r>
      <w:r>
        <w:rPr>
          <w:rFonts w:ascii="宋体" w:hAnsi="Times New Roman"/>
          <w:sz w:val="24"/>
          <w:szCs w:val="24"/>
        </w:rPr>
        <w:t xml:space="preserve">.1</w:t>
      </w:r>
      <w:r>
        <w:rPr>
          <w:rFonts w:hint="eastAsia" w:ascii="宋体" w:hAnsi="Times New Roman"/>
          <w:sz w:val="24"/>
          <w:szCs w:val="24"/>
        </w:rPr>
        <w:t xml:space="preserve">本项目使用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。投标人根据招标文件及</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供应商操作手册要求编制、生成并提交电子投标文件。</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4</w:t>
      </w:r>
      <w:r>
        <w:rPr>
          <w:rFonts w:ascii="宋体" w:hAnsi="Times New Roman"/>
          <w:sz w:val="24"/>
          <w:szCs w:val="24"/>
        </w:rPr>
        <w:t xml:space="preserve">.2</w:t>
      </w:r>
      <w:r>
        <w:rPr>
          <w:rFonts w:hint="eastAsia" w:ascii="宋体" w:hAnsi="Times New Roman"/>
          <w:sz w:val="24"/>
          <w:szCs w:val="24"/>
        </w:rPr>
        <w:t xml:space="preserve">采购人及采购代理机构拒绝接受通过</w:t>
      </w:r>
      <w:r>
        <w:rPr>
          <w:rFonts w:hint="eastAsia" w:ascii="宋体" w:hAnsi="Times New Roman"/>
          <w:b/>
          <w:bCs/>
          <w:sz w:val="24"/>
          <w:szCs w:val="24"/>
          <w:lang w:eastAsia="zh-CN"/>
        </w:rPr>
        <w:t xml:space="preserve">“苏采云”政府采购一体化平台</w:t>
      </w:r>
      <w:r>
        <w:rPr>
          <w:rFonts w:hint="eastAsia" w:ascii="宋体" w:hAnsi="Times New Roman"/>
          <w:sz w:val="24"/>
          <w:szCs w:val="24"/>
        </w:rPr>
        <w:t xml:space="preserve">以外任何形式提交的投标文件。</w:t>
      </w:r>
      <w:r>
        <w:rPr>
          <w:rFonts w:ascii="宋体" w:hAnsi="Times New Roman"/>
          <w:sz w:val="24"/>
          <w:szCs w:val="24"/>
        </w:rPr>
      </w:r>
      <w:r/>
    </w:p>
    <w:p>
      <w:pPr>
        <w:pStyle w:val="1263"/>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5</w:t>
      </w:r>
      <w:r>
        <w:rPr>
          <w:rFonts w:hint="eastAsia" w:ascii="宋体" w:hAnsi="Times New Roman"/>
          <w:sz w:val="24"/>
          <w:szCs w:val="24"/>
          <w:lang w:eastAsia="zh-CN"/>
        </w:rPr>
        <w:t xml:space="preserve">、</w:t>
      </w:r>
      <w:r>
        <w:rPr>
          <w:rFonts w:hint="eastAsia" w:ascii="宋体" w:hAnsi="Times New Roman"/>
          <w:sz w:val="24"/>
          <w:szCs w:val="24"/>
        </w:rPr>
        <w:t xml:space="preserve">投标截止时间</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5</w:t>
      </w:r>
      <w:r>
        <w:rPr>
          <w:rFonts w:ascii="宋体" w:hAnsi="Times New Roman"/>
          <w:sz w:val="24"/>
          <w:szCs w:val="24"/>
        </w:rPr>
        <w:t xml:space="preserve">.1</w:t>
      </w:r>
      <w:r>
        <w:rPr>
          <w:rFonts w:hint="eastAsia" w:ascii="宋体" w:hAnsi="Times New Roman"/>
          <w:sz w:val="24"/>
          <w:szCs w:val="24"/>
        </w:rPr>
        <w:t xml:space="preserve">投标人应在招标文件要求提交投标文件截止时间前，将电子投标文件提交至</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w:t>
      </w:r>
      <w:r>
        <w:rPr>
          <w:rFonts w:ascii="宋体" w:hAnsi="Times New Roman"/>
          <w:sz w:val="24"/>
          <w:szCs w:val="24"/>
        </w:rPr>
      </w:r>
      <w:r/>
    </w:p>
    <w:p>
      <w:pPr>
        <w:pStyle w:val="1263"/>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6</w:t>
      </w:r>
      <w:r>
        <w:rPr>
          <w:rFonts w:hint="eastAsia" w:ascii="宋体" w:hAnsi="Times New Roman"/>
          <w:sz w:val="24"/>
          <w:szCs w:val="24"/>
          <w:lang w:eastAsia="zh-CN"/>
        </w:rPr>
        <w:t xml:space="preserve">、</w:t>
      </w:r>
      <w:r>
        <w:rPr>
          <w:rFonts w:hint="eastAsia" w:ascii="宋体" w:hAnsi="Times New Roman"/>
          <w:sz w:val="24"/>
          <w:szCs w:val="24"/>
        </w:rPr>
        <w:t xml:space="preserve">投标文件的修改与撤回</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6</w:t>
      </w:r>
      <w:r>
        <w:rPr>
          <w:rFonts w:ascii="宋体" w:hAnsi="Times New Roman"/>
          <w:sz w:val="24"/>
          <w:szCs w:val="24"/>
        </w:rPr>
        <w:t xml:space="preserve">.1</w:t>
      </w:r>
      <w:r>
        <w:rPr>
          <w:rFonts w:hint="eastAsia" w:ascii="宋体" w:hAnsi="Times New Roman"/>
          <w:sz w:val="24"/>
          <w:szCs w:val="24"/>
        </w:rPr>
        <w:t xml:space="preserve">投标截止时间前，投标人可以通过</w:t>
      </w:r>
      <w:r>
        <w:rPr>
          <w:rFonts w:hint="eastAsia" w:ascii="宋体" w:hAnsi="Times New Roman"/>
          <w:b/>
          <w:bCs/>
          <w:sz w:val="24"/>
          <w:szCs w:val="24"/>
          <w:lang w:eastAsia="zh-CN"/>
        </w:rPr>
        <w:t xml:space="preserve">“苏采云”政府采购一体化平台</w:t>
      </w:r>
      <w:r>
        <w:rPr>
          <w:rFonts w:hint="eastAsia" w:ascii="宋体" w:hAnsi="Times New Roman"/>
          <w:sz w:val="24"/>
          <w:szCs w:val="24"/>
        </w:rPr>
        <w:t xml:space="preserve">对所提交的投标文件进行补充、修改或者撤回。</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6</w:t>
      </w:r>
      <w:r>
        <w:rPr>
          <w:rFonts w:ascii="宋体" w:hAnsi="Times New Roman"/>
          <w:sz w:val="24"/>
          <w:szCs w:val="24"/>
        </w:rPr>
        <w:t xml:space="preserve">.2</w:t>
      </w:r>
      <w:r>
        <w:rPr>
          <w:rFonts w:hint="eastAsia" w:ascii="宋体" w:hAnsi="Times New Roman"/>
          <w:sz w:val="24"/>
          <w:szCs w:val="24"/>
        </w:rPr>
        <w:t xml:space="preserve">投标人对投标文件的补充、修改的内容应当按照招标文件要求签署、加盖公章，作为投标文件的组成部分</w:t>
      </w:r>
      <w:r>
        <w:rPr>
          <w:rFonts w:ascii="宋体" w:hAnsi="Times New Roman"/>
          <w:sz w:val="24"/>
          <w:szCs w:val="24"/>
        </w:rPr>
      </w:r>
      <w:r/>
    </w:p>
    <w:p>
      <w:pPr>
        <w:pStyle w:val="1263"/>
        <w:jc w:val="center"/>
        <w:keepLines/>
        <w:keepNext/>
        <w:spacing w:line="360" w:lineRule="auto"/>
        <w:rPr>
          <w:rFonts w:ascii="宋体" w:hAnsi="宋体"/>
          <w:b/>
          <w:sz w:val="24"/>
          <w:szCs w:val="24"/>
        </w:rPr>
        <w:outlineLvl w:val="1"/>
      </w:pPr>
      <w:r/>
      <w:bookmarkStart w:id="342" w:name="_Toc150480776"/>
      <w:r/>
      <w:bookmarkStart w:id="343" w:name="_Toc226337234"/>
      <w:r/>
      <w:bookmarkStart w:id="344" w:name="_Toc150774638"/>
      <w:r/>
      <w:bookmarkStart w:id="345" w:name="_Toc151193708"/>
      <w:r/>
      <w:bookmarkStart w:id="346" w:name="_Toc151193780"/>
      <w:r/>
      <w:bookmarkStart w:id="347" w:name="_Toc226965728"/>
      <w:r/>
      <w:bookmarkStart w:id="348" w:name="_Toc151193852"/>
      <w:r/>
      <w:bookmarkStart w:id="349" w:name="_Toc264969228"/>
      <w:r/>
      <w:bookmarkStart w:id="350" w:name="_Toc151193636"/>
      <w:r/>
      <w:bookmarkStart w:id="351" w:name="_Toc142311040"/>
      <w:r/>
      <w:bookmarkStart w:id="352" w:name="_Toc226965811"/>
      <w:r/>
      <w:bookmarkStart w:id="353" w:name="_Toc195842903"/>
      <w:r/>
      <w:bookmarkStart w:id="354" w:name="_Toc305158806"/>
      <w:r/>
      <w:bookmarkStart w:id="355" w:name="_Toc151193926"/>
      <w:r/>
      <w:bookmarkStart w:id="356" w:name="_Toc150774743"/>
      <w:r/>
      <w:bookmarkStart w:id="357" w:name="_Toc151190165"/>
      <w:r/>
      <w:bookmarkStart w:id="358" w:name="_Toc305158880"/>
      <w:r/>
      <w:bookmarkStart w:id="359" w:name="_Toc265228376"/>
      <w:r/>
      <w:bookmarkStart w:id="360" w:name="_Toc150509289"/>
      <w:r/>
      <w:bookmarkStart w:id="361" w:name="_Toc127151538"/>
      <w:r/>
      <w:bookmarkStart w:id="362" w:name="_Toc226309782"/>
      <w:r/>
      <w:bookmarkStart w:id="363" w:name="_Toc520356163"/>
      <w:r>
        <w:rPr>
          <w:rFonts w:ascii="宋体" w:hAnsi="宋体"/>
          <w:b/>
          <w:sz w:val="24"/>
          <w:szCs w:val="24"/>
        </w:rPr>
        <w:t xml:space="preserve">五   </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b/>
          <w:sz w:val="24"/>
          <w:szCs w:val="24"/>
        </w:rPr>
        <w:t xml:space="preserve">开标、资格审查及评标</w:t>
      </w:r>
      <w:r>
        <w:rPr>
          <w:rFonts w:ascii="宋体" w:hAnsi="宋体"/>
          <w:b/>
          <w:sz w:val="24"/>
          <w:szCs w:val="24"/>
        </w:rPr>
      </w:r>
      <w:r/>
    </w:p>
    <w:p>
      <w:pPr>
        <w:pStyle w:val="1263"/>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hint="eastAsia" w:ascii="宋体" w:hAnsi="Times New Roman"/>
          <w:sz w:val="24"/>
          <w:szCs w:val="24"/>
          <w:lang w:eastAsia="zh-CN"/>
        </w:rPr>
        <w:t xml:space="preserve">、</w:t>
      </w:r>
      <w:r>
        <w:rPr>
          <w:rFonts w:hint="eastAsia" w:ascii="宋体" w:hAnsi="Times New Roman"/>
          <w:sz w:val="24"/>
          <w:szCs w:val="24"/>
        </w:rPr>
        <w:t xml:space="preserve">开标</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.1</w:t>
      </w:r>
      <w:r>
        <w:rPr>
          <w:rFonts w:hint="eastAsia" w:ascii="宋体" w:hAnsi="Times New Roman"/>
          <w:sz w:val="24"/>
          <w:szCs w:val="24"/>
        </w:rPr>
        <w:t xml:space="preserve">采购人或采购代理机构将按招标文件的规定，在投标截止时间的同一时间和招标文件预先确定的地点组织开标。</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.2</w:t>
      </w:r>
      <w:r>
        <w:rPr>
          <w:rFonts w:hint="eastAsia" w:ascii="宋体" w:hAnsi="Times New Roman"/>
          <w:sz w:val="24"/>
          <w:szCs w:val="24"/>
        </w:rPr>
        <w:t xml:space="preserve">本项目开标采用不见面招投标模式，使用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在线进行开标。投标人应在规定的时间内对投标文件进行解密，因非系统原因导致的解密失败，视为投标无效。</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.3</w:t>
      </w:r>
      <w:r>
        <w:rPr>
          <w:rFonts w:hint="eastAsia" w:ascii="宋体" w:hAnsi="Times New Roman"/>
          <w:sz w:val="24"/>
          <w:szCs w:val="24"/>
        </w:rPr>
        <w:t xml:space="preserve">开标过程将使用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.4</w:t>
      </w:r>
      <w:r>
        <w:rPr>
          <w:rFonts w:hint="eastAsia" w:ascii="宋体" w:hAnsi="Times New Roman"/>
          <w:sz w:val="24"/>
          <w:szCs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.5</w:t>
      </w:r>
      <w:r>
        <w:rPr>
          <w:rFonts w:hint="eastAsia" w:ascii="宋体" w:hAnsi="Times New Roman"/>
          <w:sz w:val="24"/>
          <w:szCs w:val="24"/>
        </w:rPr>
        <w:t xml:space="preserve">投标人不足3家的，不予</w:t>
      </w:r>
      <w:r>
        <w:rPr>
          <w:rFonts w:hint="eastAsia" w:ascii="宋体" w:hAnsi="Times New Roman"/>
          <w:sz w:val="24"/>
          <w:szCs w:val="24"/>
          <w:lang w:val="en-US" w:eastAsia="zh-CN"/>
        </w:rPr>
        <w:t xml:space="preserve">解密</w:t>
      </w:r>
      <w:r>
        <w:rPr>
          <w:rFonts w:hint="eastAsia" w:ascii="宋体" w:hAnsi="Times New Roman"/>
          <w:sz w:val="24"/>
          <w:szCs w:val="24"/>
        </w:rPr>
        <w:t xml:space="preserve">。</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.6</w:t>
      </w:r>
      <w:r>
        <w:rPr>
          <w:rFonts w:hint="eastAsia" w:ascii="宋体" w:hAnsi="Times New Roman"/>
          <w:sz w:val="24"/>
          <w:szCs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.7</w:t>
      </w:r>
      <w:r>
        <w:rPr>
          <w:rFonts w:hint="eastAsia" w:ascii="宋体" w:hAnsi="Times New Roman"/>
          <w:sz w:val="24"/>
          <w:szCs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.8</w:t>
      </w:r>
      <w:r>
        <w:rPr>
          <w:rFonts w:hint="eastAsia" w:ascii="宋体" w:hAnsi="Times New Roman"/>
          <w:sz w:val="24"/>
          <w:szCs w:val="24"/>
        </w:rPr>
        <w:t xml:space="preserve">如果在采购活动过程中出现以下情形，导致“</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”系统无法正常运行，或者无法保证本项目采购活动的公平、公正和安全时，代理机构可以延缓或者暂停采购活动，情况严重的可以终止采购活动：</w:t>
      </w:r>
      <w:r>
        <w:rPr>
          <w:rFonts w:ascii="宋体" w:hAnsi="Times New Roman"/>
          <w:sz w:val="24"/>
          <w:szCs w:val="24"/>
        </w:rPr>
      </w:r>
      <w:r/>
    </w:p>
    <w:p>
      <w:pPr>
        <w:pStyle w:val="1263"/>
        <w:ind w:firstLine="240"/>
        <w:jc w:val="left"/>
        <w:spacing w:line="360" w:lineRule="auto"/>
        <w:rPr>
          <w:rFonts w:ascii="宋体" w:hAnsi="Times New Roman"/>
          <w:sz w:val="24"/>
          <w:szCs w:val="24"/>
        </w:rPr>
      </w:pPr>
      <w:r>
        <w:rPr>
          <w:rFonts w:ascii="宋体" w:hAnsi="Times New Roman"/>
          <w:sz w:val="24"/>
          <w:szCs w:val="24"/>
        </w:rPr>
        <w:t xml:space="preserve"> 1.</w:t>
      </w:r>
      <w:r>
        <w:rPr>
          <w:rFonts w:hint="eastAsia" w:ascii="宋体" w:hAnsi="Times New Roman"/>
          <w:sz w:val="24"/>
          <w:szCs w:val="24"/>
        </w:rPr>
        <w:t xml:space="preserve">平台系统发生故障而无法登录访问的；</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2．平台系统应用或数据库出现错误，不能进行正常操作的；</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3．平台系统发现严重安全漏洞，有潜在泄密危险的；</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4．病毒发作导致平台系统不能进行正常操作的；</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5．其他无法保证本次采购活动的公平、公正和安全的情况。</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Times New Roman"/>
          <w:sz w:val="24"/>
          <w:szCs w:val="24"/>
        </w:rPr>
      </w:r>
      <w:r/>
    </w:p>
    <w:p>
      <w:pPr>
        <w:pStyle w:val="1263"/>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8</w:t>
      </w:r>
      <w:r>
        <w:rPr>
          <w:rFonts w:hint="eastAsia" w:ascii="宋体" w:hAnsi="Times New Roman"/>
          <w:sz w:val="24"/>
          <w:szCs w:val="24"/>
          <w:lang w:eastAsia="zh-CN"/>
        </w:rPr>
        <w:t xml:space="preserve">、</w:t>
      </w:r>
      <w:r>
        <w:rPr>
          <w:rFonts w:hint="eastAsia" w:ascii="宋体" w:hAnsi="Times New Roman"/>
          <w:sz w:val="24"/>
          <w:szCs w:val="24"/>
        </w:rPr>
        <w:t xml:space="preserve">资格审查</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8</w:t>
      </w:r>
      <w:r>
        <w:rPr>
          <w:rFonts w:ascii="宋体" w:hAnsi="Times New Roman"/>
          <w:sz w:val="24"/>
          <w:szCs w:val="24"/>
        </w:rPr>
        <w:t xml:space="preserve">.1</w:t>
      </w:r>
      <w:r>
        <w:rPr>
          <w:rFonts w:hint="eastAsia" w:ascii="宋体" w:hAnsi="Times New Roman"/>
          <w:sz w:val="24"/>
          <w:szCs w:val="24"/>
        </w:rPr>
        <w:t xml:space="preserve">见第三章《资格审查》。</w:t>
      </w:r>
      <w:r>
        <w:rPr>
          <w:rFonts w:ascii="宋体" w:hAnsi="Times New Roman"/>
          <w:sz w:val="24"/>
          <w:szCs w:val="24"/>
        </w:rPr>
      </w:r>
      <w:r/>
    </w:p>
    <w:p>
      <w:pPr>
        <w:pStyle w:val="1263"/>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lang w:val="en-US" w:eastAsia="zh-CN"/>
        </w:rPr>
        <w:t xml:space="preserve">9</w:t>
      </w:r>
      <w:r>
        <w:rPr>
          <w:rFonts w:hint="eastAsia" w:ascii="宋体" w:hAnsi="Times New Roman"/>
          <w:sz w:val="24"/>
          <w:szCs w:val="24"/>
          <w:lang w:eastAsia="zh-CN"/>
        </w:rPr>
        <w:t xml:space="preserve">、</w:t>
      </w:r>
      <w:r>
        <w:rPr>
          <w:rFonts w:hint="eastAsia" w:ascii="宋体" w:hAnsi="Times New Roman"/>
          <w:sz w:val="24"/>
          <w:szCs w:val="24"/>
        </w:rPr>
        <w:t xml:space="preserve">评标委员会</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9</w:t>
      </w:r>
      <w:r>
        <w:rPr>
          <w:rFonts w:ascii="宋体" w:hAnsi="Times New Roman"/>
          <w:sz w:val="24"/>
          <w:szCs w:val="24"/>
        </w:rPr>
        <w:t xml:space="preserve">.1</w:t>
      </w:r>
      <w:r>
        <w:rPr>
          <w:rFonts w:hint="eastAsia" w:ascii="宋体" w:hAnsi="Times New Roman"/>
          <w:sz w:val="24"/>
          <w:szCs w:val="24"/>
        </w:rPr>
        <w:t xml:space="preserve">评标委员会根据政府采购有关规定和本次招标采购项目的特点进行组建，并负责具体评标事务，独立履行职责。</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lang w:val="en-US" w:eastAsia="zh-CN"/>
        </w:rPr>
        <w:t xml:space="preserve">9</w:t>
      </w:r>
      <w:r>
        <w:rPr>
          <w:rFonts w:ascii="宋体" w:hAnsi="Times New Roman"/>
          <w:sz w:val="24"/>
          <w:szCs w:val="24"/>
        </w:rPr>
        <w:t xml:space="preserve">.2</w:t>
      </w:r>
      <w:r>
        <w:rPr>
          <w:rFonts w:hint="eastAsia" w:ascii="宋体" w:hAnsi="Times New Roman"/>
          <w:sz w:val="24"/>
          <w:szCs w:val="24"/>
        </w:rPr>
        <w:t xml:space="preserve">评审专家须符合相关规定。依法自行选定评审专家的，采购人和采购代理机构将查询有关信用记录，对具有行贿、受贿、欺诈等不良信用记录的人员，拒绝其参与政府采购活动。</w:t>
      </w:r>
      <w:r>
        <w:rPr>
          <w:rFonts w:ascii="宋体" w:hAnsi="Times New Roman"/>
          <w:sz w:val="24"/>
          <w:szCs w:val="24"/>
        </w:rPr>
      </w:r>
      <w:r/>
    </w:p>
    <w:p>
      <w:pPr>
        <w:pStyle w:val="1263"/>
        <w:jc w:val="left"/>
        <w:spacing w:line="360" w:lineRule="auto"/>
        <w:rPr>
          <w:rFonts w:ascii="宋体" w:hAnsi="Times New Roman"/>
          <w:sz w:val="24"/>
          <w:szCs w:val="24"/>
        </w:rPr>
      </w:pPr>
      <w:r>
        <w:rPr>
          <w:rFonts w:hint="eastAsia" w:ascii="宋体" w:hAnsi="Times New Roman"/>
          <w:sz w:val="24"/>
          <w:szCs w:val="24"/>
          <w:lang w:val="en-US" w:eastAsia="zh-CN"/>
        </w:rPr>
        <w:t xml:space="preserve">20</w:t>
      </w:r>
      <w:r>
        <w:rPr>
          <w:rFonts w:hint="eastAsia" w:ascii="宋体" w:hAnsi="Times New Roman"/>
          <w:sz w:val="24"/>
          <w:szCs w:val="24"/>
          <w:lang w:eastAsia="zh-CN"/>
        </w:rPr>
        <w:t xml:space="preserve">、</w:t>
      </w:r>
      <w:r>
        <w:rPr>
          <w:rFonts w:hint="eastAsia" w:ascii="宋体" w:hAnsi="Times New Roman"/>
          <w:sz w:val="24"/>
          <w:szCs w:val="24"/>
        </w:rPr>
        <w:t xml:space="preserve">评标程序、评标方法和评标标准</w:t>
      </w:r>
      <w:r>
        <w:rPr>
          <w:rFonts w:ascii="宋体" w:hAnsi="Times New Roman"/>
          <w:sz w:val="24"/>
          <w:szCs w:val="24"/>
        </w:rPr>
      </w:r>
      <w:r/>
    </w:p>
    <w:p>
      <w:pPr>
        <w:pStyle w:val="1263"/>
        <w:ind w:firstLine="420"/>
        <w:jc w:val="left"/>
        <w:spacing w:line="360" w:lineRule="auto"/>
        <w:rPr>
          <w:rFonts w:ascii="宋体" w:hAnsi="Times New Roman"/>
          <w:sz w:val="24"/>
          <w:szCs w:val="24"/>
        </w:rPr>
      </w:pPr>
      <w:r>
        <w:rPr>
          <w:rFonts w:hint="eastAsia" w:ascii="宋体" w:hAnsi="Times New Roman"/>
          <w:sz w:val="24"/>
          <w:szCs w:val="24"/>
          <w:lang w:val="en-US" w:eastAsia="zh-CN"/>
        </w:rPr>
        <w:t xml:space="preserve">20</w:t>
      </w:r>
      <w:r>
        <w:rPr>
          <w:rFonts w:ascii="宋体" w:hAnsi="Times New Roman"/>
          <w:sz w:val="24"/>
          <w:szCs w:val="24"/>
        </w:rPr>
        <w:t xml:space="preserve">.1</w:t>
      </w:r>
      <w:r>
        <w:rPr>
          <w:rFonts w:hint="eastAsia" w:ascii="宋体" w:hAnsi="Times New Roman"/>
          <w:sz w:val="24"/>
          <w:szCs w:val="24"/>
        </w:rPr>
        <w:t xml:space="preserve">见第三章《评标程序、评标方法和评标标准》。</w:t>
      </w:r>
      <w:r>
        <w:rPr>
          <w:rFonts w:ascii="宋体" w:hAnsi="Times New Roman"/>
          <w:sz w:val="24"/>
          <w:szCs w:val="24"/>
        </w:rPr>
      </w:r>
      <w:r/>
    </w:p>
    <w:p>
      <w:pPr>
        <w:pStyle w:val="1263"/>
        <w:ind w:firstLine="420"/>
        <w:jc w:val="left"/>
        <w:rPr>
          <w:rFonts w:ascii="宋体" w:hAnsi="Times New Roman"/>
          <w:sz w:val="24"/>
          <w:szCs w:val="24"/>
        </w:rPr>
      </w:pPr>
      <w:r>
        <w:rPr>
          <w:rFonts w:ascii="宋体" w:hAnsi="Times New Roman"/>
          <w:sz w:val="24"/>
          <w:szCs w:val="24"/>
        </w:rPr>
      </w:r>
      <w:r/>
    </w:p>
    <w:p>
      <w:pPr>
        <w:pStyle w:val="1263"/>
        <w:jc w:val="center"/>
        <w:keepLines/>
        <w:keepNext/>
        <w:spacing w:line="360" w:lineRule="auto"/>
        <w:rPr>
          <w:rFonts w:ascii="宋体" w:hAnsi="宋体"/>
          <w:b/>
          <w:sz w:val="28"/>
          <w:szCs w:val="20"/>
        </w:rPr>
        <w:outlineLvl w:val="1"/>
      </w:pPr>
      <w:r/>
      <w:bookmarkStart w:id="364" w:name="_Toc150509296"/>
      <w:r/>
      <w:bookmarkStart w:id="365" w:name="_Toc151190172"/>
      <w:r/>
      <w:bookmarkStart w:id="366" w:name="_Toc226337241"/>
      <w:r/>
      <w:bookmarkStart w:id="367" w:name="_Toc142311047"/>
      <w:r/>
      <w:bookmarkStart w:id="368" w:name="_Toc151193859"/>
      <w:r/>
      <w:bookmarkStart w:id="369" w:name="_Toc150480783"/>
      <w:r/>
      <w:bookmarkStart w:id="370" w:name="_Toc195842910"/>
      <w:r/>
      <w:bookmarkStart w:id="371" w:name="_Toc305158813"/>
      <w:r/>
      <w:bookmarkStart w:id="372" w:name="_Toc151193787"/>
      <w:r/>
      <w:bookmarkStart w:id="373" w:name="_Toc264969235"/>
      <w:r/>
      <w:bookmarkStart w:id="374" w:name="_Toc226965818"/>
      <w:r/>
      <w:bookmarkStart w:id="375" w:name="_Toc151193933"/>
      <w:r/>
      <w:bookmarkStart w:id="376" w:name="_Toc520356169"/>
      <w:r/>
      <w:bookmarkStart w:id="377" w:name="_Toc305158887"/>
      <w:r/>
      <w:bookmarkStart w:id="378" w:name="_Toc150774645"/>
      <w:r/>
      <w:bookmarkStart w:id="379" w:name="_Toc127151545"/>
      <w:r/>
      <w:bookmarkStart w:id="380" w:name="_Toc226965735"/>
      <w:r/>
      <w:bookmarkStart w:id="381" w:name="_Toc226309789"/>
      <w:r/>
      <w:bookmarkStart w:id="382" w:name="_Toc151193715"/>
      <w:r/>
      <w:bookmarkStart w:id="383" w:name="_Toc265228383"/>
      <w:r/>
      <w:bookmarkStart w:id="384" w:name="_Toc150774750"/>
      <w:r/>
      <w:bookmarkStart w:id="385" w:name="_Toc151193643"/>
      <w:r>
        <w:rPr>
          <w:rFonts w:ascii="宋体" w:hAnsi="宋体"/>
          <w:b/>
          <w:sz w:val="28"/>
          <w:szCs w:val="20"/>
        </w:rPr>
        <w:t xml:space="preserve">六   </w:t>
      </w:r>
      <w:bookmarkEnd w:id="376"/>
      <w:r>
        <w:rPr>
          <w:rFonts w:ascii="宋体" w:hAnsi="宋体"/>
          <w:b/>
          <w:sz w:val="28"/>
          <w:szCs w:val="20"/>
        </w:rPr>
        <w:t xml:space="preserve">确定</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7"/>
      <w:r/>
      <w:bookmarkEnd w:id="378"/>
      <w:r/>
      <w:bookmarkEnd w:id="379"/>
      <w:r/>
      <w:bookmarkEnd w:id="380"/>
      <w:r/>
      <w:bookmarkEnd w:id="381"/>
      <w:r/>
      <w:bookmarkEnd w:id="382"/>
      <w:r/>
      <w:bookmarkEnd w:id="383"/>
      <w:r/>
      <w:bookmarkEnd w:id="384"/>
      <w:r/>
      <w:bookmarkEnd w:id="385"/>
      <w:r>
        <w:rPr>
          <w:rFonts w:ascii="宋体" w:hAnsi="宋体"/>
          <w:b/>
          <w:sz w:val="28"/>
          <w:szCs w:val="20"/>
        </w:rPr>
        <w:t xml:space="preserve">成交</w:t>
      </w:r>
      <w:r>
        <w:rPr>
          <w:rFonts w:ascii="宋体" w:hAnsi="宋体"/>
          <w:b/>
          <w:sz w:val="28"/>
          <w:szCs w:val="20"/>
        </w:rPr>
      </w:r>
      <w:r/>
    </w:p>
    <w:p>
      <w:pPr>
        <w:pStyle w:val="1263"/>
        <w:spacing w:line="360" w:lineRule="auto"/>
        <w:tabs>
          <w:tab w:val="left" w:pos="360" w:leader="none"/>
          <w:tab w:val="left" w:pos="5720" w:leader="none"/>
        </w:tabs>
        <w:rPr>
          <w:rFonts w:ascii="宋体" w:hAnsi="宋体"/>
          <w:sz w:val="24"/>
          <w:szCs w:val="24"/>
        </w:rPr>
        <w:outlineLvl w:val="1"/>
      </w:pPr>
      <w:r/>
      <w:bookmarkStart w:id="386" w:name="_Toc127161461"/>
      <w:r/>
      <w:bookmarkStart w:id="387" w:name="_Toc151193645"/>
      <w:r/>
      <w:bookmarkStart w:id="388" w:name="_Toc127151748"/>
      <w:r/>
      <w:bookmarkStart w:id="389" w:name="_Toc142311049"/>
      <w:r/>
      <w:bookmarkStart w:id="390" w:name="_Toc226309791"/>
      <w:r/>
      <w:bookmarkStart w:id="391" w:name="_Toc151193861"/>
      <w:r/>
      <w:bookmarkStart w:id="392" w:name="_Toc127151547"/>
      <w:r/>
      <w:bookmarkStart w:id="393" w:name="_Toc150509298"/>
      <w:r/>
      <w:bookmarkStart w:id="394" w:name="_Toc150774752"/>
      <w:r/>
      <w:bookmarkStart w:id="395" w:name="_Toc226965737"/>
      <w:r/>
      <w:bookmarkStart w:id="396" w:name="_Toc149720840"/>
      <w:r/>
      <w:bookmarkStart w:id="397" w:name="_Toc164351641"/>
      <w:r/>
      <w:bookmarkStart w:id="398" w:name="_Toc151193789"/>
      <w:r/>
      <w:bookmarkStart w:id="399" w:name="_Toc305158815"/>
      <w:r/>
      <w:bookmarkStart w:id="400" w:name="_Toc265228385"/>
      <w:r/>
      <w:bookmarkStart w:id="401" w:name="_Toc151190174"/>
      <w:r/>
      <w:bookmarkStart w:id="402" w:name="_Toc305158889"/>
      <w:r/>
      <w:bookmarkStart w:id="403" w:name="_Toc195842912"/>
      <w:r/>
      <w:bookmarkStart w:id="404" w:name="_Toc226965820"/>
      <w:r/>
      <w:bookmarkStart w:id="405" w:name="_Toc151193717"/>
      <w:r/>
      <w:bookmarkStart w:id="406" w:name="_Toc164608816"/>
      <w:r/>
      <w:bookmarkStart w:id="407" w:name="_Toc150480785"/>
      <w:r/>
      <w:bookmarkStart w:id="408" w:name="_Toc150774647"/>
      <w:r/>
      <w:bookmarkStart w:id="409" w:name="_Toc226337243"/>
      <w:r/>
      <w:bookmarkStart w:id="410" w:name="_Toc164229388"/>
      <w:r/>
      <w:bookmarkStart w:id="411" w:name="_Toc164229242"/>
      <w:r/>
      <w:bookmarkStart w:id="412" w:name="_Toc264969237"/>
      <w:r/>
      <w:bookmarkStart w:id="413" w:name="_Toc164608661"/>
      <w:r/>
      <w:bookmarkStart w:id="414" w:name="_Toc151193935"/>
      <w:r>
        <w:rPr>
          <w:rFonts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ascii="宋体" w:hAnsi="宋体"/>
          <w:sz w:val="24"/>
          <w:szCs w:val="24"/>
        </w:rPr>
        <w:t xml:space="preserve">确定成交供应商</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宋体" w:hAnsi="宋体"/>
          <w:sz w:val="24"/>
          <w:szCs w:val="24"/>
        </w:rPr>
      </w:r>
      <w:r/>
    </w:p>
    <w:p>
      <w:pPr>
        <w:pStyle w:val="1263"/>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szCs w:val="24"/>
        </w:rPr>
      </w:pPr>
      <w:r>
        <w:rPr>
          <w:rFonts w:hint="eastAsia" w:ascii="宋体" w:hAnsi="宋体"/>
          <w:sz w:val="24"/>
          <w:szCs w:val="24"/>
          <w:lang w:val="en-US" w:eastAsia="zh-CN"/>
        </w:rPr>
        <w:t xml:space="preserve">21.1</w:t>
      </w:r>
      <w:r>
        <w:rPr>
          <w:rFonts w:ascii="宋体" w:hAnsi="宋体"/>
          <w:sz w:val="24"/>
          <w:szCs w:val="24"/>
        </w:rPr>
        <w:t xml:space="preserve">采购人将在收到评审报告后，从评审报告提出的成交候选供应商中，按照排序由高到低的原则确定成交供应商</w:t>
      </w:r>
      <w:r>
        <w:rPr>
          <w:rFonts w:hint="eastAsia" w:ascii="宋体" w:hAnsi="宋体"/>
          <w:sz w:val="24"/>
          <w:szCs w:val="24"/>
        </w:rPr>
        <w:t xml:space="preserve">。</w:t>
      </w:r>
      <w:r>
        <w:rPr>
          <w:rFonts w:ascii="宋体" w:hAnsi="宋体"/>
          <w:sz w:val="24"/>
          <w:szCs w:val="24"/>
        </w:rPr>
        <w:t xml:space="preserve">成交候选人并列的，由采购人</w:t>
      </w:r>
      <w:r>
        <w:rPr>
          <w:rFonts w:hint="eastAsia" w:ascii="宋体" w:hAnsi="宋体"/>
          <w:sz w:val="24"/>
          <w:szCs w:val="24"/>
        </w:rPr>
        <w:t xml:space="preserve">依法</w:t>
      </w:r>
      <w:r>
        <w:rPr>
          <w:rFonts w:ascii="宋体" w:hAnsi="宋体"/>
          <w:sz w:val="24"/>
          <w:szCs w:val="24"/>
        </w:rPr>
        <w:t xml:space="preserve">确定。</w:t>
      </w:r>
      <w:r>
        <w:rPr>
          <w:rFonts w:ascii="宋体" w:hAnsi="宋体"/>
          <w:sz w:val="24"/>
          <w:szCs w:val="24"/>
        </w:rPr>
      </w:r>
      <w:r/>
    </w:p>
    <w:p>
      <w:pPr>
        <w:pStyle w:val="1263"/>
        <w:spacing w:line="360" w:lineRule="auto"/>
        <w:tabs>
          <w:tab w:val="left" w:pos="360" w:leader="none"/>
          <w:tab w:val="left" w:pos="5720" w:leader="none"/>
        </w:tabs>
        <w:rPr>
          <w:rFonts w:ascii="宋体" w:hAnsi="宋体"/>
          <w:sz w:val="24"/>
          <w:szCs w:val="24"/>
        </w:rPr>
        <w:outlineLvl w:val="1"/>
      </w:pPr>
      <w:r/>
      <w:bookmarkStart w:id="415" w:name="_Toc164229244"/>
      <w:r/>
      <w:bookmarkStart w:id="416" w:name="_Toc226965822"/>
      <w:r/>
      <w:bookmarkStart w:id="417" w:name="_Toc149720842"/>
      <w:r/>
      <w:bookmarkStart w:id="418" w:name="_Toc264969239"/>
      <w:r/>
      <w:bookmarkStart w:id="419" w:name="_Toc151193719"/>
      <w:r/>
      <w:bookmarkStart w:id="420" w:name="_Toc151193791"/>
      <w:r/>
      <w:bookmarkStart w:id="421" w:name="_Toc151193937"/>
      <w:r/>
      <w:bookmarkStart w:id="422" w:name="_Toc127161463"/>
      <w:r/>
      <w:bookmarkStart w:id="423" w:name="_Toc151190176"/>
      <w:r/>
      <w:bookmarkStart w:id="424" w:name="_Toc164608663"/>
      <w:r/>
      <w:bookmarkStart w:id="425" w:name="_Toc164229390"/>
      <w:r/>
      <w:bookmarkStart w:id="426" w:name="_Toc142311051"/>
      <w:r/>
      <w:bookmarkStart w:id="427" w:name="_Toc164608818"/>
      <w:r/>
      <w:bookmarkStart w:id="428" w:name="_Toc150774754"/>
      <w:r/>
      <w:bookmarkStart w:id="429" w:name="_Toc127151549"/>
      <w:r/>
      <w:bookmarkStart w:id="430" w:name="_Toc195842914"/>
      <w:r/>
      <w:bookmarkStart w:id="431" w:name="_Toc265228387"/>
      <w:r/>
      <w:bookmarkStart w:id="432" w:name="_Toc226337245"/>
      <w:r/>
      <w:bookmarkStart w:id="433" w:name="_Toc150480787"/>
      <w:r/>
      <w:bookmarkStart w:id="434" w:name="_Toc151193647"/>
      <w:r/>
      <w:bookmarkStart w:id="435" w:name="_Toc305158817"/>
      <w:r/>
      <w:bookmarkStart w:id="436" w:name="_Toc305158891"/>
      <w:r/>
      <w:bookmarkStart w:id="437" w:name="_Toc127151750"/>
      <w:r/>
      <w:bookmarkStart w:id="438" w:name="_Toc226309793"/>
      <w:r/>
      <w:bookmarkStart w:id="439" w:name="_Toc150509300"/>
      <w:r/>
      <w:bookmarkStart w:id="440" w:name="_Toc164351643"/>
      <w:r/>
      <w:bookmarkStart w:id="441" w:name="_Toc226965739"/>
      <w:r/>
      <w:bookmarkStart w:id="442" w:name="_Toc150774649"/>
      <w:r/>
      <w:bookmarkStart w:id="443" w:name="_Toc151193863"/>
      <w:r>
        <w:rPr>
          <w:rFonts w:hint="eastAsia" w:ascii="宋体" w:hAnsi="宋体"/>
          <w:sz w:val="24"/>
          <w:szCs w:val="24"/>
        </w:rPr>
        <w:t xml:space="preserve">2</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ascii="宋体" w:hAnsi="宋体"/>
          <w:sz w:val="24"/>
          <w:szCs w:val="24"/>
        </w:rPr>
        <w:t xml:space="preserve">成交公告与成交通知书</w:t>
      </w:r>
      <w:bookmarkEnd w:id="435"/>
      <w:r/>
      <w:bookmarkEnd w:id="436"/>
      <w:r>
        <w:rPr>
          <w:rFonts w:ascii="宋体" w:hAnsi="宋体"/>
          <w:sz w:val="24"/>
          <w:szCs w:val="24"/>
        </w:rPr>
      </w:r>
      <w:r/>
    </w:p>
    <w:p>
      <w:pPr>
        <w:pStyle w:val="1263"/>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2</w:t>
      </w:r>
      <w:r>
        <w:rPr>
          <w:rFonts w:ascii="宋体" w:hAnsi="宋体"/>
          <w:sz w:val="24"/>
          <w:szCs w:val="24"/>
        </w:rPr>
        <w:t xml:space="preserve">.1采购人或采购代理机构将</w:t>
      </w:r>
      <w:r>
        <w:rPr>
          <w:rFonts w:ascii="宋体" w:hAnsi="宋体"/>
          <w:sz w:val="24"/>
          <w:szCs w:val="24"/>
        </w:rPr>
        <w:t xml:space="preserve">在成交供应商确定后2个工作日内，在</w:t>
      </w:r>
      <w:r>
        <w:rPr>
          <w:rFonts w:hint="eastAsia" w:ascii="宋体" w:hAnsi="宋体"/>
          <w:sz w:val="24"/>
          <w:szCs w:val="24"/>
        </w:rPr>
        <w:t xml:space="preserve">常州市政府采购网</w:t>
      </w:r>
      <w:r>
        <w:rPr>
          <w:rFonts w:ascii="宋体" w:hAnsi="宋体"/>
          <w:sz w:val="24"/>
          <w:szCs w:val="24"/>
        </w:rPr>
        <w:t xml:space="preserve">公告成交结果</w:t>
      </w:r>
      <w:r>
        <w:rPr>
          <w:rFonts w:hint="eastAsia" w:ascii="宋体" w:hAnsi="宋体"/>
          <w:sz w:val="24"/>
          <w:szCs w:val="24"/>
          <w:lang w:eastAsia="zh-CN"/>
        </w:rPr>
        <w:t xml:space="preserve">，</w:t>
      </w:r>
      <w:r>
        <w:rPr>
          <w:rFonts w:ascii="宋体" w:hAnsi="宋体"/>
          <w:sz w:val="24"/>
          <w:szCs w:val="24"/>
        </w:rPr>
        <w:t xml:space="preserve">成交公告期限为1个工作日。</w:t>
      </w:r>
      <w:r>
        <w:rPr>
          <w:rFonts w:ascii="宋体" w:hAnsi="宋体"/>
          <w:sz w:val="24"/>
          <w:szCs w:val="24"/>
        </w:rPr>
      </w:r>
      <w:r/>
    </w:p>
    <w:p>
      <w:pPr>
        <w:pStyle w:val="1263"/>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2</w:t>
      </w:r>
      <w:r>
        <w:rPr>
          <w:rFonts w:ascii="宋体" w:hAnsi="宋体"/>
          <w:sz w:val="24"/>
          <w:szCs w:val="24"/>
        </w:rPr>
        <w:t xml:space="preserve">.2成交通知书是合同的组成部分，对采购人和成交供应商具有同等法律效力。成交通知书发出后，采购人改变成交结果的，或者成交供应商放弃成交项目的，将依法承担法律责任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 w:val="24"/>
          <w:szCs w:val="24"/>
        </w:rPr>
        <w:t xml:space="preserve">。</w:t>
      </w:r>
      <w:r>
        <w:rPr>
          <w:rFonts w:ascii="宋体" w:hAnsi="宋体"/>
          <w:sz w:val="24"/>
          <w:szCs w:val="24"/>
        </w:rPr>
      </w:r>
      <w:r/>
    </w:p>
    <w:p>
      <w:pPr>
        <w:pStyle w:val="1263"/>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7"/>
      <w:r/>
      <w:bookmarkEnd w:id="438"/>
      <w:r/>
      <w:bookmarkEnd w:id="439"/>
      <w:r/>
      <w:bookmarkEnd w:id="440"/>
      <w:r/>
      <w:bookmarkEnd w:id="441"/>
      <w:r/>
      <w:bookmarkEnd w:id="442"/>
      <w:r/>
      <w:bookmarkEnd w:id="443"/>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废标</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w:t>
      </w:r>
      <w:r>
        <w:rPr>
          <w:rFonts w:hint="eastAsia" w:ascii="宋体" w:hAnsi="宋体"/>
          <w:sz w:val="24"/>
          <w:szCs w:val="24"/>
        </w:rPr>
        <w:t xml:space="preserve">在招标采购中，出现下列情形之一的，应予废标：</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.1.1</w:t>
      </w:r>
      <w:r>
        <w:rPr>
          <w:rFonts w:hint="eastAsia" w:ascii="宋体" w:hAnsi="宋体"/>
          <w:sz w:val="24"/>
          <w:szCs w:val="24"/>
        </w:rPr>
        <w:t xml:space="preserve">符合专业条件的供应商或者对招标文件作实质响应的供应商不足三家的；</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.1.2</w:t>
      </w:r>
      <w:r>
        <w:rPr>
          <w:rFonts w:hint="eastAsia" w:ascii="宋体" w:hAnsi="宋体"/>
          <w:sz w:val="24"/>
          <w:szCs w:val="24"/>
        </w:rPr>
        <w:t xml:space="preserve">出现影响采购公正的违法、违规行为的；</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.1.3</w:t>
      </w:r>
      <w:r>
        <w:rPr>
          <w:rFonts w:hint="eastAsia" w:ascii="宋体" w:hAnsi="宋体"/>
          <w:sz w:val="24"/>
          <w:szCs w:val="24"/>
        </w:rPr>
        <w:t xml:space="preserve">投标人的报价均超过了采购预算，采购人不能支付的；</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.1.4</w:t>
      </w:r>
      <w:r>
        <w:rPr>
          <w:rFonts w:hint="eastAsia" w:ascii="宋体" w:hAnsi="宋体"/>
          <w:sz w:val="24"/>
          <w:szCs w:val="24"/>
        </w:rPr>
        <w:t xml:space="preserve">因重大变故，采购任务取消的。</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.1.5</w:t>
      </w:r>
      <w:r>
        <w:rPr>
          <w:rFonts w:hint="eastAsia" w:ascii="宋体" w:hAnsi="宋体"/>
          <w:sz w:val="24"/>
          <w:szCs w:val="24"/>
        </w:rPr>
        <w:t xml:space="preserve">平台系统出现序号1</w:t>
      </w:r>
      <w:r>
        <w:rPr>
          <w:rFonts w:ascii="宋体" w:hAnsi="宋体"/>
          <w:sz w:val="24"/>
          <w:szCs w:val="24"/>
        </w:rPr>
        <w:t xml:space="preserve">6</w:t>
      </w:r>
      <w:r>
        <w:rPr>
          <w:rFonts w:hint="eastAsia" w:ascii="宋体" w:hAnsi="宋体"/>
          <w:sz w:val="24"/>
          <w:szCs w:val="24"/>
        </w:rPr>
        <w:t xml:space="preserve">.8的所述情形，情况严重且影响采购活动公平、公正性的。</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.2</w:t>
      </w:r>
      <w:r>
        <w:rPr>
          <w:rFonts w:hint="eastAsia" w:ascii="宋体" w:hAnsi="宋体"/>
          <w:sz w:val="24"/>
          <w:szCs w:val="24"/>
        </w:rPr>
        <w:t xml:space="preserve">废标后，采购人将废标理由通知所有投标人。</w:t>
      </w:r>
      <w:r>
        <w:rPr>
          <w:rFonts w:ascii="宋体" w:hAnsi="宋体"/>
          <w:sz w:val="24"/>
          <w:szCs w:val="24"/>
        </w:rPr>
      </w:r>
      <w:r/>
    </w:p>
    <w:p>
      <w:pPr>
        <w:pStyle w:val="1263"/>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签订合同</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.1</w:t>
      </w:r>
      <w:r>
        <w:rPr>
          <w:rFonts w:hint="eastAsia" w:ascii="宋体" w:hAnsi="宋体"/>
          <w:sz w:val="24"/>
          <w:szCs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.2</w:t>
      </w:r>
      <w:r>
        <w:rPr>
          <w:rFonts w:hint="eastAsia" w:ascii="宋体" w:hAnsi="宋体"/>
          <w:sz w:val="24"/>
          <w:szCs w:val="24"/>
        </w:rPr>
        <w:t xml:space="preserve">中标人拒绝与采购人签订合同的，采购人可以按照评标报告推荐的中标候选人名单排序，确定下一候选人为中标人，也可以重新开展政府采购活动。</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.3</w:t>
      </w:r>
      <w:r>
        <w:rPr>
          <w:rFonts w:hint="eastAsia" w:ascii="宋体" w:hAnsi="宋体"/>
          <w:sz w:val="24"/>
          <w:szCs w:val="24"/>
        </w:rPr>
        <w:t xml:space="preserve">联合体中标的，联合体各方应当共同与采购人签订合同，就中标项目向采购人承担连带责任。</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.4</w:t>
      </w:r>
      <w:r>
        <w:rPr>
          <w:rFonts w:hint="eastAsia" w:ascii="宋体" w:hAnsi="宋体"/>
          <w:sz w:val="24"/>
          <w:szCs w:val="24"/>
        </w:rPr>
        <w:t xml:space="preserve">政府采购合同不能转包。</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.5</w:t>
      </w:r>
      <w:r>
        <w:rPr>
          <w:rFonts w:hint="eastAsia" w:ascii="宋体" w:hAnsi="宋体"/>
          <w:sz w:val="24"/>
          <w:szCs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sz w:val="24"/>
          <w:szCs w:val="24"/>
        </w:rPr>
      </w:r>
      <w:r/>
    </w:p>
    <w:p>
      <w:pPr>
        <w:pStyle w:val="1263"/>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询问与质疑</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.1</w:t>
      </w:r>
      <w:r>
        <w:rPr>
          <w:rFonts w:hint="eastAsia" w:ascii="宋体" w:hAnsi="宋体"/>
          <w:sz w:val="24"/>
          <w:szCs w:val="24"/>
        </w:rPr>
        <w:t xml:space="preserve">询问</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.1.1</w:t>
      </w:r>
      <w:r>
        <w:rPr>
          <w:rFonts w:hint="eastAsia" w:ascii="宋体" w:hAnsi="宋体"/>
          <w:sz w:val="24"/>
          <w:szCs w:val="24"/>
        </w:rPr>
        <w:t xml:space="preserve">投标人对政府采购活动事项有疑问的，可依法提出询问，并按《投标人须知资料表》载明的形式送达采购人或采购代理机构。</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.1.2</w:t>
      </w:r>
      <w:r>
        <w:rPr>
          <w:rFonts w:hint="eastAsia" w:ascii="宋体" w:hAnsi="宋体"/>
          <w:sz w:val="24"/>
          <w:szCs w:val="24"/>
        </w:rPr>
        <w:t xml:space="preserve">采购人或采购代理机构对供应商依法提出的询问，在3个工作日内作出答复，但答复的内容不得涉及商业秘密。</w:t>
      </w:r>
      <w:r>
        <w:rPr>
          <w:rFonts w:ascii="宋体" w:hAnsi="宋体"/>
          <w:sz w:val="24"/>
          <w:szCs w:val="24"/>
        </w:rPr>
      </w:r>
      <w:r/>
    </w:p>
    <w:p>
      <w:pPr>
        <w:pStyle w:val="1263"/>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质疑</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.1</w:t>
      </w:r>
      <w:r>
        <w:rPr>
          <w:rFonts w:hint="eastAsia" w:ascii="宋体" w:hAnsi="宋体"/>
          <w:sz w:val="24"/>
          <w:szCs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.2</w:t>
      </w:r>
      <w:r>
        <w:rPr>
          <w:rFonts w:hint="eastAsia" w:ascii="宋体" w:hAnsi="宋体"/>
          <w:sz w:val="24"/>
          <w:szCs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.3</w:t>
      </w:r>
      <w:r>
        <w:rPr>
          <w:rFonts w:hint="eastAsia" w:ascii="宋体" w:hAnsi="宋体"/>
          <w:sz w:val="24"/>
          <w:szCs w:val="24"/>
        </w:rPr>
        <w:t xml:space="preserve">质疑函须使用财政部制定的范本文件。（下载网址：）</w:t>
      </w:r>
      <w:r>
        <w:rPr>
          <w:rFonts w:ascii="宋体" w:hAnsi="宋体"/>
          <w:sz w:val="24"/>
          <w:szCs w:val="24"/>
        </w:rPr>
        <w:t xml:space="preserve">http://gks.mof.gov.cn/ztztz/zhengfucaigouguanli/201802/t20180201_2804589.htm</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.4</w:t>
      </w:r>
      <w:r>
        <w:rPr>
          <w:rFonts w:hint="eastAsia" w:ascii="宋体" w:hAnsi="宋体"/>
          <w:sz w:val="24"/>
          <w:szCs w:val="24"/>
        </w:rPr>
        <w:t xml:space="preserve">投标人为自然人的，应当由本人签字；投标人为法人或者其他组织的，应当由法定代表人、主要负责人，或者其授权代表签字或者加盖公章，并加盖公章。</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25.5</w:t>
      </w:r>
      <w:r>
        <w:rPr>
          <w:rFonts w:hint="eastAsia" w:ascii="宋体" w:hAnsi="宋体"/>
          <w:sz w:val="24"/>
          <w:szCs w:val="24"/>
        </w:rPr>
        <w:t xml:space="preserve">投标人应在法定质疑期内一次性提出针对同一采购程序环节的质疑，法定质疑期内针对同一采购程序环节再次提出的质疑，采购人、采购代理机构有权不予答复。</w:t>
      </w:r>
      <w:r>
        <w:rPr>
          <w:rFonts w:ascii="宋体" w:hAnsi="宋体"/>
          <w:sz w:val="24"/>
          <w:szCs w:val="24"/>
        </w:rPr>
      </w:r>
      <w:r/>
    </w:p>
    <w:p>
      <w:pPr>
        <w:pStyle w:val="126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.6</w:t>
      </w:r>
      <w:r>
        <w:rPr>
          <w:rFonts w:hint="eastAsia" w:ascii="宋体" w:hAnsi="宋体"/>
          <w:sz w:val="24"/>
          <w:szCs w:val="24"/>
        </w:rPr>
        <w:t xml:space="preserve">接收询问和质疑的联系部门、联系电话和通讯地址见《投标人须知资料表》。</w:t>
      </w:r>
      <w:r>
        <w:rPr>
          <w:rFonts w:ascii="宋体" w:hAnsi="宋体"/>
          <w:sz w:val="24"/>
          <w:szCs w:val="24"/>
        </w:rPr>
      </w:r>
      <w:r/>
    </w:p>
    <w:p>
      <w:pPr>
        <w:pStyle w:val="1263"/>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代理费</w:t>
      </w:r>
      <w:r>
        <w:rPr>
          <w:rFonts w:ascii="宋体" w:hAnsi="宋体"/>
          <w:sz w:val="24"/>
          <w:szCs w:val="24"/>
        </w:rPr>
      </w:r>
      <w:r/>
    </w:p>
    <w:p>
      <w:pPr>
        <w:pStyle w:val="1263"/>
        <w:numPr>
          <w:ilvl w:val="0"/>
          <w:numId w:val="0"/>
        </w:numPr>
        <w:ind w:firstLine="480"/>
        <w:spacing w:line="360" w:lineRule="auto"/>
        <w:tabs>
          <w:tab w:val="left" w:pos="1080" w:leader="none"/>
          <w:tab w:val="left" w:pos="2014" w:leader="none"/>
        </w:tabs>
        <w:rPr>
          <w:rFonts w:hint="eastAsia" w:eastAsia="宋体"/>
          <w:sz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7</w:t>
      </w:r>
      <w:r>
        <w:rPr>
          <w:rFonts w:ascii="宋体" w:hAnsi="宋体"/>
          <w:sz w:val="24"/>
          <w:szCs w:val="24"/>
        </w:rPr>
        <w:t xml:space="preserve">.1</w:t>
      </w:r>
      <w:r>
        <w:rPr>
          <w:rFonts w:hint="eastAsia" w:ascii="宋体" w:hAnsi="宋体"/>
          <w:sz w:val="24"/>
          <w:szCs w:val="24"/>
        </w:rPr>
        <w:t xml:space="preserve">收费对象、收费标准及缴纳时间见《投标人须知资料表》。</w:t>
      </w:r>
      <w:r>
        <w:rPr>
          <w:rFonts w:hint="eastAsia" w:eastAsia="宋体"/>
          <w:sz w:val="24"/>
          <w:lang w:eastAsia="zh-CN"/>
        </w:rPr>
      </w:r>
      <w:r/>
    </w:p>
    <w:p>
      <w:pPr>
        <w:pStyle w:val="1263"/>
        <w:jc w:val="center"/>
        <w:spacing w:line="360" w:lineRule="auto"/>
        <w:rPr>
          <w:b/>
          <w:sz w:val="36"/>
          <w:szCs w:val="36"/>
        </w:rPr>
        <w:outlineLvl w:val="0"/>
      </w:pPr>
      <w:r/>
      <w:bookmarkStart w:id="444" w:name="_Toc150774759"/>
      <w:r/>
      <w:bookmarkStart w:id="445" w:name="_Toc226965827"/>
      <w:r/>
      <w:bookmarkStart w:id="446" w:name="_Toc305158822"/>
      <w:r/>
      <w:bookmarkStart w:id="447" w:name="_Toc150480792"/>
      <w:r/>
      <w:bookmarkStart w:id="448" w:name="_Toc264969244"/>
      <w:r/>
      <w:bookmarkStart w:id="449" w:name="_Toc104818927"/>
      <w:r/>
      <w:bookmarkStart w:id="450" w:name="_Toc226337250"/>
      <w:r/>
      <w:bookmarkStart w:id="451" w:name="_Toc305158896"/>
      <w:r/>
      <w:bookmarkStart w:id="452" w:name="_Toc142311056"/>
      <w:r/>
      <w:bookmarkStart w:id="453" w:name="_Toc353825544"/>
      <w:r/>
      <w:bookmarkStart w:id="454" w:name="_Toc353873934"/>
      <w:r/>
      <w:bookmarkStart w:id="455" w:name="_Toc127151554"/>
      <w:r/>
      <w:bookmarkStart w:id="456" w:name="_Toc265228392"/>
      <w:r/>
      <w:bookmarkStart w:id="457" w:name="_Toc353873664"/>
      <w:r>
        <w:rPr>
          <w:b/>
          <w:sz w:val="36"/>
          <w:szCs w:val="36"/>
        </w:rPr>
      </w:r>
      <w:r/>
    </w:p>
    <w:p>
      <w:pPr>
        <w:pStyle w:val="1265"/>
        <w:rPr>
          <w:b w:val="0"/>
          <w:sz w:val="36"/>
          <w:szCs w:val="36"/>
        </w:rPr>
      </w:pPr>
      <w:r>
        <w:rPr>
          <w:b w:val="0"/>
          <w:sz w:val="36"/>
          <w:szCs w:val="36"/>
        </w:rPr>
      </w:r>
      <w:r/>
    </w:p>
    <w:p>
      <w:pPr>
        <w:pStyle w:val="1263"/>
        <w:rPr>
          <w:b/>
          <w:sz w:val="36"/>
          <w:szCs w:val="36"/>
        </w:rPr>
      </w:pPr>
      <w:r>
        <w:rPr>
          <w:b/>
          <w:sz w:val="36"/>
          <w:szCs w:val="36"/>
        </w:rPr>
      </w:r>
      <w:r/>
    </w:p>
    <w:p>
      <w:pPr>
        <w:pStyle w:val="1265"/>
        <w:rPr>
          <w:b w:val="0"/>
          <w:sz w:val="36"/>
          <w:szCs w:val="36"/>
        </w:rPr>
      </w:pPr>
      <w:r>
        <w:rPr>
          <w:b w:val="0"/>
          <w:sz w:val="36"/>
          <w:szCs w:val="36"/>
        </w:rPr>
      </w:r>
      <w:r/>
    </w:p>
    <w:p>
      <w:pPr>
        <w:pStyle w:val="1263"/>
        <w:rPr>
          <w:b/>
          <w:sz w:val="36"/>
          <w:szCs w:val="36"/>
        </w:rPr>
      </w:pPr>
      <w:r>
        <w:rPr>
          <w:b/>
          <w:sz w:val="36"/>
          <w:szCs w:val="36"/>
        </w:rPr>
      </w:r>
      <w:r/>
    </w:p>
    <w:p>
      <w:pPr>
        <w:pStyle w:val="1346"/>
        <w:rPr>
          <w:b/>
          <w:sz w:val="36"/>
          <w:szCs w:val="36"/>
        </w:rPr>
      </w:pPr>
      <w:r>
        <w:rPr>
          <w:b/>
          <w:sz w:val="36"/>
          <w:szCs w:val="36"/>
        </w:rPr>
      </w:r>
      <w:r/>
    </w:p>
    <w:p>
      <w:pPr>
        <w:pStyle w:val="1263"/>
        <w:rPr>
          <w:b/>
          <w:sz w:val="36"/>
          <w:szCs w:val="36"/>
        </w:rPr>
      </w:pPr>
      <w:r>
        <w:rPr>
          <w:b/>
          <w:sz w:val="36"/>
          <w:szCs w:val="36"/>
        </w:rPr>
      </w:r>
      <w:r/>
    </w:p>
    <w:p>
      <w:pPr>
        <w:pStyle w:val="1263"/>
        <w:rPr>
          <w:b/>
          <w:sz w:val="36"/>
          <w:szCs w:val="36"/>
        </w:rPr>
      </w:pPr>
      <w:r>
        <w:rPr>
          <w:b/>
          <w:sz w:val="36"/>
          <w:szCs w:val="36"/>
        </w:rPr>
      </w:r>
      <w:r/>
    </w:p>
    <w:p>
      <w:pPr>
        <w:pStyle w:val="1263"/>
        <w:rPr>
          <w:b/>
          <w:sz w:val="36"/>
          <w:szCs w:val="36"/>
        </w:rPr>
      </w:pPr>
      <w:r>
        <w:rPr>
          <w:b/>
          <w:sz w:val="36"/>
          <w:szCs w:val="36"/>
        </w:rPr>
      </w:r>
      <w:r/>
    </w:p>
    <w:p>
      <w:pPr>
        <w:pStyle w:val="1263"/>
        <w:rPr>
          <w:b/>
          <w:sz w:val="36"/>
          <w:szCs w:val="36"/>
        </w:rPr>
      </w:pPr>
      <w:r>
        <w:rPr>
          <w:b/>
          <w:sz w:val="36"/>
          <w:szCs w:val="36"/>
        </w:rPr>
      </w:r>
      <w:r/>
    </w:p>
    <w:p>
      <w:pPr>
        <w:pStyle w:val="1263"/>
        <w:rPr>
          <w:b/>
          <w:sz w:val="36"/>
          <w:szCs w:val="36"/>
        </w:rPr>
      </w:pPr>
      <w:r>
        <w:rPr>
          <w:b/>
          <w:sz w:val="36"/>
          <w:szCs w:val="36"/>
        </w:rPr>
      </w:r>
      <w:r/>
    </w:p>
    <w:p>
      <w:pPr>
        <w:pStyle w:val="1263"/>
        <w:rPr>
          <w:b/>
          <w:sz w:val="36"/>
          <w:szCs w:val="36"/>
        </w:rPr>
      </w:pPr>
      <w:r>
        <w:rPr>
          <w:b/>
          <w:sz w:val="36"/>
          <w:szCs w:val="36"/>
        </w:rPr>
      </w:r>
      <w:r/>
    </w:p>
    <w:p>
      <w:pPr>
        <w:pStyle w:val="1263"/>
        <w:rPr>
          <w:b/>
          <w:sz w:val="36"/>
          <w:szCs w:val="36"/>
        </w:rPr>
      </w:pPr>
      <w:r>
        <w:rPr>
          <w:b/>
          <w:sz w:val="36"/>
          <w:szCs w:val="36"/>
        </w:rPr>
      </w:r>
      <w:r/>
    </w:p>
    <w:p>
      <w:pPr>
        <w:pStyle w:val="1263"/>
        <w:rPr>
          <w:b/>
          <w:sz w:val="36"/>
          <w:szCs w:val="36"/>
        </w:rPr>
      </w:pPr>
      <w:r>
        <w:rPr>
          <w:b/>
          <w:sz w:val="36"/>
          <w:szCs w:val="36"/>
        </w:rPr>
      </w:r>
      <w:r/>
    </w:p>
    <w:p>
      <w:pPr>
        <w:pStyle w:val="1263"/>
        <w:rPr>
          <w:b/>
          <w:sz w:val="36"/>
          <w:szCs w:val="36"/>
        </w:rPr>
      </w:pPr>
      <w:r>
        <w:rPr>
          <w:b/>
          <w:sz w:val="36"/>
          <w:szCs w:val="36"/>
        </w:rPr>
      </w:r>
      <w:r/>
    </w:p>
    <w:p>
      <w:pPr>
        <w:pStyle w:val="1263"/>
        <w:jc w:val="center"/>
        <w:spacing w:line="360" w:lineRule="auto"/>
        <w:rPr>
          <w:b/>
          <w:sz w:val="36"/>
          <w:szCs w:val="36"/>
        </w:rPr>
        <w:outlineLvl w:val="0"/>
      </w:pPr>
      <w:r>
        <w:rPr>
          <w:b/>
          <w:sz w:val="36"/>
          <w:szCs w:val="36"/>
        </w:rPr>
        <w:t xml:space="preserve">第三章   </w:t>
      </w:r>
      <w:bookmarkEnd w:id="444"/>
      <w:r/>
      <w:bookmarkEnd w:id="445"/>
      <w:r/>
      <w:bookmarkEnd w:id="446"/>
      <w:r/>
      <w:bookmarkEnd w:id="447"/>
      <w:r/>
      <w:bookmarkEnd w:id="448"/>
      <w:r/>
      <w:bookmarkEnd w:id="450"/>
      <w:r/>
      <w:bookmarkEnd w:id="451"/>
      <w:r/>
      <w:bookmarkEnd w:id="452"/>
      <w:r/>
      <w:bookmarkEnd w:id="453"/>
      <w:r/>
      <w:bookmarkEnd w:id="454"/>
      <w:r/>
      <w:bookmarkEnd w:id="455"/>
      <w:r/>
      <w:bookmarkEnd w:id="456"/>
      <w:r/>
      <w:bookmarkEnd w:id="457"/>
      <w:r>
        <w:rPr>
          <w:b/>
          <w:sz w:val="36"/>
          <w:szCs w:val="36"/>
        </w:rPr>
        <w:t xml:space="preserve">评审</w:t>
      </w:r>
      <w:r>
        <w:rPr>
          <w:rFonts w:hint="eastAsia"/>
          <w:b/>
          <w:sz w:val="36"/>
          <w:szCs w:val="36"/>
        </w:rPr>
        <w:t xml:space="preserve">程序、评审</w:t>
      </w:r>
      <w:r>
        <w:rPr>
          <w:b/>
          <w:sz w:val="36"/>
          <w:szCs w:val="36"/>
        </w:rPr>
        <w:t xml:space="preserve">方法和评审标准</w:t>
      </w:r>
      <w:bookmarkEnd w:id="449"/>
      <w:r/>
      <w:bookmarkStart w:id="458" w:name="_Toc487900382"/>
      <w:r>
        <w:rPr>
          <w:b/>
          <w:sz w:val="36"/>
          <w:szCs w:val="36"/>
        </w:rPr>
      </w:r>
      <w:r/>
    </w:p>
    <w:p>
      <w:pPr>
        <w:pStyle w:val="1265"/>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263"/>
        <w:jc w:val="left"/>
        <w:tabs>
          <w:tab w:val="left" w:pos="1080" w:leader="none"/>
        </w:tabs>
        <w:rPr>
          <w:b/>
          <w:sz w:val="24"/>
        </w:rPr>
      </w:pPr>
      <w:r>
        <w:rPr>
          <w:b/>
          <w:sz w:val="24"/>
        </w:rPr>
        <w:tab/>
      </w:r>
      <w:r>
        <w:rPr>
          <w:b/>
          <w:sz w:val="24"/>
        </w:rPr>
      </w:r>
      <w:r/>
    </w:p>
    <w:p>
      <w:pPr>
        <w:pStyle w:val="1263"/>
        <w:numPr>
          <w:ilvl w:val="0"/>
          <w:numId w:val="0"/>
        </w:numPr>
        <w:spacing w:line="360" w:lineRule="auto"/>
        <w:tabs>
          <w:tab w:val="left" w:pos="360" w:leader="none"/>
        </w:tabs>
        <w:rPr>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458"/>
      <w:r/>
      <w:bookmarkStart w:id="459" w:name="_Toc150509292"/>
      <w:r/>
      <w:bookmarkStart w:id="460" w:name="_Toc164351635"/>
      <w:r/>
      <w:bookmarkStart w:id="461" w:name="_Toc226337237"/>
      <w:r/>
      <w:bookmarkStart w:id="462" w:name="_Toc164229236"/>
      <w:r/>
      <w:bookmarkStart w:id="463" w:name="_Toc164608655"/>
      <w:r/>
      <w:bookmarkStart w:id="464" w:name="_Toc149720834"/>
      <w:r/>
      <w:bookmarkStart w:id="465" w:name="_Toc264969231"/>
      <w:r/>
      <w:bookmarkStart w:id="466" w:name="_Toc151193783"/>
      <w:r/>
      <w:bookmarkStart w:id="467" w:name="_Toc226965814"/>
      <w:r/>
      <w:bookmarkStart w:id="468" w:name="_Toc305158809"/>
      <w:r/>
      <w:bookmarkStart w:id="469" w:name="_Toc127151742"/>
      <w:r/>
      <w:bookmarkStart w:id="470" w:name="_Toc164608810"/>
      <w:r/>
      <w:bookmarkStart w:id="471" w:name="_Toc151193855"/>
      <w:r/>
      <w:bookmarkStart w:id="472" w:name="_Toc195842906"/>
      <w:r/>
      <w:bookmarkStart w:id="473" w:name="_Toc265228379"/>
      <w:r/>
      <w:bookmarkStart w:id="474" w:name="_Toc127161455"/>
      <w:r/>
      <w:bookmarkStart w:id="475" w:name="_Toc151193929"/>
      <w:r/>
      <w:bookmarkStart w:id="476" w:name="_Toc150774746"/>
      <w:r/>
      <w:bookmarkStart w:id="477" w:name="_Toc151190168"/>
      <w:r/>
      <w:bookmarkStart w:id="478" w:name="_Toc150774641"/>
      <w:r/>
      <w:bookmarkStart w:id="479" w:name="_Toc151193711"/>
      <w:r/>
      <w:bookmarkStart w:id="480" w:name="_Toc305158883"/>
      <w:r/>
      <w:bookmarkStart w:id="481" w:name="_Toc226965731"/>
      <w:r/>
      <w:bookmarkStart w:id="482" w:name="_Toc164229382"/>
      <w:r/>
      <w:bookmarkStart w:id="483" w:name="_Toc151193639"/>
      <w:r/>
      <w:bookmarkStart w:id="484" w:name="_Toc150480779"/>
      <w:r/>
      <w:bookmarkStart w:id="485" w:name="_Toc226309785"/>
      <w:r/>
      <w:bookmarkStart w:id="486" w:name="_Toc142311043"/>
      <w:r/>
      <w:bookmarkStart w:id="487" w:name="_Toc127151541"/>
      <w:r/>
      <w:bookmarkStart w:id="488" w:name="_Toc150480793"/>
      <w:r/>
      <w:bookmarkStart w:id="489" w:name="_Toc353873941"/>
      <w:r/>
      <w:bookmarkStart w:id="490" w:name="_Toc353825551"/>
      <w:r/>
      <w:bookmarkStart w:id="491" w:name="_Toc305158823"/>
      <w:r/>
      <w:bookmarkStart w:id="492" w:name="_Toc127151555"/>
      <w:r/>
      <w:bookmarkStart w:id="493" w:name="_Toc353873665"/>
      <w:r/>
      <w:bookmarkStart w:id="494" w:name="_Toc264969245"/>
      <w:r/>
      <w:bookmarkStart w:id="495" w:name="_Toc150774760"/>
      <w:r/>
      <w:bookmarkStart w:id="496" w:name="_Toc305158897"/>
      <w:r/>
      <w:bookmarkStart w:id="497" w:name="_Toc265228393"/>
      <w:r/>
      <w:bookmarkStart w:id="498" w:name="_Toc226965828"/>
      <w:r/>
      <w:bookmarkStart w:id="499" w:name="_Toc226337251"/>
      <w:r/>
      <w:bookmarkStart w:id="500" w:name="_Toc353873935"/>
      <w:r/>
      <w:bookmarkStart w:id="501" w:name="_Toc142311057"/>
      <w:r/>
      <w:bookmarkStart w:id="502" w:name="_Toc353825545"/>
      <w:r/>
      <w:bookmarkStart w:id="503" w:name="_Toc195842920"/>
      <w:r>
        <w:rPr>
          <w:rFonts w:hint="eastAsia"/>
          <w:sz w:val="24"/>
          <w:lang w:val="en-US" w:eastAsia="zh-CN"/>
        </w:rPr>
        <w:t xml:space="preserve">1、</w:t>
      </w:r>
      <w:r>
        <w:rPr>
          <w:sz w:val="24"/>
        </w:rPr>
        <w:t xml:space="preserve">响应文件的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sz w:val="24"/>
        </w:rPr>
        <w:t xml:space="preserve">资格性检查和符合性审查</w:t>
      </w:r>
      <w:r>
        <w:rPr>
          <w:sz w:val="24"/>
        </w:rPr>
      </w:r>
      <w:r/>
    </w:p>
    <w:p>
      <w:pPr>
        <w:pStyle w:val="1263"/>
        <w:numPr>
          <w:ilvl w:val="0"/>
          <w:numId w:val="0"/>
        </w:numPr>
        <w:ind w:firstLine="480"/>
        <w:spacing w:line="360" w:lineRule="auto"/>
        <w:tabs>
          <w:tab w:val="left" w:pos="1080" w:leader="none"/>
        </w:tabs>
        <w:rPr>
          <w:sz w:val="24"/>
        </w:rPr>
      </w:pPr>
      <w:r>
        <w:rPr>
          <w:rFonts w:hint="eastAsia"/>
          <w:sz w:val="24"/>
          <w:lang w:val="en-US" w:eastAsia="zh-CN"/>
        </w:rPr>
        <w:t xml:space="preserve">1.1采购人或其委托的磋商小组</w:t>
      </w:r>
      <w:r>
        <w:rPr>
          <w:sz w:val="24"/>
        </w:rPr>
        <w:t xml:space="preserve">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263"/>
        <w:numPr>
          <w:ilvl w:val="0"/>
          <w:numId w:val="0"/>
        </w:numPr>
        <w:ind w:firstLine="480"/>
        <w:spacing w:line="360" w:lineRule="auto"/>
        <w:tabs>
          <w:tab w:val="left" w:pos="1080" w:leader="none"/>
        </w:tabs>
        <w:rPr>
          <w:sz w:val="24"/>
        </w:rPr>
      </w:pPr>
      <w:r>
        <w:rPr>
          <w:rFonts w:hint="eastAsia"/>
          <w:sz w:val="24"/>
          <w:lang w:val="en-US" w:eastAsia="zh-CN"/>
        </w:rPr>
        <w:t xml:space="preserve">1.2</w:t>
      </w:r>
      <w:r>
        <w:rPr>
          <w:sz w:val="24"/>
        </w:rPr>
        <w:t xml:space="preserve">《资格性检查要求》中对格式有要求的，除竞争性磋商文件另有规定外，均为“实质性格式”文件。</w:t>
      </w:r>
      <w:r>
        <w:rPr>
          <w:sz w:val="24"/>
        </w:rPr>
      </w:r>
      <w:r/>
    </w:p>
    <w:p>
      <w:pPr>
        <w:pStyle w:val="1263"/>
        <w:numPr>
          <w:ilvl w:val="0"/>
          <w:numId w:val="0"/>
        </w:numPr>
        <w:ind w:firstLine="480"/>
        <w:spacing w:line="360" w:lineRule="auto"/>
        <w:tabs>
          <w:tab w:val="left" w:pos="1080" w:leader="none"/>
        </w:tabs>
        <w:rPr>
          <w:sz w:val="24"/>
        </w:rPr>
      </w:pPr>
      <w:r>
        <w:rPr>
          <w:rFonts w:hint="eastAsia"/>
          <w:sz w:val="24"/>
          <w:lang w:val="en-US" w:eastAsia="zh-CN"/>
        </w:rPr>
        <w:t xml:space="preserve">1.3</w:t>
      </w:r>
      <w:r>
        <w:rPr>
          <w:sz w:val="24"/>
        </w:rPr>
        <w:t xml:space="preserve">《资格性检查要求》见下表：</w:t>
      </w:r>
      <w:r>
        <w:rPr>
          <w:sz w:val="24"/>
        </w:rPr>
      </w:r>
      <w:r/>
    </w:p>
    <w:p>
      <w:pPr>
        <w:pStyle w:val="1263"/>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60" w:type="pct"/>
        <w:jc w:val="center"/>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985"/>
        <w:gridCol w:w="4790"/>
        <w:gridCol w:w="1620"/>
      </w:tblGrid>
      <w:tr>
        <w:trPr>
          <w:cantSplit/>
          <w:trHeight w:val="20"/>
          <w:tblHeader/>
        </w:trPr>
        <w:tc>
          <w:tcPr>
            <w:tcW w:w="421" w:type="dxa"/>
            <w:vAlign w:val="center"/>
            <w:textDirection w:val="lrTb"/>
            <w:noWrap w:val="false"/>
          </w:tcPr>
          <w:p>
            <w:pPr>
              <w:pStyle w:val="1263"/>
              <w:jc w:val="center"/>
              <w:tabs>
                <w:tab w:val="left" w:pos="1080" w:leader="none"/>
              </w:tabs>
              <w:rPr>
                <w:b/>
                <w:sz w:val="24"/>
              </w:rPr>
            </w:pPr>
            <w:r/>
            <w:bookmarkStart w:id="504" w:name="_Hlt487972895"/>
            <w:r/>
            <w:bookmarkEnd w:id="504"/>
            <w:r>
              <w:rPr>
                <w:b/>
                <w:sz w:val="24"/>
              </w:rPr>
              <w:t xml:space="preserve">序号</w:t>
            </w:r>
            <w:r>
              <w:rPr>
                <w:b/>
                <w:sz w:val="24"/>
              </w:rPr>
            </w:r>
            <w:r/>
          </w:p>
        </w:tc>
        <w:tc>
          <w:tcPr>
            <w:tcW w:w="1082" w:type="dxa"/>
            <w:vAlign w:val="center"/>
            <w:textDirection w:val="lrTb"/>
            <w:noWrap w:val="false"/>
          </w:tcPr>
          <w:p>
            <w:pPr>
              <w:pStyle w:val="1263"/>
              <w:jc w:val="center"/>
              <w:tabs>
                <w:tab w:val="left" w:pos="1080" w:leader="none"/>
              </w:tabs>
              <w:rPr>
                <w:b/>
                <w:sz w:val="24"/>
              </w:rPr>
            </w:pPr>
            <w:r>
              <w:rPr>
                <w:b/>
                <w:sz w:val="24"/>
              </w:rPr>
              <w:t xml:space="preserve">审查因素</w:t>
            </w:r>
            <w:r>
              <w:rPr>
                <w:b/>
                <w:sz w:val="24"/>
              </w:rPr>
            </w:r>
            <w:r/>
          </w:p>
        </w:tc>
        <w:tc>
          <w:tcPr>
            <w:tcW w:w="2612" w:type="dxa"/>
            <w:vAlign w:val="center"/>
            <w:textDirection w:val="lrTb"/>
            <w:noWrap w:val="false"/>
          </w:tcPr>
          <w:p>
            <w:pPr>
              <w:pStyle w:val="1263"/>
              <w:jc w:val="center"/>
              <w:tabs>
                <w:tab w:val="left" w:pos="1080" w:leader="none"/>
              </w:tabs>
              <w:rPr>
                <w:b/>
                <w:sz w:val="24"/>
              </w:rPr>
            </w:pPr>
            <w:r>
              <w:rPr>
                <w:b/>
                <w:sz w:val="24"/>
              </w:rPr>
              <w:t xml:space="preserve">审查内容</w:t>
            </w:r>
            <w:r>
              <w:rPr>
                <w:b/>
                <w:sz w:val="24"/>
              </w:rPr>
            </w:r>
            <w:r/>
          </w:p>
        </w:tc>
        <w:tc>
          <w:tcPr>
            <w:tcW w:w="883" w:type="dxa"/>
            <w:vAlign w:val="center"/>
            <w:textDirection w:val="lrTb"/>
            <w:noWrap w:val="false"/>
          </w:tcPr>
          <w:p>
            <w:pPr>
              <w:pStyle w:val="1263"/>
              <w:jc w:val="center"/>
              <w:tabs>
                <w:tab w:val="left" w:pos="1080" w:leader="none"/>
              </w:tabs>
              <w:rPr>
                <w:b/>
                <w:sz w:val="24"/>
              </w:rPr>
            </w:pPr>
            <w:r>
              <w:rPr>
                <w:b/>
                <w:sz w:val="24"/>
              </w:rPr>
              <w:t xml:space="preserve">格式要求</w:t>
            </w:r>
            <w:r>
              <w:rPr>
                <w:b/>
                <w:sz w:val="24"/>
              </w:rPr>
            </w:r>
            <w:r/>
          </w:p>
        </w:tc>
      </w:tr>
      <w:tr>
        <w:trPr>
          <w:cantSplit/>
          <w:trHeight w:val="20"/>
        </w:trPr>
        <w:tc>
          <w:tcPr>
            <w:tcW w:w="421" w:type="dxa"/>
            <w:vAlign w:val="center"/>
            <w:textDirection w:val="lrTb"/>
            <w:noWrap w:val="false"/>
          </w:tcPr>
          <w:p>
            <w:pPr>
              <w:pStyle w:val="1263"/>
              <w:jc w:val="center"/>
              <w:tabs>
                <w:tab w:val="left" w:pos="1080" w:leader="none"/>
              </w:tabs>
              <w:rPr>
                <w:sz w:val="24"/>
              </w:rPr>
            </w:pPr>
            <w:r>
              <w:rPr>
                <w:sz w:val="24"/>
              </w:rPr>
              <w:t xml:space="preserve">1</w:t>
            </w:r>
            <w:r>
              <w:rPr>
                <w:sz w:val="24"/>
              </w:rPr>
            </w:r>
            <w:r/>
          </w:p>
        </w:tc>
        <w:tc>
          <w:tcPr>
            <w:tcW w:w="1082" w:type="dxa"/>
            <w:vAlign w:val="center"/>
            <w:textDirection w:val="lrTb"/>
            <w:noWrap w:val="false"/>
          </w:tcPr>
          <w:p>
            <w:pPr>
              <w:pStyle w:val="1263"/>
              <w:tabs>
                <w:tab w:val="left" w:pos="1080" w:leader="none"/>
              </w:tabs>
              <w:rPr>
                <w:sz w:val="24"/>
              </w:rPr>
            </w:pPr>
            <w:r>
              <w:rPr>
                <w:sz w:val="24"/>
              </w:rPr>
              <w:t xml:space="preserve">满足《中华人民共和国政府采购法》第二十二条规定及法律法规的其他规定</w:t>
            </w:r>
            <w:r>
              <w:rPr>
                <w:sz w:val="24"/>
              </w:rPr>
            </w:r>
            <w:r/>
          </w:p>
        </w:tc>
        <w:tc>
          <w:tcPr>
            <w:tcW w:w="2612" w:type="dxa"/>
            <w:vAlign w:val="center"/>
            <w:textDirection w:val="lrTb"/>
            <w:noWrap w:val="false"/>
          </w:tcPr>
          <w:p>
            <w:pPr>
              <w:pStyle w:val="1263"/>
              <w:tabs>
                <w:tab w:val="left" w:pos="900" w:leader="none"/>
                <w:tab w:val="left" w:pos="1980" w:leader="none"/>
              </w:tabs>
              <w:rPr>
                <w:sz w:val="24"/>
              </w:rPr>
            </w:pPr>
            <w:r>
              <w:rPr>
                <w:rFonts w:hint="eastAsia" w:ascii="宋体" w:hAnsi="宋体" w:eastAsia="宋体" w:cs="宋体"/>
                <w:sz w:val="24"/>
                <w:szCs w:val="24"/>
                <w:vertAlign w:val="baseline"/>
              </w:rPr>
              <w:t xml:space="preserve">具体规定见第一章《采购邀请》</w:t>
            </w:r>
            <w:r>
              <w:rPr>
                <w:sz w:val="24"/>
              </w:rPr>
            </w:r>
            <w:r/>
          </w:p>
        </w:tc>
        <w:tc>
          <w:tcPr>
            <w:tcW w:w="883" w:type="dxa"/>
            <w:vAlign w:val="center"/>
            <w:textDirection w:val="lrTb"/>
            <w:noWrap w:val="false"/>
          </w:tcPr>
          <w:p>
            <w:pPr>
              <w:pStyle w:val="1263"/>
              <w:tabs>
                <w:tab w:val="left" w:pos="1080" w:leader="none"/>
              </w:tabs>
              <w:rPr>
                <w:sz w:val="24"/>
              </w:rPr>
            </w:pPr>
            <w:r>
              <w:rPr>
                <w:sz w:val="24"/>
              </w:rPr>
            </w:r>
            <w:r/>
          </w:p>
        </w:tc>
      </w:tr>
      <w:tr>
        <w:trPr>
          <w:cantSplit/>
          <w:trHeight w:val="786"/>
        </w:trPr>
        <w:tc>
          <w:tcPr>
            <w:tcW w:w="421" w:type="dxa"/>
            <w:vAlign w:val="center"/>
            <w:textDirection w:val="lrTb"/>
            <w:noWrap w:val="false"/>
          </w:tcPr>
          <w:p>
            <w:pPr>
              <w:pStyle w:val="1263"/>
              <w:jc w:val="center"/>
              <w:tabs>
                <w:tab w:val="left" w:pos="1080" w:leader="none"/>
              </w:tabs>
              <w:rPr>
                <w:sz w:val="24"/>
              </w:rPr>
            </w:pPr>
            <w:r>
              <w:rPr>
                <w:sz w:val="24"/>
              </w:rPr>
              <w:t xml:space="preserve">1-1</w:t>
            </w:r>
            <w:r>
              <w:rPr>
                <w:sz w:val="24"/>
              </w:rPr>
            </w:r>
            <w:r/>
          </w:p>
        </w:tc>
        <w:tc>
          <w:tcPr>
            <w:tcW w:w="1082" w:type="dxa"/>
            <w:vAlign w:val="center"/>
            <w:textDirection w:val="lrTb"/>
            <w:noWrap w:val="false"/>
          </w:tcPr>
          <w:p>
            <w:pPr>
              <w:pStyle w:val="1263"/>
              <w:tabs>
                <w:tab w:val="left" w:pos="1080" w:leader="none"/>
              </w:tabs>
              <w:rPr>
                <w:sz w:val="24"/>
              </w:rPr>
            </w:pPr>
            <w:r>
              <w:rPr>
                <w:rFonts w:hint="eastAsia"/>
                <w:sz w:val="24"/>
              </w:rPr>
              <w:t xml:space="preserve">供应商资格声明函</w:t>
            </w:r>
            <w:r>
              <w:rPr>
                <w:sz w:val="24"/>
              </w:rPr>
            </w:r>
            <w:r/>
          </w:p>
        </w:tc>
        <w:tc>
          <w:tcPr>
            <w:tcW w:w="2612" w:type="dxa"/>
            <w:vAlign w:val="center"/>
            <w:textDirection w:val="lrTb"/>
            <w:noWrap w:val="false"/>
          </w:tcPr>
          <w:p>
            <w:pPr>
              <w:pStyle w:val="1263"/>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883" w:type="dxa"/>
            <w:vAlign w:val="center"/>
            <w:textDirection w:val="lrTb"/>
            <w:noWrap w:val="false"/>
          </w:tcPr>
          <w:p>
            <w:pPr>
              <w:pStyle w:val="1263"/>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421" w:type="dxa"/>
            <w:vAlign w:val="center"/>
            <w:textDirection w:val="lrTb"/>
            <w:noWrap w:val="false"/>
          </w:tcPr>
          <w:p>
            <w:pPr>
              <w:pStyle w:val="1263"/>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82" w:type="dxa"/>
            <w:vAlign w:val="center"/>
            <w:textDirection w:val="lrTb"/>
            <w:noWrap w:val="false"/>
          </w:tcPr>
          <w:p>
            <w:pPr>
              <w:pStyle w:val="1263"/>
              <w:tabs>
                <w:tab w:val="left" w:pos="1080" w:leader="none"/>
              </w:tabs>
              <w:rPr>
                <w:sz w:val="24"/>
              </w:rPr>
            </w:pPr>
            <w:r>
              <w:rPr>
                <w:sz w:val="24"/>
              </w:rPr>
              <w:t xml:space="preserve">供应商信用记录</w:t>
            </w:r>
            <w:r>
              <w:rPr>
                <w:sz w:val="24"/>
              </w:rPr>
            </w:r>
            <w:r/>
          </w:p>
        </w:tc>
        <w:tc>
          <w:tcPr>
            <w:tcW w:w="2612" w:type="dxa"/>
            <w:vAlign w:val="center"/>
            <w:textDirection w:val="lrTb"/>
            <w:noWrap w:val="false"/>
          </w:tcPr>
          <w:p>
            <w:pPr>
              <w:pStyle w:val="1263"/>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1263"/>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1263"/>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263"/>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883" w:type="dxa"/>
            <w:vAlign w:val="center"/>
            <w:textDirection w:val="lrTb"/>
            <w:noWrap w:val="false"/>
          </w:tcPr>
          <w:p>
            <w:pPr>
              <w:pStyle w:val="1263"/>
              <w:tabs>
                <w:tab w:val="left" w:pos="1080" w:leader="none"/>
              </w:tabs>
              <w:rPr>
                <w:sz w:val="24"/>
              </w:rPr>
            </w:pPr>
            <w:r>
              <w:rPr>
                <w:sz w:val="24"/>
              </w:rPr>
            </w:r>
            <w:r/>
          </w:p>
        </w:tc>
      </w:tr>
      <w:tr>
        <w:trPr>
          <w:cantSplit/>
          <w:trHeight w:val="20"/>
        </w:trPr>
        <w:tc>
          <w:tcPr>
            <w:tcW w:w="421" w:type="dxa"/>
            <w:vAlign w:val="center"/>
            <w:textDirection w:val="lrTb"/>
            <w:noWrap w:val="false"/>
          </w:tcPr>
          <w:p>
            <w:pPr>
              <w:pStyle w:val="1263"/>
              <w:jc w:val="center"/>
              <w:tabs>
                <w:tab w:val="left" w:pos="1080" w:leader="none"/>
              </w:tabs>
              <w:rPr>
                <w:rFonts w:hint="eastAsia"/>
                <w:sz w:val="24"/>
                <w:szCs w:val="24"/>
                <w:lang w:val="en-US" w:eastAsia="zh-CN" w:bidi="ar-SA"/>
              </w:rPr>
            </w:pPr>
            <w:r>
              <w:rPr>
                <w:sz w:val="24"/>
              </w:rPr>
              <w:t xml:space="preserve">2-1</w:t>
            </w:r>
            <w:r>
              <w:rPr>
                <w:rFonts w:hint="eastAsia"/>
                <w:sz w:val="24"/>
                <w:szCs w:val="24"/>
                <w:lang w:val="en-US" w:eastAsia="zh-CN" w:bidi="ar-SA"/>
              </w:rPr>
            </w:r>
            <w:r/>
          </w:p>
        </w:tc>
        <w:tc>
          <w:tcPr>
            <w:tcW w:w="1082" w:type="dxa"/>
            <w:vAlign w:val="center"/>
            <w:textDirection w:val="lrTb"/>
            <w:noWrap w:val="false"/>
          </w:tcPr>
          <w:p>
            <w:pPr>
              <w:pStyle w:val="1263"/>
              <w:tabs>
                <w:tab w:val="left" w:pos="1080" w:leader="none"/>
              </w:tabs>
              <w:rPr>
                <w:sz w:val="24"/>
                <w:szCs w:val="24"/>
                <w:lang w:val="en-US" w:eastAsia="zh-CN" w:bidi="ar-SA"/>
              </w:rPr>
            </w:pPr>
            <w:r>
              <w:rPr>
                <w:sz w:val="24"/>
              </w:rPr>
              <w:t xml:space="preserve">中小企业声明函</w:t>
            </w:r>
            <w:r>
              <w:rPr>
                <w:sz w:val="24"/>
                <w:szCs w:val="24"/>
                <w:lang w:val="en-US" w:eastAsia="zh-CN" w:bidi="ar-SA"/>
              </w:rPr>
            </w:r>
            <w:r/>
          </w:p>
        </w:tc>
        <w:tc>
          <w:tcPr>
            <w:tcW w:w="2612" w:type="dxa"/>
            <w:vAlign w:val="center"/>
            <w:textDirection w:val="lrTb"/>
            <w:noWrap w:val="false"/>
          </w:tcPr>
          <w:p>
            <w:pPr>
              <w:pStyle w:val="1263"/>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1、供应商单独参与磋商的，应提供中小企业声明函；如为监狱企业或残疾人福利性单位，不必提供中小企业声明函，但须按注1或注2要求提供证明材料。</w:t>
            </w:r>
            <w:r>
              <w:rPr>
                <w:rFonts w:ascii="Times New Roman" w:hAnsi="Times New Roman" w:eastAsia="宋体" w:cs="Times New Roman"/>
                <w:sz w:val="24"/>
              </w:rPr>
            </w:r>
            <w:r/>
          </w:p>
          <w:p>
            <w:pPr>
              <w:pStyle w:val="1263"/>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Times New Roman" w:hAnsi="Times New Roman" w:eastAsia="宋体" w:cs="Times New Roman"/>
                <w:sz w:val="24"/>
              </w:rPr>
            </w:r>
            <w:r/>
          </w:p>
          <w:p>
            <w:pPr>
              <w:pStyle w:val="1263"/>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注1：监狱企业须提供由省级以上监狱管理局（常州市含教育矫治局）、戒毒管理局（含新疆生产建设兵团）出具的属于监狱企业的证明文件。</w:t>
            </w:r>
            <w:r>
              <w:rPr>
                <w:rFonts w:ascii="Times New Roman" w:hAnsi="Times New Roman" w:eastAsia="宋体" w:cs="Times New Roman"/>
                <w:sz w:val="24"/>
              </w:rPr>
            </w:r>
            <w:r/>
          </w:p>
          <w:p>
            <w:pPr>
              <w:pStyle w:val="1263"/>
              <w:tabs>
                <w:tab w:val="left" w:pos="1080"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rPr>
              <w:t xml:space="preserve">注2：残疾人福利性单位须按磋商文件要求提供《残疾人福利性单位声明函》。</w:t>
            </w:r>
            <w:r>
              <w:rPr>
                <w:rFonts w:ascii="Times New Roman" w:hAnsi="Times New Roman" w:eastAsia="宋体" w:cs="Times New Roman"/>
                <w:sz w:val="24"/>
                <w:lang w:val="en-US" w:eastAsia="zh-CN"/>
              </w:rPr>
            </w:r>
            <w:r/>
          </w:p>
        </w:tc>
        <w:tc>
          <w:tcPr>
            <w:tcW w:w="883" w:type="dxa"/>
            <w:vAlign w:val="center"/>
            <w:textDirection w:val="lrTb"/>
            <w:noWrap w:val="false"/>
          </w:tcPr>
          <w:p>
            <w:pPr>
              <w:pStyle w:val="1263"/>
              <w:tabs>
                <w:tab w:val="left" w:pos="1080" w:leader="none"/>
              </w:tabs>
              <w:rPr>
                <w:rFonts w:ascii="Times New Roman" w:hAnsi="Times New Roman" w:eastAsia="宋体" w:cs="Times New Roman"/>
                <w:sz w:val="24"/>
                <w:lang w:val="en-US" w:eastAsia="zh-CN"/>
              </w:rPr>
            </w:pPr>
            <w:r>
              <w:rPr>
                <w:rFonts w:hint="eastAsia" w:ascii="宋体" w:hAnsi="宋体"/>
                <w:sz w:val="24"/>
                <w:szCs w:val="24"/>
              </w:rPr>
              <w:t xml:space="preserve">提供证明文件的电子</w:t>
            </w:r>
            <w:r>
              <w:rPr>
                <w:rFonts w:hint="eastAsia" w:ascii="宋体" w:hAnsi="宋体"/>
                <w:sz w:val="24"/>
                <w:szCs w:val="24"/>
                <w:lang w:val="en-US" w:eastAsia="zh-CN"/>
              </w:rPr>
              <w:t xml:space="preserve">扫描件</w:t>
            </w:r>
            <w:r>
              <w:rPr>
                <w:rFonts w:hint="eastAsia" w:ascii="宋体" w:hAnsi="宋体"/>
                <w:sz w:val="24"/>
                <w:szCs w:val="24"/>
                <w:lang w:val="en-US" w:eastAsia="zh-CN"/>
              </w:rPr>
              <w:t xml:space="preserve">加盖电子公章</w:t>
            </w:r>
            <w:r>
              <w:rPr>
                <w:rFonts w:ascii="Times New Roman" w:hAnsi="Times New Roman" w:eastAsia="宋体" w:cs="Times New Roman"/>
                <w:sz w:val="24"/>
                <w:lang w:val="en-US" w:eastAsia="zh-CN"/>
              </w:rPr>
            </w:r>
            <w:r/>
          </w:p>
        </w:tc>
      </w:tr>
      <w:tr>
        <w:trPr>
          <w:cantSplit/>
          <w:trHeight w:val="20"/>
        </w:trPr>
        <w:tc>
          <w:tcPr>
            <w:tcW w:w="421" w:type="dxa"/>
            <w:vAlign w:val="center"/>
            <w:textDirection w:val="lrTb"/>
            <w:noWrap w:val="false"/>
          </w:tcPr>
          <w:p>
            <w:pPr>
              <w:pStyle w:val="1263"/>
              <w:jc w:val="center"/>
              <w:tabs>
                <w:tab w:val="left" w:pos="1080" w:leader="none"/>
              </w:tabs>
              <w:rPr>
                <w:sz w:val="24"/>
              </w:rPr>
            </w:pPr>
            <w:r>
              <w:rPr>
                <w:sz w:val="24"/>
              </w:rPr>
              <w:t xml:space="preserve">3-2</w:t>
            </w:r>
            <w:r>
              <w:rPr>
                <w:sz w:val="24"/>
              </w:rPr>
            </w:r>
            <w:r/>
          </w:p>
        </w:tc>
        <w:tc>
          <w:tcPr>
            <w:tcW w:w="1082" w:type="dxa"/>
            <w:vAlign w:val="center"/>
            <w:textDirection w:val="lrTb"/>
            <w:noWrap w:val="false"/>
          </w:tcPr>
          <w:p>
            <w:pPr>
              <w:pStyle w:val="1263"/>
              <w:tabs>
                <w:tab w:val="left" w:pos="1080" w:leader="none"/>
              </w:tabs>
              <w:rPr>
                <w:sz w:val="24"/>
              </w:rPr>
            </w:pPr>
            <w:r>
              <w:rPr>
                <w:sz w:val="24"/>
              </w:rPr>
              <w:t xml:space="preserve">其他特定资格要求</w:t>
            </w:r>
            <w:r>
              <w:rPr>
                <w:sz w:val="24"/>
              </w:rPr>
            </w:r>
            <w:r/>
          </w:p>
        </w:tc>
        <w:tc>
          <w:tcPr>
            <w:tcW w:w="2612" w:type="dxa"/>
            <w:vAlign w:val="center"/>
            <w:textDirection w:val="lrTb"/>
            <w:noWrap w:val="false"/>
          </w:tcPr>
          <w:p>
            <w:pPr>
              <w:pStyle w:val="1263"/>
              <w:tabs>
                <w:tab w:val="left" w:pos="1080" w:leader="none"/>
              </w:tabs>
              <w:rPr>
                <w:rFonts w:ascii="Calibri" w:hAnsi="Calibri" w:eastAsia="宋体" w:cs="Calibri"/>
                <w:sz w:val="24"/>
                <w:lang w:val="en-US" w:eastAsia="zh-CN"/>
              </w:rPr>
            </w:pPr>
            <w:r>
              <w:rPr>
                <w:rFonts w:hint="eastAsia" w:ascii="Calibri" w:hAnsi="Calibri" w:eastAsia="宋体" w:cs="Calibri"/>
                <w:sz w:val="24"/>
              </w:rPr>
              <w:t xml:space="preserve">（1）</w:t>
            </w:r>
            <w:r>
              <w:rPr>
                <w:rFonts w:hint="eastAsia" w:ascii="Calibri" w:hAnsi="Calibri" w:eastAsia="宋体" w:cs="Calibri"/>
                <w:sz w:val="24"/>
                <w:lang w:val="en-US" w:eastAsia="zh-CN"/>
              </w:rPr>
              <w:t xml:space="preserve">有效期内营业执照；</w:t>
            </w:r>
            <w:r>
              <w:rPr>
                <w:rFonts w:ascii="Calibri" w:hAnsi="Calibri" w:eastAsia="宋体" w:cs="Calibri"/>
                <w:sz w:val="24"/>
                <w:lang w:val="en-US" w:eastAsia="zh-CN"/>
              </w:rPr>
            </w:r>
            <w:r/>
          </w:p>
          <w:p>
            <w:pPr>
              <w:pStyle w:val="1263"/>
              <w:tabs>
                <w:tab w:val="left" w:pos="1080" w:leader="none"/>
              </w:tabs>
              <w:rPr>
                <w:rFonts w:hint="eastAsia" w:ascii="Calibri" w:hAnsi="Calibri" w:eastAsia="宋体" w:cs="Calibri"/>
                <w:sz w:val="24"/>
              </w:rPr>
            </w:pPr>
            <w:r>
              <w:rPr>
                <w:rFonts w:hint="eastAsia" w:ascii="Calibri" w:hAnsi="Calibri" w:eastAsia="宋体" w:cs="Calibri"/>
                <w:sz w:val="24"/>
                <w:lang w:eastAsia="zh-CN"/>
              </w:rPr>
              <w:t xml:space="preserve">（</w:t>
            </w:r>
            <w:r>
              <w:rPr>
                <w:rFonts w:hint="eastAsia" w:ascii="Calibri" w:hAnsi="Calibri" w:eastAsia="宋体" w:cs="Calibri"/>
                <w:sz w:val="24"/>
                <w:lang w:val="en-US" w:eastAsia="zh-CN"/>
              </w:rPr>
              <w:t xml:space="preserve">2</w:t>
            </w:r>
            <w:r>
              <w:rPr>
                <w:rFonts w:hint="eastAsia" w:ascii="Calibri" w:hAnsi="Calibri" w:eastAsia="宋体" w:cs="Calibri"/>
                <w:sz w:val="24"/>
                <w:lang w:eastAsia="zh-CN"/>
              </w:rPr>
              <w:t xml:space="preserve">）</w:t>
            </w:r>
            <w:r>
              <w:rPr>
                <w:rFonts w:hint="eastAsia" w:ascii="Calibri" w:hAnsi="Calibri" w:eastAsia="宋体" w:cs="Calibri"/>
                <w:sz w:val="24"/>
                <w:lang w:val="en-US" w:eastAsia="zh-CN"/>
              </w:rPr>
              <w:t xml:space="preserve">投标人具有有效期内市政公用工程施工总承包三级及以上资质证书；</w:t>
            </w:r>
            <w:r>
              <w:rPr>
                <w:rFonts w:hint="eastAsia" w:ascii="Calibri" w:hAnsi="Calibri" w:eastAsia="宋体" w:cs="Calibri"/>
                <w:sz w:val="24"/>
              </w:rPr>
            </w:r>
            <w:r/>
          </w:p>
          <w:p>
            <w:pPr>
              <w:pStyle w:val="1263"/>
              <w:tabs>
                <w:tab w:val="left" w:pos="1080" w:leader="none"/>
              </w:tabs>
              <w:rPr>
                <w:rFonts w:hint="eastAsia" w:ascii="Calibri" w:hAnsi="Calibri" w:eastAsia="宋体" w:cs="Calibri"/>
                <w:sz w:val="24"/>
              </w:rPr>
            </w:pPr>
            <w:r>
              <w:rPr>
                <w:rFonts w:hint="eastAsia" w:ascii="Calibri" w:hAnsi="Calibri" w:eastAsia="宋体" w:cs="Calibri"/>
                <w:sz w:val="24"/>
              </w:rPr>
              <w:t xml:space="preserve">（</w:t>
            </w:r>
            <w:r>
              <w:rPr>
                <w:rFonts w:hint="eastAsia" w:ascii="Calibri" w:hAnsi="Calibri" w:eastAsia="宋体" w:cs="Calibri"/>
                <w:sz w:val="24"/>
                <w:lang w:val="en-US" w:eastAsia="zh-CN"/>
              </w:rPr>
              <w:t xml:space="preserve">3</w:t>
            </w:r>
            <w:r>
              <w:rPr>
                <w:rFonts w:hint="eastAsia" w:ascii="Calibri" w:hAnsi="Calibri" w:eastAsia="宋体" w:cs="Calibri"/>
                <w:sz w:val="24"/>
              </w:rPr>
              <w:t xml:space="preserve">）投标人具有有效期内企业安全生产许可证证书；</w:t>
            </w:r>
            <w:r>
              <w:rPr>
                <w:rFonts w:hint="eastAsia" w:ascii="Calibri" w:hAnsi="Calibri" w:eastAsia="宋体" w:cs="Calibri"/>
                <w:sz w:val="24"/>
              </w:rPr>
            </w:r>
            <w:r/>
          </w:p>
          <w:p>
            <w:pPr>
              <w:pStyle w:val="1263"/>
              <w:tabs>
                <w:tab w:val="left" w:pos="1080" w:leader="none"/>
              </w:tabs>
              <w:rPr>
                <w:sz w:val="24"/>
              </w:rPr>
            </w:pPr>
            <w:r>
              <w:rPr>
                <w:rFonts w:hint="eastAsia" w:ascii="Calibri" w:hAnsi="Calibri" w:eastAsia="宋体" w:cs="Calibri"/>
                <w:sz w:val="24"/>
              </w:rPr>
              <w:t xml:space="preserve">（</w:t>
            </w:r>
            <w:r>
              <w:rPr>
                <w:rFonts w:hint="eastAsia" w:ascii="Calibri" w:hAnsi="Calibri" w:eastAsia="宋体" w:cs="Calibri"/>
                <w:sz w:val="24"/>
                <w:lang w:val="en-US" w:eastAsia="zh-CN"/>
              </w:rPr>
              <w:t xml:space="preserve">4</w:t>
            </w:r>
            <w:r>
              <w:rPr>
                <w:rFonts w:hint="eastAsia" w:ascii="Calibri" w:hAnsi="Calibri" w:eastAsia="宋体" w:cs="Calibri"/>
                <w:sz w:val="24"/>
              </w:rPr>
              <w:t xml:space="preserve">）项目负责人具有</w:t>
            </w:r>
            <w:r>
              <w:rPr>
                <w:rFonts w:hint="eastAsia" w:ascii="Calibri" w:hAnsi="Calibri" w:eastAsia="宋体" w:cs="Calibri"/>
                <w:sz w:val="24"/>
                <w:lang w:val="en-US" w:eastAsia="zh-CN"/>
              </w:rPr>
              <w:t xml:space="preserve">市政公用工程二级及以上</w:t>
            </w:r>
            <w:r>
              <w:rPr>
                <w:rFonts w:hint="eastAsia" w:ascii="Calibri" w:hAnsi="Calibri" w:eastAsia="宋体" w:cs="Calibri"/>
                <w:sz w:val="24"/>
              </w:rPr>
              <w:t xml:space="preserve">注册建造师证书</w:t>
            </w:r>
            <w:r>
              <w:rPr>
                <w:rFonts w:hint="eastAsia" w:ascii="Calibri" w:hAnsi="Calibri" w:eastAsia="宋体" w:cs="Calibri"/>
                <w:sz w:val="24"/>
                <w:lang w:eastAsia="zh-CN"/>
              </w:rPr>
              <w:t xml:space="preserve">、</w:t>
            </w:r>
            <w:r>
              <w:rPr>
                <w:rFonts w:hint="eastAsia" w:ascii="Calibri" w:hAnsi="Calibri" w:eastAsia="宋体" w:cs="Calibri"/>
                <w:sz w:val="24"/>
              </w:rPr>
              <w:t xml:space="preserve">安全生产考核合格证（B 证）及为其缴纳</w:t>
            </w:r>
            <w:r>
              <w:rPr>
                <w:rFonts w:hint="eastAsia" w:ascii="Calibri" w:hAnsi="Calibri" w:eastAsia="宋体" w:cs="Calibri"/>
                <w:sz w:val="24"/>
                <w:highlight w:val="none"/>
              </w:rPr>
              <w:t xml:space="preserve">的</w:t>
            </w:r>
            <w:r>
              <w:rPr>
                <w:rFonts w:hint="eastAsia" w:ascii="Calibri" w:hAnsi="Calibri" w:eastAsia="宋体" w:cs="Calibri"/>
                <w:sz w:val="24"/>
                <w:highlight w:val="none"/>
                <w:lang w:eastAsia="zh-CN"/>
              </w:rPr>
              <w:t xml:space="preserve">2026年8月至2026年10月</w:t>
            </w:r>
            <w:r>
              <w:rPr>
                <w:rFonts w:hint="eastAsia" w:ascii="Calibri" w:hAnsi="Calibri" w:eastAsia="宋体" w:cs="Calibri"/>
                <w:sz w:val="24"/>
              </w:rPr>
              <w:t xml:space="preserve">任意1个月的社保证明</w:t>
            </w:r>
            <w:r>
              <w:rPr>
                <w:rFonts w:hint="eastAsia" w:ascii="宋体" w:hAnsi="宋体" w:eastAsia="宋体" w:cs="仿宋"/>
                <w:b/>
                <w:bCs/>
                <w:sz w:val="24"/>
                <w:lang w:val="en-US" w:eastAsia="zh-CN" w:bidi="ar"/>
              </w:rPr>
              <w:t xml:space="preserve">（暂未缴纳社保的新成立的公司，则需提供人员社保缴纳承诺书，格式自拟）</w:t>
            </w:r>
            <w:r>
              <w:rPr>
                <w:rFonts w:hint="eastAsia" w:ascii="Calibri" w:hAnsi="Calibri" w:eastAsia="宋体" w:cs="Calibri"/>
                <w:sz w:val="24"/>
              </w:rPr>
              <w:t xml:space="preserve">及</w:t>
            </w:r>
            <w:r>
              <w:rPr>
                <w:rFonts w:hint="eastAsia" w:ascii="Calibri" w:hAnsi="Calibri" w:eastAsia="宋体" w:cs="Calibri"/>
                <w:b/>
                <w:bCs/>
                <w:sz w:val="24"/>
              </w:rPr>
              <w:t xml:space="preserve">无在建承诺（承诺书格式自拟）</w:t>
            </w:r>
            <w:r>
              <w:rPr>
                <w:rFonts w:hint="eastAsia" w:ascii="Calibri" w:hAnsi="Calibri" w:eastAsia="宋体" w:cs="Calibri"/>
                <w:sz w:val="24"/>
                <w:lang w:eastAsia="zh-CN"/>
              </w:rPr>
              <w:t xml:space="preserve">。</w:t>
            </w:r>
            <w:r>
              <w:rPr>
                <w:rFonts w:hint="eastAsia" w:ascii="Calibri" w:hAnsi="Calibri" w:eastAsia="宋体" w:cs="Calibri"/>
                <w:b/>
                <w:bCs/>
                <w:sz w:val="24"/>
                <w:lang w:eastAsia="zh-CN"/>
              </w:rPr>
              <w:t xml:space="preserve">（一级建造师电子注册证书，执行《住房和城乡建设部办公厅关于全面实行一级建造师电子注册证书的通知》（建办市 [2021]40 号）文件；使用电子证书的，需按江苏省住房和城乡建设厅〔2023〕第5号公告规定使用新版电子证照。）</w:t>
            </w:r>
            <w:r>
              <w:rPr>
                <w:sz w:val="24"/>
              </w:rPr>
            </w:r>
            <w:r/>
          </w:p>
        </w:tc>
        <w:tc>
          <w:tcPr>
            <w:tcW w:w="883" w:type="dxa"/>
            <w:vAlign w:val="center"/>
            <w:textDirection w:val="lrTb"/>
            <w:noWrap w:val="false"/>
          </w:tcPr>
          <w:p>
            <w:pPr>
              <w:pStyle w:val="1263"/>
              <w:tabs>
                <w:tab w:val="left" w:pos="1080" w:leader="none"/>
              </w:tabs>
              <w:rPr>
                <w:rFonts w:eastAsia="宋体"/>
                <w:sz w:val="24"/>
                <w:lang w:val="en-US" w:eastAsia="zh-CN"/>
              </w:rPr>
            </w:pPr>
            <w:r>
              <w:rPr>
                <w:rFonts w:hint="eastAsia" w:ascii="宋体" w:hAnsi="宋体"/>
                <w:b/>
                <w:bCs/>
                <w:sz w:val="24"/>
                <w:szCs w:val="24"/>
              </w:rPr>
              <w:t xml:space="preserve">提供证明文件的</w:t>
            </w:r>
            <w:r>
              <w:rPr>
                <w:rFonts w:hint="eastAsia" w:ascii="宋体" w:hAnsi="宋体"/>
                <w:b/>
                <w:bCs/>
                <w:sz w:val="24"/>
                <w:szCs w:val="24"/>
              </w:rPr>
              <w:t xml:space="preserve">电子</w:t>
            </w:r>
            <w:r>
              <w:rPr>
                <w:rFonts w:hint="eastAsia" w:ascii="宋体" w:hAnsi="宋体"/>
                <w:b/>
                <w:bCs/>
                <w:sz w:val="24"/>
                <w:szCs w:val="24"/>
                <w:lang w:val="en-US" w:eastAsia="zh-CN"/>
              </w:rPr>
              <w:t xml:space="preserve">扫描件加盖电子公章，使用电子证书的，需按江苏省住房和城乡建设厅〔2023〕第5号公告规定使用新版电子证照，否则作资审不合格处理。</w:t>
            </w:r>
            <w:r>
              <w:rPr>
                <w:rFonts w:eastAsia="宋体"/>
                <w:sz w:val="24"/>
                <w:lang w:val="en-US" w:eastAsia="zh-CN"/>
              </w:rPr>
            </w:r>
            <w:r/>
          </w:p>
        </w:tc>
      </w:tr>
    </w:tbl>
    <w:p>
      <w:pPr>
        <w:pStyle w:val="1263"/>
        <w:numPr>
          <w:ilvl w:val="0"/>
          <w:numId w:val="0"/>
        </w:numPr>
        <w:ind w:firstLine="480"/>
        <w:spacing w:line="360" w:lineRule="auto"/>
        <w:tabs>
          <w:tab w:val="left" w:pos="1080" w:leader="none"/>
        </w:tabs>
        <w:rPr>
          <w:sz w:val="24"/>
        </w:rPr>
      </w:pPr>
      <w:r>
        <w:rPr>
          <w:rFonts w:hint="eastAsia"/>
          <w:sz w:val="24"/>
          <w:lang w:val="en-US" w:eastAsia="zh-CN"/>
        </w:rPr>
        <w:t xml:space="preserve">1.4、</w:t>
      </w:r>
      <w:r>
        <w:rPr>
          <w:sz w:val="24"/>
        </w:rPr>
        <w:t xml:space="preserve">《符合性审查要求》见下表：</w:t>
      </w:r>
      <w:r>
        <w:rPr>
          <w:sz w:val="24"/>
        </w:rPr>
      </w:r>
      <w:r/>
    </w:p>
    <w:p>
      <w:pPr>
        <w:pStyle w:val="1263"/>
        <w:jc w:val="center"/>
        <w:spacing w:line="360" w:lineRule="auto"/>
        <w:widowControl/>
        <w:rPr>
          <w:b/>
          <w:color w:val="000000"/>
          <w:sz w:val="24"/>
        </w:rPr>
      </w:pPr>
      <w:r>
        <w:rPr>
          <w:b/>
          <w:color w:val="000000"/>
          <w:sz w:val="24"/>
        </w:rPr>
        <w:t xml:space="preserve">符合性审查要求</w:t>
      </w:r>
      <w:r>
        <w:rPr>
          <w:b/>
          <w:color w:val="000000"/>
          <w:sz w:val="24"/>
        </w:rPr>
      </w:r>
      <w:r/>
    </w:p>
    <w:tbl>
      <w:tblPr>
        <w:tblW w:w="4938" w:type="pct"/>
        <w:jc w:val="center"/>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227"/>
        <w:gridCol w:w="6024"/>
      </w:tblGrid>
      <w:tr>
        <w:trPr>
          <w:trHeight w:val="300"/>
        </w:trPr>
        <w:tc>
          <w:tcPr>
            <w:tcW w:w="389" w:type="dxa"/>
            <w:vAlign w:val="center"/>
            <w:textDirection w:val="lrTb"/>
            <w:noWrap w:val="false"/>
          </w:tcPr>
          <w:p>
            <w:pPr>
              <w:pStyle w:val="1263"/>
              <w:jc w:val="center"/>
              <w:widowControl/>
              <w:rPr>
                <w:b/>
                <w:color w:val="000000"/>
                <w:sz w:val="24"/>
              </w:rPr>
            </w:pPr>
            <w:r>
              <w:rPr>
                <w:b/>
                <w:color w:val="000000"/>
                <w:sz w:val="24"/>
              </w:rPr>
              <w:t xml:space="preserve">序号</w:t>
            </w:r>
            <w:r>
              <w:rPr>
                <w:b/>
                <w:color w:val="000000"/>
                <w:sz w:val="24"/>
              </w:rPr>
            </w:r>
            <w:r/>
          </w:p>
        </w:tc>
        <w:tc>
          <w:tcPr>
            <w:tcW w:w="1244" w:type="dxa"/>
            <w:vAlign w:val="center"/>
            <w:textDirection w:val="lrTb"/>
            <w:noWrap w:val="false"/>
          </w:tcPr>
          <w:p>
            <w:pPr>
              <w:pStyle w:val="1263"/>
              <w:jc w:val="center"/>
              <w:widowControl/>
              <w:rPr>
                <w:b/>
                <w:color w:val="000000"/>
                <w:sz w:val="24"/>
              </w:rPr>
            </w:pPr>
            <w:r>
              <w:rPr>
                <w:b/>
                <w:color w:val="000000"/>
                <w:sz w:val="24"/>
              </w:rPr>
              <w:t xml:space="preserve">审查因素</w:t>
            </w:r>
            <w:r>
              <w:rPr>
                <w:b/>
                <w:color w:val="000000"/>
                <w:sz w:val="24"/>
              </w:rPr>
            </w:r>
            <w:r/>
          </w:p>
        </w:tc>
        <w:tc>
          <w:tcPr>
            <w:tcW w:w="3365" w:type="dxa"/>
            <w:vAlign w:val="center"/>
            <w:textDirection w:val="lrTb"/>
            <w:noWrap w:val="false"/>
          </w:tcPr>
          <w:p>
            <w:pPr>
              <w:pStyle w:val="1263"/>
              <w:jc w:val="center"/>
              <w:widowControl/>
              <w:rPr>
                <w:b/>
                <w:color w:val="000000"/>
                <w:sz w:val="24"/>
              </w:rPr>
            </w:pPr>
            <w:r>
              <w:rPr>
                <w:b/>
                <w:color w:val="000000"/>
                <w:sz w:val="24"/>
              </w:rPr>
              <w:t xml:space="preserve">审查内容</w:t>
            </w:r>
            <w:r>
              <w:rPr>
                <w:b/>
                <w:color w:val="000000"/>
                <w:sz w:val="24"/>
              </w:rPr>
            </w:r>
            <w:r/>
          </w:p>
        </w:tc>
      </w:tr>
      <w:tr>
        <w:trPr>
          <w:trHeight w:val="685"/>
        </w:trPr>
        <w:tc>
          <w:tcPr>
            <w:tcW w:w="389" w:type="dxa"/>
            <w:vAlign w:val="center"/>
            <w:textDirection w:val="lrTb"/>
            <w:noWrap w:val="false"/>
          </w:tcPr>
          <w:p>
            <w:pPr>
              <w:pStyle w:val="1263"/>
              <w:jc w:val="center"/>
              <w:widowControl/>
              <w:rPr>
                <w:color w:val="000000"/>
                <w:sz w:val="24"/>
              </w:rPr>
            </w:pPr>
            <w:r>
              <w:rPr>
                <w:color w:val="000000"/>
                <w:sz w:val="24"/>
              </w:rPr>
              <w:t xml:space="preserve">1</w:t>
            </w:r>
            <w:r>
              <w:rPr>
                <w:color w:val="000000"/>
                <w:sz w:val="24"/>
              </w:rPr>
            </w:r>
            <w:r/>
          </w:p>
        </w:tc>
        <w:tc>
          <w:tcPr>
            <w:tcW w:w="1244" w:type="dxa"/>
            <w:vAlign w:val="center"/>
            <w:textDirection w:val="lrTb"/>
            <w:noWrap w:val="false"/>
          </w:tcPr>
          <w:p>
            <w:pPr>
              <w:pStyle w:val="1263"/>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365" w:type="dxa"/>
            <w:vAlign w:val="center"/>
            <w:textDirection w:val="lrTb"/>
            <w:noWrap w:val="false"/>
          </w:tcPr>
          <w:p>
            <w:pPr>
              <w:pStyle w:val="1263"/>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389" w:type="dxa"/>
            <w:vAlign w:val="center"/>
            <w:textDirection w:val="lrTb"/>
            <w:noWrap w:val="false"/>
          </w:tcPr>
          <w:p>
            <w:pPr>
              <w:pStyle w:val="1263"/>
              <w:jc w:val="center"/>
              <w:widowControl/>
              <w:rPr>
                <w:color w:val="000000"/>
                <w:sz w:val="24"/>
              </w:rPr>
            </w:pPr>
            <w:r>
              <w:rPr>
                <w:color w:val="000000"/>
                <w:sz w:val="24"/>
              </w:rPr>
              <w:t xml:space="preserve">2</w:t>
            </w:r>
            <w:r>
              <w:rPr>
                <w:color w:val="000000"/>
                <w:sz w:val="24"/>
              </w:rPr>
            </w:r>
            <w:r/>
          </w:p>
        </w:tc>
        <w:tc>
          <w:tcPr>
            <w:tcW w:w="1244" w:type="dxa"/>
            <w:vAlign w:val="center"/>
            <w:textDirection w:val="lrTb"/>
            <w:noWrap w:val="false"/>
          </w:tcPr>
          <w:p>
            <w:pPr>
              <w:pStyle w:val="1263"/>
              <w:jc w:val="left"/>
              <w:widowControl/>
              <w:rPr>
                <w:color w:val="000000"/>
                <w:sz w:val="24"/>
              </w:rPr>
            </w:pPr>
            <w:r>
              <w:rPr>
                <w:color w:val="000000"/>
                <w:sz w:val="24"/>
              </w:rPr>
              <w:t xml:space="preserve">响应完整性</w:t>
            </w:r>
            <w:r>
              <w:rPr>
                <w:color w:val="000000"/>
                <w:sz w:val="24"/>
              </w:rPr>
            </w:r>
            <w:r/>
          </w:p>
        </w:tc>
        <w:tc>
          <w:tcPr>
            <w:tcW w:w="3365" w:type="dxa"/>
            <w:vAlign w:val="center"/>
            <w:textDirection w:val="lrTb"/>
            <w:noWrap w:val="false"/>
          </w:tcPr>
          <w:p>
            <w:pPr>
              <w:pStyle w:val="1263"/>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465"/>
        </w:trPr>
        <w:tc>
          <w:tcPr>
            <w:tcW w:w="389" w:type="dxa"/>
            <w:vAlign w:val="center"/>
            <w:textDirection w:val="lrTb"/>
            <w:noWrap w:val="false"/>
          </w:tcPr>
          <w:p>
            <w:pPr>
              <w:pStyle w:val="1263"/>
              <w:jc w:val="center"/>
              <w:widowControl/>
              <w:rPr>
                <w:color w:val="000000"/>
                <w:sz w:val="24"/>
              </w:rPr>
            </w:pPr>
            <w:r>
              <w:rPr>
                <w:color w:val="000000"/>
                <w:sz w:val="24"/>
              </w:rPr>
              <w:t xml:space="preserve">3</w:t>
            </w:r>
            <w:r>
              <w:rPr>
                <w:color w:val="000000"/>
                <w:sz w:val="24"/>
              </w:rPr>
            </w:r>
            <w:r/>
          </w:p>
        </w:tc>
        <w:tc>
          <w:tcPr>
            <w:tcW w:w="1244" w:type="dxa"/>
            <w:vAlign w:val="center"/>
            <w:textDirection w:val="lrTb"/>
            <w:noWrap w:val="false"/>
          </w:tcPr>
          <w:p>
            <w:pPr>
              <w:pStyle w:val="1263"/>
              <w:jc w:val="left"/>
              <w:widowControl/>
              <w:rPr>
                <w:color w:val="000000"/>
                <w:sz w:val="24"/>
              </w:rPr>
            </w:pPr>
            <w:r>
              <w:rPr>
                <w:color w:val="000000"/>
                <w:sz w:val="24"/>
              </w:rPr>
              <w:t xml:space="preserve">响应报价</w:t>
            </w:r>
            <w:r>
              <w:rPr>
                <w:color w:val="000000"/>
                <w:sz w:val="24"/>
              </w:rPr>
            </w:r>
            <w:r/>
          </w:p>
        </w:tc>
        <w:tc>
          <w:tcPr>
            <w:tcW w:w="3365" w:type="dxa"/>
            <w:vAlign w:val="center"/>
            <w:textDirection w:val="lrTb"/>
            <w:noWrap w:val="false"/>
          </w:tcPr>
          <w:p>
            <w:pPr>
              <w:pStyle w:val="1263"/>
              <w:jc w:val="left"/>
              <w:widowControl/>
              <w:rPr>
                <w:color w:val="000000"/>
                <w:sz w:val="24"/>
              </w:rPr>
            </w:pPr>
            <w:r>
              <w:rPr>
                <w:rFonts w:hint="eastAsia" w:cs="Calibri"/>
                <w:b/>
                <w:bCs/>
                <w:color w:val="000000"/>
                <w:sz w:val="24"/>
              </w:rPr>
              <w:t xml:space="preserve">供应商报价总价不得超过控制价总价、已标价工程量清单中所有分部分项工程响应单价不得超过分部分项工程</w:t>
            </w:r>
            <w:r>
              <w:rPr>
                <w:rFonts w:hint="eastAsia" w:cs="Calibri"/>
                <w:b/>
                <w:bCs/>
                <w:color w:val="000000"/>
                <w:sz w:val="24"/>
                <w:lang w:val="en-US" w:eastAsia="zh-CN"/>
              </w:rPr>
              <w:t xml:space="preserve">控制价</w:t>
            </w:r>
            <w:r>
              <w:rPr>
                <w:rFonts w:hint="eastAsia" w:cs="Calibri"/>
                <w:b/>
                <w:bCs/>
                <w:color w:val="000000"/>
                <w:sz w:val="24"/>
              </w:rPr>
              <w:t xml:space="preserve">单价，否则作无效响应处理。未</w:t>
            </w:r>
            <w:r>
              <w:rPr>
                <w:rFonts w:hint="eastAsia"/>
                <w:b/>
                <w:bCs/>
                <w:color w:val="000000"/>
                <w:sz w:val="24"/>
              </w:rPr>
              <w:t xml:space="preserve">改变控制价文件中规定的暂估价、暂列金及甲供材料，未改变文件中明确列出的不可竞争费的名称或费率</w:t>
            </w:r>
            <w:r>
              <w:rPr>
                <w:b/>
                <w:bCs/>
                <w:color w:val="000000"/>
                <w:sz w:val="24"/>
              </w:rPr>
              <w:t xml:space="preserve">；</w:t>
            </w:r>
            <w:r>
              <w:rPr>
                <w:color w:val="000000"/>
                <w:sz w:val="24"/>
              </w:rPr>
            </w:r>
            <w:r/>
          </w:p>
        </w:tc>
      </w:tr>
      <w:tr>
        <w:trPr>
          <w:trHeight w:val="685"/>
        </w:trPr>
        <w:tc>
          <w:tcPr>
            <w:tcW w:w="389" w:type="dxa"/>
            <w:vAlign w:val="center"/>
            <w:textDirection w:val="lrTb"/>
            <w:noWrap w:val="false"/>
          </w:tcPr>
          <w:p>
            <w:pPr>
              <w:pStyle w:val="1263"/>
              <w:jc w:val="center"/>
              <w:widowControl/>
              <w:rPr>
                <w:color w:val="000000"/>
                <w:sz w:val="24"/>
              </w:rPr>
            </w:pPr>
            <w:r>
              <w:rPr>
                <w:color w:val="000000"/>
                <w:sz w:val="24"/>
              </w:rPr>
              <w:t xml:space="preserve">4</w:t>
            </w:r>
            <w:r>
              <w:rPr>
                <w:color w:val="000000"/>
                <w:sz w:val="24"/>
              </w:rPr>
            </w:r>
            <w:r/>
          </w:p>
        </w:tc>
        <w:tc>
          <w:tcPr>
            <w:tcW w:w="1244" w:type="dxa"/>
            <w:vAlign w:val="center"/>
            <w:textDirection w:val="lrTb"/>
            <w:noWrap w:val="false"/>
          </w:tcPr>
          <w:p>
            <w:pPr>
              <w:pStyle w:val="1263"/>
              <w:jc w:val="left"/>
              <w:widowControl/>
              <w:rPr>
                <w:color w:val="000000"/>
                <w:sz w:val="24"/>
              </w:rPr>
            </w:pPr>
            <w:r>
              <w:rPr>
                <w:color w:val="000000"/>
                <w:sz w:val="24"/>
              </w:rPr>
              <w:t xml:space="preserve">报价唯一性</w:t>
            </w:r>
            <w:r>
              <w:rPr>
                <w:color w:val="000000"/>
                <w:sz w:val="24"/>
              </w:rPr>
            </w:r>
            <w:r/>
          </w:p>
        </w:tc>
        <w:tc>
          <w:tcPr>
            <w:tcW w:w="3365" w:type="dxa"/>
            <w:vAlign w:val="center"/>
            <w:textDirection w:val="lrTb"/>
            <w:noWrap w:val="false"/>
          </w:tcPr>
          <w:p>
            <w:pPr>
              <w:pStyle w:val="1263"/>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389" w:type="dxa"/>
            <w:vAlign w:val="center"/>
            <w:textDirection w:val="lrTb"/>
            <w:noWrap w:val="false"/>
          </w:tcPr>
          <w:p>
            <w:pPr>
              <w:pStyle w:val="1263"/>
              <w:jc w:val="center"/>
              <w:widowControl/>
              <w:rPr>
                <w:color w:val="000000"/>
                <w:sz w:val="24"/>
              </w:rPr>
            </w:pPr>
            <w:r>
              <w:rPr>
                <w:color w:val="000000"/>
                <w:sz w:val="24"/>
              </w:rPr>
              <w:t xml:space="preserve">5</w:t>
            </w:r>
            <w:r>
              <w:rPr>
                <w:color w:val="000000"/>
                <w:sz w:val="24"/>
              </w:rPr>
            </w:r>
            <w:r/>
          </w:p>
        </w:tc>
        <w:tc>
          <w:tcPr>
            <w:tcW w:w="1244" w:type="dxa"/>
            <w:vAlign w:val="center"/>
            <w:textDirection w:val="lrTb"/>
            <w:noWrap w:val="false"/>
          </w:tcPr>
          <w:p>
            <w:pPr>
              <w:pStyle w:val="1263"/>
              <w:jc w:val="left"/>
              <w:widowControl/>
              <w:rPr>
                <w:color w:val="000000"/>
                <w:sz w:val="24"/>
              </w:rPr>
            </w:pPr>
            <w:r>
              <w:rPr>
                <w:color w:val="000000"/>
                <w:sz w:val="24"/>
              </w:rPr>
              <w:t xml:space="preserve">响应有效期</w:t>
            </w:r>
            <w:r>
              <w:rPr>
                <w:color w:val="000000"/>
                <w:sz w:val="24"/>
              </w:rPr>
            </w:r>
            <w:r/>
          </w:p>
        </w:tc>
        <w:tc>
          <w:tcPr>
            <w:tcW w:w="3365" w:type="dxa"/>
            <w:vAlign w:val="center"/>
            <w:textDirection w:val="lrTb"/>
            <w:noWrap w:val="false"/>
          </w:tcPr>
          <w:p>
            <w:pPr>
              <w:pStyle w:val="1263"/>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389" w:type="dxa"/>
            <w:vAlign w:val="center"/>
            <w:textDirection w:val="lrTb"/>
            <w:noWrap w:val="false"/>
          </w:tcPr>
          <w:p>
            <w:pPr>
              <w:pStyle w:val="1263"/>
              <w:jc w:val="center"/>
              <w:widowControl/>
              <w:rPr>
                <w:color w:val="000000"/>
                <w:sz w:val="24"/>
              </w:rPr>
            </w:pPr>
            <w:r>
              <w:rPr>
                <w:color w:val="000000"/>
                <w:sz w:val="24"/>
              </w:rPr>
              <w:t xml:space="preserve">6</w:t>
            </w:r>
            <w:r>
              <w:rPr>
                <w:color w:val="000000"/>
                <w:sz w:val="24"/>
              </w:rPr>
            </w:r>
            <w:r/>
          </w:p>
        </w:tc>
        <w:tc>
          <w:tcPr>
            <w:tcW w:w="1244" w:type="dxa"/>
            <w:vAlign w:val="center"/>
            <w:textDirection w:val="lrTb"/>
            <w:noWrap w:val="false"/>
          </w:tcPr>
          <w:p>
            <w:pPr>
              <w:pStyle w:val="1263"/>
              <w:jc w:val="left"/>
              <w:widowControl/>
              <w:rPr>
                <w:color w:val="000000"/>
                <w:sz w:val="24"/>
              </w:rPr>
            </w:pPr>
            <w:r>
              <w:rPr>
                <w:color w:val="000000"/>
                <w:sz w:val="24"/>
              </w:rPr>
              <w:t xml:space="preserve">签署、加盖公章</w:t>
            </w:r>
            <w:r>
              <w:rPr>
                <w:color w:val="000000"/>
                <w:sz w:val="24"/>
              </w:rPr>
            </w:r>
            <w:r/>
          </w:p>
        </w:tc>
        <w:tc>
          <w:tcPr>
            <w:tcW w:w="3365" w:type="dxa"/>
            <w:vAlign w:val="center"/>
            <w:textDirection w:val="lrTb"/>
            <w:noWrap w:val="false"/>
          </w:tcPr>
          <w:p>
            <w:pPr>
              <w:pStyle w:val="1263"/>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389" w:type="dxa"/>
            <w:vAlign w:val="center"/>
            <w:textDirection w:val="lrTb"/>
            <w:noWrap w:val="false"/>
          </w:tcPr>
          <w:p>
            <w:pPr>
              <w:pStyle w:val="1263"/>
              <w:jc w:val="center"/>
              <w:widowControl/>
              <w:rPr>
                <w:color w:val="000000"/>
                <w:sz w:val="24"/>
              </w:rPr>
            </w:pPr>
            <w:r>
              <w:rPr>
                <w:rFonts w:hint="eastAsia"/>
                <w:color w:val="000000"/>
                <w:sz w:val="24"/>
              </w:rPr>
              <w:t xml:space="preserve">7</w:t>
            </w:r>
            <w:r>
              <w:rPr>
                <w:color w:val="000000"/>
                <w:sz w:val="24"/>
              </w:rPr>
            </w:r>
            <w:r/>
          </w:p>
        </w:tc>
        <w:tc>
          <w:tcPr>
            <w:tcW w:w="1244" w:type="dxa"/>
            <w:vAlign w:val="center"/>
            <w:textDirection w:val="lrTb"/>
            <w:noWrap w:val="false"/>
          </w:tcPr>
          <w:p>
            <w:pPr>
              <w:pStyle w:val="1263"/>
              <w:jc w:val="left"/>
              <w:widowControl/>
              <w:rPr>
                <w:color w:val="000000"/>
                <w:sz w:val="24"/>
              </w:rPr>
            </w:pPr>
            <w:r>
              <w:rPr>
                <w:rFonts w:hint="eastAsia"/>
                <w:color w:val="000000"/>
                <w:sz w:val="24"/>
              </w:rPr>
              <w:t xml:space="preserve">实质性格式</w:t>
            </w:r>
            <w:r>
              <w:rPr>
                <w:color w:val="000000"/>
                <w:sz w:val="24"/>
              </w:rPr>
            </w:r>
            <w:r/>
          </w:p>
        </w:tc>
        <w:tc>
          <w:tcPr>
            <w:tcW w:w="3365" w:type="dxa"/>
            <w:vAlign w:val="center"/>
            <w:textDirection w:val="lrTb"/>
            <w:noWrap w:val="false"/>
          </w:tcPr>
          <w:p>
            <w:pPr>
              <w:pStyle w:val="1263"/>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color w:val="000000"/>
                <w:sz w:val="24"/>
              </w:rPr>
            </w:r>
            <w:r/>
          </w:p>
        </w:tc>
      </w:tr>
      <w:tr>
        <w:trPr>
          <w:trHeight w:val="685"/>
        </w:trPr>
        <w:tc>
          <w:tcPr>
            <w:tcW w:w="389" w:type="dxa"/>
            <w:vAlign w:val="center"/>
            <w:textDirection w:val="lrTb"/>
            <w:noWrap w:val="false"/>
          </w:tcPr>
          <w:p>
            <w:pPr>
              <w:pStyle w:val="1263"/>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244" w:type="dxa"/>
            <w:vAlign w:val="center"/>
            <w:textDirection w:val="lrTb"/>
            <w:noWrap w:val="false"/>
          </w:tcPr>
          <w:p>
            <w:pPr>
              <w:pStyle w:val="1263"/>
              <w:jc w:val="left"/>
              <w:widowControl/>
              <w:rPr>
                <w:color w:val="000000"/>
                <w:sz w:val="24"/>
              </w:rPr>
            </w:pPr>
            <w:r>
              <w:rPr>
                <w:color w:val="000000"/>
                <w:sz w:val="24"/>
              </w:rPr>
              <w:t xml:space="preserve">公平竞争</w:t>
            </w:r>
            <w:r>
              <w:rPr>
                <w:color w:val="000000"/>
                <w:sz w:val="24"/>
              </w:rPr>
            </w:r>
            <w:r/>
          </w:p>
        </w:tc>
        <w:tc>
          <w:tcPr>
            <w:tcW w:w="3365" w:type="dxa"/>
            <w:vAlign w:val="center"/>
            <w:textDirection w:val="lrTb"/>
            <w:noWrap w:val="false"/>
          </w:tcPr>
          <w:p>
            <w:pPr>
              <w:pStyle w:val="1263"/>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2183"/>
        </w:trPr>
        <w:tc>
          <w:tcPr>
            <w:tcW w:w="389" w:type="dxa"/>
            <w:vAlign w:val="center"/>
            <w:textDirection w:val="lrTb"/>
            <w:noWrap w:val="false"/>
          </w:tcPr>
          <w:p>
            <w:pPr>
              <w:pStyle w:val="1263"/>
              <w:jc w:val="center"/>
              <w:widowControl/>
              <w:rPr>
                <w:rFonts w:hint="eastAsia" w:eastAsia="宋体"/>
                <w:color w:val="000000"/>
                <w:sz w:val="24"/>
                <w:lang w:eastAsia="zh-CN"/>
              </w:rPr>
            </w:pPr>
            <w:r>
              <w:rPr>
                <w:rFonts w:hint="eastAsia" w:eastAsia="宋体"/>
                <w:color w:val="000000"/>
                <w:sz w:val="24"/>
                <w:lang w:val="en-US" w:eastAsia="zh-CN"/>
              </w:rPr>
              <w:t xml:space="preserve">9</w:t>
            </w:r>
            <w:r>
              <w:rPr>
                <w:rFonts w:hint="eastAsia" w:eastAsia="宋体"/>
                <w:color w:val="000000"/>
                <w:sz w:val="24"/>
                <w:lang w:eastAsia="zh-CN"/>
              </w:rPr>
            </w:r>
            <w:r/>
          </w:p>
        </w:tc>
        <w:tc>
          <w:tcPr>
            <w:tcW w:w="1244" w:type="dxa"/>
            <w:vAlign w:val="center"/>
            <w:textDirection w:val="lrTb"/>
            <w:noWrap w:val="false"/>
          </w:tcPr>
          <w:p>
            <w:pPr>
              <w:pStyle w:val="1263"/>
              <w:jc w:val="left"/>
              <w:widowControl/>
              <w:rPr>
                <w:color w:val="000000"/>
                <w:sz w:val="24"/>
              </w:rPr>
            </w:pPr>
            <w:r>
              <w:rPr>
                <w:color w:val="000000"/>
                <w:sz w:val="24"/>
              </w:rPr>
              <w:t xml:space="preserve">串通响应</w:t>
            </w:r>
            <w:r>
              <w:rPr>
                <w:color w:val="000000"/>
                <w:sz w:val="24"/>
              </w:rPr>
            </w:r>
            <w:r/>
          </w:p>
        </w:tc>
        <w:tc>
          <w:tcPr>
            <w:tcW w:w="3365" w:type="dxa"/>
            <w:vAlign w:val="center"/>
            <w:textDirection w:val="lrTb"/>
            <w:noWrap w:val="false"/>
          </w:tcPr>
          <w:p>
            <w:pPr>
              <w:pStyle w:val="1263"/>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389" w:type="dxa"/>
            <w:vAlign w:val="center"/>
            <w:textDirection w:val="lrTb"/>
            <w:noWrap w:val="false"/>
          </w:tcPr>
          <w:p>
            <w:pPr>
              <w:pStyle w:val="1263"/>
              <w:jc w:val="center"/>
              <w:widowControl/>
              <w:rPr>
                <w:rFonts w:eastAsia="宋体"/>
                <w:color w:val="000000"/>
                <w:sz w:val="24"/>
                <w:lang w:val="en-US" w:eastAsia="zh-CN"/>
              </w:rPr>
            </w:pPr>
            <w:r>
              <w:rPr>
                <w:rFonts w:hint="eastAsia" w:eastAsia="宋体"/>
                <w:color w:val="000000"/>
                <w:sz w:val="24"/>
                <w:lang w:val="en-US" w:eastAsia="zh-CN"/>
              </w:rPr>
              <w:t xml:space="preserve">10</w:t>
            </w:r>
            <w:r>
              <w:rPr>
                <w:rFonts w:eastAsia="宋体"/>
                <w:color w:val="000000"/>
                <w:sz w:val="24"/>
                <w:lang w:val="en-US" w:eastAsia="zh-CN"/>
              </w:rPr>
            </w:r>
            <w:r/>
          </w:p>
        </w:tc>
        <w:tc>
          <w:tcPr>
            <w:tcW w:w="1244" w:type="dxa"/>
            <w:vAlign w:val="center"/>
            <w:textDirection w:val="lrTb"/>
            <w:noWrap w:val="false"/>
          </w:tcPr>
          <w:p>
            <w:pPr>
              <w:pStyle w:val="1263"/>
              <w:jc w:val="left"/>
              <w:widowControl/>
              <w:rPr>
                <w:color w:val="000000"/>
                <w:sz w:val="24"/>
              </w:rPr>
            </w:pPr>
            <w:r>
              <w:rPr>
                <w:color w:val="000000"/>
                <w:sz w:val="24"/>
              </w:rPr>
              <w:t xml:space="preserve">附加条件</w:t>
            </w:r>
            <w:r>
              <w:rPr>
                <w:color w:val="000000"/>
                <w:sz w:val="24"/>
              </w:rPr>
            </w:r>
            <w:r/>
          </w:p>
        </w:tc>
        <w:tc>
          <w:tcPr>
            <w:tcW w:w="3365" w:type="dxa"/>
            <w:vAlign w:val="center"/>
            <w:textDirection w:val="lrTb"/>
            <w:noWrap w:val="false"/>
          </w:tcPr>
          <w:p>
            <w:pPr>
              <w:pStyle w:val="1263"/>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89" w:type="dxa"/>
            <w:vAlign w:val="center"/>
            <w:textDirection w:val="lrTb"/>
            <w:noWrap w:val="false"/>
          </w:tcPr>
          <w:p>
            <w:pPr>
              <w:pStyle w:val="1263"/>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244" w:type="dxa"/>
            <w:vAlign w:val="center"/>
            <w:textDirection w:val="lrTb"/>
            <w:noWrap w:val="false"/>
          </w:tcPr>
          <w:p>
            <w:pPr>
              <w:pStyle w:val="1263"/>
              <w:jc w:val="left"/>
              <w:widowControl/>
              <w:rPr>
                <w:color w:val="000000"/>
                <w:sz w:val="24"/>
              </w:rPr>
            </w:pPr>
            <w:r>
              <w:rPr>
                <w:color w:val="000000"/>
                <w:sz w:val="24"/>
              </w:rPr>
              <w:t xml:space="preserve">其他无效情形</w:t>
            </w:r>
            <w:r>
              <w:rPr>
                <w:color w:val="000000"/>
                <w:sz w:val="24"/>
              </w:rPr>
            </w:r>
            <w:r/>
          </w:p>
        </w:tc>
        <w:tc>
          <w:tcPr>
            <w:tcW w:w="3365" w:type="dxa"/>
            <w:vAlign w:val="center"/>
            <w:textDirection w:val="lrTb"/>
            <w:noWrap w:val="false"/>
          </w:tcPr>
          <w:p>
            <w:pPr>
              <w:pStyle w:val="1263"/>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1263"/>
        <w:numPr>
          <w:ilvl w:val="0"/>
          <w:numId w:val="0"/>
        </w:numPr>
        <w:spacing w:line="360" w:lineRule="auto"/>
        <w:tabs>
          <w:tab w:val="left" w:pos="360" w:leader="none"/>
        </w:tabs>
        <w:rPr>
          <w:b/>
          <w:bCs/>
          <w:sz w:val="24"/>
          <w:lang w:val="en-US" w:eastAsia="zh-CN"/>
        </w:rPr>
        <w:outlineLvl w:val="1"/>
      </w:pPr>
      <w:r>
        <w:rPr>
          <w:rFonts w:hint="eastAsia"/>
          <w:b/>
          <w:bCs/>
          <w:sz w:val="24"/>
          <w:lang w:val="en-US" w:eastAsia="zh-CN"/>
        </w:rPr>
        <w:t xml:space="preserve">注：提供符合性审查承诺书，格式见采购文件。</w:t>
      </w:r>
      <w:r>
        <w:rPr>
          <w:b/>
          <w:bCs/>
          <w:sz w:val="24"/>
          <w:lang w:val="en-US" w:eastAsia="zh-CN"/>
        </w:rPr>
      </w:r>
      <w:r/>
    </w:p>
    <w:p>
      <w:pPr>
        <w:pStyle w:val="1263"/>
        <w:numPr>
          <w:ilvl w:val="0"/>
          <w:numId w:val="0"/>
        </w:numPr>
        <w:spacing w:line="360" w:lineRule="auto"/>
        <w:tabs>
          <w:tab w:val="left" w:pos="360" w:leader="none"/>
        </w:tabs>
        <w:rPr>
          <w:sz w:val="24"/>
        </w:rPr>
        <w:outlineLvl w:val="1"/>
      </w:pPr>
      <w:r>
        <w:rPr>
          <w:rFonts w:hint="eastAsia"/>
          <w:sz w:val="24"/>
          <w:lang w:val="en-US" w:eastAsia="zh-CN"/>
        </w:rPr>
        <w:t xml:space="preserve">2、</w:t>
      </w:r>
      <w:r>
        <w:rPr>
          <w:sz w:val="24"/>
        </w:rPr>
        <w:t xml:space="preserve">磋商、响应文件有关事项的澄清、说明或者更正和最终报价</w:t>
      </w:r>
      <w:r>
        <w:rPr>
          <w:sz w:val="24"/>
        </w:rPr>
      </w:r>
      <w:r/>
    </w:p>
    <w:p>
      <w:pPr>
        <w:pStyle w:val="1263"/>
        <w:numPr>
          <w:ilvl w:val="0"/>
          <w:numId w:val="0"/>
        </w:numPr>
        <w:ind w:firstLine="480"/>
        <w:spacing w:line="360" w:lineRule="auto"/>
        <w:tabs>
          <w:tab w:val="left" w:pos="1080" w:leader="none"/>
        </w:tabs>
        <w:rPr>
          <w:sz w:val="24"/>
        </w:rPr>
      </w:pPr>
      <w:r>
        <w:rPr>
          <w:rFonts w:hint="eastAsia"/>
          <w:sz w:val="24"/>
          <w:lang w:val="en-US" w:eastAsia="zh-CN"/>
        </w:rPr>
        <w:t xml:space="preserve">2.1、</w:t>
      </w:r>
      <w:r>
        <w:rPr>
          <w:sz w:val="24"/>
        </w:rPr>
        <w:t xml:space="preserve">磋商小组所有成员应当集中与单一供应商分别进行磋商，并给予所有参加磋商的供应商平等的磋商机会。</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2.2、</w:t>
      </w: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2.3、</w:t>
      </w:r>
      <w:r>
        <w:rPr>
          <w:sz w:val="24"/>
        </w:rPr>
        <w:t xml:space="preserve">对磋商文件作出的实质性变动是磋商文件的有效组成部分，磋商小组应当及时以书面形式同时通知所有参加磋商的供应商。</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2.4、</w:t>
      </w: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2.5、</w:t>
      </w:r>
      <w:r>
        <w:rPr>
          <w:sz w:val="24"/>
        </w:rPr>
        <w:t xml:space="preserve">响应文件的澄清、说明或者更正</w:t>
      </w:r>
      <w:r>
        <w:rPr>
          <w:rFonts w:hint="eastAsia"/>
          <w:sz w:val="24"/>
        </w:rPr>
        <w:t xml:space="preserve">：</w:t>
      </w:r>
      <w:r>
        <w:rPr>
          <w:sz w:val="24"/>
        </w:rPr>
      </w:r>
      <w:r/>
    </w:p>
    <w:p>
      <w:pPr>
        <w:pStyle w:val="1263"/>
        <w:ind w:firstLine="4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sz w:val="24"/>
        </w:rPr>
        <w:t xml:space="preserve">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263"/>
        <w:numPr>
          <w:ilvl w:val="0"/>
          <w:numId w:val="0"/>
        </w:numPr>
        <w:ind w:firstLine="482"/>
        <w:spacing w:line="360" w:lineRule="auto"/>
        <w:tabs>
          <w:tab w:val="left" w:pos="1080" w:leader="none"/>
          <w:tab w:val="left" w:pos="1872" w:leader="none"/>
        </w:tabs>
        <w:rPr>
          <w:b/>
          <w:sz w:val="24"/>
        </w:rPr>
      </w:pPr>
      <w:r>
        <w:rPr>
          <w:rFonts w:hint="eastAsia"/>
          <w:b/>
          <w:sz w:val="24"/>
          <w:lang w:val="en-US" w:eastAsia="zh-CN"/>
        </w:rPr>
        <w:t xml:space="preserve">2.6、</w:t>
      </w:r>
      <w:r>
        <w:rPr>
          <w:rFonts w:hint="eastAsia"/>
          <w:b/>
          <w:sz w:val="24"/>
        </w:rPr>
        <w:t xml:space="preserve">磋商结束后，磋商小组将要求所有实质性响应的供应商在规定时间内通过“苏采云”系统提交最终报价。最终报价不得高于首次报价。成交人的最终报价即为成交价，成交人在合同签订前，须提交最终报价的工程量清单，最终的报价不得超首次的报价。</w:t>
      </w:r>
      <w:r>
        <w:rPr>
          <w:b/>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2.7、</w:t>
      </w: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2.8、</w:t>
      </w:r>
      <w:r>
        <w:rPr>
          <w:sz w:val="24"/>
        </w:rPr>
        <w:t xml:space="preserve">最终报价是供应商响应文件的有效组成部分。</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2.9、</w:t>
      </w:r>
      <w:r>
        <w:rPr>
          <w:sz w:val="24"/>
        </w:rPr>
        <w:t xml:space="preserve">已提交响应文件的供应商，在提交最终报价之前，可以根据磋商情况退出磋商。</w:t>
      </w:r>
      <w:r>
        <w:rPr>
          <w:sz w:val="24"/>
        </w:rPr>
      </w:r>
      <w:r/>
    </w:p>
    <w:p>
      <w:pPr>
        <w:pStyle w:val="1263"/>
        <w:numPr>
          <w:ilvl w:val="0"/>
          <w:numId w:val="0"/>
        </w:numPr>
        <w:spacing w:line="360" w:lineRule="auto"/>
        <w:tabs>
          <w:tab w:val="left" w:pos="360" w:leader="none"/>
        </w:tabs>
        <w:rPr>
          <w:sz w:val="24"/>
        </w:rPr>
        <w:outlineLvl w:val="1"/>
      </w:pPr>
      <w:r>
        <w:rPr>
          <w:rFonts w:hint="eastAsia"/>
          <w:sz w:val="24"/>
          <w:lang w:val="en-US" w:eastAsia="zh-CN"/>
        </w:rPr>
        <w:t xml:space="preserve">3</w:t>
      </w:r>
      <w:r>
        <w:rPr>
          <w:rFonts w:hint="eastAsia"/>
          <w:sz w:val="24"/>
          <w:lang w:eastAsia="zh-CN"/>
        </w:rPr>
        <w:t xml:space="preserve">、</w:t>
      </w:r>
      <w:r>
        <w:rPr>
          <w:sz w:val="24"/>
        </w:rPr>
        <w:t xml:space="preserve">最终报价的算术修正及政策调整</w:t>
      </w:r>
      <w:r>
        <w:rPr>
          <w:sz w:val="24"/>
        </w:rPr>
      </w:r>
      <w:r/>
    </w:p>
    <w:p>
      <w:pPr>
        <w:pStyle w:val="1263"/>
        <w:numPr>
          <w:ilvl w:val="0"/>
          <w:numId w:val="0"/>
        </w:numPr>
        <w:ind w:firstLine="480"/>
        <w:spacing w:line="360" w:lineRule="auto"/>
        <w:tabs>
          <w:tab w:val="left" w:pos="1080" w:leader="none"/>
        </w:tabs>
        <w:rPr>
          <w:sz w:val="24"/>
        </w:rPr>
      </w:pPr>
      <w:r>
        <w:rPr>
          <w:rFonts w:hint="eastAsia"/>
          <w:sz w:val="24"/>
          <w:lang w:val="en-US" w:eastAsia="zh-CN"/>
        </w:rPr>
        <w:t xml:space="preserve">3.1、</w:t>
      </w: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3.2、</w:t>
      </w:r>
      <w:r>
        <w:rPr>
          <w:sz w:val="24"/>
        </w:rPr>
        <w:t xml:space="preserve">最终报价出现前后不一致的，按照下列规定修正：</w:t>
      </w:r>
      <w:r>
        <w:rPr>
          <w:sz w:val="24"/>
        </w:rPr>
      </w:r>
      <w:r/>
    </w:p>
    <w:p>
      <w:pPr>
        <w:pStyle w:val="1263"/>
        <w:numPr>
          <w:ilvl w:val="0"/>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lang w:val="en-US" w:eastAsia="zh-CN"/>
        </w:rPr>
        <w:t xml:space="preserve">3.2.1、</w:t>
      </w:r>
      <w:r>
        <w:rPr>
          <w:sz w:val="24"/>
        </w:rPr>
        <w:t xml:space="preserve">竞争性磋商文件对于报价修正是否另有规定：</w:t>
      </w:r>
      <w:r>
        <w:rPr>
          <w:sz w:val="24"/>
        </w:rPr>
      </w:r>
      <w:r/>
    </w:p>
    <w:p>
      <w:pPr>
        <w:pStyle w:val="1263"/>
        <w:ind w:firstLine="480"/>
        <w:spacing w:line="360" w:lineRule="auto"/>
        <w:tabs>
          <w:tab w:val="left" w:pos="1080" w:leader="none"/>
          <w:tab w:val="left" w:pos="1589" w:leader="none"/>
          <w:tab w:val="left" w:pos="2035" w:leader="none"/>
          <w:tab w:val="left" w:pos="2114" w:leader="none"/>
        </w:tabs>
        <w:rPr>
          <w:sz w:val="24"/>
          <w:u w:val="single"/>
        </w:rPr>
      </w:pPr>
      <w:r>
        <w:rPr>
          <w:rFonts w:ascii="Wingdings 2" w:hAnsi="Wingdings 2" w:eastAsia="Wingdings 2" w:cs="Wingdings 2"/>
          <w:sz w:val="24"/>
        </w:rPr>
        <w:t xml:space="preserve">£</w:t>
      </w:r>
      <w:r>
        <w:rPr>
          <w:sz w:val="24"/>
        </w:rPr>
        <w:t xml:space="preserve">有，具体规定为：___________</w:t>
      </w:r>
      <w:r>
        <w:rPr>
          <w:sz w:val="24"/>
          <w:u w:val="single"/>
        </w:rPr>
      </w:r>
      <w:r/>
    </w:p>
    <w:p>
      <w:pPr>
        <w:pStyle w:val="1263"/>
        <w:ind w:firstLine="522"/>
        <w:spacing w:line="360" w:lineRule="auto"/>
        <w:tabs>
          <w:tab w:val="left" w:pos="1080" w:leader="none"/>
          <w:tab w:val="left" w:pos="1589" w:leader="none"/>
          <w:tab w:val="left" w:pos="2035" w:leader="none"/>
          <w:tab w:val="left" w:pos="2114" w:leader="none"/>
        </w:tabs>
        <w:rPr>
          <w:sz w:val="24"/>
        </w:rPr>
      </w:pPr>
      <w:r>
        <w:rPr>
          <w:rFonts w:ascii="宋体" w:hAnsi="宋体" w:eastAsia="宋体" w:cs="宋体"/>
          <w:spacing w:val="-18"/>
          <w:sz w:val="21"/>
          <w:szCs w:val="21"/>
        </w:rPr>
        <w:t xml:space="preserve">■</w:t>
      </w:r>
      <w:r>
        <w:rPr>
          <w:sz w:val="24"/>
        </w:rPr>
        <w:t xml:space="preserve">无，按下述3.2.2-3.2.5项规定修正。</w:t>
      </w:r>
      <w:r>
        <w:rPr>
          <w:sz w:val="24"/>
        </w:rPr>
      </w:r>
      <w:r/>
    </w:p>
    <w:p>
      <w:pPr>
        <w:pStyle w:val="1263"/>
        <w:numPr>
          <w:ilvl w:val="0"/>
          <w:numId w:val="0"/>
        </w:numPr>
        <w:ind w:firstLine="480"/>
        <w:spacing w:line="360" w:lineRule="auto"/>
        <w:tabs>
          <w:tab w:val="left" w:pos="2035" w:leader="none"/>
          <w:tab w:val="left" w:pos="2114" w:leader="none"/>
          <w:tab w:val="left" w:pos="2977" w:leader="none"/>
        </w:tabs>
        <w:rPr>
          <w:color w:val="000000"/>
          <w:sz w:val="24"/>
        </w:rPr>
      </w:pPr>
      <w:r>
        <w:rPr>
          <w:rFonts w:hint="eastAsia"/>
          <w:color w:val="000000"/>
          <w:sz w:val="24"/>
          <w:lang w:val="en-US" w:eastAsia="zh-CN"/>
        </w:rPr>
        <w:t xml:space="preserve">3.2.2、</w:t>
      </w:r>
      <w:r>
        <w:rPr>
          <w:color w:val="000000"/>
          <w:sz w:val="24"/>
        </w:rPr>
        <w:t xml:space="preserve">大写金额和小写金额不一致的，以大写金额为准；</w:t>
      </w:r>
      <w:r>
        <w:rPr>
          <w:color w:val="000000"/>
          <w:sz w:val="24"/>
        </w:rPr>
      </w:r>
      <w:r/>
    </w:p>
    <w:p>
      <w:pPr>
        <w:pStyle w:val="1263"/>
        <w:numPr>
          <w:ilvl w:val="0"/>
          <w:numId w:val="0"/>
        </w:numPr>
        <w:ind w:firstLine="480"/>
        <w:spacing w:line="360" w:lineRule="auto"/>
        <w:tabs>
          <w:tab w:val="left" w:pos="2035" w:leader="none"/>
          <w:tab w:val="left" w:pos="2114" w:leader="none"/>
          <w:tab w:val="left" w:pos="2977" w:leader="none"/>
        </w:tabs>
        <w:rPr>
          <w:color w:val="000000"/>
          <w:sz w:val="24"/>
        </w:rPr>
      </w:pPr>
      <w:r>
        <w:rPr>
          <w:rFonts w:hint="eastAsia"/>
          <w:color w:val="000000"/>
          <w:sz w:val="24"/>
          <w:lang w:val="en-US" w:eastAsia="zh-CN"/>
        </w:rPr>
        <w:t xml:space="preserve">3.2.3、</w:t>
      </w:r>
      <w:r>
        <w:rPr>
          <w:color w:val="000000"/>
          <w:sz w:val="24"/>
        </w:rPr>
        <w:t xml:space="preserve">单价金额小数点或者百分比有明显错位的，以最终报价一览表的总价为准，并修改单价；</w:t>
      </w:r>
      <w:r>
        <w:rPr>
          <w:color w:val="000000"/>
          <w:sz w:val="24"/>
        </w:rPr>
      </w:r>
      <w:r/>
    </w:p>
    <w:p>
      <w:pPr>
        <w:pStyle w:val="1263"/>
        <w:numPr>
          <w:ilvl w:val="0"/>
          <w:numId w:val="0"/>
        </w:numPr>
        <w:ind w:firstLine="480"/>
        <w:spacing w:line="360" w:lineRule="auto"/>
        <w:tabs>
          <w:tab w:val="left" w:pos="2035" w:leader="none"/>
          <w:tab w:val="left" w:pos="2114" w:leader="none"/>
          <w:tab w:val="left" w:pos="2977" w:leader="none"/>
        </w:tabs>
        <w:rPr>
          <w:color w:val="000000"/>
          <w:sz w:val="24"/>
        </w:rPr>
      </w:pPr>
      <w:r>
        <w:rPr>
          <w:rFonts w:hint="eastAsia"/>
          <w:color w:val="000000"/>
          <w:sz w:val="24"/>
          <w:lang w:val="en-US" w:eastAsia="zh-CN"/>
        </w:rPr>
        <w:t xml:space="preserve">3.2.4、</w:t>
      </w:r>
      <w:r>
        <w:rPr>
          <w:color w:val="000000"/>
          <w:sz w:val="24"/>
        </w:rPr>
        <w:t xml:space="preserve">总价金额与按单价汇总金额不一致的，以单价金额计算结果为准。</w:t>
      </w:r>
      <w:r>
        <w:rPr>
          <w:color w:val="000000"/>
          <w:sz w:val="24"/>
        </w:rPr>
      </w:r>
      <w:r/>
    </w:p>
    <w:p>
      <w:pPr>
        <w:pStyle w:val="1263"/>
        <w:numPr>
          <w:ilvl w:val="0"/>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lang w:val="en-US" w:eastAsia="zh-CN"/>
        </w:rPr>
        <w:t xml:space="preserve">3.2.5、</w:t>
      </w: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263"/>
        <w:numPr>
          <w:ilvl w:val="0"/>
          <w:numId w:val="0"/>
        </w:numPr>
        <w:ind w:firstLine="480"/>
        <w:spacing w:line="360" w:lineRule="auto"/>
        <w:rPr>
          <w:rFonts w:eastAsia="宋体"/>
          <w:b/>
          <w:bCs/>
          <w:i w:val="0"/>
          <w:iCs w:val="0"/>
          <w:sz w:val="24"/>
          <w:lang w:val="en-US" w:eastAsia="zh-CN"/>
        </w:rPr>
      </w:pPr>
      <w:r>
        <w:rPr>
          <w:rFonts w:hint="eastAsia"/>
          <w:sz w:val="24"/>
          <w:lang w:val="en-US" w:eastAsia="zh-CN"/>
        </w:rPr>
        <w:t xml:space="preserve">3.3、</w:t>
      </w:r>
      <w:r>
        <w:rPr>
          <w:sz w:val="24"/>
        </w:rPr>
        <w:t xml:space="preserve">落实政府采购政策的价格调整：</w:t>
      </w:r>
      <w:r>
        <w:rPr>
          <w:rFonts w:hint="eastAsia"/>
          <w:b/>
          <w:bCs/>
          <w:i w:val="0"/>
          <w:iCs w:val="0"/>
          <w:sz w:val="24"/>
          <w:lang w:val="en-US" w:eastAsia="zh-CN"/>
        </w:rPr>
        <w:t xml:space="preserve">本项目专门面向中小企业采购，故不再执行价格优惠政策。</w:t>
      </w:r>
      <w:r>
        <w:rPr>
          <w:rFonts w:eastAsia="宋体"/>
          <w:b/>
          <w:bCs/>
          <w:i w:val="0"/>
          <w:iCs w:val="0"/>
          <w:sz w:val="24"/>
          <w:lang w:val="en-US" w:eastAsia="zh-CN"/>
        </w:rPr>
      </w:r>
      <w:r/>
    </w:p>
    <w:p>
      <w:pPr>
        <w:pStyle w:val="1263"/>
        <w:numPr>
          <w:ilvl w:val="0"/>
          <w:numId w:val="0"/>
        </w:numPr>
        <w:spacing w:line="360" w:lineRule="auto"/>
        <w:tabs>
          <w:tab w:val="left" w:pos="360" w:leader="none"/>
        </w:tabs>
        <w:rPr>
          <w:sz w:val="24"/>
        </w:rPr>
        <w:outlineLvl w:val="1"/>
      </w:pPr>
      <w:r>
        <w:rPr>
          <w:rFonts w:hint="eastAsia"/>
          <w:sz w:val="24"/>
          <w:lang w:val="en-US" w:eastAsia="zh-CN"/>
        </w:rPr>
        <w:t xml:space="preserve">4、</w:t>
      </w: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263"/>
        <w:numPr>
          <w:ilvl w:val="0"/>
          <w:numId w:val="0"/>
        </w:numPr>
        <w:ind w:firstLine="480"/>
        <w:spacing w:line="360" w:lineRule="auto"/>
        <w:tabs>
          <w:tab w:val="left" w:pos="1080" w:leader="none"/>
        </w:tabs>
        <w:rPr>
          <w:sz w:val="24"/>
        </w:rPr>
      </w:pPr>
      <w:r>
        <w:rPr>
          <w:rFonts w:hint="eastAsia"/>
          <w:sz w:val="24"/>
          <w:lang w:val="en-US" w:eastAsia="zh-CN"/>
        </w:rPr>
        <w:t xml:space="preserve">4.1、</w:t>
      </w:r>
      <w:r>
        <w:rPr>
          <w:sz w:val="24"/>
        </w:rPr>
        <w:t xml:space="preserve">供应商对实质性变动不予确认的；</w:t>
      </w:r>
      <w:r>
        <w:rPr>
          <w:sz w:val="24"/>
        </w:rPr>
      </w:r>
      <w:r/>
    </w:p>
    <w:p>
      <w:pPr>
        <w:pStyle w:val="1263"/>
        <w:numPr>
          <w:ilvl w:val="0"/>
          <w:numId w:val="0"/>
        </w:numPr>
        <w:ind w:firstLine="480"/>
        <w:spacing w:line="360" w:lineRule="auto"/>
        <w:tabs>
          <w:tab w:val="left" w:pos="1080" w:leader="none"/>
        </w:tabs>
        <w:rPr>
          <w:sz w:val="24"/>
        </w:rPr>
      </w:pPr>
      <w:r>
        <w:rPr>
          <w:rFonts w:hint="eastAsia"/>
          <w:sz w:val="24"/>
          <w:lang w:val="en-US" w:eastAsia="zh-CN"/>
        </w:rPr>
        <w:t xml:space="preserve">4.2、</w:t>
      </w: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263"/>
        <w:numPr>
          <w:ilvl w:val="0"/>
          <w:numId w:val="0"/>
        </w:numPr>
        <w:ind w:firstLine="480"/>
        <w:spacing w:line="360" w:lineRule="auto"/>
        <w:tabs>
          <w:tab w:val="left" w:pos="1080" w:leader="none"/>
        </w:tabs>
        <w:rPr>
          <w:sz w:val="24"/>
        </w:rPr>
      </w:pPr>
      <w:r>
        <w:rPr>
          <w:rFonts w:hint="eastAsia"/>
          <w:sz w:val="24"/>
          <w:lang w:val="en-US" w:eastAsia="zh-CN"/>
        </w:rPr>
        <w:t xml:space="preserve">4.3、</w:t>
      </w:r>
      <w:r>
        <w:rPr>
          <w:sz w:val="24"/>
        </w:rPr>
        <w:t xml:space="preserve">未按照磋商小组规定的时间、逾期提交最终报价的；</w:t>
      </w:r>
      <w:r>
        <w:rPr>
          <w:sz w:val="24"/>
        </w:rPr>
      </w:r>
      <w:r/>
    </w:p>
    <w:p>
      <w:pPr>
        <w:pStyle w:val="1263"/>
        <w:numPr>
          <w:ilvl w:val="0"/>
          <w:numId w:val="0"/>
        </w:numPr>
        <w:ind w:firstLine="480"/>
        <w:spacing w:line="360" w:lineRule="auto"/>
        <w:tabs>
          <w:tab w:val="left" w:pos="1080" w:leader="none"/>
        </w:tabs>
        <w:rPr>
          <w:sz w:val="24"/>
        </w:rPr>
      </w:pPr>
      <w:r>
        <w:rPr>
          <w:rFonts w:hint="eastAsia"/>
          <w:sz w:val="24"/>
          <w:lang w:val="en-US" w:eastAsia="zh-CN"/>
        </w:rPr>
        <w:t xml:space="preserve">4.4、</w:t>
      </w:r>
      <w:r>
        <w:rPr>
          <w:sz w:val="24"/>
        </w:rPr>
        <w:t xml:space="preserve">如供应商的最终报价超过竞争性磋商文件中规定的项目/采购包预算金额或者项目/采购包最高限价的；</w:t>
      </w:r>
      <w:r>
        <w:rPr>
          <w:sz w:val="24"/>
        </w:rPr>
      </w:r>
      <w:r/>
    </w:p>
    <w:p>
      <w:pPr>
        <w:pStyle w:val="1263"/>
        <w:numPr>
          <w:ilvl w:val="0"/>
          <w:numId w:val="0"/>
        </w:numPr>
        <w:ind w:firstLine="480"/>
        <w:spacing w:line="360" w:lineRule="auto"/>
        <w:tabs>
          <w:tab w:val="left" w:pos="1080" w:leader="none"/>
        </w:tabs>
        <w:rPr>
          <w:sz w:val="24"/>
        </w:rPr>
      </w:pPr>
      <w:r>
        <w:rPr>
          <w:rFonts w:hint="eastAsia"/>
          <w:sz w:val="24"/>
          <w:lang w:val="en-US" w:eastAsia="zh-CN"/>
        </w:rPr>
        <w:t xml:space="preserve">4.5、</w:t>
      </w:r>
      <w:r>
        <w:rPr>
          <w:sz w:val="24"/>
        </w:rPr>
        <w:t xml:space="preserve">响应文件中出现可选择性或可调整的报价的（竞争性磋商文件另有规定的除外）；</w:t>
      </w:r>
      <w:r>
        <w:rPr>
          <w:sz w:val="24"/>
        </w:rPr>
      </w:r>
      <w:r/>
    </w:p>
    <w:p>
      <w:pPr>
        <w:pStyle w:val="1263"/>
        <w:numPr>
          <w:ilvl w:val="0"/>
          <w:numId w:val="0"/>
        </w:numPr>
        <w:ind w:firstLine="480"/>
        <w:spacing w:line="360" w:lineRule="auto"/>
        <w:tabs>
          <w:tab w:val="left" w:pos="1080" w:leader="none"/>
        </w:tabs>
        <w:rPr>
          <w:sz w:val="24"/>
        </w:rPr>
      </w:pPr>
      <w:r>
        <w:rPr>
          <w:rFonts w:hint="eastAsia"/>
          <w:sz w:val="24"/>
          <w:lang w:val="en-US" w:eastAsia="zh-CN"/>
        </w:rPr>
        <w:t xml:space="preserve">4.6、</w:t>
      </w:r>
      <w:r>
        <w:rPr>
          <w:sz w:val="24"/>
        </w:rPr>
        <w:t xml:space="preserve">最终报价出现前后不一致，供应商对修正后的报价不予确认的；</w:t>
      </w:r>
      <w:r>
        <w:rPr>
          <w:sz w:val="24"/>
        </w:rPr>
      </w:r>
      <w:r/>
    </w:p>
    <w:p>
      <w:pPr>
        <w:pStyle w:val="1263"/>
        <w:numPr>
          <w:ilvl w:val="0"/>
          <w:numId w:val="0"/>
        </w:numPr>
        <w:ind w:firstLine="480"/>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sz w:val="24"/>
          <w:lang w:val="en-US" w:eastAsia="zh-CN"/>
        </w:rPr>
        <w:t xml:space="preserve">4.7、</w:t>
      </w:r>
      <w:r>
        <w:rPr>
          <w:rFonts w:ascii="Times New Roman" w:hAnsi="Times New Roman" w:eastAsia="宋体" w:cs="Times New Roman"/>
          <w:b/>
          <w:bCs/>
          <w:sz w:val="24"/>
        </w:rPr>
        <w:t xml:space="preserve">其他：</w:t>
      </w:r>
      <w:r>
        <w:rPr>
          <w:rFonts w:hint="eastAsia" w:ascii="Times New Roman" w:hAnsi="Times New Roman" w:eastAsia="宋体" w:cs="Times New Roman"/>
          <w:b/>
          <w:bCs/>
          <w:sz w:val="24"/>
          <w:u w:val="single"/>
          <w:lang w:val="en-US" w:eastAsia="zh-CN"/>
        </w:rPr>
        <w:t xml:space="preserve">（一）政府采购评审中出现下列情形之一的，评审委员会（磋商小组）应当启动异常低价投标（响应）审查程序：</w:t>
      </w:r>
      <w:r>
        <w:rPr>
          <w:rFonts w:hint="eastAsia" w:ascii="Times New Roman" w:hAnsi="Times New Roman" w:eastAsia="宋体" w:cs="Times New Roman"/>
          <w:b/>
          <w:bCs/>
          <w:sz w:val="24"/>
          <w:u w:val="single"/>
          <w:lang w:val="en-US" w:eastAsia="zh-CN"/>
        </w:rPr>
      </w:r>
      <w:r/>
    </w:p>
    <w:p>
      <w:pPr>
        <w:pStyle w:val="126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sz w:val="24"/>
          <w:u w:val="single"/>
          <w:lang w:val="en-US" w:eastAsia="zh-CN"/>
        </w:rPr>
      </w:r>
      <w:r/>
    </w:p>
    <w:p>
      <w:pPr>
        <w:pStyle w:val="126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sz w:val="24"/>
          <w:u w:val="single"/>
          <w:lang w:val="en-US" w:eastAsia="zh-CN"/>
        </w:rPr>
      </w:r>
      <w:r/>
    </w:p>
    <w:p>
      <w:pPr>
        <w:pStyle w:val="126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sz w:val="24"/>
          <w:u w:val="single"/>
          <w:lang w:val="en-US" w:eastAsia="zh-CN"/>
        </w:rPr>
      </w:r>
      <w:r/>
    </w:p>
    <w:p>
      <w:pPr>
        <w:pStyle w:val="126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4.评审委员会（磋商小组）基于专业判断，认为供应商报价过低，有可能影响产品质量或者不能诚信履约的其他情形。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126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评审委员会（磋商小组）启动异常低价投标（响应）审查后，属于前述第1项至第4项情形的，相关供应商在评审现场合理的时间（30分钟）内对投标（响应）价格作出解释，提供项目具体成本测算等与报价合理性相关的书面说明及必要的证明材料，包括但不限于原材料成本、人工成本、制造费用等，未提供说明</w:t>
      </w:r>
      <w:r>
        <w:rPr>
          <w:rFonts w:hint="eastAsia" w:ascii="Times New Roman" w:hAnsi="Times New Roman" w:eastAsia="宋体" w:cs="Times New Roman"/>
          <w:b/>
          <w:bCs/>
          <w:sz w:val="24"/>
          <w:u w:val="single"/>
          <w:lang w:val="en-US" w:eastAsia="zh-CN"/>
        </w:rPr>
        <w:t xml:space="preserve">及必要的证明材料</w:t>
      </w:r>
      <w:r>
        <w:rPr>
          <w:rFonts w:hint="eastAsia" w:ascii="Times New Roman" w:hAnsi="Times New Roman" w:eastAsia="宋体" w:cs="Times New Roman"/>
          <w:b/>
          <w:bCs/>
          <w:sz w:val="24"/>
          <w:u w:val="single"/>
          <w:lang w:val="en-US" w:eastAsia="zh-CN"/>
        </w:rPr>
        <w:t xml:space="preserve">或超过30分钟后提供的，视为异常低价投标，</w:t>
      </w:r>
      <w:r>
        <w:rPr>
          <w:rFonts w:hint="eastAsia" w:ascii="Times New Roman" w:hAnsi="Times New Roman" w:eastAsia="宋体" w:cs="Times New Roman"/>
          <w:b/>
          <w:bCs/>
          <w:sz w:val="24"/>
          <w:u w:val="single"/>
          <w:lang w:val="en-US" w:eastAsia="zh-CN"/>
        </w:rPr>
        <w:t xml:space="preserve">评审委员会（磋商小组）将作无效投标（响应）处理</w:t>
      </w:r>
      <w:r>
        <w:rPr>
          <w:rFonts w:hint="eastAsia" w:ascii="Times New Roman" w:hAnsi="Times New Roman" w:eastAsia="宋体" w:cs="Times New Roman"/>
          <w:b/>
          <w:bCs/>
          <w:sz w:val="24"/>
          <w:u w:val="single"/>
          <w:lang w:val="en-US" w:eastAsia="zh-CN"/>
        </w:rPr>
        <w:t xml:space="preserve">。其中，属于第3项情形，供应商已随投标（响应）文件一并提交相关书面说明及必要的证明材料的，在评审现场可不再重复提交。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u w:val="single"/>
          <w:lang w:val="en-US" w:eastAsia="zh-CN"/>
        </w:rPr>
      </w:r>
      <w:r/>
    </w:p>
    <w:p>
      <w:pPr>
        <w:pStyle w:val="126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评审委员会（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eastAsia="宋体" w:cs="Times New Roman"/>
          <w:b/>
          <w:bCs/>
          <w:sz w:val="24"/>
          <w:u w:val="single"/>
          <w:lang w:val="en-US" w:eastAsia="zh-CN"/>
        </w:rPr>
        <w:t xml:space="preserve">评审委员会（磋商小组）</w:t>
      </w:r>
      <w:r>
        <w:rPr>
          <w:rFonts w:hint="eastAsia" w:ascii="Times New Roman" w:hAnsi="Times New Roman" w:eastAsia="宋体" w:cs="Times New Roman"/>
          <w:b/>
          <w:bCs/>
          <w:sz w:val="24"/>
          <w:u w:val="single"/>
          <w:lang w:val="en-US" w:eastAsia="zh-CN"/>
        </w:rPr>
        <w:t xml:space="preserve">将其作为无效投标（响应）处理。</w:t>
      </w:r>
      <w:r>
        <w:rPr>
          <w:rFonts w:hint="eastAsia" w:ascii="Times New Roman" w:hAnsi="Times New Roman" w:eastAsia="宋体" w:cs="Times New Roman"/>
          <w:b/>
          <w:bCs/>
          <w:sz w:val="24"/>
          <w:u w:val="single"/>
          <w:lang w:val="en-US" w:eastAsia="zh-CN"/>
        </w:rPr>
      </w:r>
      <w:r/>
    </w:p>
    <w:p>
      <w:pPr>
        <w:pStyle w:val="126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eastAsia="宋体" w:cs="Times New Roman"/>
          <w:b/>
          <w:bCs/>
          <w:sz w:val="24"/>
          <w:u w:val="single"/>
          <w:lang w:val="en-US" w:eastAsia="zh-CN"/>
        </w:rPr>
      </w:r>
      <w:r/>
    </w:p>
    <w:p>
      <w:pPr>
        <w:pStyle w:val="1263"/>
        <w:numPr>
          <w:ilvl w:val="0"/>
          <w:numId w:val="0"/>
        </w:numPr>
        <w:ind w:firstLine="482"/>
        <w:spacing w:line="360" w:lineRule="auto"/>
        <w:tabs>
          <w:tab w:val="left" w:pos="1080" w:leader="none"/>
        </w:tabs>
        <w:rPr>
          <w:sz w:val="24"/>
        </w:rPr>
      </w:pPr>
      <w:r>
        <w:rPr>
          <w:rFonts w:hint="eastAsia" w:ascii="Times New Roman" w:hAnsi="Times New Roman" w:eastAsia="宋体" w:cs="Times New Roman"/>
          <w:b/>
          <w:bCs/>
          <w:sz w:val="24"/>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p>
      <w:pPr>
        <w:pStyle w:val="1263"/>
        <w:numPr>
          <w:ilvl w:val="0"/>
          <w:numId w:val="0"/>
        </w:numPr>
        <w:spacing w:line="360" w:lineRule="auto"/>
        <w:tabs>
          <w:tab w:val="left" w:pos="360" w:leader="none"/>
        </w:tabs>
        <w:rPr>
          <w:sz w:val="24"/>
        </w:rPr>
        <w:outlineLvl w:val="1"/>
      </w:pPr>
      <w:r/>
      <w:bookmarkEnd w:id="489"/>
      <w:r/>
      <w:bookmarkEnd w:id="490"/>
      <w:r>
        <w:rPr>
          <w:rFonts w:hint="eastAsia"/>
          <w:sz w:val="24"/>
          <w:lang w:val="en-US" w:eastAsia="zh-CN"/>
        </w:rPr>
        <w:t xml:space="preserve">5、</w:t>
      </w:r>
      <w:r>
        <w:rPr>
          <w:sz w:val="24"/>
        </w:rPr>
        <w:t xml:space="preserve">评审方法和评审标准</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5.1、</w:t>
      </w: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5.2、</w:t>
      </w:r>
      <w:r>
        <w:rPr>
          <w:sz w:val="24"/>
        </w:rPr>
        <w:t xml:space="preserve">竞争性磋商文件中没有规定的评审标准不得作为评审依据。</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5.3、</w:t>
      </w:r>
      <w:r>
        <w:rPr>
          <w:sz w:val="24"/>
        </w:rPr>
        <w:t xml:space="preserve">非政府强制采购的节能产品或环境标志产品，依据品目清单和认证证书实施政府优先采购。优先采购的具体规定（如涉及）</w:t>
      </w:r>
      <w:r>
        <w:rPr>
          <w:rFonts w:hint="eastAsia"/>
          <w:sz w:val="24"/>
          <w:u w:val="single"/>
          <w:lang w:val="en-US" w:eastAsia="zh-CN"/>
        </w:rPr>
        <w:t xml:space="preserve"> / </w:t>
      </w:r>
      <w:r>
        <w:rPr>
          <w:sz w:val="24"/>
        </w:rPr>
        <w:t xml:space="preserve">。</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5.4、</w:t>
      </w:r>
      <w:r>
        <w:rPr>
          <w:sz w:val="24"/>
        </w:rPr>
        <w:t xml:space="preserve">关于无线局域网认证产品政府采购清单中的产品，优先采购的具体规定（如涉及）</w:t>
      </w:r>
      <w:r>
        <w:rPr>
          <w:rFonts w:hint="eastAsia"/>
          <w:sz w:val="24"/>
          <w:u w:val="single"/>
          <w:lang w:val="en-US" w:eastAsia="zh-CN"/>
        </w:rPr>
        <w:t xml:space="preserve">  /  </w:t>
      </w:r>
      <w:r>
        <w:rPr>
          <w:sz w:val="24"/>
        </w:rPr>
        <w:t xml:space="preserve">。</w:t>
      </w:r>
      <w:r>
        <w:rPr>
          <w:sz w:val="24"/>
        </w:rPr>
      </w:r>
      <w:r/>
    </w:p>
    <w:p>
      <w:pPr>
        <w:pStyle w:val="1263"/>
        <w:numPr>
          <w:ilvl w:val="0"/>
          <w:numId w:val="0"/>
        </w:numPr>
        <w:spacing w:line="360" w:lineRule="auto"/>
        <w:tabs>
          <w:tab w:val="left" w:pos="360" w:leader="none"/>
        </w:tabs>
        <w:rPr>
          <w:sz w:val="24"/>
        </w:rPr>
        <w:outlineLvl w:val="1"/>
      </w:pPr>
      <w:r>
        <w:rPr>
          <w:rFonts w:hint="eastAsia"/>
          <w:sz w:val="24"/>
          <w:lang w:val="en-US" w:eastAsia="zh-CN"/>
        </w:rPr>
        <w:t xml:space="preserve">6、</w:t>
      </w:r>
      <w:r>
        <w:rPr>
          <w:sz w:val="24"/>
        </w:rPr>
        <w:t xml:space="preserve">确定</w:t>
      </w:r>
      <w:bookmarkStart w:id="505" w:name="_Toc520356170"/>
      <w:r/>
      <w:bookmarkStart w:id="506" w:name="_Toc151193716"/>
      <w:r/>
      <w:bookmarkStart w:id="507" w:name="_Toc226965736"/>
      <w:r/>
      <w:bookmarkStart w:id="508" w:name="_Toc151193788"/>
      <w:r/>
      <w:bookmarkStart w:id="509" w:name="_Toc149720839"/>
      <w:r/>
      <w:bookmarkStart w:id="510" w:name="_Toc164229241"/>
      <w:r/>
      <w:bookmarkStart w:id="511" w:name="_Toc151193934"/>
      <w:r/>
      <w:bookmarkStart w:id="512" w:name="_Toc164608660"/>
      <w:r/>
      <w:bookmarkStart w:id="513" w:name="_Toc226337242"/>
      <w:r/>
      <w:bookmarkStart w:id="514" w:name="_Toc127151747"/>
      <w:r/>
      <w:bookmarkStart w:id="515" w:name="_Toc265228384"/>
      <w:r/>
      <w:bookmarkStart w:id="516" w:name="_Toc127161460"/>
      <w:r/>
      <w:bookmarkStart w:id="517" w:name="_Toc150509297"/>
      <w:r/>
      <w:bookmarkStart w:id="518" w:name="_Toc226965819"/>
      <w:r/>
      <w:bookmarkStart w:id="519" w:name="_Toc226309790"/>
      <w:r/>
      <w:bookmarkStart w:id="520" w:name="_Toc305158814"/>
      <w:r/>
      <w:bookmarkStart w:id="521" w:name="_Toc151190173"/>
      <w:r/>
      <w:bookmarkStart w:id="522" w:name="_Toc127151546"/>
      <w:r/>
      <w:bookmarkStart w:id="523" w:name="_Toc151193860"/>
      <w:r/>
      <w:bookmarkStart w:id="524" w:name="_Toc150774751"/>
      <w:r/>
      <w:bookmarkStart w:id="525" w:name="_Toc164229387"/>
      <w:r/>
      <w:bookmarkStart w:id="526" w:name="_Toc150480784"/>
      <w:r/>
      <w:bookmarkStart w:id="527" w:name="_Toc151193644"/>
      <w:r/>
      <w:bookmarkStart w:id="528" w:name="_Toc264969236"/>
      <w:r/>
      <w:bookmarkStart w:id="529" w:name="_Toc164608815"/>
      <w:r/>
      <w:bookmarkStart w:id="530" w:name="_Toc195842911"/>
      <w:r/>
      <w:bookmarkStart w:id="531" w:name="_Toc305158888"/>
      <w:r/>
      <w:bookmarkStart w:id="532" w:name="_Ref467307010"/>
      <w:r/>
      <w:bookmarkStart w:id="533" w:name="_Toc164351640"/>
      <w:r/>
      <w:bookmarkStart w:id="534" w:name="_Toc150774646"/>
      <w:r/>
      <w:bookmarkStart w:id="535" w:name="_Toc142311048"/>
      <w:r>
        <w:rPr>
          <w:sz w:val="24"/>
        </w:rPr>
        <w:t xml:space="preserve">成交候选人名单</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6.1、</w:t>
      </w: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szCs w:val="20"/>
          <w:lang w:val="en-US" w:eastAsia="zh-CN"/>
        </w:rPr>
        <w:t xml:space="preserve">6.2、</w:t>
      </w: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w:t>
      </w:r>
      <w:r>
        <w:rPr>
          <w:rFonts w:hint="eastAsia"/>
          <w:sz w:val="24"/>
          <w:szCs w:val="20"/>
          <w:lang w:eastAsia="zh-CN"/>
        </w:rPr>
        <w:t xml:space="preserve">为两家</w:t>
      </w:r>
      <w:r>
        <w:rPr>
          <w:sz w:val="24"/>
          <w:szCs w:val="20"/>
        </w:rPr>
        <w:t xml:space="preserve">，则依次推荐二名供应商为成交候选供应商），并编写评审报告。</w:t>
      </w:r>
      <w:r>
        <w:rPr>
          <w:sz w:val="24"/>
        </w:rPr>
      </w:r>
      <w:r/>
    </w:p>
    <w:p>
      <w:pPr>
        <w:pStyle w:val="126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6.3、</w:t>
      </w:r>
      <w:r>
        <w:rPr>
          <w:sz w:val="24"/>
        </w:rPr>
        <w:t xml:space="preserve">磋商小组要对评分汇总情况进行复核，特别是对排名第一的、报价最低的、响应文件被认定为无效的情形进行重点复核。</w:t>
      </w:r>
      <w:r>
        <w:rPr>
          <w:sz w:val="24"/>
        </w:rPr>
      </w:r>
      <w:r/>
    </w:p>
    <w:p>
      <w:pPr>
        <w:pStyle w:val="1263"/>
        <w:numPr>
          <w:ilvl w:val="0"/>
          <w:numId w:val="0"/>
        </w:numPr>
        <w:spacing w:line="360" w:lineRule="auto"/>
        <w:tabs>
          <w:tab w:val="left" w:pos="360" w:leader="none"/>
        </w:tabs>
        <w:rPr>
          <w:sz w:val="24"/>
        </w:rPr>
        <w:outlineLvl w:val="1"/>
      </w:pPr>
      <w:r>
        <w:rPr>
          <w:rFonts w:hint="eastAsia"/>
          <w:sz w:val="24"/>
          <w:lang w:val="en-US" w:eastAsia="zh-CN"/>
        </w:rPr>
        <w:t xml:space="preserve">7、</w:t>
      </w:r>
      <w:r>
        <w:rPr>
          <w:sz w:val="24"/>
        </w:rPr>
        <w:t xml:space="preserve">报告违法行为</w:t>
      </w:r>
      <w:r>
        <w:rPr>
          <w:sz w:val="24"/>
        </w:rPr>
      </w:r>
      <w:r/>
    </w:p>
    <w:p>
      <w:pPr>
        <w:pStyle w:val="1263"/>
        <w:numPr>
          <w:ilvl w:val="0"/>
          <w:numId w:val="0"/>
        </w:numPr>
        <w:ind w:firstLine="480"/>
        <w:jc w:val="left"/>
        <w:spacing w:line="360" w:lineRule="auto"/>
        <w:widowControl/>
        <w:tabs>
          <w:tab w:val="left" w:pos="1080" w:leader="none"/>
          <w:tab w:val="left" w:pos="1872" w:leader="none"/>
        </w:tabs>
        <w:rPr>
          <w:b/>
          <w:sz w:val="24"/>
        </w:rPr>
      </w:pPr>
      <w:r>
        <w:rPr>
          <w:rFonts w:hint="eastAsia"/>
          <w:sz w:val="24"/>
          <w:lang w:val="en-US" w:eastAsia="zh-CN"/>
        </w:rPr>
        <w:t xml:space="preserve">7.1、</w:t>
      </w:r>
      <w:r>
        <w:rPr>
          <w:sz w:val="24"/>
        </w:rPr>
        <w:t xml:space="preserve">磋商小组在评审过程中发现供应商有行贿、提供虚假材料或者串通等违法行为时，有向采购人、采购代理机构或者有关部门报告的职责。</w:t>
      </w:r>
      <w:r>
        <w:rPr>
          <w:b/>
          <w:sz w:val="24"/>
        </w:rPr>
      </w:r>
      <w:r/>
    </w:p>
    <w:p>
      <w:pPr>
        <w:pStyle w:val="1265"/>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6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134"/>
        <w:gridCol w:w="851"/>
        <w:gridCol w:w="5822"/>
        <w:gridCol w:w="942"/>
      </w:tblGrid>
      <w:tr>
        <w:trPr>
          <w:trHeight w:val="270"/>
        </w:trPr>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序号</w:t>
            </w:r>
            <w:r>
              <w:rPr>
                <w:rFonts w:hint="eastAsia" w:ascii="宋体" w:hAnsi="宋体" w:cs="宋体"/>
                <w:sz w:val="21"/>
                <w:szCs w:val="21"/>
              </w:rPr>
            </w:r>
            <w:r/>
          </w:p>
        </w:tc>
        <w:tc>
          <w:tcPr>
            <w:tcW w:w="1134"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评分项目</w:t>
            </w:r>
            <w:r>
              <w:rPr>
                <w:rFonts w:hint="eastAsia" w:ascii="宋体" w:hAnsi="宋体" w:cs="宋体"/>
                <w:sz w:val="21"/>
                <w:szCs w:val="21"/>
              </w:rPr>
            </w:r>
            <w:r/>
          </w:p>
        </w:tc>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分值</w:t>
            </w:r>
            <w:r>
              <w:rPr>
                <w:rFonts w:hint="eastAsia" w:ascii="宋体" w:hAnsi="宋体" w:cs="宋体"/>
                <w:sz w:val="21"/>
                <w:szCs w:val="21"/>
              </w:rPr>
            </w:r>
            <w:r/>
          </w:p>
        </w:tc>
        <w:tc>
          <w:tcPr>
            <w:tcW w:w="5822"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评分依据</w:t>
            </w:r>
            <w:r>
              <w:rPr>
                <w:rFonts w:hint="eastAsia" w:ascii="宋体" w:hAnsi="宋体" w:cs="宋体"/>
                <w:sz w:val="21"/>
                <w:szCs w:val="21"/>
              </w:rPr>
            </w:r>
            <w:r/>
          </w:p>
        </w:tc>
        <w:tc>
          <w:tcPr>
            <w:tcW w:w="942"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备注</w:t>
            </w:r>
            <w:r>
              <w:rPr>
                <w:rFonts w:hint="eastAsia" w:ascii="宋体" w:hAnsi="宋体" w:cs="宋体"/>
                <w:sz w:val="21"/>
                <w:szCs w:val="21"/>
              </w:rPr>
            </w:r>
            <w:r/>
          </w:p>
        </w:tc>
      </w:tr>
      <w:tr>
        <w:trPr>
          <w:trHeight w:val="270"/>
        </w:trPr>
        <w:tc>
          <w:tcPr>
            <w:gridSpan w:val="4"/>
            <w:tcW w:w="8658" w:type="dxa"/>
            <w:vAlign w:val="center"/>
            <w:textDirection w:val="lrTb"/>
            <w:noWrap w:val="false"/>
          </w:tcPr>
          <w:p>
            <w:pPr>
              <w:pStyle w:val="1263"/>
              <w:ind w:left="0" w:right="0"/>
              <w:jc w:val="both"/>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eastAsia="宋体" w:cs="宋体"/>
                <w:b/>
                <w:szCs w:val="21"/>
                <w:highlight w:val="none"/>
              </w:rPr>
              <w:t xml:space="preserve">一、价格部分（</w:t>
            </w:r>
            <w:r>
              <w:rPr>
                <w:rFonts w:hint="eastAsia" w:ascii="宋体" w:hAnsi="宋体" w:eastAsia="宋体" w:cs="宋体"/>
                <w:b/>
                <w:szCs w:val="21"/>
                <w:highlight w:val="none"/>
                <w:lang w:val="en-US" w:eastAsia="zh-CN"/>
              </w:rPr>
              <w:t xml:space="preserve">1</w:t>
            </w:r>
            <w:r>
              <w:rPr>
                <w:rFonts w:hint="eastAsia" w:ascii="宋体" w:hAnsi="宋体" w:eastAsia="宋体" w:cs="宋体"/>
                <w:b/>
                <w:szCs w:val="21"/>
                <w:highlight w:val="none"/>
              </w:rPr>
              <w:t xml:space="preserve">0分）</w:t>
            </w:r>
            <w:r>
              <w:rPr>
                <w:rFonts w:hint="eastAsia" w:ascii="宋体" w:hAnsi="宋体" w:cs="宋体"/>
                <w:sz w:val="21"/>
                <w:szCs w:val="21"/>
                <w:highlight w:val="none"/>
              </w:rPr>
            </w:r>
            <w:r/>
          </w:p>
        </w:tc>
        <w:tc>
          <w:tcPr>
            <w:tcW w:w="942"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1279"/>
        </w:trPr>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cs="宋体"/>
                <w:sz w:val="21"/>
                <w:szCs w:val="21"/>
                <w:highlight w:val="none"/>
              </w:rPr>
              <w:t xml:space="preserve">1</w:t>
            </w:r>
            <w:r>
              <w:rPr>
                <w:rFonts w:hint="eastAsia" w:ascii="宋体" w:hAnsi="宋体" w:cs="宋体"/>
                <w:sz w:val="21"/>
                <w:szCs w:val="21"/>
                <w:highlight w:val="none"/>
              </w:rPr>
            </w:r>
            <w:r/>
          </w:p>
        </w:tc>
        <w:tc>
          <w:tcPr>
            <w:tcW w:w="1134"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cs="宋体"/>
                <w:sz w:val="21"/>
                <w:szCs w:val="21"/>
                <w:highlight w:val="none"/>
              </w:rPr>
              <w:t xml:space="preserve">价格分</w:t>
            </w:r>
            <w:r>
              <w:rPr>
                <w:rFonts w:hint="eastAsia" w:ascii="宋体" w:hAnsi="宋体" w:cs="宋体"/>
                <w:sz w:val="21"/>
                <w:szCs w:val="21"/>
                <w:highlight w:val="none"/>
              </w:rPr>
            </w:r>
            <w:r/>
          </w:p>
        </w:tc>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0</w:t>
            </w:r>
            <w:r>
              <w:rPr>
                <w:rFonts w:hint="eastAsia" w:ascii="宋体" w:hAnsi="宋体" w:cs="宋体"/>
                <w:sz w:val="21"/>
                <w:szCs w:val="21"/>
                <w:highlight w:val="none"/>
              </w:rPr>
            </w:r>
            <w:r/>
          </w:p>
        </w:tc>
        <w:tc>
          <w:tcPr>
            <w:tcW w:w="5822" w:type="dxa"/>
            <w:vAlign w:val="center"/>
            <w:textDirection w:val="lrTb"/>
            <w:noWrap w:val="false"/>
          </w:tcPr>
          <w:p>
            <w:pPr>
              <w:pStyle w:val="1263"/>
              <w:ind w:left="0" w:right="0" w:firstLine="420"/>
              <w:jc w:val="both"/>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cs="宋体"/>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0。</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结果保留两位小数</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
        </w:trPr>
        <w:tc>
          <w:tcPr>
            <w:gridSpan w:val="4"/>
            <w:tcW w:w="8658" w:type="dxa"/>
            <w:vAlign w:val="center"/>
            <w:textDirection w:val="lrTb"/>
            <w:noWrap w:val="false"/>
          </w:tcPr>
          <w:p>
            <w:pPr>
              <w:pStyle w:val="1263"/>
              <w:ind w:right="0"/>
              <w:jc w:val="left"/>
              <w:keepLines w:val="0"/>
              <w:keepNext w:val="0"/>
              <w:spacing w:before="0" w:beforeAutospacing="0" w:after="0" w:afterAutospacing="0" w:line="400" w:lineRule="exact"/>
              <w:tabs>
                <w:tab w:val="left" w:pos="377" w:leader="none"/>
              </w:tabs>
              <w:rPr>
                <w:rFonts w:hint="eastAsia" w:ascii="宋体" w:hAnsi="宋体" w:eastAsia="宋体" w:cs="宋体"/>
                <w:szCs w:val="21"/>
              </w:rPr>
              <w:suppressLineNumbers w:val="0"/>
            </w:pPr>
            <w:r>
              <w:rPr>
                <w:rFonts w:hint="eastAsia" w:ascii="宋体" w:hAnsi="宋体" w:cs="宋体"/>
                <w:b/>
                <w:szCs w:val="21"/>
                <w:lang w:val="en-US" w:eastAsia="zh-CN"/>
              </w:rPr>
              <w:t xml:space="preserve">二</w:t>
            </w:r>
            <w:r>
              <w:rPr>
                <w:rFonts w:hint="eastAsia" w:ascii="宋体" w:hAnsi="宋体" w:cs="宋体"/>
                <w:b/>
                <w:szCs w:val="21"/>
              </w:rPr>
              <w:t xml:space="preserve">、</w:t>
            </w:r>
            <w:r>
              <w:rPr>
                <w:rFonts w:hint="eastAsia" w:ascii="宋体" w:hAnsi="宋体" w:cs="宋体"/>
                <w:b/>
                <w:szCs w:val="21"/>
                <w:lang w:val="en-US" w:eastAsia="zh-CN"/>
              </w:rPr>
              <w:t xml:space="preserve">技术部分</w:t>
            </w:r>
            <w:r>
              <w:rPr>
                <w:rFonts w:hint="eastAsia" w:ascii="宋体" w:hAnsi="宋体" w:cs="宋体"/>
                <w:b/>
                <w:szCs w:val="21"/>
              </w:rPr>
              <w:t xml:space="preserve">（</w:t>
            </w:r>
            <w:r>
              <w:rPr>
                <w:rFonts w:hint="eastAsia" w:ascii="宋体" w:hAnsi="宋体" w:cs="宋体"/>
                <w:b/>
                <w:szCs w:val="21"/>
                <w:lang w:val="en-US" w:eastAsia="zh-CN"/>
              </w:rPr>
              <w:t xml:space="preserve">70</w:t>
            </w:r>
            <w:r>
              <w:rPr>
                <w:rFonts w:hint="eastAsia" w:ascii="宋体" w:hAnsi="宋体" w:cs="宋体"/>
                <w:b/>
                <w:szCs w:val="21"/>
              </w:rPr>
              <w:t xml:space="preserve">分）</w:t>
            </w:r>
            <w:r>
              <w:rPr>
                <w:rFonts w:hint="eastAsia" w:ascii="宋体" w:hAnsi="宋体" w:eastAsia="宋体" w:cs="宋体"/>
                <w:szCs w:val="21"/>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
        </w:trPr>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eastAsia="宋体" w:cs="宋体"/>
                <w:sz w:val="21"/>
                <w:szCs w:val="21"/>
                <w:lang w:eastAsia="zh-CN"/>
              </w:rPr>
              <w:suppressLineNumbers w:val="0"/>
            </w:pPr>
            <w:r>
              <w:rPr>
                <w:rFonts w:hint="eastAsia" w:ascii="宋体" w:hAnsi="宋体" w:cs="宋体"/>
                <w:sz w:val="21"/>
                <w:szCs w:val="21"/>
                <w:lang w:val="en-US" w:eastAsia="zh-CN"/>
              </w:rPr>
              <w:t xml:space="preserve">2.1</w:t>
            </w:r>
            <w:r>
              <w:rPr>
                <w:rFonts w:hint="eastAsia" w:ascii="宋体" w:hAnsi="宋体" w:eastAsia="宋体" w:cs="宋体"/>
                <w:sz w:val="21"/>
                <w:szCs w:val="21"/>
                <w:lang w:eastAsia="zh-CN"/>
              </w:rPr>
            </w:r>
            <w:r/>
          </w:p>
        </w:tc>
        <w:tc>
          <w:tcPr>
            <w:tcW w:w="1134"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eastAsia="宋体" w:cs="宋体"/>
                <w:sz w:val="21"/>
                <w:szCs w:val="21"/>
                <w:lang w:eastAsia="zh-CN"/>
              </w:rPr>
              <w:suppressLineNumbers w:val="0"/>
            </w:pPr>
            <w:r>
              <w:rPr>
                <w:rFonts w:hint="eastAsia" w:ascii="宋体" w:hAnsi="宋体" w:cs="宋体"/>
                <w:sz w:val="21"/>
                <w:szCs w:val="21"/>
                <w:lang w:val="en-US" w:eastAsia="zh-CN"/>
              </w:rPr>
              <w:t xml:space="preserve">总体布局</w:t>
            </w:r>
            <w:r>
              <w:rPr>
                <w:rFonts w:hint="eastAsia" w:ascii="宋体" w:hAnsi="宋体" w:eastAsia="宋体" w:cs="宋体"/>
                <w:sz w:val="21"/>
                <w:szCs w:val="21"/>
                <w:lang w:eastAsia="zh-CN"/>
              </w:rPr>
            </w:r>
            <w:r/>
          </w:p>
        </w:tc>
        <w:tc>
          <w:tcPr>
            <w:tcW w:w="851" w:type="dxa"/>
            <w:vAlign w:val="center"/>
            <w:textDirection w:val="lrTb"/>
            <w:noWrap w:val="false"/>
          </w:tcPr>
          <w:p>
            <w:pPr>
              <w:pStyle w:val="1263"/>
              <w:jc w:val="center"/>
              <w:spacing w:line="400" w:lineRule="exact"/>
              <w:rPr>
                <w:rFonts w:ascii="宋体" w:hAnsi="宋体" w:cs="宋体"/>
                <w:sz w:val="21"/>
                <w:szCs w:val="21"/>
                <w:lang w:val="en-US"/>
              </w:rPr>
            </w:pPr>
            <w:r>
              <w:rPr>
                <w:rFonts w:hint="eastAsia" w:ascii="宋体" w:hAnsi="宋体" w:cs="宋体"/>
                <w:szCs w:val="21"/>
                <w:lang w:val="en-US" w:eastAsia="zh-CN"/>
              </w:rPr>
              <w:t xml:space="preserve">10</w:t>
            </w:r>
            <w:r>
              <w:rPr>
                <w:rFonts w:ascii="宋体" w:hAnsi="宋体" w:cs="宋体"/>
                <w:sz w:val="21"/>
                <w:szCs w:val="21"/>
                <w:lang w:val="en-US"/>
              </w:rPr>
            </w:r>
            <w:r/>
          </w:p>
        </w:tc>
        <w:tc>
          <w:tcPr>
            <w:tcW w:w="5822" w:type="dxa"/>
            <w:vAlign w:val="center"/>
            <w:textDirection w:val="lrTb"/>
            <w:noWrap w:val="false"/>
          </w:tcPr>
          <w:p>
            <w:pPr>
              <w:pStyle w:val="126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施工总</w:t>
            </w:r>
            <w:r>
              <w:rPr>
                <w:rFonts w:hint="eastAsia" w:ascii="Times New Roman" w:hAnsi="Times New Roman" w:eastAsia="宋体" w:cs="Times New Roman"/>
                <w:b/>
                <w:bCs/>
                <w:highlight w:val="none"/>
                <w:lang w:val="en-US" w:eastAsia="zh-CN"/>
              </w:rPr>
              <w:t xml:space="preserve">体</w:t>
            </w:r>
            <w:r>
              <w:rPr>
                <w:rFonts w:hint="eastAsia" w:ascii="Times New Roman" w:hAnsi="Times New Roman" w:eastAsia="宋体" w:cs="Times New Roman"/>
                <w:b/>
                <w:bCs/>
                <w:highlight w:val="none"/>
              </w:rPr>
              <w:t xml:space="preserve">布置合理、方案的可行性和可靠性。</w:t>
            </w:r>
            <w:r>
              <w:rPr>
                <w:rFonts w:hint="eastAsia" w:ascii="Times New Roman" w:hAnsi="Times New Roman" w:eastAsia="宋体" w:cs="Times New Roman"/>
                <w:b/>
                <w:bCs/>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1）施工总体布置合理、方案的可行性和可靠性高的，得10分；</w:t>
            </w:r>
            <w:r>
              <w:rPr>
                <w:rFonts w:hint="eastAsia" w:ascii="Times New Roman" w:hAnsi="Times New Roman" w:eastAsia="宋体" w:cs="Times New Roman"/>
                <w:highlight w:val="none"/>
                <w:lang w:val="en-US" w:eastAsia="zh-CN"/>
              </w:rPr>
            </w:r>
            <w:r/>
          </w:p>
          <w:p>
            <w:pPr>
              <w:pStyle w:val="126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2）施工总体布置基本合理、方案的可行性和可靠性高的，得7分；</w:t>
            </w:r>
            <w:r>
              <w:rPr>
                <w:rFonts w:hint="eastAsia" w:ascii="Times New Roman" w:hAnsi="Times New Roman" w:eastAsia="宋体" w:cs="Times New Roman"/>
                <w:highlight w:val="none"/>
                <w:lang w:val="en-US" w:eastAsia="zh-CN"/>
              </w:rPr>
            </w:r>
            <w:r/>
          </w:p>
          <w:p>
            <w:pPr>
              <w:pStyle w:val="126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3）施工总体布置简单、方案的可行性和可靠性的较低的，得4分；</w:t>
            </w:r>
            <w:r>
              <w:rPr>
                <w:rFonts w:hint="eastAsia" w:ascii="Times New Roman" w:hAnsi="Times New Roman" w:eastAsia="宋体" w:cs="Times New Roman"/>
                <w:highlight w:val="none"/>
                <w:lang w:val="en-US" w:eastAsia="zh-CN"/>
              </w:rPr>
            </w:r>
            <w:r/>
          </w:p>
          <w:p>
            <w:pPr>
              <w:pStyle w:val="126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4）总体布置一般、方案基本无可操作性的，得1分；</w:t>
            </w:r>
            <w:r>
              <w:rPr>
                <w:rFonts w:hint="eastAsia" w:ascii="Times New Roman" w:hAnsi="Times New Roman" w:eastAsia="宋体" w:cs="Times New Roman"/>
                <w:highlight w:val="none"/>
                <w:lang w:val="en-US" w:eastAsia="zh-CN"/>
              </w:rPr>
            </w:r>
            <w:r/>
          </w:p>
          <w:p>
            <w:pPr>
              <w:pStyle w:val="1263"/>
              <w:ind w:firstLine="420"/>
              <w:jc w:val="left"/>
              <w:spacing w:line="400" w:lineRule="exact"/>
              <w:tabs>
                <w:tab w:val="left" w:pos="377" w:leader="none"/>
              </w:tabs>
              <w:rPr>
                <w:rFonts w:ascii="宋体" w:hAnsi="宋体" w:eastAsia="宋体"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ascii="宋体" w:hAnsi="宋体" w:eastAsia="宋体" w:cs="宋体"/>
                <w:sz w:val="21"/>
                <w:szCs w:val="21"/>
                <w:lang w:val="en-US" w:eastAsia="zh-CN"/>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5"/>
        </w:trPr>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2.2</w:t>
            </w:r>
            <w:r>
              <w:rPr>
                <w:rFonts w:ascii="宋体" w:hAnsi="宋体" w:cs="宋体"/>
                <w:sz w:val="21"/>
                <w:szCs w:val="21"/>
                <w:lang w:val="en-US" w:eastAsia="zh-CN"/>
              </w:rPr>
            </w:r>
            <w:r/>
          </w:p>
        </w:tc>
        <w:tc>
          <w:tcPr>
            <w:tcW w:w="1134"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进度控制</w:t>
            </w:r>
            <w:r>
              <w:rPr>
                <w:rFonts w:hint="eastAsia" w:ascii="宋体" w:hAnsi="宋体" w:eastAsia="宋体" w:cs="宋体"/>
                <w:sz w:val="21"/>
                <w:szCs w:val="21"/>
                <w:lang w:val="en-US" w:eastAsia="zh-CN"/>
              </w:rPr>
            </w:r>
            <w:r/>
          </w:p>
        </w:tc>
        <w:tc>
          <w:tcPr>
            <w:tcW w:w="851" w:type="dxa"/>
            <w:vAlign w:val="center"/>
            <w:textDirection w:val="lrTb"/>
            <w:noWrap w:val="false"/>
          </w:tcPr>
          <w:p>
            <w:pPr>
              <w:pStyle w:val="1263"/>
              <w:jc w:val="center"/>
              <w:spacing w:line="400" w:lineRule="exact"/>
              <w:rPr>
                <w:rFonts w:ascii="宋体" w:hAnsi="宋体" w:cs="宋体"/>
                <w:sz w:val="21"/>
                <w:szCs w:val="21"/>
                <w:lang w:val="en-US" w:eastAsia="zh-CN"/>
              </w:rPr>
            </w:pPr>
            <w:r>
              <w:rPr>
                <w:rFonts w:hint="eastAsia" w:ascii="宋体" w:hAnsi="宋体" w:cs="宋体"/>
                <w:szCs w:val="21"/>
                <w:lang w:val="en-US" w:eastAsia="zh-CN"/>
              </w:rPr>
              <w:t xml:space="preserve">10</w:t>
            </w:r>
            <w:r>
              <w:rPr>
                <w:rFonts w:ascii="宋体" w:hAnsi="宋体" w:cs="宋体"/>
                <w:sz w:val="21"/>
                <w:szCs w:val="21"/>
                <w:lang w:val="en-US" w:eastAsia="zh-CN"/>
              </w:rPr>
            </w:r>
            <w:r/>
          </w:p>
        </w:tc>
        <w:tc>
          <w:tcPr>
            <w:tcW w:w="5822" w:type="dxa"/>
            <w:vAlign w:val="center"/>
            <w:textDirection w:val="lrTb"/>
            <w:noWrap w:val="false"/>
          </w:tcPr>
          <w:p>
            <w:pPr>
              <w:pStyle w:val="126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主要工期进度控制点和工序编排的合理性</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要有横道图或网络图</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w:t>
            </w:r>
            <w:r>
              <w:rPr>
                <w:rFonts w:hint="eastAsia" w:ascii="Times New Roman" w:hAnsi="Times New Roman" w:eastAsia="宋体" w:cs="Times New Roman"/>
                <w:b/>
                <w:bCs/>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措施合理、完整、可行性高的，得</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合理、完整、可行性高的，得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、较</w:t>
            </w:r>
            <w:r>
              <w:rPr>
                <w:rFonts w:hint="eastAsia" w:ascii="Times New Roman" w:hAnsi="Times New Roman" w:eastAsia="宋体" w:cs="Times New Roman"/>
                <w:highlight w:val="none"/>
                <w:lang w:val="en-US" w:eastAsia="zh-CN"/>
              </w:rPr>
              <w:t xml:space="preserve">不合理</w:t>
            </w:r>
            <w:r>
              <w:rPr>
                <w:rFonts w:hint="eastAsia" w:ascii="Times New Roman" w:hAnsi="Times New Roman" w:eastAsia="宋体" w:cs="Times New Roman"/>
                <w:highlight w:val="none"/>
              </w:rPr>
              <w:t xml:space="preserve">、可行性较</w:t>
            </w:r>
            <w:r>
              <w:rPr>
                <w:rFonts w:hint="eastAsia" w:ascii="Times New Roman" w:hAnsi="Times New Roman" w:eastAsia="宋体" w:cs="Times New Roman"/>
                <w:highlight w:val="none"/>
                <w:lang w:val="en-US" w:eastAsia="zh-CN"/>
              </w:rPr>
              <w:t xml:space="preserve">低</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措施一般，缺乏一定可行性的，得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ascii="宋体" w:hAnsi="宋体" w:eastAsia="宋体"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ascii="宋体" w:hAnsi="宋体" w:eastAsia="宋体" w:cs="宋体"/>
                <w:sz w:val="21"/>
                <w:szCs w:val="21"/>
                <w:lang w:val="en-US" w:eastAsia="zh-CN"/>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431"/>
        </w:trPr>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2.3</w:t>
            </w:r>
            <w:r>
              <w:rPr>
                <w:rFonts w:ascii="宋体" w:hAnsi="宋体" w:cs="宋体"/>
                <w:sz w:val="21"/>
                <w:szCs w:val="21"/>
                <w:lang w:val="en-US" w:eastAsia="zh-CN"/>
              </w:rPr>
            </w:r>
            <w:r/>
          </w:p>
        </w:tc>
        <w:tc>
          <w:tcPr>
            <w:tcW w:w="1134" w:type="dxa"/>
            <w:vAlign w:val="center"/>
            <w:textDirection w:val="lrTb"/>
            <w:noWrap w:val="false"/>
          </w:tcPr>
          <w:p>
            <w:pPr>
              <w:pStyle w:val="126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人材机配置</w:t>
            </w:r>
            <w:r>
              <w:rPr>
                <w:rFonts w:ascii="宋体" w:hAnsi="宋体" w:eastAsia="宋体" w:cs="宋体"/>
                <w:sz w:val="21"/>
                <w:szCs w:val="21"/>
                <w:lang w:val="en-US" w:eastAsia="zh-CN"/>
              </w:rPr>
            </w:r>
            <w:r/>
          </w:p>
        </w:tc>
        <w:tc>
          <w:tcPr>
            <w:tcW w:w="851" w:type="dxa"/>
            <w:vAlign w:val="center"/>
            <w:textDirection w:val="lrTb"/>
            <w:noWrap w:val="false"/>
          </w:tcPr>
          <w:p>
            <w:pPr>
              <w:pStyle w:val="1263"/>
              <w:jc w:val="center"/>
              <w:spacing w:line="400" w:lineRule="exact"/>
              <w:rPr>
                <w:rFonts w:ascii="宋体" w:hAnsi="宋体" w:cs="宋体"/>
                <w:sz w:val="21"/>
                <w:szCs w:val="21"/>
                <w:lang w:val="en-US" w:eastAsia="zh-CN"/>
              </w:rPr>
            </w:pPr>
            <w:r>
              <w:rPr>
                <w:rFonts w:hint="eastAsia" w:ascii="宋体" w:hAnsi="宋体" w:cs="宋体"/>
                <w:szCs w:val="21"/>
                <w:lang w:val="en-US" w:eastAsia="zh-CN"/>
              </w:rPr>
              <w:t xml:space="preserve">10</w:t>
            </w:r>
            <w:r>
              <w:rPr>
                <w:rFonts w:ascii="宋体" w:hAnsi="宋体" w:cs="宋体"/>
                <w:sz w:val="21"/>
                <w:szCs w:val="21"/>
                <w:lang w:val="en-US" w:eastAsia="zh-CN"/>
              </w:rPr>
            </w:r>
            <w:r/>
          </w:p>
        </w:tc>
        <w:tc>
          <w:tcPr>
            <w:tcW w:w="5822" w:type="dxa"/>
            <w:vAlign w:val="center"/>
            <w:textDirection w:val="lrTb"/>
            <w:noWrap w:val="false"/>
          </w:tcPr>
          <w:p>
            <w:pPr>
              <w:pStyle w:val="126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包括现场项目部人员配置科学、合理、齐全，组织严谨；劳动力配备齐全，机械配置科学合理、适用，材料投入计划和进退场计划具体，及时、可行的。</w:t>
            </w:r>
            <w:r>
              <w:rPr>
                <w:rFonts w:hint="eastAsia" w:ascii="Times New Roman" w:hAnsi="Times New Roman" w:eastAsia="宋体" w:cs="Times New Roman"/>
                <w:b/>
                <w:bCs/>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科学、合理，组织严谨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劳动力分配合理，施工机具配备</w:t>
            </w:r>
            <w:r>
              <w:rPr>
                <w:rFonts w:hint="eastAsia" w:ascii="Times New Roman" w:hAnsi="Times New Roman" w:eastAsia="宋体" w:cs="Times New Roman"/>
                <w:highlight w:val="none"/>
                <w:lang w:val="en-US" w:eastAsia="zh-CN"/>
              </w:rPr>
              <w:t xml:space="preserve">科学合理</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科学、</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合理、组织</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严谨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劳动力分配</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合理，施工机具配备</w:t>
            </w:r>
            <w:r>
              <w:rPr>
                <w:rFonts w:hint="eastAsia" w:ascii="Times New Roman" w:hAnsi="Times New Roman" w:eastAsia="宋体" w:cs="Times New Roman"/>
                <w:highlight w:val="none"/>
                <w:lang w:val="en-US" w:eastAsia="zh-CN"/>
              </w:rPr>
              <w:t xml:space="preserve">基本科学合理</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科学、</w:t>
            </w:r>
            <w:r>
              <w:rPr>
                <w:rFonts w:hint="eastAsia" w:ascii="Times New Roman" w:hAnsi="Times New Roman" w:eastAsia="宋体" w:cs="Times New Roman"/>
                <w:highlight w:val="none"/>
                <w:lang w:val="en-US" w:eastAsia="zh-CN"/>
              </w:rPr>
              <w:t xml:space="preserve">较</w:t>
            </w:r>
            <w:r>
              <w:rPr>
                <w:rFonts w:hint="eastAsia" w:ascii="Times New Roman" w:hAnsi="Times New Roman" w:eastAsia="宋体" w:cs="Times New Roman"/>
                <w:highlight w:val="none"/>
              </w:rPr>
              <w:t xml:space="preserve">合理、组织</w:t>
            </w:r>
            <w:r>
              <w:rPr>
                <w:rFonts w:hint="eastAsia" w:ascii="Times New Roman" w:hAnsi="Times New Roman" w:eastAsia="宋体" w:cs="Times New Roman"/>
                <w:highlight w:val="none"/>
                <w:lang w:val="en-US" w:eastAsia="zh-CN"/>
              </w:rPr>
              <w:t xml:space="preserve">较不严谨，</w:t>
            </w:r>
            <w:r>
              <w:rPr>
                <w:rFonts w:hint="eastAsia" w:ascii="Times New Roman" w:hAnsi="Times New Roman" w:eastAsia="宋体" w:cs="Times New Roman"/>
                <w:highlight w:val="none"/>
              </w:rPr>
              <w:t xml:space="preserve">劳动力分配</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施工机具配备较</w:t>
            </w:r>
            <w:r>
              <w:rPr>
                <w:rFonts w:hint="eastAsia" w:ascii="Times New Roman" w:hAnsi="Times New Roman" w:eastAsia="宋体" w:cs="Times New Roman"/>
                <w:highlight w:val="none"/>
                <w:lang w:val="en-US" w:eastAsia="zh-CN"/>
              </w:rPr>
              <w:t xml:space="preserve">不科学合理</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组织</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劳动力分配</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，施工机具配备</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val="en-US" w:eastAsia="zh-CN"/>
              </w:rPr>
            </w:r>
            <w:r/>
          </w:p>
          <w:p>
            <w:pPr>
              <w:pStyle w:val="1263"/>
              <w:ind w:firstLine="420"/>
              <w:jc w:val="left"/>
              <w:spacing w:line="400" w:lineRule="exact"/>
              <w:tabs>
                <w:tab w:val="left" w:pos="377" w:leader="none"/>
              </w:tabs>
              <w:rPr>
                <w:rFonts w:ascii="宋体" w:hAnsi="宋体" w:eastAsia="宋体"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ascii="宋体" w:hAnsi="宋体" w:eastAsia="宋体" w:cs="宋体"/>
                <w:sz w:val="21"/>
                <w:szCs w:val="21"/>
                <w:lang w:val="en-US" w:eastAsia="zh-CN"/>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5"/>
        </w:trPr>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2.4</w:t>
            </w:r>
            <w:r>
              <w:rPr>
                <w:rFonts w:ascii="宋体" w:hAnsi="宋体" w:cs="宋体"/>
                <w:sz w:val="21"/>
                <w:szCs w:val="21"/>
                <w:lang w:val="en-US" w:eastAsia="zh-CN"/>
              </w:rPr>
            </w:r>
            <w:r/>
          </w:p>
        </w:tc>
        <w:tc>
          <w:tcPr>
            <w:tcW w:w="1134" w:type="dxa"/>
            <w:vAlign w:val="center"/>
            <w:textDirection w:val="lrTb"/>
            <w:noWrap w:val="false"/>
          </w:tcPr>
          <w:p>
            <w:pPr>
              <w:pStyle w:val="126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施工方案</w:t>
            </w:r>
            <w:r>
              <w:rPr>
                <w:rFonts w:ascii="宋体" w:hAnsi="宋体" w:eastAsia="宋体" w:cs="宋体"/>
                <w:sz w:val="21"/>
                <w:szCs w:val="21"/>
                <w:lang w:val="en-US" w:eastAsia="zh-CN"/>
              </w:rPr>
            </w:r>
            <w:r/>
          </w:p>
        </w:tc>
        <w:tc>
          <w:tcPr>
            <w:tcW w:w="851" w:type="dxa"/>
            <w:vAlign w:val="center"/>
            <w:textDirection w:val="lrTb"/>
            <w:noWrap w:val="false"/>
          </w:tcPr>
          <w:p>
            <w:pPr>
              <w:pStyle w:val="1263"/>
              <w:jc w:val="center"/>
              <w:spacing w:line="400" w:lineRule="exact"/>
              <w:rPr>
                <w:rFonts w:hint="eastAsia" w:ascii="宋体" w:hAnsi="宋体" w:cs="宋体"/>
                <w:sz w:val="21"/>
                <w:szCs w:val="21"/>
                <w:lang w:val="en-US" w:eastAsia="zh-CN"/>
              </w:rPr>
            </w:pPr>
            <w:r>
              <w:rPr>
                <w:rFonts w:hint="eastAsia" w:ascii="宋体" w:hAnsi="宋体" w:cs="宋体"/>
                <w:szCs w:val="21"/>
                <w:lang w:val="en-US" w:eastAsia="zh-CN"/>
              </w:rPr>
              <w:t xml:space="preserve">10</w:t>
            </w:r>
            <w:r>
              <w:rPr>
                <w:rFonts w:hint="eastAsia" w:ascii="宋体" w:hAnsi="宋体" w:cs="宋体"/>
                <w:sz w:val="21"/>
                <w:szCs w:val="21"/>
                <w:lang w:val="en-US" w:eastAsia="zh-CN"/>
              </w:rPr>
            </w:r>
            <w:r/>
          </w:p>
        </w:tc>
        <w:tc>
          <w:tcPr>
            <w:tcW w:w="5822" w:type="dxa"/>
            <w:vAlign w:val="center"/>
            <w:textDirection w:val="lrTb"/>
            <w:noWrap w:val="false"/>
          </w:tcPr>
          <w:p>
            <w:pPr>
              <w:pStyle w:val="126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投标人在投标前</w:t>
            </w:r>
            <w:r>
              <w:rPr>
                <w:rFonts w:hint="eastAsia" w:ascii="Times New Roman" w:hAnsi="Times New Roman" w:eastAsia="宋体" w:cs="Times New Roman"/>
                <w:b/>
                <w:bCs/>
                <w:highlight w:val="none"/>
                <w:lang w:val="en-US" w:eastAsia="zh-CN"/>
              </w:rPr>
              <w:t xml:space="preserve">可</w:t>
            </w:r>
            <w:r>
              <w:rPr>
                <w:rFonts w:hint="eastAsia" w:ascii="Times New Roman" w:hAnsi="Times New Roman" w:eastAsia="宋体" w:cs="Times New Roman"/>
                <w:b/>
                <w:bCs/>
                <w:highlight w:val="none"/>
              </w:rPr>
              <w:t xml:space="preserve">进行现场踏勘，针对施工技术、工艺及工程项目实施的重点、难点，提出</w:t>
            </w:r>
            <w:r>
              <w:rPr>
                <w:rFonts w:hint="eastAsia" w:ascii="Times New Roman" w:hAnsi="Times New Roman" w:eastAsia="宋体" w:cs="Times New Roman"/>
                <w:b/>
                <w:bCs/>
                <w:highlight w:val="none"/>
                <w:lang w:val="en-US" w:eastAsia="zh-CN"/>
              </w:rPr>
              <w:t xml:space="preserve">道路改造项目</w:t>
            </w:r>
            <w:r>
              <w:rPr>
                <w:rFonts w:hint="eastAsia" w:ascii="Times New Roman" w:hAnsi="Times New Roman" w:eastAsia="宋体" w:cs="Times New Roman"/>
                <w:b/>
                <w:bCs/>
                <w:highlight w:val="none"/>
              </w:rPr>
              <w:t xml:space="preserve">具体施工方案，要求方案科学，合理，详细有可操作性。</w:t>
            </w:r>
            <w:r>
              <w:rPr>
                <w:rFonts w:hint="eastAsia" w:ascii="Times New Roman" w:hAnsi="Times New Roman" w:eastAsia="宋体" w:cs="Times New Roman"/>
                <w:b/>
                <w:bCs/>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1）方案科学合理，详细、可操作性高的得10分；</w:t>
            </w:r>
            <w:r>
              <w:rPr>
                <w:rFonts w:hint="eastAsia" w:ascii="Times New Roman" w:hAnsi="Times New Roman" w:eastAsia="宋体" w:cs="Times New Roman"/>
                <w:highlight w:val="none"/>
                <w:lang w:val="en-US" w:eastAsia="zh-CN"/>
              </w:rPr>
            </w:r>
            <w:r/>
          </w:p>
          <w:p>
            <w:pPr>
              <w:pStyle w:val="126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2）方案基本科学合理，基本详细、基本可操作的得7分；</w:t>
            </w:r>
            <w:r>
              <w:rPr>
                <w:rFonts w:hint="eastAsia" w:ascii="Times New Roman" w:hAnsi="Times New Roman" w:eastAsia="宋体" w:cs="Times New Roman"/>
                <w:highlight w:val="none"/>
                <w:lang w:val="en-US" w:eastAsia="zh-CN"/>
              </w:rPr>
            </w:r>
            <w:r/>
          </w:p>
          <w:p>
            <w:pPr>
              <w:pStyle w:val="126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3）方案描述简单，可操作性较低的得4分；</w:t>
            </w:r>
            <w:r>
              <w:rPr>
                <w:rFonts w:hint="eastAsia" w:ascii="Times New Roman" w:hAnsi="Times New Roman" w:eastAsia="宋体" w:cs="Times New Roman"/>
                <w:highlight w:val="none"/>
                <w:lang w:val="en-US" w:eastAsia="zh-CN"/>
              </w:rPr>
            </w:r>
            <w:r/>
          </w:p>
          <w:p>
            <w:pPr>
              <w:pStyle w:val="126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4）方案一般，可操作性一般的得1分；</w:t>
            </w:r>
            <w:r>
              <w:rPr>
                <w:rFonts w:hint="eastAsia" w:ascii="Times New Roman" w:hAnsi="Times New Roman" w:eastAsia="宋体" w:cs="Times New Roman"/>
                <w:highlight w:val="none"/>
                <w:lang w:val="en-US" w:eastAsia="zh-CN"/>
              </w:rPr>
            </w:r>
            <w:r/>
          </w:p>
          <w:p>
            <w:pPr>
              <w:pStyle w:val="1263"/>
              <w:ind w:firstLine="420"/>
              <w:jc w:val="left"/>
              <w:spacing w:line="400" w:lineRule="exact"/>
              <w:tabs>
                <w:tab w:val="left" w:pos="377" w:leader="none"/>
              </w:tabs>
              <w:rPr>
                <w:rFonts w:ascii="宋体" w:hAnsi="宋体" w:eastAsia="宋体"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ascii="宋体" w:hAnsi="宋体" w:eastAsia="宋体" w:cs="宋体"/>
                <w:sz w:val="21"/>
                <w:szCs w:val="21"/>
                <w:lang w:val="en-US" w:eastAsia="zh-CN"/>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395"/>
        </w:trPr>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2.5</w:t>
            </w:r>
            <w:r>
              <w:rPr>
                <w:rFonts w:ascii="宋体" w:hAnsi="宋体" w:cs="宋体"/>
                <w:sz w:val="21"/>
                <w:szCs w:val="21"/>
                <w:lang w:val="en-US" w:eastAsia="zh-CN"/>
              </w:rPr>
            </w:r>
            <w:r/>
          </w:p>
        </w:tc>
        <w:tc>
          <w:tcPr>
            <w:tcW w:w="1134" w:type="dxa"/>
            <w:vAlign w:val="center"/>
            <w:textDirection w:val="lrTb"/>
            <w:noWrap w:val="false"/>
          </w:tcPr>
          <w:p>
            <w:pPr>
              <w:pStyle w:val="126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质量保证措施</w:t>
            </w:r>
            <w:r>
              <w:rPr>
                <w:rFonts w:ascii="宋体" w:hAnsi="宋体" w:eastAsia="宋体" w:cs="宋体"/>
                <w:sz w:val="21"/>
                <w:szCs w:val="21"/>
                <w:lang w:val="en-US" w:eastAsia="zh-CN"/>
              </w:rPr>
            </w:r>
            <w:r/>
          </w:p>
        </w:tc>
        <w:tc>
          <w:tcPr>
            <w:tcW w:w="851" w:type="dxa"/>
            <w:vAlign w:val="center"/>
            <w:textDirection w:val="lrTb"/>
            <w:noWrap w:val="false"/>
          </w:tcPr>
          <w:p>
            <w:pPr>
              <w:pStyle w:val="1263"/>
              <w:jc w:val="center"/>
              <w:spacing w:line="400" w:lineRule="exact"/>
              <w:rPr>
                <w:rFonts w:hint="eastAsia" w:ascii="宋体" w:hAnsi="宋体" w:cs="宋体"/>
                <w:sz w:val="21"/>
                <w:szCs w:val="21"/>
                <w:lang w:val="en-US" w:eastAsia="zh-CN"/>
              </w:rPr>
            </w:pPr>
            <w:r>
              <w:rPr>
                <w:rFonts w:hint="eastAsia" w:ascii="宋体" w:hAnsi="宋体" w:cs="宋体"/>
                <w:szCs w:val="21"/>
                <w:lang w:val="en-US" w:eastAsia="zh-CN"/>
              </w:rPr>
              <w:t xml:space="preserve">10</w:t>
            </w:r>
            <w:r>
              <w:rPr>
                <w:rFonts w:hint="eastAsia" w:ascii="宋体" w:hAnsi="宋体" w:cs="宋体"/>
                <w:sz w:val="21"/>
                <w:szCs w:val="21"/>
                <w:lang w:val="en-US" w:eastAsia="zh-CN"/>
              </w:rPr>
            </w:r>
            <w:r/>
          </w:p>
        </w:tc>
        <w:tc>
          <w:tcPr>
            <w:tcW w:w="5822" w:type="dxa"/>
            <w:vAlign w:val="center"/>
            <w:textDirection w:val="lrTb"/>
            <w:noWrap w:val="false"/>
          </w:tcPr>
          <w:p>
            <w:pPr>
              <w:pStyle w:val="126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质量保证措施（含质保体系、技术保证、材料保证等），科学合理、措施可靠、全面可行、针对性强的。</w:t>
            </w:r>
            <w:r>
              <w:rPr>
                <w:rFonts w:hint="eastAsia" w:ascii="Times New Roman" w:hAnsi="Times New Roman" w:eastAsia="宋体" w:cs="Times New Roman"/>
                <w:b/>
                <w:bCs/>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1）质量保证体系内容详尽、措施齐全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可行性高</w:t>
            </w:r>
            <w:r>
              <w:rPr>
                <w:rFonts w:hint="eastAsia" w:ascii="Times New Roman" w:hAnsi="Times New Roman" w:eastAsia="宋体" w:cs="Times New Roman"/>
                <w:highlight w:val="none"/>
              </w:rPr>
              <w:t xml:space="preserve">的，得10分；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2）质量保证体系内容</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详尽、措施</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基本可行</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）质量保证体系内容</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、措施</w:t>
            </w:r>
            <w:r>
              <w:rPr>
                <w:rFonts w:hint="eastAsia" w:ascii="Times New Roman" w:hAnsi="Times New Roman" w:eastAsia="宋体" w:cs="Times New Roman"/>
                <w:highlight w:val="none"/>
                <w:lang w:val="en-US" w:eastAsia="zh-CN"/>
              </w:rPr>
              <w:t xml:space="preserve">可行性较低</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质量保证体系和措施一般的，得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ascii="宋体" w:hAnsi="宋体" w:eastAsia="宋体"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ascii="宋体" w:hAnsi="宋体" w:eastAsia="宋体" w:cs="宋体"/>
                <w:sz w:val="21"/>
                <w:szCs w:val="21"/>
                <w:lang w:val="en-US" w:eastAsia="zh-CN"/>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
        </w:trPr>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2.6</w:t>
            </w:r>
            <w:r>
              <w:rPr>
                <w:rFonts w:ascii="宋体" w:hAnsi="宋体" w:cs="宋体"/>
                <w:sz w:val="21"/>
                <w:szCs w:val="21"/>
                <w:lang w:val="en-US" w:eastAsia="zh-CN"/>
              </w:rPr>
            </w:r>
            <w:r/>
          </w:p>
        </w:tc>
        <w:tc>
          <w:tcPr>
            <w:tcW w:w="1134" w:type="dxa"/>
            <w:vAlign w:val="center"/>
            <w:textDirection w:val="lrTb"/>
            <w:noWrap w:val="false"/>
          </w:tcPr>
          <w:p>
            <w:pPr>
              <w:pStyle w:val="126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安全文明生产施工</w:t>
            </w:r>
            <w:r>
              <w:rPr>
                <w:rFonts w:ascii="宋体" w:hAnsi="宋体" w:eastAsia="宋体" w:cs="宋体"/>
                <w:sz w:val="21"/>
                <w:szCs w:val="21"/>
                <w:lang w:val="en-US" w:eastAsia="zh-CN"/>
              </w:rPr>
            </w:r>
            <w:r/>
          </w:p>
        </w:tc>
        <w:tc>
          <w:tcPr>
            <w:tcW w:w="851" w:type="dxa"/>
            <w:vAlign w:val="center"/>
            <w:textDirection w:val="lrTb"/>
            <w:noWrap w:val="false"/>
          </w:tcPr>
          <w:p>
            <w:pPr>
              <w:pStyle w:val="1263"/>
              <w:jc w:val="center"/>
              <w:spacing w:line="400" w:lineRule="exact"/>
              <w:rPr>
                <w:rFonts w:hint="eastAsia" w:ascii="宋体" w:hAnsi="宋体" w:cs="宋体"/>
                <w:sz w:val="21"/>
                <w:szCs w:val="21"/>
                <w:lang w:val="en-US" w:eastAsia="zh-CN"/>
              </w:rPr>
            </w:pPr>
            <w:r>
              <w:rPr>
                <w:rFonts w:hint="eastAsia" w:ascii="宋体" w:hAnsi="宋体" w:cs="宋体"/>
                <w:szCs w:val="21"/>
                <w:lang w:val="en-US" w:eastAsia="zh-CN"/>
              </w:rPr>
              <w:t xml:space="preserve">10</w:t>
            </w:r>
            <w:r>
              <w:rPr>
                <w:rFonts w:hint="eastAsia" w:ascii="宋体" w:hAnsi="宋体" w:cs="宋体"/>
                <w:sz w:val="21"/>
                <w:szCs w:val="21"/>
                <w:lang w:val="en-US" w:eastAsia="zh-CN"/>
              </w:rPr>
            </w:r>
            <w:r/>
          </w:p>
        </w:tc>
        <w:tc>
          <w:tcPr>
            <w:tcW w:w="5822" w:type="dxa"/>
            <w:vAlign w:val="center"/>
            <w:textDirection w:val="lrTb"/>
            <w:noWrap w:val="false"/>
          </w:tcPr>
          <w:p>
            <w:pPr>
              <w:pStyle w:val="1263"/>
              <w:jc w:val="left"/>
              <w:spacing w:line="400" w:lineRule="exact"/>
              <w:tabs>
                <w:tab w:val="left" w:pos="377" w:leader="none"/>
              </w:tabs>
              <w:rPr>
                <w:rFonts w:hint="eastAsia"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rPr>
              <w:t xml:space="preserve">安全生产文明施工保证体系健全</w:t>
            </w:r>
            <w:r>
              <w:rPr>
                <w:rFonts w:hint="eastAsia" w:ascii="Times New Roman" w:hAnsi="Times New Roman" w:eastAsia="宋体" w:cs="Times New Roman"/>
                <w:b/>
                <w:bCs/>
                <w:highlight w:val="none"/>
                <w:lang w:val="en-US" w:eastAsia="zh-CN"/>
              </w:rPr>
              <w:t xml:space="preserve">性</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安全生产隐患分析全面及保障措施落实合理</w:t>
            </w:r>
            <w:r>
              <w:rPr>
                <w:rFonts w:hint="eastAsia" w:ascii="Times New Roman" w:hAnsi="Times New Roman" w:eastAsia="宋体" w:cs="Times New Roman"/>
                <w:b/>
                <w:bCs/>
                <w:highlight w:val="none"/>
                <w:lang w:val="en-US" w:eastAsia="zh-CN"/>
              </w:rPr>
              <w:t xml:space="preserve">性等内容进行评价。</w:t>
            </w:r>
            <w:r>
              <w:rPr>
                <w:rFonts w:hint="eastAsia" w:ascii="Times New Roman" w:hAnsi="Times New Roman" w:eastAsia="宋体" w:cs="Times New Roman"/>
                <w:b/>
                <w:bCs/>
                <w:highlight w:val="none"/>
                <w:lang w:val="en-US" w:eastAsia="zh-CN"/>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1）安全生产体系健全、安全隐患分析全面、措施落实非常到位的，得10分；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2）安全生产体系</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健全、安全隐患分析</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全面、措施落实</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到位的，得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）安全生产体系</w:t>
            </w:r>
            <w:r>
              <w:rPr>
                <w:rFonts w:hint="eastAsia" w:ascii="Times New Roman" w:hAnsi="Times New Roman" w:eastAsia="宋体" w:cs="Times New Roman"/>
                <w:highlight w:val="none"/>
                <w:lang w:val="en-US" w:eastAsia="zh-CN"/>
              </w:rPr>
              <w:t xml:space="preserve">描述简单</w:t>
            </w:r>
            <w:r>
              <w:rPr>
                <w:rFonts w:hint="eastAsia" w:ascii="Times New Roman" w:hAnsi="Times New Roman" w:eastAsia="宋体" w:cs="Times New Roman"/>
                <w:highlight w:val="none"/>
              </w:rPr>
              <w:t xml:space="preserve">、安全隐患分析</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、措施落实较</w:t>
            </w:r>
            <w:r>
              <w:rPr>
                <w:rFonts w:hint="eastAsia" w:ascii="Times New Roman" w:hAnsi="Times New Roman" w:eastAsia="宋体" w:cs="Times New Roman"/>
                <w:highlight w:val="none"/>
                <w:lang w:val="en-US" w:eastAsia="zh-CN"/>
              </w:rPr>
              <w:t xml:space="preserve">不</w:t>
            </w:r>
            <w:r>
              <w:rPr>
                <w:rFonts w:hint="eastAsia" w:ascii="Times New Roman" w:hAnsi="Times New Roman" w:eastAsia="宋体" w:cs="Times New Roman"/>
                <w:highlight w:val="none"/>
              </w:rPr>
              <w:t xml:space="preserve">到位的，得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）安全生产体系</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、安全隐患分析</w:t>
            </w:r>
            <w:r>
              <w:rPr>
                <w:rFonts w:hint="eastAsia" w:ascii="Times New Roman" w:hAnsi="Times New Roman" w:eastAsia="宋体" w:cs="Times New Roman"/>
                <w:highlight w:val="none"/>
                <w:lang w:val="en-US" w:eastAsia="zh-CN"/>
              </w:rPr>
              <w:t xml:space="preserve">缺乏</w:t>
            </w:r>
            <w:r>
              <w:rPr>
                <w:rFonts w:hint="eastAsia" w:ascii="Times New Roman" w:hAnsi="Times New Roman" w:eastAsia="宋体" w:cs="Times New Roman"/>
                <w:highlight w:val="none"/>
              </w:rPr>
              <w:t xml:space="preserve">、措施落实</w:t>
            </w:r>
            <w:r>
              <w:rPr>
                <w:rFonts w:hint="eastAsia" w:ascii="Times New Roman" w:hAnsi="Times New Roman" w:eastAsia="宋体" w:cs="Times New Roman"/>
                <w:highlight w:val="none"/>
                <w:lang w:val="en-US" w:eastAsia="zh-CN"/>
              </w:rPr>
              <w:t xml:space="preserve">情况一般</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p>
            <w:pPr>
              <w:pStyle w:val="1263"/>
              <w:ind w:firstLine="420"/>
              <w:jc w:val="left"/>
              <w:spacing w:line="400" w:lineRule="exact"/>
              <w:tabs>
                <w:tab w:val="left" w:pos="377" w:leader="none"/>
              </w:tabs>
              <w:rPr>
                <w:rFonts w:ascii="宋体" w:hAnsi="宋体" w:eastAsia="宋体" w:cs="宋体"/>
                <w:sz w:val="21"/>
                <w:szCs w:val="21"/>
                <w:lang w:val="en-US" w:eastAsia="zh-CN"/>
              </w:rPr>
            </w:pP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不提供不得分。</w:t>
            </w:r>
            <w:r>
              <w:rPr>
                <w:rFonts w:ascii="宋体" w:hAnsi="宋体" w:eastAsia="宋体" w:cs="宋体"/>
                <w:sz w:val="21"/>
                <w:szCs w:val="21"/>
                <w:lang w:val="en-US" w:eastAsia="zh-CN"/>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567"/>
        </w:trPr>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2.7</w:t>
            </w:r>
            <w:r>
              <w:rPr>
                <w:rFonts w:ascii="宋体" w:hAnsi="宋体" w:cs="宋体"/>
                <w:sz w:val="21"/>
                <w:szCs w:val="21"/>
                <w:lang w:val="en-US" w:eastAsia="zh-CN"/>
              </w:rPr>
            </w:r>
            <w:r/>
          </w:p>
        </w:tc>
        <w:tc>
          <w:tcPr>
            <w:tcW w:w="1134" w:type="dxa"/>
            <w:vAlign w:val="center"/>
            <w:textDirection w:val="lrTb"/>
            <w:noWrap w:val="false"/>
          </w:tcPr>
          <w:p>
            <w:pPr>
              <w:pStyle w:val="126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环境保护</w:t>
            </w:r>
            <w:r>
              <w:rPr>
                <w:rFonts w:ascii="宋体" w:hAnsi="宋体" w:eastAsia="宋体" w:cs="宋体"/>
                <w:sz w:val="21"/>
                <w:szCs w:val="21"/>
                <w:lang w:val="en-US" w:eastAsia="zh-CN"/>
              </w:rPr>
            </w:r>
            <w:r/>
          </w:p>
        </w:tc>
        <w:tc>
          <w:tcPr>
            <w:tcW w:w="851" w:type="dxa"/>
            <w:vAlign w:val="center"/>
            <w:textDirection w:val="lrTb"/>
            <w:noWrap w:val="false"/>
          </w:tcPr>
          <w:p>
            <w:pPr>
              <w:pStyle w:val="1263"/>
              <w:jc w:val="center"/>
              <w:spacing w:line="400" w:lineRule="exact"/>
              <w:rPr>
                <w:rFonts w:ascii="宋体" w:hAnsi="宋体" w:cs="宋体"/>
                <w:sz w:val="21"/>
                <w:szCs w:val="21"/>
                <w:lang w:val="en-US" w:eastAsia="zh-CN"/>
              </w:rPr>
            </w:pPr>
            <w:r>
              <w:rPr>
                <w:rFonts w:hint="eastAsia" w:ascii="宋体" w:hAnsi="宋体" w:cs="宋体"/>
                <w:szCs w:val="21"/>
                <w:lang w:val="en-US" w:eastAsia="zh-CN"/>
              </w:rPr>
              <w:t xml:space="preserve">10</w:t>
            </w:r>
            <w:r>
              <w:rPr>
                <w:rFonts w:ascii="宋体" w:hAnsi="宋体" w:cs="宋体"/>
                <w:sz w:val="21"/>
                <w:szCs w:val="21"/>
                <w:lang w:val="en-US" w:eastAsia="zh-CN"/>
              </w:rPr>
            </w:r>
            <w:r/>
          </w:p>
        </w:tc>
        <w:tc>
          <w:tcPr>
            <w:tcW w:w="5822" w:type="dxa"/>
            <w:vAlign w:val="center"/>
            <w:textDirection w:val="lrTb"/>
            <w:noWrap w:val="false"/>
          </w:tcPr>
          <w:p>
            <w:pPr>
              <w:pStyle w:val="126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施工期环境保护（包括扬尘管控）措施的落实合理可行。</w:t>
            </w:r>
            <w:r>
              <w:rPr>
                <w:rFonts w:hint="eastAsia" w:ascii="Times New Roman" w:hAnsi="Times New Roman" w:eastAsia="宋体" w:cs="Times New Roman"/>
                <w:b/>
                <w:bCs/>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w:t>
            </w:r>
            <w:r>
              <w:rPr>
                <w:rFonts w:hint="eastAsia" w:ascii="Times New Roman" w:hAnsi="Times New Roman" w:eastAsia="宋体" w:cs="Times New Roman"/>
                <w:highlight w:val="none"/>
                <w:lang w:val="en-US" w:eastAsia="zh-CN"/>
              </w:rPr>
              <w:t xml:space="preserve">措施</w:t>
            </w:r>
            <w:r>
              <w:rPr>
                <w:rFonts w:hint="eastAsia" w:ascii="Times New Roman" w:hAnsi="Times New Roman" w:eastAsia="宋体" w:cs="Times New Roman"/>
                <w:highlight w:val="none"/>
              </w:rPr>
              <w:t xml:space="preserve">描述详尽、全面、可行</w:t>
            </w:r>
            <w:r>
              <w:rPr>
                <w:rFonts w:hint="eastAsia" w:ascii="Times New Roman" w:hAnsi="Times New Roman" w:eastAsia="宋体" w:cs="Times New Roman"/>
                <w:highlight w:val="none"/>
                <w:lang w:val="en-US" w:eastAsia="zh-CN"/>
              </w:rPr>
              <w:t xml:space="preserve">性高</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2）措施</w:t>
            </w:r>
            <w:r>
              <w:rPr>
                <w:rFonts w:hint="eastAsia" w:ascii="Times New Roman" w:hAnsi="Times New Roman" w:eastAsia="宋体" w:cs="Times New Roman"/>
                <w:highlight w:val="none"/>
              </w:rPr>
              <w:t xml:space="preserve">描述</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详尽、全面、可行</w:t>
            </w:r>
            <w:r>
              <w:rPr>
                <w:rFonts w:hint="eastAsia" w:ascii="Times New Roman" w:hAnsi="Times New Roman" w:eastAsia="宋体" w:cs="Times New Roman"/>
                <w:highlight w:val="none"/>
                <w:lang w:val="en-US" w:eastAsia="zh-CN"/>
              </w:rPr>
              <w:t xml:space="preserve">性高</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措施</w:t>
            </w:r>
            <w:r>
              <w:rPr>
                <w:rFonts w:hint="eastAsia" w:ascii="Times New Roman" w:hAnsi="Times New Roman" w:eastAsia="宋体" w:cs="Times New Roman"/>
                <w:highlight w:val="none"/>
              </w:rPr>
              <w:t xml:space="preserve">描述</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措施</w:t>
            </w:r>
            <w:r>
              <w:rPr>
                <w:rFonts w:hint="eastAsia" w:ascii="Times New Roman" w:hAnsi="Times New Roman" w:eastAsia="宋体" w:cs="Times New Roman"/>
                <w:highlight w:val="none"/>
              </w:rPr>
              <w:t xml:space="preserve">可行</w:t>
            </w:r>
            <w:r>
              <w:rPr>
                <w:rFonts w:hint="eastAsia" w:ascii="Times New Roman" w:hAnsi="Times New Roman" w:eastAsia="宋体" w:cs="Times New Roman"/>
                <w:highlight w:val="none"/>
                <w:lang w:val="en-US" w:eastAsia="zh-CN"/>
              </w:rPr>
              <w:t xml:space="preserve">性较低</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6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4）措施</w:t>
            </w:r>
            <w:r>
              <w:rPr>
                <w:rFonts w:hint="eastAsia" w:ascii="Times New Roman" w:hAnsi="Times New Roman" w:eastAsia="宋体" w:cs="Times New Roman"/>
                <w:highlight w:val="none"/>
              </w:rPr>
              <w:t xml:space="preserve">描述</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措施基本无可行性</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val="en-US" w:eastAsia="zh-CN"/>
              </w:rPr>
            </w:r>
            <w:r/>
          </w:p>
          <w:p>
            <w:pPr>
              <w:pStyle w:val="1263"/>
              <w:ind w:firstLine="420"/>
              <w:jc w:val="left"/>
              <w:spacing w:line="400" w:lineRule="exact"/>
              <w:tabs>
                <w:tab w:val="left" w:pos="377" w:leader="none"/>
              </w:tabs>
              <w:rPr>
                <w:rFonts w:ascii="宋体" w:hAnsi="宋体" w:eastAsia="宋体"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ascii="宋体" w:hAnsi="宋体" w:eastAsia="宋体" w:cs="宋体"/>
                <w:sz w:val="21"/>
                <w:szCs w:val="21"/>
                <w:lang w:val="en-US" w:eastAsia="zh-CN"/>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613"/>
        </w:trPr>
        <w:tc>
          <w:tcPr>
            <w:gridSpan w:val="4"/>
            <w:tcW w:w="8658" w:type="dxa"/>
            <w:vAlign w:val="center"/>
            <w:textDirection w:val="lrTb"/>
            <w:noWrap w:val="false"/>
          </w:tcPr>
          <w:p>
            <w:pPr>
              <w:pStyle w:val="1263"/>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宋体" w:hAnsi="宋体" w:eastAsia="宋体" w:cs="宋体"/>
                <w:b/>
                <w:szCs w:val="21"/>
                <w:lang w:val="en-US" w:eastAsia="zh-CN"/>
              </w:rPr>
              <w:t xml:space="preserve">三</w:t>
            </w: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商务部分</w:t>
            </w: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20</w:t>
            </w:r>
            <w:r>
              <w:rPr>
                <w:rFonts w:hint="eastAsia" w:ascii="宋体" w:hAnsi="宋体" w:eastAsia="宋体" w:cs="宋体"/>
                <w:b/>
                <w:szCs w:val="21"/>
              </w:rPr>
              <w:t xml:space="preserve">）</w:t>
            </w:r>
            <w:r>
              <w:rPr>
                <w:rFonts w:hint="eastAsia" w:ascii="Times New Roman" w:hAnsi="Times New Roman" w:eastAsia="宋体" w:cs="Times New Roman"/>
                <w:highlight w:val="none"/>
                <w:lang w:val="en-US" w:eastAsia="zh-CN"/>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23"/>
        </w:trPr>
        <w:tc>
          <w:tcPr>
            <w:tcW w:w="851" w:type="dxa"/>
            <w:vAlign w:val="center"/>
            <w:textDirection w:val="lrTb"/>
            <w:noWrap w:val="false"/>
          </w:tcPr>
          <w:p>
            <w:pPr>
              <w:pStyle w:val="1263"/>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3.1</w:t>
            </w:r>
            <w:r>
              <w:rPr>
                <w:rFonts w:hint="eastAsia" w:ascii="宋体" w:hAnsi="宋体" w:eastAsia="宋体" w:cs="宋体"/>
                <w:sz w:val="21"/>
                <w:szCs w:val="21"/>
                <w:lang w:val="en-US" w:eastAsia="zh-CN" w:bidi="ar-SA"/>
              </w:rPr>
            </w:r>
            <w:r/>
          </w:p>
        </w:tc>
        <w:tc>
          <w:tcPr>
            <w:tcW w:w="1134" w:type="dxa"/>
            <w:vAlign w:val="center"/>
            <w:textDirection w:val="lrTb"/>
            <w:noWrap w:val="false"/>
          </w:tcPr>
          <w:p>
            <w:pPr>
              <w:pStyle w:val="1263"/>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类似业绩</w:t>
            </w:r>
            <w:r>
              <w:rPr>
                <w:rFonts w:hint="eastAsia" w:ascii="宋体" w:hAnsi="宋体" w:eastAsia="宋体" w:cs="宋体"/>
                <w:sz w:val="21"/>
                <w:szCs w:val="21"/>
                <w:lang w:val="en-US" w:eastAsia="zh-CN" w:bidi="ar-SA"/>
              </w:rPr>
            </w:r>
            <w:r/>
          </w:p>
        </w:tc>
        <w:tc>
          <w:tcPr>
            <w:tcW w:w="851" w:type="dxa"/>
            <w:vAlign w:val="center"/>
            <w:textDirection w:val="lrTb"/>
            <w:noWrap w:val="false"/>
          </w:tcPr>
          <w:p>
            <w:pPr>
              <w:pStyle w:val="1263"/>
              <w:jc w:val="center"/>
              <w:spacing w:line="400" w:lineRule="exact"/>
              <w:rPr>
                <w:rFonts w:ascii="宋体" w:hAnsi="宋体" w:cs="宋体"/>
                <w:sz w:val="21"/>
                <w:szCs w:val="21"/>
                <w:lang w:val="en-US" w:eastAsia="zh-CN" w:bidi="ar-SA"/>
              </w:rPr>
            </w:pPr>
            <w:r>
              <w:rPr>
                <w:rFonts w:hint="eastAsia" w:ascii="宋体" w:hAnsi="宋体" w:cs="宋体"/>
                <w:sz w:val="21"/>
                <w:szCs w:val="21"/>
                <w:lang w:val="en-US" w:eastAsia="zh-CN" w:bidi="ar-SA"/>
              </w:rPr>
              <w:t xml:space="preserve">9</w:t>
            </w:r>
            <w:r>
              <w:rPr>
                <w:rFonts w:ascii="宋体" w:hAnsi="宋体" w:cs="宋体"/>
                <w:sz w:val="21"/>
                <w:szCs w:val="21"/>
                <w:lang w:val="en-US" w:eastAsia="zh-CN" w:bidi="ar-SA"/>
              </w:rPr>
            </w:r>
            <w:r/>
          </w:p>
        </w:tc>
        <w:tc>
          <w:tcPr>
            <w:tcW w:w="5822" w:type="dxa"/>
            <w:vAlign w:val="center"/>
            <w:textDirection w:val="lrTb"/>
            <w:noWrap w:val="false"/>
          </w:tcPr>
          <w:p>
            <w:pPr>
              <w:pStyle w:val="1263"/>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投标人</w:t>
            </w:r>
            <w:r>
              <w:rPr>
                <w:rFonts w:hint="eastAsia" w:ascii="宋体" w:hAnsi="宋体" w:eastAsia="宋体" w:cs="宋体"/>
                <w:szCs w:val="21"/>
                <w:lang w:val="en-US" w:eastAsia="zh-CN"/>
              </w:rPr>
              <w:t xml:space="preserve">自2023年1月1日以来</w:t>
            </w:r>
            <w:r>
              <w:rPr>
                <w:rFonts w:hint="eastAsia" w:ascii="宋体" w:hAnsi="宋体" w:eastAsia="宋体" w:cs="宋体"/>
                <w:szCs w:val="21"/>
              </w:rPr>
              <w:t xml:space="preserve">承担过</w:t>
            </w:r>
            <w:r>
              <w:rPr>
                <w:rFonts w:hint="eastAsia" w:ascii="宋体" w:hAnsi="宋体" w:eastAsia="宋体" w:cs="宋体"/>
                <w:szCs w:val="21"/>
                <w:lang w:val="en-US" w:eastAsia="zh-CN"/>
              </w:rPr>
              <w:t xml:space="preserve">类似工程</w:t>
            </w:r>
            <w:r>
              <w:rPr>
                <w:rFonts w:hint="eastAsia" w:ascii="宋体" w:hAnsi="宋体" w:eastAsia="宋体" w:cs="宋体"/>
                <w:szCs w:val="21"/>
              </w:rPr>
              <w:t xml:space="preserve">业绩的，有1个得</w:t>
            </w:r>
            <w:r>
              <w:rPr>
                <w:rFonts w:hint="eastAsia" w:ascii="宋体" w:hAnsi="宋体" w:cs="宋体"/>
                <w:szCs w:val="21"/>
                <w:lang w:val="en-US" w:eastAsia="zh-CN"/>
              </w:rPr>
              <w:t xml:space="preserve">3</w:t>
            </w:r>
            <w:r>
              <w:rPr>
                <w:rFonts w:hint="eastAsia" w:ascii="宋体" w:hAnsi="宋体" w:eastAsia="宋体" w:cs="宋体"/>
                <w:szCs w:val="21"/>
              </w:rPr>
              <w:t xml:space="preserve">分，本项最高</w:t>
            </w:r>
            <w:r>
              <w:rPr>
                <w:rFonts w:hint="eastAsia" w:ascii="宋体" w:hAnsi="宋体" w:cs="宋体"/>
                <w:szCs w:val="21"/>
                <w:lang w:val="en-US" w:eastAsia="zh-CN"/>
              </w:rPr>
              <w:t xml:space="preserve">9</w:t>
            </w:r>
            <w:r>
              <w:rPr>
                <w:rFonts w:hint="eastAsia" w:ascii="宋体" w:hAnsi="宋体" w:eastAsia="宋体" w:cs="宋体"/>
                <w:szCs w:val="21"/>
              </w:rPr>
              <w:t xml:space="preserve">分。</w:t>
            </w:r>
            <w:r>
              <w:rPr>
                <w:rFonts w:hint="eastAsia" w:ascii="宋体" w:hAnsi="宋体" w:eastAsia="宋体" w:cs="宋体"/>
                <w:szCs w:val="21"/>
              </w:rPr>
            </w:r>
            <w:r/>
          </w:p>
          <w:p>
            <w:pPr>
              <w:pStyle w:val="1346"/>
              <w:ind w:firstLine="422"/>
              <w:jc w:val="left"/>
              <w:rPr>
                <w:rFonts w:ascii="宋体" w:hAnsi="宋体" w:eastAsia="宋体" w:cs="宋体"/>
                <w:sz w:val="21"/>
                <w:szCs w:val="21"/>
                <w:lang w:val="en-US" w:eastAsia="zh-CN" w:bidi="ar-SA"/>
              </w:rPr>
            </w:pPr>
            <w:r>
              <w:rPr>
                <w:rFonts w:hint="eastAsia" w:hAnsi="宋体"/>
                <w:b/>
                <w:sz w:val="21"/>
                <w:szCs w:val="21"/>
              </w:rPr>
              <w:t xml:space="preserve">注：需提供</w:t>
            </w:r>
            <w:r>
              <w:rPr>
                <w:rFonts w:hint="eastAsia" w:hAnsi="宋体"/>
                <w:b/>
                <w:sz w:val="21"/>
                <w:szCs w:val="21"/>
                <w:lang w:val="en-US" w:eastAsia="zh-CN"/>
              </w:rPr>
              <w:t xml:space="preserve">中标通知书、</w:t>
            </w:r>
            <w:r>
              <w:rPr>
                <w:rFonts w:hint="eastAsia" w:hAnsi="宋体"/>
                <w:b/>
                <w:sz w:val="21"/>
                <w:szCs w:val="21"/>
              </w:rPr>
              <w:t xml:space="preserve">合同协议书</w:t>
            </w:r>
            <w:r>
              <w:rPr>
                <w:rFonts w:hint="eastAsia" w:hAnsi="宋体"/>
                <w:b/>
                <w:sz w:val="21"/>
                <w:szCs w:val="21"/>
                <w:lang w:val="en-US" w:eastAsia="zh-CN"/>
              </w:rPr>
              <w:t xml:space="preserve">及竣工验收证明文件扫描件加盖电子公章</w:t>
            </w:r>
            <w:r>
              <w:rPr>
                <w:rFonts w:hint="eastAsia" w:hAnsi="宋体"/>
                <w:b/>
                <w:sz w:val="21"/>
                <w:szCs w:val="21"/>
                <w:lang w:eastAsia="zh-CN"/>
              </w:rPr>
              <w:t xml:space="preserve">，</w:t>
            </w:r>
            <w:r>
              <w:rPr>
                <w:rFonts w:hint="eastAsia" w:hAnsi="宋体"/>
                <w:b/>
                <w:sz w:val="21"/>
                <w:szCs w:val="21"/>
              </w:rPr>
              <w:t xml:space="preserve">时间以</w:t>
            </w:r>
            <w:r>
              <w:rPr>
                <w:rFonts w:hint="eastAsia" w:hAnsi="宋体"/>
                <w:b/>
                <w:sz w:val="21"/>
                <w:szCs w:val="21"/>
                <w:lang w:val="en-US" w:eastAsia="zh-CN"/>
              </w:rPr>
              <w:t xml:space="preserve">竣工验收证明文件</w:t>
            </w:r>
            <w:r>
              <w:rPr>
                <w:rFonts w:hint="eastAsia" w:hAnsi="宋体"/>
                <w:b/>
                <w:sz w:val="21"/>
                <w:szCs w:val="21"/>
              </w:rPr>
              <w:t xml:space="preserve">所载时间为准。</w:t>
            </w:r>
            <w:r>
              <w:rPr>
                <w:rFonts w:hint="eastAsia" w:hAnsi="宋体"/>
                <w:b/>
                <w:sz w:val="21"/>
                <w:szCs w:val="21"/>
                <w:lang w:val="en-US" w:eastAsia="zh-CN"/>
              </w:rPr>
              <w:t xml:space="preserve">未提供或提供不全的不得分。</w:t>
            </w:r>
            <w:r>
              <w:rPr>
                <w:rFonts w:ascii="宋体" w:hAnsi="宋体" w:eastAsia="宋体" w:cs="宋体"/>
                <w:sz w:val="21"/>
                <w:szCs w:val="21"/>
                <w:lang w:val="en-US" w:eastAsia="zh-CN" w:bidi="ar-SA"/>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23"/>
        </w:trPr>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rPr>
              <w:t xml:space="preserve">3.2</w:t>
            </w:r>
            <w:r>
              <w:rPr>
                <w:rFonts w:hint="eastAsia" w:ascii="宋体" w:hAnsi="宋体" w:eastAsia="宋体" w:cs="宋体"/>
                <w:sz w:val="21"/>
                <w:szCs w:val="21"/>
                <w:lang w:val="en-US" w:eastAsia="zh-CN" w:bidi="ar-SA"/>
              </w:rPr>
            </w:r>
            <w:r/>
          </w:p>
        </w:tc>
        <w:tc>
          <w:tcPr>
            <w:tcW w:w="1134" w:type="dxa"/>
            <w:vAlign w:val="center"/>
            <w:textDirection w:val="lrTb"/>
            <w:noWrap w:val="false"/>
          </w:tcPr>
          <w:p>
            <w:pPr>
              <w:pStyle w:val="1263"/>
              <w:jc w:val="center"/>
              <w:spacing w:line="400" w:lineRule="exact"/>
              <w:rPr>
                <w:rFonts w:hint="eastAsia" w:ascii="宋体" w:hAnsi="宋体" w:cs="宋体"/>
                <w:sz w:val="21"/>
                <w:szCs w:val="21"/>
                <w:lang w:val="en-US" w:eastAsia="zh-CN" w:bidi="ar-SA"/>
              </w:rPr>
            </w:pPr>
            <w:r>
              <w:rPr>
                <w:rFonts w:hint="eastAsia" w:ascii="宋体" w:hAnsi="宋体" w:eastAsia="宋体" w:cs="宋体"/>
                <w:szCs w:val="21"/>
              </w:rPr>
              <w:t xml:space="preserve">项目组成员</w:t>
            </w:r>
            <w:r>
              <w:rPr>
                <w:rFonts w:hint="eastAsia" w:ascii="宋体" w:hAnsi="宋体" w:cs="宋体"/>
                <w:sz w:val="21"/>
                <w:szCs w:val="21"/>
                <w:lang w:val="en-US" w:eastAsia="zh-CN" w:bidi="ar-SA"/>
              </w:rPr>
            </w:r>
            <w:r/>
          </w:p>
        </w:tc>
        <w:tc>
          <w:tcPr>
            <w:tcW w:w="851" w:type="dxa"/>
            <w:vAlign w:val="center"/>
            <w:textDirection w:val="lrTb"/>
            <w:noWrap w:val="false"/>
          </w:tcPr>
          <w:p>
            <w:pPr>
              <w:pStyle w:val="1263"/>
              <w:jc w:val="center"/>
              <w:spacing w:line="400" w:lineRule="exact"/>
              <w:rPr>
                <w:rFonts w:ascii="宋体" w:hAnsi="宋体" w:cs="宋体"/>
                <w:sz w:val="21"/>
                <w:szCs w:val="21"/>
                <w:lang w:val="en-US" w:eastAsia="zh-CN" w:bidi="ar-SA"/>
              </w:rPr>
            </w:pPr>
            <w:r>
              <w:rPr>
                <w:rFonts w:hint="eastAsia" w:ascii="宋体" w:hAnsi="宋体" w:cs="宋体"/>
                <w:szCs w:val="21"/>
                <w:lang w:val="en-US" w:eastAsia="zh-CN"/>
              </w:rPr>
              <w:t xml:space="preserve">9</w:t>
            </w:r>
            <w:r>
              <w:rPr>
                <w:rFonts w:ascii="宋体" w:hAnsi="宋体" w:cs="宋体"/>
                <w:sz w:val="21"/>
                <w:szCs w:val="21"/>
                <w:lang w:val="en-US" w:eastAsia="zh-CN" w:bidi="ar-SA"/>
              </w:rPr>
            </w:r>
            <w:r/>
          </w:p>
        </w:tc>
        <w:tc>
          <w:tcPr>
            <w:tcW w:w="5822" w:type="dxa"/>
            <w:vAlign w:val="center"/>
            <w:textDirection w:val="lrTb"/>
            <w:noWrap w:val="false"/>
          </w:tcPr>
          <w:p>
            <w:pPr>
              <w:pStyle w:val="1294"/>
              <w:numPr>
                <w:ilvl w:val="0"/>
                <w:numId w:val="0"/>
              </w:numPr>
              <w:ind w:firstLine="420"/>
              <w:tabs>
                <w:tab w:val="left" w:pos="567" w:leader="none"/>
              </w:tabs>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（1）项目负责人具有工程师及以上职称的得2分；</w:t>
            </w:r>
            <w:r>
              <w:rPr>
                <w:rFonts w:ascii="宋体" w:hAnsi="宋体" w:eastAsia="宋体" w:cs="宋体"/>
                <w:sz w:val="21"/>
                <w:szCs w:val="21"/>
                <w:lang w:val="en-US" w:eastAsia="zh-CN" w:bidi="ar-SA"/>
              </w:rPr>
            </w:r>
            <w:r/>
          </w:p>
          <w:p>
            <w:pPr>
              <w:pStyle w:val="1294"/>
              <w:numPr>
                <w:ilvl w:val="0"/>
                <w:numId w:val="0"/>
              </w:numPr>
              <w:ind w:firstLine="420"/>
              <w:tabs>
                <w:tab w:val="left" w:pos="56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（2）除项目负责人外，拟派人员具有高级工程师职称的每有一个得2分，中级工程师职称的，每有1个得1分，最高得4分；</w:t>
            </w:r>
            <w:r>
              <w:rPr>
                <w:rFonts w:hint="eastAsia" w:ascii="宋体" w:hAnsi="宋体" w:eastAsia="宋体" w:cs="宋体"/>
                <w:sz w:val="21"/>
                <w:szCs w:val="21"/>
                <w:lang w:val="en-US" w:eastAsia="zh-CN" w:bidi="ar-SA"/>
              </w:rPr>
            </w:r>
            <w:r/>
          </w:p>
          <w:p>
            <w:pPr>
              <w:pStyle w:val="1294"/>
              <w:numPr>
                <w:ilvl w:val="0"/>
                <w:numId w:val="0"/>
              </w:numPr>
              <w:ind w:firstLine="420"/>
              <w:tabs>
                <w:tab w:val="left" w:pos="567" w:leader="none"/>
              </w:tabs>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除项目负责人外，拟派人员具有市政公用工程二级及以上建造师证书的，每有1个得1.5分，最高得3分。</w:t>
            </w:r>
            <w:r>
              <w:rPr>
                <w:rFonts w:hint="eastAsia" w:ascii="宋体" w:hAnsi="宋体" w:eastAsia="宋体" w:cs="宋体"/>
                <w:sz w:val="21"/>
                <w:szCs w:val="21"/>
                <w:lang w:val="en-US" w:eastAsia="zh-CN" w:bidi="ar-SA"/>
              </w:rPr>
            </w:r>
            <w:r/>
          </w:p>
          <w:p>
            <w:pPr>
              <w:pStyle w:val="1294"/>
              <w:numPr>
                <w:ilvl w:val="0"/>
                <w:numId w:val="0"/>
              </w:numPr>
              <w:ind w:firstLine="422"/>
              <w:tabs>
                <w:tab w:val="left" w:pos="567" w:leader="none"/>
              </w:tabs>
              <w:rPr>
                <w:rFonts w:ascii="宋体" w:hAnsi="宋体" w:eastAsia="宋体" w:cs="宋体"/>
                <w:b/>
                <w:bCs/>
                <w:sz w:val="21"/>
                <w:szCs w:val="21"/>
                <w:highlight w:val="none"/>
                <w:lang w:val="en-US" w:eastAsia="zh-CN" w:bidi="ar-SA"/>
              </w:rPr>
            </w:pPr>
            <w:r>
              <w:rPr>
                <w:rFonts w:hint="eastAsia" w:ascii="宋体" w:hAnsi="宋体" w:eastAsia="宋体" w:cs="Times New Roman"/>
                <w:b/>
                <w:sz w:val="21"/>
                <w:szCs w:val="21"/>
                <w:lang w:val="en-US" w:eastAsia="zh-CN" w:bidi="ar-SA"/>
              </w:rPr>
              <w:t xml:space="preserve">注：提供以上项目组成员相关证书复印件加盖公章及供应商为以上人员缴纳的</w:t>
            </w:r>
            <w:r>
              <w:rPr>
                <w:rFonts w:hint="eastAsia" w:ascii="宋体" w:hAnsi="宋体" w:eastAsia="宋体" w:cs="Times New Roman"/>
                <w:b/>
                <w:sz w:val="21"/>
                <w:szCs w:val="21"/>
                <w:highlight w:val="none"/>
                <w:lang w:val="en-US" w:eastAsia="zh-CN" w:bidi="ar-SA"/>
              </w:rPr>
              <w:t xml:space="preserve">2026年8月至2026年10月任意1个月的</w:t>
            </w:r>
            <w:r>
              <w:rPr>
                <w:rFonts w:hint="eastAsia" w:ascii="宋体" w:hAnsi="宋体" w:eastAsia="宋体" w:cs="Times New Roman"/>
                <w:b/>
                <w:sz w:val="21"/>
                <w:szCs w:val="21"/>
                <w:lang w:val="en-US" w:eastAsia="zh-CN" w:bidi="ar-SA"/>
              </w:rPr>
              <w:t xml:space="preserve">社保证明（退休的，需提供退休证明及返聘合同</w:t>
            </w:r>
            <w:r>
              <w:rPr>
                <w:rFonts w:hint="eastAsia" w:ascii="宋体" w:hAnsi="宋体" w:eastAsia="宋体" w:cs="Times New Roman"/>
                <w:b/>
                <w:sz w:val="21"/>
                <w:szCs w:val="21"/>
                <w:lang w:val="en-US" w:eastAsia="zh-CN" w:bidi="ar-SA"/>
              </w:rPr>
              <w:t xml:space="preserve">；暂未缴纳社保的新成立的公司，则需提供人员社保缴纳承诺书，格式自拟）</w:t>
            </w:r>
            <w:r>
              <w:rPr>
                <w:rFonts w:hint="eastAsia" w:ascii="宋体" w:hAnsi="宋体" w:eastAsia="宋体" w:cs="Times New Roman"/>
                <w:b/>
                <w:sz w:val="21"/>
                <w:szCs w:val="21"/>
                <w:lang w:val="en-US" w:eastAsia="zh-CN" w:bidi="ar-SA"/>
              </w:rPr>
              <w:t xml:space="preserve">，</w:t>
            </w:r>
            <w:r>
              <w:rPr>
                <w:rFonts w:hint="eastAsia" w:eastAsia="宋体" w:cs="Times New Roman"/>
                <w:b/>
                <w:sz w:val="21"/>
                <w:szCs w:val="21"/>
                <w:lang w:val="en-US" w:eastAsia="zh-CN" w:bidi="ar-SA"/>
              </w:rPr>
              <w:t xml:space="preserve">并登记在</w:t>
            </w:r>
            <w:r>
              <w:rPr>
                <w:rFonts w:hint="eastAsia" w:ascii="宋体" w:hAnsi="宋体" w:eastAsia="宋体" w:cs="Times New Roman"/>
                <w:b/>
                <w:sz w:val="21"/>
                <w:szCs w:val="21"/>
                <w:lang w:val="en-US" w:eastAsia="zh-CN" w:bidi="ar-SA"/>
              </w:rPr>
              <w:t xml:space="preserve">《参加本项目人员一览表</w:t>
            </w:r>
            <w:r>
              <w:rPr>
                <w:rFonts w:hint="eastAsia" w:eastAsia="宋体" w:cs="Times New Roman"/>
                <w:b/>
                <w:sz w:val="21"/>
                <w:szCs w:val="21"/>
                <w:lang w:val="en-US" w:eastAsia="zh-CN" w:bidi="ar-SA"/>
              </w:rPr>
              <w:t xml:space="preserve">》中，</w:t>
            </w:r>
            <w:r>
              <w:rPr>
                <w:rFonts w:hint="eastAsia" w:ascii="宋体" w:hAnsi="宋体" w:eastAsia="宋体" w:cs="Times New Roman"/>
                <w:b/>
                <w:sz w:val="21"/>
                <w:szCs w:val="21"/>
                <w:lang w:val="en-US" w:eastAsia="zh-CN" w:bidi="ar-SA"/>
              </w:rPr>
              <w:t xml:space="preserve">不提供</w:t>
            </w:r>
            <w:r>
              <w:rPr>
                <w:rFonts w:hint="eastAsia" w:eastAsia="宋体" w:cs="Times New Roman"/>
                <w:b/>
                <w:sz w:val="21"/>
                <w:szCs w:val="21"/>
                <w:lang w:val="en-US" w:eastAsia="zh-CN" w:bidi="ar-SA"/>
              </w:rPr>
              <w:t xml:space="preserve">证明文件、社保或未在一览表中登记的</w:t>
            </w:r>
            <w:r>
              <w:rPr>
                <w:rFonts w:hint="eastAsia" w:ascii="宋体" w:hAnsi="宋体" w:eastAsia="宋体" w:cs="Times New Roman"/>
                <w:b/>
                <w:sz w:val="21"/>
                <w:szCs w:val="21"/>
                <w:lang w:val="en-US" w:eastAsia="zh-CN" w:bidi="ar-SA"/>
              </w:rPr>
              <w:t xml:space="preserve">不得分。</w:t>
            </w:r>
            <w:r>
              <w:rPr>
                <w:rFonts w:hint="eastAsia" w:eastAsia="宋体" w:cs="Times New Roman"/>
                <w:b/>
                <w:sz w:val="21"/>
                <w:szCs w:val="21"/>
                <w:lang w:val="en-US" w:eastAsia="zh-CN" w:bidi="ar-SA"/>
              </w:rPr>
              <w:t xml:space="preserve">一人多证的，只计一次，按高分计取。</w:t>
            </w:r>
            <w:r>
              <w:rPr>
                <w:rFonts w:ascii="宋体" w:hAnsi="宋体" w:eastAsia="宋体" w:cs="宋体"/>
                <w:b/>
                <w:bCs/>
                <w:sz w:val="21"/>
                <w:szCs w:val="21"/>
                <w:highlight w:val="none"/>
                <w:lang w:val="en-US" w:eastAsia="zh-CN" w:bidi="ar-SA"/>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23"/>
        </w:trPr>
        <w:tc>
          <w:tcPr>
            <w:tcW w:w="851" w:type="dxa"/>
            <w:vAlign w:val="center"/>
            <w:textDirection w:val="lrTb"/>
            <w:noWrap w:val="false"/>
          </w:tcPr>
          <w:p>
            <w:pPr>
              <w:pStyle w:val="1263"/>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3.3</w:t>
            </w:r>
            <w:r>
              <w:rPr>
                <w:rFonts w:ascii="宋体" w:hAnsi="宋体" w:cs="宋体"/>
                <w:sz w:val="21"/>
                <w:szCs w:val="21"/>
                <w:lang w:val="en-US" w:eastAsia="zh-CN"/>
              </w:rPr>
            </w:r>
            <w:r/>
          </w:p>
        </w:tc>
        <w:tc>
          <w:tcPr>
            <w:tcW w:w="1134" w:type="dxa"/>
            <w:vAlign w:val="center"/>
            <w:textDirection w:val="lrTb"/>
            <w:noWrap w:val="false"/>
          </w:tcPr>
          <w:p>
            <w:pPr>
              <w:pStyle w:val="1263"/>
              <w:jc w:val="center"/>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企业荣誉</w:t>
            </w:r>
            <w:r>
              <w:rPr>
                <w:rFonts w:hint="eastAsia" w:ascii="宋体" w:hAnsi="宋体" w:eastAsia="宋体" w:cs="宋体"/>
                <w:szCs w:val="21"/>
                <w:lang w:val="en-US" w:eastAsia="zh-CN"/>
              </w:rPr>
            </w:r>
            <w:r/>
          </w:p>
        </w:tc>
        <w:tc>
          <w:tcPr>
            <w:tcW w:w="851" w:type="dxa"/>
            <w:vAlign w:val="center"/>
            <w:textDirection w:val="lrTb"/>
            <w:noWrap w:val="false"/>
          </w:tcPr>
          <w:p>
            <w:pPr>
              <w:pStyle w:val="1263"/>
              <w:jc w:val="center"/>
              <w:spacing w:line="400" w:lineRule="exact"/>
              <w:rPr>
                <w:rFonts w:ascii="宋体" w:hAnsi="宋体" w:cs="宋体"/>
                <w:szCs w:val="21"/>
                <w:lang w:val="en-US" w:eastAsia="zh-CN"/>
              </w:rPr>
            </w:pPr>
            <w:r>
              <w:rPr>
                <w:rFonts w:hint="eastAsia" w:ascii="宋体" w:hAnsi="宋体" w:cs="宋体"/>
                <w:szCs w:val="21"/>
                <w:lang w:val="en-US" w:eastAsia="zh-CN"/>
              </w:rPr>
              <w:t xml:space="preserve">2</w:t>
            </w:r>
            <w:r>
              <w:rPr>
                <w:rFonts w:ascii="宋体" w:hAnsi="宋体" w:cs="宋体"/>
                <w:szCs w:val="21"/>
                <w:lang w:val="en-US" w:eastAsia="zh-CN"/>
              </w:rPr>
            </w:r>
            <w:r/>
          </w:p>
        </w:tc>
        <w:tc>
          <w:tcPr>
            <w:tcW w:w="5822" w:type="dxa"/>
            <w:vAlign w:val="center"/>
            <w:textDirection w:val="lrTb"/>
            <w:noWrap w:val="false"/>
          </w:tcPr>
          <w:p>
            <w:pPr>
              <w:pStyle w:val="1294"/>
              <w:numPr>
                <w:ilvl w:val="0"/>
                <w:numId w:val="0"/>
              </w:numPr>
              <w:ind w:firstLine="420"/>
              <w:tabs>
                <w:tab w:val="left" w:pos="567" w:leader="none"/>
              </w:tabs>
              <w:rPr>
                <w:rFonts w:hint="eastAsia" w:ascii="宋体" w:hAnsi="宋体" w:eastAsia="宋体" w:cs="Times New Roman"/>
                <w:b w:val="0"/>
                <w:bCs/>
                <w:sz w:val="21"/>
                <w:szCs w:val="21"/>
                <w:lang w:val="en-US" w:eastAsia="zh-CN" w:bidi="ar-SA"/>
              </w:rPr>
            </w:pPr>
            <w:r>
              <w:rPr>
                <w:rFonts w:hint="eastAsia" w:ascii="宋体" w:hAnsi="宋体" w:eastAsia="宋体" w:cs="Times New Roman"/>
                <w:b w:val="0"/>
                <w:bCs/>
                <w:sz w:val="21"/>
                <w:szCs w:val="21"/>
                <w:lang w:val="en-US" w:eastAsia="zh-CN" w:bidi="ar-SA"/>
              </w:rPr>
              <w:t xml:space="preserve">供应商自2023年1月1日以来获得过地县级及以上建设主管部门颁发的荣誉奖项的，每提供一个得2分，最高得2分。</w:t>
            </w:r>
            <w:r>
              <w:rPr>
                <w:rFonts w:hint="eastAsia" w:ascii="宋体" w:hAnsi="宋体" w:eastAsia="宋体" w:cs="Times New Roman"/>
                <w:b w:val="0"/>
                <w:bCs/>
                <w:sz w:val="21"/>
                <w:szCs w:val="21"/>
                <w:lang w:val="en-US" w:eastAsia="zh-CN" w:bidi="ar-SA"/>
              </w:rPr>
            </w:r>
            <w:r/>
          </w:p>
          <w:p>
            <w:pPr>
              <w:pStyle w:val="1294"/>
              <w:numPr>
                <w:ilvl w:val="0"/>
                <w:numId w:val="0"/>
              </w:numPr>
              <w:ind w:firstLine="422"/>
              <w:tabs>
                <w:tab w:val="left" w:pos="567" w:leader="none"/>
              </w:tabs>
              <w:rPr>
                <w:rFonts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注：须提供证书扫描件加盖电子公章，时间以发证时间为准。</w:t>
            </w:r>
            <w:r>
              <w:rPr>
                <w:rFonts w:ascii="宋体" w:hAnsi="宋体" w:eastAsia="宋体" w:cs="Times New Roman"/>
                <w:b/>
                <w:sz w:val="21"/>
                <w:szCs w:val="21"/>
                <w:lang w:val="en-US" w:eastAsia="zh-CN" w:bidi="ar-SA"/>
              </w:rPr>
            </w:r>
            <w:r/>
          </w:p>
        </w:tc>
        <w:tc>
          <w:tcPr>
            <w:tcW w:w="942" w:type="dxa"/>
            <w:vAlign w:val="center"/>
            <w:textDirection w:val="lrTb"/>
            <w:noWrap w:val="false"/>
          </w:tcPr>
          <w:p>
            <w:pPr>
              <w:pStyle w:val="1263"/>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bl>
    <w:p>
      <w:pPr>
        <w:pStyle w:val="1263"/>
        <w:jc w:val="center"/>
        <w:spacing w:line="360" w:lineRule="auto"/>
        <w:rPr>
          <w:b/>
          <w:sz w:val="36"/>
          <w:szCs w:val="36"/>
        </w:rPr>
        <w:outlineLvl w:val="0"/>
      </w:pPr>
      <w:r>
        <w:rPr>
          <w:b/>
          <w:sz w:val="36"/>
          <w:szCs w:val="36"/>
        </w:rPr>
        <w:br w:type="page" w:clear="all"/>
      </w:r>
      <w:bookmarkStart w:id="536" w:name="_Toc104818928"/>
      <w:r>
        <w:rPr>
          <w:b/>
          <w:sz w:val="36"/>
          <w:szCs w:val="36"/>
        </w:rPr>
        <w:t xml:space="preserve">第四章   采购需求</w:t>
      </w:r>
      <w:bookmarkEnd w:id="536"/>
      <w:r>
        <w:rPr>
          <w:b/>
          <w:sz w:val="36"/>
          <w:szCs w:val="36"/>
        </w:rPr>
      </w:r>
      <w:r/>
    </w:p>
    <w:p>
      <w:pPr>
        <w:pStyle w:val="1362"/>
        <w:numPr>
          <w:ilvl w:val="0"/>
          <w:numId w:val="0"/>
        </w:numPr>
        <w:contextualSpacing/>
        <w:ind w:left="500" w:hanging="500"/>
        <w:spacing w:line="360" w:lineRule="auto"/>
        <w:rPr>
          <w:rFonts w:ascii="Times New Roman" w:hAnsi="Times New Roman" w:eastAsia="宋体" w:cs="Times New Roman"/>
          <w:b/>
          <w:spacing w:val="0"/>
          <w:position w:val="0"/>
          <w:sz w:val="24"/>
          <w:szCs w:val="24"/>
        </w:rPr>
      </w:pPr>
      <w:r>
        <w:rPr>
          <w:rFonts w:ascii="Times New Roman" w:hAnsi="Times New Roman" w:eastAsia="宋体" w:cs="Times New Roman"/>
          <w:b/>
          <w:spacing w:val="0"/>
          <w:position w:val="0"/>
          <w:sz w:val="24"/>
          <w:szCs w:val="24"/>
          <w:lang w:val="en-US" w:eastAsia="zh-CN" w:bidi="ar-SA"/>
        </w:rPr>
        <w:t xml:space="preserve">一、</w:t>
      </w:r>
      <w:r>
        <w:rPr>
          <w:rFonts w:ascii="Times New Roman" w:hAnsi="Times New Roman" w:eastAsia="宋体" w:cs="Times New Roman"/>
          <w:b/>
          <w:spacing w:val="0"/>
          <w:position w:val="0"/>
          <w:sz w:val="24"/>
          <w:szCs w:val="24"/>
        </w:rPr>
        <w:t xml:space="preserve">采购标的</w:t>
      </w:r>
      <w:r>
        <w:rPr>
          <w:rFonts w:ascii="Times New Roman" w:hAnsi="Times New Roman" w:eastAsia="宋体" w:cs="Times New Roman"/>
          <w:b/>
          <w:spacing w:val="0"/>
          <w:position w:val="0"/>
          <w:sz w:val="24"/>
          <w:szCs w:val="24"/>
        </w:rPr>
      </w:r>
      <w:r/>
    </w:p>
    <w:p>
      <w:pPr>
        <w:pStyle w:val="1263"/>
        <w:numPr>
          <w:ilvl w:val="0"/>
          <w:numId w:val="0"/>
        </w:numPr>
        <w:contextualSpacing/>
        <w:ind w:left="479" w:firstLine="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szCs w:val="24"/>
          <w:lang w:val="en-US" w:eastAsia="zh-CN" w:bidi="ar-SA"/>
        </w:rPr>
        <w:t xml:space="preserve">1.</w:t>
      </w:r>
      <w:r>
        <w:rPr>
          <w:rFonts w:hint="eastAsia" w:ascii="Times New Roman" w:hAnsi="Times New Roman" w:eastAsia="宋体" w:cs="Times New Roman"/>
          <w:bCs/>
          <w:spacing w:val="0"/>
          <w:position w:val="0"/>
          <w:sz w:val="24"/>
          <w:lang w:val="en-US" w:eastAsia="zh-CN"/>
        </w:rPr>
        <w:t xml:space="preserve">项目名称：联强路（永兴大道-通港大道）改造工程</w:t>
      </w:r>
      <w:r>
        <w:rPr>
          <w:rFonts w:hint="eastAsia" w:ascii="Times New Roman" w:hAnsi="Times New Roman" w:eastAsia="宋体" w:cs="Times New Roman"/>
          <w:bCs/>
          <w:spacing w:val="0"/>
          <w:position w:val="0"/>
          <w:sz w:val="24"/>
          <w:lang w:val="en-US" w:eastAsia="zh-CN"/>
        </w:rPr>
      </w:r>
      <w:r/>
    </w:p>
    <w:p>
      <w:pPr>
        <w:pStyle w:val="1263"/>
        <w:numPr>
          <w:ilvl w:val="0"/>
          <w:numId w:val="0"/>
        </w:numPr>
        <w:contextualSpacing/>
        <w:ind w:left="479" w:firstLine="0"/>
        <w:spacing w:line="360" w:lineRule="auto"/>
        <w:rPr>
          <w:rFonts w:hint="eastAsia" w:ascii="Times New Roman" w:hAnsi="Times New Roman" w:eastAsia="宋体" w:cs="Times New Roman"/>
          <w:bCs/>
          <w:spacing w:val="0"/>
          <w:position w:val="0"/>
          <w:sz w:val="24"/>
          <w:highlight w:val="none"/>
          <w:lang w:val="en-US" w:eastAsia="zh-CN"/>
        </w:rPr>
      </w:pPr>
      <w:r>
        <w:rPr>
          <w:rFonts w:hint="eastAsia" w:ascii="Times New Roman" w:hAnsi="Times New Roman" w:eastAsia="宋体" w:cs="Times New Roman"/>
          <w:bCs/>
          <w:spacing w:val="0"/>
          <w:position w:val="0"/>
          <w:sz w:val="24"/>
          <w:szCs w:val="24"/>
          <w:lang w:val="en-US" w:eastAsia="zh-CN" w:bidi="ar-SA"/>
        </w:rPr>
        <w:t xml:space="preserve">2.</w:t>
      </w:r>
      <w:r>
        <w:rPr>
          <w:rFonts w:hint="eastAsia" w:ascii="Times New Roman" w:hAnsi="Times New Roman" w:eastAsia="宋体" w:cs="Times New Roman"/>
          <w:bCs/>
          <w:spacing w:val="0"/>
          <w:position w:val="0"/>
          <w:sz w:val="24"/>
          <w:lang w:val="en-US" w:eastAsia="zh-CN"/>
        </w:rPr>
        <w:t xml:space="preserve">项目预算</w:t>
      </w:r>
      <w:r>
        <w:rPr>
          <w:rFonts w:hint="eastAsia" w:ascii="Times New Roman" w:hAnsi="Times New Roman" w:eastAsia="宋体" w:cs="Times New Roman"/>
          <w:bCs/>
          <w:spacing w:val="0"/>
          <w:position w:val="0"/>
          <w:sz w:val="24"/>
          <w:highlight w:val="none"/>
          <w:lang w:val="en-US" w:eastAsia="zh-CN"/>
        </w:rPr>
        <w:t xml:space="preserve">金额：2279915.91元</w:t>
      </w:r>
      <w:r>
        <w:rPr>
          <w:rFonts w:hint="eastAsia" w:ascii="Times New Roman" w:hAnsi="Times New Roman" w:eastAsia="宋体" w:cs="Times New Roman"/>
          <w:bCs/>
          <w:spacing w:val="0"/>
          <w:position w:val="0"/>
          <w:sz w:val="24"/>
          <w:highlight w:val="none"/>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highlight w:val="none"/>
          <w:lang w:val="en-US" w:eastAsia="zh-CN"/>
        </w:rPr>
        <w:t xml:space="preserve">3.</w:t>
      </w:r>
      <w:r>
        <w:rPr>
          <w:rFonts w:hint="eastAsia" w:ascii="Times New Roman" w:hAnsi="Times New Roman" w:eastAsia="宋体" w:cs="Times New Roman"/>
          <w:b/>
          <w:bCs/>
          <w:color w:val="000000"/>
          <w:sz w:val="24"/>
          <w:highlight w:val="none"/>
          <w:u w:val="single"/>
          <w:lang w:val="en-US" w:eastAsia="zh-CN"/>
        </w:rPr>
        <w:t xml:space="preserve">项目最高限价（控制价）：1809106.33元，其中暂估价及暂列金额（含税金）为109000元，供应商报价总价不得超过控制价总价、已标价工程量清单中所有分部分项工程响应单价不得超过分部分项工程控制价单价，否则作无效响应处理。</w:t>
      </w:r>
      <w:r>
        <w:rPr>
          <w:rFonts w:hint="eastAsia" w:ascii="Times New Roman" w:hAnsi="Times New Roman" w:eastAsia="宋体" w:cs="Times New Roman"/>
          <w:bCs/>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highlight w:val="none"/>
          <w:lang w:val="en-US" w:eastAsia="zh-CN"/>
        </w:rPr>
      </w:pPr>
      <w:r>
        <w:rPr>
          <w:rFonts w:hint="eastAsia" w:ascii="Times New Roman" w:hAnsi="Times New Roman" w:eastAsia="宋体" w:cs="Times New Roman"/>
          <w:bCs/>
          <w:spacing w:val="0"/>
          <w:position w:val="0"/>
          <w:sz w:val="24"/>
          <w:lang w:val="en-US" w:eastAsia="zh-CN"/>
        </w:rPr>
        <w:t xml:space="preserve">4.工程概况：全长约380m，宽14m，主要建设内容包括:改造沥青混凝土路面约5300平方米，出入口改造约265平方目，雨水管道改造约142m以及标志、标线等交安工程</w:t>
      </w:r>
      <w:r>
        <w:rPr>
          <w:rFonts w:hint="eastAsia" w:ascii="Times New Roman" w:hAnsi="Times New Roman" w:eastAsia="宋体" w:cs="Times New Roman"/>
          <w:bCs/>
          <w:spacing w:val="0"/>
          <w:position w:val="0"/>
          <w:sz w:val="24"/>
          <w:highlight w:val="none"/>
          <w:lang w:val="en-US" w:eastAsia="zh-CN"/>
        </w:rPr>
        <w:t xml:space="preserve">。</w:t>
      </w:r>
      <w:r>
        <w:rPr>
          <w:rFonts w:hint="eastAsia" w:ascii="Times New Roman" w:hAnsi="Times New Roman" w:eastAsia="宋体" w:cs="Times New Roman"/>
          <w:bCs/>
          <w:spacing w:val="0"/>
          <w:position w:val="0"/>
          <w:sz w:val="24"/>
          <w:highlight w:val="none"/>
          <w:lang w:val="en-US" w:eastAsia="zh-CN"/>
        </w:rPr>
      </w:r>
      <w:r/>
    </w:p>
    <w:p>
      <w:pPr>
        <w:pStyle w:val="1263"/>
        <w:contextualSpacing/>
        <w:ind w:left="479" w:firstLine="0"/>
        <w:spacing w:line="360" w:lineRule="auto"/>
        <w:rPr>
          <w:rFonts w:hint="eastAsia" w:ascii="Times New Roman" w:hAnsi="Times New Roman" w:eastAsia="宋体" w:cs="Times New Roman"/>
          <w:bCs/>
          <w:spacing w:val="0"/>
          <w:position w:val="0"/>
          <w:sz w:val="24"/>
          <w:highlight w:val="none"/>
          <w:lang w:val="en-US" w:eastAsia="zh-CN"/>
        </w:rPr>
      </w:pPr>
      <w:r>
        <w:rPr>
          <w:rFonts w:hint="eastAsia" w:ascii="Times New Roman" w:hAnsi="Times New Roman" w:eastAsia="宋体" w:cs="Times New Roman"/>
          <w:bCs/>
          <w:spacing w:val="0"/>
          <w:position w:val="0"/>
          <w:sz w:val="24"/>
          <w:highlight w:val="none"/>
          <w:lang w:val="en-US" w:eastAsia="zh-CN"/>
        </w:rPr>
        <w:t xml:space="preserve">5.合同履行期限：</w:t>
      </w:r>
      <w:r>
        <w:rPr>
          <w:rFonts w:hint="eastAsia" w:ascii="Times New Roman" w:hAnsi="Times New Roman" w:eastAsia="宋体" w:cs="Times New Roman"/>
          <w:sz w:val="24"/>
          <w:highlight w:val="none"/>
          <w:lang w:val="en-US" w:eastAsia="zh-CN"/>
        </w:rPr>
        <w:t xml:space="preserve">合同签订后60日历天</w:t>
      </w:r>
      <w:r>
        <w:rPr>
          <w:rFonts w:hint="eastAsia" w:ascii="Times New Roman" w:hAnsi="Times New Roman" w:eastAsia="宋体" w:cs="Times New Roman"/>
          <w:bCs/>
          <w:spacing w:val="0"/>
          <w:position w:val="0"/>
          <w:sz w:val="24"/>
          <w:highlight w:val="none"/>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lang w:val="en-US" w:eastAsia="zh-CN"/>
        </w:rPr>
        <w:t xml:space="preserve">6.是否接受联合体：□是  ■否</w:t>
      </w:r>
      <w:r>
        <w:rPr>
          <w:rFonts w:hint="eastAsia" w:ascii="Times New Roman" w:hAnsi="Times New Roman" w:eastAsia="宋体" w:cs="Times New Roman"/>
          <w:bCs/>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lang w:val="en-US" w:eastAsia="zh-CN"/>
        </w:rPr>
        <w:t xml:space="preserve">7.是否接受分支机构参与响应：□是  ■否（一般仅当项目涉及银行、保险、石油石化、电力、电信、邮政、会计审计等行业有特殊情况的，可以接受分支机构参与）</w:t>
      </w:r>
      <w:r>
        <w:rPr>
          <w:rFonts w:hint="eastAsia" w:ascii="Times New Roman" w:hAnsi="Times New Roman" w:eastAsia="宋体" w:cs="Times New Roman"/>
          <w:bCs/>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lang w:val="en-US" w:eastAsia="zh-CN"/>
        </w:rPr>
        <w:t xml:space="preserve">8.是否属于政府购买服务：□是  ■否</w:t>
      </w:r>
      <w:r>
        <w:rPr>
          <w:rFonts w:hint="eastAsia" w:ascii="Times New Roman" w:hAnsi="Times New Roman" w:eastAsia="宋体" w:cs="Times New Roman"/>
          <w:bCs/>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lang w:val="en-US" w:eastAsia="zh-CN"/>
        </w:rPr>
        <w:t xml:space="preserve">9.是否接受进口产品响应：□是  ■否</w:t>
      </w:r>
      <w:r>
        <w:rPr>
          <w:rFonts w:hint="eastAsia" w:ascii="Times New Roman" w:hAnsi="Times New Roman" w:eastAsia="宋体" w:cs="Times New Roman"/>
          <w:bCs/>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lang w:val="en-US" w:eastAsia="zh-CN"/>
        </w:rPr>
        <w:t xml:space="preserve">10.是否专门面向中小企业预留采购份额：■是  □否</w:t>
      </w:r>
      <w:r>
        <w:rPr>
          <w:rFonts w:hint="eastAsia" w:ascii="Times New Roman" w:hAnsi="Times New Roman" w:eastAsia="宋体" w:cs="Times New Roman"/>
          <w:bCs/>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lang w:val="en-US" w:eastAsia="zh-CN"/>
        </w:rPr>
        <w:t xml:space="preserve">11.本项目的特定资格要求：</w:t>
      </w:r>
      <w:r>
        <w:rPr>
          <w:rFonts w:hint="eastAsia" w:ascii="Times New Roman" w:hAnsi="Times New Roman" w:eastAsia="宋体" w:cs="Times New Roman"/>
          <w:bCs/>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highlight w:val="none"/>
          <w:lang w:val="en-US" w:eastAsia="zh-CN"/>
        </w:rPr>
      </w:pPr>
      <w:r>
        <w:rPr>
          <w:rFonts w:hint="eastAsia" w:ascii="Times New Roman" w:hAnsi="Times New Roman" w:eastAsia="宋体" w:cs="Times New Roman"/>
          <w:bCs/>
          <w:spacing w:val="0"/>
          <w:position w:val="0"/>
          <w:sz w:val="24"/>
          <w:highlight w:val="none"/>
          <w:lang w:val="en-US" w:eastAsia="zh-CN"/>
        </w:rPr>
        <w:t xml:space="preserve">（1）投标人具有有效期内市政公用工程施工总承包三级及以上资质证书；</w:t>
      </w:r>
      <w:r>
        <w:rPr>
          <w:rFonts w:hint="eastAsia" w:ascii="Times New Roman" w:hAnsi="Times New Roman" w:eastAsia="宋体" w:cs="Times New Roman"/>
          <w:bCs/>
          <w:spacing w:val="0"/>
          <w:position w:val="0"/>
          <w:sz w:val="24"/>
          <w:highlight w:val="none"/>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lang w:val="en-US" w:eastAsia="zh-CN"/>
        </w:rPr>
        <w:t xml:space="preserve">（2）投标人具有有效期内企业安全生产许可证证书；</w:t>
      </w:r>
      <w:r>
        <w:rPr>
          <w:rFonts w:hint="eastAsia" w:ascii="Times New Roman" w:hAnsi="Times New Roman" w:eastAsia="宋体" w:cs="Times New Roman"/>
          <w:bCs/>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lang w:val="en-US" w:eastAsia="zh-CN"/>
        </w:rPr>
        <w:t xml:space="preserve">（3）项目负责人具有市政公用工程二级（含）以上注册建造师证书、安全生产考核合格证（B 证）及为其缴纳的2026年8月至2026年10月任意1个月的社保证明（暂未缴纳社保的新成立的公司，则需提供人员社保缴纳承诺书，格式自拟）。</w:t>
      </w:r>
      <w:r>
        <w:rPr>
          <w:rFonts w:hint="eastAsia" w:ascii="Times New Roman" w:hAnsi="Times New Roman" w:eastAsia="宋体" w:cs="Times New Roman"/>
          <w:bCs/>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lang w:val="en-US" w:eastAsia="zh-CN"/>
        </w:rPr>
        <w:t xml:space="preserve">（4）拟派项目负责人无在建工程，以“无在建承诺书”为准（格式自拟）。</w:t>
      </w:r>
      <w:r>
        <w:rPr>
          <w:rFonts w:hint="eastAsia" w:ascii="Times New Roman" w:hAnsi="Times New Roman" w:eastAsia="宋体" w:cs="Times New Roman"/>
          <w:bCs/>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lang w:val="en-US" w:eastAsia="zh-CN"/>
        </w:rPr>
        <w:t xml:space="preserve">（注：一级建造师电子注册证书，执行《住房和城乡建设部办公厅关于全面实行一级建造师电子注册证书的通知》（建办市 [2021]40 号）文件。</w:t>
      </w:r>
      <w:r>
        <w:rPr>
          <w:rFonts w:hint="eastAsia" w:ascii="Times New Roman" w:hAnsi="Times New Roman" w:eastAsia="宋体" w:cs="Times New Roman"/>
          <w:bCs/>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lang w:val="en-US" w:eastAsia="zh-CN"/>
        </w:rPr>
        <w:t xml:space="preserve">使用电子证书的，需按江苏省住房和城乡建设厅〔2023〕第5号公告规定使用新版电子证照。）</w:t>
      </w:r>
      <w:r>
        <w:rPr>
          <w:rFonts w:hint="eastAsia" w:ascii="Times New Roman" w:hAnsi="Times New Roman" w:eastAsia="宋体" w:cs="Times New Roman"/>
          <w:bCs/>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bCs/>
          <w:spacing w:val="0"/>
          <w:position w:val="0"/>
          <w:sz w:val="24"/>
          <w:lang w:val="en-US" w:eastAsia="zh-CN"/>
        </w:rPr>
      </w:pPr>
      <w:r>
        <w:rPr>
          <w:rFonts w:hint="eastAsia" w:ascii="Times New Roman" w:hAnsi="Times New Roman" w:eastAsia="宋体" w:cs="Times New Roman"/>
          <w:bCs/>
          <w:spacing w:val="0"/>
          <w:position w:val="0"/>
          <w:sz w:val="24"/>
          <w:lang w:val="en-US" w:eastAsia="zh-CN"/>
        </w:rPr>
        <w:t xml:space="preserve">12.项目类别：工程类</w:t>
      </w:r>
      <w:r>
        <w:rPr>
          <w:rFonts w:hint="eastAsia" w:ascii="Times New Roman" w:hAnsi="Times New Roman" w:eastAsia="宋体" w:cs="Times New Roman"/>
          <w:bCs/>
          <w:spacing w:val="0"/>
          <w:position w:val="0"/>
          <w:sz w:val="24"/>
          <w:lang w:val="en-US" w:eastAsia="zh-CN"/>
        </w:rPr>
      </w:r>
      <w:r/>
    </w:p>
    <w:p>
      <w:pPr>
        <w:pStyle w:val="1362"/>
        <w:numPr>
          <w:ilvl w:val="0"/>
          <w:numId w:val="0"/>
        </w:numPr>
        <w:contextualSpacing/>
        <w:ind w:left="500" w:hanging="500"/>
        <w:spacing w:line="360" w:lineRule="auto"/>
        <w:rPr>
          <w:rFonts w:ascii="Times New Roman" w:hAnsi="Times New Roman" w:eastAsia="宋体" w:cs="Times New Roman"/>
          <w:b/>
          <w:spacing w:val="0"/>
          <w:position w:val="0"/>
          <w:sz w:val="24"/>
          <w:szCs w:val="24"/>
        </w:rPr>
      </w:pPr>
      <w:r>
        <w:rPr>
          <w:rFonts w:ascii="Times New Roman" w:hAnsi="Times New Roman" w:eastAsia="宋体" w:cs="Times New Roman"/>
          <w:b/>
          <w:spacing w:val="0"/>
          <w:position w:val="0"/>
          <w:sz w:val="24"/>
          <w:szCs w:val="24"/>
          <w:lang w:val="en-US" w:eastAsia="zh-CN" w:bidi="ar-SA"/>
        </w:rPr>
        <w:t xml:space="preserve">二、</w:t>
      </w:r>
      <w:r>
        <w:rPr>
          <w:rFonts w:ascii="Times New Roman" w:hAnsi="Times New Roman" w:eastAsia="宋体" w:cs="Times New Roman"/>
          <w:b/>
          <w:spacing w:val="0"/>
          <w:position w:val="0"/>
          <w:sz w:val="24"/>
          <w:szCs w:val="24"/>
        </w:rPr>
        <w:t xml:space="preserve">商务要求</w:t>
      </w:r>
      <w:r>
        <w:rPr>
          <w:rFonts w:ascii="Times New Roman" w:hAnsi="Times New Roman" w:eastAsia="宋体" w:cs="Times New Roman"/>
          <w:b/>
          <w:spacing w:val="0"/>
          <w:position w:val="0"/>
          <w:sz w:val="24"/>
          <w:szCs w:val="24"/>
        </w:rPr>
      </w:r>
      <w:r/>
    </w:p>
    <w:p>
      <w:pPr>
        <w:pStyle w:val="1263"/>
        <w:contextualSpacing/>
        <w:ind w:firstLine="480"/>
        <w:spacing w:line="360" w:lineRule="auto"/>
        <w:rPr>
          <w:rFonts w:ascii="Times New Roman" w:hAnsi="Times New Roman" w:eastAsia="宋体" w:cs="Times New Roman"/>
          <w:i/>
          <w:spacing w:val="0"/>
          <w:position w:val="0"/>
          <w:sz w:val="24"/>
          <w:lang w:val="en-US" w:eastAsia="zh-CN"/>
        </w:rPr>
      </w:pPr>
      <w:r>
        <w:rPr>
          <w:rFonts w:ascii="Times New Roman" w:hAnsi="Times New Roman" w:eastAsia="宋体" w:cs="Times New Roman"/>
          <w:spacing w:val="0"/>
          <w:position w:val="0"/>
          <w:sz w:val="24"/>
        </w:rPr>
        <w:t xml:space="preserve">1. </w:t>
      </w:r>
      <w:r>
        <w:rPr>
          <w:rFonts w:hint="eastAsia" w:ascii="Times New Roman" w:hAnsi="Times New Roman" w:eastAsia="宋体" w:cs="Times New Roman"/>
          <w:spacing w:val="0"/>
          <w:position w:val="0"/>
          <w:sz w:val="24"/>
          <w:lang w:val="en-US" w:eastAsia="zh-CN"/>
        </w:rPr>
        <w:t xml:space="preserve">实施的</w:t>
      </w:r>
      <w:r>
        <w:rPr>
          <w:rFonts w:ascii="Times New Roman" w:hAnsi="Times New Roman" w:eastAsia="宋体" w:cs="Times New Roman"/>
          <w:spacing w:val="0"/>
          <w:position w:val="0"/>
          <w:sz w:val="24"/>
        </w:rPr>
        <w:t xml:space="preserve">时间和地点</w:t>
      </w:r>
      <w:r>
        <w:rPr>
          <w:rFonts w:hint="eastAsia" w:ascii="Times New Roman" w:hAnsi="Times New Roman" w:eastAsia="宋体" w:cs="Times New Roman"/>
          <w:spacing w:val="0"/>
          <w:position w:val="0"/>
          <w:sz w:val="24"/>
          <w:lang w:eastAsia="zh-CN"/>
        </w:rPr>
        <w:t xml:space="preserve">：</w:t>
      </w:r>
      <w:r>
        <w:rPr>
          <w:rFonts w:hint="eastAsia" w:ascii="Times New Roman" w:hAnsi="Times New Roman" w:eastAsia="宋体" w:cs="Times New Roman"/>
          <w:sz w:val="24"/>
          <w:highlight w:val="none"/>
          <w:lang w:val="en-US" w:eastAsia="zh-CN"/>
        </w:rPr>
        <w:t xml:space="preserve">合同签订后60日历天</w:t>
      </w:r>
      <w:r>
        <w:rPr>
          <w:rFonts w:hint="eastAsia" w:ascii="Times New Roman" w:hAnsi="Times New Roman" w:eastAsia="宋体" w:cs="Times New Roman"/>
          <w:spacing w:val="0"/>
          <w:position w:val="0"/>
          <w:sz w:val="24"/>
          <w:highlight w:val="none"/>
          <w:lang w:val="en-US" w:eastAsia="zh-CN"/>
        </w:rPr>
        <w:t xml:space="preserve"> ，地</w:t>
      </w:r>
      <w:r>
        <w:rPr>
          <w:rFonts w:hint="eastAsia" w:ascii="Times New Roman" w:hAnsi="Times New Roman" w:eastAsia="宋体" w:cs="Times New Roman"/>
          <w:spacing w:val="0"/>
          <w:position w:val="0"/>
          <w:sz w:val="24"/>
          <w:lang w:val="en-US" w:eastAsia="zh-CN"/>
        </w:rPr>
        <w:t xml:space="preserve">点：</w:t>
      </w:r>
      <w:r>
        <w:rPr>
          <w:rFonts w:hint="eastAsia" w:ascii="Times New Roman" w:hAnsi="Times New Roman" w:eastAsia="宋体" w:cs="Times New Roman"/>
          <w:bCs/>
          <w:spacing w:val="0"/>
          <w:position w:val="0"/>
          <w:sz w:val="24"/>
          <w:highlight w:val="none"/>
          <w:lang w:val="en-US" w:eastAsia="zh-CN"/>
        </w:rPr>
        <w:t xml:space="preserve">上兴镇</w:t>
      </w:r>
      <w:r>
        <w:rPr>
          <w:rFonts w:ascii="Times New Roman" w:hAnsi="Times New Roman" w:eastAsia="宋体" w:cs="Times New Roman"/>
          <w:i/>
          <w:spacing w:val="0"/>
          <w:position w:val="0"/>
          <w:sz w:val="24"/>
          <w:lang w:val="en-US" w:eastAsia="zh-CN"/>
        </w:rPr>
      </w:r>
      <w:r/>
    </w:p>
    <w:p>
      <w:pPr>
        <w:pStyle w:val="1263"/>
        <w:contextualSpacing/>
        <w:ind w:firstLine="480"/>
        <w:spacing w:line="360" w:lineRule="auto"/>
        <w:rPr>
          <w:rFonts w:hint="eastAsia" w:ascii="Times New Roman" w:hAnsi="Times New Roman" w:eastAsia="宋体" w:cs="Times New Roman"/>
          <w:spacing w:val="0"/>
          <w:position w:val="0"/>
          <w:sz w:val="24"/>
          <w:highlight w:val="yellow"/>
          <w:lang w:val="en-US" w:eastAsia="zh-CN"/>
        </w:rPr>
      </w:pPr>
      <w:r>
        <w:rPr>
          <w:rFonts w:ascii="Times New Roman" w:hAnsi="Times New Roman" w:eastAsia="宋体" w:cs="Times New Roman"/>
          <w:spacing w:val="0"/>
          <w:position w:val="0"/>
          <w:sz w:val="24"/>
        </w:rPr>
        <w:t xml:space="preserve">2. 付款</w:t>
      </w:r>
      <w:r>
        <w:rPr>
          <w:rFonts w:hint="eastAsia" w:ascii="Times New Roman" w:hAnsi="Times New Roman" w:eastAsia="宋体" w:cs="Times New Roman"/>
          <w:spacing w:val="0"/>
          <w:position w:val="0"/>
          <w:sz w:val="24"/>
          <w:lang w:val="en-US" w:eastAsia="zh-CN"/>
        </w:rPr>
        <w:t xml:space="preserve">方式：</w:t>
      </w:r>
      <w:r>
        <w:rPr>
          <w:rFonts w:hint="eastAsia" w:ascii="Times New Roman" w:hAnsi="Times New Roman" w:eastAsia="宋体" w:cs="Times New Roman"/>
          <w:spacing w:val="0"/>
          <w:position w:val="0"/>
          <w:sz w:val="24"/>
          <w:highlight w:val="yellow"/>
          <w:lang w:val="en-US" w:eastAsia="zh-CN"/>
        </w:rPr>
      </w:r>
      <w:r/>
    </w:p>
    <w:p>
      <w:pPr>
        <w:pStyle w:val="1263"/>
        <w:numPr>
          <w:ilvl w:val="0"/>
          <w:numId w:val="0"/>
        </w:numPr>
        <w:ind w:firstLine="482"/>
        <w:jc w:val="both"/>
        <w:keepLines/>
        <w:keepNext/>
        <w:spacing w:before="120" w:line="300" w:lineRule="auto"/>
        <w:widowControl w:val="off"/>
        <w:rPr>
          <w:rFonts w:hint="eastAsia" w:ascii="宋体" w:hAnsi="宋体" w:eastAsia="宋体" w:cs="Times New Roman"/>
          <w:b/>
          <w:color w:val="0000ff"/>
          <w:sz w:val="24"/>
          <w:szCs w:val="24"/>
          <w:highlight w:val="none"/>
          <w:lang w:val="en-US" w:eastAsia="zh-CN" w:bidi="ar-SA"/>
        </w:rPr>
        <w:outlineLvl w:val="1"/>
      </w:pPr>
      <w:r>
        <w:rPr>
          <w:rFonts w:hint="eastAsia" w:ascii="宋体" w:hAnsi="宋体" w:eastAsia="宋体" w:cs="Times New Roman"/>
          <w:b/>
          <w:color w:val="0000ff"/>
          <w:sz w:val="24"/>
          <w:szCs w:val="24"/>
          <w:highlight w:val="none"/>
          <w:lang w:val="en-US" w:eastAsia="zh-CN" w:bidi="ar-SA"/>
        </w:rPr>
        <w:t xml:space="preserve">关于付款周期的约定：</w:t>
      </w:r>
      <w:r>
        <w:rPr>
          <w:rFonts w:hint="eastAsia" w:ascii="宋体" w:hAnsi="宋体" w:eastAsia="宋体" w:cs="Times New Roman"/>
          <w:b/>
          <w:color w:val="0000ff"/>
          <w:sz w:val="24"/>
          <w:szCs w:val="24"/>
          <w:highlight w:val="none"/>
          <w:lang w:val="en-US" w:eastAsia="zh-CN" w:bidi="ar-SA"/>
        </w:rPr>
      </w:r>
      <w:r/>
    </w:p>
    <w:p>
      <w:pPr>
        <w:pStyle w:val="1263"/>
        <w:numPr>
          <w:ilvl w:val="0"/>
          <w:numId w:val="0"/>
        </w:numPr>
        <w:ind w:firstLine="482"/>
        <w:jc w:val="both"/>
        <w:keepLines/>
        <w:keepNext/>
        <w:spacing w:before="120" w:line="300" w:lineRule="auto"/>
        <w:widowControl w:val="off"/>
        <w:rPr>
          <w:rFonts w:hint="eastAsia" w:ascii="宋体" w:hAnsi="宋体" w:eastAsia="宋体" w:cs="Times New Roman"/>
          <w:b/>
          <w:color w:val="0000ff"/>
          <w:sz w:val="24"/>
          <w:szCs w:val="24"/>
          <w:highlight w:val="none"/>
          <w:lang w:val="en-US" w:eastAsia="zh-CN" w:bidi="ar-SA"/>
        </w:rPr>
        <w:outlineLvl w:val="1"/>
      </w:pPr>
      <w:r>
        <w:rPr>
          <w:rFonts w:hint="eastAsia" w:ascii="宋体" w:hAnsi="宋体" w:eastAsia="宋体" w:cs="Times New Roman"/>
          <w:b/>
          <w:color w:val="0000ff"/>
          <w:sz w:val="24"/>
          <w:szCs w:val="24"/>
          <w:highlight w:val="none"/>
          <w:lang w:val="en-US" w:eastAsia="zh-CN" w:bidi="ar-SA"/>
        </w:rPr>
        <w:t xml:space="preserve">1）在具备施工条件的前提下，合同签订后一个月内支付合同价款(扣除暂列金额及相应的税金)的10%作为预付款（含安全生产措施费总额的50%，其余部分安全生产措施费包含在进度款中同期支付）（预付款抵作工程价款，不扣回）；</w:t>
      </w:r>
      <w:r>
        <w:rPr>
          <w:rFonts w:hint="eastAsia" w:ascii="宋体" w:hAnsi="宋体" w:eastAsia="宋体" w:cs="Times New Roman"/>
          <w:b/>
          <w:color w:val="0000ff"/>
          <w:sz w:val="24"/>
          <w:szCs w:val="24"/>
          <w:highlight w:val="none"/>
          <w:lang w:val="en-US" w:eastAsia="zh-CN" w:bidi="ar-SA"/>
        </w:rPr>
      </w:r>
      <w:r/>
    </w:p>
    <w:p>
      <w:pPr>
        <w:pStyle w:val="1263"/>
        <w:numPr>
          <w:ilvl w:val="0"/>
          <w:numId w:val="0"/>
        </w:numPr>
        <w:ind w:firstLine="482"/>
        <w:jc w:val="both"/>
        <w:keepLines/>
        <w:keepNext/>
        <w:spacing w:before="120" w:line="300" w:lineRule="auto"/>
        <w:widowControl w:val="off"/>
        <w:rPr>
          <w:rFonts w:hint="eastAsia" w:ascii="宋体" w:hAnsi="宋体" w:eastAsia="宋体" w:cs="Times New Roman"/>
          <w:b/>
          <w:color w:val="0000ff"/>
          <w:sz w:val="24"/>
          <w:szCs w:val="24"/>
          <w:highlight w:val="none"/>
          <w:lang w:val="en-US" w:eastAsia="zh-CN" w:bidi="ar-SA"/>
        </w:rPr>
        <w:outlineLvl w:val="1"/>
      </w:pPr>
      <w:r>
        <w:rPr>
          <w:rFonts w:hint="eastAsia" w:ascii="宋体" w:hAnsi="宋体" w:eastAsia="宋体" w:cs="Times New Roman"/>
          <w:b/>
          <w:color w:val="0000ff"/>
          <w:sz w:val="24"/>
          <w:szCs w:val="24"/>
          <w:highlight w:val="none"/>
          <w:lang w:val="en-US" w:eastAsia="zh-CN" w:bidi="ar-SA"/>
        </w:rPr>
        <w:t xml:space="preserve">2）工程竣工验收合格并提交完工所需资料后支付至实际完成工程量价款的80%（含预付款、安全生产措施费、农民工工资）。</w:t>
      </w:r>
      <w:r>
        <w:rPr>
          <w:rFonts w:hint="eastAsia" w:ascii="宋体" w:hAnsi="宋体" w:eastAsia="宋体" w:cs="Times New Roman"/>
          <w:b/>
          <w:color w:val="0000ff"/>
          <w:sz w:val="24"/>
          <w:szCs w:val="24"/>
          <w:highlight w:val="none"/>
          <w:lang w:val="en-US" w:eastAsia="zh-CN" w:bidi="ar-SA"/>
        </w:rPr>
      </w:r>
      <w:r/>
    </w:p>
    <w:p>
      <w:pPr>
        <w:pStyle w:val="1263"/>
        <w:numPr>
          <w:ilvl w:val="0"/>
          <w:numId w:val="0"/>
        </w:numPr>
        <w:ind w:firstLine="482"/>
        <w:jc w:val="both"/>
        <w:keepLines/>
        <w:keepNext/>
        <w:spacing w:before="120" w:line="300" w:lineRule="auto"/>
        <w:widowControl w:val="off"/>
        <w:rPr>
          <w:rFonts w:hint="eastAsia" w:ascii="宋体" w:hAnsi="宋体" w:eastAsia="宋体" w:cs="Times New Roman"/>
          <w:b/>
          <w:color w:val="0000ff"/>
          <w:sz w:val="24"/>
          <w:szCs w:val="24"/>
          <w:highlight w:val="none"/>
          <w:lang w:val="en-US" w:eastAsia="zh-CN" w:bidi="ar-SA"/>
        </w:rPr>
        <w:outlineLvl w:val="1"/>
      </w:pPr>
      <w:r>
        <w:rPr>
          <w:rFonts w:hint="eastAsia" w:ascii="宋体" w:hAnsi="宋体" w:eastAsia="宋体" w:cs="Times New Roman"/>
          <w:b/>
          <w:color w:val="0000ff"/>
          <w:sz w:val="24"/>
          <w:szCs w:val="24"/>
          <w:highlight w:val="none"/>
          <w:lang w:val="en-US" w:eastAsia="zh-CN" w:bidi="ar-SA"/>
        </w:rPr>
        <w:t xml:space="preserve">3）工程结算经审计结束后付至审定价的97%。</w:t>
      </w:r>
      <w:r>
        <w:rPr>
          <w:rFonts w:hint="eastAsia" w:ascii="宋体" w:hAnsi="宋体" w:eastAsia="宋体" w:cs="Times New Roman"/>
          <w:b/>
          <w:color w:val="0000ff"/>
          <w:sz w:val="24"/>
          <w:szCs w:val="24"/>
          <w:highlight w:val="none"/>
          <w:lang w:val="en-US" w:eastAsia="zh-CN" w:bidi="ar-SA"/>
        </w:rPr>
      </w:r>
      <w:r/>
    </w:p>
    <w:p>
      <w:pPr>
        <w:pStyle w:val="1263"/>
        <w:numPr>
          <w:ilvl w:val="0"/>
          <w:numId w:val="0"/>
        </w:numPr>
        <w:ind w:firstLine="482"/>
        <w:jc w:val="both"/>
        <w:keepLines/>
        <w:keepNext/>
        <w:spacing w:before="120" w:line="300" w:lineRule="auto"/>
        <w:widowControl w:val="off"/>
        <w:rPr>
          <w:rFonts w:hint="eastAsia" w:ascii="宋体" w:hAnsi="宋体" w:eastAsia="宋体" w:cs="Times New Roman"/>
          <w:b/>
          <w:color w:val="0000ff"/>
          <w:sz w:val="24"/>
          <w:szCs w:val="24"/>
          <w:highlight w:val="none"/>
          <w:lang w:val="en-US" w:eastAsia="zh-CN" w:bidi="ar-SA"/>
        </w:rPr>
        <w:outlineLvl w:val="1"/>
      </w:pPr>
      <w:r>
        <w:rPr>
          <w:rFonts w:hint="eastAsia" w:ascii="宋体" w:hAnsi="宋体" w:eastAsia="宋体" w:cs="Times New Roman"/>
          <w:b/>
          <w:color w:val="0000ff"/>
          <w:sz w:val="24"/>
          <w:szCs w:val="24"/>
          <w:highlight w:val="none"/>
          <w:lang w:val="en-US" w:eastAsia="zh-CN" w:bidi="ar-SA"/>
        </w:rPr>
        <w:t xml:space="preserve">4）结算审定价的3%作为建设工程质量保证金，在两年缺陷责任期满付清。</w:t>
      </w:r>
      <w:r>
        <w:rPr>
          <w:rFonts w:hint="eastAsia" w:ascii="宋体" w:hAnsi="宋体" w:eastAsia="宋体" w:cs="Times New Roman"/>
          <w:b/>
          <w:color w:val="0000ff"/>
          <w:sz w:val="24"/>
          <w:szCs w:val="24"/>
          <w:highlight w:val="none"/>
          <w:lang w:val="en-US" w:eastAsia="zh-CN" w:bidi="ar-SA"/>
        </w:rPr>
      </w:r>
      <w:r/>
    </w:p>
    <w:p>
      <w:pPr>
        <w:pStyle w:val="1263"/>
        <w:numPr>
          <w:ilvl w:val="0"/>
          <w:numId w:val="0"/>
        </w:numPr>
        <w:ind w:firstLine="482"/>
        <w:jc w:val="both"/>
        <w:keepLines/>
        <w:keepNext/>
        <w:spacing w:before="120" w:line="300" w:lineRule="auto"/>
        <w:widowControl w:val="off"/>
        <w:rPr>
          <w:rFonts w:hint="eastAsia" w:ascii="宋体" w:hAnsi="宋体" w:eastAsia="宋体" w:cs="Times New Roman"/>
          <w:b/>
          <w:color w:val="0000ff"/>
          <w:sz w:val="24"/>
          <w:szCs w:val="24"/>
          <w:highlight w:val="none"/>
          <w:lang w:val="en-US" w:eastAsia="zh-CN" w:bidi="ar-SA"/>
        </w:rPr>
        <w:outlineLvl w:val="1"/>
      </w:pPr>
      <w:r>
        <w:rPr>
          <w:rFonts w:hint="eastAsia" w:ascii="宋体" w:hAnsi="宋体" w:eastAsia="宋体" w:cs="Times New Roman"/>
          <w:b/>
          <w:color w:val="0000ff"/>
          <w:sz w:val="24"/>
          <w:szCs w:val="24"/>
          <w:highlight w:val="none"/>
          <w:lang w:val="en-US" w:eastAsia="zh-CN" w:bidi="ar-SA"/>
        </w:rPr>
        <w:t xml:space="preserve">5）有涉及设计变更、工程量增加、现场签证在工程结算审核后按相关约定一并调整支付。</w:t>
      </w:r>
      <w:r>
        <w:rPr>
          <w:rFonts w:hint="eastAsia" w:ascii="宋体" w:hAnsi="宋体" w:eastAsia="宋体" w:cs="Times New Roman"/>
          <w:b/>
          <w:color w:val="0000ff"/>
          <w:sz w:val="24"/>
          <w:szCs w:val="24"/>
          <w:highlight w:val="none"/>
          <w:lang w:val="en-US" w:eastAsia="zh-CN" w:bidi="ar-SA"/>
        </w:rPr>
      </w:r>
      <w:r/>
    </w:p>
    <w:p>
      <w:pPr>
        <w:pStyle w:val="1263"/>
        <w:numPr>
          <w:ilvl w:val="0"/>
          <w:numId w:val="0"/>
        </w:numPr>
        <w:ind w:firstLine="480"/>
        <w:jc w:val="both"/>
        <w:keepLines/>
        <w:keepNext/>
        <w:spacing w:before="120" w:line="300" w:lineRule="auto"/>
        <w:widowControl w:val="off"/>
        <w:rPr>
          <w:rFonts w:ascii="Times New Roman" w:hAnsi="Times New Roman" w:eastAsia="宋体" w:cs="Times New Roman"/>
          <w:b w:val="0"/>
          <w:spacing w:val="0"/>
          <w:position w:val="0"/>
          <w:sz w:val="24"/>
          <w:szCs w:val="24"/>
          <w:lang w:val="en-US" w:eastAsia="zh-CN" w:bidi="ar-SA"/>
        </w:rPr>
        <w:outlineLvl w:val="1"/>
      </w:pPr>
      <w:r>
        <w:rPr>
          <w:rFonts w:hint="eastAsia" w:ascii="Times New Roman" w:hAnsi="Times New Roman" w:eastAsia="宋体" w:cs="Times New Roman"/>
          <w:b w:val="0"/>
          <w:spacing w:val="0"/>
          <w:position w:val="0"/>
          <w:sz w:val="24"/>
          <w:szCs w:val="24"/>
          <w:lang w:val="en-US" w:eastAsia="zh-CN" w:bidi="ar-SA"/>
        </w:rPr>
        <w:t xml:space="preserve">3.质量要求：合格</w:t>
      </w:r>
      <w:r>
        <w:rPr>
          <w:rFonts w:ascii="Times New Roman" w:hAnsi="Times New Roman" w:eastAsia="宋体" w:cs="Times New Roman"/>
          <w:b w:val="0"/>
          <w:spacing w:val="0"/>
          <w:position w:val="0"/>
          <w:sz w:val="24"/>
          <w:szCs w:val="24"/>
          <w:lang w:val="en-US" w:eastAsia="zh-CN" w:bidi="ar-SA"/>
        </w:rPr>
      </w:r>
      <w:r/>
    </w:p>
    <w:p>
      <w:pPr>
        <w:pStyle w:val="1362"/>
        <w:numPr>
          <w:ilvl w:val="0"/>
          <w:numId w:val="0"/>
        </w:numPr>
        <w:contextualSpacing/>
        <w:ind w:left="500" w:hanging="500"/>
        <w:spacing w:line="360" w:lineRule="auto"/>
        <w:rPr>
          <w:rFonts w:ascii="Times New Roman" w:hAnsi="Times New Roman" w:eastAsia="宋体" w:cs="Times New Roman"/>
          <w:b/>
          <w:spacing w:val="0"/>
          <w:position w:val="0"/>
          <w:sz w:val="24"/>
          <w:szCs w:val="24"/>
        </w:rPr>
      </w:pPr>
      <w:r>
        <w:rPr>
          <w:rFonts w:ascii="Times New Roman" w:hAnsi="Times New Roman" w:eastAsia="宋体" w:cs="Times New Roman"/>
          <w:b/>
          <w:spacing w:val="0"/>
          <w:position w:val="0"/>
          <w:sz w:val="24"/>
          <w:szCs w:val="24"/>
          <w:lang w:val="en-US" w:eastAsia="zh-CN" w:bidi="ar-SA"/>
        </w:rPr>
        <w:t xml:space="preserve">三、</w:t>
      </w:r>
      <w:r>
        <w:rPr>
          <w:rFonts w:ascii="Times New Roman" w:hAnsi="Times New Roman" w:eastAsia="宋体" w:cs="Times New Roman"/>
          <w:b/>
          <w:spacing w:val="0"/>
          <w:position w:val="0"/>
          <w:sz w:val="24"/>
          <w:szCs w:val="24"/>
        </w:rPr>
        <w:t xml:space="preserve">技术要求</w:t>
      </w:r>
      <w:r>
        <w:rPr>
          <w:rFonts w:ascii="Times New Roman" w:hAnsi="Times New Roman" w:eastAsia="宋体" w:cs="Times New Roman"/>
          <w:b/>
          <w:spacing w:val="0"/>
          <w:position w:val="0"/>
          <w:sz w:val="24"/>
          <w:szCs w:val="24"/>
        </w:rPr>
      </w:r>
      <w:r/>
    </w:p>
    <w:p>
      <w:pPr>
        <w:pStyle w:val="1263"/>
        <w:ind w:firstLine="482"/>
        <w:spacing w:line="360" w:lineRule="auto"/>
        <w:rPr>
          <w:rFonts w:hint="eastAsia" w:ascii="宋体" w:hAnsi="宋体" w:eastAsia="宋体" w:cs="宋体"/>
          <w:spacing w:val="0"/>
          <w:position w:val="0"/>
          <w:sz w:val="24"/>
        </w:rPr>
      </w:pPr>
      <w:r>
        <w:rPr>
          <w:rFonts w:hint="eastAsia" w:ascii="Times New Roman" w:hAnsi="Times New Roman" w:eastAsia="宋体" w:cs="Times New Roman"/>
          <w:b/>
          <w:bCs/>
          <w:spacing w:val="0"/>
          <w:position w:val="0"/>
          <w:sz w:val="24"/>
        </w:rPr>
        <w:t xml:space="preserve">1.</w:t>
      </w:r>
      <w:r>
        <w:rPr>
          <w:rFonts w:hint="eastAsia" w:ascii="宋体" w:hAnsi="宋体" w:eastAsia="宋体" w:cs="宋体"/>
          <w:spacing w:val="0"/>
          <w:position w:val="0"/>
          <w:sz w:val="24"/>
        </w:rPr>
        <w:t xml:space="preserve">其他要求</w:t>
      </w:r>
      <w:r>
        <w:rPr>
          <w:rFonts w:hint="eastAsia" w:ascii="宋体" w:hAnsi="宋体" w:eastAsia="宋体" w:cs="宋体"/>
          <w:spacing w:val="0"/>
          <w:position w:val="0"/>
          <w:sz w:val="24"/>
        </w:rPr>
      </w:r>
      <w:r/>
    </w:p>
    <w:p>
      <w:pPr>
        <w:pStyle w:val="1263"/>
        <w:ind w:firstLine="480"/>
        <w:spacing w:line="360" w:lineRule="auto"/>
        <w:rPr>
          <w:rFonts w:hint="eastAsia" w:ascii="宋体" w:hAnsi="宋体" w:eastAsia="宋体" w:cs="宋体"/>
          <w:spacing w:val="0"/>
          <w:position w:val="0"/>
          <w:sz w:val="24"/>
        </w:rPr>
      </w:pPr>
      <w:r>
        <w:rPr>
          <w:rFonts w:hint="eastAsia" w:ascii="宋体" w:hAnsi="宋体" w:eastAsia="宋体" w:cs="宋体"/>
          <w:spacing w:val="0"/>
          <w:position w:val="0"/>
          <w:sz w:val="24"/>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spacing w:val="0"/>
          <w:position w:val="0"/>
          <w:sz w:val="24"/>
          <w:u w:val="single"/>
        </w:rPr>
        <w:t xml:space="preserve"> 100 </w:t>
      </w:r>
      <w:r>
        <w:rPr>
          <w:rFonts w:hint="eastAsia" w:ascii="宋体" w:hAnsi="宋体" w:eastAsia="宋体" w:cs="宋体"/>
          <w:spacing w:val="0"/>
          <w:position w:val="0"/>
          <w:sz w:val="24"/>
        </w:rPr>
        <w:t xml:space="preserve">%。</w:t>
      </w:r>
      <w:r>
        <w:rPr>
          <w:rFonts w:hint="eastAsia" w:ascii="宋体" w:hAnsi="宋体" w:eastAsia="宋体" w:cs="宋体"/>
          <w:spacing w:val="0"/>
          <w:position w:val="0"/>
          <w:sz w:val="24"/>
        </w:rPr>
      </w:r>
      <w:r/>
    </w:p>
    <w:p>
      <w:pPr>
        <w:pStyle w:val="1362"/>
        <w:numPr>
          <w:ilvl w:val="0"/>
          <w:numId w:val="10"/>
        </w:numPr>
        <w:contextualSpacing/>
        <w:ind w:firstLine="480"/>
        <w:jc w:val="left"/>
        <w:spacing w:line="360" w:lineRule="auto"/>
        <w:tabs>
          <w:tab w:val="left" w:pos="312" w:leader="none"/>
        </w:tabs>
        <w:rPr>
          <w:rFonts w:hint="eastAsia" w:ascii="Times New Roman" w:hAnsi="Times New Roman" w:eastAsia="宋体" w:cs="Times New Roman"/>
          <w:b/>
          <w:bCs/>
          <w:color w:val="000000"/>
          <w:sz w:val="24"/>
          <w:highlight w:val="none"/>
          <w:u w:val="none"/>
          <w:lang w:val="en-US" w:eastAsia="zh-CN"/>
        </w:rPr>
      </w:pPr>
      <w:r>
        <w:rPr>
          <w:rFonts w:hint="eastAsia" w:ascii="Times New Roman" w:hAnsi="Times New Roman" w:eastAsia="宋体" w:cs="Times New Roman"/>
          <w:b/>
          <w:bCs/>
          <w:spacing w:val="0"/>
          <w:position w:val="0"/>
          <w:sz w:val="24"/>
          <w:szCs w:val="24"/>
          <w:highlight w:val="none"/>
          <w:lang w:val="en-US" w:eastAsia="zh-CN"/>
        </w:rPr>
        <w:t xml:space="preserve">招标清单：</w:t>
      </w:r>
      <w:r>
        <w:rPr>
          <w:rFonts w:hint="eastAsia" w:ascii="Times New Roman" w:hAnsi="Times New Roman" w:eastAsia="宋体" w:cs="Times New Roman"/>
          <w:b/>
          <w:bCs/>
          <w:color w:val="000000"/>
          <w:sz w:val="24"/>
          <w:highlight w:val="none"/>
          <w:u w:val="none"/>
          <w:lang w:val="en-US" w:eastAsia="zh-CN"/>
        </w:rPr>
      </w:r>
      <w:r/>
    </w:p>
    <w:p>
      <w:pPr>
        <w:pStyle w:val="1362"/>
        <w:numPr>
          <w:ilvl w:val="0"/>
          <w:numId w:val="0"/>
        </w:numPr>
        <w:contextualSpacing/>
        <w:ind w:firstLine="482"/>
        <w:jc w:val="left"/>
        <w:spacing w:line="360" w:lineRule="auto"/>
        <w:rPr>
          <w:rFonts w:hint="eastAsia" w:ascii="Times New Roman" w:hAnsi="Times New Roman" w:eastAsia="宋体" w:cs="Times New Roman"/>
          <w:b/>
          <w:bCs/>
          <w:color w:val="000000"/>
          <w:sz w:val="24"/>
          <w:highlight w:val="none"/>
          <w:u w:val="none"/>
          <w:lang w:val="en-US" w:eastAsia="zh-CN"/>
        </w:rPr>
      </w:pPr>
      <w:r>
        <w:rPr>
          <w:rFonts w:hint="eastAsia" w:ascii="Times New Roman" w:hAnsi="Times New Roman" w:eastAsia="宋体" w:cs="Times New Roman"/>
          <w:b/>
          <w:bCs/>
          <w:color w:val="000000"/>
          <w:sz w:val="24"/>
          <w:highlight w:val="none"/>
          <w:u w:val="none"/>
          <w:lang w:val="en-US" w:eastAsia="zh-CN"/>
        </w:rPr>
        <w:t xml:space="preserve">项目最高限价（控制价）：1809106.33元，其中暂估价及暂列金额（含税金）为 109000元，供应商报价总价不得超过控制价总价、已标价工程量清单中所有分部分项工程响应单价不得超过分部分项工程控制价单价，否则作无效响应处理。</w:t>
      </w:r>
      <w:r>
        <w:rPr>
          <w:rFonts w:hint="eastAsia" w:ascii="Times New Roman" w:hAnsi="Times New Roman" w:eastAsia="宋体" w:cs="Times New Roman"/>
          <w:b/>
          <w:bCs/>
          <w:color w:val="000000"/>
          <w:sz w:val="24"/>
          <w:highlight w:val="none"/>
          <w:u w:val="none"/>
          <w:lang w:val="en-US" w:eastAsia="zh-CN"/>
        </w:rPr>
      </w:r>
      <w:r/>
    </w:p>
    <w:p>
      <w:pPr>
        <w:pStyle w:val="1263"/>
        <w:rPr>
          <w:bCs/>
          <w:highlight w:val="none"/>
        </w:rPr>
      </w:pPr>
      <w:r>
        <w:rPr>
          <w:bCs/>
          <w:highlight w:val="none"/>
        </w:rPr>
      </w:r>
      <w:r/>
    </w:p>
    <w:p>
      <w:pPr>
        <w:pStyle w:val="1263"/>
      </w:pPr>
      <w:r/>
      <w:r/>
    </w:p>
    <w:p>
      <w:pPr>
        <w:pStyle w:val="1263"/>
        <w:jc w:val="center"/>
        <w:widowControl/>
        <w:rPr>
          <w:b/>
          <w:sz w:val="36"/>
          <w:szCs w:val="36"/>
        </w:rPr>
      </w:pPr>
      <w:r>
        <w:rPr>
          <w:b/>
          <w:sz w:val="36"/>
          <w:szCs w:val="36"/>
        </w:rPr>
        <w:br w:type="page" w:clear="all"/>
      </w:r>
      <w:r>
        <w:rPr>
          <w:b/>
          <w:sz w:val="36"/>
          <w:szCs w:val="36"/>
        </w:rPr>
        <w:t xml:space="preserve"> </w:t>
      </w:r>
      <w:bookmarkStart w:id="537" w:name="_Toc104818929"/>
      <w:r>
        <w:rPr>
          <w:b/>
          <w:sz w:val="36"/>
          <w:szCs w:val="36"/>
        </w:rPr>
        <w:t xml:space="preserve">第五章   合同草案条款</w:t>
      </w:r>
      <w:bookmarkEnd w:id="537"/>
      <w:r>
        <w:rPr>
          <w:b/>
          <w:sz w:val="36"/>
          <w:szCs w:val="36"/>
        </w:rPr>
      </w:r>
      <w:r/>
    </w:p>
    <w:p>
      <w:pPr>
        <w:pStyle w:val="1263"/>
        <w:jc w:val="center"/>
        <w:widowControl/>
        <w:rPr>
          <w:b/>
          <w:sz w:val="36"/>
          <w:szCs w:val="36"/>
        </w:rPr>
      </w:pPr>
      <w:r>
        <w:rPr>
          <w:b/>
          <w:sz w:val="36"/>
          <w:szCs w:val="36"/>
        </w:rPr>
      </w:r>
      <w:r/>
    </w:p>
    <w:p>
      <w:pPr>
        <w:pStyle w:val="1263"/>
        <w:jc w:val="center"/>
        <w:rPr>
          <w:rFonts w:ascii="Times New Roman" w:hAnsi="Times New Roman" w:eastAsia="华文中宋"/>
          <w:b/>
          <w:color w:val="000000"/>
          <w:sz w:val="48"/>
          <w:szCs w:val="48"/>
        </w:rPr>
      </w:pPr>
      <w:r/>
      <w:bookmarkStart w:id="538" w:name="_Toc296503025"/>
      <w:r/>
      <w:bookmarkStart w:id="539" w:name="_Toc296890982"/>
      <w:r>
        <w:rPr>
          <w:rFonts w:ascii="Times New Roman" w:hAnsi="Times New Roman" w:eastAsia="华文中宋"/>
          <w:b/>
          <w:color w:val="000000"/>
          <w:sz w:val="48"/>
          <w:szCs w:val="48"/>
        </w:rPr>
      </w:r>
      <w:r/>
    </w:p>
    <w:p>
      <w:pPr>
        <w:pStyle w:val="1263"/>
        <w:ind w:firstLine="0"/>
        <w:jc w:val="center"/>
        <w:spacing w:line="360" w:lineRule="auto"/>
        <w:shd w:val="clear" w:color="auto" w:fill="auto"/>
        <w:rPr>
          <w:rFonts w:hint="eastAsia" w:ascii="宋体" w:hAnsi="宋体" w:eastAsia="宋体" w:cs="宋体"/>
          <w:color w:val="000000"/>
          <w:sz w:val="28"/>
          <w:szCs w:val="28"/>
          <w:highlight w:val="none"/>
        </w:rPr>
        <w:outlineLvl w:val="9"/>
      </w:pPr>
      <w:r/>
      <w:bookmarkEnd w:id="538"/>
      <w:r/>
      <w:bookmarkEnd w:id="539"/>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GF—201</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0201)</w:t>
      </w:r>
      <w:r>
        <w:rPr>
          <w:rFonts w:hint="eastAsia" w:ascii="宋体" w:hAnsi="宋体" w:eastAsia="宋体" w:cs="宋体"/>
          <w:color w:val="000000"/>
          <w:sz w:val="28"/>
          <w:szCs w:val="28"/>
          <w:highlight w:val="none"/>
        </w:rPr>
      </w:r>
      <w:r/>
    </w:p>
    <w:p>
      <w:pPr>
        <w:pStyle w:val="1263"/>
        <w:jc w:val="center"/>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jc w:val="center"/>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jc w:val="center"/>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ind w:firstLine="0"/>
        <w:jc w:val="center"/>
        <w:spacing w:line="360" w:lineRule="auto"/>
        <w:shd w:val="clear" w:color="auto" w:fill="auto"/>
        <w:rPr>
          <w:rFonts w:hint="eastAsia" w:ascii="宋体" w:hAnsi="宋体" w:eastAsia="宋体" w:cs="宋体"/>
          <w:color w:val="000000"/>
          <w:sz w:val="40"/>
          <w:szCs w:val="40"/>
          <w:highlight w:val="none"/>
        </w:rPr>
        <w:outlineLvl w:val="9"/>
      </w:pPr>
      <w:r>
        <w:rPr>
          <w:rFonts w:hint="eastAsia" w:ascii="宋体" w:hAnsi="宋体" w:eastAsia="宋体" w:cs="宋体"/>
          <w:color w:val="000000"/>
          <w:sz w:val="40"/>
          <w:szCs w:val="40"/>
          <w:highlight w:val="none"/>
        </w:rPr>
      </w:r>
      <w:r/>
    </w:p>
    <w:p>
      <w:pPr>
        <w:pStyle w:val="1263"/>
        <w:ind w:firstLine="0"/>
        <w:jc w:val="center"/>
        <w:spacing w:line="360" w:lineRule="auto"/>
        <w:shd w:val="clear" w:color="auto" w:fill="auto"/>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t xml:space="preserve">建设工程施工合同</w:t>
      </w:r>
      <w:r>
        <w:rPr>
          <w:rFonts w:hint="eastAsia" w:ascii="宋体" w:hAnsi="宋体" w:eastAsia="宋体" w:cs="宋体"/>
          <w:b/>
          <w:bCs/>
          <w:color w:val="000000"/>
          <w:sz w:val="36"/>
          <w:szCs w:val="36"/>
          <w:highlight w:val="none"/>
        </w:rPr>
        <w:br w:type="textWrapping" w:clear="all"/>
      </w:r>
      <w:r>
        <w:rPr>
          <w:rFonts w:hint="eastAsia" w:ascii="宋体" w:hAnsi="宋体" w:eastAsia="宋体" w:cs="宋体"/>
          <w:b/>
          <w:bCs/>
          <w:color w:val="000000"/>
          <w:sz w:val="36"/>
          <w:szCs w:val="36"/>
          <w:highlight w:val="none"/>
        </w:rPr>
        <w:t xml:space="preserve">（示范文本）</w:t>
      </w:r>
      <w:r>
        <w:rPr>
          <w:rFonts w:hint="eastAsia" w:ascii="宋体" w:hAnsi="宋体" w:eastAsia="宋体" w:cs="宋体"/>
          <w:b/>
          <w:bCs/>
          <w:color w:val="000000"/>
          <w:sz w:val="36"/>
          <w:szCs w:val="36"/>
          <w:highlight w:val="none"/>
        </w:rPr>
      </w:r>
      <w:r/>
    </w:p>
    <w:p>
      <w:pPr>
        <w:pStyle w:val="1263"/>
        <w:jc w:val="center"/>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ind w:firstLine="960"/>
        <w:rPr>
          <w:rFonts w:hint="eastAsia" w:ascii="Times New Roman" w:hAnsi="Times New Roman" w:eastAsia="华文中宋" w:cs="Times New Roman"/>
          <w:b w:val="0"/>
          <w:bCs/>
          <w:color w:val="000000"/>
          <w:sz w:val="32"/>
          <w:szCs w:val="32"/>
          <w:u w:val="single"/>
          <w:lang w:val="en-US" w:eastAsia="zh-CN"/>
        </w:rPr>
      </w:pPr>
      <w:r>
        <w:rPr>
          <w:rFonts w:hint="eastAsia" w:ascii="Times New Roman" w:hAnsi="Times New Roman" w:eastAsia="华文中宋" w:cs="Times New Roman"/>
          <w:b w:val="0"/>
          <w:bCs/>
          <w:color w:val="000000"/>
          <w:sz w:val="32"/>
          <w:szCs w:val="32"/>
          <w:lang w:val="en-US" w:eastAsia="zh-CN"/>
        </w:rPr>
        <w:t xml:space="preserve">项目编号：</w:t>
      </w:r>
      <w:r>
        <w:rPr>
          <w:rFonts w:hint="eastAsia" w:ascii="Times New Roman" w:hAnsi="Times New Roman" w:eastAsia="华文中宋" w:cs="Times New Roman"/>
          <w:b w:val="0"/>
          <w:bCs/>
          <w:color w:val="000000"/>
          <w:sz w:val="32"/>
          <w:szCs w:val="32"/>
          <w:highlight w:val="none"/>
          <w:u w:val="single"/>
          <w:lang w:val="en-US" w:eastAsia="zh-CN"/>
        </w:rPr>
        <w:t xml:space="preserve"> JSZC-320481-SNGL-C2026-0006</w:t>
      </w:r>
      <w:r>
        <w:rPr>
          <w:rFonts w:hint="eastAsia" w:ascii="Times New Roman" w:hAnsi="Times New Roman" w:eastAsia="华文中宋" w:cs="Times New Roman"/>
          <w:b w:val="0"/>
          <w:bCs/>
          <w:color w:val="000000"/>
          <w:sz w:val="32"/>
          <w:szCs w:val="32"/>
          <w:u w:val="single"/>
          <w:lang w:val="en-US" w:eastAsia="zh-CN"/>
        </w:rPr>
      </w:r>
      <w:r/>
    </w:p>
    <w:p>
      <w:pPr>
        <w:pStyle w:val="1263"/>
        <w:ind w:firstLine="960"/>
        <w:jc w:val="both"/>
        <w:rPr>
          <w:rFonts w:ascii="Times New Roman" w:hAnsi="Times New Roman" w:eastAsia="华文中宋" w:cs="Times New Roman"/>
          <w:b w:val="0"/>
          <w:bCs/>
          <w:color w:val="000000"/>
          <w:sz w:val="32"/>
          <w:szCs w:val="32"/>
          <w:u w:val="single"/>
          <w:lang w:val="en-US"/>
        </w:rPr>
      </w:pPr>
      <w:r>
        <w:rPr>
          <w:rFonts w:hint="eastAsia" w:ascii="Times New Roman" w:hAnsi="Times New Roman" w:eastAsia="华文中宋" w:cs="Times New Roman"/>
          <w:b w:val="0"/>
          <w:bCs/>
          <w:color w:val="000000"/>
          <w:sz w:val="32"/>
          <w:szCs w:val="32"/>
          <w:lang w:val="en-US" w:eastAsia="zh-CN"/>
        </w:rPr>
        <w:t xml:space="preserve">项目名称：</w:t>
      </w:r>
      <w:r>
        <w:rPr>
          <w:rFonts w:hint="eastAsia" w:ascii="Times New Roman" w:hAnsi="Times New Roman" w:eastAsia="华文中宋" w:cs="Times New Roman"/>
          <w:b w:val="0"/>
          <w:bCs/>
          <w:color w:val="000000"/>
          <w:sz w:val="32"/>
          <w:szCs w:val="32"/>
          <w:highlight w:val="none"/>
          <w:u w:val="single"/>
          <w:lang w:val="en-US" w:eastAsia="zh-CN"/>
        </w:rPr>
        <w:t xml:space="preserve">联强路（永兴大道-通港大道）改造工程</w:t>
      </w:r>
      <w:r>
        <w:rPr>
          <w:rFonts w:ascii="Times New Roman" w:hAnsi="Times New Roman" w:eastAsia="华文中宋" w:cs="Times New Roman"/>
          <w:b w:val="0"/>
          <w:bCs/>
          <w:color w:val="000000"/>
          <w:sz w:val="32"/>
          <w:szCs w:val="32"/>
          <w:u w:val="single"/>
          <w:lang w:val="en-US"/>
        </w:rPr>
      </w:r>
      <w:r/>
    </w:p>
    <w:p>
      <w:pPr>
        <w:pStyle w:val="1263"/>
        <w:jc w:val="both"/>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jc w:val="center"/>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jc w:val="center"/>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ind w:right="2719"/>
        <w:jc w:val="center"/>
        <w:pageBreakBefore w:val="0"/>
        <w:shd w:val="clear" w:color="auto" w:fill="auto"/>
        <w:widowControl w:val="off"/>
        <w:rPr>
          <w:rFonts w:hint="eastAsia" w:ascii="宋体" w:hAnsi="宋体" w:eastAsia="宋体" w:cs="宋体"/>
          <w:b/>
          <w:color w:val="000000"/>
          <w:sz w:val="28"/>
          <w:szCs w:val="28"/>
          <w:highlight w:val="none"/>
        </w:rPr>
        <w:outlineLvl w:val="9"/>
      </w:pPr>
      <w:r>
        <w:rPr>
          <w:rFonts w:hint="eastAsia" w:ascii="宋体" w:hAnsi="宋体" w:eastAsia="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263"/>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制定</w:t>
                            </w:r>
                            <w:r>
                              <w:rPr>
                                <w:rFonts w:hint="eastAsia" w:ascii="Times New Roman" w:hAnsi="Times New Roman" w:eastAsia="宋体" w:cs="Times New Roman"/>
                                <w:b/>
                                <w:bCs/>
                                <w:sz w:val="32"/>
                              </w:rPr>
                            </w:r>
                            <w:r/>
                          </w:p>
                          <w:p>
                            <w:pPr>
                              <w:pStyle w:val="1263"/>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263"/>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制定</w:t>
                      </w:r>
                      <w:r>
                        <w:rPr>
                          <w:rFonts w:hint="eastAsia" w:ascii="Times New Roman" w:hAnsi="Times New Roman" w:eastAsia="宋体" w:cs="Times New Roman"/>
                          <w:b/>
                          <w:bCs/>
                          <w:sz w:val="32"/>
                        </w:rPr>
                      </w:r>
                      <w:r/>
                    </w:p>
                    <w:p>
                      <w:pPr>
                        <w:pStyle w:val="1263"/>
                      </w:pPr>
                      <w:r/>
                      <w:r/>
                    </w:p>
                  </w:txbxContent>
                </v:textbox>
              </v:shape>
            </w:pict>
          </mc:Fallback>
        </mc:AlternateContent>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住房城乡建设部</w:t>
      </w:r>
      <w:r>
        <w:rPr>
          <w:rFonts w:hint="eastAsia" w:ascii="宋体" w:hAnsi="宋体" w:eastAsia="宋体" w:cs="宋体"/>
          <w:b/>
          <w:color w:val="000000"/>
          <w:sz w:val="28"/>
          <w:szCs w:val="28"/>
          <w:highlight w:val="none"/>
        </w:rPr>
      </w:r>
      <w:r/>
    </w:p>
    <w:p>
      <w:pPr>
        <w:pStyle w:val="1263"/>
        <w:ind w:right="2719" w:firstLine="2406"/>
        <w:jc w:val="both"/>
        <w:pageBreakBefore w:val="0"/>
        <w:shd w:val="clear" w:color="auto" w:fill="auto"/>
        <w:widowControl w:val="off"/>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t xml:space="preserve">国家工商行政管理总局</w:t>
      </w:r>
      <w:r>
        <w:rPr>
          <w:rFonts w:hint="eastAsia" w:ascii="宋体" w:hAnsi="宋体" w:eastAsia="宋体" w:cs="宋体"/>
          <w:b/>
          <w:color w:val="000000"/>
          <w:sz w:val="28"/>
          <w:szCs w:val="28"/>
          <w:highlight w:val="none"/>
        </w:rPr>
      </w:r>
      <w:r/>
    </w:p>
    <w:p>
      <w:pPr>
        <w:pStyle w:val="1263"/>
        <w:pageBreakBefore w:val="0"/>
        <w:shd w:val="clear" w:color="auto" w:fill="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263"/>
        <w:jc w:val="center"/>
        <w:pageBreakBefore w:val="0"/>
        <w:spacing w:before="0" w:after="0" w:line="360" w:lineRule="auto"/>
        <w:widowControl w:val="off"/>
        <w:tabs>
          <w:tab w:val="left" w:pos="360" w:leader="none"/>
        </w:tabs>
        <w:rPr>
          <w:rFonts w:hint="eastAsia" w:ascii="宋体" w:hAnsi="宋体" w:eastAsia="宋体" w:cs="宋体"/>
          <w:color w:val="000000"/>
          <w:sz w:val="21"/>
          <w:szCs w:val="21"/>
          <w:highlight w:val="none"/>
          <w:lang w:val="zh-CN" w:eastAsia="zh-CN" w:bidi="ar-SA"/>
        </w:rPr>
        <w:outlineLvl w:val="9"/>
      </w:pPr>
      <w:r>
        <w:rPr>
          <w:rFonts w:hint="eastAsia" w:ascii="宋体" w:hAnsi="宋体" w:eastAsia="宋体" w:cs="宋体"/>
          <w:b w:val="0"/>
          <w:color w:val="000000"/>
          <w:sz w:val="21"/>
          <w:szCs w:val="21"/>
          <w:highlight w:val="none"/>
          <w:lang w:val="en-US" w:eastAsia="zh-CN" w:bidi="ar-SA"/>
        </w:rPr>
        <w:br w:type="page" w:clear="all"/>
      </w:r>
      <w:r>
        <w:rPr>
          <w:rFonts w:hint="eastAsia" w:ascii="宋体" w:hAnsi="宋体" w:eastAsia="宋体" w:cs="宋体"/>
          <w:b/>
          <w:bCs/>
          <w:color w:val="000000"/>
          <w:sz w:val="28"/>
          <w:szCs w:val="28"/>
          <w:highlight w:val="none"/>
          <w:lang w:val="zh-CN" w:eastAsia="zh-CN" w:bidi="ar-SA"/>
        </w:rPr>
        <w:t xml:space="preserve">说  明</w:t>
      </w:r>
      <w:r>
        <w:rPr>
          <w:rFonts w:hint="eastAsia" w:ascii="宋体" w:hAnsi="宋体" w:eastAsia="宋体" w:cs="宋体"/>
          <w:color w:val="000000"/>
          <w:sz w:val="21"/>
          <w:szCs w:val="21"/>
          <w:highlight w:val="none"/>
          <w:lang w:val="zh-CN" w:eastAsia="zh-CN" w:bidi="ar-SA"/>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为了指导建设工程施工合同当事人的签约行为，维护合同当事人的合法权益，依据《中华人民共和国</w:t>
      </w:r>
      <w:r>
        <w:rPr>
          <w:rFonts w:hint="eastAsia" w:ascii="宋体" w:hAnsi="宋体" w:eastAsia="宋体" w:cs="宋体"/>
          <w:color w:val="000000"/>
          <w:sz w:val="21"/>
          <w:szCs w:val="21"/>
          <w:highlight w:val="none"/>
          <w:lang w:eastAsia="zh-CN"/>
        </w:rPr>
        <w:t xml:space="preserve">民法典</w:t>
      </w:r>
      <w:r>
        <w:rPr>
          <w:rFonts w:hint="eastAsia" w:ascii="宋体" w:hAnsi="宋体" w:eastAsia="宋体" w:cs="宋体"/>
          <w:color w:val="000000"/>
          <w:sz w:val="21"/>
          <w:szCs w:val="21"/>
          <w:highlight w:val="none"/>
        </w:rPr>
        <w:t xml:space="preserve">》、《中华人民共和国建筑法》、《中华人民共和国招标投标法》以及相关法律法规，住房城乡建设部、国家工商行政管理总局对《建设工程施工合同（示范文本）》（GF-</w:t>
      </w:r>
      <w:r>
        <w:rPr>
          <w:rFonts w:hint="eastAsia" w:ascii="宋体" w:hAnsi="宋体" w:eastAsia="宋体" w:cs="宋体"/>
          <w:color w:val="000000"/>
          <w:sz w:val="21"/>
          <w:szCs w:val="21"/>
          <w:highlight w:val="none"/>
          <w:lang w:val="en-US" w:eastAsia="zh-CN"/>
        </w:rPr>
        <w:t xml:space="preserve">2013</w:t>
      </w:r>
      <w:r>
        <w:rPr>
          <w:rFonts w:hint="eastAsia" w:ascii="宋体" w:hAnsi="宋体" w:eastAsia="宋体" w:cs="宋体"/>
          <w:color w:val="000000"/>
          <w:sz w:val="21"/>
          <w:szCs w:val="21"/>
          <w:highlight w:val="none"/>
        </w:rPr>
        <w:t xml:space="preserve">-0201）进行了修订，制定了《建设工程施工合同（示范文本）》（GF-201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-0201）（以下简称《示范文本》）。为了便于合同当事人使用《示范文本》，现就有关问题说明如下：</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一、《示范文本》的组成</w:t>
      </w:r>
      <w:r>
        <w:rPr>
          <w:rFonts w:hint="eastAsia" w:ascii="宋体" w:hAnsi="宋体" w:eastAsia="宋体" w:cs="宋体"/>
          <w:bCs/>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《示范文本》由合同协议书、通用合同条款和专用合同条款三部分组成。</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（一）合同协议书</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（二）通用合同条款</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通用合同条款是合同当事人根据《中华人民共和国建筑法》、《中华人民共和国</w:t>
      </w:r>
      <w:r>
        <w:rPr>
          <w:rFonts w:hint="eastAsia" w:ascii="宋体" w:hAnsi="宋体" w:eastAsia="宋体" w:cs="宋体"/>
          <w:color w:val="000000"/>
          <w:sz w:val="21"/>
          <w:szCs w:val="21"/>
          <w:highlight w:val="none"/>
          <w:lang w:eastAsia="zh-CN"/>
        </w:rPr>
        <w:t xml:space="preserve">民法典</w:t>
      </w:r>
      <w:r>
        <w:rPr>
          <w:rFonts w:hint="eastAsia" w:ascii="宋体" w:hAnsi="宋体" w:eastAsia="宋体" w:cs="宋体"/>
          <w:color w:val="000000"/>
          <w:sz w:val="21"/>
          <w:szCs w:val="21"/>
          <w:highlight w:val="none"/>
        </w:rPr>
        <w:t xml:space="preserve">》等法律法规的规定，就工程建设的实施及相关事项，对合同当事人的权利义务作出的原则性约定。</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（三）专用合同条款</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eastAsia="宋体" w:cs="宋体"/>
          <w:color w:val="000000"/>
          <w:sz w:val="21"/>
          <w:szCs w:val="21"/>
          <w:highlight w:val="none"/>
        </w:rPr>
      </w:r>
      <w:r/>
    </w:p>
    <w:p>
      <w:pPr>
        <w:pStyle w:val="1263"/>
        <w:ind w:right="25"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专用合同条款的编号应与相应的通用合同条款的编号一致；</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合同当事人可以通过对专用合同条款的修改，满足具体建设工程的特殊要求，避免直接修改通用合同条款；</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在专用合同条款中有横道线的地方，合同当事人可针对相应的通用合同条款进行细化、完善、补充、修改或另行约定；如无细化、完善、补充、修改或另行约定，则填写“无”或划“/”。</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Cs/>
          <w:color w:val="000000"/>
          <w:sz w:val="21"/>
          <w:szCs w:val="21"/>
          <w:highlight w:val="none"/>
        </w:rPr>
        <w:t xml:space="preserve">二、《示范文本》的性质和适用范围</w:t>
      </w:r>
      <w:r>
        <w:rPr>
          <w:rFonts w:hint="eastAsia" w:ascii="宋体" w:hAnsi="宋体" w:eastAsia="宋体" w:cs="宋体"/>
          <w:b/>
          <w:color w:val="000000"/>
          <w:sz w:val="21"/>
          <w:szCs w:val="21"/>
          <w:highlight w:val="none"/>
        </w:rPr>
      </w:r>
      <w:r/>
    </w:p>
    <w:p>
      <w:pPr>
        <w:pStyle w:val="1263"/>
        <w:ind w:firstLine="420"/>
        <w:jc w:val="left"/>
        <w:pageBreakBefore w:val="0"/>
        <w:spacing w:line="360" w:lineRule="auto"/>
        <w:widowControl w:val="off"/>
        <w:rPr>
          <w:rFonts w:hint="eastAsia" w:ascii="宋体" w:hAnsi="宋体" w:eastAsia="宋体" w:cs="宋体"/>
          <w:color w:val="000000"/>
          <w:sz w:val="21"/>
          <w:szCs w:val="21"/>
          <w:highlight w:val="none"/>
        </w:rPr>
        <w:sectPr>
          <w:footerReference w:type="default" r:id="rId25"/>
          <w:footnotePr/>
          <w:endnotePr/>
          <w:type w:val="nextPage"/>
          <w:pgSz w:w="11905" w:h="16838" w:orient="portrait"/>
          <w:pgMar w:top="1417" w:right="1303" w:bottom="1417" w:left="1531" w:header="851" w:footer="992" w:gutter="0"/>
          <w:cols w:num="1" w:sep="0" w:space="1701" w:equalWidth="1"/>
          <w:docGrid w:linePitch="360"/>
          <w:titlePg/>
        </w:sectPr>
        <w:outlineLvl w:val="9"/>
      </w:pPr>
      <w:r>
        <w:rPr>
          <w:rFonts w:hint="eastAsia" w:ascii="宋体" w:hAnsi="宋体" w:eastAsia="宋体" w:cs="宋体"/>
          <w:color w:val="000000"/>
          <w:sz w:val="21"/>
          <w:szCs w:val="21"/>
          <w:highlight w:val="none"/>
        </w:rPr>
        <w:t xml:space="preserve">《示范文本》为非强制性使用文本。《示范文本》适用于房屋建筑工程、土木工程、线路管道和设备安装工程、装修工程等建设工程的施工承发包活动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合同当事人可结合建设工程具体情况，根据《示范文本》订立合同，并按照法律法规规定和合同约定承担相应的法律责任及合同权利义</w:t>
      </w:r>
      <w:r>
        <w:rPr>
          <w:rFonts w:hint="eastAsia" w:ascii="宋体" w:hAnsi="宋体" w:eastAsia="宋体" w:cs="宋体"/>
          <w:color w:val="000000"/>
          <w:sz w:val="21"/>
          <w:szCs w:val="21"/>
          <w:highlight w:val="none"/>
        </w:rPr>
      </w:r>
      <w:r/>
    </w:p>
    <w:p>
      <w:pPr>
        <w:pStyle w:val="1263"/>
        <w:jc w:val="center"/>
        <w:keepLines/>
        <w:keepNext/>
        <w:spacing w:before="260" w:after="260" w:line="416" w:lineRule="auto"/>
        <w:widowControl w:val="off"/>
        <w:rPr>
          <w:rFonts w:ascii="Times New Roman" w:hAnsi="Times New Roman" w:eastAsia="宋体" w:cs="Times New Roman"/>
          <w:b w:val="0"/>
          <w:bCs/>
          <w:color w:val="000000"/>
          <w:sz w:val="28"/>
          <w:szCs w:val="16"/>
          <w:highlight w:val="none"/>
          <w:lang w:val="zh-CN" w:eastAsia="zh-CN" w:bidi="ar-SA"/>
        </w:rPr>
        <w:outlineLvl w:val="1"/>
      </w:pPr>
      <w:r/>
      <w:bookmarkStart w:id="540" w:name="_Toc14719"/>
      <w:r>
        <w:rPr>
          <w:rFonts w:ascii="Times New Roman" w:hAnsi="Times New Roman" w:eastAsia="宋体" w:cs="Times New Roman"/>
          <w:b/>
          <w:bCs/>
          <w:color w:val="000000"/>
          <w:sz w:val="28"/>
          <w:szCs w:val="16"/>
          <w:highlight w:val="none"/>
          <w:lang w:val="zh-CN" w:eastAsia="zh-CN" w:bidi="ar-SA"/>
        </w:rPr>
        <w:t xml:space="preserve">第一部分 合同协议书</w:t>
      </w:r>
      <w:bookmarkEnd w:id="540"/>
      <w:r>
        <w:rPr>
          <w:rFonts w:ascii="Times New Roman" w:hAnsi="Times New Roman" w:eastAsia="宋体" w:cs="Times New Roman"/>
          <w:b w:val="0"/>
          <w:bCs/>
          <w:color w:val="000000"/>
          <w:sz w:val="28"/>
          <w:szCs w:val="16"/>
          <w:highlight w:val="none"/>
          <w:lang w:val="zh-CN" w:eastAsia="zh-CN" w:bidi="ar-SA"/>
        </w:rPr>
      </w:r>
      <w:r/>
    </w:p>
    <w:p>
      <w:pPr>
        <w:pStyle w:val="1263"/>
        <w:pageBreakBefore w:val="0"/>
        <w:spacing w:line="336" w:lineRule="auto"/>
        <w:widowControl w:val="off"/>
        <w:rPr>
          <w:rFonts w:hint="eastAsia" w:ascii="宋体" w:hAnsi="宋体" w:eastAsia="宋体" w:cs="宋体"/>
          <w:b/>
          <w:color w:val="000000"/>
          <w:sz w:val="21"/>
          <w:szCs w:val="21"/>
          <w:highlight w:val="none"/>
          <w:u w:val="single"/>
        </w:rPr>
        <w:outlineLvl w:val="9"/>
      </w:pPr>
      <w:r>
        <w:rPr>
          <w:rFonts w:hint="eastAsia" w:ascii="宋体" w:hAnsi="宋体" w:eastAsia="宋体" w:cs="宋体"/>
          <w:b/>
          <w:color w:val="000000"/>
          <w:sz w:val="21"/>
          <w:szCs w:val="21"/>
          <w:highlight w:val="none"/>
        </w:rPr>
        <w:t xml:space="preserve">发包人（全称）：</w:t>
      </w:r>
      <w:r>
        <w:rPr>
          <w:rFonts w:hint="eastAsia" w:ascii="宋体" w:hAnsi="宋体" w:eastAsia="宋体" w:cs="宋体"/>
          <w:b/>
          <w:color w:val="000000"/>
          <w:sz w:val="21"/>
          <w:szCs w:val="21"/>
          <w:highlight w:val="none"/>
          <w:u w:val="single"/>
        </w:rPr>
        <w:t xml:space="preserve">溧阳市上兴镇人民政府 </w:t>
      </w:r>
      <w:r>
        <w:rPr>
          <w:rFonts w:hint="eastAsia" w:ascii="宋体" w:hAnsi="宋体" w:eastAsia="宋体" w:cs="宋体"/>
          <w:b/>
          <w:color w:val="000000"/>
          <w:sz w:val="21"/>
          <w:szCs w:val="21"/>
          <w:highlight w:val="none"/>
          <w:u w:val="single"/>
        </w:rPr>
      </w:r>
      <w:r/>
    </w:p>
    <w:p>
      <w:pPr>
        <w:pStyle w:val="1263"/>
        <w:pageBreakBefore w:val="0"/>
        <w:spacing w:line="336" w:lineRule="auto"/>
        <w:widowControl w:val="off"/>
        <w:rPr>
          <w:rFonts w:hint="eastAsia" w:ascii="宋体" w:hAnsi="宋体" w:eastAsia="宋体" w:cs="宋体"/>
          <w:b/>
          <w:color w:val="000000"/>
          <w:sz w:val="21"/>
          <w:szCs w:val="21"/>
          <w:highlight w:val="none"/>
          <w:u w:val="single"/>
        </w:rPr>
        <w:outlineLvl w:val="9"/>
      </w:pPr>
      <w:r>
        <w:rPr>
          <w:rFonts w:hint="eastAsia" w:ascii="宋体" w:hAnsi="宋体" w:eastAsia="宋体" w:cs="宋体"/>
          <w:b/>
          <w:color w:val="000000"/>
          <w:sz w:val="21"/>
          <w:szCs w:val="21"/>
          <w:highlight w:val="none"/>
        </w:rPr>
        <w:t xml:space="preserve">承包人（全称）：</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r>
      <w:r/>
    </w:p>
    <w:p>
      <w:pPr>
        <w:pStyle w:val="1263"/>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根据《中华人民共和国</w:t>
      </w:r>
      <w:r>
        <w:rPr>
          <w:rFonts w:hint="eastAsia" w:ascii="宋体" w:hAnsi="宋体" w:eastAsia="宋体" w:cs="宋体"/>
          <w:color w:val="000000"/>
          <w:sz w:val="21"/>
          <w:szCs w:val="21"/>
          <w:highlight w:val="none"/>
          <w:lang w:eastAsia="zh-CN"/>
        </w:rPr>
        <w:t xml:space="preserve">民法典</w:t>
      </w:r>
      <w:r>
        <w:rPr>
          <w:rFonts w:hint="eastAsia" w:ascii="宋体" w:hAnsi="宋体" w:eastAsia="宋体" w:cs="宋体"/>
          <w:color w:val="000000"/>
          <w:sz w:val="21"/>
          <w:szCs w:val="21"/>
          <w:highlight w:val="none"/>
        </w:rPr>
        <w:t xml:space="preserve">》、《中华人民共和国建筑法》及有关法律规定，遵循平等、自愿、公平和诚实信用的原则，双方就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eastAsia="zh-CN"/>
        </w:rPr>
        <w:t xml:space="preserve">联强路（永兴大道-通港大道）改造工程</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工程施工及有关事项协商一致，共同达成如下协议：</w:t>
      </w:r>
      <w:r>
        <w:rPr>
          <w:rFonts w:hint="eastAsia" w:ascii="宋体" w:hAnsi="宋体" w:eastAsia="宋体" w:cs="宋体"/>
          <w:color w:val="000000"/>
          <w:sz w:val="21"/>
          <w:szCs w:val="21"/>
          <w:highlight w:val="none"/>
        </w:rPr>
      </w:r>
      <w:r/>
    </w:p>
    <w:p>
      <w:pPr>
        <w:pStyle w:val="1263"/>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一、工程概况</w:t>
      </w:r>
      <w:r>
        <w:rPr>
          <w:rFonts w:hint="eastAsia" w:ascii="宋体" w:hAnsi="宋体" w:eastAsia="宋体" w:cs="宋体"/>
          <w:bCs/>
          <w:color w:val="000000"/>
          <w:sz w:val="21"/>
          <w:szCs w:val="21"/>
          <w:highlight w:val="none"/>
        </w:rPr>
      </w:r>
      <w:r/>
    </w:p>
    <w:p>
      <w:pPr>
        <w:pStyle w:val="1263"/>
        <w:ind w:firstLine="411"/>
        <w:pageBreakBefore w:val="0"/>
        <w:spacing w:line="336"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bCs/>
          <w:color w:val="000000"/>
          <w:sz w:val="21"/>
          <w:szCs w:val="21"/>
          <w:highlight w:val="none"/>
        </w:rPr>
        <w:t xml:space="preserve">1.工程名称</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u w:val="single"/>
          <w:lang w:eastAsia="zh-CN"/>
        </w:rPr>
        <w:t xml:space="preserve">联强路（永兴大道-通港大道）改造工程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263"/>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2.工程地点：</w:t>
      </w:r>
      <w:r>
        <w:rPr>
          <w:rFonts w:hint="eastAsia" w:ascii="宋体" w:hAnsi="宋体" w:eastAsia="宋体" w:cs="宋体"/>
          <w:b w:val="0"/>
          <w:bCs/>
          <w:color w:val="000000"/>
          <w:sz w:val="21"/>
          <w:szCs w:val="21"/>
          <w:highlight w:val="none"/>
          <w:u w:val="single"/>
        </w:rPr>
        <w:t xml:space="preserve">溧阳市上兴镇</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r>
      <w:r/>
    </w:p>
    <w:p>
      <w:pPr>
        <w:pStyle w:val="1263"/>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3.工程立项批准文号：</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溧发改[2026]167号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263"/>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4.资金来源：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财政</w:t>
      </w:r>
      <w:r>
        <w:rPr>
          <w:rFonts w:hint="eastAsia" w:ascii="宋体" w:hAnsi="宋体" w:eastAsia="宋体" w:cs="宋体"/>
          <w:color w:val="000000"/>
          <w:sz w:val="21"/>
          <w:szCs w:val="21"/>
          <w:highlight w:val="none"/>
          <w:u w:val="single"/>
        </w:rPr>
        <w:t xml:space="preserve"> 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263"/>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5.工程内容：</w:t>
      </w:r>
      <w:r>
        <w:rPr>
          <w:rFonts w:ascii="宋体" w:hAnsi="宋体" w:eastAsia="宋体" w:cs="宋体"/>
          <w:b w:val="0"/>
          <w:bCs/>
          <w:color w:val="000000"/>
          <w:sz w:val="21"/>
          <w:szCs w:val="21"/>
          <w:highlight w:val="none"/>
          <w:u w:val="single"/>
        </w:rPr>
        <w:t xml:space="preserve">工程量清单范围内的所有</w:t>
      </w:r>
      <w:r>
        <w:rPr>
          <w:rFonts w:hint="eastAsia" w:ascii="宋体" w:hAnsi="宋体" w:eastAsia="宋体" w:cs="宋体"/>
          <w:b w:val="0"/>
          <w:bCs/>
          <w:color w:val="000000"/>
          <w:sz w:val="21"/>
          <w:szCs w:val="21"/>
          <w:highlight w:val="none"/>
          <w:u w:val="single"/>
        </w:rPr>
        <w:t xml:space="preserve">工程</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263"/>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群体工程应附《承包人承揽工程项目一览表》（附件1）。</w:t>
      </w:r>
      <w:r>
        <w:rPr>
          <w:rFonts w:hint="eastAsia" w:ascii="宋体" w:hAnsi="宋体" w:eastAsia="宋体" w:cs="宋体"/>
          <w:bCs/>
          <w:color w:val="000000"/>
          <w:sz w:val="21"/>
          <w:szCs w:val="21"/>
          <w:highlight w:val="none"/>
        </w:rPr>
      </w:r>
      <w:r/>
    </w:p>
    <w:p>
      <w:pPr>
        <w:pStyle w:val="1263"/>
        <w:ind w:firstLine="411"/>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6.工程承包范围：</w:t>
      </w:r>
      <w:r>
        <w:rPr>
          <w:rFonts w:hint="eastAsia" w:ascii="宋体" w:hAnsi="宋体" w:eastAsia="宋体" w:cs="Times New Roman"/>
          <w:bCs/>
          <w:color w:val="0000ff"/>
          <w:szCs w:val="30"/>
          <w:u w:val="single"/>
          <w:lang w:eastAsia="zh-CN"/>
        </w:rPr>
        <w:t xml:space="preserve">具体为图纸及工程量清单范围内的所有工程</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pageBreakBefore w:val="0"/>
        <w:spacing w:before="120" w:after="120" w:line="336"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   二、合同工期</w:t>
      </w:r>
      <w:r>
        <w:rPr>
          <w:rFonts w:hint="eastAsia" w:ascii="宋体" w:hAnsi="宋体" w:eastAsia="宋体" w:cs="宋体"/>
          <w:b/>
          <w:color w:val="000000"/>
          <w:sz w:val="21"/>
          <w:szCs w:val="21"/>
          <w:highlight w:val="none"/>
        </w:rPr>
      </w:r>
      <w:r/>
    </w:p>
    <w:p>
      <w:pPr>
        <w:pStyle w:val="1263"/>
        <w:ind w:firstLine="459"/>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263"/>
        <w:ind w:firstLine="459"/>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263"/>
        <w:ind w:firstLine="459"/>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60</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1263"/>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三、质量标准</w:t>
      </w:r>
      <w:r>
        <w:rPr>
          <w:rFonts w:hint="eastAsia" w:ascii="宋体" w:hAnsi="宋体" w:eastAsia="宋体" w:cs="宋体"/>
          <w:bCs/>
          <w:color w:val="000000"/>
          <w:sz w:val="21"/>
          <w:szCs w:val="21"/>
          <w:highlight w:val="none"/>
        </w:rPr>
      </w:r>
      <w:r/>
    </w:p>
    <w:p>
      <w:pPr>
        <w:pStyle w:val="1263"/>
        <w:ind w:firstLine="459"/>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工程质量符合</w:t>
      </w:r>
      <w:r>
        <w:rPr>
          <w:rFonts w:hint="eastAsia" w:ascii="宋体" w:hAnsi="宋体" w:eastAsia="宋体" w:cs="宋体"/>
          <w:color w:val="000000"/>
          <w:sz w:val="21"/>
          <w:szCs w:val="21"/>
          <w:highlight w:val="none"/>
          <w:u w:val="single"/>
          <w:lang w:val="en-US" w:eastAsia="zh-CN"/>
        </w:rPr>
        <w:t xml:space="preserve">合格</w:t>
      </w: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p>
      <w:pPr>
        <w:pStyle w:val="1263"/>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四、签约合同价与合同价格形式</w:t>
      </w:r>
      <w:r>
        <w:rPr>
          <w:rFonts w:hint="eastAsia" w:ascii="宋体" w:hAnsi="宋体" w:eastAsia="宋体" w:cs="宋体"/>
          <w:b/>
          <w:color w:val="000000"/>
          <w:sz w:val="21"/>
          <w:szCs w:val="21"/>
          <w:highlight w:val="none"/>
        </w:rPr>
        <w:tab/>
      </w:r>
      <w:r>
        <w:rPr>
          <w:rFonts w:hint="eastAsia" w:ascii="宋体" w:hAnsi="宋体" w:eastAsia="宋体" w:cs="宋体"/>
          <w:bCs/>
          <w:color w:val="000000"/>
          <w:sz w:val="21"/>
          <w:szCs w:val="21"/>
          <w:highlight w:val="none"/>
        </w:rPr>
      </w:r>
      <w:r/>
    </w:p>
    <w:p>
      <w:pPr>
        <w:pStyle w:val="1263"/>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1.签约合同价为：</w:t>
      </w:r>
      <w:r>
        <w:rPr>
          <w:rFonts w:hint="eastAsia" w:ascii="宋体" w:hAnsi="宋体" w:eastAsia="宋体" w:cs="宋体"/>
          <w:color w:val="000000"/>
          <w:sz w:val="21"/>
          <w:szCs w:val="21"/>
          <w:highlight w:val="none"/>
        </w:rPr>
      </w:r>
      <w:r/>
    </w:p>
    <w:p>
      <w:pPr>
        <w:pStyle w:val="1263"/>
        <w:ind w:firstLine="5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p>
      <w:pPr>
        <w:pStyle w:val="1263"/>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（1）安全</w:t>
      </w:r>
      <w:r>
        <w:rPr>
          <w:rFonts w:hint="eastAsia" w:ascii="宋体" w:hAnsi="宋体" w:eastAsia="宋体" w:cs="宋体"/>
          <w:color w:val="000000"/>
          <w:sz w:val="21"/>
          <w:szCs w:val="21"/>
          <w:highlight w:val="none"/>
          <w:lang w:val="en-US" w:eastAsia="zh-CN"/>
        </w:rPr>
        <w:t xml:space="preserve">生产措施费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94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（2）材料和工程设备暂估价金额：</w:t>
      </w:r>
      <w:r>
        <w:rPr>
          <w:rFonts w:hint="eastAsia" w:ascii="宋体" w:hAnsi="宋体" w:eastAsia="宋体" w:cs="宋体"/>
          <w:color w:val="000000"/>
          <w:sz w:val="21"/>
          <w:szCs w:val="21"/>
          <w:highlight w:val="none"/>
        </w:rPr>
      </w:r>
      <w:r/>
    </w:p>
    <w:p>
      <w:pPr>
        <w:pStyle w:val="1263"/>
        <w:ind w:firstLine="94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（3）专业工程暂估价金额：</w:t>
      </w:r>
      <w:r>
        <w:rPr>
          <w:rFonts w:hint="eastAsia" w:ascii="宋体" w:hAnsi="宋体" w:eastAsia="宋体" w:cs="宋体"/>
          <w:color w:val="000000"/>
          <w:sz w:val="21"/>
          <w:szCs w:val="21"/>
          <w:highlight w:val="none"/>
        </w:rPr>
      </w:r>
      <w:r/>
    </w:p>
    <w:p>
      <w:pPr>
        <w:pStyle w:val="1263"/>
        <w:ind w:firstLine="94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（4）暂列金额：</w:t>
      </w:r>
      <w:r>
        <w:rPr>
          <w:rFonts w:hint="eastAsia" w:ascii="宋体" w:hAnsi="宋体" w:eastAsia="宋体" w:cs="宋体"/>
          <w:color w:val="000000"/>
          <w:sz w:val="21"/>
          <w:szCs w:val="21"/>
          <w:highlight w:val="none"/>
        </w:rPr>
      </w:r>
      <w:r/>
    </w:p>
    <w:p>
      <w:pPr>
        <w:pStyle w:val="1263"/>
        <w:ind w:firstLine="94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2.合同价格形式：</w:t>
      </w:r>
      <w:r>
        <w:rPr>
          <w:rFonts w:hint="eastAsia" w:ascii="宋体" w:hAnsi="宋体" w:eastAsia="宋体" w:cs="宋体"/>
          <w:color w:val="000000"/>
          <w:sz w:val="21"/>
          <w:szCs w:val="21"/>
          <w:highlight w:val="none"/>
          <w:u w:val="single"/>
        </w:rPr>
        <w:t xml:space="preserve">固定单价合同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pageBreakBefore w:val="0"/>
        <w:spacing w:before="120" w:after="120" w:line="336"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五、项目经理</w:t>
      </w:r>
      <w:r>
        <w:rPr>
          <w:rFonts w:hint="eastAsia" w:ascii="宋体" w:hAnsi="宋体" w:eastAsia="宋体" w:cs="宋体"/>
          <w:b/>
          <w:color w:val="000000"/>
          <w:sz w:val="21"/>
          <w:szCs w:val="21"/>
          <w:highlight w:val="none"/>
        </w:rPr>
      </w:r>
      <w:r/>
    </w:p>
    <w:p>
      <w:pPr>
        <w:pStyle w:val="1263"/>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六、合同文件构成</w:t>
      </w:r>
      <w:r>
        <w:rPr>
          <w:rFonts w:hint="eastAsia" w:ascii="宋体" w:hAnsi="宋体" w:eastAsia="宋体" w:cs="宋体"/>
          <w:bCs/>
          <w:color w:val="000000"/>
          <w:sz w:val="21"/>
          <w:szCs w:val="21"/>
          <w:highlight w:val="none"/>
        </w:rPr>
      </w:r>
      <w:r/>
    </w:p>
    <w:p>
      <w:pPr>
        <w:pStyle w:val="1263"/>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1263"/>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（1）中标通知书（如果有）；</w:t>
      </w:r>
      <w:r>
        <w:rPr>
          <w:rFonts w:hint="eastAsia" w:ascii="宋体" w:hAnsi="宋体" w:eastAsia="宋体" w:cs="宋体"/>
          <w:color w:val="000000"/>
          <w:sz w:val="21"/>
          <w:szCs w:val="21"/>
          <w:highlight w:val="none"/>
        </w:rPr>
      </w:r>
      <w:r/>
    </w:p>
    <w:p>
      <w:pPr>
        <w:pStyle w:val="1263"/>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（2）投标函及其附录（如果有）； </w:t>
      </w:r>
      <w:r>
        <w:rPr>
          <w:rFonts w:hint="eastAsia" w:ascii="宋体" w:hAnsi="宋体" w:eastAsia="宋体" w:cs="宋体"/>
          <w:color w:val="000000"/>
          <w:sz w:val="21"/>
          <w:szCs w:val="21"/>
          <w:highlight w:val="none"/>
        </w:rPr>
      </w:r>
      <w:r/>
    </w:p>
    <w:p>
      <w:pPr>
        <w:pStyle w:val="1263"/>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（3）专用合同条款及其附件；</w:t>
      </w:r>
      <w:r>
        <w:rPr>
          <w:rFonts w:hint="eastAsia" w:ascii="宋体" w:hAnsi="宋体" w:eastAsia="宋体" w:cs="宋体"/>
          <w:color w:val="000000"/>
          <w:sz w:val="21"/>
          <w:szCs w:val="21"/>
          <w:highlight w:val="none"/>
        </w:rPr>
      </w:r>
      <w:r/>
    </w:p>
    <w:p>
      <w:pPr>
        <w:pStyle w:val="1263"/>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（4）通用合同条款；</w:t>
      </w:r>
      <w:r>
        <w:rPr>
          <w:rFonts w:hint="eastAsia" w:ascii="宋体" w:hAnsi="宋体" w:eastAsia="宋体" w:cs="宋体"/>
          <w:color w:val="000000"/>
          <w:sz w:val="21"/>
          <w:szCs w:val="21"/>
          <w:highlight w:val="none"/>
        </w:rPr>
      </w:r>
      <w:r/>
    </w:p>
    <w:p>
      <w:pPr>
        <w:pStyle w:val="1263"/>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（5）技术标准和要求；</w:t>
      </w:r>
      <w:r>
        <w:rPr>
          <w:rFonts w:hint="eastAsia" w:ascii="宋体" w:hAnsi="宋体" w:eastAsia="宋体" w:cs="宋体"/>
          <w:color w:val="000000"/>
          <w:sz w:val="21"/>
          <w:szCs w:val="21"/>
          <w:highlight w:val="none"/>
        </w:rPr>
      </w:r>
      <w:r/>
    </w:p>
    <w:p>
      <w:pPr>
        <w:pStyle w:val="1263"/>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（6）图纸；</w:t>
      </w:r>
      <w:r>
        <w:rPr>
          <w:rFonts w:hint="eastAsia" w:ascii="宋体" w:hAnsi="宋体" w:eastAsia="宋体" w:cs="宋体"/>
          <w:color w:val="000000"/>
          <w:sz w:val="21"/>
          <w:szCs w:val="21"/>
          <w:highlight w:val="none"/>
        </w:rPr>
      </w:r>
      <w:r/>
    </w:p>
    <w:p>
      <w:pPr>
        <w:pStyle w:val="1263"/>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（7）已标价工程量清单或预算书；</w:t>
      </w:r>
      <w:r>
        <w:rPr>
          <w:rFonts w:hint="eastAsia" w:ascii="宋体" w:hAnsi="宋体" w:eastAsia="宋体" w:cs="宋体"/>
          <w:color w:val="000000"/>
          <w:sz w:val="21"/>
          <w:szCs w:val="21"/>
          <w:highlight w:val="none"/>
        </w:rPr>
      </w:r>
      <w:r/>
    </w:p>
    <w:p>
      <w:pPr>
        <w:pStyle w:val="1263"/>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1263"/>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1263"/>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1263"/>
        <w:pageBreakBefore w:val="0"/>
        <w:spacing w:before="120" w:after="120" w:line="336"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   </w:t>
      </w:r>
      <w:r>
        <w:rPr>
          <w:rFonts w:hint="eastAsia" w:ascii="宋体" w:hAnsi="宋体" w:eastAsia="宋体" w:cs="宋体"/>
          <w:b/>
          <w:color w:val="000000"/>
          <w:sz w:val="21"/>
          <w:szCs w:val="21"/>
          <w:highlight w:val="none"/>
        </w:rPr>
        <w:t xml:space="preserve"> 七、承诺</w:t>
      </w:r>
      <w:r>
        <w:rPr>
          <w:rFonts w:hint="eastAsia" w:ascii="宋体" w:hAnsi="宋体" w:eastAsia="宋体" w:cs="宋体"/>
          <w:b/>
          <w:bCs/>
          <w:color w:val="000000"/>
          <w:sz w:val="21"/>
          <w:szCs w:val="21"/>
          <w:highlight w:val="none"/>
        </w:rPr>
      </w:r>
      <w:r/>
    </w:p>
    <w:p>
      <w:pPr>
        <w:pStyle w:val="1263"/>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1"/>
          <w:szCs w:val="21"/>
          <w:highlight w:val="none"/>
        </w:rPr>
      </w:r>
      <w:r/>
    </w:p>
    <w:p>
      <w:pPr>
        <w:pStyle w:val="1263"/>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highlight w:val="none"/>
        </w:rPr>
      </w:r>
      <w:r/>
    </w:p>
    <w:p>
      <w:pPr>
        <w:pStyle w:val="1263"/>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1"/>
          <w:szCs w:val="21"/>
          <w:highlight w:val="none"/>
        </w:rPr>
      </w:r>
      <w:r/>
    </w:p>
    <w:p>
      <w:pPr>
        <w:pStyle w:val="1263"/>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
          <w:color w:val="000000"/>
          <w:sz w:val="21"/>
          <w:szCs w:val="21"/>
          <w:highlight w:val="none"/>
        </w:rPr>
        <w:t xml:space="preserve">    八、词语含义</w:t>
      </w:r>
      <w:r>
        <w:rPr>
          <w:rFonts w:hint="eastAsia" w:ascii="宋体" w:hAnsi="宋体" w:eastAsia="宋体" w:cs="宋体"/>
          <w:bCs/>
          <w:color w:val="000000"/>
          <w:sz w:val="21"/>
          <w:szCs w:val="21"/>
          <w:highlight w:val="none"/>
        </w:rPr>
      </w:r>
      <w:r/>
    </w:p>
    <w:p>
      <w:pPr>
        <w:pStyle w:val="1263"/>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1263"/>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九、签订时间</w:t>
      </w:r>
      <w:r>
        <w:rPr>
          <w:rFonts w:hint="eastAsia" w:ascii="宋体" w:hAnsi="宋体" w:eastAsia="宋体" w:cs="宋体"/>
          <w:bCs/>
          <w:color w:val="000000"/>
          <w:sz w:val="21"/>
          <w:szCs w:val="21"/>
          <w:highlight w:val="none"/>
        </w:rPr>
      </w:r>
      <w:r/>
    </w:p>
    <w:p>
      <w:pPr>
        <w:pStyle w:val="1263"/>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1263"/>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十、签订地点</w:t>
      </w:r>
      <w:r>
        <w:rPr>
          <w:rFonts w:hint="eastAsia" w:ascii="宋体" w:hAnsi="宋体" w:eastAsia="宋体" w:cs="宋体"/>
          <w:bCs/>
          <w:color w:val="000000"/>
          <w:sz w:val="21"/>
          <w:szCs w:val="21"/>
          <w:highlight w:val="none"/>
        </w:rPr>
      </w:r>
      <w:r/>
    </w:p>
    <w:p>
      <w:pPr>
        <w:pStyle w:val="1263"/>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溧阳市</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1263"/>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十一、补充协议</w:t>
      </w:r>
      <w:r>
        <w:rPr>
          <w:rFonts w:hint="eastAsia" w:ascii="宋体" w:hAnsi="宋体" w:eastAsia="宋体" w:cs="宋体"/>
          <w:bCs/>
          <w:color w:val="000000"/>
          <w:sz w:val="21"/>
          <w:szCs w:val="21"/>
          <w:highlight w:val="none"/>
        </w:rPr>
      </w:r>
      <w:r/>
    </w:p>
    <w:p>
      <w:pPr>
        <w:pStyle w:val="1263"/>
        <w:ind w:firstLine="420"/>
        <w:pageBreakBefore w:val="0"/>
        <w:spacing w:line="336"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1263"/>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十二、合同生效</w:t>
      </w:r>
      <w:r>
        <w:rPr>
          <w:rFonts w:hint="eastAsia" w:ascii="宋体" w:hAnsi="宋体" w:eastAsia="宋体" w:cs="宋体"/>
          <w:bCs/>
          <w:color w:val="000000"/>
          <w:sz w:val="21"/>
          <w:szCs w:val="21"/>
          <w:highlight w:val="none"/>
        </w:rPr>
      </w:r>
      <w:r/>
    </w:p>
    <w:p>
      <w:pPr>
        <w:pStyle w:val="1263"/>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lang w:val="en-US" w:eastAsia="zh-CN"/>
        </w:rPr>
        <w:t xml:space="preserve">双方约定签字盖章后</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1263"/>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十三、合同份数</w:t>
      </w:r>
      <w:r>
        <w:rPr>
          <w:rFonts w:hint="eastAsia" w:ascii="宋体" w:hAnsi="宋体" w:eastAsia="宋体" w:cs="宋体"/>
          <w:bCs/>
          <w:color w:val="000000"/>
          <w:sz w:val="21"/>
          <w:szCs w:val="21"/>
          <w:highlight w:val="none"/>
        </w:rPr>
      </w:r>
      <w:r/>
    </w:p>
    <w:p>
      <w:pPr>
        <w:pStyle w:val="1263"/>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lang w:val="en-US" w:eastAsia="zh-CN"/>
        </w:rPr>
        <w:t xml:space="preserve">陆</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肆</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贰</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rPr>
      </w:r>
      <w:r/>
    </w:p>
    <w:p>
      <w:pPr>
        <w:pStyle w:val="1263"/>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承包人：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法定代表人或其委托代理人：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法定代表人或其委托代理人：</w:t>
      </w:r>
      <w:r>
        <w:rPr>
          <w:rFonts w:hint="eastAsia" w:ascii="宋体" w:hAnsi="宋体" w:eastAsia="宋体" w:cs="宋体"/>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（签字）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263"/>
        <w:pageBreakBefore w:val="0"/>
        <w:spacing w:line="336" w:lineRule="auto"/>
        <w:widowControl w:val="off"/>
        <w:tabs>
          <w:tab w:val="left" w:pos="441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组织机构代码：</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组织机构代码：</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  真：</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63"/>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63"/>
        <w:ind w:firstLine="2951"/>
        <w:jc w:val="both"/>
        <w:keepLines/>
        <w:keepNext/>
        <w:spacing w:before="260" w:after="260" w:line="416" w:lineRule="auto"/>
        <w:widowControl w:val="off"/>
        <w:rPr>
          <w:rFonts w:ascii="Times New Roman" w:hAnsi="Times New Roman" w:eastAsia="宋体" w:cs="Times New Roman"/>
          <w:b/>
          <w:bCs/>
          <w:color w:val="000000"/>
          <w:sz w:val="28"/>
          <w:szCs w:val="16"/>
          <w:highlight w:val="none"/>
          <w:lang w:val="zh-CN" w:eastAsia="zh-CN" w:bidi="ar-SA"/>
        </w:rPr>
        <w:outlineLvl w:val="1"/>
      </w:pPr>
      <w:r>
        <w:rPr>
          <w:rFonts w:hint="eastAsia" w:ascii="宋体" w:hAnsi="宋体" w:eastAsia="宋体" w:cs="宋体"/>
          <w:b/>
          <w:bCs/>
          <w:color w:val="000000"/>
          <w:sz w:val="21"/>
          <w:szCs w:val="21"/>
          <w:highlight w:val="none"/>
          <w:lang w:val="en-US" w:eastAsia="zh-CN" w:bidi="ar-SA"/>
        </w:rPr>
        <w:br w:type="page" w:clear="all"/>
      </w:r>
      <w:bookmarkStart w:id="541" w:name="_Toc4492"/>
      <w:r>
        <w:rPr>
          <w:rFonts w:ascii="Times New Roman" w:hAnsi="Times New Roman" w:eastAsia="宋体" w:cs="Times New Roman"/>
          <w:b/>
          <w:bCs/>
          <w:color w:val="000000"/>
          <w:sz w:val="28"/>
          <w:szCs w:val="16"/>
          <w:highlight w:val="none"/>
          <w:lang w:val="zh-CN" w:eastAsia="zh-CN" w:bidi="ar-SA"/>
        </w:rPr>
        <w:t xml:space="preserve">第二部分 通用合同条款</w:t>
      </w:r>
      <w:bookmarkEnd w:id="541"/>
      <w:r>
        <w:rPr>
          <w:rFonts w:ascii="Times New Roman" w:hAnsi="Times New Roman" w:eastAsia="宋体" w:cs="Times New Roman"/>
          <w:b/>
          <w:bCs/>
          <w:color w:val="000000"/>
          <w:sz w:val="28"/>
          <w:szCs w:val="16"/>
          <w:highlight w:val="none"/>
          <w:lang w:val="zh-CN" w:eastAsia="zh-CN" w:bidi="ar-SA"/>
        </w:rPr>
      </w:r>
      <w:r/>
    </w:p>
    <w:p>
      <w:pPr>
        <w:pStyle w:val="1263"/>
        <w:jc w:val="center"/>
        <w:pageBreakBefore w:val="0"/>
        <w:spacing w:line="360" w:lineRule="auto"/>
        <w:widowControl w:val="off"/>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eastAsia="zh-CN"/>
        </w:rPr>
        <w:t xml:space="preserve">详见</w:t>
      </w:r>
      <w:r>
        <w:rPr>
          <w:rFonts w:hint="eastAsia" w:ascii="宋体" w:hAnsi="宋体" w:eastAsia="宋体" w:cs="宋体"/>
          <w:b/>
          <w:bCs/>
          <w:color w:val="000000"/>
          <w:sz w:val="21"/>
          <w:szCs w:val="21"/>
          <w:highlight w:val="none"/>
        </w:rPr>
        <w:t xml:space="preserve">《建设工程施工合同（示范文本）》（GF-2017-0201）</w:t>
      </w:r>
      <w:r>
        <w:rPr>
          <w:rFonts w:hint="eastAsia" w:ascii="宋体" w:hAnsi="宋体" w:eastAsia="宋体" w:cs="宋体"/>
          <w:b/>
          <w:bCs/>
          <w:color w:val="000000"/>
          <w:sz w:val="21"/>
          <w:szCs w:val="21"/>
          <w:highlight w:val="none"/>
          <w:lang w:eastAsia="zh-CN"/>
        </w:rPr>
        <w:t xml:space="preserve">通用合同条款</w:t>
      </w:r>
      <w:r>
        <w:rPr>
          <w:rFonts w:hint="eastAsia" w:ascii="宋体" w:hAnsi="宋体" w:eastAsia="宋体" w:cs="宋体"/>
          <w:b/>
          <w:bCs/>
          <w:color w:val="000000"/>
          <w:sz w:val="21"/>
          <w:szCs w:val="21"/>
          <w:highlight w:val="none"/>
          <w:lang w:eastAsia="zh-CN"/>
        </w:rPr>
      </w:r>
      <w:r/>
    </w:p>
    <w:p>
      <w:pPr>
        <w:pStyle w:val="1263"/>
        <w:ind w:firstLine="2951"/>
        <w:jc w:val="both"/>
        <w:keepLines/>
        <w:keepNext/>
        <w:spacing w:before="260" w:after="260" w:line="416" w:lineRule="auto"/>
        <w:widowControl w:val="off"/>
        <w:rPr>
          <w:rFonts w:ascii="Times New Roman" w:hAnsi="Times New Roman" w:eastAsia="宋体" w:cs="Times New Roman"/>
          <w:b/>
          <w:bCs/>
          <w:color w:val="000000"/>
          <w:sz w:val="28"/>
          <w:szCs w:val="16"/>
          <w:highlight w:val="none"/>
          <w:lang w:val="zh-CN" w:eastAsia="zh-CN" w:bidi="ar-SA"/>
        </w:rPr>
        <w:outlineLvl w:val="1"/>
      </w:pPr>
      <w:r>
        <w:rPr>
          <w:rFonts w:hint="eastAsia" w:ascii="宋体" w:hAnsi="宋体" w:eastAsia="宋体" w:cs="宋体"/>
          <w:b/>
          <w:bCs/>
          <w:color w:val="000000"/>
          <w:sz w:val="21"/>
          <w:szCs w:val="21"/>
          <w:highlight w:val="none"/>
          <w:lang w:val="en-US" w:eastAsia="zh-CN" w:bidi="ar-SA"/>
        </w:rPr>
        <w:br w:type="page" w:clear="all"/>
      </w:r>
      <w:bookmarkStart w:id="542" w:name="_Toc16485"/>
      <w:r>
        <w:rPr>
          <w:rFonts w:ascii="Times New Roman" w:hAnsi="Times New Roman" w:eastAsia="宋体" w:cs="Times New Roman"/>
          <w:b/>
          <w:bCs/>
          <w:color w:val="000000"/>
          <w:sz w:val="28"/>
          <w:szCs w:val="16"/>
          <w:highlight w:val="none"/>
          <w:lang w:val="zh-CN" w:eastAsia="zh-CN" w:bidi="ar-SA"/>
        </w:rPr>
        <w:t xml:space="preserve">第三部分 专用合同条款</w:t>
      </w:r>
      <w:bookmarkEnd w:id="542"/>
      <w:r>
        <w:rPr>
          <w:rFonts w:ascii="Times New Roman" w:hAnsi="Times New Roman" w:eastAsia="宋体" w:cs="Times New Roman"/>
          <w:b/>
          <w:bCs/>
          <w:color w:val="000000"/>
          <w:sz w:val="28"/>
          <w:szCs w:val="16"/>
          <w:highlight w:val="none"/>
          <w:lang w:val="zh-CN" w:eastAsia="zh-CN" w:bidi="ar-SA"/>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 一般约定</w:t>
      </w:r>
      <w:r>
        <w:rPr>
          <w:rFonts w:hint="eastAsia" w:ascii="宋体" w:hAnsi="宋体" w:eastAsia="宋体" w:cs="宋体"/>
          <w:b/>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 词语定义</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1.1.1.10其他合同文件包括：</w:t>
      </w:r>
      <w:r>
        <w:rPr>
          <w:rFonts w:ascii="瀹嬩綋" w:hAnsi="瀹嬩綋" w:eastAsia="瀹嬩綋" w:cs="瀹嬩綋"/>
          <w:color w:val="0000ff"/>
          <w:sz w:val="21"/>
          <w:szCs w:val="21"/>
          <w:u w:val="single"/>
          <w:lang w:val="en-US" w:eastAsia="zh-CN" w:bidi="ar"/>
        </w:rPr>
        <w:t xml:space="preserve">其它有关本工程的洽商、变更等书面文件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1.1.2.4监理人：</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1.1.2.5 设计人：</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1.3法律 </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ff"/>
          <w:szCs w:val="21"/>
          <w:highlight w:val="none"/>
          <w:u w:val="single"/>
        </w:rPr>
        <w:t xml:space="preserve">国家、省、市有关文件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 标准和规范</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1.4.1适用于工程的标准规范包括：</w:t>
      </w:r>
      <w:r>
        <w:rPr>
          <w:rFonts w:hint="eastAsia" w:ascii="宋体" w:hAnsi="宋体" w:eastAsia="宋体" w:cs="宋体"/>
          <w:color w:val="0000ff"/>
          <w:szCs w:val="21"/>
          <w:highlight w:val="none"/>
          <w:u w:val="single"/>
        </w:rPr>
        <w:t xml:space="preserve">国家和地方的有关标准、规范及投标承诺质量标准。工程所需的所有标准、规范或制定施工工艺的费用，由承包人自行承担</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1.4.3发包人对工程的技术标准和功能要求的特殊要求：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 合同文件的优先顺序</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合同文件组成及优先顺序为：</w:t>
      </w:r>
      <w:r>
        <w:rPr>
          <w:rFonts w:ascii="宋体" w:hAnsi="宋体" w:eastAsia="宋体" w:cs="Times New Roman"/>
          <w:color w:val="0000ff"/>
          <w:szCs w:val="21"/>
          <w:highlight w:val="none"/>
          <w:u w:val="single"/>
        </w:rPr>
        <w:t xml:space="preserve">(1)合同协议书；(2)中标通知书；(3)投标函及投标函附录；(4)专用合同条款；(5)通用合同条款；(6)技术标准和要求；(7)图纸；(8)已标价工程量清单；(9)其他合同文件。合同双方在合同履行过程中签订的补充协议亦构成合同文件的组成部分，其解释顺序视其内容与其他合同文件的相互关系而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 图纸和承包人文件</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发包人向承包人提供图纸的期限：</w:t>
      </w:r>
      <w:r>
        <w:rPr>
          <w:rFonts w:ascii="宋体" w:hAnsi="宋体" w:eastAsia="宋体" w:cs="宋体"/>
          <w:color w:val="0000ff"/>
          <w:sz w:val="21"/>
          <w:szCs w:val="21"/>
          <w:highlight w:val="none"/>
          <w:u w:val="single"/>
        </w:rPr>
        <w:t xml:space="preserve">开工前</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发包人向承包人提供图纸的数量：</w:t>
      </w:r>
      <w:r>
        <w:rPr>
          <w:rFonts w:ascii="宋体" w:hAnsi="宋体" w:eastAsia="宋体" w:cs="宋体"/>
          <w:color w:val="0000ff"/>
          <w:sz w:val="21"/>
          <w:szCs w:val="21"/>
          <w:highlight w:val="none"/>
          <w:u w:val="single"/>
        </w:rPr>
        <w:t xml:space="preserve">四份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发包人向承包人提供图纸的内容：</w:t>
      </w:r>
      <w:r>
        <w:rPr>
          <w:rFonts w:ascii="宋体" w:hAnsi="宋体" w:eastAsia="宋体" w:cs="宋体"/>
          <w:color w:val="0000ff"/>
          <w:sz w:val="21"/>
          <w:szCs w:val="21"/>
          <w:highlight w:val="none"/>
          <w:u w:val="single"/>
          <w:lang w:val="en-US" w:eastAsia="zh-CN"/>
        </w:rPr>
        <w:t xml:space="preserve">全套施工图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color w:val="0000ff"/>
          <w:sz w:val="21"/>
          <w:szCs w:val="21"/>
          <w:highlight w:val="none"/>
          <w:u w:val="single"/>
        </w:rPr>
        <w:t xml:space="preserve">按发包人及监理要求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ff"/>
          <w:sz w:val="21"/>
          <w:szCs w:val="21"/>
          <w:highlight w:val="none"/>
          <w:u w:val="single"/>
        </w:rPr>
        <w:t xml:space="preserve">按发包人及监理要求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ff"/>
          <w:sz w:val="21"/>
          <w:szCs w:val="21"/>
          <w:highlight w:val="none"/>
          <w:u w:val="single"/>
        </w:rPr>
        <w:t xml:space="preserve">按发包人及监理要求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ff"/>
          <w:sz w:val="21"/>
          <w:szCs w:val="21"/>
          <w:highlight w:val="none"/>
          <w:u w:val="single"/>
        </w:rPr>
        <w:t xml:space="preserve">按发包人及监理要求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color w:val="0000ff"/>
          <w:sz w:val="21"/>
          <w:szCs w:val="21"/>
          <w:highlight w:val="none"/>
          <w:u w:val="single"/>
        </w:rPr>
        <w:t xml:space="preserve">按发包人及监理要求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1.6.5 现场图纸准备</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ff"/>
          <w:sz w:val="21"/>
          <w:szCs w:val="21"/>
          <w:highlight w:val="none"/>
          <w:u w:val="single"/>
          <w:lang w:eastAsia="zh-CN"/>
        </w:rPr>
        <w:t xml:space="preserve">除严格用于合同目的者外，由发包人和监理工程师提供的图纸、规范和其他文件未经发包人许可，承包人不得用于或泄露给第三方</w:t>
      </w:r>
      <w:r>
        <w:rPr>
          <w:rFonts w:hint="eastAsia" w:ascii="宋体" w:hAnsi="宋体" w:eastAsia="宋体" w:cs="宋体"/>
          <w:color w:val="0000ff"/>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 联络</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color w:val="0000ff"/>
          <w:sz w:val="21"/>
          <w:szCs w:val="21"/>
          <w:highlight w:val="none"/>
          <w:u w:val="single"/>
          <w:lang w:eastAsia="zh-CN"/>
        </w:rPr>
        <w:t xml:space="preserve">派驻现场发包人办公室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ff"/>
          <w:sz w:val="21"/>
          <w:szCs w:val="21"/>
          <w:highlight w:val="none"/>
          <w:u w:val="single"/>
          <w:lang w:eastAsia="zh-CN"/>
        </w:rPr>
        <w:t xml:space="preserve">项目负责人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ff"/>
          <w:sz w:val="21"/>
          <w:szCs w:val="21"/>
          <w:highlight w:val="none"/>
          <w:u w:val="single"/>
          <w:lang w:eastAsia="zh-CN"/>
        </w:rPr>
        <w:t xml:space="preserve">承包人施工现场项目部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ff"/>
          <w:sz w:val="21"/>
          <w:szCs w:val="21"/>
          <w:highlight w:val="none"/>
          <w:u w:val="single"/>
          <w:lang w:val="en-US" w:eastAsia="zh-CN"/>
        </w:rPr>
        <w:t xml:space="preserve">项目经理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ff"/>
          <w:sz w:val="21"/>
          <w:szCs w:val="21"/>
          <w:highlight w:val="none"/>
          <w:u w:val="single"/>
          <w:lang w:val="en-US" w:eastAsia="zh-CN"/>
        </w:rPr>
        <w:t xml:space="preserve">施工现场监理办公室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ff"/>
          <w:sz w:val="21"/>
          <w:szCs w:val="21"/>
          <w:highlight w:val="none"/>
          <w:u w:val="single"/>
          <w:lang w:val="en-US" w:eastAsia="zh-CN"/>
        </w:rPr>
        <w:t xml:space="preserve">总监理工程师</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 交通运输</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1.10.1 出入现场的权利</w:t>
      </w:r>
      <w:r>
        <w:rPr>
          <w:rFonts w:hint="eastAsia" w:ascii="宋体" w:hAnsi="宋体" w:eastAsia="宋体" w:cs="宋体"/>
          <w:color w:val="000000"/>
          <w:sz w:val="21"/>
          <w:szCs w:val="21"/>
          <w:highlight w:val="none"/>
        </w:rPr>
      </w:r>
      <w:r/>
    </w:p>
    <w:p>
      <w:pPr>
        <w:pStyle w:val="126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ff"/>
          <w:sz w:val="21"/>
          <w:szCs w:val="21"/>
          <w:highlight w:val="none"/>
          <w:u w:val="single"/>
          <w:lang w:val="en-US" w:eastAsia="zh-CN"/>
        </w:rPr>
        <w:t xml:space="preserve">按现场现有条件，发包人不再承担费用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t xml:space="preserve">.1</w:t>
      </w:r>
      <w:r>
        <w:rPr>
          <w:rFonts w:hint="eastAsia" w:ascii="宋体" w:hAnsi="宋体" w:eastAsia="宋体" w:cs="宋体"/>
          <w:szCs w:val="21"/>
          <w:highlight w:val="none"/>
        </w:rPr>
        <w:t xml:space="preserve">0</w:t>
      </w:r>
      <w:r>
        <w:rPr>
          <w:rFonts w:ascii="宋体" w:hAnsi="宋体" w:eastAsia="宋体" w:cs="宋体"/>
          <w:szCs w:val="21"/>
          <w:highlight w:val="none"/>
        </w:rPr>
        <w:t xml:space="preserve">.2 </w:t>
      </w:r>
      <w:r>
        <w:rPr>
          <w:rFonts w:hint="eastAsia" w:ascii="宋体" w:hAnsi="宋体" w:eastAsia="宋体" w:cs="宋体"/>
          <w:szCs w:val="21"/>
          <w:highlight w:val="none"/>
        </w:rPr>
        <w:t xml:space="preserve">场外交通</w:t>
      </w:r>
      <w:r>
        <w:rPr>
          <w:rFonts w:hint="eastAsia" w:ascii="宋体" w:hAnsi="宋体" w:eastAsia="宋体" w:cs="宋体"/>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szCs w:val="21"/>
          <w:highlight w:val="none"/>
        </w:rPr>
        <w:t xml:space="preserve">关于场外交通的特别约定：</w:t>
      </w:r>
      <w:r>
        <w:rPr>
          <w:rFonts w:hint="eastAsia" w:ascii="宋体" w:hAnsi="宋体" w:eastAsia="宋体" w:cs="宋体"/>
          <w:color w:val="0000ff"/>
          <w:szCs w:val="21"/>
          <w:highlight w:val="none"/>
          <w:u w:val="single"/>
        </w:rPr>
        <w:t xml:space="preserve">所有场外交通的实施、畅通及矛盾协调费用已包含在综合报价中，均由承包人自行考虑。</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1.10.3 场内交通</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关于场外交通和场内交通的边界的约定：</w:t>
      </w:r>
      <w:r>
        <w:rPr>
          <w:rFonts w:ascii="宋体" w:hAnsi="宋体" w:eastAsia="宋体" w:cs="宋体"/>
          <w:color w:val="0000ff"/>
          <w:szCs w:val="21"/>
          <w:highlight w:val="none"/>
          <w:u w:val="single"/>
        </w:rPr>
        <w:t xml:space="preserve">施工现场围挡内为场内交通；施工现场围挡外为场外交通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rPr>
        <w:outlineLvl w:val="9"/>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rPr>
          <w:rFonts w:ascii="宋体" w:hAnsi="宋体" w:eastAsia="宋体" w:cs="宋体"/>
          <w:color w:val="0000ff"/>
          <w:sz w:val="21"/>
          <w:szCs w:val="21"/>
          <w:highlight w:val="none"/>
          <w:u w:val="single"/>
          <w:lang w:val="en-US" w:eastAsia="zh-CN"/>
        </w:rPr>
        <w:t xml:space="preserve">发包人不提 供任何道路和交通设施，由承包人投标时自行考虑并承担费用</w:t>
      </w:r>
      <w:r>
        <w:rPr>
          <w:rFonts w:hint="eastAsia" w:ascii="宋体" w:hAnsi="宋体" w:eastAsia="宋体" w:cs="宋体"/>
          <w:color w:val="0000ff"/>
          <w:sz w:val="21"/>
          <w:szCs w:val="21"/>
          <w:highlight w:val="none"/>
        </w:rPr>
        <w:t xml:space="preserve">。  </w:t>
      </w:r>
      <w:r>
        <w:rPr>
          <w:rFonts w:hint="eastAsia" w:ascii="宋体" w:hAnsi="宋体" w:eastAsia="宋体" w:cs="宋体"/>
          <w:color w:val="0000ff"/>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1.10.4超大件和超重件的运输</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rPr>
        <w:outlineLvl w:val="9"/>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ff"/>
          <w:sz w:val="21"/>
          <w:szCs w:val="21"/>
          <w:highlight w:val="none"/>
          <w:u w:val="single"/>
          <w:lang w:val="en-US" w:eastAsia="zh-CN"/>
        </w:rPr>
        <w:t xml:space="preserve">承包人负责</w:t>
      </w:r>
      <w:r>
        <w:rPr>
          <w:rFonts w:hint="eastAsia" w:ascii="宋体" w:hAnsi="宋体" w:eastAsia="宋体" w:cs="宋体"/>
          <w:color w:val="0000ff"/>
          <w:sz w:val="21"/>
          <w:szCs w:val="21"/>
          <w:highlight w:val="none"/>
          <w:u w:val="single"/>
        </w:rPr>
        <w:t xml:space="preserve">承担</w:t>
      </w:r>
      <w:r>
        <w:rPr>
          <w:rFonts w:hint="eastAsia" w:ascii="宋体" w:hAnsi="宋体" w:eastAsia="宋体" w:cs="宋体"/>
          <w:color w:val="0000ff"/>
          <w:sz w:val="21"/>
          <w:szCs w:val="21"/>
          <w:highlight w:val="none"/>
        </w:rPr>
        <w:t xml:space="preserve">。</w:t>
      </w:r>
      <w:r>
        <w:rPr>
          <w:rFonts w:hint="eastAsia" w:ascii="宋体" w:hAnsi="宋体" w:eastAsia="宋体" w:cs="宋体"/>
          <w:color w:val="0000ff"/>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 知识产权</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ff"/>
          <w:sz w:val="21"/>
          <w:szCs w:val="21"/>
          <w:highlight w:val="none"/>
          <w:u w:val="single"/>
          <w:lang w:val="en-US" w:eastAsia="zh-CN"/>
        </w:rPr>
        <w:t xml:space="preserve">著作权属于发包人</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Times New Roman"/>
          <w:bCs/>
          <w:color w:val="0000ff"/>
          <w:szCs w:val="21"/>
          <w:highlight w:val="none"/>
          <w:u w:val="single"/>
        </w:rPr>
        <w:t xml:space="preserve">除严格用于合同目的外，图纸、规范和其他文件未经发包人许可，承包人不得用于或泄露给第三方</w:t>
      </w:r>
      <w:r>
        <w:rPr>
          <w:rFonts w:ascii="宋体" w:hAnsi="宋体" w:eastAsia="宋体" w:cs="Times New Roman"/>
          <w:bCs/>
          <w:color w:val="0000ff"/>
          <w:szCs w:val="21"/>
          <w:highlight w:val="none"/>
          <w:u w:val="single"/>
        </w:rPr>
        <w:t xml:space="preserve">；未经发包人同意，不得外借使用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1.11.2 关于承包人为实施工程所编制文件的著作权的归属：</w:t>
      </w:r>
      <w:r>
        <w:rPr>
          <w:rFonts w:hint="eastAsia" w:ascii="宋体" w:hAnsi="宋体" w:eastAsia="宋体" w:cs="宋体"/>
          <w:color w:val="0000ff"/>
          <w:sz w:val="21"/>
          <w:szCs w:val="21"/>
          <w:highlight w:val="none"/>
          <w:u w:val="single"/>
          <w:lang w:val="en-US" w:eastAsia="zh-CN"/>
        </w:rPr>
        <w:t xml:space="preserve">属于发包人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ff"/>
          <w:sz w:val="21"/>
          <w:szCs w:val="21"/>
          <w:highlight w:val="none"/>
          <w:u w:val="single"/>
          <w:lang w:val="en-US" w:eastAsia="zh-CN"/>
        </w:rPr>
        <w:outlineLvl w:val="9"/>
      </w:pPr>
      <w:r>
        <w:rPr>
          <w:rFonts w:hint="eastAsia" w:ascii="宋体" w:hAnsi="宋体" w:eastAsia="宋体" w:cs="宋体"/>
          <w:color w:val="000000"/>
          <w:sz w:val="21"/>
          <w:szCs w:val="21"/>
          <w:highlight w:val="none"/>
        </w:rPr>
        <w:t xml:space="preserve">关于承包人提供的上述文件的使用限制的要求：</w:t>
      </w:r>
      <w:r>
        <w:rPr>
          <w:rFonts w:ascii="宋体" w:hAnsi="宋体" w:eastAsia="宋体" w:cs="Times New Roman"/>
          <w:bCs/>
          <w:color w:val="0000ff"/>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ff"/>
          <w:sz w:val="21"/>
          <w:szCs w:val="21"/>
          <w:highlight w:val="none"/>
          <w:u w:val="single"/>
          <w:lang w:val="en-US" w:eastAsia="zh-CN"/>
        </w:rPr>
        <w:t xml:space="preserve">。</w:t>
      </w:r>
      <w:r>
        <w:rPr>
          <w:rFonts w:hint="eastAsia" w:ascii="宋体" w:hAnsi="宋体" w:eastAsia="宋体" w:cs="宋体"/>
          <w:color w:val="0000ff"/>
          <w:sz w:val="21"/>
          <w:szCs w:val="21"/>
          <w:highlight w:val="none"/>
          <w:u w:val="single"/>
          <w:lang w:val="en-US" w:eastAsia="zh-CN"/>
        </w:rPr>
      </w:r>
      <w:r/>
    </w:p>
    <w:p>
      <w:pPr>
        <w:pStyle w:val="1263"/>
        <w:ind w:left="0" w:firstLine="420"/>
        <w:keepLines w:val="0"/>
        <w:keepNext w:val="0"/>
        <w:pageBreakBefore w:val="0"/>
        <w:spacing w:line="360" w:lineRule="auto"/>
        <w:widowControl w:val="off"/>
        <w:rPr>
          <w:rFonts w:hint="eastAsia" w:ascii="宋体" w:hAnsi="宋体" w:eastAsia="宋体" w:cs="宋体"/>
          <w:color w:val="0000ff"/>
          <w:sz w:val="21"/>
          <w:szCs w:val="21"/>
          <w:highlight w:val="none"/>
        </w:rPr>
        <w:outlineLvl w:val="9"/>
      </w:pPr>
      <w:r>
        <w:rPr>
          <w:rFonts w:hint="eastAsia" w:ascii="宋体" w:hAnsi="宋体" w:eastAsia="宋体" w:cs="宋体"/>
          <w:color w:val="000000"/>
          <w:sz w:val="21"/>
          <w:szCs w:val="21"/>
          <w:highlight w:val="none"/>
        </w:rPr>
        <w:t xml:space="preserve">1.11.4 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ff"/>
          <w:sz w:val="21"/>
          <w:szCs w:val="21"/>
          <w:highlight w:val="none"/>
          <w:u w:val="single"/>
          <w:lang w:val="en-US" w:eastAsia="zh-CN"/>
        </w:rPr>
        <w:t xml:space="preserve">由承包人承担 </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ff"/>
          <w:sz w:val="21"/>
          <w:szCs w:val="21"/>
          <w:highlight w:val="none"/>
        </w:rPr>
        <w:t xml:space="preserve">。</w:t>
      </w:r>
      <w:r>
        <w:rPr>
          <w:rFonts w:hint="eastAsia" w:ascii="宋体" w:hAnsi="宋体" w:eastAsia="宋体" w:cs="宋体"/>
          <w:color w:val="0000ff"/>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1.13工程量清单错误的修正</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ff"/>
          <w:sz w:val="21"/>
          <w:szCs w:val="21"/>
          <w:highlight w:val="none"/>
          <w:u w:val="single"/>
          <w:lang w:val="en-US" w:eastAsia="zh-CN"/>
        </w:rPr>
        <w:t xml:space="preserve">按通用条款及补充条款约定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ff"/>
          <w:sz w:val="21"/>
          <w:szCs w:val="21"/>
          <w:highlight w:val="none"/>
          <w:u w:val="single"/>
          <w:lang w:val="en-US" w:eastAsia="zh-CN"/>
        </w:rPr>
        <w:t xml:space="preserve">工程量偏差清单综合单价不作调整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2. 发包人</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2.2 发包人代表</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发包人代表：</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b/>
          <w:color w:val="0000ff"/>
          <w:sz w:val="21"/>
          <w:szCs w:val="21"/>
          <w:highlight w:val="none"/>
        </w:rPr>
        <w:outlineLvl w:val="9"/>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ff"/>
          <w:sz w:val="21"/>
          <w:szCs w:val="21"/>
          <w:highlight w:val="none"/>
          <w:u w:val="single"/>
          <w:lang w:val="en-US" w:eastAsia="zh-CN"/>
        </w:rPr>
        <w:t xml:space="preserve">主持开展施工现场的全面工作及对监理工作的检查、工程造价的签证认可。负责工程建设的内、外部关系协调，对工程投资影响因素的确认，负责解决应由发包人处理的问题</w:t>
      </w:r>
      <w:r>
        <w:rPr>
          <w:rFonts w:ascii="宋体" w:hAnsi="宋体" w:eastAsia="宋体" w:cs="宋体"/>
          <w:color w:val="0000ff"/>
          <w:sz w:val="21"/>
          <w:szCs w:val="21"/>
          <w:highlight w:val="none"/>
          <w:u w:val="single"/>
          <w:lang w:val="en-US" w:eastAsia="zh-CN"/>
        </w:rPr>
        <w:t xml:space="preserve"> </w:t>
      </w:r>
      <w:r>
        <w:rPr>
          <w:rFonts w:hint="eastAsia" w:ascii="宋体" w:hAnsi="宋体" w:eastAsia="宋体" w:cs="宋体"/>
          <w:color w:val="0000ff"/>
          <w:sz w:val="21"/>
          <w:szCs w:val="21"/>
          <w:highlight w:val="none"/>
          <w:u w:val="single"/>
        </w:rPr>
        <w:t xml:space="preserve"></w:t>
      </w:r>
      <w:r>
        <w:rPr>
          <w:rFonts w:hint="eastAsia" w:ascii="宋体" w:hAnsi="宋体" w:eastAsia="宋体" w:cs="宋体"/>
          <w:color w:val="0000ff"/>
          <w:sz w:val="21"/>
          <w:szCs w:val="21"/>
          <w:highlight w:val="none"/>
        </w:rPr>
        <w:t xml:space="preserve">。</w:t>
      </w:r>
      <w:r>
        <w:rPr>
          <w:rFonts w:hint="eastAsia" w:ascii="宋体" w:hAnsi="宋体" w:eastAsia="宋体" w:cs="宋体"/>
          <w:b/>
          <w:color w:val="0000ff"/>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 施工现场、施工条件和基础资料的提供</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Times New Roman"/>
          <w:bCs/>
          <w:color w:val="0000ff"/>
          <w:szCs w:val="21"/>
          <w:highlight w:val="none"/>
          <w:u w:val="single"/>
        </w:rPr>
        <w:t xml:space="preserve">中标通知书开出后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1263"/>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Times New Roman"/>
          <w:bCs/>
          <w:color w:val="0000ff"/>
          <w:szCs w:val="21"/>
          <w:highlight w:val="none"/>
          <w:u w:val="single"/>
        </w:rPr>
        <w:t xml:space="preserve">承包人自行踏勘现场，</w:t>
      </w:r>
      <w:r>
        <w:rPr>
          <w:rFonts w:ascii="宋体" w:hAnsi="宋体" w:eastAsia="宋体" w:cs="Times New Roman"/>
          <w:bCs/>
          <w:color w:val="0000ff"/>
          <w:szCs w:val="21"/>
          <w:highlight w:val="none"/>
          <w:u w:val="single"/>
        </w:rPr>
        <w:t xml:space="preserve">施工用水源、电源按施工场地现状提供</w:t>
      </w:r>
      <w:r>
        <w:rPr>
          <w:rFonts w:hint="eastAsia" w:ascii="宋体" w:hAnsi="宋体" w:eastAsia="宋体" w:cs="Times New Roman"/>
          <w:bCs/>
          <w:color w:val="0000ff"/>
          <w:szCs w:val="21"/>
          <w:highlight w:val="none"/>
          <w:u w:val="single"/>
        </w:rPr>
        <w:t xml:space="preserve">，水、电费用已含在合同价中，由承包人自理</w:t>
      </w:r>
      <w:r>
        <w:rPr>
          <w:rFonts w:ascii="宋体" w:hAnsi="宋体" w:eastAsia="宋体" w:cs="Times New Roman"/>
          <w:bCs/>
          <w:color w:val="0000ff"/>
          <w:szCs w:val="21"/>
          <w:highlight w:val="none"/>
          <w:u w:val="single"/>
        </w:rPr>
        <w:t xml:space="preserve">(</w:t>
      </w:r>
      <w:r>
        <w:rPr>
          <w:rFonts w:hint="eastAsia" w:ascii="宋体" w:hAnsi="宋体" w:eastAsia="宋体" w:cs="Times New Roman"/>
          <w:bCs/>
          <w:color w:val="0000ff"/>
          <w:szCs w:val="21"/>
          <w:highlight w:val="none"/>
          <w:u w:val="single"/>
        </w:rPr>
        <w:t xml:space="preserve">包括</w:t>
      </w:r>
      <w:r>
        <w:rPr>
          <w:rFonts w:ascii="宋体" w:hAnsi="宋体" w:eastAsia="宋体" w:cs="Times New Roman"/>
          <w:bCs/>
          <w:color w:val="0000ff"/>
          <w:szCs w:val="21"/>
          <w:highlight w:val="none"/>
          <w:u w:val="single"/>
        </w:rPr>
        <w:t xml:space="preserve">但不限于表前后水、电管线布置手续、费用等)</w:t>
      </w:r>
      <w:r>
        <w:rPr>
          <w:rFonts w:hint="eastAsia" w:ascii="宋体" w:hAnsi="宋体" w:eastAsia="宋体" w:cs="Times New Roman"/>
          <w:bCs/>
          <w:color w:val="0000ff"/>
          <w:szCs w:val="21"/>
          <w:highlight w:val="none"/>
          <w:u w:val="single"/>
        </w:rPr>
        <w:t xml:space="preserve">，若承包人在施工过程中盗用消防水，所产生的一切责任都由承包人承担。其他按</w:t>
      </w:r>
      <w:r>
        <w:rPr>
          <w:rFonts w:ascii="宋体" w:hAnsi="宋体" w:eastAsia="宋体" w:cs="Times New Roman"/>
          <w:bCs/>
          <w:color w:val="0000ff"/>
          <w:szCs w:val="21"/>
          <w:highlight w:val="none"/>
          <w:u w:val="single"/>
        </w:rPr>
        <w:t xml:space="preserve">21.其他条款约定</w:t>
      </w:r>
      <w:r>
        <w:rPr>
          <w:rFonts w:hint="eastAsia" w:ascii="宋体" w:hAnsi="宋体" w:eastAsia="宋体" w:cs="宋体"/>
          <w:szCs w:val="21"/>
          <w:highlight w:val="none"/>
        </w:rPr>
        <w:t xml:space="preserve">。</w:t>
      </w:r>
      <w:r>
        <w:rPr>
          <w:rFonts w:hint="eastAsia" w:ascii="宋体" w:hAnsi="宋体" w:eastAsia="宋体" w:cs="宋体"/>
          <w:color w:val="000000"/>
          <w:sz w:val="21"/>
          <w:szCs w:val="21"/>
          <w:highlight w:val="none"/>
          <w:u w:val="singl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2.5 资金来源证明及支付担保</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Times New Roman"/>
          <w:bCs/>
          <w:color w:val="0000ff"/>
          <w:szCs w:val="21"/>
          <w:highlight w:val="none"/>
          <w:u w:val="single"/>
        </w:rPr>
        <w:t xml:space="preserve">执行《通用合同条款》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发包人是否提供支付担保：</w:t>
      </w:r>
      <w:r>
        <w:rPr>
          <w:rFonts w:hint="eastAsia" w:ascii="宋体" w:hAnsi="宋体" w:eastAsia="宋体" w:cs="Times New Roman"/>
          <w:bCs/>
          <w:color w:val="0000ff"/>
          <w:szCs w:val="21"/>
          <w:highlight w:val="none"/>
          <w:u w:val="single"/>
          <w:lang w:val="en-US" w:eastAsia="zh-CN"/>
        </w:rPr>
        <w:t xml:space="preserve">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发包人提供支付担保的形式：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3. 承包人</w:t>
      </w:r>
      <w:r>
        <w:rPr>
          <w:rFonts w:hint="eastAsia" w:ascii="宋体" w:hAnsi="宋体" w:eastAsia="宋体" w:cs="宋体"/>
          <w:b/>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 承包人的一般义务</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t xml:space="preserve">承包人提交的竣工资料的内容：</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ascii="宋体" w:hAnsi="宋体" w:eastAsia="宋体" w:cs="宋体"/>
          <w:color w:val="0000ff"/>
          <w:sz w:val="21"/>
          <w:szCs w:val="21"/>
          <w:highlight w:val="none"/>
          <w:u w:val="single"/>
          <w:lang w:val="en-US" w:eastAsia="zh-CN"/>
        </w:rPr>
        <w:outlineLvl w:val="9"/>
      </w:pPr>
      <w:r>
        <w:rPr>
          <w:rFonts w:ascii="宋体" w:hAnsi="宋体" w:eastAsia="宋体" w:cs="宋体"/>
          <w:color w:val="0000ff"/>
          <w:sz w:val="21"/>
          <w:szCs w:val="21"/>
          <w:highlight w:val="none"/>
          <w:u w:val="single"/>
          <w:lang w:val="en-US" w:eastAsia="zh-CN"/>
        </w:rPr>
        <w:t xml:space="preserve">①</w:t>
      </w:r>
      <w:r>
        <w:rPr>
          <w:rFonts w:hint="eastAsia" w:ascii="宋体" w:hAnsi="宋体" w:eastAsia="宋体" w:cs="宋体"/>
          <w:color w:val="0000ff"/>
          <w:sz w:val="21"/>
          <w:szCs w:val="21"/>
          <w:highlight w:val="none"/>
          <w:u w:val="single"/>
          <w:lang w:val="en-US" w:eastAsia="zh-CN"/>
        </w:rPr>
        <w:t xml:space="preserve">承包人负责整理和提交的竣工验收资料应当符合工程所在地建设行政主管部门和(或)城市建设档案管理机构有关施工资料的要求，具体内容包括：按发包人要求。</w:t>
      </w:r>
      <w:r>
        <w:rPr>
          <w:rFonts w:ascii="宋体" w:hAnsi="宋体" w:eastAsia="宋体" w:cs="宋体"/>
          <w:color w:val="0000ff"/>
          <w:sz w:val="21"/>
          <w:szCs w:val="21"/>
          <w:highlight w:val="none"/>
          <w:u w:val="single"/>
          <w:lang w:val="en-US" w:eastAsia="zh-CN"/>
        </w:rPr>
      </w:r>
      <w:r/>
    </w:p>
    <w:p>
      <w:pPr>
        <w:pStyle w:val="1263"/>
        <w:ind w:firstLine="420"/>
        <w:keepLines w:val="0"/>
        <w:keepNext w:val="0"/>
        <w:pageBreakBefore w:val="0"/>
        <w:spacing w:line="360" w:lineRule="auto"/>
        <w:widowControl w:val="off"/>
        <w:rPr>
          <w:rFonts w:hint="eastAsia" w:ascii="宋体" w:hAnsi="宋体" w:eastAsia="宋体" w:cs="宋体"/>
          <w:color w:val="0000ff"/>
          <w:sz w:val="21"/>
          <w:szCs w:val="21"/>
          <w:highlight w:val="none"/>
        </w:rPr>
        <w:outlineLvl w:val="9"/>
      </w:pPr>
      <w:r>
        <w:rPr>
          <w:rFonts w:hint="eastAsia" w:ascii="宋体" w:hAnsi="宋体" w:eastAsia="宋体" w:cs="宋体"/>
          <w:color w:val="0000ff"/>
          <w:sz w:val="21"/>
          <w:szCs w:val="21"/>
          <w:highlight w:val="none"/>
          <w:u w:val="single"/>
          <w:lang w:val="en-US" w:eastAsia="zh-CN"/>
        </w:rPr>
        <w:t xml:space="preserve">②发包人对图纸资料的保密要求：除严格用于合同目的除外，图纸、规范和其他文件未经发包人许可，承包人不得用于或泄露给第三方。</w:t>
      </w:r>
      <w:r>
        <w:rPr>
          <w:rFonts w:hint="eastAsia" w:ascii="宋体" w:hAnsi="宋体" w:eastAsia="宋体" w:cs="宋体"/>
          <w:color w:val="0000ff"/>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Times New Roman"/>
          <w:color w:val="0000ff"/>
          <w:szCs w:val="21"/>
          <w:highlight w:val="none"/>
          <w:u w:val="single"/>
        </w:rPr>
        <w:t xml:space="preserve">竣工图（蓝图）四套,与竣工图（蓝图）内容一致的dwg和 pdf格式各一套；竣工内业资料二套、符合国家及地方档案要求的电子声像资料二套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color w:val="0000ff"/>
          <w:sz w:val="21"/>
          <w:szCs w:val="21"/>
          <w:highlight w:val="none"/>
          <w:u w:val="single"/>
          <w:lang w:val="en-US" w:eastAsia="zh-CN"/>
        </w:rPr>
        <w:t xml:space="preserve">费用由承包人承担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color w:val="0000ff"/>
          <w:sz w:val="21"/>
          <w:szCs w:val="21"/>
          <w:highlight w:val="none"/>
          <w:u w:val="single"/>
        </w:rPr>
        <w:t xml:space="preserve">工程竣工验收合格后</w:t>
      </w:r>
      <w:r>
        <w:rPr>
          <w:rFonts w:hint="eastAsia" w:ascii="宋体" w:hAnsi="宋体" w:eastAsia="宋体" w:cs="宋体"/>
          <w:color w:val="0000ff"/>
          <w:sz w:val="21"/>
          <w:szCs w:val="21"/>
          <w:highlight w:val="none"/>
          <w:u w:val="single"/>
          <w:lang w:val="en-US" w:eastAsia="zh-CN"/>
        </w:rPr>
        <w:t xml:space="preserve">30</w:t>
      </w:r>
      <w:r>
        <w:rPr>
          <w:rFonts w:hint="eastAsia" w:ascii="宋体" w:hAnsi="宋体" w:eastAsia="宋体" w:cs="宋体"/>
          <w:color w:val="0000ff"/>
          <w:sz w:val="21"/>
          <w:szCs w:val="21"/>
          <w:highlight w:val="none"/>
          <w:u w:val="single"/>
        </w:rPr>
        <w:t xml:space="preserve">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ff"/>
          <w:sz w:val="21"/>
          <w:szCs w:val="21"/>
          <w:highlight w:val="none"/>
          <w:u w:val="single"/>
          <w:lang w:val="en-US" w:eastAsia="zh-CN"/>
        </w:rPr>
        <w:t xml:space="preserve">书面及电子版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numPr>
          <w:ilvl w:val="0"/>
          <w:numId w:val="11"/>
        </w:numPr>
        <w:ind w:firstLine="420"/>
        <w:spacing w:line="360" w:lineRule="auto"/>
        <w:rPr>
          <w:rFonts w:hint="eastAsia" w:ascii="宋体" w:hAnsi="宋体" w:eastAsia="宋体" w:cs="宋体"/>
          <w:color w:val="0000ff"/>
          <w:sz w:val="21"/>
          <w:szCs w:val="21"/>
          <w:highlight w:val="none"/>
          <w:u w:val="single"/>
          <w:lang w:eastAsia="zh-CN"/>
        </w:rPr>
      </w:pPr>
      <w:r>
        <w:rPr>
          <w:rFonts w:hint="eastAsia" w:ascii="宋体" w:hAnsi="宋体" w:eastAsia="宋体" w:cs="宋体"/>
          <w:color w:val="000000"/>
          <w:sz w:val="21"/>
          <w:szCs w:val="21"/>
          <w:highlight w:val="none"/>
        </w:rPr>
        <w:t xml:space="preserve">承包人应履行的其他义务：</w:t>
      </w:r>
      <w:r>
        <w:rPr>
          <w:rFonts w:hint="eastAsia" w:ascii="宋体" w:hAnsi="宋体" w:eastAsia="宋体" w:cs="宋体"/>
          <w:color w:val="0000ff"/>
          <w:sz w:val="21"/>
          <w:szCs w:val="21"/>
          <w:highlight w:val="none"/>
          <w:u w:val="single"/>
        </w:rPr>
        <w:t xml:space="preserve"></w:t>
      </w:r>
      <w:r>
        <w:rPr>
          <w:rFonts w:hint="eastAsia" w:ascii="宋体" w:hAnsi="宋体" w:eastAsia="宋体" w:cs="宋体"/>
          <w:color w:val="0000ff"/>
          <w:sz w:val="21"/>
          <w:szCs w:val="21"/>
          <w:highlight w:val="none"/>
          <w:u w:val="single"/>
          <w:lang w:eastAsia="zh-CN"/>
        </w:rPr>
        <w:t xml:space="preserve">1、承包人必须承诺中标的项目经理、技术负责人、施工员、安全员、质检员在主体工程完成之前无特殊情况不允许变更，并在施工期间常驻现场。</w:t>
      </w:r>
      <w:r>
        <w:rPr>
          <w:rFonts w:hint="eastAsia" w:ascii="宋体" w:hAnsi="宋体" w:eastAsia="宋体" w:cs="宋体"/>
          <w:color w:val="0000ff"/>
          <w:sz w:val="21"/>
          <w:szCs w:val="21"/>
          <w:highlight w:val="none"/>
          <w:u w:val="single"/>
          <w:lang w:eastAsia="zh-CN"/>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ascii="宋体" w:hAnsi="宋体" w:eastAsia="宋体" w:cs="Times New Roman"/>
          <w:bCs/>
          <w:color w:val="0000ff"/>
          <w:szCs w:val="21"/>
          <w:highlight w:val="none"/>
          <w:u w:val="single"/>
        </w:rPr>
        <w:t xml:space="preserve">承包人的办公区与生活区由承包人按相关标准自行安排搭置，办公区、生活区内治安、卫生、消防等设施的配备和管理均由承包人负责</w:t>
      </w:r>
      <w:r>
        <w:rPr>
          <w:rFonts w:hint="eastAsia" w:ascii="宋体" w:hAnsi="宋体" w:eastAsia="宋体" w:cs="Times New Roman"/>
          <w:bCs/>
          <w:color w:val="0000ff"/>
          <w:szCs w:val="21"/>
          <w:highlight w:val="none"/>
          <w:u w:val="single"/>
        </w:rPr>
        <w:t xml:space="preserve">；工程实施期间给发包人、现场监理提供以下物品：每间不小于20㎡的办公室3间（含水电费用及相关的办公设施）、不小于40㎡共用大会议室一间（含水电费用及相关的办公设施）。费用包含在合同价款中，发包人不另外支付费用。</w:t>
      </w:r>
      <w:r>
        <w:rPr>
          <w:rFonts w:hint="eastAsia" w:ascii="宋体" w:hAnsi="宋体" w:eastAsia="宋体" w:cs="宋体"/>
          <w:color w:val="0000ff"/>
          <w:sz w:val="21"/>
          <w:szCs w:val="21"/>
          <w:highlight w:val="none"/>
          <w:u w:val="single"/>
          <w:lang w:eastAsia="zh-CN"/>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承担已完工程成品的保护工作，并承担相应的费用。</w:t>
      </w:r>
      <w:r>
        <w:rPr>
          <w:rFonts w:hint="eastAsia" w:ascii="宋体" w:hAnsi="宋体" w:eastAsia="宋体" w:cs="宋体"/>
          <w:color w:val="0000ff"/>
          <w:sz w:val="21"/>
          <w:szCs w:val="21"/>
          <w:highlight w:val="none"/>
          <w:u w:val="single"/>
          <w:lang w:eastAsia="zh-CN"/>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Times New Roman"/>
          <w:bCs/>
          <w:color w:val="0000ff"/>
          <w:szCs w:val="21"/>
          <w:highlight w:val="none"/>
          <w:u w:val="single"/>
        </w:rPr>
        <w:t xml:space="preserve">承担施工安全保卫工作和提供照明，并承担相应的费用</w:t>
      </w:r>
      <w:r>
        <w:rPr>
          <w:rFonts w:hint="eastAsia" w:ascii="宋体" w:hAnsi="宋体" w:eastAsia="宋体" w:cs="Times New Roman"/>
          <w:bCs/>
          <w:color w:val="0000ff"/>
          <w:szCs w:val="21"/>
          <w:highlight w:val="none"/>
          <w:u w:val="single"/>
          <w:lang w:eastAsia="zh-CN"/>
        </w:rPr>
        <w:t xml:space="preserve">。</w:t>
      </w:r>
      <w:r>
        <w:rPr>
          <w:rFonts w:hint="eastAsia" w:ascii="宋体" w:hAnsi="宋体" w:eastAsia="宋体" w:cs="宋体"/>
          <w:color w:val="0000ff"/>
          <w:sz w:val="21"/>
          <w:szCs w:val="21"/>
          <w:highlight w:val="none"/>
          <w:u w:val="single"/>
          <w:lang w:eastAsia="zh-CN"/>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hint="eastAsia" w:ascii="宋体" w:hAnsi="宋体" w:eastAsia="宋体" w:cs="宋体"/>
          <w:color w:val="0000ff"/>
          <w:sz w:val="21"/>
          <w:szCs w:val="21"/>
          <w:highlight w:val="none"/>
          <w:u w:val="single"/>
          <w:lang w:eastAsia="zh-CN"/>
        </w:rPr>
        <w:t xml:space="preserve">建筑工人进场施工前,应经过基本安全培训并录入建筑工人实名制名册。项目用工必须核实建筑工人合法身份证明，必须签订劳动合同。实名制名册提交发包人审核留存并及时准确的向</w:t>
      </w:r>
      <w:r>
        <w:rPr>
          <w:rFonts w:hint="eastAsia" w:ascii="宋体" w:hAnsi="宋体" w:eastAsia="宋体" w:cs="宋体"/>
          <w:color w:val="0000ff"/>
          <w:sz w:val="21"/>
          <w:szCs w:val="21"/>
          <w:highlight w:val="none"/>
          <w:u w:val="single"/>
          <w:lang w:val="en-US" w:eastAsia="zh-CN"/>
        </w:rPr>
        <w:t xml:space="preserve">有关行业主管部门上传相关信息</w:t>
      </w:r>
      <w:r>
        <w:rPr>
          <w:rFonts w:hint="eastAsia" w:ascii="宋体" w:hAnsi="宋体" w:eastAsia="宋体" w:cs="宋体"/>
          <w:color w:val="0000ff"/>
          <w:sz w:val="21"/>
          <w:szCs w:val="21"/>
          <w:highlight w:val="none"/>
          <w:u w:val="single"/>
          <w:lang w:eastAsia="zh-CN"/>
        </w:rPr>
        <w:t xml:space="preserve">。</w:t>
      </w:r>
      <w:r>
        <w:rPr>
          <w:rFonts w:hint="eastAsia" w:ascii="宋体" w:hAnsi="宋体" w:eastAsia="宋体" w:cs="Times New Roman"/>
          <w:bCs/>
          <w:color w:val="0000ff"/>
          <w:szCs w:val="21"/>
          <w:highlight w:val="none"/>
          <w:u w:val="single"/>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ascii="宋体" w:hAnsi="宋体" w:eastAsia="宋体" w:cs="Times New Roman"/>
          <w:bCs/>
          <w:color w:val="0000ff"/>
          <w:szCs w:val="21"/>
          <w:highlight w:val="none"/>
          <w:u w:val="single"/>
        </w:rPr>
        <w:t xml:space="preserve">承包人承担安保管理责任。承包人应确保严禁闲杂人员进入施工现场，否则，由此造成的损失由承包人承担：承包人应确保严禁发生群殴、械斗等群体性突发治安事件，发生两次及以上的，发包人有权解除合同，由承包人承担全部责任，并应满足发包人的管理要求。</w:t>
      </w:r>
      <w:r>
        <w:rPr>
          <w:rFonts w:hint="eastAsia" w:ascii="宋体" w:hAnsi="宋体" w:eastAsia="宋体" w:cs="Times New Roman"/>
          <w:bCs/>
          <w:color w:val="0000ff"/>
          <w:szCs w:val="21"/>
          <w:highlight w:val="none"/>
          <w:u w:val="single"/>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Times New Roman"/>
          <w:bCs/>
          <w:color w:val="0000ff"/>
          <w:szCs w:val="21"/>
          <w:highlight w:val="none"/>
          <w:u w:val="single"/>
        </w:rPr>
        <w:t xml:space="preserve">承包人采购或发包人供应的建筑材料，必须符合现行国家质量标准的要求。材料进场时必须附有出厂合格证，并按规定会同发包人(监理)工地代表共同抽样，送质检部门认可有效的检测单位复验。经复验合格后的材料，并对该进场后的复验材料进行实物检查，与复验结果相符的才能使用。遵循谁采购谁负责的原则，不合格的材料、设备由材料来源的采购方组织处理、清出现场。</w:t>
      </w:r>
      <w:r>
        <w:rPr>
          <w:rFonts w:hint="eastAsia" w:ascii="宋体" w:hAnsi="宋体" w:eastAsia="宋体" w:cs="宋体"/>
          <w:color w:val="0000ff"/>
          <w:sz w:val="21"/>
          <w:szCs w:val="21"/>
          <w:highlight w:val="none"/>
          <w:u w:val="single"/>
          <w:lang w:eastAsia="zh-CN"/>
        </w:rPr>
      </w:r>
      <w:r/>
    </w:p>
    <w:p>
      <w:pPr>
        <w:pStyle w:val="1263"/>
        <w:numPr>
          <w:ilvl w:val="0"/>
          <w:numId w:val="12"/>
        </w:numPr>
        <w:ind w:left="0" w:firstLine="420"/>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承包人应按照中标的施工方案组织施工，发包人在必要时有权要求承包人对施工方案作进一步完善，以确保质量与进度。</w:t>
      </w:r>
      <w:r>
        <w:rPr>
          <w:rFonts w:hint="eastAsia" w:ascii="宋体" w:hAnsi="宋体" w:eastAsia="宋体" w:cs="Times New Roman"/>
          <w:bCs/>
          <w:color w:val="0000ff"/>
          <w:szCs w:val="21"/>
          <w:highlight w:val="none"/>
          <w:u w:val="single"/>
        </w:rPr>
      </w:r>
      <w:r/>
    </w:p>
    <w:p>
      <w:pPr>
        <w:pStyle w:val="1263"/>
        <w:numPr>
          <w:ilvl w:val="0"/>
          <w:numId w:val="12"/>
        </w:numPr>
        <w:ind w:left="0" w:firstLine="420"/>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承包人应先到工地踏勘以充分了解项目所有的位置等信息，承包人应将对施工影响范围内既有公用管线及附属物、驳岸等的防护费用纳入投标报价中，未将防护费纳入报价的，视为已包含在报价清单的其他子目和总价中</w:t>
      </w:r>
      <w:r>
        <w:rPr>
          <w:rFonts w:hint="eastAsia" w:ascii="宋体" w:hAnsi="宋体" w:eastAsia="宋体" w:cs="Times New Roman"/>
          <w:bCs/>
          <w:color w:val="0000ff"/>
          <w:szCs w:val="21"/>
          <w:highlight w:val="none"/>
          <w:u w:val="single"/>
        </w:rPr>
        <w:t xml:space="preserve">。承包人在进场后，应委派专人成立污水、自来水、燃气、强电、弱电等公用管线的保护小组，及时联系公用管线产权单位(管养单位)对全线范围内的各种管线、杆线进行现场交底，制定详细的保护方案，每日不间断现场巡视。确保各公用管线顺利迁移(需要时)和正常运行，直至工程交工。若工程施工期间有公用管线及附属物、驳岸等因保护不力导致损毁、影响正常运行的，无论是否为承包人自身施工行为所致，管线恢复及停运损失费用概由承包人承担(承包人当场查获造成损失的责任人，责任人确认无误的，可由责任人承担),并视情节轻重和有关规定承担违约责任。</w:t>
      </w:r>
      <w:r>
        <w:rPr>
          <w:rFonts w:hint="eastAsia" w:ascii="宋体" w:hAnsi="宋体" w:eastAsia="宋体" w:cs="Times New Roman"/>
          <w:bCs/>
          <w:color w:val="0000ff"/>
          <w:szCs w:val="21"/>
          <w:highlight w:val="none"/>
          <w:u w:val="single"/>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Times New Roman"/>
          <w:bCs/>
          <w:color w:val="0000ff"/>
          <w:szCs w:val="21"/>
          <w:highlight w:val="none"/>
          <w:u w:val="single"/>
        </w:rPr>
        <w:t xml:space="preserve">承包人应积极配合各项检查、活动等需进行现场清扫、围挡美化、宣传标语等事宜，所产生的费用应包含在本次文明施工费报价中。</w:t>
      </w:r>
      <w:r>
        <w:rPr>
          <w:rFonts w:hint="eastAsia" w:ascii="宋体" w:hAnsi="宋体" w:eastAsia="宋体" w:cs="宋体"/>
          <w:color w:val="0000ff"/>
          <w:sz w:val="21"/>
          <w:szCs w:val="21"/>
          <w:highlight w:val="none"/>
          <w:u w:val="single"/>
          <w:lang w:eastAsia="zh-CN"/>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hint="eastAsia" w:ascii="宋体" w:hAnsi="宋体" w:eastAsia="宋体" w:cs="Times New Roman"/>
          <w:bCs/>
          <w:color w:val="0000ff"/>
          <w:szCs w:val="21"/>
          <w:highlight w:val="none"/>
          <w:u w:val="single"/>
        </w:rPr>
        <w:t xml:space="preserve">承包人就现场发现的问题或发生的变更应提前经监理单位审核确认后向发包人递交书面资料，口头汇报不作依据。承包人发文应有标准固定格式、规范连续的文件编号，同时应有承包人代表的签字和承包人单位公章(或承包人单位授权的项目章)。</w:t>
      </w:r>
      <w:r>
        <w:rPr>
          <w:rFonts w:hint="eastAsia" w:ascii="宋体" w:hAnsi="宋体" w:eastAsia="宋体" w:cs="Times New Roman"/>
          <w:bCs/>
          <w:color w:val="0000ff"/>
          <w:szCs w:val="21"/>
          <w:highlight w:val="none"/>
          <w:u w:val="single"/>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hint="eastAsia" w:ascii="宋体" w:hAnsi="宋体" w:eastAsia="宋体" w:cs="Times New Roman"/>
          <w:bCs/>
          <w:color w:val="0000ff"/>
          <w:szCs w:val="21"/>
          <w:highlight w:val="none"/>
          <w:u w:val="single"/>
        </w:rPr>
        <w:t xml:space="preserve">渣土、污泥等运输处置必须按照本地区有关规定执行，由承包人办理相关手续，承担相关费用。如承包人不具备相应条件或资质的，应委托符合要求的运输处置单位，但不能减轻承包人任何责任和义务，承包人和运输处置单位就运输作业向发包人承担连带责任。</w:t>
      </w:r>
      <w:r>
        <w:rPr>
          <w:rFonts w:hint="eastAsia" w:ascii="宋体" w:hAnsi="宋体" w:eastAsia="宋体" w:cs="Times New Roman"/>
          <w:bCs/>
          <w:color w:val="0000ff"/>
          <w:szCs w:val="21"/>
          <w:highlight w:val="none"/>
          <w:u w:val="single"/>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hint="eastAsia" w:ascii="宋体" w:hAnsi="宋体" w:eastAsia="宋体" w:cs="Times New Roman"/>
          <w:bCs/>
          <w:color w:val="0000ff"/>
          <w:szCs w:val="21"/>
          <w:highlight w:val="none"/>
          <w:u w:val="single"/>
        </w:rPr>
        <w:t xml:space="preserve">承包人应主动与各施工点位涉及到的属地政府、社区(村委)等充分沟通，进场前需提交施工现场总平面布置图，经发包人的认可或按照发包人的要求修改后，方可进行施工现场布置，包含但不限于企业形象设计图牌、安全警示图牌、临时用电、安全防护等。安全文明施工必须达到江苏省建设工程安全生产、文明施工标准化工地及发包人等要求。</w:t>
      </w:r>
      <w:r>
        <w:rPr>
          <w:rFonts w:hint="eastAsia" w:ascii="宋体" w:hAnsi="宋体" w:eastAsia="宋体" w:cs="Times New Roman"/>
          <w:bCs/>
          <w:color w:val="0000ff"/>
          <w:szCs w:val="21"/>
          <w:highlight w:val="none"/>
          <w:u w:val="single"/>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hint="eastAsia" w:ascii="宋体" w:hAnsi="宋体" w:eastAsia="宋体" w:cs="Times New Roman"/>
          <w:bCs/>
          <w:color w:val="0000ff"/>
          <w:szCs w:val="21"/>
          <w:highlight w:val="none"/>
          <w:u w:val="single"/>
        </w:rPr>
        <w:t xml:space="preserve">承包人需配备资料员及时开展资料收集工作。竣工验收时必须提供经监理单位审核通过后完整的竣工资料，包含但不限于竣工图、隐蔽工程记录资料、性能测试报告及</w:t>
      </w:r>
      <w:r>
        <w:rPr>
          <w:rFonts w:hint="eastAsia" w:ascii="宋体" w:hAnsi="宋体" w:eastAsia="宋体" w:cs="Times New Roman"/>
          <w:bCs/>
          <w:color w:val="0000ff"/>
          <w:szCs w:val="21"/>
          <w:highlight w:val="none"/>
          <w:u w:val="single"/>
        </w:rPr>
        <w:t xml:space="preserve">材料(设备)的合格证、质保单及使用说明等资料，竣工资料根据要求提供原件。相关资料分别按规定整理，符合城建档案及发包人归档要求。工程各节点照片档案，以及声像资料需及时提交。提供工程竣工图光盘。由承包人提供完整竣工资料按城建档案馆资料及发包人归档要求整理，如资料不符合归档要求，需按档案馆及发包人归档要求重新整理，费用由承包人承担。承包人必须保证竣工图的准确性，发包人有权对竣工图进行抽查复测，如发现与实际不符，发包人将重新委托第三方有资质的测绘公司进行测绘制图，所发生的费用由承包人承担，并承担由此造成的一切损失。</w:t>
      </w:r>
      <w:r>
        <w:rPr>
          <w:rFonts w:hint="eastAsia" w:ascii="宋体" w:hAnsi="宋体" w:eastAsia="宋体" w:cs="Times New Roman"/>
          <w:bCs/>
          <w:color w:val="0000ff"/>
          <w:szCs w:val="21"/>
          <w:highlight w:val="none"/>
          <w:u w:val="single"/>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hint="eastAsia" w:ascii="宋体" w:hAnsi="宋体" w:eastAsia="宋体" w:cs="Times New Roman"/>
          <w:bCs/>
          <w:color w:val="0000ff"/>
          <w:szCs w:val="21"/>
          <w:highlight w:val="none"/>
          <w:u w:val="single"/>
        </w:rPr>
        <w:t xml:space="preserve">承包人应保护发包人的知识产权，不得向第三人泄露、转让发包人提交的产品图纸等技术经济资料。如发生以上情况并给发包人造成经济损失，发包人有权向承包人索赔。</w:t>
      </w:r>
      <w:r>
        <w:rPr>
          <w:rFonts w:hint="eastAsia" w:ascii="宋体" w:hAnsi="宋体" w:eastAsia="宋体" w:cs="Times New Roman"/>
          <w:bCs/>
          <w:color w:val="0000ff"/>
          <w:szCs w:val="21"/>
          <w:highlight w:val="none"/>
          <w:u w:val="single"/>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hint="eastAsia" w:ascii="宋体" w:hAnsi="宋体" w:eastAsia="宋体" w:cs="Times New Roman"/>
          <w:bCs/>
          <w:color w:val="0000ff"/>
          <w:szCs w:val="21"/>
          <w:highlight w:val="none"/>
          <w:u w:val="single"/>
        </w:rPr>
        <w:t xml:space="preserve">承包人必须执行当地有关标准化、文明施工、市容、环保、环卫、市政、城管、扬尘控制等方面的有关规定，办理相关手续，投标报价中综合考虑该费用。由于承包人管理不善，引起政府有关部门罚款、停工整改等处罚，由承包人负责。由于承包人原因导致发包人承担责任和费用的，发包人承担后有权向承包人追偿，并有权从工程款中扣除。</w:t>
      </w:r>
      <w:r>
        <w:rPr>
          <w:rFonts w:hint="eastAsia" w:ascii="宋体" w:hAnsi="宋体" w:eastAsia="宋体" w:cs="Times New Roman"/>
          <w:bCs/>
          <w:color w:val="0000ff"/>
          <w:szCs w:val="21"/>
          <w:highlight w:val="none"/>
          <w:u w:val="single"/>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hint="eastAsia" w:ascii="宋体" w:hAnsi="宋体" w:eastAsia="宋体" w:cs="Times New Roman"/>
          <w:bCs/>
          <w:color w:val="0000ff"/>
          <w:szCs w:val="21"/>
          <w:highlight w:val="none"/>
          <w:u w:val="single"/>
        </w:rPr>
        <w:t xml:space="preserve">承包人的施工机械及人员全过程安全责任及后果由承包人承担。</w:t>
      </w:r>
      <w:r>
        <w:rPr>
          <w:rFonts w:hint="eastAsia" w:ascii="宋体" w:hAnsi="宋体" w:eastAsia="宋体" w:cs="Times New Roman"/>
          <w:bCs/>
          <w:color w:val="0000ff"/>
          <w:szCs w:val="21"/>
          <w:highlight w:val="none"/>
          <w:u w:val="single"/>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hint="eastAsia" w:ascii="宋体" w:hAnsi="宋体" w:eastAsia="宋体" w:cs="Times New Roman"/>
          <w:bCs/>
          <w:color w:val="0000ff"/>
          <w:szCs w:val="21"/>
          <w:highlight w:val="none"/>
          <w:u w:val="single"/>
        </w:rPr>
        <w:t xml:space="preserve">承包人采取必要的措施对施工场地周围地下管线、邻近地上高压线和邻近建筑物、构筑物（含文物保护建筑）、古树名木进行保护，投标报价中考虑该费用。不得破坏施工现场的地下管线和邻近地上高压线，不得破坏施工场地及周围的建筑物、构筑物、树木等，如人为破坏，必须赔偿一切损失。</w:t>
      </w:r>
      <w:r>
        <w:rPr>
          <w:rFonts w:hint="eastAsia" w:ascii="宋体" w:hAnsi="宋体" w:eastAsia="宋体" w:cs="Times New Roman"/>
          <w:bCs/>
          <w:color w:val="0000ff"/>
          <w:szCs w:val="21"/>
          <w:highlight w:val="none"/>
          <w:u w:val="single"/>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hint="eastAsia" w:ascii="宋体" w:hAnsi="宋体" w:eastAsia="宋体" w:cs="Times New Roman"/>
          <w:bCs/>
          <w:color w:val="0000ff"/>
          <w:szCs w:val="21"/>
          <w:highlight w:val="none"/>
          <w:u w:val="single"/>
        </w:rPr>
        <w:t xml:space="preserve">承包人在签订本合同时已充分考虑征地征收、群众阻工等施工中存在的障碍，并将由此所产生的相关费用包含在投标报价中，承包人不得以任何理由向发包人主张由此造成的费用、工期等一切索赔。</w:t>
      </w:r>
      <w:r>
        <w:rPr>
          <w:rFonts w:hint="eastAsia" w:ascii="宋体" w:hAnsi="宋体" w:eastAsia="宋体" w:cs="Times New Roman"/>
          <w:bCs/>
          <w:color w:val="0000ff"/>
          <w:szCs w:val="21"/>
          <w:highlight w:val="none"/>
          <w:u w:val="single"/>
        </w:rPr>
      </w:r>
      <w:r/>
    </w:p>
    <w:p>
      <w:pPr>
        <w:pStyle w:val="1263"/>
        <w:numPr>
          <w:ilvl w:val="0"/>
          <w:numId w:val="12"/>
        </w:numPr>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hint="eastAsia" w:ascii="宋体" w:hAnsi="宋体" w:eastAsia="宋体" w:cs="Times New Roman"/>
          <w:bCs/>
          <w:color w:val="0000ff"/>
          <w:szCs w:val="21"/>
          <w:highlight w:val="none"/>
          <w:u w:val="single"/>
        </w:rPr>
        <w:t xml:space="preserve">承包人必须保证供电、水务等相关部门的正常施工，做好配合管理和协调工作，提供施工场地和临时设施的使用，提供堆放场所及交付前的成品保护，并承担相应的总承包管理责任，投标报价中应综合考虑该费用，结算时不得以任何理由计取配合、管理费等费用。</w:t>
      </w:r>
      <w:r>
        <w:rPr>
          <w:rFonts w:hint="eastAsia" w:ascii="宋体" w:hAnsi="宋体" w:eastAsia="宋体" w:cs="Times New Roman"/>
          <w:bCs/>
          <w:color w:val="0000ff"/>
          <w:szCs w:val="21"/>
          <w:highlight w:val="none"/>
          <w:u w:val="singl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 项目经理</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3.2.1 </w:t>
      </w: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ff"/>
          <w:sz w:val="21"/>
          <w:szCs w:val="21"/>
          <w:highlight w:val="none"/>
        </w:rPr>
        <w:outlineLvl w:val="9"/>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eastAsia="宋体" w:cs="Times New Roman"/>
          <w:bCs/>
          <w:color w:val="0000ff"/>
          <w:szCs w:val="21"/>
          <w:highlight w:val="none"/>
          <w:u w:val="single"/>
        </w:rPr>
        <w:t xml:space="preserve">代表承包人负责履行本合同，负责工程质量、安全、进度等全面管理，现场协调等工作</w:t>
      </w:r>
      <w:r>
        <w:rPr>
          <w:rFonts w:ascii="宋体" w:hAnsi="宋体" w:eastAsia="宋体" w:cs="Times New Roman"/>
          <w:szCs w:val="21"/>
          <w:highlight w:val="none"/>
          <w:u w:val="single"/>
        </w:rPr>
        <w:t xml:space="preserve">，</w:t>
      </w:r>
      <w:r>
        <w:rPr>
          <w:rFonts w:hint="eastAsia" w:ascii="宋体" w:hAnsi="宋体" w:eastAsia="宋体" w:cs="Times New Roman"/>
          <w:bCs/>
          <w:color w:val="0000ff"/>
          <w:szCs w:val="21"/>
          <w:highlight w:val="none"/>
          <w:u w:val="single"/>
        </w:rPr>
        <w:t xml:space="preserve">执行发包人、监理人的指令</w:t>
      </w:r>
      <w:r>
        <w:rPr>
          <w:rFonts w:hint="eastAsia" w:ascii="宋体" w:hAnsi="宋体" w:eastAsia="宋体" w:cs="宋体"/>
          <w:szCs w:val="21"/>
          <w:highlight w:val="none"/>
        </w:rPr>
        <w:t xml:space="preserve">。</w:t>
      </w:r>
      <w:r>
        <w:rPr>
          <w:rFonts w:hint="eastAsia" w:ascii="宋体" w:hAnsi="宋体" w:eastAsia="宋体" w:cs="宋体"/>
          <w:color w:val="0000ff"/>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rPr>
        <w:outlineLvl w:val="9"/>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Times New Roman"/>
          <w:bCs/>
          <w:color w:val="0000ff"/>
          <w:szCs w:val="21"/>
          <w:highlight w:val="none"/>
          <w:u w:val="single"/>
        </w:rPr>
        <w:t xml:space="preserve">要求项目经理本人常驻现场，每月不少于二十五天、每天不少于八小时。</w:t>
      </w:r>
      <w:r>
        <w:rPr>
          <w:rFonts w:ascii="宋体" w:hAnsi="宋体" w:eastAsia="宋体" w:cs="Times New Roman"/>
          <w:bCs/>
          <w:color w:val="0000ff"/>
          <w:szCs w:val="21"/>
          <w:highlight w:val="none"/>
          <w:u w:val="single"/>
        </w:rPr>
        <w:t xml:space="preserve">关键工序及重要部位施工时项目经理必须在现场，且必须参加发包人组织的例会及监理例会(如有特殊情况须提前向发包人及监理人请假并经发包人书面同意)。项目经理不得将权限范围内的权利和职责委托给他人执行</w:t>
      </w:r>
      <w:r>
        <w:rPr>
          <w:rFonts w:hint="eastAsia" w:ascii="宋体" w:hAnsi="宋体" w:eastAsia="宋体" w:cs="宋体"/>
          <w:color w:val="0000ff"/>
          <w:sz w:val="21"/>
          <w:szCs w:val="21"/>
          <w:highlight w:val="none"/>
        </w:rPr>
        <w:t xml:space="preserve">。</w:t>
      </w:r>
      <w:r>
        <w:rPr>
          <w:rFonts w:hint="eastAsia" w:ascii="宋体" w:hAnsi="宋体" w:eastAsia="宋体" w:cs="宋体"/>
          <w:color w:val="0000ff"/>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ff"/>
          <w:sz w:val="21"/>
          <w:szCs w:val="21"/>
          <w:highlight w:val="none"/>
        </w:rPr>
        <w:outlineLvl w:val="9"/>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ascii="宋体" w:hAnsi="宋体" w:eastAsia="宋体" w:cs="Times New Roman"/>
          <w:bCs/>
          <w:color w:val="0000ff"/>
          <w:szCs w:val="21"/>
          <w:highlight w:val="none"/>
          <w:u w:val="single"/>
        </w:rPr>
        <w:t xml:space="preserve">承包人未提交项目经理劳动合同，以及没有为项目经理缴纳社会保险证明的，项目经理无权履行职责，发包人有权要求更换项目经理，由此增加的费用和延误的工期由承包人承担，且发包人有权解除合同</w:t>
      </w:r>
      <w:r>
        <w:rPr>
          <w:rFonts w:hint="eastAsia" w:ascii="宋体" w:hAnsi="宋体" w:eastAsia="宋体" w:cs="宋体"/>
          <w:color w:val="0000ff"/>
          <w:sz w:val="21"/>
          <w:szCs w:val="21"/>
          <w:highlight w:val="none"/>
        </w:rPr>
        <w:t xml:space="preserve">。</w:t>
      </w:r>
      <w:r>
        <w:rPr>
          <w:rFonts w:hint="eastAsia" w:ascii="宋体" w:hAnsi="宋体" w:eastAsia="宋体" w:cs="宋体"/>
          <w:color w:val="0000ff"/>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1、承包人必须承诺中标的项目经理、技术负责人、施工员、安全员、质检员在无特殊情况不允许变更，并在施工期间常驻现场。</w:t>
      </w:r>
      <w:r>
        <w:rPr>
          <w:rFonts w:hint="eastAsia" w:ascii="宋体" w:hAnsi="宋体" w:eastAsia="宋体" w:cs="宋体"/>
          <w:color w:val="0000ff"/>
          <w:sz w:val="21"/>
          <w:szCs w:val="21"/>
          <w:highlight w:val="none"/>
          <w:u w:val="single"/>
          <w:lang w:eastAsia="zh-CN"/>
        </w:rPr>
      </w:r>
      <w:r/>
    </w:p>
    <w:p>
      <w:pPr>
        <w:pStyle w:val="1263"/>
        <w:ind w:left="0"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2、</w:t>
      </w:r>
      <w:r>
        <w:rPr>
          <w:rFonts w:ascii="宋体" w:hAnsi="宋体" w:eastAsia="宋体" w:cs="Times New Roman"/>
          <w:bCs/>
          <w:color w:val="0000ff"/>
          <w:szCs w:val="21"/>
          <w:highlight w:val="none"/>
          <w:u w:val="single"/>
        </w:rPr>
        <w:t xml:space="preserve">项目经理每月至少25天，每天至少8小时在现场组织施工，并接受发包人的现场考勤制度，有事离开须经发包人或监理人同意，若未经发包人或监理人认可，不在工地现场，承包人承担0.</w:t>
      </w:r>
      <w:r>
        <w:rPr>
          <w:rFonts w:hint="eastAsia" w:ascii="宋体" w:hAnsi="宋体" w:eastAsia="宋体" w:cs="Times New Roman"/>
          <w:bCs/>
          <w:color w:val="0000ff"/>
          <w:szCs w:val="21"/>
          <w:highlight w:val="none"/>
          <w:u w:val="single"/>
          <w:lang w:val="en-US" w:eastAsia="zh-CN"/>
        </w:rPr>
        <w:t xml:space="preserve">5</w:t>
      </w:r>
      <w:r>
        <w:rPr>
          <w:rFonts w:ascii="宋体" w:hAnsi="宋体" w:eastAsia="宋体" w:cs="Times New Roman"/>
          <w:bCs/>
          <w:color w:val="0000ff"/>
          <w:szCs w:val="21"/>
          <w:highlight w:val="none"/>
          <w:u w:val="single"/>
        </w:rPr>
        <w:t xml:space="preserve">万元/天的违约金</w:t>
      </w:r>
      <w:r>
        <w:rPr>
          <w:rFonts w:hint="eastAsia" w:ascii="宋体" w:hAnsi="宋体" w:eastAsia="宋体" w:cs="Times New Roman"/>
          <w:bCs/>
          <w:color w:val="0000ff"/>
          <w:szCs w:val="21"/>
          <w:highlight w:val="none"/>
          <w:u w:val="single"/>
          <w:lang w:eastAsia="zh-CN"/>
        </w:rPr>
        <w:t xml:space="preserve">，</w:t>
      </w:r>
      <w:r>
        <w:rPr>
          <w:rFonts w:hint="eastAsia" w:ascii="宋体" w:hAnsi="宋体" w:eastAsia="宋体" w:cs="宋体"/>
          <w:color w:val="0000ff"/>
          <w:sz w:val="21"/>
          <w:szCs w:val="21"/>
          <w:highlight w:val="none"/>
          <w:u w:val="single"/>
          <w:lang w:eastAsia="zh-CN"/>
        </w:rPr>
        <w:t xml:space="preserve">从</w:t>
      </w:r>
      <w:r>
        <w:rPr>
          <w:rFonts w:hint="eastAsia" w:ascii="宋体" w:hAnsi="宋体" w:eastAsia="宋体" w:cs="宋体"/>
          <w:color w:val="0000ff"/>
          <w:sz w:val="21"/>
          <w:szCs w:val="21"/>
          <w:highlight w:val="none"/>
          <w:u w:val="single"/>
          <w:lang w:val="en-US" w:eastAsia="zh-CN"/>
        </w:rPr>
        <w:t xml:space="preserve">当期进度款</w:t>
      </w:r>
      <w:r>
        <w:rPr>
          <w:rFonts w:hint="eastAsia" w:ascii="宋体" w:hAnsi="宋体" w:eastAsia="宋体" w:cs="宋体"/>
          <w:color w:val="0000ff"/>
          <w:sz w:val="21"/>
          <w:szCs w:val="21"/>
          <w:highlight w:val="none"/>
          <w:u w:val="single"/>
          <w:lang w:eastAsia="zh-CN"/>
        </w:rPr>
        <w:t xml:space="preserve">中扣除；</w:t>
      </w:r>
      <w:r>
        <w:rPr>
          <w:rFonts w:ascii="宋体" w:hAnsi="宋体" w:eastAsia="宋体" w:cs="Times New Roman"/>
          <w:bCs/>
          <w:color w:val="0000ff"/>
          <w:szCs w:val="21"/>
          <w:highlight w:val="none"/>
          <w:u w:val="single"/>
        </w:rPr>
        <w:t xml:space="preserve">未经监理人、发包人同意，项目经理连续5天或一个月累计10天不在现场或同时在其他项目提供任何形式的服务的，承包人承担0.</w:t>
      </w:r>
      <w:r>
        <w:rPr>
          <w:rFonts w:hint="eastAsia" w:ascii="宋体" w:hAnsi="宋体" w:eastAsia="宋体" w:cs="Times New Roman"/>
          <w:bCs/>
          <w:color w:val="0000ff"/>
          <w:szCs w:val="21"/>
          <w:highlight w:val="none"/>
          <w:u w:val="single"/>
          <w:lang w:val="en-US" w:eastAsia="zh-CN"/>
        </w:rPr>
        <w:t xml:space="preserve">5</w:t>
      </w:r>
      <w:r>
        <w:rPr>
          <w:rFonts w:ascii="宋体" w:hAnsi="宋体" w:eastAsia="宋体" w:cs="Times New Roman"/>
          <w:bCs/>
          <w:color w:val="0000ff"/>
          <w:szCs w:val="21"/>
          <w:highlight w:val="none"/>
          <w:u w:val="single"/>
        </w:rPr>
        <w:t xml:space="preserve">万元/天的违约金</w:t>
      </w:r>
      <w:r>
        <w:rPr>
          <w:rFonts w:hint="eastAsia" w:ascii="宋体" w:hAnsi="宋体" w:eastAsia="宋体" w:cs="Times New Roman"/>
          <w:bCs/>
          <w:color w:val="0000ff"/>
          <w:szCs w:val="21"/>
          <w:highlight w:val="none"/>
          <w:u w:val="single"/>
          <w:lang w:eastAsia="zh-CN"/>
        </w:rPr>
        <w:t xml:space="preserve">，</w:t>
      </w:r>
      <w:r>
        <w:rPr>
          <w:rFonts w:ascii="宋体" w:hAnsi="宋体" w:eastAsia="宋体" w:cs="Times New Roman"/>
          <w:bCs/>
          <w:color w:val="0000ff"/>
          <w:szCs w:val="21"/>
          <w:highlight w:val="none"/>
          <w:u w:val="single"/>
        </w:rPr>
        <w:t xml:space="preserve">同时发包人有权解除合同，并依法追究承包人造成的损失，同时报相应的建设行政主管部门处理。</w:t>
      </w:r>
      <w:r>
        <w:rPr>
          <w:rFonts w:hint="eastAsia" w:ascii="宋体" w:hAnsi="宋体" w:eastAsia="宋体" w:cs="Times New Roman"/>
          <w:bCs/>
          <w:color w:val="0000ff"/>
          <w:szCs w:val="21"/>
          <w:highlight w:val="none"/>
          <w:u w:val="single"/>
          <w:lang w:eastAsia="zh-CN"/>
        </w:rPr>
      </w:r>
      <w:r/>
    </w:p>
    <w:p>
      <w:pPr>
        <w:pStyle w:val="1263"/>
        <w:ind w:firstLine="420"/>
        <w:spacing w:line="360" w:lineRule="auto"/>
        <w:rPr>
          <w:rFonts w:hint="eastAsia" w:ascii="宋体" w:hAnsi="宋体" w:eastAsia="宋体" w:cs="宋体"/>
          <w:szCs w:val="21"/>
          <w:highlight w:val="none"/>
        </w:rPr>
      </w:pPr>
      <w:r>
        <w:rPr>
          <w:rFonts w:hint="eastAsia" w:ascii="宋体" w:hAnsi="宋体" w:eastAsia="宋体" w:cs="宋体"/>
          <w:color w:val="000000"/>
          <w:sz w:val="21"/>
          <w:szCs w:val="21"/>
          <w:highlight w:val="none"/>
        </w:rPr>
        <w:t xml:space="preserve">3.2.3 承包人擅自更换项目经理的违约责任：</w:t>
      </w:r>
      <w:r>
        <w:rPr>
          <w:rFonts w:ascii="宋体" w:hAnsi="宋体" w:eastAsia="宋体" w:cs="Times New Roman"/>
          <w:bCs/>
          <w:color w:val="0000ff"/>
          <w:szCs w:val="21"/>
          <w:highlight w:val="none"/>
          <w:u w:val="single"/>
        </w:rPr>
        <w:t xml:space="preserve">本项目的项目经理及主要技术人员应按照投标文件中的人员设置，须保证及时到位并常驻现场，如果需更换，应事先书面通知发包人和监理工程师，并取得发包人的书面同意。因任何原因引起的承包人人员更换，工期都不予顺延。如承包人未征得发包人同意擅自更换项目经理或更换的项目经理不具备相应资格，发包人有权要求承包人予以更正，如承包人拒不更正的，发包人有权解除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263"/>
        <w:ind w:firstLine="420"/>
        <w:spacing w:line="360" w:lineRule="auto"/>
        <w:rPr>
          <w:rFonts w:hint="eastAsia" w:ascii="宋体" w:hAnsi="宋体" w:eastAsia="宋体" w:cs="宋体"/>
          <w:szCs w:val="21"/>
          <w:highlight w:val="none"/>
        </w:rPr>
      </w:pPr>
      <w:r>
        <w:rPr>
          <w:rFonts w:hint="eastAsia" w:ascii="宋体" w:hAnsi="宋体" w:eastAsia="宋体" w:cs="宋体"/>
          <w:color w:val="000000"/>
          <w:sz w:val="21"/>
          <w:szCs w:val="21"/>
          <w:highlight w:val="none"/>
        </w:rPr>
        <w:t xml:space="preserve">3.2.4 承包人无正当理由拒绝更换项目经理的违约责任：</w:t>
      </w:r>
      <w:r>
        <w:rPr>
          <w:rFonts w:ascii="宋体" w:hAnsi="宋体" w:eastAsia="宋体" w:cs="Times New Roman"/>
          <w:bCs/>
          <w:color w:val="0000ff"/>
          <w:szCs w:val="21"/>
          <w:highlight w:val="none"/>
          <w:u w:val="single"/>
        </w:rPr>
        <w:t xml:space="preserve">如果发包人和监理人共同认为项目经理不能胜任工作，或者发包人或监理人有充分的理由认为项目经理不能胜任工作的，总监理工程师在报发包人同意后，以书面形式通知承包人，要求在48小时内将上述人员调离本工程范围，同时承包人应在3天内用经发包人批准的人员代替上述调离的中标人员。承包人拒绝更换或提供的相关人员被发包人撤换达3次及以上的，发包人有权与承包人解除合同，(相关人员变更手续由承包人自行办理，相关费用自行承担)。</w:t>
      </w:r>
      <w:r>
        <w:rPr>
          <w:rFonts w:hint="eastAsia" w:ascii="宋体" w:hAnsi="宋体" w:eastAsia="宋体" w:cs="Times New Roman"/>
          <w:bCs/>
          <w:color w:val="0000ff"/>
          <w:szCs w:val="21"/>
          <w:highlight w:val="none"/>
          <w:u w:val="single"/>
        </w:rPr>
        <w:t xml:space="preserve">由此对发包人造成的工期延误和经济损失由承包人承担</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 承包人人员</w:t>
      </w:r>
      <w:r>
        <w:rPr>
          <w:rFonts w:hint="eastAsia" w:ascii="宋体" w:hAnsi="宋体" w:eastAsia="宋体" w:cs="宋体"/>
          <w:color w:val="000000"/>
          <w:sz w:val="21"/>
          <w:szCs w:val="21"/>
          <w:highlight w:val="none"/>
        </w:rPr>
      </w:r>
      <w:r/>
    </w:p>
    <w:p>
      <w:pPr>
        <w:pStyle w:val="1263"/>
        <w:ind w:firstLine="420"/>
        <w:spacing w:line="360" w:lineRule="auto"/>
        <w:rPr>
          <w:rFonts w:hint="eastAsia" w:ascii="宋体" w:hAnsi="宋体" w:eastAsia="宋体" w:cs="宋体"/>
          <w:szCs w:val="21"/>
          <w:highlight w:val="non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ascii="宋体" w:hAnsi="宋体" w:eastAsia="宋体" w:cs="Times New Roman"/>
          <w:bCs/>
          <w:color w:val="0000ff"/>
          <w:szCs w:val="21"/>
          <w:highlight w:val="none"/>
          <w:u w:val="single"/>
        </w:rPr>
        <w:t xml:space="preserve">合同签订后3日内，承包人应严格按投标文件所列且符合合同约定的管理人员名单进行现场人员配备，承包人未按约定人数配置项目管理人员，若主要管理人员实际配备与投标文件所列或合同约定要求不符的，发包人还有权要求更换，更换后仍不符合或承包人拒绝更换的，发包人有权解除合同</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ff"/>
          <w:sz w:val="21"/>
          <w:szCs w:val="21"/>
          <w:highlight w:val="none"/>
        </w:rPr>
        <w:outlineLvl w:val="9"/>
      </w:pPr>
      <w:r>
        <w:rPr>
          <w:rFonts w:hint="eastAsia" w:ascii="宋体" w:hAnsi="宋体" w:eastAsia="宋体" w:cs="宋体"/>
          <w:color w:val="000000"/>
          <w:sz w:val="21"/>
          <w:szCs w:val="21"/>
          <w:highlight w:val="none"/>
        </w:rPr>
        <w:t xml:space="preserve">3.3.3 承包人无正当理由拒绝撤换主要施工管理人员的违约责任：</w:t>
      </w:r>
      <w:r>
        <w:rPr>
          <w:rFonts w:ascii="宋体" w:hAnsi="宋体" w:eastAsia="宋体" w:cs="宋体"/>
          <w:color w:val="0000ff"/>
          <w:sz w:val="21"/>
          <w:szCs w:val="21"/>
          <w:highlight w:val="none"/>
          <w:u w:val="single"/>
          <w:lang w:val="en-US" w:eastAsia="zh-CN"/>
        </w:rPr>
        <w:t xml:space="preserve">由此对发包人造成的工期延误和经济损失由承包人承担</w:t>
      </w:r>
      <w:r>
        <w:rPr>
          <w:rFonts w:hint="eastAsia" w:ascii="宋体" w:hAnsi="宋体" w:eastAsia="宋体" w:cs="宋体"/>
          <w:color w:val="0000ff"/>
          <w:sz w:val="21"/>
          <w:szCs w:val="21"/>
          <w:highlight w:val="none"/>
        </w:rPr>
        <w:t xml:space="preserve">。</w:t>
      </w:r>
      <w:r>
        <w:rPr>
          <w:rFonts w:hint="eastAsia" w:ascii="宋体" w:hAnsi="宋体" w:eastAsia="宋体" w:cs="宋体"/>
          <w:color w:val="0000ff"/>
          <w:sz w:val="21"/>
          <w:szCs w:val="21"/>
          <w:highlight w:val="none"/>
        </w:rPr>
      </w:r>
      <w:r/>
    </w:p>
    <w:p>
      <w:pPr>
        <w:pStyle w:val="1263"/>
        <w:ind w:left="0" w:firstLine="420"/>
        <w:jc w:val="left"/>
        <w:keepLines w:val="0"/>
        <w:keepNext w:val="0"/>
        <w:pageBreakBefore w:val="0"/>
        <w:spacing w:line="360" w:lineRule="auto"/>
        <w:shd w:val="clear" w:color="auto" w:fill="auto"/>
        <w:widowControl w:val="off"/>
        <w:rPr>
          <w:rFonts w:hint="eastAsia" w:ascii="宋体" w:hAnsi="宋体" w:eastAsia="宋体" w:cs="宋体"/>
          <w:color w:val="0000ff"/>
          <w:sz w:val="21"/>
          <w:szCs w:val="21"/>
          <w:highlight w:val="none"/>
          <w:u w:val="single"/>
        </w:rPr>
        <w:outlineLvl w:val="9"/>
      </w:pPr>
      <w:r>
        <w:rPr>
          <w:rFonts w:hint="eastAsia" w:ascii="宋体" w:hAnsi="宋体" w:eastAsia="宋体" w:cs="宋体"/>
          <w:color w:val="000000"/>
          <w:sz w:val="21"/>
          <w:szCs w:val="21"/>
          <w:highlight w:val="none"/>
        </w:rPr>
        <w:t xml:space="preserve">3.3.4 承包人主要施工管理人员离开施工现场的批准要求：</w:t>
      </w:r>
      <w:r>
        <w:rPr>
          <w:rFonts w:ascii="宋体" w:hAnsi="宋体" w:eastAsia="宋体" w:cs="宋体"/>
          <w:color w:val="0000ff"/>
          <w:sz w:val="21"/>
          <w:szCs w:val="21"/>
          <w:highlight w:val="none"/>
          <w:u w:val="single"/>
          <w:lang w:val="en-US" w:eastAsia="zh-CN"/>
        </w:rPr>
        <w:t xml:space="preserve">必须书面报请总监理工程师批准同意</w:t>
      </w:r>
      <w:r>
        <w:rPr>
          <w:rFonts w:hint="eastAsia" w:ascii="宋体" w:hAnsi="宋体" w:eastAsia="宋体" w:cs="宋体"/>
          <w:color w:val="0000ff"/>
          <w:sz w:val="21"/>
          <w:szCs w:val="21"/>
          <w:highlight w:val="none"/>
        </w:rPr>
        <w:t xml:space="preserve">。</w:t>
      </w:r>
      <w:r>
        <w:rPr>
          <w:rFonts w:hint="eastAsia" w:ascii="宋体" w:hAnsi="宋体" w:eastAsia="宋体" w:cs="宋体"/>
          <w:color w:val="0000ff"/>
          <w:sz w:val="21"/>
          <w:szCs w:val="21"/>
          <w:highlight w:val="none"/>
          <w:u w:val="singl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3.3.5承包人擅自更换主要施工管理人员的违约责任：</w:t>
      </w:r>
      <w:r>
        <w:rPr>
          <w:rFonts w:ascii="宋体" w:hAnsi="宋体" w:eastAsia="宋体" w:cs="宋体"/>
          <w:color w:val="0000ff"/>
          <w:sz w:val="21"/>
          <w:szCs w:val="21"/>
          <w:highlight w:val="none"/>
          <w:u w:val="single"/>
          <w:lang w:val="en-US" w:eastAsia="zh-CN"/>
        </w:rPr>
        <w:t xml:space="preserve">未经发包人同意不得擅自更换项目技术负责人、施工员、质检员、安全员，否则承包人承担合同价 2%的违约金</w:t>
      </w:r>
      <w:r>
        <w:rPr>
          <w:rFonts w:hint="eastAsia" w:ascii="宋体" w:hAnsi="宋体" w:eastAsia="宋体" w:cs="宋体"/>
          <w:color w:val="0000ff"/>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ff"/>
          <w:sz w:val="21"/>
          <w:szCs w:val="21"/>
          <w:highlight w:val="none"/>
          <w:u w:val="single"/>
          <w:lang w:val="en-US" w:eastAsia="zh-CN"/>
        </w:rPr>
        <w:t xml:space="preserve">项目技术负责人、施工员、质检员、安全员每人每月不少于二十四天、每人每天不少于八小时现场工作。如未经总监理工程师书面同意或未达到月要求在岗时间（由监理人负责考核），项目技术负责人承担2000元/天的违约金，其他人承担500元/天的违约金，在当期的工程进度款中扣除</w:t>
      </w:r>
      <w:r>
        <w:rPr>
          <w:rFonts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 分包</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3.5.1 分包的一般约定</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禁止分包的工程包括：</w:t>
      </w:r>
      <w:r>
        <w:rPr>
          <w:rFonts w:ascii="宋体" w:hAnsi="宋体" w:eastAsia="宋体" w:cs="Times New Roman"/>
          <w:bCs/>
          <w:color w:val="0000ff"/>
          <w:szCs w:val="21"/>
          <w:highlight w:val="none"/>
          <w:u w:val="single"/>
        </w:rPr>
        <w:t xml:space="preserve">本工程不允许分包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主体结构、关键性工作的范围：</w:t>
      </w:r>
      <w:r>
        <w:rPr>
          <w:rFonts w:ascii="宋体" w:hAnsi="宋体" w:eastAsia="宋体" w:cs="宋体"/>
          <w:color w:val="0000ff"/>
          <w:sz w:val="21"/>
          <w:szCs w:val="21"/>
          <w:highlight w:val="none"/>
          <w:u w:val="single"/>
          <w:lang w:val="en-US" w:eastAsia="zh-CN"/>
        </w:rPr>
        <w:t xml:space="preserve">按通用合同条款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3.5.2分包的确定</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ff"/>
          <w:sz w:val="21"/>
          <w:szCs w:val="21"/>
          <w:highlight w:val="none"/>
          <w:u w:val="single"/>
        </w:rPr>
        <w:t xml:space="preserve">本项目涉及的专业工程，如总承包单位不具备专业承包资质，必须依法分包给具备专业承包资质的施工单位进行施工，以确保工程质量。分包单位的资质、人员及施工组织设计需要经发包人、监理人的书面认可</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ff"/>
          <w:sz w:val="21"/>
          <w:szCs w:val="21"/>
          <w:highlight w:val="none"/>
        </w:rPr>
        <w:outlineLvl w:val="9"/>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ff"/>
          <w:sz w:val="21"/>
          <w:szCs w:val="21"/>
          <w:highlight w:val="none"/>
          <w:u w:val="single"/>
          <w:lang w:eastAsia="zh-CN"/>
        </w:rPr>
        <w:t xml:space="preserve">发包人有权在承包人拖欠分包工程价款的情况下，直接支付分包工程价款</w:t>
      </w:r>
      <w:r>
        <w:rPr>
          <w:rFonts w:hint="eastAsia" w:ascii="宋体" w:hAnsi="宋体" w:eastAsia="宋体" w:cs="宋体"/>
          <w:color w:val="0000ff"/>
          <w:sz w:val="21"/>
          <w:szCs w:val="21"/>
          <w:highlight w:val="none"/>
        </w:rPr>
        <w:t xml:space="preserve">。</w:t>
      </w:r>
      <w:r>
        <w:rPr>
          <w:rFonts w:hint="eastAsia" w:ascii="宋体" w:hAnsi="宋体" w:eastAsia="宋体" w:cs="宋体"/>
          <w:color w:val="0000ff"/>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3.6 工程照管与成品、半成品保护</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承包人负责照管工程及工程相关的材料、工程设备的起始间：</w:t>
      </w:r>
      <w:r>
        <w:rPr>
          <w:rFonts w:ascii="宋体" w:hAnsi="宋体" w:eastAsia="宋体" w:cs="Times New Roman"/>
          <w:bCs/>
          <w:color w:val="0000ff"/>
          <w:szCs w:val="21"/>
          <w:highlight w:val="none"/>
          <w:u w:val="single"/>
        </w:rPr>
        <w:t xml:space="preserve">按通用条款约定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3.7 履约担保</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ff"/>
          <w:sz w:val="21"/>
          <w:szCs w:val="21"/>
          <w:highlight w:val="none"/>
          <w:u w:val="single"/>
          <w:lang w:val="en-US" w:eastAsia="zh-CN"/>
        </w:rPr>
        <w:t xml:space="preserve">否</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宋体"/>
          <w:szCs w:val="21"/>
          <w:highlight w:val="none"/>
        </w:rPr>
      </w:pPr>
      <w:r>
        <w:rPr>
          <w:rFonts w:hint="eastAsia" w:ascii="宋体" w:hAnsi="宋体" w:eastAsia="宋体" w:cs="宋体"/>
          <w:color w:val="000000"/>
          <w:sz w:val="21"/>
          <w:szCs w:val="21"/>
          <w:highlight w:val="none"/>
        </w:rPr>
        <w:t xml:space="preserve">承包人提供履约担保的形式、金额及期限</w:t>
      </w:r>
      <w:r>
        <w:rPr>
          <w:rFonts w:hint="eastAsia" w:ascii="宋体" w:hAnsi="宋体" w:eastAsia="宋体" w:cs="宋体"/>
          <w:color w:val="000000"/>
          <w:sz w:val="21"/>
          <w:szCs w:val="21"/>
          <w:highlight w:val="none"/>
          <w:u w:val="single"/>
        </w:rPr>
        <w:t xml:space="preserve">：</w:t>
      </w:r>
      <w:r>
        <w:rPr>
          <w:rFonts w:hint="eastAsia" w:ascii="宋体" w:hAnsi="宋体" w:eastAsia="宋体" w:cs="Times New Roman"/>
          <w:color w:val="0000ff"/>
          <w:szCs w:val="21"/>
          <w:highlight w:val="none"/>
          <w:u w:val="single"/>
        </w:rPr>
        <w:t xml:space="preserve">履约担保形式：银行保函、保险公司保险单、现金、专业担保公司担保等形式；承包人</w:t>
      </w:r>
      <w:r>
        <w:rPr>
          <w:rFonts w:hint="eastAsia" w:ascii="宋体" w:hAnsi="宋体" w:eastAsia="宋体" w:cs="Times New Roman"/>
          <w:color w:val="0000ff"/>
          <w:szCs w:val="21"/>
          <w:highlight w:val="none"/>
          <w:u w:val="single"/>
          <w:lang w:val="en-US" w:eastAsia="zh-CN"/>
        </w:rPr>
        <w:t xml:space="preserve">应</w:t>
      </w:r>
      <w:r>
        <w:rPr>
          <w:rFonts w:hint="eastAsia" w:ascii="宋体" w:hAnsi="宋体" w:eastAsia="宋体" w:cs="Times New Roman"/>
          <w:color w:val="0000ff"/>
          <w:szCs w:val="21"/>
          <w:highlight w:val="none"/>
          <w:u w:val="single"/>
        </w:rPr>
        <w:t xml:space="preserve">在</w:t>
      </w:r>
      <w:r>
        <w:rPr>
          <w:rFonts w:hint="eastAsia" w:ascii="宋体" w:hAnsi="宋体" w:eastAsia="宋体" w:cs="Times New Roman"/>
          <w:color w:val="0000ff"/>
          <w:szCs w:val="21"/>
          <w:highlight w:val="none"/>
          <w:u w:val="single"/>
          <w:lang w:val="en-US" w:eastAsia="zh-CN"/>
        </w:rPr>
        <w:t xml:space="preserve">合同签订前</w:t>
      </w:r>
      <w:r>
        <w:rPr>
          <w:rFonts w:hint="eastAsia" w:ascii="宋体" w:hAnsi="宋体" w:eastAsia="宋体" w:cs="Times New Roman"/>
          <w:color w:val="0000ff"/>
          <w:szCs w:val="21"/>
          <w:highlight w:val="none"/>
          <w:u w:val="single"/>
        </w:rPr>
        <w:t xml:space="preserve">向发包人缴纳</w:t>
      </w:r>
      <w:r>
        <w:rPr>
          <w:rFonts w:ascii="宋体" w:hAnsi="宋体" w:eastAsia="宋体" w:cs="Times New Roman"/>
          <w:color w:val="0000ff"/>
          <w:szCs w:val="21"/>
          <w:highlight w:val="none"/>
          <w:u w:val="single"/>
        </w:rPr>
        <w:t xml:space="preserve">合同总价[扣除暂列金额（含税金）]的10%</w:t>
      </w:r>
      <w:r>
        <w:rPr>
          <w:rFonts w:hint="eastAsia" w:ascii="宋体" w:hAnsi="宋体" w:eastAsia="宋体" w:cs="Times New Roman"/>
          <w:color w:val="0000ff"/>
          <w:szCs w:val="21"/>
          <w:highlight w:val="none"/>
          <w:u w:val="single"/>
        </w:rPr>
        <w:t xml:space="preserve">作为履约担保，否则视承包人自动放弃中标处理，其所缴投标保证金不予退还。履约担保在工程竣工验收合格后一次性退还</w:t>
      </w:r>
      <w:r>
        <w:rPr>
          <w:rFonts w:ascii="宋体" w:hAnsi="宋体" w:eastAsia="宋体" w:cs="Times New Roman"/>
          <w:szCs w:val="21"/>
          <w:highlight w:val="none"/>
          <w:u w:val="single"/>
        </w:rPr>
        <w:t xml:space="preserve">。</w:t>
      </w:r>
      <w:r>
        <w:rPr>
          <w:rFonts w:hint="eastAsia" w:ascii="宋体" w:hAnsi="宋体" w:eastAsia="宋体" w:cs="宋体"/>
          <w:szCs w:val="21"/>
          <w:highlight w:val="non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4. 监理人</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4.1监理人的一般规定</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rPr>
        <w:outlineLvl w:val="9"/>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ff"/>
          <w:sz w:val="21"/>
          <w:szCs w:val="21"/>
          <w:highlight w:val="none"/>
          <w:u w:val="single"/>
          <w:lang w:eastAsia="zh-CN"/>
        </w:rPr>
        <w:t xml:space="preserve">按照发包人与承包人签订的施工合同，依照监理合同和有关法律、法规，负责和主持整个项目的监理工作，在监理合同规定范围内，对工程项目施工和保修进行全过程监理（包括工程质量、工期进度、安全文明施工管理、工程量与工程款的审核等）</w:t>
      </w:r>
      <w:r>
        <w:rPr>
          <w:rFonts w:hint="eastAsia" w:ascii="宋体" w:hAnsi="宋体" w:eastAsia="宋体" w:cs="宋体"/>
          <w:color w:val="0000ff"/>
          <w:sz w:val="21"/>
          <w:szCs w:val="21"/>
          <w:highlight w:val="none"/>
          <w:u w:val="single"/>
        </w:rPr>
        <w:t xml:space="preserve">。</w:t>
      </w:r>
      <w:r>
        <w:rPr>
          <w:rFonts w:hint="eastAsia" w:ascii="宋体" w:hAnsi="宋体" w:eastAsia="宋体" w:cs="宋体"/>
          <w:color w:val="0000ff"/>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rPr>
        <w:outlineLvl w:val="9"/>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ff"/>
          <w:sz w:val="21"/>
          <w:szCs w:val="21"/>
          <w:highlight w:val="none"/>
          <w:u w:val="single"/>
          <w:lang w:eastAsia="zh-CN"/>
        </w:rPr>
        <w:t xml:space="preserve">全面负责对工程的监督、管理和检查，负责工程质量、进度、投资、安全控制，合同及信息管理，工程全面组织协调等相关工作。涉及工程延期、所有工程变更、工程索赔、项目经理和项目技术负责人要求调换必须经发包人书面确认。</w:t>
      </w:r>
      <w:r>
        <w:rPr>
          <w:rFonts w:hint="eastAsia" w:ascii="宋体" w:hAnsi="宋体" w:eastAsia="宋体" w:cs="宋体"/>
          <w:color w:val="0000ff"/>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ff"/>
          <w:sz w:val="21"/>
          <w:szCs w:val="21"/>
          <w:highlight w:val="none"/>
        </w:rPr>
        <w:outlineLvl w:val="9"/>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ff"/>
          <w:sz w:val="21"/>
          <w:szCs w:val="21"/>
          <w:highlight w:val="none"/>
          <w:u w:val="single"/>
        </w:rPr>
        <w:t xml:space="preserve">由承包人提供办公场所，费用由承包人承担</w:t>
      </w:r>
      <w:r>
        <w:rPr>
          <w:rFonts w:hint="eastAsia" w:ascii="宋体" w:hAnsi="宋体" w:eastAsia="宋体" w:cs="Times New Roman"/>
          <w:color w:val="0000ff"/>
          <w:sz w:val="24"/>
          <w:szCs w:val="24"/>
          <w:u w:val="single"/>
        </w:rPr>
        <w:t xml:space="preserve"> </w:t>
      </w:r>
      <w:r>
        <w:rPr>
          <w:rFonts w:hint="eastAsia" w:ascii="宋体" w:hAnsi="宋体" w:eastAsia="宋体" w:cs="宋体"/>
          <w:color w:val="0000ff"/>
          <w:sz w:val="21"/>
          <w:szCs w:val="21"/>
          <w:highlight w:val="none"/>
        </w:rPr>
        <w:t xml:space="preserve">。</w:t>
      </w:r>
      <w:r>
        <w:rPr>
          <w:rFonts w:hint="eastAsia" w:ascii="宋体" w:hAnsi="宋体" w:eastAsia="宋体" w:cs="宋体"/>
          <w:color w:val="0000ff"/>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4.2 监理人员</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4.4 商定或确定</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5. 工程质量</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 质量要求</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宋体"/>
          <w:color w:val="000000"/>
          <w:sz w:val="21"/>
          <w:szCs w:val="21"/>
          <w:highlight w:val="none"/>
        </w:rPr>
        <w:t xml:space="preserve">5.1.1 特殊质量标准和要求：</w:t>
      </w:r>
      <w:r>
        <w:rPr>
          <w:rFonts w:hint="eastAsia" w:ascii="宋体" w:hAnsi="宋体" w:eastAsia="宋体" w:cs="Times New Roman"/>
          <w:bCs/>
          <w:color w:val="0000ff"/>
          <w:szCs w:val="21"/>
          <w:highlight w:val="none"/>
          <w:u w:val="single"/>
        </w:rPr>
        <w:t xml:space="preserve">（1）工程质量要求：符合合格标准；</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因承包人原因达不到约定条件，由承包人承担返工费用，工期不予顺延。承包人未能按照发包人要求的时间返工，或返工后仍不能达到约定条件承包人应当承担违约责任，同时发包人有权解除合同。因承包人原因导致工程竣工验收未通过，达不到约定条件的部分，发包人代表一经发现，可要求承包人返工，承包人应按发包人要求的时间返工，直到符合约定条件。</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对工程质量存在争议由发包人委托第三方鉴定机构进行鉴定，鉴定期间，除非本合同另有约定或发包人书面明确要求外，本合同不停止履行。</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宋体"/>
          <w:szCs w:val="21"/>
          <w:highlight w:val="none"/>
        </w:rPr>
      </w:pPr>
      <w:r>
        <w:rPr>
          <w:rFonts w:hint="eastAsia" w:ascii="宋体" w:hAnsi="宋体" w:eastAsia="宋体" w:cs="Times New Roman"/>
          <w:bCs/>
          <w:color w:val="0000ff"/>
          <w:szCs w:val="21"/>
          <w:highlight w:val="none"/>
          <w:u w:val="single"/>
        </w:rPr>
        <w:t xml:space="preserve">合同执行过程中，承包人不得因国家、行业、地方有关工程施工、工程管理、质量标准、施工规范、检验验收等方面的调整，以任何形式或任何理由向发包人提出任何费用补偿，无论这种调整是否会增加承包人的费用。但发包人要求的工程变更的除外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263"/>
        <w:ind w:firstLine="420"/>
        <w:jc w:val="left"/>
        <w:spacing w:line="360" w:lineRule="auto"/>
        <w:rPr>
          <w:rFonts w:hint="eastAsia" w:ascii="宋体" w:hAnsi="宋体" w:eastAsia="宋体" w:cs="宋体"/>
          <w:szCs w:val="21"/>
          <w:highlight w:val="none"/>
        </w:rPr>
      </w:pPr>
      <w:r>
        <w:rPr>
          <w:rFonts w:hint="eastAsia" w:ascii="宋体" w:hAnsi="宋体" w:eastAsia="宋体" w:cs="Times New Roman"/>
          <w:bCs/>
          <w:color w:val="0000ff"/>
          <w:szCs w:val="21"/>
          <w:highlight w:val="none"/>
          <w:u w:val="single"/>
        </w:rPr>
        <w:t xml:space="preserve">（2）性能要求：工程竣工验收合格后，承包人应配合发包人及运营方进行试运行，试运行以通过环保验收合格为准，具体按发包人要求执行。因承包人原因导致未通过环保验收的，承包人应无条件进行返工和整改。</w:t>
      </w:r>
      <w:r>
        <w:rPr>
          <w:rFonts w:hint="eastAsia" w:ascii="宋体" w:hAnsi="宋体" w:eastAsia="宋体" w:cs="宋体"/>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5.3 隐蔽工程检查</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5.3.2承包人提前通知监理人隐蔽工程检查的期限的约定：</w:t>
      </w:r>
      <w:r>
        <w:rPr>
          <w:rFonts w:hint="eastAsia" w:ascii="宋体" w:hAnsi="宋体" w:eastAsia="宋体" w:cs="宋体"/>
          <w:color w:val="0000ff"/>
          <w:sz w:val="21"/>
          <w:szCs w:val="21"/>
          <w:highlight w:val="none"/>
          <w:u w:val="single"/>
        </w:rPr>
        <w:t xml:space="preserve">按本合同通用条款规定</w:t>
      </w:r>
      <w:r>
        <w:rPr>
          <w:rFonts w:hint="eastAsia" w:ascii="宋体" w:hAnsi="宋体" w:eastAsia="宋体" w:cs="Times New Roman"/>
          <w:sz w:val="24"/>
          <w:szCs w:val="24"/>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宋体"/>
          <w:szCs w:val="21"/>
          <w:highlight w:val="none"/>
        </w:rPr>
        <w:t xml:space="preserve">关于隐蔽工程和中间验收的特别约定：</w:t>
      </w:r>
      <w:r>
        <w:rPr>
          <w:rFonts w:hint="eastAsia" w:ascii="宋体" w:hAnsi="宋体" w:eastAsia="宋体" w:cs="Times New Roman"/>
          <w:bCs/>
          <w:color w:val="0000ff"/>
          <w:szCs w:val="21"/>
          <w:highlight w:val="none"/>
          <w:u w:val="single"/>
        </w:rPr>
        <w:t xml:space="preserve">除质监站、设计院等其他部门参加验收，承包人需提前72小时书面报告以便及时联系和安排外，其余均提前24小时即可。</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按规定及监理认为确有必要进行验收的部分，发包人、跟踪审计和监理在验收记录上签字后，承包人可进行隐蔽和下道工序。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Times New Roman"/>
          <w:bCs/>
          <w:color w:val="0000ff"/>
          <w:szCs w:val="21"/>
          <w:highlight w:val="none"/>
          <w:u w:val="single"/>
        </w:rPr>
        <w:t xml:space="preserve">监理方或发包人发现工程质量问题，可下达停工令，承包人在3天内提出书面整改措施，经报项目总监和发包方代表审批同意后，实施整改，由此所产生的工期延误和整改费用，由承包人承担，否则发包人有权停止拨付工程款。</w:t>
      </w:r>
      <w:r>
        <w:rPr>
          <w:rFonts w:hint="eastAsia" w:ascii="宋体" w:hAnsi="宋体" w:eastAsia="宋体" w:cs="宋体"/>
          <w:color w:val="000000"/>
          <w:sz w:val="21"/>
          <w:szCs w:val="21"/>
          <w:highlight w:val="none"/>
          <w:u w:val="singl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ff"/>
          <w:sz w:val="21"/>
          <w:szCs w:val="21"/>
          <w:highlight w:val="none"/>
          <w:u w:val="single"/>
          <w:lang w:val="en-US" w:eastAsia="zh-CN"/>
        </w:rPr>
        <w:t xml:space="preserve">12</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outlineLvl w:val="9"/>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ff"/>
          <w:sz w:val="21"/>
          <w:szCs w:val="21"/>
          <w:highlight w:val="none"/>
          <w:u w:val="single"/>
          <w:lang w:val="en-US" w:eastAsia="zh-CN"/>
        </w:rPr>
        <w:t xml:space="preserve">24</w:t>
      </w:r>
      <w:r>
        <w:rPr>
          <w:rFonts w:hint="eastAsia" w:ascii="宋体" w:hAnsi="宋体" w:eastAsia="宋体" w:cs="宋体"/>
          <w:color w:val="000000"/>
          <w:sz w:val="21"/>
          <w:szCs w:val="21"/>
          <w:highlight w:val="none"/>
        </w:rPr>
        <w:t xml:space="preserve">小时。</w:t>
      </w:r>
      <w:r>
        <w:rPr>
          <w:rFonts w:ascii="宋体" w:hAnsi="宋体" w:eastAsia="宋体" w:cs="Times New Roman"/>
          <w:bCs/>
          <w:color w:val="0000ff"/>
          <w:szCs w:val="21"/>
          <w:highlight w:val="none"/>
          <w:u w:val="single"/>
        </w:rPr>
        <w:t xml:space="preserve">如超过该期限或不能通过工程师认可均视为不合格产品，承包人应及时组织返工确保满足质量要求，所造成的工期延误、经济等损失由承包人承担，如有工序在完成后未经报验擅自隐蔽，不论质量合格与否，承包人均负责返工并重新报验且承担</w:t>
      </w:r>
      <w:r>
        <w:rPr>
          <w:rFonts w:hint="eastAsia" w:ascii="宋体" w:hAnsi="宋体" w:eastAsia="宋体" w:cs="Times New Roman"/>
          <w:bCs/>
          <w:color w:val="0000ff"/>
          <w:szCs w:val="21"/>
          <w:highlight w:val="none"/>
          <w:u w:val="single"/>
          <w:lang w:val="en-US" w:eastAsia="zh-CN"/>
        </w:rPr>
        <w:t xml:space="preserve">所有费用。</w:t>
      </w:r>
      <w:r>
        <w:rPr>
          <w:rFonts w:ascii="宋体" w:hAnsi="宋体" w:eastAsia="宋体" w:cs="宋体"/>
          <w:color w:val="000000"/>
          <w:sz w:val="21"/>
          <w:szCs w:val="21"/>
          <w:highlight w:val="none"/>
          <w:u w:val="single"/>
          <w:lang w:val="en-US" w:eastAsia="zh-CN"/>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6. 安全文明施工与环境保护</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6.1安全文明施工</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lang w:val="en-US" w:eastAsia="zh-CN"/>
        </w:rPr>
        <w:outlineLvl w:val="9"/>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Times New Roman"/>
          <w:bCs/>
          <w:color w:val="0000ff"/>
          <w:szCs w:val="21"/>
          <w:highlight w:val="none"/>
          <w:u w:val="single"/>
          <w:lang w:val="en-US" w:eastAsia="zh-CN"/>
        </w:rPr>
        <w:t xml:space="preserve">合格，乙方自行创建优良目标的，甲方不支付额外创建费用；如乙方安全生产标准化考评不合格，则结算时不得计取安全生产措施费。</w:t>
      </w:r>
      <w:r>
        <w:rPr>
          <w:rFonts w:hint="eastAsia" w:ascii="宋体" w:hAnsi="宋体" w:eastAsia="宋体" w:cs="Times New Roman"/>
          <w:bCs/>
          <w:color w:val="0000ff"/>
          <w:szCs w:val="21"/>
          <w:highlight w:val="none"/>
          <w:u w:val="single"/>
          <w:lang w:val="en-US" w:eastAsia="zh-CN"/>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宋体"/>
          <w:color w:val="000000"/>
          <w:sz w:val="21"/>
          <w:szCs w:val="21"/>
          <w:highlight w:val="none"/>
          <w:lang w:val="en-US" w:eastAsia="zh-CN"/>
        </w:rPr>
        <w:t xml:space="preserve">6.1.2</w:t>
      </w:r>
      <w:r>
        <w:rPr>
          <w:rFonts w:hint="eastAsia" w:ascii="宋体" w:hAnsi="宋体" w:eastAsia="宋体" w:cs="宋体"/>
          <w:color w:val="000000"/>
          <w:sz w:val="21"/>
          <w:szCs w:val="21"/>
          <w:highlight w:val="none"/>
        </w:rPr>
        <w:t xml:space="preserve">合同当事人对安全施工的要求：</w:t>
      </w:r>
      <w:r>
        <w:rPr>
          <w:rFonts w:hint="eastAsia" w:ascii="宋体" w:hAnsi="宋体" w:eastAsia="宋体" w:cs="Times New Roman"/>
          <w:bCs/>
          <w:color w:val="0000ff"/>
          <w:szCs w:val="21"/>
          <w:highlight w:val="none"/>
          <w:u w:val="single"/>
        </w:rPr>
        <w:t xml:space="preserve">（1）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以上费用由承包人承担。</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（2）承包人应遵守工程建设安全生产有关管理规定，采取一切必要的安全组织与防护、安全施工措施</w:t>
      </w:r>
      <w:r>
        <w:rPr>
          <w:rFonts w:hint="eastAsia" w:ascii="宋体" w:hAnsi="宋体" w:eastAsia="宋体" w:cs="Times New Roman"/>
          <w:bCs/>
          <w:color w:val="0000ff"/>
          <w:szCs w:val="21"/>
          <w:highlight w:val="none"/>
          <w:u w:val="single"/>
        </w:rPr>
        <w:t xml:space="preserve">，消除事故隐患。具体措施包含但并不限于下列：承包人承包范围内须配置明确的指示标志，悬挂国家规定的安全标志、危险、警告、符号和标语，告诫行人和车辆保护的范围以及危险的区域，并派专人看管交通。承包人承包范围内须设置专职专业的交通协管人员进行交通管理，对人员、车辆（特别是重型车辆或强振动车辆）、机械实行统一正确指挥。施工区域须设置隔挡栏实行交通封闭，在隔挡栏上设置明显的红旗或红灯、反光带等警示标志。承包人承包范围内修筑的临时便道须能保证行车和行人的安全。施工容易塌方的路段，须制定切实可行的安全施工方案予以保证。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（3）承包人承包范围所涉及的地域范围内（包含临时占用）发生的一切安全责任事故（包括承包人自身和与承包人有关联的第三方事故），均由承包人自行承担责任与负责赔偿。发包人</w:t>
      </w:r>
      <w:r>
        <w:rPr>
          <w:rFonts w:hint="eastAsia" w:ascii="宋体" w:hAnsi="宋体" w:eastAsia="宋体" w:cs="Times New Roman"/>
          <w:bCs/>
          <w:color w:val="0000ff"/>
          <w:szCs w:val="21"/>
          <w:highlight w:val="none"/>
          <w:u w:val="single"/>
          <w:lang w:eastAsia="zh-CN"/>
        </w:rPr>
        <w:t xml:space="preserve">最高投标限价</w:t>
      </w:r>
      <w:r>
        <w:rPr>
          <w:rFonts w:hint="eastAsia" w:ascii="宋体" w:hAnsi="宋体" w:eastAsia="宋体" w:cs="Times New Roman"/>
          <w:bCs/>
          <w:color w:val="0000ff"/>
          <w:szCs w:val="21"/>
          <w:highlight w:val="none"/>
          <w:u w:val="single"/>
        </w:rPr>
        <w:t xml:space="preserve">已包含给予承包人承包范围内的保障安全实施的组织、协调、管理、防护措施、人工等相关所需费用，此费用无论承包人是否已下浮，均由承包人包干使用。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4）承包人应充分关注和保障所有在现场工作的人员的安全，采取有效措施，使现场和本合同工程的实施保持有条不紊，以免使上述人员的安全受到威胁。应充分关注和保障现场附近和过往群众的安全与方便，在确有必要的时候和地方，或当监理工程师或有关主管部门要求时，应自费提供照明、警卫、护栅、警告标志等安全防护设施。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5）承包人应当在施工现场建立消防安全责任制，确定消防安全责任人，制定用火、用电，使用易燃易爆材料等各项消防安全管理制度和操作规程，设置消防通道、消防水源，配备消防设施和灭火器材，并在施工现场设置明显标志。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（6）承包人负责施工期间施工区域内的安全保卫工作，包括在施工区域内提供和维护有利于工程和公众安全和方便的灯光、护板、格栅等警告警示信号和警卫。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（7）承包人应对现场作业、施工方法及所施工工程的完备性、稳定性和安全性承担全部责任，并负责承担对工程的稳定、完整、安全、可靠及有效运行所必需的全部工作及相关费用。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8）实施和完成本合同工程及缺陷修复工程中的一切施工作业，应不影响邻近建筑物、构筑物的安全与正常使用和干扰群众的通行方便。如果发生上述情况，并由此导致索赔、赔偿、诉讼费、指控费及其他价款时，应由承包人承担一切责任及费用。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（9）承包人未能对上述事项采取各种必要的措施而导致或发生与此有关的人身伤亡、罚款、索赔、损失补偿、指控及其他一切责任应由承包人负责。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ascii="宋体" w:hAnsi="宋体" w:eastAsia="宋体" w:cs="宋体"/>
          <w:color w:val="000000"/>
          <w:sz w:val="21"/>
          <w:szCs w:val="21"/>
          <w:highlight w:val="none"/>
          <w:u w:val="single"/>
          <w:lang w:val="en-US" w:eastAsia="zh-CN"/>
        </w:rPr>
      </w:pPr>
      <w:r>
        <w:rPr>
          <w:rFonts w:hint="eastAsia" w:ascii="宋体" w:hAnsi="宋体" w:eastAsia="宋体" w:cs="Times New Roman"/>
          <w:bCs/>
          <w:color w:val="0000ff"/>
          <w:szCs w:val="21"/>
          <w:highlight w:val="none"/>
          <w:u w:val="single"/>
        </w:rPr>
        <w:t xml:space="preserve">（10）非发包人原因造成的一切安全事故，承包人需承担全部责任及由此引起的一切费用，发包人不承担任何责任。</w:t>
      </w:r>
      <w:r>
        <w:rPr>
          <w:rFonts w:ascii="宋体" w:hAnsi="宋体" w:eastAsia="宋体" w:cs="宋体"/>
          <w:color w:val="000000"/>
          <w:sz w:val="21"/>
          <w:szCs w:val="21"/>
          <w:highlight w:val="none"/>
          <w:u w:val="single"/>
          <w:lang w:val="en-US" w:eastAsia="zh-CN"/>
        </w:rPr>
      </w:r>
      <w:r/>
    </w:p>
    <w:p>
      <w:pPr>
        <w:pStyle w:val="1263"/>
        <w:ind w:firstLine="420"/>
        <w:jc w:val="left"/>
        <w:spacing w:line="360" w:lineRule="auto"/>
        <w:rPr>
          <w:rFonts w:hint="eastAsia" w:ascii="宋体" w:hAnsi="宋体" w:eastAsia="宋体" w:cs="宋体"/>
          <w:color w:val="000000"/>
          <w:sz w:val="21"/>
          <w:szCs w:val="21"/>
          <w:highlight w:val="yellow"/>
          <w:u w:val="single"/>
        </w:rPr>
      </w:pPr>
      <w:r>
        <w:rPr>
          <w:rFonts w:hint="eastAsia" w:ascii="宋体" w:hAnsi="宋体" w:eastAsia="宋体" w:cs="宋体"/>
          <w:color w:val="000000"/>
          <w:sz w:val="21"/>
          <w:szCs w:val="21"/>
          <w:highlight w:val="none"/>
        </w:rPr>
        <w:t xml:space="preserve">6.1.4 关于治安保卫的特别约定：</w:t>
      </w:r>
      <w:r>
        <w:rPr>
          <w:rFonts w:hint="eastAsia" w:ascii="宋体" w:hAnsi="宋体" w:eastAsia="宋体" w:cs="宋体"/>
          <w:color w:val="000000"/>
          <w:sz w:val="21"/>
          <w:szCs w:val="21"/>
          <w:highlight w:val="none"/>
          <w:u w:val="single"/>
        </w:rPr>
        <w:t xml:space="preserve"> </w:t>
      </w:r>
      <w:r>
        <w:rPr>
          <w:rFonts w:hint="eastAsia" w:ascii="宋体" w:hAnsi="宋体" w:eastAsia="宋体" w:cs="Times New Roman"/>
          <w:bCs/>
          <w:color w:val="0000ff"/>
          <w:szCs w:val="21"/>
          <w:highlight w:val="none"/>
          <w:u w:val="single"/>
        </w:rPr>
        <w:t xml:space="preserve">由承包人按当地公安部门的要求做好施工现场和生活区的治安保卫工作并承担费用</w:t>
      </w:r>
      <w:r>
        <w:rPr>
          <w:rFonts w:ascii="宋体" w:hAnsi="宋体" w:eastAsia="宋体" w:cs="Times New Roman"/>
          <w:szCs w:val="21"/>
          <w:highlight w:val="none"/>
          <w:u w:val="single"/>
        </w:rPr>
        <w:t xml:space="preserve">。</w:t>
      </w:r>
      <w:r>
        <w:rPr>
          <w:rFonts w:hint="eastAsia" w:ascii="宋体" w:hAnsi="宋体" w:eastAsia="宋体" w:cs="宋体"/>
          <w:color w:val="000000"/>
          <w:sz w:val="21"/>
          <w:szCs w:val="21"/>
          <w:highlight w:val="yellow"/>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Times New Roman"/>
          <w:bCs/>
          <w:color w:val="0000ff"/>
          <w:szCs w:val="21"/>
          <w:highlight w:val="none"/>
          <w:u w:val="single"/>
        </w:rPr>
        <w:t xml:space="preserve">由承包人编制施工场地治安管理计划并制定应对突发治安事件的紧急预案报发包人审核。</w:t>
      </w:r>
      <w:r>
        <w:rPr>
          <w:rFonts w:hint="eastAsia" w:ascii="宋体" w:hAnsi="宋体" w:eastAsia="宋体" w:cs="Times New Roman"/>
          <w:bCs/>
          <w:color w:val="0000ff"/>
          <w:szCs w:val="21"/>
          <w:highlight w:val="none"/>
          <w:u w:val="singl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Times New Roman"/>
          <w:bCs/>
          <w:color w:val="0000ff"/>
          <w:szCs w:val="21"/>
          <w:highlight w:val="non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Times New Roman"/>
          <w:bCs/>
          <w:color w:val="0000ff"/>
          <w:szCs w:val="21"/>
          <w:highlight w:val="none"/>
          <w:u w:val="single"/>
        </w:rPr>
        <w:t xml:space="preserve">(1)遵守地方政府和有关部门对施工场地交通、环卫、安全和施工噪音等管理规定，并办理相关审批手续，相关手续办理费用由承包人承担。</w:t>
      </w:r>
      <w:r>
        <w:rPr>
          <w:rFonts w:hint="eastAsia" w:ascii="宋体" w:hAnsi="宋体" w:eastAsia="宋体" w:cs="Times New Roman"/>
          <w:bCs/>
          <w:color w:val="0000ff"/>
          <w:szCs w:val="21"/>
          <w:highlight w:val="non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(2)承包人应采取有效措施尽量减少尘土和噪音污染，需要进行夜间作业时应经有关部门批准。其他：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a.承包人应在进驻场地前3天根据本款规定制定工地规则并报监理工程师批准，并采取有效方式告示全体工作人员在工程施工中切实遵守。上述工地规则包括但不限于以下内容：1) 安全保卫制度：2)工程安全制度：3)用电安全制度：4)环境卫生制度；5)防火制度：6)周围及邻近环境保护制度。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b.承包人必须严格遵守和执行中华人民共和国以及溧阳市安全生产和劳动保护的有关规定，保证采取一切必要的安全预防措施，以防止承包人的雇员、发包人和监理工程师的职员及其他人员因承包人的不当操作而受到伤害。在施工过程中由于承包人原因而发生的人身伤亡、财产损失及其它一切事故，其责任全部由承包人负责。发现有违反安全生产操作规范的，发包人有权提出整改，承包人必须整改到位。 </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c.承包人应遵守工程建设安全文明施工的有关规定，认真落实各项安全保护措施及安全生产责任制，并随时接受发包人或监理工程师及有关部门的监督检查。发包人在进行巡查时发现工程质量或环境保护、文明施工、安全</w:t>
      </w:r>
      <w:r>
        <w:rPr>
          <w:rFonts w:hint="eastAsia" w:ascii="宋体" w:hAnsi="宋体" w:eastAsia="宋体" w:cs="Times New Roman"/>
          <w:bCs/>
          <w:color w:val="0000ff"/>
          <w:szCs w:val="21"/>
          <w:highlight w:val="none"/>
          <w:u w:val="single"/>
          <w:lang w:val="en-US" w:eastAsia="zh-CN"/>
        </w:rPr>
        <w:t xml:space="preserve">生产</w:t>
      </w:r>
      <w:r>
        <w:rPr>
          <w:rFonts w:hint="eastAsia" w:ascii="宋体" w:hAnsi="宋体" w:eastAsia="宋体" w:cs="Times New Roman"/>
          <w:bCs/>
          <w:color w:val="0000ff"/>
          <w:szCs w:val="21"/>
          <w:highlight w:val="none"/>
          <w:u w:val="single"/>
        </w:rPr>
        <w:t xml:space="preserve">达不到要求，第一次</w:t>
      </w:r>
      <w:r>
        <w:rPr>
          <w:rFonts w:hint="eastAsia" w:ascii="宋体" w:hAnsi="宋体" w:eastAsia="宋体" w:cs="Times New Roman"/>
          <w:bCs/>
          <w:color w:val="0000ff"/>
          <w:szCs w:val="21"/>
          <w:highlight w:val="none"/>
          <w:u w:val="single"/>
          <w:lang w:eastAsia="zh-CN"/>
        </w:rPr>
        <w:t xml:space="preserve">、</w:t>
      </w:r>
      <w:r>
        <w:rPr>
          <w:rFonts w:hint="eastAsia" w:ascii="宋体" w:hAnsi="宋体" w:eastAsia="宋体" w:cs="Times New Roman"/>
          <w:bCs/>
          <w:color w:val="0000ff"/>
          <w:szCs w:val="21"/>
          <w:highlight w:val="none"/>
          <w:u w:val="single"/>
          <w:lang w:val="en-US" w:eastAsia="zh-CN"/>
        </w:rPr>
        <w:t xml:space="preserve">第二次</w:t>
      </w:r>
      <w:r>
        <w:rPr>
          <w:rFonts w:hint="eastAsia" w:ascii="宋体" w:hAnsi="宋体" w:eastAsia="宋体" w:cs="Times New Roman"/>
          <w:bCs/>
          <w:color w:val="0000ff"/>
          <w:szCs w:val="21"/>
          <w:highlight w:val="none"/>
          <w:u w:val="single"/>
        </w:rPr>
        <w:t xml:space="preserve">发现给予承包人警告并责令整改，三次及以上发现或被上级部门通报批评或被新闻媒体曝光者，</w:t>
      </w:r>
      <w:r>
        <w:rPr>
          <w:rFonts w:hint="eastAsia" w:ascii="宋体" w:hAnsi="宋体" w:eastAsia="宋体" w:cs="Times New Roman"/>
          <w:bCs/>
          <w:color w:val="0000ff"/>
          <w:szCs w:val="21"/>
          <w:highlight w:val="none"/>
          <w:u w:val="single"/>
          <w:lang w:val="en-US" w:eastAsia="zh-CN"/>
        </w:rPr>
        <w:t xml:space="preserve">扣</w:t>
      </w:r>
      <w:r>
        <w:rPr>
          <w:rFonts w:hint="eastAsia" w:ascii="宋体" w:hAnsi="宋体" w:eastAsia="宋体" w:cs="Times New Roman"/>
          <w:bCs/>
          <w:color w:val="0000ff"/>
          <w:szCs w:val="21"/>
          <w:highlight w:val="none"/>
          <w:u w:val="single"/>
        </w:rPr>
        <w:t xml:space="preserve">除相应的措施费。</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d.1)承包人按发包人、监理人要求采取必要的措施保证垃圾不乱扔、乱倒，保持整个工地现场、工程周围、道路等区域的干净整洁。如有乱扔、乱倒垃圾等情况发生，发包人有权在结算工程款中扣除相对应费用。2)本工程的环境保护，承包人按相关部门要求采取必要的措施保证不污染周边环境，保持工程周围道路、水域等区域的干净整洁。如有污水、垃圾倒入道路或水域污染等情况发生，造成重大环境污染事故的，发包人有权在结算工程款中扣除相对应费用，以抵充污染事故补偿费用。</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e.承包人应对施工现场的施工人员进行安全文明施工教育，持证上岗，配备必要的劳动保护用具，保证工程的施工安全和人身安全。</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f.发生重大伤亡事故或其他事故，承包人应立即采取救护措施，及时上报发包人，发包人有义务为此项抢救提供必要条件。承包人应维护好现场并采取防止事故蔓延的相应措施，并承担相应赔偿责任。</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g.承包人应注意保护施工现场已完建筑物的安全。如由于承包人安全措施不力造成事故的责任和由此发生的费用，由承包人独立承担。</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(3)承包人须按照发包人批准的本工程现场平面布置图搭设临时设施，各种料具要按施工平面图中规定的位置存放、堆放，确保施工现场保持场容场貌整洁。</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宋体"/>
          <w:szCs w:val="21"/>
          <w:highlight w:val="none"/>
          <w:u w:val="single"/>
        </w:rPr>
      </w:pPr>
      <w:r>
        <w:rPr>
          <w:rFonts w:hint="eastAsia" w:ascii="宋体" w:hAnsi="宋体" w:eastAsia="宋体" w:cs="Times New Roman"/>
          <w:bCs/>
          <w:color w:val="0000ff"/>
          <w:szCs w:val="21"/>
          <w:highlight w:val="none"/>
          <w:u w:val="single"/>
        </w:rPr>
        <w:t xml:space="preserve">(4)做好施工记录，隐蔽工程记录，汇集施工资料，包括摄影、录像资料</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rPr>
      </w:r>
      <w:r/>
    </w:p>
    <w:p>
      <w:pPr>
        <w:pStyle w:val="1263"/>
        <w:ind w:firstLine="420"/>
        <w:jc w:val="left"/>
        <w:spacing w:line="360" w:lineRule="auto"/>
        <w:rPr>
          <w:rFonts w:hint="eastAsia" w:ascii="宋体" w:hAnsi="宋体" w:eastAsia="宋体" w:cs="宋体"/>
          <w:szCs w:val="21"/>
          <w:highlight w:val="none"/>
          <w:u w:val="single"/>
        </w:rPr>
      </w:pPr>
      <w:r>
        <w:rPr>
          <w:rFonts w:hint="eastAsia" w:ascii="宋体" w:hAnsi="宋体" w:eastAsia="宋体" w:cs="Times New Roman"/>
          <w:bCs/>
          <w:color w:val="0000ff"/>
          <w:szCs w:val="21"/>
          <w:highlight w:val="none"/>
          <w:u w:val="single"/>
        </w:rPr>
        <w:t xml:space="preserve">(</w:t>
      </w:r>
      <w:r>
        <w:rPr>
          <w:rFonts w:hint="eastAsia" w:ascii="宋体" w:hAnsi="宋体" w:eastAsia="宋体" w:cs="Times New Roman"/>
          <w:bCs/>
          <w:color w:val="0000ff"/>
          <w:szCs w:val="21"/>
          <w:highlight w:val="none"/>
          <w:u w:val="single"/>
          <w:lang w:val="en-US" w:eastAsia="zh-CN"/>
        </w:rPr>
        <w:t xml:space="preserve">5</w:t>
      </w:r>
      <w:r>
        <w:rPr>
          <w:rFonts w:hint="eastAsia" w:ascii="宋体" w:hAnsi="宋体" w:eastAsia="宋体" w:cs="Times New Roman"/>
          <w:bCs/>
          <w:color w:val="0000ff"/>
          <w:szCs w:val="21"/>
          <w:highlight w:val="none"/>
          <w:u w:val="single"/>
        </w:rPr>
        <w:t xml:space="preserve">)其他按《通用合同条件》及投标承诺执行。</w:t>
      </w:r>
      <w:r>
        <w:rPr>
          <w:rFonts w:hint="eastAsia" w:ascii="宋体" w:hAnsi="宋体" w:eastAsia="宋体" w:cs="宋体"/>
          <w:szCs w:val="21"/>
          <w:highlight w:val="none"/>
          <w:u w:val="single"/>
        </w:rPr>
      </w:r>
      <w:r/>
    </w:p>
    <w:p>
      <w:pPr>
        <w:pStyle w:val="1263"/>
        <w:ind w:firstLine="420"/>
        <w:jc w:val="left"/>
        <w:keepLines w:val="0"/>
        <w:keepNext w:val="0"/>
        <w:pageBreakBefore w:val="0"/>
        <w:spacing w:line="360" w:lineRule="auto"/>
        <w:widowControl w:val="off"/>
        <w:rPr>
          <w:rFonts w:hint="eastAsia" w:ascii="宋体" w:hAnsi="宋体" w:eastAsia="宋体" w:cs="Times New Roman"/>
          <w:bCs/>
          <w:color w:val="0000ff"/>
          <w:szCs w:val="21"/>
          <w:highlight w:val="none"/>
          <w:u w:val="single"/>
        </w:rPr>
        <w:outlineLvl w:val="9"/>
      </w:pPr>
      <w:r>
        <w:rPr>
          <w:rFonts w:hint="eastAsia" w:ascii="宋体" w:hAnsi="宋体" w:eastAsia="宋体" w:cs="宋体"/>
          <w:color w:val="000000"/>
          <w:sz w:val="21"/>
          <w:szCs w:val="21"/>
          <w:highlight w:val="none"/>
        </w:rPr>
        <w:t xml:space="preserve">6.1.6 关于安全</w:t>
      </w:r>
      <w:r>
        <w:rPr>
          <w:rFonts w:hint="eastAsia" w:ascii="宋体" w:hAnsi="宋体" w:eastAsia="宋体" w:cs="宋体"/>
          <w:color w:val="000000"/>
          <w:sz w:val="21"/>
          <w:szCs w:val="21"/>
          <w:highlight w:val="none"/>
          <w:lang w:val="en-US" w:eastAsia="zh-CN"/>
        </w:rPr>
        <w:t xml:space="preserve">生产措施费</w:t>
      </w:r>
      <w:r>
        <w:rPr>
          <w:rFonts w:hint="eastAsia" w:ascii="宋体" w:hAnsi="宋体" w:eastAsia="宋体" w:cs="宋体"/>
          <w:color w:val="000000"/>
          <w:sz w:val="21"/>
          <w:szCs w:val="21"/>
          <w:highlight w:val="none"/>
        </w:rPr>
        <w:t xml:space="preserve">支付比例和支付期限的约定：</w:t>
      </w:r>
      <w:r>
        <w:rPr>
          <w:rFonts w:hint="eastAsia" w:ascii="宋体" w:hAnsi="宋体" w:eastAsia="宋体" w:cs="Times New Roman"/>
          <w:bCs/>
          <w:color w:val="0000ff"/>
          <w:szCs w:val="21"/>
          <w:highlight w:val="none"/>
          <w:u w:val="single"/>
          <w:lang w:eastAsia="zh-CN"/>
        </w:rPr>
        <w:t xml:space="preserve">详见《企业安全生产费用提取和使用管理办法》（财资〔2022〕136号）</w:t>
      </w:r>
      <w:r>
        <w:rPr>
          <w:rFonts w:hint="eastAsia" w:ascii="宋体" w:hAnsi="宋体" w:eastAsia="宋体" w:cs="Times New Roman"/>
          <w:bCs/>
          <w:color w:val="0000ff"/>
          <w:szCs w:val="21"/>
          <w:highlight w:val="none"/>
          <w:u w:val="single"/>
          <w:lang w:val="en-US" w:eastAsia="zh-CN"/>
        </w:rPr>
        <w:t xml:space="preserve">及相关规定</w:t>
      </w:r>
      <w:r>
        <w:rPr>
          <w:rFonts w:hint="eastAsia" w:ascii="宋体" w:hAnsi="宋体" w:eastAsia="宋体" w:cs="Times New Roman"/>
          <w:bCs/>
          <w:color w:val="0000ff"/>
          <w:szCs w:val="21"/>
          <w:highlight w:val="none"/>
          <w:u w:val="single"/>
          <w:lang w:eastAsia="zh-CN"/>
        </w:rPr>
        <w:t xml:space="preserve">。</w:t>
      </w:r>
      <w:r>
        <w:rPr>
          <w:rFonts w:hint="eastAsia" w:ascii="宋体" w:hAnsi="宋体" w:eastAsia="宋体" w:cs="Times New Roman"/>
          <w:bCs/>
          <w:color w:val="0000ff"/>
          <w:szCs w:val="21"/>
          <w:highlight w:val="none"/>
          <w:u w:val="singl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7. 工期和进度</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 施工组织设计</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7.1.1 合</w:t>
      </w:r>
      <w:r>
        <w:rPr>
          <w:rFonts w:hint="eastAsia" w:ascii="宋体" w:hAnsi="宋体" w:eastAsia="宋体" w:cs="宋体"/>
          <w:color w:val="000000"/>
          <w:sz w:val="21"/>
          <w:szCs w:val="21"/>
          <w:highlight w:val="none"/>
        </w:rPr>
        <w:t xml:space="preserve">同当事人约定的施工组织设计应包括的其他内容：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ff"/>
          <w:sz w:val="21"/>
          <w:szCs w:val="21"/>
          <w:highlight w:val="none"/>
          <w:u w:val="single"/>
        </w:rPr>
        <w:t xml:space="preserve">按发包人及监理人的要求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rPr>
        <w:outlineLvl w:val="9"/>
      </w:pPr>
      <w:r>
        <w:rPr>
          <w:rFonts w:hint="eastAsia" w:ascii="宋体" w:hAnsi="宋体" w:eastAsia="宋体" w:cs="宋体"/>
          <w:color w:val="000000"/>
          <w:sz w:val="21"/>
          <w:szCs w:val="21"/>
          <w:highlight w:val="none"/>
        </w:rPr>
        <w:t xml:space="preserve">发包人和监理人在收到详细的施工组织设计后确认或提出修改意见的限：</w:t>
      </w:r>
      <w:r>
        <w:rPr>
          <w:rFonts w:hint="eastAsia" w:ascii="宋体" w:hAnsi="宋体" w:eastAsia="宋体" w:cs="Times New Roman"/>
          <w:bCs/>
          <w:color w:val="0000ff"/>
          <w:szCs w:val="21"/>
          <w:highlight w:val="none"/>
          <w:u w:val="single"/>
        </w:rPr>
        <w:t xml:space="preserve">自监理人收到承包人报送的施工组织设计后5天内</w:t>
      </w:r>
      <w:r>
        <w:rPr>
          <w:rFonts w:hint="eastAsia" w:ascii="宋体" w:hAnsi="宋体" w:eastAsia="宋体" w:cs="宋体"/>
          <w:color w:val="0000ff"/>
          <w:sz w:val="21"/>
          <w:szCs w:val="21"/>
          <w:highlight w:val="none"/>
          <w:u w:val="single"/>
        </w:rPr>
        <w:t xml:space="preserve">。</w:t>
      </w:r>
      <w:r>
        <w:rPr>
          <w:rFonts w:hint="eastAsia" w:ascii="宋体" w:hAnsi="宋体" w:eastAsia="宋体" w:cs="宋体"/>
          <w:color w:val="0000ff"/>
          <w:sz w:val="21"/>
          <w:szCs w:val="21"/>
          <w:highlight w:val="none"/>
          <w:u w:val="singl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7.2 施工进度计划</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w:t>
      </w:r>
      <w:r>
        <w:rPr>
          <w:rFonts w:hint="eastAsia" w:ascii="宋体" w:hAnsi="宋体" w:eastAsia="宋体" w:cs="Times New Roman"/>
          <w:bCs/>
          <w:color w:val="0000ff"/>
          <w:szCs w:val="21"/>
          <w:highlight w:val="none"/>
          <w:u w:val="single"/>
        </w:rPr>
        <w:t xml:space="preserve">1）提交关键单项工程施工计划的名称、份数和时间：合同签订后7天内承包人向监理人、发包人提交2份关键单项工程施工计划。</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Times New Roman"/>
          <w:bCs/>
          <w:color w:val="0000ff"/>
          <w:szCs w:val="21"/>
          <w:highlight w:val="none"/>
          <w:u w:val="single"/>
        </w:rPr>
        <w:t xml:space="preserve">2）提交关键分部分项工程施工计划的名称、份数和时间：合同签订后7天内向监理人、发包人提交2份关键分部分项工程施工计划。</w:t>
      </w:r>
      <w:r>
        <w:rPr>
          <w:rFonts w:hint="eastAsia" w:ascii="宋体" w:hAnsi="宋体" w:eastAsia="宋体" w:cs="Times New Roman"/>
          <w:bCs/>
          <w:color w:val="0000ff"/>
          <w:szCs w:val="21"/>
          <w:highlight w:val="none"/>
          <w:u w:val="single"/>
        </w:rPr>
      </w:r>
      <w:r/>
    </w:p>
    <w:p>
      <w:pPr>
        <w:pStyle w:val="1263"/>
        <w:ind w:firstLine="420"/>
        <w:jc w:val="left"/>
        <w:spacing w:line="360" w:lineRule="auto"/>
        <w:rPr>
          <w:rFonts w:hint="eastAsia" w:ascii="宋体" w:hAnsi="宋体" w:eastAsia="宋体" w:cs="宋体"/>
          <w:color w:val="0000ff"/>
          <w:sz w:val="21"/>
          <w:szCs w:val="21"/>
          <w:highlight w:val="none"/>
          <w:u w:val="single"/>
        </w:rPr>
      </w:pPr>
      <w:r>
        <w:rPr>
          <w:rFonts w:hint="eastAsia" w:ascii="宋体" w:hAnsi="宋体" w:eastAsia="宋体" w:cs="Times New Roman"/>
          <w:bCs/>
          <w:color w:val="0000ff"/>
          <w:szCs w:val="21"/>
          <w:highlight w:val="none"/>
          <w:u w:val="single"/>
          <w:lang w:val="en-US" w:eastAsia="zh-CN"/>
        </w:rPr>
        <w:t xml:space="preserve">3）</w:t>
      </w:r>
      <w:r>
        <w:rPr>
          <w:rFonts w:hint="eastAsia" w:ascii="宋体" w:hAnsi="宋体" w:eastAsia="宋体" w:cs="Times New Roman"/>
          <w:bCs/>
          <w:color w:val="0000ff"/>
          <w:szCs w:val="21"/>
          <w:highlight w:val="none"/>
          <w:u w:val="single"/>
        </w:rPr>
        <w:t xml:space="preserve">承包人必须确保按监理开工令确定的开工时间开工，因承包人原因导致节点工期延误或竣工日期延误的，按延误的天数承担合同价万分之二元/天的违约金，违约金上限最高不超过合同价的5%。并承担延误开工给发包人造成的损失。</w:t>
      </w:r>
      <w:r>
        <w:rPr>
          <w:rFonts w:hint="eastAsia" w:ascii="宋体" w:hAnsi="宋体" w:eastAsia="宋体" w:cs="宋体"/>
          <w:color w:val="0000ff"/>
          <w:sz w:val="21"/>
          <w:szCs w:val="21"/>
          <w:highlight w:val="none"/>
          <w:u w:val="singl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 开工</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关于承包人提交</w:t>
      </w:r>
      <w:r>
        <w:rPr>
          <w:rFonts w:hint="eastAsia" w:ascii="宋体" w:hAnsi="宋体" w:eastAsia="宋体" w:cs="宋体"/>
          <w:color w:val="000000"/>
          <w:sz w:val="21"/>
          <w:szCs w:val="21"/>
          <w:highlight w:val="none"/>
        </w:rPr>
        <w:t xml:space="preserve">工程开工报审表的期限：</w:t>
      </w:r>
      <w:r>
        <w:rPr>
          <w:rFonts w:hint="eastAsia" w:ascii="宋体" w:hAnsi="宋体" w:eastAsia="宋体" w:cs="宋体"/>
          <w:color w:val="0000ff"/>
          <w:sz w:val="21"/>
          <w:szCs w:val="21"/>
          <w:highlight w:val="none"/>
          <w:u w:val="single"/>
        </w:rPr>
        <w:t xml:space="preserve">按发包人及监理人的要求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ff"/>
          <w:sz w:val="21"/>
          <w:szCs w:val="21"/>
          <w:highlight w:val="none"/>
          <w:u w:val="single"/>
          <w:lang w:eastAsia="zh-CN"/>
        </w:rPr>
        <w:t xml:space="preserve">按通用条款约定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ff"/>
          <w:sz w:val="21"/>
          <w:szCs w:val="21"/>
          <w:highlight w:val="none"/>
          <w:u w:val="single"/>
          <w:lang w:eastAsia="zh-CN"/>
        </w:rPr>
        <w:t xml:space="preserve">按通用条款约定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天内发出开工通知的，承包人有权提出价格调整要求，或者解除合同。</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7.4 测量放线</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Times New Roman"/>
          <w:bCs/>
          <w:color w:val="0000ff"/>
          <w:szCs w:val="21"/>
          <w:highlight w:val="none"/>
          <w:u w:val="single"/>
        </w:rPr>
      </w:pPr>
      <w:r>
        <w:rPr>
          <w:rFonts w:hint="eastAsia" w:ascii="宋体" w:hAnsi="宋体" w:eastAsia="宋体" w:cs="宋体"/>
          <w:szCs w:val="21"/>
          <w:highlight w:val="none"/>
        </w:rPr>
        <w:t xml:space="preserve">7.4.1</w:t>
      </w:r>
      <w:r>
        <w:rPr>
          <w:rFonts w:hint="eastAsia" w:ascii="宋体" w:hAnsi="宋体" w:eastAsia="宋体" w:cs="Times New Roman"/>
          <w:bCs/>
          <w:szCs w:val="21"/>
          <w:highlight w:val="none"/>
        </w:rPr>
        <w:t xml:space="preserve">关于测量放线的特别约定的技术规范：</w:t>
      </w:r>
      <w:r>
        <w:rPr>
          <w:rFonts w:hint="eastAsia" w:ascii="宋体" w:hAnsi="宋体" w:eastAsia="宋体" w:cs="宋体"/>
          <w:color w:val="0000ff"/>
          <w:sz w:val="21"/>
          <w:szCs w:val="21"/>
          <w:highlight w:val="none"/>
          <w:u w:val="single"/>
          <w:lang w:eastAsia="zh-CN"/>
        </w:rPr>
        <w:t xml:space="preserve">按通用条款约定</w:t>
      </w:r>
      <w:r>
        <w:rPr>
          <w:rFonts w:hint="eastAsia" w:ascii="宋体" w:hAnsi="宋体" w:eastAsia="宋体" w:cs="Times New Roman"/>
          <w:bCs/>
          <w:color w:val="0000ff"/>
          <w:szCs w:val="21"/>
          <w:highlight w:val="none"/>
        </w:rPr>
        <w:t xml:space="preserve">。</w:t>
      </w:r>
      <w:r>
        <w:rPr>
          <w:rFonts w:hint="eastAsia" w:ascii="宋体" w:hAnsi="宋体" w:eastAsia="宋体" w:cs="Times New Roman"/>
          <w:bCs/>
          <w:szCs w:val="21"/>
          <w:highlight w:val="none"/>
        </w:rPr>
        <w:t xml:space="preserve">施工控制网资料的告知期限：</w:t>
      </w:r>
      <w:r>
        <w:rPr>
          <w:rFonts w:hint="eastAsia" w:ascii="宋体" w:hAnsi="宋体" w:eastAsia="宋体" w:cs="Times New Roman"/>
          <w:bCs/>
          <w:color w:val="0000ff"/>
          <w:szCs w:val="21"/>
          <w:highlight w:val="none"/>
          <w:u w:val="single"/>
        </w:rPr>
        <w:t xml:space="preserve">发包人应于最迟（开工通知）开工日期前7天将水准点、坐标控制点提交承包人；水准点、坐标控制点交验完毕，即由承包人自费负责保护，此后由于破坏或失准带来的重新测量、放点费用及由此造成的其他损失均由承包人负担。</w:t>
      </w:r>
      <w:r>
        <w:rPr>
          <w:rFonts w:hint="eastAsia" w:ascii="宋体" w:hAnsi="宋体" w:eastAsia="宋体" w:cs="Times New Roman"/>
          <w:bCs/>
          <w:color w:val="0000ff"/>
          <w:szCs w:val="21"/>
          <w:highlight w:val="none"/>
          <w:u w:val="singl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7.5 工期延误</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（7）因发包人原因导致工期延误的其他情形：</w:t>
      </w:r>
      <w:r>
        <w:rPr>
          <w:rFonts w:hint="eastAsia" w:ascii="宋体" w:hAnsi="宋体" w:eastAsia="宋体" w:cs="宋体"/>
          <w:color w:val="0000ff"/>
          <w:sz w:val="21"/>
          <w:szCs w:val="21"/>
          <w:highlight w:val="none"/>
          <w:u w:val="single"/>
          <w:lang w:eastAsia="zh-CN"/>
        </w:rPr>
        <w:t xml:space="preserve">由于发包人原因和国家行政相关要求的停工（非承包人的责任），导致关键路径工期延误的，经发包人同意，工期可顺延</w:t>
      </w:r>
      <w:r>
        <w:rPr>
          <w:rFonts w:hint="eastAsia" w:ascii="宋体" w:hAnsi="宋体" w:eastAsia="宋体" w:cs="宋体"/>
          <w:color w:val="0000ff"/>
          <w:sz w:val="21"/>
          <w:szCs w:val="21"/>
          <w:highlight w:val="none"/>
          <w:u w:val="singl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7.5.2 因承包人原因导致工期延误</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因承包人原因造成工期延误，逾期竣工违约金的计算方法为：</w:t>
      </w:r>
      <w:r>
        <w:rPr>
          <w:rFonts w:hint="eastAsia" w:ascii="宋体" w:hAnsi="宋体" w:eastAsia="宋体" w:cs="宋体"/>
          <w:color w:val="0000ff"/>
          <w:sz w:val="21"/>
          <w:szCs w:val="21"/>
          <w:highlight w:val="none"/>
          <w:u w:val="single"/>
        </w:rPr>
        <w:t xml:space="preserve">按延误合同工期的天数承担分部分项工程费的</w:t>
      </w:r>
      <w:r>
        <w:rPr>
          <w:rFonts w:ascii="宋体" w:hAnsi="宋体" w:eastAsia="宋体" w:cs="宋体"/>
          <w:color w:val="0000ff"/>
          <w:sz w:val="21"/>
          <w:szCs w:val="21"/>
          <w:highlight w:val="none"/>
          <w:u w:val="single"/>
        </w:rPr>
        <w:t xml:space="preserve">0.2‰/天的逾期违约金，并承担由此造成的工期延误损失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因承包人原因造成工期延误，逾期竣工违约金的上限：</w:t>
      </w:r>
      <w:r>
        <w:rPr>
          <w:rFonts w:hint="eastAsia" w:ascii="宋体" w:hAnsi="宋体" w:eastAsia="宋体" w:cs="宋体"/>
          <w:color w:val="0000ff"/>
          <w:sz w:val="21"/>
          <w:szCs w:val="21"/>
          <w:highlight w:val="none"/>
          <w:u w:val="single"/>
          <w:lang w:val="en-US" w:eastAsia="zh-CN"/>
        </w:rPr>
        <w:t xml:space="preserve">合同价的5%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7.6 不利物质条件</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7.7异常恶劣的气候条件</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发包人和承包人同意以下情形视为异常恶劣的气候条件：</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7.9 提前竣工的奖励</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7.9.2提前竣工的奖励：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8. 材料与设备</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8.4材料与工程设备的保管与使用</w:t>
      </w:r>
      <w:r>
        <w:rPr>
          <w:rFonts w:hint="eastAsia" w:ascii="宋体" w:hAnsi="宋体" w:eastAsia="宋体" w:cs="宋体"/>
          <w:color w:val="000000"/>
          <w:sz w:val="21"/>
          <w:szCs w:val="21"/>
          <w:highlight w:val="none"/>
        </w:rPr>
      </w:r>
      <w:r/>
    </w:p>
    <w:p>
      <w:pPr>
        <w:pStyle w:val="126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8.4.1发包人供应的材料设备的保管费用的承担：</w:t>
      </w:r>
      <w:r>
        <w:rPr>
          <w:rFonts w:hint="eastAsia" w:ascii="宋体" w:hAnsi="宋体" w:eastAsia="宋体" w:cs="宋体"/>
          <w:color w:val="0000ff"/>
          <w:sz w:val="21"/>
          <w:szCs w:val="21"/>
          <w:highlight w:val="none"/>
          <w:u w:val="single"/>
        </w:rPr>
        <w:t xml:space="preserve">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spacing w:line="360" w:lineRule="auto"/>
        <w:rPr>
          <w:rFonts w:hint="eastAsia" w:ascii="宋体" w:hAnsi="宋体" w:eastAsia="宋体" w:cs="Times New Roman"/>
          <w:sz w:val="24"/>
          <w:szCs w:val="24"/>
          <w:highlight w:val="none"/>
        </w:rPr>
      </w:pPr>
      <w:r>
        <w:rPr>
          <w:rFonts w:hint="eastAsia" w:ascii="宋体" w:hAnsi="宋体" w:eastAsia="宋体" w:cs="宋体"/>
          <w:szCs w:val="21"/>
          <w:highlight w:val="none"/>
        </w:rPr>
        <w:t xml:space="preserve">8.4.2承包人提交保管、维护方案的时间：</w:t>
      </w:r>
      <w:r>
        <w:rPr>
          <w:rFonts w:hint="eastAsia" w:ascii="宋体" w:hAnsi="宋体" w:eastAsia="宋体" w:cs="宋体"/>
          <w:color w:val="0000ff"/>
          <w:sz w:val="21"/>
          <w:szCs w:val="21"/>
          <w:highlight w:val="none"/>
          <w:u w:val="single"/>
        </w:rPr>
        <w:t xml:space="preserve">双方另行协商确定</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126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szCs w:val="21"/>
          <w:highlight w:val="none"/>
        </w:rPr>
        <w:t xml:space="preserve">8.4.3发包人提供的库房、堆场、设施和设备：</w:t>
      </w:r>
      <w:r>
        <w:rPr>
          <w:rFonts w:hint="eastAsia" w:ascii="宋体" w:hAnsi="宋体" w:eastAsia="宋体" w:cs="Times New Roman"/>
          <w:bCs/>
          <w:color w:val="0000ff"/>
          <w:szCs w:val="21"/>
          <w:highlight w:val="none"/>
          <w:u w:val="single"/>
        </w:rPr>
        <w:t xml:space="preserve">不提供</w:t>
      </w:r>
      <w:r>
        <w:rPr>
          <w:rFonts w:hint="eastAsia" w:ascii="宋体" w:hAnsi="宋体" w:eastAsia="宋体" w:cs="Times New Roman"/>
          <w:sz w:val="24"/>
          <w:szCs w:val="24"/>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8.6 样品</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8.6.1样品的报送与封存</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宋体"/>
          <w:color w:val="0000ff"/>
          <w:sz w:val="21"/>
          <w:szCs w:val="21"/>
          <w:highlight w:val="none"/>
        </w:rPr>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ascii="宋体" w:hAnsi="宋体" w:eastAsia="宋体" w:cs="Times New Roman"/>
          <w:bCs/>
          <w:color w:val="0000ff"/>
          <w:szCs w:val="21"/>
          <w:highlight w:val="none"/>
        </w:rPr>
        <w:t xml:space="preserve">按发包人要求确定。承包人采购的材料设备，施工前均须提供封样，经发包人确认后方可批量采购进场施工。承包人负责采购材料设备的，应按照约定及设计和有关标准要求采购，并提供产品合格证明，对材料设备质量负责。承包人在材料设备到货前24小时通知工程师清点。一般的，除发包人供应的材料外，该工程的所有材料均由承包人采购，必须确保为原厂产品。为保证工程质量，对承包人购入用于工程的建筑材料</w:t>
      </w:r>
      <w:r>
        <w:rPr>
          <w:rFonts w:ascii="宋体" w:hAnsi="宋体" w:eastAsia="宋体" w:cs="Times New Roman"/>
          <w:bCs/>
          <w:color w:val="0000ff"/>
          <w:szCs w:val="21"/>
          <w:highlight w:val="none"/>
        </w:rPr>
        <w:t xml:space="preserve">、建筑构配件和设备的材料品牌和生产厂家等，发包人有建议权及监督权。承包人采购材料的采购和供应，应得到发包人和监理工程师的批准或认可。未经发包人和监理工程师的批准或认可，承包人不得私自将材料设备运进现场，更不得将材料设备用于本工程。承包人所使用的所有物料必须满足相关验收要求。材料设备的供应时间以保障工程施工顺利进行为原则，由承包人自理。具体事宜由承包人与材料供货商在签订的供应合同中明确，供应合同中应明确具体品种、数量、标准、规格、型号、尺寸、供应办法、供货地点，发包人和监理工程师有权对承包人的供货合同进行审查</w:t>
      </w:r>
      <w:r>
        <w:rPr>
          <w:rFonts w:hint="eastAsia" w:ascii="宋体" w:hAnsi="宋体" w:eastAsia="宋体" w:cs="宋体"/>
          <w:szCs w:val="21"/>
          <w:highlight w:val="none"/>
        </w:rPr>
        <w:t xml:space="preserve">。</w:t>
      </w:r>
      <w:r>
        <w:rPr>
          <w:rFonts w:hint="eastAsia" w:ascii="宋体" w:hAnsi="宋体" w:eastAsia="宋体" w:cs="宋体"/>
          <w:color w:val="0000ff"/>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8.8 施工设备和临时设施</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ff"/>
          <w:sz w:val="21"/>
          <w:szCs w:val="21"/>
          <w:highlight w:val="none"/>
          <w:u w:val="single"/>
          <w:lang w:eastAsia="zh-CN"/>
        </w:rPr>
        <w:t xml:space="preserve">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Times New Roman"/>
          <w:bCs/>
          <w:color w:val="0000ff"/>
          <w:szCs w:val="21"/>
          <w:highlight w:val="none"/>
        </w:rPr>
      </w:pPr>
      <w:r>
        <w:rPr>
          <w:rFonts w:hint="eastAsia" w:ascii="宋体" w:hAnsi="宋体" w:eastAsia="宋体" w:cs="Times New Roman"/>
          <w:bCs/>
          <w:color w:val="0000ff"/>
          <w:szCs w:val="21"/>
          <w:highlight w:val="none"/>
        </w:rPr>
        <w:t xml:space="preserve">（1）承包人在收到发包人指令一周内负责将临时设施拆除、建筑垃圾清理出场，费用自理。负责协助发包人办理开工前等有关业务合法手续。</w:t>
      </w:r>
      <w:r>
        <w:rPr>
          <w:rFonts w:hint="eastAsia" w:ascii="宋体" w:hAnsi="宋体" w:eastAsia="宋体" w:cs="Times New Roman"/>
          <w:bCs/>
          <w:color w:val="0000ff"/>
          <w:szCs w:val="21"/>
          <w:highlight w:val="none"/>
        </w:rPr>
      </w:r>
      <w:r/>
    </w:p>
    <w:p>
      <w:pPr>
        <w:pStyle w:val="1263"/>
        <w:ind w:firstLine="420"/>
        <w:jc w:val="left"/>
        <w:spacing w:line="360" w:lineRule="auto"/>
        <w:rPr>
          <w:rFonts w:hint="eastAsia" w:ascii="宋体" w:hAnsi="宋体" w:eastAsia="宋体" w:cs="Times New Roman"/>
          <w:bCs/>
          <w:color w:val="0000ff"/>
          <w:szCs w:val="21"/>
          <w:highlight w:val="none"/>
        </w:rPr>
      </w:pPr>
      <w:r>
        <w:rPr>
          <w:rFonts w:hint="eastAsia" w:ascii="宋体" w:hAnsi="宋体" w:eastAsia="宋体" w:cs="Times New Roman"/>
          <w:bCs/>
          <w:color w:val="0000ff"/>
          <w:szCs w:val="21"/>
          <w:highlight w:val="none"/>
        </w:rPr>
        <w:t xml:space="preserve">（2）承包人必须做好现场安全文明施工及临时设施的布置。</w:t>
      </w:r>
      <w:r>
        <w:rPr>
          <w:rFonts w:hint="eastAsia" w:ascii="宋体" w:hAnsi="宋体" w:eastAsia="宋体" w:cs="Times New Roman"/>
          <w:bCs/>
          <w:color w:val="0000ff"/>
          <w:szCs w:val="21"/>
          <w:highlight w:val="none"/>
        </w:rPr>
      </w:r>
      <w:r/>
    </w:p>
    <w:p>
      <w:pPr>
        <w:pStyle w:val="126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Times New Roman"/>
          <w:bCs/>
          <w:color w:val="0000ff"/>
          <w:szCs w:val="21"/>
          <w:highlight w:val="none"/>
        </w:rPr>
        <w:t xml:space="preserve">（3）严格落实好关于控制扬尘的各项管理规定，采取一切必要措施，保证工地周围道路清洁卫生。</w:t>
      </w:r>
      <w:r>
        <w:rPr>
          <w:rFonts w:hint="eastAsia" w:ascii="宋体" w:hAnsi="宋体" w:eastAsia="宋体" w:cs="宋体"/>
          <w:color w:val="000000"/>
          <w:sz w:val="21"/>
          <w:szCs w:val="21"/>
          <w:highlight w:val="non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9. 试验与检验</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9.1试验设备与试验人员</w:t>
      </w:r>
      <w:r>
        <w:rPr>
          <w:rFonts w:hint="eastAsia" w:ascii="宋体" w:hAnsi="宋体" w:eastAsia="宋体" w:cs="宋体"/>
          <w:color w:val="000000"/>
          <w:sz w:val="21"/>
          <w:szCs w:val="21"/>
          <w:highlight w:val="none"/>
        </w:rPr>
      </w:r>
      <w:r/>
    </w:p>
    <w:p>
      <w:pPr>
        <w:pStyle w:val="126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9.1.2 试验设备</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施工现场需要配置的试验场所：</w:t>
      </w:r>
      <w:r>
        <w:rPr>
          <w:rFonts w:hint="eastAsia" w:ascii="宋体" w:hAnsi="宋体" w:eastAsia="宋体" w:cs="宋体"/>
          <w:color w:val="0000ff"/>
          <w:sz w:val="21"/>
          <w:szCs w:val="21"/>
          <w:highlight w:val="none"/>
          <w:u w:val="single"/>
          <w:lang w:eastAsia="zh-CN"/>
        </w:rPr>
        <w:t xml:space="preserve">按通用条款约定</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ff"/>
          <w:sz w:val="21"/>
          <w:szCs w:val="21"/>
          <w:highlight w:val="none"/>
          <w:u w:val="single"/>
          <w:lang w:eastAsia="zh-CN"/>
        </w:rPr>
        <w:t xml:space="preserve">按通用条款约定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ff"/>
          <w:sz w:val="21"/>
          <w:szCs w:val="21"/>
          <w:highlight w:val="none"/>
          <w:u w:val="single"/>
          <w:lang w:eastAsia="zh-CN"/>
        </w:rPr>
        <w:t xml:space="preserve">按通用条款约定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9.4 现场工艺试验 </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ff"/>
          <w:sz w:val="21"/>
          <w:szCs w:val="21"/>
          <w:highlight w:val="none"/>
          <w:u w:val="single"/>
        </w:rPr>
        <w:t xml:space="preserve">按监理人及发包人要求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10. 变更</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10.1变更的范围</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color w:val="0000ff"/>
          <w:sz w:val="21"/>
          <w:szCs w:val="21"/>
          <w:highlight w:val="none"/>
          <w:u w:val="single"/>
        </w:rPr>
        <w:t xml:space="preserve">按监理人及发包人要求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10.4 变更估价</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yellow"/>
        </w:rPr>
        <w:t xml:space="preserve">关于变更估价的约定</w:t>
      </w:r>
      <w:r>
        <w:rPr>
          <w:rFonts w:hint="eastAsia" w:ascii="宋体" w:hAnsi="宋体" w:eastAsia="宋体" w:cs="宋体"/>
          <w:color w:val="000000"/>
          <w:sz w:val="21"/>
          <w:szCs w:val="21"/>
          <w:highlight w:val="yellow"/>
          <w:lang w:eastAsia="zh-CN"/>
        </w:rPr>
        <w:t xml:space="preserve">：</w:t>
      </w:r>
      <w:r>
        <w:rPr>
          <w:rFonts w:hint="eastAsia" w:ascii="宋体" w:hAnsi="宋体" w:eastAsia="宋体" w:cs="宋体"/>
          <w:color w:val="0000ff"/>
          <w:sz w:val="21"/>
          <w:szCs w:val="21"/>
          <w:highlight w:val="yellow"/>
          <w:u w:val="single"/>
          <w:lang w:eastAsia="zh-CN"/>
        </w:rPr>
        <w:t xml:space="preserve">按21.补充条款约定</w:t>
      </w:r>
      <w:r>
        <w:rPr>
          <w:rFonts w:hint="eastAsia" w:ascii="宋体" w:hAnsi="宋体" w:eastAsia="宋体" w:cs="宋体"/>
          <w:color w:val="000000"/>
          <w:sz w:val="21"/>
          <w:szCs w:val="21"/>
          <w:highlight w:val="yellow"/>
        </w:rPr>
        <w:t xml:space="preserve">。</w:t>
      </w:r>
      <w:r>
        <w:rPr>
          <w:rFonts w:hint="eastAsia" w:ascii="宋体" w:hAnsi="宋体" w:eastAsia="宋体" w:cs="宋体"/>
          <w:color w:val="000000"/>
          <w:sz w:val="21"/>
          <w:szCs w:val="21"/>
          <w:highlight w:val="none"/>
          <w:u w:val="singl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10.5承包人的合理化建议</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outlineLvl w:val="9"/>
      </w:pPr>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lang w:val="en-US" w:eastAsia="zh-CN"/>
        </w:rPr>
        <w:t xml:space="preserve">       /      。</w:t>
      </w:r>
      <w:r>
        <w:rPr>
          <w:rFonts w:ascii="宋体" w:hAnsi="宋体" w:eastAsia="宋体" w:cs="宋体"/>
          <w:color w:val="000000"/>
          <w:sz w:val="21"/>
          <w:szCs w:val="21"/>
          <w:highlight w:val="none"/>
          <w:u w:val="single"/>
          <w:lang w:val="en-US" w:eastAsia="zh-CN"/>
        </w:rPr>
      </w:r>
      <w:r/>
    </w:p>
    <w:p>
      <w:pPr>
        <w:pStyle w:val="1263"/>
        <w:ind w:firstLine="420"/>
        <w:jc w:val="left"/>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outlineLvl w:val="9"/>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lang w:val="en-US" w:eastAsia="zh-CN"/>
        </w:rPr>
        <w:t xml:space="preserve">        /     。</w:t>
      </w:r>
      <w:r>
        <w:rPr>
          <w:rFonts w:ascii="宋体" w:hAnsi="宋体" w:eastAsia="宋体" w:cs="宋体"/>
          <w:color w:val="000000"/>
          <w:sz w:val="21"/>
          <w:szCs w:val="21"/>
          <w:highlight w:val="none"/>
          <w:u w:val="single"/>
          <w:lang w:val="en-US"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 暂估价</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暂估价材料和工程设备的明细详见附件11：《</w:t>
      </w:r>
      <w:r>
        <w:rPr>
          <w:rFonts w:hint="eastAsia" w:ascii="宋体" w:hAnsi="宋体" w:eastAsia="宋体" w:cs="宋体"/>
          <w:color w:val="000000"/>
          <w:sz w:val="21"/>
          <w:szCs w:val="21"/>
          <w:highlight w:val="none"/>
        </w:rPr>
        <w:t xml:space="preserve">暂估价一览表》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10.7.1 依法必须招标的暂估价项目</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对于依法必须招标的暂估价项目的确认和批准采取第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10.7.2 不属于依法必须招标的暂估价项目</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对于不属于依法必须招标的暂估价项目的确认和批准采取第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种方式确定。</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10.8 暂列金额</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宋体"/>
          <w:color w:val="0000ff"/>
          <w:sz w:val="21"/>
          <w:szCs w:val="21"/>
          <w:highlight w:val="none"/>
          <w:u w:val="singl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none"/>
        </w:rPr>
        <w:t xml:space="preserve"> </w:t>
      </w:r>
      <w:r>
        <w:rPr>
          <w:rFonts w:hint="eastAsia" w:ascii="宋体" w:hAnsi="宋体" w:eastAsia="宋体" w:cs="Times New Roman"/>
          <w:bCs/>
          <w:color w:val="0000ff"/>
          <w:szCs w:val="21"/>
          <w:highlight w:val="none"/>
          <w:u w:val="single"/>
        </w:rPr>
        <w:t xml:space="preserve">由发包人掌握使用，发包人的要求通过监理人向承包人发出，发包人按合同相应规定所作支付后，暂列金额如有余额归发包人</w:t>
      </w:r>
      <w:r>
        <w:rPr>
          <w:rFonts w:hint="eastAsia" w:ascii="宋体" w:hAnsi="宋体" w:eastAsia="宋体" w:cs="宋体"/>
          <w:szCs w:val="21"/>
          <w:highlight w:val="none"/>
          <w:u w:val="single"/>
        </w:rPr>
        <w:t xml:space="preserve">。</w:t>
      </w:r>
      <w:r>
        <w:rPr>
          <w:rFonts w:hint="eastAsia" w:ascii="宋体" w:hAnsi="宋体" w:eastAsia="宋体" w:cs="宋体"/>
          <w:color w:val="0000ff"/>
          <w:sz w:val="21"/>
          <w:szCs w:val="21"/>
          <w:highlight w:val="none"/>
          <w:u w:val="singl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11. 价格调整</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 市场价格波动引起的调整</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Times New Roman"/>
          <w:bCs/>
          <w:color w:val="0000ff"/>
          <w:szCs w:val="21"/>
          <w:highlight w:val="none"/>
          <w:u w:val="single"/>
          <w:lang w:val="en-US" w:eastAsia="zh-CN"/>
        </w:rPr>
        <w:t xml:space="preserve">按专用合同条款</w:t>
      </w:r>
      <w:r>
        <w:rPr>
          <w:rFonts w:ascii="宋体" w:hAnsi="宋体" w:eastAsia="宋体" w:cs="Times New Roman"/>
          <w:bCs/>
          <w:color w:val="0000ff"/>
          <w:szCs w:val="21"/>
          <w:highlight w:val="none"/>
          <w:u w:val="single"/>
          <w:lang w:val="en-US" w:eastAsia="zh-CN"/>
        </w:rPr>
        <w:t xml:space="preserve">21.补充条款约定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因市场价格波动调整合同价格，采用以下第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ff"/>
          <w:sz w:val="21"/>
          <w:szCs w:val="21"/>
          <w:highlight w:val="none"/>
          <w:u w:val="single"/>
          <w:lang w:val="en-US" w:eastAsia="zh-CN"/>
        </w:rPr>
        <w:t xml:space="preserve">3 </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sz w:val="21"/>
          <w:szCs w:val="21"/>
          <w:highlight w:val="none"/>
        </w:rPr>
        <w:t xml:space="preserve">种方式对合同价格进行调整：</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关于各可调因子、定值和变值权重，以及基本价格指数及其来源的约定：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（2）关于基准价格的约定：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%时，或材料单价跌幅以已标价工程量清单或预算书中载明材料单价为基础超过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%时，其超过部分据实调整。</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%时，材料单价涨幅以已标价工程量清单或预算书中载明材料单价为基础超过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%时，其超过部分据实调整。</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%时，其超过部分据实调整。</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第3种方式：其他价格调整方式：</w:t>
      </w:r>
      <w:r>
        <w:rPr>
          <w:rFonts w:hint="eastAsia" w:ascii="宋体" w:hAnsi="宋体" w:eastAsia="宋体" w:cs="宋体"/>
          <w:color w:val="0000ff"/>
          <w:sz w:val="21"/>
          <w:szCs w:val="21"/>
          <w:highlight w:val="none"/>
          <w:u w:val="single"/>
          <w:lang w:val="en-US" w:eastAsia="zh-CN"/>
        </w:rPr>
        <w:t xml:space="preserve">按专用合同条款</w:t>
      </w:r>
      <w:r>
        <w:rPr>
          <w:rFonts w:ascii="宋体" w:hAnsi="宋体" w:eastAsia="宋体" w:cs="宋体"/>
          <w:color w:val="0000ff"/>
          <w:sz w:val="21"/>
          <w:szCs w:val="21"/>
          <w:highlight w:val="none"/>
          <w:u w:val="single"/>
          <w:lang w:val="en-US" w:eastAsia="zh-CN"/>
        </w:rPr>
        <w:t xml:space="preserve">21.补充条款约定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numPr>
          <w:ilvl w:val="0"/>
          <w:numId w:val="13"/>
        </w:numPr>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合同价格、计量与支付</w:t>
      </w:r>
      <w:bookmarkStart w:id="543" w:name="_Toc296346707"/>
      <w:r/>
      <w:bookmarkStart w:id="544" w:name="_Toc296944545"/>
      <w:r/>
      <w:bookmarkStart w:id="545" w:name="_Toc296891246"/>
      <w:r/>
      <w:bookmarkStart w:id="546" w:name="_Toc297120506"/>
      <w:r/>
      <w:bookmarkStart w:id="547" w:name="_Toc312678041"/>
      <w:r/>
      <w:bookmarkStart w:id="548" w:name="_Toc297123553"/>
      <w:r/>
      <w:bookmarkStart w:id="549" w:name="_Toc303539160"/>
      <w:r/>
      <w:bookmarkStart w:id="550" w:name="_Toc297216212"/>
      <w:r/>
      <w:bookmarkStart w:id="551" w:name="_Toc300935003"/>
      <w:r/>
      <w:bookmarkStart w:id="552" w:name="_Toc304295580"/>
      <w:r/>
      <w:bookmarkStart w:id="553" w:name="_Toc267251461"/>
      <w:r/>
      <w:bookmarkStart w:id="554" w:name="_Toc296503206"/>
      <w:r/>
      <w:bookmarkStart w:id="555" w:name="_Toc297048392"/>
      <w:r/>
      <w:bookmarkStart w:id="556" w:name="_Toc296891034"/>
      <w:r/>
      <w:bookmarkStart w:id="557" w:name="_Toc296347205"/>
      <w:r/>
      <w:bookmarkStart w:id="558" w:name="_Toc292559916"/>
      <w:r/>
      <w:bookmarkStart w:id="559" w:name="_Toc292559411"/>
      <w:r>
        <w:rPr>
          <w:rFonts w:hint="eastAsia" w:ascii="宋体" w:hAnsi="宋体" w:eastAsia="宋体" w:cs="宋体"/>
          <w:b/>
          <w:color w:val="000000"/>
          <w:sz w:val="21"/>
          <w:szCs w:val="21"/>
          <w:highlight w:val="none"/>
        </w:rPr>
      </w:r>
      <w:r/>
    </w:p>
    <w:p>
      <w:pPr>
        <w:pStyle w:val="1263"/>
        <w:numPr>
          <w:ilvl w:val="0"/>
          <w:numId w:val="0"/>
        </w:numPr>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12.1 合</w:t>
      </w:r>
      <w:bookmarkEnd w:id="553"/>
      <w:r/>
      <w:bookmarkEnd w:id="558"/>
      <w:r/>
      <w:bookmarkEnd w:id="559"/>
      <w:r>
        <w:rPr>
          <w:rFonts w:hint="eastAsia" w:ascii="宋体" w:hAnsi="宋体" w:eastAsia="宋体" w:cs="宋体"/>
          <w:color w:val="000000"/>
          <w:sz w:val="21"/>
          <w:szCs w:val="21"/>
          <w:highlight w:val="none"/>
        </w:rPr>
        <w:t xml:space="preserve">同价</w:t>
      </w:r>
      <w:bookmarkEnd w:id="543"/>
      <w:r/>
      <w:bookmarkEnd w:id="544"/>
      <w:r/>
      <w:bookmarkEnd w:id="545"/>
      <w:r/>
      <w:bookmarkEnd w:id="546"/>
      <w:r/>
      <w:bookmarkEnd w:id="554"/>
      <w:r/>
      <w:bookmarkEnd w:id="555"/>
      <w:r/>
      <w:bookmarkEnd w:id="556"/>
      <w:r/>
      <w:bookmarkEnd w:id="557"/>
      <w:r>
        <w:rPr>
          <w:rFonts w:hint="eastAsia" w:ascii="宋体" w:hAnsi="宋体" w:eastAsia="宋体" w:cs="宋体"/>
          <w:color w:val="000000"/>
          <w:sz w:val="21"/>
          <w:szCs w:val="21"/>
          <w:highlight w:val="none"/>
        </w:rPr>
        <w:t xml:space="preserve">格形式</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bookmarkEnd w:id="547"/>
      <w:r/>
      <w:bookmarkEnd w:id="548"/>
      <w:r/>
      <w:bookmarkEnd w:id="549"/>
      <w:r/>
      <w:bookmarkEnd w:id="550"/>
      <w:r/>
      <w:bookmarkEnd w:id="551"/>
      <w:r/>
      <w:bookmarkEnd w:id="552"/>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单价合同。</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Times New Roman"/>
          <w:bCs/>
          <w:color w:val="0000ff"/>
          <w:szCs w:val="21"/>
          <w:u w:val="single"/>
          <w:lang w:eastAsia="zh-CN"/>
        </w:rPr>
        <w:t xml:space="preserve">按专用合同条款 21.补充条款约定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Times New Roman"/>
          <w:bCs/>
          <w:color w:val="0000ff"/>
          <w:szCs w:val="21"/>
          <w:u w:val="single"/>
          <w:lang w:eastAsia="zh-CN"/>
        </w:rPr>
        <w:t xml:space="preserve">按专用合同条款 21.补充条款约定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Times New Roman"/>
          <w:bCs/>
          <w:color w:val="0000ff"/>
          <w:szCs w:val="21"/>
          <w:u w:val="single"/>
          <w:lang w:eastAsia="zh-CN"/>
        </w:rPr>
        <w:t xml:space="preserve">按专用合同条款 21.补充条款约定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总价合同。</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outlineLvl w:val="9"/>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val="en-US" w:eastAsia="zh-CN"/>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3、其他价格方式：</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bookmarkStart w:id="560" w:name="_Toc303539161"/>
      <w:r/>
      <w:bookmarkStart w:id="561" w:name="_Toc297123554"/>
      <w:r/>
      <w:bookmarkStart w:id="562" w:name="_Toc304295581"/>
      <w:r/>
      <w:bookmarkStart w:id="563" w:name="_Toc312678042"/>
      <w:r/>
      <w:bookmarkStart w:id="564" w:name="_Toc300935004"/>
      <w:r/>
      <w:bookmarkStart w:id="565" w:name="_Toc297216213"/>
      <w:r>
        <w:rPr>
          <w:rFonts w:hint="eastAsia" w:ascii="宋体" w:hAnsi="宋体" w:eastAsia="宋体" w:cs="宋体"/>
          <w:color w:val="000000"/>
          <w:sz w:val="21"/>
          <w:szCs w:val="21"/>
          <w:highlight w:val="none"/>
        </w:rPr>
        <w:t xml:space="preserve">12.2 预付款</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bookmarkEnd w:id="560"/>
      <w:r/>
      <w:bookmarkEnd w:id="561"/>
      <w:r/>
      <w:bookmarkEnd w:id="562"/>
      <w:r/>
      <w:bookmarkEnd w:id="563"/>
      <w:r/>
      <w:bookmarkEnd w:id="564"/>
      <w:r/>
      <w:bookmarkEnd w:id="565"/>
      <w:r>
        <w:rPr>
          <w:rFonts w:hint="eastAsia" w:ascii="宋体" w:hAnsi="宋体" w:eastAsia="宋体" w:cs="宋体"/>
          <w:color w:val="000000"/>
          <w:sz w:val="21"/>
          <w:szCs w:val="21"/>
          <w:highlight w:val="none"/>
        </w:rPr>
        <w:t xml:space="preserve">12.2.1 预付款的支付</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ff"/>
          <w:szCs w:val="21"/>
          <w:highlight w:val="none"/>
          <w:u w:val="single"/>
          <w:lang w:eastAsia="zh-CN"/>
        </w:rPr>
        <w:t xml:space="preserve">合同总价(扣除暂列金额及相应的税金)</w:t>
      </w:r>
      <w:r>
        <w:rPr>
          <w:rFonts w:hint="eastAsia" w:ascii="宋体" w:hAnsi="宋体" w:eastAsia="宋体" w:cs="宋体"/>
          <w:color w:val="0000ff"/>
          <w:spacing w:val="-10"/>
          <w:szCs w:val="21"/>
          <w:highlight w:val="none"/>
          <w:u w:val="single"/>
          <w:lang w:eastAsia="zh-CN"/>
        </w:rPr>
        <w:t xml:space="preserve">的10%</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预付款支付期限：</w:t>
      </w:r>
      <w:r>
        <w:rPr>
          <w:rFonts w:hint="eastAsia" w:ascii="宋体" w:hAnsi="宋体" w:eastAsia="宋体" w:cs="Times New Roman"/>
          <w:bCs/>
          <w:color w:val="0000ff"/>
          <w:szCs w:val="21"/>
          <w:u w:val="single"/>
          <w:lang w:eastAsia="zh-CN"/>
        </w:rPr>
        <w:t xml:space="preserve">在具备施工条件的前提下，合同签订后一个月内</w:t>
      </w:r>
      <w:r>
        <w:rPr>
          <w:rFonts w:hint="eastAsia" w:ascii="宋体" w:hAnsi="宋体" w:eastAsia="宋体" w:cs="Times New Roman"/>
          <w:bCs/>
          <w:color w:val="0000ff"/>
          <w:szCs w:val="21"/>
          <w:u w:val="single"/>
          <w:lang w:val="en-US" w:eastAsia="zh-CN"/>
        </w:rPr>
        <w:t xml:space="preserve">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预付款扣回的方式：</w:t>
      </w:r>
      <w:r>
        <w:rPr>
          <w:rFonts w:hint="eastAsia" w:ascii="Times New Roman" w:hAnsi="Times New Roman" w:eastAsia="宋体" w:cs="Times New Roman"/>
          <w:bCs/>
          <w:color w:val="0000ff"/>
          <w:szCs w:val="21"/>
          <w:highlight w:val="none"/>
          <w:u w:val="single"/>
          <w:lang w:eastAsia="zh-CN"/>
        </w:rPr>
        <w:t xml:space="preserve">不扣回（抵作工程价款）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 计量</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szCs w:val="21"/>
          <w:highlight w:val="none"/>
          <w:u w:val="single"/>
        </w:rPr>
        <w:outlineLvl w:val="9"/>
      </w:pPr>
      <w:r>
        <w:rPr>
          <w:rFonts w:hint="eastAsia" w:ascii="宋体" w:hAnsi="宋体" w:eastAsia="宋体" w:cs="宋体"/>
          <w:color w:val="000000"/>
          <w:sz w:val="21"/>
          <w:szCs w:val="21"/>
          <w:highlight w:val="none"/>
        </w:rPr>
        <w:t xml:space="preserve">工程量计算规则：</w:t>
      </w:r>
      <w:r>
        <w:rPr>
          <w:rFonts w:ascii="宋体" w:hAnsi="宋体" w:eastAsia="宋体" w:cs="Times New Roman"/>
          <w:bCs/>
          <w:color w:val="0000ff"/>
          <w:szCs w:val="21"/>
          <w:highlight w:val="none"/>
          <w:u w:val="single"/>
        </w:rPr>
        <w:t xml:space="preserve">1、</w:t>
      </w:r>
      <w:r>
        <w:rPr>
          <w:rFonts w:hint="eastAsia" w:ascii="宋体" w:hAnsi="宋体" w:eastAsia="宋体" w:cs="Times New Roman"/>
          <w:bCs/>
          <w:color w:val="0000ff"/>
          <w:szCs w:val="21"/>
          <w:highlight w:val="none"/>
          <w:u w:val="single"/>
        </w:rPr>
        <w:t xml:space="preserve">按《通用合同条款》执行</w:t>
      </w:r>
      <w:r>
        <w:rPr>
          <w:rFonts w:ascii="宋体" w:hAnsi="宋体" w:eastAsia="宋体" w:cs="Times New Roman"/>
          <w:bCs/>
          <w:color w:val="0000ff"/>
          <w:szCs w:val="21"/>
          <w:highlight w:val="none"/>
          <w:u w:val="single"/>
        </w:rPr>
        <w:t xml:space="preserve">；</w:t>
      </w:r>
      <w:r>
        <w:rPr>
          <w:rFonts w:hint="eastAsia" w:ascii="宋体" w:hAnsi="宋体" w:eastAsia="宋体" w:cs="Times New Roman"/>
          <w:bCs/>
          <w:color w:val="0000ff"/>
          <w:szCs w:val="21"/>
          <w:highlight w:val="none"/>
          <w:u w:val="single"/>
        </w:rPr>
        <w:t xml:space="preserve">2、</w:t>
      </w:r>
      <w:r>
        <w:rPr>
          <w:rFonts w:ascii="宋体" w:hAnsi="宋体" w:eastAsia="宋体" w:cs="Times New Roman"/>
          <w:bCs/>
          <w:color w:val="0000ff"/>
          <w:szCs w:val="21"/>
          <w:highlight w:val="none"/>
          <w:u w:val="single"/>
        </w:rPr>
        <w:t xml:space="preserve">除清单中特别注明外，</w:t>
      </w:r>
      <w:r>
        <w:rPr>
          <w:rFonts w:hint="eastAsia" w:ascii="宋体" w:hAnsi="宋体" w:eastAsia="宋体" w:cs="Times New Roman"/>
          <w:bCs/>
          <w:color w:val="0000ff"/>
          <w:szCs w:val="21"/>
          <w:highlight w:val="none"/>
          <w:u w:val="single"/>
        </w:rPr>
        <w:t xml:space="preserve">按</w:t>
      </w:r>
      <w:r>
        <w:rPr>
          <w:rFonts w:hint="eastAsia" w:ascii="宋体" w:hAnsi="宋体" w:eastAsia="宋体" w:cs="Times New Roman"/>
          <w:color w:val="0000ff"/>
          <w:szCs w:val="21"/>
          <w:highlight w:val="none"/>
          <w:u w:val="single"/>
        </w:rPr>
        <w:t xml:space="preserve">《建设工程工程量清单计价标准》（GB/T50500-2024）及招标工程量清单编制说明</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Times New Roman"/>
          <w:bCs/>
          <w:color w:val="0000ff"/>
          <w:szCs w:val="21"/>
          <w:u w:val="single"/>
          <w:lang w:eastAsia="zh-CN"/>
        </w:rPr>
        <w:t xml:space="preserve">按月计量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Times New Roman"/>
          <w:bCs/>
          <w:color w:val="0000ff"/>
          <w:szCs w:val="21"/>
          <w:u w:val="single"/>
          <w:lang w:eastAsia="zh-CN"/>
        </w:rPr>
        <w:t xml:space="preserve">按通用条款</w:t>
      </w:r>
      <w:r>
        <w:rPr>
          <w:rFonts w:hint="eastAsia" w:ascii="宋体" w:hAnsi="宋体" w:eastAsia="宋体" w:cs="Times New Roman"/>
          <w:bCs/>
          <w:color w:val="0000ff"/>
          <w:szCs w:val="21"/>
          <w:u w:val="single"/>
          <w:lang w:val="en-US" w:eastAsia="zh-CN"/>
        </w:rPr>
        <w:t xml:space="preserve">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12.3.5总价合同采用支付分解表计量支付的，是否适用第</w:t>
      </w:r>
      <w:r>
        <w:rPr>
          <w:rFonts w:hint="eastAsia" w:ascii="宋体" w:hAnsi="宋体" w:eastAsia="宋体" w:cs="宋体"/>
          <w:color w:val="000000"/>
          <w:sz w:val="21"/>
          <w:szCs w:val="21"/>
          <w:highlight w:val="none"/>
        </w:rPr>
        <w:t xml:space="preserve">12.3.4 </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t xml:space="preserve">〔总价合同的计量〕</w:t>
      </w:r>
      <w:r>
        <w:rPr>
          <w:rFonts w:hint="eastAsia" w:ascii="宋体" w:hAnsi="宋体" w:eastAsia="宋体" w:cs="宋体"/>
          <w:color w:val="000000"/>
          <w:sz w:val="21"/>
          <w:szCs w:val="21"/>
          <w:highlight w:val="none"/>
        </w:rPr>
        <w:t xml:space="preserve">约定进行计量：</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 工程进度款支付</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bookmarkStart w:id="566" w:name="_Toc303539163"/>
      <w:r/>
      <w:bookmarkStart w:id="567" w:name="_Toc296503211"/>
      <w:r/>
      <w:bookmarkStart w:id="568" w:name="_Toc296347210"/>
      <w:r/>
      <w:bookmarkStart w:id="569" w:name="_Toc300935006"/>
      <w:r/>
      <w:bookmarkStart w:id="570" w:name="_Toc297120511"/>
      <w:r/>
      <w:bookmarkStart w:id="571" w:name="_Toc297048397"/>
      <w:r/>
      <w:bookmarkStart w:id="572" w:name="_Toc297123556"/>
      <w:r/>
      <w:bookmarkStart w:id="573" w:name="_Toc297216215"/>
      <w:r/>
      <w:bookmarkStart w:id="574" w:name="_Toc296944550"/>
      <w:r/>
      <w:bookmarkStart w:id="575" w:name="_Toc292559921"/>
      <w:r/>
      <w:bookmarkStart w:id="576" w:name="_Toc296891039"/>
      <w:r/>
      <w:bookmarkStart w:id="577" w:name="_Toc292559416"/>
      <w:r/>
      <w:bookmarkStart w:id="578" w:name="_Toc296346712"/>
      <w:r/>
      <w:bookmarkStart w:id="579" w:name="_Toc296891251"/>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关于付款周期的约定：</w:t>
      </w:r>
      <w:r>
        <w:rPr>
          <w:rFonts w:hint="eastAsia" w:ascii="宋体" w:hAnsi="宋体" w:eastAsia="宋体" w:cs="Times New Roman"/>
          <w:bCs/>
          <w:color w:val="0000ff"/>
          <w:szCs w:val="21"/>
          <w:highlight w:val="none"/>
          <w:u w:val="single"/>
          <w:lang w:eastAsia="zh-CN"/>
        </w:rPr>
        <w:t xml:space="preserve">按专用合同条款12.4.4 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12.4.2 进度付款申请单的编制</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Times New Roman"/>
          <w:bCs/>
          <w:color w:val="0000ff"/>
          <w:szCs w:val="21"/>
          <w:u w:val="single"/>
          <w:lang w:eastAsia="zh-CN"/>
        </w:rPr>
        <w:t xml:space="preserve">按发包人要求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eastAsia="宋体" w:cs="宋体"/>
          <w:color w:val="000000"/>
          <w:sz w:val="21"/>
          <w:szCs w:val="21"/>
          <w:highlight w:val="none"/>
        </w:rPr>
        <w:t xml:space="preserve">2.4.3 进度付款申请单的提交</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发包人支付进度款的期限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宋体"/>
          <w:color w:val="0000ff"/>
          <w:szCs w:val="21"/>
          <w:highlight w:val="yellow"/>
        </w:rPr>
      </w:pPr>
      <w:r>
        <w:rPr>
          <w:rFonts w:hint="eastAsia" w:ascii="宋体" w:hAnsi="宋体" w:eastAsia="宋体" w:cs="宋体"/>
          <w:color w:val="0000ff"/>
          <w:szCs w:val="21"/>
          <w:highlight w:val="yellow"/>
        </w:rPr>
        <w:t xml:space="preserve">（1）农民工工资专用账户专户资金拨付：</w:t>
      </w:r>
      <w:r>
        <w:rPr>
          <w:rFonts w:hint="eastAsia" w:ascii="宋体" w:hAnsi="宋体" w:eastAsia="宋体" w:cs="宋体"/>
          <w:color w:val="0000ff"/>
          <w:szCs w:val="21"/>
          <w:highlight w:val="yellow"/>
        </w:rPr>
      </w:r>
      <w:r/>
    </w:p>
    <w:p>
      <w:pPr>
        <w:pStyle w:val="1263"/>
        <w:ind w:firstLine="420"/>
        <w:jc w:val="left"/>
        <w:spacing w:line="360" w:lineRule="auto"/>
        <w:rPr>
          <w:rFonts w:hint="eastAsia" w:ascii="宋体" w:hAnsi="宋体" w:eastAsia="宋体" w:cs="宋体"/>
          <w:color w:val="0000ff"/>
          <w:szCs w:val="21"/>
          <w:highlight w:val="yellow"/>
          <w:lang w:val="en-US" w:eastAsia="zh-CN"/>
        </w:rPr>
      </w:pPr>
      <w:r>
        <w:rPr>
          <w:rFonts w:hint="eastAsia" w:ascii="宋体" w:hAnsi="宋体" w:eastAsia="宋体" w:cs="宋体"/>
          <w:color w:val="0000ff"/>
          <w:szCs w:val="21"/>
          <w:highlight w:val="yellow"/>
        </w:rPr>
        <w:t xml:space="preserve">市政工程施工过程中建设单位每月向本工程农民工工资专用账户拨付签约合同价[扣除暂列金额（含税金）]的8%除以合同工期月份数的资金；</w:t>
      </w:r>
      <w:r>
        <w:rPr>
          <w:rFonts w:hint="eastAsia" w:ascii="宋体" w:hAnsi="宋体" w:eastAsia="宋体" w:cs="宋体"/>
          <w:color w:val="0000ff"/>
          <w:szCs w:val="21"/>
          <w:highlight w:val="yellow"/>
          <w:lang w:val="en-US" w:eastAsia="zh-CN"/>
        </w:rPr>
        <w:t xml:space="preserve">对于应付人工费用总额高于</w:t>
      </w:r>
      <w:r>
        <w:rPr>
          <w:rFonts w:hint="eastAsia" w:ascii="宋体" w:hAnsi="宋体" w:eastAsia="宋体" w:cs="宋体"/>
          <w:color w:val="0000ff"/>
          <w:szCs w:val="21"/>
          <w:highlight w:val="yellow"/>
        </w:rPr>
        <w:t xml:space="preserve">签约合同价[扣除暂列金额（含税金）]</w:t>
      </w:r>
      <w:r>
        <w:rPr>
          <w:rFonts w:hint="eastAsia" w:ascii="宋体" w:hAnsi="宋体" w:eastAsia="宋体" w:cs="宋体"/>
          <w:color w:val="0000ff"/>
          <w:szCs w:val="21"/>
          <w:highlight w:val="yellow"/>
          <w:lang w:val="en-US" w:eastAsia="zh-CN"/>
        </w:rPr>
        <w:t xml:space="preserve">8%的，应按照实际工资数额拨付至专用账户。</w:t>
      </w:r>
      <w:r>
        <w:rPr>
          <w:rFonts w:hint="eastAsia" w:ascii="宋体" w:hAnsi="宋体" w:eastAsia="宋体" w:cs="宋体"/>
          <w:color w:val="0000ff"/>
          <w:szCs w:val="21"/>
          <w:highlight w:val="yellow"/>
          <w:lang w:val="en-US" w:eastAsia="zh-CN"/>
        </w:rPr>
      </w:r>
      <w:r/>
    </w:p>
    <w:p>
      <w:pPr>
        <w:pStyle w:val="1263"/>
        <w:ind w:firstLine="420"/>
        <w:jc w:val="left"/>
        <w:spacing w:line="360" w:lineRule="auto"/>
        <w:rPr>
          <w:rFonts w:ascii="宋体" w:hAnsi="宋体" w:eastAsia="宋体" w:cs="宋体"/>
          <w:color w:val="0000ff"/>
          <w:szCs w:val="21"/>
          <w:highlight w:val="yellow"/>
          <w:lang w:val="en-US" w:eastAsia="zh-CN"/>
        </w:rPr>
      </w:pPr>
      <w:r>
        <w:rPr>
          <w:rFonts w:hint="eastAsia" w:ascii="宋体" w:hAnsi="宋体" w:eastAsia="宋体" w:cs="宋体"/>
          <w:color w:val="0000ff"/>
          <w:szCs w:val="21"/>
          <w:highlight w:val="yellow"/>
        </w:rPr>
        <w:t xml:space="preserve">项目竣工验收前，市政工程农民工工资专户累计拔付资金不得低于签约合同价[扣除暂列金额（含税金）]的8%</w:t>
      </w:r>
      <w:r>
        <w:rPr>
          <w:rFonts w:hint="eastAsia" w:ascii="宋体" w:hAnsi="宋体" w:eastAsia="宋体" w:cs="宋体"/>
          <w:color w:val="0000ff"/>
          <w:szCs w:val="21"/>
          <w:highlight w:val="yellow"/>
          <w:lang w:eastAsia="zh-CN"/>
        </w:rPr>
        <w:t xml:space="preserve">；</w:t>
      </w:r>
      <w:r>
        <w:rPr>
          <w:rFonts w:hint="eastAsia" w:ascii="宋体" w:hAnsi="宋体" w:eastAsia="宋体" w:cs="宋体"/>
          <w:color w:val="0000ff"/>
          <w:szCs w:val="21"/>
          <w:highlight w:val="yellow"/>
          <w:lang w:val="en-US" w:eastAsia="zh-CN"/>
        </w:rPr>
        <w:t xml:space="preserve">且已发放的农民工工资数额原则上不得低于</w:t>
      </w:r>
      <w:r>
        <w:rPr>
          <w:rFonts w:hint="eastAsia" w:ascii="宋体" w:hAnsi="宋体" w:eastAsia="宋体" w:cs="宋体"/>
          <w:color w:val="0000ff"/>
          <w:szCs w:val="21"/>
          <w:highlight w:val="yellow"/>
        </w:rPr>
        <w:t xml:space="preserve">签约合同价[扣除暂列金额（含税金）]</w:t>
      </w:r>
      <w:r>
        <w:rPr>
          <w:rFonts w:hint="eastAsia" w:ascii="宋体" w:hAnsi="宋体" w:eastAsia="宋体" w:cs="宋体"/>
          <w:color w:val="0000ff"/>
          <w:szCs w:val="21"/>
          <w:highlight w:val="yellow"/>
          <w:lang w:val="en-US" w:eastAsia="zh-CN"/>
        </w:rPr>
        <w:t xml:space="preserve">的6%；农民工工资发放数额低于</w:t>
      </w:r>
      <w:r>
        <w:rPr>
          <w:rFonts w:hint="eastAsia" w:ascii="宋体" w:hAnsi="宋体" w:eastAsia="宋体" w:cs="宋体"/>
          <w:color w:val="0000ff"/>
          <w:szCs w:val="21"/>
          <w:highlight w:val="yellow"/>
        </w:rPr>
        <w:t xml:space="preserve">签约合同价[扣除暂列金额（含税金）]</w:t>
      </w:r>
      <w:r>
        <w:rPr>
          <w:rFonts w:hint="eastAsia" w:ascii="宋体" w:hAnsi="宋体" w:eastAsia="宋体" w:cs="宋体"/>
          <w:color w:val="0000ff"/>
          <w:szCs w:val="21"/>
          <w:highlight w:val="yellow"/>
          <w:lang w:val="en-US" w:eastAsia="zh-CN"/>
        </w:rPr>
        <w:t xml:space="preserve">的6%的，经工程所在地建设行政主管部门确认项目农民工工资已经结清，方可以进行竣工验收。</w:t>
      </w:r>
      <w:r>
        <w:rPr>
          <w:rFonts w:ascii="宋体" w:hAnsi="宋体" w:eastAsia="宋体" w:cs="宋体"/>
          <w:color w:val="0000ff"/>
          <w:szCs w:val="21"/>
          <w:highlight w:val="yellow"/>
          <w:lang w:val="en-US" w:eastAsia="zh-CN"/>
        </w:rPr>
      </w:r>
      <w:r/>
    </w:p>
    <w:p>
      <w:pPr>
        <w:pStyle w:val="1263"/>
        <w:ind w:firstLine="420"/>
        <w:jc w:val="left"/>
        <w:spacing w:line="360" w:lineRule="auto"/>
        <w:rPr>
          <w:rFonts w:hint="eastAsia" w:ascii="宋体" w:hAnsi="宋体" w:eastAsia="宋体" w:cs="宋体"/>
          <w:color w:val="0000ff"/>
          <w:szCs w:val="21"/>
          <w:highlight w:val="none"/>
          <w:u w:val="single"/>
          <w:lang w:val="en-US" w:eastAsia="zh-CN"/>
        </w:rPr>
      </w:pPr>
      <w:r>
        <w:rPr>
          <w:rFonts w:hint="eastAsia" w:ascii="宋体" w:hAnsi="宋体" w:eastAsia="宋体" w:cs="宋体"/>
          <w:color w:val="0000ff"/>
          <w:szCs w:val="21"/>
          <w:highlight w:val="none"/>
        </w:rPr>
        <w:t xml:space="preserve">（2）工程进度款支付：</w:t>
      </w:r>
      <w:r>
        <w:rPr>
          <w:rFonts w:hint="eastAsia" w:ascii="宋体" w:hAnsi="宋体" w:eastAsia="宋体" w:cs="宋体"/>
          <w:color w:val="0000ff"/>
          <w:szCs w:val="21"/>
          <w:highlight w:val="none"/>
          <w:u w:val="single"/>
          <w:lang w:val="en-US" w:eastAsia="zh-CN"/>
        </w:rPr>
      </w:r>
      <w:r/>
    </w:p>
    <w:p>
      <w:pPr>
        <w:pStyle w:val="1263"/>
        <w:numPr>
          <w:ilvl w:val="0"/>
          <w:numId w:val="0"/>
        </w:numPr>
        <w:ind w:firstLine="420"/>
        <w:jc w:val="left"/>
        <w:spacing w:line="360" w:lineRule="auto"/>
        <w:rPr>
          <w:rFonts w:hint="eastAsia" w:ascii="宋体" w:hAnsi="宋体" w:eastAsia="宋体" w:cs="宋体"/>
          <w:color w:val="0000ff"/>
          <w:szCs w:val="21"/>
          <w:highlight w:val="none"/>
          <w:u w:val="single"/>
          <w:lang w:val="en-US" w:eastAsia="zh-CN"/>
        </w:rPr>
      </w:pPr>
      <w:r>
        <w:rPr>
          <w:rFonts w:hint="eastAsia" w:ascii="宋体" w:hAnsi="宋体" w:eastAsia="宋体" w:cs="宋体"/>
          <w:color w:val="0000ff"/>
          <w:szCs w:val="21"/>
          <w:highlight w:val="none"/>
          <w:u w:val="single"/>
          <w:lang w:val="en-US" w:eastAsia="zh-CN"/>
        </w:rPr>
        <w:t xml:space="preserve">1）在具备施工条件的前提下，合同签订后一个月内支付合同价款</w:t>
      </w:r>
      <w:r>
        <w:rPr>
          <w:rFonts w:hint="eastAsia" w:ascii="宋体" w:hAnsi="宋体" w:eastAsia="宋体" w:cs="宋体"/>
          <w:color w:val="0000ff"/>
          <w:szCs w:val="21"/>
          <w:highlight w:val="none"/>
          <w:u w:val="single"/>
          <w:lang w:eastAsia="zh-CN"/>
        </w:rPr>
        <w:t xml:space="preserve">(扣除暂列金额及相应的税金)</w:t>
      </w:r>
      <w:r>
        <w:rPr>
          <w:rFonts w:hint="eastAsia" w:ascii="宋体" w:hAnsi="宋体" w:eastAsia="宋体" w:cs="宋体"/>
          <w:color w:val="0000ff"/>
          <w:szCs w:val="21"/>
          <w:highlight w:val="none"/>
          <w:u w:val="single"/>
          <w:lang w:val="en-US" w:eastAsia="zh-CN"/>
        </w:rPr>
        <w:t xml:space="preserve">的10%作为预付款（含</w:t>
      </w:r>
      <w:r>
        <w:rPr>
          <w:rFonts w:hint="eastAsia" w:ascii="宋体" w:hAnsi="宋体" w:eastAsia="宋体" w:cs="宋体"/>
          <w:color w:val="0000ff"/>
          <w:szCs w:val="21"/>
          <w:highlight w:val="none"/>
          <w:u w:val="single"/>
          <w:lang w:eastAsia="zh-CN"/>
        </w:rPr>
        <w:t xml:space="preserve">安全生产措施费总额的50%，其余部分安全生产措施费包含在进度款中同期支付</w:t>
      </w:r>
      <w:r>
        <w:rPr>
          <w:rFonts w:hint="eastAsia" w:ascii="宋体" w:hAnsi="宋体" w:eastAsia="宋体" w:cs="宋体"/>
          <w:color w:val="0000ff"/>
          <w:szCs w:val="21"/>
          <w:highlight w:val="none"/>
          <w:u w:val="single"/>
          <w:lang w:val="en-US" w:eastAsia="zh-CN"/>
        </w:rPr>
        <w:t xml:space="preserve">）（</w:t>
      </w:r>
      <w:r>
        <w:rPr>
          <w:rFonts w:hint="eastAsia" w:ascii="宋体" w:hAnsi="宋体" w:eastAsia="宋体" w:cs="宋体"/>
          <w:color w:val="0000ff"/>
          <w:sz w:val="21"/>
          <w:szCs w:val="21"/>
          <w:highlight w:val="none"/>
          <w:u w:val="single"/>
        </w:rPr>
        <w:t xml:space="preserve">预付款</w:t>
      </w:r>
      <w:r>
        <w:rPr>
          <w:rFonts w:hint="eastAsia" w:ascii="Times New Roman" w:hAnsi="Times New Roman" w:eastAsia="宋体" w:cs="Times New Roman"/>
          <w:bCs/>
          <w:color w:val="0000ff"/>
          <w:szCs w:val="21"/>
          <w:highlight w:val="none"/>
          <w:u w:val="single"/>
          <w:lang w:eastAsia="zh-CN"/>
        </w:rPr>
        <w:t xml:space="preserve">抵作工程价款，不扣回</w:t>
      </w:r>
      <w:r>
        <w:rPr>
          <w:rFonts w:hint="eastAsia" w:ascii="宋体" w:hAnsi="宋体" w:eastAsia="宋体" w:cs="宋体"/>
          <w:color w:val="0000ff"/>
          <w:szCs w:val="21"/>
          <w:highlight w:val="none"/>
          <w:u w:val="single"/>
          <w:lang w:val="en-US" w:eastAsia="zh-CN"/>
        </w:rPr>
        <w:t xml:space="preserve">）；</w:t>
      </w:r>
      <w:r>
        <w:rPr>
          <w:rFonts w:hint="eastAsia" w:ascii="宋体" w:hAnsi="宋体" w:eastAsia="宋体" w:cs="宋体"/>
          <w:color w:val="0000ff"/>
          <w:szCs w:val="21"/>
          <w:highlight w:val="none"/>
          <w:u w:val="single"/>
          <w:lang w:val="en-US" w:eastAsia="zh-CN"/>
        </w:rPr>
      </w:r>
      <w:r/>
    </w:p>
    <w:p>
      <w:pPr>
        <w:pStyle w:val="1263"/>
        <w:numPr>
          <w:ilvl w:val="0"/>
          <w:numId w:val="0"/>
        </w:numPr>
        <w:ind w:firstLine="420"/>
        <w:jc w:val="left"/>
        <w:spacing w:line="360" w:lineRule="auto"/>
        <w:rPr>
          <w:rFonts w:hint="eastAsia" w:ascii="宋体" w:hAnsi="宋体" w:eastAsia="宋体" w:cs="宋体"/>
          <w:color w:val="0000ff"/>
          <w:szCs w:val="21"/>
          <w:highlight w:val="none"/>
          <w:u w:val="single"/>
          <w:lang w:val="en-US" w:eastAsia="zh-CN"/>
        </w:rPr>
      </w:pPr>
      <w:r>
        <w:rPr>
          <w:rFonts w:hint="eastAsia" w:ascii="宋体" w:hAnsi="宋体" w:eastAsia="宋体" w:cs="宋体"/>
          <w:color w:val="0000ff"/>
          <w:szCs w:val="21"/>
          <w:highlight w:val="none"/>
          <w:u w:val="single"/>
          <w:lang w:val="en-US" w:eastAsia="zh-CN"/>
        </w:rPr>
        <w:t xml:space="preserve">2）工程竣工验收合格并提交完工所需资料后支付至实际完成工程量价款的80%（含预付款、安全生产措施费、农民工工资）。</w:t>
      </w:r>
      <w:r>
        <w:rPr>
          <w:rFonts w:hint="eastAsia" w:ascii="宋体" w:hAnsi="宋体" w:eastAsia="宋体" w:cs="宋体"/>
          <w:color w:val="0000ff"/>
          <w:szCs w:val="21"/>
          <w:highlight w:val="none"/>
          <w:u w:val="single"/>
          <w:lang w:val="en-US" w:eastAsia="zh-CN"/>
        </w:rPr>
      </w:r>
      <w:r/>
    </w:p>
    <w:p>
      <w:pPr>
        <w:pStyle w:val="1263"/>
        <w:numPr>
          <w:ilvl w:val="0"/>
          <w:numId w:val="0"/>
        </w:numPr>
        <w:ind w:firstLine="420"/>
        <w:jc w:val="left"/>
        <w:spacing w:line="360" w:lineRule="auto"/>
        <w:rPr>
          <w:rFonts w:hint="eastAsia" w:ascii="宋体" w:hAnsi="宋体" w:eastAsia="宋体" w:cs="宋体"/>
          <w:color w:val="0000ff"/>
          <w:szCs w:val="21"/>
          <w:highlight w:val="none"/>
          <w:u w:val="single"/>
          <w:lang w:val="en-US" w:eastAsia="zh-CN"/>
        </w:rPr>
      </w:pPr>
      <w:r>
        <w:rPr>
          <w:rFonts w:hint="eastAsia" w:ascii="宋体" w:hAnsi="宋体" w:eastAsia="宋体" w:cs="宋体"/>
          <w:color w:val="0000ff"/>
          <w:szCs w:val="21"/>
          <w:highlight w:val="none"/>
          <w:u w:val="single"/>
          <w:lang w:val="en-US" w:eastAsia="zh-CN"/>
        </w:rPr>
        <w:t xml:space="preserve">3）工程结算经审计结束后付至审定价的97%。</w:t>
      </w:r>
      <w:r>
        <w:rPr>
          <w:rFonts w:hint="eastAsia" w:ascii="宋体" w:hAnsi="宋体" w:eastAsia="宋体" w:cs="宋体"/>
          <w:color w:val="0000ff"/>
          <w:szCs w:val="21"/>
          <w:highlight w:val="none"/>
          <w:u w:val="single"/>
          <w:lang w:val="en-US" w:eastAsia="zh-CN"/>
        </w:rPr>
      </w:r>
      <w:r/>
    </w:p>
    <w:p>
      <w:pPr>
        <w:pStyle w:val="1263"/>
        <w:numPr>
          <w:ilvl w:val="0"/>
          <w:numId w:val="0"/>
        </w:numPr>
        <w:ind w:firstLine="420"/>
        <w:jc w:val="left"/>
        <w:spacing w:line="360" w:lineRule="auto"/>
        <w:rPr>
          <w:rFonts w:ascii="宋体" w:hAnsi="宋体" w:eastAsia="宋体" w:cs="宋体"/>
          <w:color w:val="0000ff"/>
          <w:szCs w:val="21"/>
          <w:highlight w:val="none"/>
          <w:u w:val="single"/>
          <w:lang w:val="en-US" w:eastAsia="zh-CN"/>
        </w:rPr>
      </w:pPr>
      <w:r>
        <w:rPr>
          <w:rFonts w:hint="eastAsia" w:ascii="宋体" w:hAnsi="宋体" w:eastAsia="宋体" w:cs="宋体"/>
          <w:color w:val="0000ff"/>
          <w:szCs w:val="21"/>
          <w:highlight w:val="none"/>
          <w:u w:val="single"/>
          <w:lang w:val="en-US" w:eastAsia="zh-CN"/>
        </w:rPr>
        <w:t xml:space="preserve">4）结算审定价的3%作为建设工程质量保证金，在两年缺陷责任期满付清。</w:t>
      </w:r>
      <w:r>
        <w:rPr>
          <w:rFonts w:ascii="宋体" w:hAnsi="宋体" w:eastAsia="宋体" w:cs="宋体"/>
          <w:color w:val="0000ff"/>
          <w:szCs w:val="21"/>
          <w:highlight w:val="none"/>
          <w:u w:val="single"/>
          <w:lang w:val="en-US" w:eastAsia="zh-CN"/>
        </w:rPr>
      </w:r>
      <w:r/>
    </w:p>
    <w:p>
      <w:pPr>
        <w:pStyle w:val="1263"/>
        <w:numPr>
          <w:ilvl w:val="0"/>
          <w:numId w:val="0"/>
        </w:numPr>
        <w:ind w:firstLine="420"/>
        <w:jc w:val="left"/>
        <w:spacing w:line="360" w:lineRule="auto"/>
        <w:rPr>
          <w:rFonts w:ascii="宋体" w:hAnsi="宋体" w:eastAsia="宋体" w:cs="宋体"/>
          <w:color w:val="0000ff"/>
          <w:szCs w:val="21"/>
          <w:highlight w:val="none"/>
          <w:u w:val="single"/>
          <w:lang w:val="en-US" w:eastAsia="zh-CN"/>
        </w:rPr>
      </w:pPr>
      <w:r>
        <w:rPr>
          <w:rFonts w:hint="eastAsia" w:ascii="宋体" w:hAnsi="宋体" w:eastAsia="宋体" w:cs="宋体"/>
          <w:color w:val="0000ff"/>
          <w:szCs w:val="21"/>
          <w:highlight w:val="none"/>
          <w:u w:val="single"/>
          <w:lang w:val="en-US" w:eastAsia="zh-CN"/>
        </w:rPr>
        <w:t xml:space="preserve">5）有涉及设计变更、工程量增加、现场签证在工程结算审核后按相关约定一并调整支付。</w:t>
      </w:r>
      <w:r>
        <w:rPr>
          <w:rFonts w:ascii="宋体" w:hAnsi="宋体" w:eastAsia="宋体" w:cs="宋体"/>
          <w:color w:val="0000ff"/>
          <w:szCs w:val="21"/>
          <w:highlight w:val="none"/>
          <w:u w:val="single"/>
          <w:lang w:val="en-US" w:eastAsia="zh-CN"/>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ff"/>
          <w:szCs w:val="21"/>
          <w:highlight w:val="none"/>
          <w:u w:val="single"/>
          <w:lang w:val="en-US" w:eastAsia="zh-CN"/>
        </w:rPr>
        <w:outlineLvl w:val="9"/>
      </w:pPr>
      <w:r>
        <w:rPr>
          <w:rFonts w:ascii="宋体" w:hAnsi="宋体" w:eastAsia="宋体" w:cs="Times New Roman"/>
          <w:szCs w:val="21"/>
          <w:highlight w:val="none"/>
        </w:rPr>
        <w:t xml:space="preserve">发包人逾期支付进度款的违约金的计算方式：</w:t>
      </w:r>
      <w:r>
        <w:rPr>
          <w:rFonts w:hint="eastAsia" w:ascii="宋体" w:hAnsi="宋体" w:eastAsia="宋体" w:cs="宋体"/>
          <w:color w:val="000000"/>
          <w:sz w:val="21"/>
          <w:szCs w:val="21"/>
          <w:highlight w:val="none"/>
          <w:u w:val="single"/>
          <w:lang w:val="en-US" w:eastAsia="zh-CN"/>
        </w:rPr>
        <w:t xml:space="preserve">  / </w:t>
      </w:r>
      <w:r>
        <w:rPr>
          <w:rFonts w:ascii="宋体" w:hAnsi="宋体" w:eastAsia="宋体" w:cs="Times New Roman"/>
          <w:szCs w:val="21"/>
          <w:highlight w:val="none"/>
        </w:rPr>
        <w:t xml:space="preserve">。</w:t>
      </w:r>
      <w:r>
        <w:rPr>
          <w:rFonts w:hint="eastAsia" w:ascii="宋体" w:hAnsi="宋体" w:eastAsia="宋体" w:cs="宋体"/>
          <w:color w:val="0000ff"/>
          <w:szCs w:val="21"/>
          <w:highlight w:val="none"/>
          <w:u w:val="single"/>
          <w:lang w:val="en-US" w:eastAsia="zh-CN"/>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12.4.6 支付分解表的编制</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总价合同支付分解表的编制与审批：</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单价合同的总价项目支付分解表的编制与审批：</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13. 验收和工程试车</w:t>
      </w:r>
      <w:r>
        <w:rPr>
          <w:rFonts w:hint="eastAsia" w:ascii="宋体" w:hAnsi="宋体" w:eastAsia="宋体" w:cs="宋体"/>
          <w:b/>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13.1 分部分项工程验收</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13.1.2监理人不能按时进行验收时，应提前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ff"/>
          <w:sz w:val="21"/>
          <w:szCs w:val="21"/>
          <w:highlight w:val="none"/>
          <w:u w:val="single"/>
          <w:lang w:val="en-US" w:eastAsia="zh-CN"/>
        </w:rPr>
        <w:t xml:space="preserve">24</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ff"/>
          <w:sz w:val="21"/>
          <w:szCs w:val="21"/>
          <w:highlight w:val="none"/>
          <w:u w:val="single"/>
          <w:lang w:val="en-US" w:eastAsia="zh-CN"/>
        </w:rPr>
        <w:t xml:space="preserve">48</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b/>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 竣工验收</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ff"/>
          <w:sz w:val="21"/>
          <w:szCs w:val="21"/>
          <w:highlight w:val="none"/>
          <w:u w:val="single"/>
          <w:lang w:val="en-US" w:eastAsia="zh-CN"/>
        </w:rPr>
        <w:t xml:space="preserve">按国家规定及通用条款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Times New Roman"/>
          <w:bCs/>
          <w:color w:val="0000ff"/>
          <w:szCs w:val="21"/>
          <w:u w:val="single"/>
          <w:lang w:eastAsia="zh-CN"/>
        </w:rPr>
        <w:t xml:space="preserve">按通用条款</w:t>
      </w:r>
      <w:r>
        <w:rPr>
          <w:rFonts w:hint="eastAsia" w:ascii="宋体" w:hAnsi="宋体" w:eastAsia="宋体" w:cs="Times New Roman"/>
          <w:bCs/>
          <w:color w:val="0000ff"/>
          <w:szCs w:val="21"/>
          <w:u w:val="single"/>
          <w:lang w:val="en-US" w:eastAsia="zh-CN"/>
        </w:rPr>
        <w:t xml:space="preserve">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13.2.5移交、接收全部与部分工程</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 工程试车</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13.3.1 试车程序</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工程试车内容：</w:t>
      </w:r>
      <w:r>
        <w:rPr>
          <w:rFonts w:hint="eastAsia" w:ascii="宋体" w:hAnsi="宋体" w:eastAsia="宋体" w:cs="Times New Roman"/>
          <w:bCs/>
          <w:color w:val="0000ff"/>
          <w:szCs w:val="21"/>
          <w:u w:val="single"/>
          <w:lang w:eastAsia="zh-CN"/>
        </w:rPr>
        <w:t xml:space="preserve">按通用条款</w:t>
      </w:r>
      <w:r>
        <w:rPr>
          <w:rFonts w:hint="eastAsia" w:ascii="宋体" w:hAnsi="宋体" w:eastAsia="宋体" w:cs="Times New Roman"/>
          <w:bCs/>
          <w:color w:val="0000ff"/>
          <w:szCs w:val="21"/>
          <w:u w:val="single"/>
          <w:lang w:val="en-US" w:eastAsia="zh-CN"/>
        </w:rPr>
        <w:t xml:space="preserve">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Times New Roman"/>
          <w:bCs/>
          <w:color w:val="0000ff"/>
          <w:szCs w:val="21"/>
          <w:highlight w:val="none"/>
          <w:u w:val="single"/>
        </w:rPr>
        <w:t xml:space="preserve">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（2）无负荷联动试车费用由</w:t>
      </w:r>
      <w:r>
        <w:rPr>
          <w:rFonts w:hint="eastAsia" w:ascii="宋体" w:hAnsi="宋体" w:eastAsia="宋体" w:cs="Times New Roman"/>
          <w:bCs/>
          <w:color w:val="0000ff"/>
          <w:szCs w:val="21"/>
          <w:highlight w:val="none"/>
          <w:u w:val="single"/>
        </w:rPr>
        <w:t xml:space="preserve">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关于投料试车相关事项的约定：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13.6 竣工退场</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ff"/>
          <w:sz w:val="21"/>
          <w:szCs w:val="21"/>
          <w:highlight w:val="none"/>
          <w:u w:val="single"/>
        </w:rPr>
        <w:t xml:space="preserve">按监理人及发包人要求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14. 竣工结算</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14.1 竣工结算申请</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承包人提交竣工结算申请单的期限：</w:t>
      </w:r>
      <w:r>
        <w:rPr>
          <w:rFonts w:ascii="宋体" w:hAnsi="宋体" w:eastAsia="宋体" w:cs="Times New Roman"/>
          <w:bCs/>
          <w:color w:val="0000ff"/>
          <w:szCs w:val="21"/>
          <w:highlight w:val="none"/>
          <w:u w:val="single"/>
        </w:rPr>
        <w:t xml:space="preserve">单位工程竣工后一个月内，承包方应向发包方提供完整的竣工结算资料，经发包方认可资料符合要求后，且工程备案通过，审核开始。一般在三个月内完成审核，如因特殊情况，需要延长的，由发包方与承包方双方另行商议，如因承包方未按时递交结算资料或已提交但在六个月内未配合完成结算,发包方有权不予支付后期工程款项</w:t>
      </w:r>
      <w:r>
        <w:rPr>
          <w:rFonts w:hint="eastAsia" w:ascii="宋体" w:hAnsi="宋体" w:eastAsia="宋体" w:cs="宋体"/>
          <w:szCs w:val="21"/>
          <w:highlight w:val="none"/>
          <w:u w:val="singl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竣工结算申请单应包括的内容：</w:t>
      </w:r>
      <w:r>
        <w:rPr>
          <w:rFonts w:hint="eastAsia" w:ascii="宋体" w:hAnsi="宋体" w:eastAsia="宋体" w:cs="宋体"/>
          <w:color w:val="0000ff"/>
          <w:sz w:val="21"/>
          <w:szCs w:val="21"/>
          <w:highlight w:val="none"/>
          <w:u w:val="single"/>
          <w:lang w:eastAsia="zh-CN"/>
        </w:rPr>
        <w:t xml:space="preserve">按发包人要求</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14.2 竣工结算审核</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发包人审批竣工付款申请单的期限：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发包人完成竣工付款的期限：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关于竣工付款证书异议部分复核的方式和程序：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 最终结清</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ff"/>
          <w:sz w:val="21"/>
          <w:szCs w:val="21"/>
          <w:highlight w:val="none"/>
          <w:u w:val="single"/>
          <w:lang w:eastAsia="zh-CN"/>
        </w:rPr>
        <w:t xml:space="preserve">按发包人要求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ff"/>
          <w:sz w:val="21"/>
          <w:szCs w:val="21"/>
          <w:highlight w:val="none"/>
          <w:u w:val="single"/>
          <w:lang w:val="en-US" w:eastAsia="zh-CN"/>
        </w:rPr>
        <w:t xml:space="preserve">在缺陷责任期满并经验收合格后</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（2）发包人完成支付的期限：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15. 缺陷责任期与保修</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15.2缺陷责任期</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ff"/>
          <w:sz w:val="21"/>
          <w:szCs w:val="21"/>
          <w:highlight w:val="none"/>
          <w:u w:val="single"/>
          <w:lang w:val="en-US" w:eastAsia="zh-CN"/>
        </w:rPr>
        <w:t xml:space="preserve">24个月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 质量保证金</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color w:val="0000ff"/>
          <w:sz w:val="21"/>
          <w:szCs w:val="21"/>
          <w:highlight w:val="none"/>
          <w:u w:val="single"/>
          <w:lang w:val="en-US" w:eastAsia="zh-CN"/>
        </w:rPr>
        <w:t xml:space="preserve">扣留质量保证金</w:t>
      </w:r>
      <w:r>
        <w:rPr>
          <w:rFonts w:hint="eastAsia" w:ascii="宋体" w:hAnsi="宋体" w:eastAsia="宋体" w:cs="宋体"/>
          <w:color w:val="000000"/>
          <w:sz w:val="21"/>
          <w:szCs w:val="21"/>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ff"/>
          <w:sz w:val="21"/>
          <w:szCs w:val="21"/>
          <w:highlight w:val="none"/>
          <w:u w:val="single"/>
          <w:lang w:val="en-US" w:eastAsia="zh-CN"/>
        </w:rPr>
        <w:t xml:space="preserve">3</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%的工程款；</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ff"/>
          <w:sz w:val="21"/>
          <w:szCs w:val="21"/>
          <w:highlight w:val="none"/>
          <w:u w:val="single"/>
        </w:rPr>
        <w:t xml:space="preserve">工程结算审定价的3%</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15.3.2 质量保证金的扣留 </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ff"/>
          <w:sz w:val="21"/>
          <w:szCs w:val="21"/>
          <w:highlight w:val="none"/>
          <w:u w:val="single"/>
          <w:lang w:val="en-US" w:eastAsia="zh-CN"/>
        </w:rPr>
        <w:t xml:space="preserve">2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ff"/>
          <w:sz w:val="21"/>
          <w:szCs w:val="21"/>
          <w:highlight w:val="none"/>
          <w:u w:val="single"/>
          <w:lang w:eastAsia="zh-CN"/>
        </w:rPr>
        <w:t xml:space="preserve">在两年缺陷责任期满后一次性付清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15.4保修</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15.4.1 保修责任</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ff"/>
          <w:sz w:val="21"/>
          <w:szCs w:val="21"/>
          <w:highlight w:val="none"/>
          <w:u w:val="single"/>
          <w:lang w:eastAsia="zh-CN"/>
        </w:rPr>
        <w:t xml:space="preserve">根据《建设工程质量管理条例》及有关规定，工程的质量保修期如下：</w:t>
      </w:r>
      <w:r>
        <w:rPr>
          <w:rFonts w:hint="eastAsia" w:ascii="宋体" w:hAnsi="宋体" w:eastAsia="宋体" w:cs="宋体"/>
          <w:color w:val="0000ff"/>
          <w:sz w:val="21"/>
          <w:szCs w:val="21"/>
          <w:highlight w:val="none"/>
          <w:u w:val="single"/>
          <w:lang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1．地基基础工程和主体结构工程为设计文件规定的工程合理使用年限；</w:t>
      </w:r>
      <w:r>
        <w:rPr>
          <w:rFonts w:hint="eastAsia" w:ascii="宋体" w:hAnsi="宋体" w:eastAsia="宋体" w:cs="宋体"/>
          <w:color w:val="0000ff"/>
          <w:sz w:val="21"/>
          <w:szCs w:val="21"/>
          <w:highlight w:val="none"/>
          <w:u w:val="single"/>
          <w:lang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2．屋面防水工程、有防水要求的卫生间、房间和外墙面的防渗为5年；</w:t>
      </w:r>
      <w:r>
        <w:rPr>
          <w:rFonts w:hint="eastAsia" w:ascii="宋体" w:hAnsi="宋体" w:eastAsia="宋体" w:cs="宋体"/>
          <w:color w:val="0000ff"/>
          <w:sz w:val="21"/>
          <w:szCs w:val="21"/>
          <w:highlight w:val="none"/>
          <w:u w:val="single"/>
          <w:lang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3．装修工程为2年；</w:t>
      </w:r>
      <w:r>
        <w:rPr>
          <w:rFonts w:hint="eastAsia" w:ascii="宋体" w:hAnsi="宋体" w:eastAsia="宋体" w:cs="宋体"/>
          <w:color w:val="0000ff"/>
          <w:sz w:val="21"/>
          <w:szCs w:val="21"/>
          <w:highlight w:val="none"/>
          <w:u w:val="single"/>
          <w:lang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4．电气管线、给排水管道、设备安装工程为 2年；</w:t>
      </w:r>
      <w:r>
        <w:rPr>
          <w:rFonts w:hint="eastAsia" w:ascii="宋体" w:hAnsi="宋体" w:eastAsia="宋体" w:cs="宋体"/>
          <w:color w:val="0000ff"/>
          <w:sz w:val="21"/>
          <w:szCs w:val="21"/>
          <w:highlight w:val="none"/>
          <w:u w:val="single"/>
          <w:lang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5．供热与供冷系统为 2个采暖期、供冷期；</w:t>
      </w:r>
      <w:r>
        <w:rPr>
          <w:rFonts w:hint="eastAsia" w:ascii="宋体" w:hAnsi="宋体" w:eastAsia="宋体" w:cs="宋体"/>
          <w:color w:val="0000ff"/>
          <w:sz w:val="21"/>
          <w:szCs w:val="21"/>
          <w:highlight w:val="none"/>
          <w:u w:val="single"/>
          <w:lang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6．住宅小区内的给排水设施、道路等配套工程为2年；</w:t>
      </w:r>
      <w:r>
        <w:rPr>
          <w:rFonts w:hint="eastAsia" w:ascii="宋体" w:hAnsi="宋体" w:eastAsia="宋体" w:cs="宋体"/>
          <w:color w:val="0000ff"/>
          <w:sz w:val="21"/>
          <w:szCs w:val="21"/>
          <w:highlight w:val="none"/>
          <w:u w:val="single"/>
          <w:lang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7</w:t>
      </w:r>
      <w:r>
        <w:rPr>
          <w:rFonts w:hint="eastAsia" w:ascii="宋体" w:hAnsi="宋体" w:eastAsia="宋体" w:cs="宋体"/>
          <w:color w:val="0000ff"/>
          <w:sz w:val="21"/>
          <w:szCs w:val="21"/>
          <w:highlight w:val="none"/>
          <w:u w:val="single"/>
          <w:lang w:val="en-US" w:eastAsia="zh-CN"/>
        </w:rPr>
        <w:t xml:space="preserve">.</w:t>
      </w:r>
      <w:r>
        <w:rPr>
          <w:rFonts w:hint="eastAsia" w:ascii="宋体" w:hAnsi="宋体" w:eastAsia="宋体" w:cs="宋体"/>
          <w:color w:val="0000ff"/>
          <w:sz w:val="21"/>
          <w:szCs w:val="21"/>
          <w:highlight w:val="none"/>
          <w:u w:val="single"/>
          <w:lang w:eastAsia="zh-CN"/>
        </w:rPr>
        <w:t xml:space="preserve">本工程保修期为2年。</w:t>
      </w:r>
      <w:r>
        <w:rPr>
          <w:rFonts w:hint="eastAsia" w:ascii="宋体" w:hAnsi="宋体" w:eastAsia="宋体" w:cs="宋体"/>
          <w:color w:val="0000ff"/>
          <w:sz w:val="21"/>
          <w:szCs w:val="21"/>
          <w:highlight w:val="none"/>
          <w:u w:val="single"/>
          <w:lang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质量保修期自工程竣工验收合格之日起计算。</w:t>
      </w:r>
      <w:r>
        <w:rPr>
          <w:rFonts w:hint="eastAsia" w:ascii="宋体" w:hAnsi="宋体" w:eastAsia="宋体" w:cs="宋体"/>
          <w:color w:val="0000ff"/>
          <w:sz w:val="21"/>
          <w:szCs w:val="21"/>
          <w:highlight w:val="none"/>
          <w:u w:val="single"/>
          <w:lang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ff"/>
          <w:sz w:val="21"/>
          <w:szCs w:val="21"/>
          <w:highlight w:val="none"/>
          <w:u w:val="single"/>
          <w:lang w:eastAsia="zh-CN"/>
        </w:rPr>
        <w:t xml:space="preserve">1．属于保修范围、内容的项目，承包人应当在接到保修通知之日起1天内派人保修。承包人不在约定期限内派人保修的，发包人可以委托他人修理。</w:t>
      </w:r>
      <w:r>
        <w:rPr>
          <w:rFonts w:hint="eastAsia" w:ascii="宋体" w:hAnsi="宋体" w:eastAsia="宋体" w:cs="宋体"/>
          <w:color w:val="0000ff"/>
          <w:sz w:val="21"/>
          <w:szCs w:val="21"/>
          <w:highlight w:val="none"/>
          <w:u w:val="single"/>
          <w:lang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val="en-US" w:eastAsia="zh-CN"/>
        </w:rPr>
        <w:t xml:space="preserve">2</w:t>
      </w:r>
      <w:r>
        <w:rPr>
          <w:rFonts w:hint="eastAsia" w:ascii="宋体" w:hAnsi="宋体" w:eastAsia="宋体" w:cs="宋体"/>
          <w:color w:val="0000ff"/>
          <w:sz w:val="21"/>
          <w:szCs w:val="21"/>
          <w:highlight w:val="none"/>
          <w:u w:val="single"/>
          <w:lang w:eastAsia="zh-CN"/>
        </w:rPr>
        <w:t xml:space="preserve">．发生紧急事故需抢修的，承包人在接到事故通知后，应当立即到达事故现场抢修。</w:t>
      </w:r>
      <w:r>
        <w:rPr>
          <w:rFonts w:hint="eastAsia" w:ascii="宋体" w:hAnsi="宋体" w:eastAsia="宋体" w:cs="宋体"/>
          <w:color w:val="0000ff"/>
          <w:sz w:val="21"/>
          <w:szCs w:val="21"/>
          <w:highlight w:val="none"/>
          <w:u w:val="single"/>
          <w:lang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ff"/>
          <w:sz w:val="21"/>
          <w:szCs w:val="21"/>
          <w:highlight w:val="none"/>
          <w:u w:val="single"/>
          <w:lang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u w:val="single"/>
          <w:lang w:eastAsia="zh-CN"/>
        </w:rPr>
        <w:outlineLvl w:val="9"/>
      </w:pPr>
      <w:r>
        <w:rPr>
          <w:rFonts w:hint="eastAsia" w:ascii="宋体" w:hAnsi="宋体" w:eastAsia="宋体" w:cs="宋体"/>
          <w:color w:val="0000ff"/>
          <w:sz w:val="21"/>
          <w:szCs w:val="21"/>
          <w:highlight w:val="none"/>
          <w:u w:val="single"/>
          <w:lang w:eastAsia="zh-CN"/>
        </w:rPr>
        <w:t xml:space="preserve">4</w:t>
      </w:r>
      <w:r>
        <w:rPr>
          <w:rFonts w:hint="eastAsia" w:ascii="宋体" w:hAnsi="宋体" w:eastAsia="宋体" w:cs="宋体"/>
          <w:color w:val="0000ff"/>
          <w:sz w:val="21"/>
          <w:szCs w:val="21"/>
          <w:highlight w:val="none"/>
          <w:u w:val="single"/>
          <w:lang w:val="en-US" w:eastAsia="zh-CN"/>
        </w:rPr>
        <w:t xml:space="preserve">.</w:t>
      </w:r>
      <w:r>
        <w:rPr>
          <w:rFonts w:hint="eastAsia" w:ascii="宋体" w:hAnsi="宋体" w:eastAsia="宋体" w:cs="宋体"/>
          <w:color w:val="0000ff"/>
          <w:szCs w:val="21"/>
          <w:highlight w:val="none"/>
          <w:u w:val="single"/>
        </w:rPr>
        <w:t xml:space="preserve">每次保修完成后，承包人应提出验收申请，发包人组织验收</w:t>
      </w:r>
      <w:r>
        <w:rPr>
          <w:rFonts w:hint="eastAsia" w:ascii="宋体" w:hAnsi="宋体" w:eastAsia="宋体" w:cs="宋体"/>
          <w:color w:val="0000ff"/>
          <w:sz w:val="21"/>
          <w:szCs w:val="21"/>
          <w:highlight w:val="none"/>
          <w:u w:val="single"/>
          <w:lang w:eastAsia="zh-CN"/>
        </w:rPr>
        <w:t xml:space="preserve">。</w:t>
      </w:r>
      <w:r>
        <w:rPr>
          <w:rFonts w:hint="eastAsia" w:ascii="宋体" w:hAnsi="宋体" w:eastAsia="宋体" w:cs="宋体"/>
          <w:color w:val="0000ff"/>
          <w:sz w:val="21"/>
          <w:szCs w:val="21"/>
          <w:highlight w:val="none"/>
          <w:u w:val="single"/>
          <w:lang w:eastAsia="zh-CN"/>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16. 违约</w:t>
      </w:r>
      <w:r>
        <w:rPr>
          <w:rFonts w:hint="eastAsia" w:ascii="宋体" w:hAnsi="宋体" w:eastAsia="宋体" w:cs="宋体"/>
          <w:b/>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 发包人违约</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Times New Roman"/>
          <w:bCs/>
          <w:color w:val="0000ff"/>
          <w:szCs w:val="21"/>
          <w:u w:val="single"/>
          <w:lang w:eastAsia="zh-CN"/>
        </w:rPr>
        <w:t xml:space="preserve">按通用条款</w:t>
      </w:r>
      <w:r>
        <w:rPr>
          <w:rFonts w:hint="eastAsia" w:ascii="宋体" w:hAnsi="宋体" w:eastAsia="宋体" w:cs="Times New Roman"/>
          <w:bCs/>
          <w:color w:val="0000ff"/>
          <w:szCs w:val="21"/>
          <w:u w:val="single"/>
          <w:lang w:val="en-US" w:eastAsia="zh-CN"/>
        </w:rPr>
        <w:t xml:space="preserve">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16.1.2 发包人违约的责任</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ff"/>
          <w:sz w:val="21"/>
          <w:szCs w:val="21"/>
          <w:highlight w:val="none"/>
          <w:u w:val="single"/>
          <w:lang w:val="en-US" w:eastAsia="zh-CN"/>
        </w:rPr>
        <w:t xml:space="preserve">30</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 承包人违约</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承包人违约的其他情形：</w:t>
      </w:r>
      <w:r>
        <w:rPr>
          <w:rFonts w:ascii="宋体" w:hAnsi="宋体" w:eastAsia="宋体" w:cs="Times New Roman"/>
          <w:bCs/>
          <w:color w:val="0000ff"/>
          <w:szCs w:val="21"/>
          <w:highlight w:val="none"/>
          <w:u w:val="single"/>
        </w:rPr>
        <w:t xml:space="preserve">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Times New Roman"/>
          <w:bCs/>
          <w:color w:val="0000ff"/>
          <w:szCs w:val="21"/>
          <w:highlight w:val="yellow"/>
          <w:u w:val="single"/>
        </w:rPr>
        <w:t xml:space="preserve">承包人未按发包人</w:t>
      </w:r>
      <w:r>
        <w:rPr>
          <w:rFonts w:hint="eastAsia" w:ascii="宋体" w:hAnsi="宋体" w:eastAsia="宋体" w:cs="Times New Roman"/>
          <w:bCs/>
          <w:color w:val="0000ff"/>
          <w:szCs w:val="21"/>
          <w:highlight w:val="yellow"/>
          <w:u w:val="single"/>
          <w:lang w:val="en-US" w:eastAsia="zh-CN"/>
        </w:rPr>
        <w:t xml:space="preserve">及相关规范</w:t>
      </w:r>
      <w:r>
        <w:rPr>
          <w:rFonts w:hint="eastAsia" w:ascii="宋体" w:hAnsi="宋体" w:eastAsia="宋体" w:cs="Times New Roman"/>
          <w:bCs/>
          <w:color w:val="0000ff"/>
          <w:szCs w:val="21"/>
          <w:highlight w:val="yellow"/>
          <w:u w:val="single"/>
        </w:rPr>
        <w:t xml:space="preserve">关于工程质量要求组织施工的，致使该项目工程质量验收不合格的，除返工整改合格外，承包人承担因其违约行为而增加的费用和（或）延误的工期，同时还应按签约合同价的1%承担违约金</w:t>
      </w:r>
      <w:r>
        <w:rPr>
          <w:rFonts w:hint="eastAsia" w:ascii="宋体" w:hAnsi="宋体" w:eastAsia="宋体" w:cs="宋体"/>
          <w:color w:val="000000"/>
          <w:sz w:val="21"/>
          <w:szCs w:val="21"/>
          <w:highlight w:val="yellow"/>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126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17. 不可抗力 </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17.1 不可抗力的确认</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除通用合同条款约定的不可抗力事件之外，视为不可抗力的其他情形：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17.4 因不可抗力解除合同</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18. 保险</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18.1 工程保险</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关于工程保险的特别约定：</w:t>
      </w:r>
      <w:r>
        <w:rPr>
          <w:rFonts w:ascii="宋体" w:hAnsi="宋体" w:eastAsia="宋体" w:cs="Times New Roman"/>
          <w:bCs/>
          <w:color w:val="0000ff"/>
          <w:szCs w:val="21"/>
          <w:highlight w:val="none"/>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18.3 其他保险</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rPr>
        <w:t xml:space="preserve"> </w:t>
      </w:r>
      <w:r>
        <w:rPr>
          <w:rFonts w:ascii="宋体" w:hAnsi="宋体" w:eastAsia="宋体" w:cs="Times New Roman"/>
          <w:bCs/>
          <w:color w:val="0000ff"/>
          <w:szCs w:val="21"/>
          <w:highlight w:val="none"/>
          <w:u w:val="single"/>
        </w:rPr>
        <w:t xml:space="preserve">具体按溧阳市政府部门相关要求执行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color w:val="0000ff"/>
          <w:sz w:val="21"/>
          <w:szCs w:val="21"/>
          <w:highlight w:val="none"/>
          <w:u w:val="single"/>
          <w:lang w:eastAsia="zh-CN"/>
        </w:rPr>
        <w:t xml:space="preserve">承包人自理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18.7 通知义务</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ff"/>
          <w:sz w:val="21"/>
          <w:szCs w:val="21"/>
          <w:highlight w:val="none"/>
          <w:u w:val="single"/>
        </w:rPr>
        <w:t xml:space="preserve">按通用条款执行</w:t>
      </w:r>
      <w:r>
        <w:rPr>
          <w:rFonts w:ascii="宋体" w:hAnsi="宋体" w:eastAsia="宋体" w:cs="Times New Roman"/>
          <w:sz w:val="24"/>
          <w:szCs w:val="24"/>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20. 争议解决</w:t>
      </w:r>
      <w:r>
        <w:rPr>
          <w:rFonts w:hint="eastAsia" w:ascii="宋体" w:hAnsi="宋体" w:eastAsia="宋体" w:cs="宋体"/>
          <w:b/>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 争议评审</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合同当事人是否同意将工程争议提交争议评审小组决定：</w:t>
      </w:r>
      <w:r>
        <w:rPr>
          <w:rFonts w:hint="eastAsia" w:ascii="宋体" w:hAnsi="宋体" w:eastAsia="宋体" w:cs="宋体"/>
          <w:color w:val="0000ff"/>
          <w:sz w:val="21"/>
          <w:szCs w:val="21"/>
          <w:highlight w:val="none"/>
          <w:u w:val="single"/>
          <w:lang w:val="en-US" w:eastAsia="zh-CN"/>
        </w:rPr>
        <w:t xml:space="preserve">不同意</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争议评审小组成员的确定：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争议评审小组成员的报酬承担方式：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ff"/>
          <w:sz w:val="21"/>
          <w:szCs w:val="21"/>
          <w:highlight w:val="none"/>
          <w:u w:val="single"/>
          <w:lang w:eastAsia="zh-CN"/>
        </w:rPr>
        <w:t xml:space="preserve">施工期间合同双方对工程价款的争议，不得作为承包人怠工、影响工程进度、质量的理由</w:t>
      </w:r>
      <w:r>
        <w:rPr>
          <w:rFonts w:hint="eastAsia" w:ascii="宋体" w:hAnsi="宋体" w:eastAsia="宋体" w:cs="宋体"/>
          <w:color w:val="0000ff"/>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20.4仲裁或诉讼</w:t>
      </w:r>
      <w:r>
        <w:rPr>
          <w:rFonts w:hint="eastAsia" w:ascii="宋体" w:hAnsi="宋体" w:eastAsia="宋体" w:cs="宋体"/>
          <w:color w:val="000000"/>
          <w:sz w:val="21"/>
          <w:szCs w:val="21"/>
          <w:highlight w:val="none"/>
        </w:rPr>
      </w:r>
      <w:r/>
    </w:p>
    <w:p>
      <w:pPr>
        <w:pStyle w:val="1263"/>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ff"/>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ff"/>
          <w:sz w:val="21"/>
          <w:szCs w:val="21"/>
          <w:highlight w:val="none"/>
          <w:u w:val="single"/>
          <w:lang w:eastAsia="zh-CN"/>
        </w:rPr>
        <w:t xml:space="preserve">工程所在地的</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人民法院起诉。</w:t>
      </w:r>
      <w:r>
        <w:rPr>
          <w:rFonts w:hint="eastAsia" w:ascii="宋体" w:hAnsi="宋体" w:eastAsia="宋体" w:cs="宋体"/>
          <w:color w:val="000000"/>
          <w:sz w:val="21"/>
          <w:szCs w:val="21"/>
          <w:highlight w:val="none"/>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21.其他条款</w:t>
      </w:r>
      <w:r>
        <w:rPr>
          <w:rFonts w:hint="eastAsia" w:ascii="宋体" w:hAnsi="宋体" w:eastAsia="宋体" w:cs="宋体"/>
          <w:color w:val="000000"/>
          <w:sz w:val="21"/>
          <w:szCs w:val="21"/>
          <w:highlight w:val="none"/>
          <w:lang w:val="en-US" w:eastAsia="zh-CN"/>
        </w:rPr>
      </w:r>
      <w:r/>
    </w:p>
    <w:p>
      <w:pPr>
        <w:pStyle w:val="1263"/>
        <w:ind w:firstLine="420"/>
        <w:jc w:val="left"/>
        <w:keepLines w:val="0"/>
        <w:keepNext w:val="0"/>
        <w:pageBreakBefore w:val="0"/>
        <w:spacing w:line="360" w:lineRule="auto"/>
        <w:widowControl w:val="off"/>
        <w:rPr>
          <w:rFonts w:hint="eastAsia" w:ascii="宋体" w:hAnsi="宋体" w:eastAsia="宋体" w:cs="Times New Roman"/>
          <w:bCs/>
          <w:color w:val="0000ff"/>
          <w:szCs w:val="21"/>
          <w:lang w:val="en-US" w:eastAsia="zh-CN"/>
        </w:rPr>
        <w:outlineLvl w:val="9"/>
      </w:pPr>
      <w:r>
        <w:rPr>
          <w:rFonts w:hint="eastAsia" w:ascii="宋体" w:hAnsi="宋体" w:eastAsia="宋体" w:cs="Times New Roman"/>
          <w:bCs/>
          <w:color w:val="0000ff"/>
          <w:szCs w:val="21"/>
          <w:lang w:val="en-US" w:eastAsia="zh-CN"/>
        </w:rPr>
        <w:t xml:space="preserve">21.1 本合同价款采用 固定单价 方式确定。工程量按实结算。</w:t>
      </w:r>
      <w:r>
        <w:rPr>
          <w:rFonts w:hint="eastAsia" w:ascii="宋体" w:hAnsi="宋体" w:eastAsia="宋体" w:cs="Times New Roman"/>
          <w:bCs/>
          <w:color w:val="0000ff"/>
          <w:szCs w:val="21"/>
          <w:lang w:val="en-US" w:eastAsia="zh-CN"/>
        </w:rPr>
      </w:r>
      <w:r/>
    </w:p>
    <w:p>
      <w:pPr>
        <w:pStyle w:val="1263"/>
        <w:ind w:firstLine="420"/>
        <w:jc w:val="left"/>
        <w:spacing w:line="360" w:lineRule="auto"/>
        <w:rPr>
          <w:rFonts w:ascii="宋体" w:hAnsi="宋体" w:eastAsia="宋体" w:cs="Times New Roman"/>
          <w:bCs/>
          <w:color w:val="0000ff"/>
          <w:szCs w:val="21"/>
        </w:rPr>
      </w:pPr>
      <w:r>
        <w:rPr>
          <w:rFonts w:ascii="宋体" w:hAnsi="宋体" w:eastAsia="宋体" w:cs="Times New Roman"/>
          <w:bCs/>
          <w:color w:val="0000ff"/>
          <w:szCs w:val="21"/>
        </w:rPr>
        <w:t xml:space="preserve">1）、本合同约定风险范围以内的内容，综合单价不可调整。工程量清单中的综合单价及以“项”为单位的总额报价，价格均不可调整。</w:t>
      </w:r>
      <w:r>
        <w:rPr>
          <w:rFonts w:ascii="宋体" w:hAnsi="宋体" w:eastAsia="宋体" w:cs="Times New Roman"/>
          <w:bCs/>
          <w:color w:val="0000ff"/>
          <w:szCs w:val="21"/>
        </w:rPr>
      </w:r>
      <w:r/>
    </w:p>
    <w:p>
      <w:pPr>
        <w:pStyle w:val="1263"/>
        <w:ind w:firstLine="420"/>
        <w:jc w:val="left"/>
        <w:spacing w:line="360" w:lineRule="auto"/>
        <w:rPr>
          <w:rFonts w:hint="eastAsia" w:ascii="宋体" w:hAnsi="宋体" w:eastAsia="宋体" w:cs="Times New Roman"/>
          <w:bCs/>
          <w:color w:val="0000ff"/>
          <w:szCs w:val="21"/>
        </w:rPr>
      </w:pPr>
      <w:r>
        <w:rPr>
          <w:rFonts w:ascii="宋体" w:hAnsi="宋体" w:eastAsia="宋体" w:cs="Times New Roman"/>
          <w:bCs/>
          <w:color w:val="0000ff"/>
          <w:szCs w:val="21"/>
        </w:rPr>
        <w:t xml:space="preserve">2）、合同中约定的风险范围</w:t>
      </w:r>
      <w:r>
        <w:rPr>
          <w:rFonts w:hint="eastAsia" w:ascii="宋体" w:hAnsi="宋体" w:eastAsia="宋体" w:cs="Times New Roman"/>
          <w:bCs/>
          <w:color w:val="0000ff"/>
          <w:szCs w:val="21"/>
        </w:rPr>
        <w:t xml:space="preserve">：</w:t>
      </w:r>
      <w:r>
        <w:rPr>
          <w:rFonts w:hint="eastAsia" w:ascii="宋体" w:hAnsi="宋体" w:eastAsia="宋体" w:cs="Times New Roman"/>
          <w:bCs/>
          <w:color w:val="0000ff"/>
          <w:szCs w:val="21"/>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（1）承包人自行踏勘后的现场施工条件；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（2）承包人的投标施工方案；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（3）工程量变化产生的前期费用；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（4）</w:t>
      </w:r>
      <w:r>
        <w:rPr>
          <w:rFonts w:hint="eastAsia" w:ascii="宋体" w:hAnsi="宋体" w:eastAsia="宋体" w:cs="宋体"/>
          <w:color w:val="0000ff"/>
          <w:spacing w:val="-1"/>
          <w:szCs w:val="21"/>
          <w:highlight w:val="none"/>
          <w:lang w:eastAsia="zh-CN"/>
        </w:rPr>
        <w:t xml:space="preserve">物价变化引起的材料价格波动</w:t>
      </w:r>
      <w:r>
        <w:rPr>
          <w:rFonts w:ascii="宋体" w:hAnsi="宋体" w:eastAsia="宋体" w:cs="Times New Roman"/>
          <w:bCs/>
          <w:color w:val="0000ff"/>
          <w:szCs w:val="21"/>
          <w:lang w:val="en-US" w:eastAsia="zh-CN"/>
        </w:rPr>
        <w:t xml:space="preserve">；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（5）采用新的验收标准。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3）、风险范围以外的内容：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（1）设计变更引起的工程量增减、清单漏项；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（2）发包人要求的承包范围以外的附加工程量；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w:t>
      </w:r>
      <w:r>
        <w:rPr>
          <w:rFonts w:hint="eastAsia" w:ascii="宋体" w:hAnsi="宋体" w:eastAsia="宋体" w:cs="Times New Roman"/>
          <w:bCs/>
          <w:color w:val="0000ff"/>
          <w:szCs w:val="21"/>
          <w:lang w:val="en-US" w:eastAsia="zh-CN"/>
        </w:rPr>
        <w:t xml:space="preserve">3</w:t>
      </w:r>
      <w:r>
        <w:rPr>
          <w:rFonts w:ascii="宋体" w:hAnsi="宋体" w:eastAsia="宋体" w:cs="Times New Roman"/>
          <w:bCs/>
          <w:color w:val="0000ff"/>
          <w:szCs w:val="21"/>
          <w:lang w:val="en-US" w:eastAsia="zh-CN"/>
        </w:rPr>
        <w:t xml:space="preserve">）暂定价材料、暂估价项目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w:t>
      </w:r>
      <w:r>
        <w:rPr>
          <w:rFonts w:hint="eastAsia" w:ascii="宋体" w:hAnsi="宋体" w:eastAsia="宋体" w:cs="Times New Roman"/>
          <w:bCs/>
          <w:color w:val="0000ff"/>
          <w:szCs w:val="21"/>
          <w:lang w:val="en-US" w:eastAsia="zh-CN"/>
        </w:rPr>
        <w:t xml:space="preserve">4</w:t>
      </w:r>
      <w:r>
        <w:rPr>
          <w:rFonts w:ascii="宋体" w:hAnsi="宋体" w:eastAsia="宋体" w:cs="Times New Roman"/>
          <w:bCs/>
          <w:color w:val="0000ff"/>
          <w:szCs w:val="21"/>
          <w:lang w:val="en-US" w:eastAsia="zh-CN"/>
        </w:rPr>
        <w:t xml:space="preserve">）政策性调整费用包括人工工资调整、税率和税种变化；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w:t>
      </w:r>
      <w:r>
        <w:rPr>
          <w:rFonts w:hint="eastAsia" w:ascii="宋体" w:hAnsi="宋体" w:eastAsia="宋体" w:cs="Times New Roman"/>
          <w:bCs/>
          <w:color w:val="0000ff"/>
          <w:szCs w:val="21"/>
          <w:lang w:val="en-US" w:eastAsia="zh-CN"/>
        </w:rPr>
        <w:t xml:space="preserve">5</w:t>
      </w:r>
      <w:r>
        <w:rPr>
          <w:rFonts w:ascii="宋体" w:hAnsi="宋体" w:eastAsia="宋体" w:cs="Times New Roman"/>
          <w:bCs/>
          <w:color w:val="0000ff"/>
          <w:szCs w:val="21"/>
          <w:lang w:val="en-US" w:eastAsia="zh-CN"/>
        </w:rPr>
        <w:t xml:space="preserve">）</w:t>
      </w:r>
      <w:r>
        <w:rPr>
          <w:rFonts w:hint="eastAsia" w:ascii="宋体" w:hAnsi="宋体" w:eastAsia="宋体" w:cs="Times New Roman"/>
          <w:bCs/>
          <w:color w:val="0000ff"/>
          <w:szCs w:val="21"/>
          <w:highlight w:val="none"/>
        </w:rPr>
        <w:t xml:space="preserve">发承包双方约定的其他调整事项</w:t>
      </w:r>
      <w:r>
        <w:rPr>
          <w:rFonts w:ascii="宋体" w:hAnsi="宋体" w:eastAsia="宋体" w:cs="Times New Roman"/>
          <w:bCs/>
          <w:color w:val="0000ff"/>
          <w:szCs w:val="21"/>
          <w:lang w:val="en-US" w:eastAsia="zh-CN"/>
        </w:rPr>
        <w:t xml:space="preserve">。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4）、风险范围以外内容的调整方法：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A、因发包人提出的设计变更，增加项目及签证，造成新增的工程量清单项目，其对应的综合单价结算原则为：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a.投标书中已有适用于变更工程的综合单价，按投标书中已有的综合单价结算；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b.投标书中有类似于变更工程的综合单价，按投标书中已有的类似的综合单价作相应调整后（如为材料价格调整，则材料价格确定由承包人提出，经监理人、发包人、跟踪评审单位市场询价调研后确定，确定后的材料价格结算时不让利）结算。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c.投标书中无类似综合单价，结算原则为：</w:t>
      </w:r>
      <w:r>
        <w:rPr>
          <w:rFonts w:hint="eastAsia" w:ascii="宋体" w:hAnsi="宋体" w:eastAsia="宋体" w:cs="Times New Roman"/>
          <w:bCs/>
          <w:color w:val="0000ff"/>
          <w:szCs w:val="21"/>
          <w:lang w:val="en-US" w:eastAsia="zh-CN"/>
        </w:rPr>
        <w:t xml:space="preserve">工程量按实计算，单价依据《建设工程工程量清单计价标准》 （GB/T50500-2024）、《房屋建筑与装饰工程工程量计算标准（GB/T50854-2024）、《通用安装工程工程计量计算标准》（GB/T50856-2024）、《市政工程工程量计算标准》（GB/T50857-2024）、</w:t>
      </w:r>
      <w:r>
        <w:rPr>
          <w:rFonts w:ascii="宋体" w:hAnsi="宋体" w:eastAsia="宋体" w:cs="Times New Roman"/>
          <w:bCs/>
          <w:color w:val="0000ff"/>
          <w:szCs w:val="21"/>
          <w:lang w:val="en-US" w:eastAsia="zh-CN"/>
        </w:rPr>
        <w:t xml:space="preserve">《园林绿化工程工程量计算标准》（GB/T50858-2024）</w:t>
      </w:r>
      <w:r>
        <w:rPr>
          <w:rFonts w:hint="eastAsia" w:ascii="宋体" w:hAnsi="宋体" w:eastAsia="宋体" w:cs="Times New Roman"/>
          <w:bCs/>
          <w:color w:val="0000ff"/>
          <w:szCs w:val="21"/>
          <w:lang w:val="en-US" w:eastAsia="zh-CN"/>
        </w:rPr>
        <w:t xml:space="preserve">、《江苏省建筑与装饰工程消耗量》（2026）、《江苏省通用安装工程消耗量》（2026）、《江苏省市政工程消耗量》（2026）、《江苏省建设工程费用参考》（2026）、《江苏省园林工程计价定额》（2007）、《江苏省房屋修缮工程计价表》（土建、安装）（2009）及《江苏建设工程施工机具台班费用参考表》（2026）</w:t>
      </w:r>
      <w:r>
        <w:rPr>
          <w:rFonts w:ascii="宋体" w:hAnsi="宋体" w:eastAsia="宋体" w:cs="Times New Roman"/>
          <w:bCs/>
          <w:color w:val="0000ff"/>
          <w:szCs w:val="21"/>
          <w:lang w:val="en-US" w:eastAsia="zh-CN"/>
        </w:rPr>
        <w:t xml:space="preserve">等规范中的标准计算经审计后按中标下浮率同步下浮（其中材料价格取定按施工当期的常州市信息指导价格，信息价中没有的材料价格的确定由承包人提出，经监理人、发包人、跟踪评审单位市场询价调研后确定，确定后的材料价格结算时</w:t>
      </w:r>
      <w:r>
        <w:rPr>
          <w:rFonts w:hint="eastAsia" w:ascii="宋体" w:hAnsi="宋体" w:eastAsia="宋体" w:cs="Times New Roman"/>
          <w:bCs/>
          <w:color w:val="0000ff"/>
          <w:szCs w:val="21"/>
          <w:lang w:val="en-US" w:eastAsia="zh-CN"/>
        </w:rPr>
        <w:t xml:space="preserve">不下浮；管理费和利润率依据相应专业按2026《江苏省建设工程费用参考》中相应费率取低值</w:t>
      </w:r>
      <w:r>
        <w:rPr>
          <w:rFonts w:ascii="宋体" w:hAnsi="宋体" w:eastAsia="宋体" w:cs="Times New Roman"/>
          <w:bCs/>
          <w:color w:val="0000ff"/>
          <w:szCs w:val="21"/>
          <w:lang w:val="en-US" w:eastAsia="zh-CN"/>
        </w:rPr>
        <w:t xml:space="preserve">）。</w:t>
      </w:r>
      <w:r>
        <w:rPr>
          <w:rFonts w:hint="eastAsia" w:ascii="宋体" w:hAnsi="宋体" w:eastAsia="宋体" w:cs="Times New Roman"/>
          <w:bCs/>
          <w:color w:val="0000ff"/>
          <w:szCs w:val="21"/>
          <w:lang w:val="en-US" w:eastAsia="zh-CN"/>
        </w:rPr>
        <w:t xml:space="preserve">无法套用消耗量或定额（尚未更新为2026消耗量的定额）或不适合套用消耗量或定额（尚未更新为2026消耗量的定额）的，依据独立费计价原则，经监理人、发包人、跟踪审计单位共同确定综合单价，确定后的综合单价在结算时不下浮。</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rPr>
      </w:pPr>
      <w:r>
        <w:rPr>
          <w:rFonts w:ascii="宋体" w:hAnsi="宋体" w:eastAsia="宋体" w:cs="Times New Roman"/>
          <w:bCs/>
          <w:color w:val="0000ff"/>
          <w:szCs w:val="21"/>
        </w:rPr>
        <w:t xml:space="preserve">B、以暂估项目形式包括在总承包范围内的工程、货物、服务属于依法必须进行招标的项目且达到国家规定规模标准的，应当依法进行招标；招标主体为本工程的发包人。依法</w:t>
      </w:r>
      <w:r>
        <w:rPr>
          <w:rFonts w:hint="eastAsia" w:ascii="宋体" w:hAnsi="宋体" w:eastAsia="宋体" w:cs="Times New Roman"/>
          <w:bCs/>
          <w:color w:val="0000ff"/>
          <w:szCs w:val="21"/>
          <w:lang w:val="en-US" w:eastAsia="zh-CN"/>
        </w:rPr>
        <w:t xml:space="preserve">无需</w:t>
      </w:r>
      <w:r>
        <w:rPr>
          <w:rFonts w:ascii="宋体" w:hAnsi="宋体" w:eastAsia="宋体" w:cs="Times New Roman"/>
          <w:bCs/>
          <w:color w:val="0000ff"/>
          <w:szCs w:val="21"/>
        </w:rPr>
        <w:t xml:space="preserve">进行招标的暂估价项目及暂定价材料（详见暂定价项目及暂定价材料一览表）的结</w:t>
      </w:r>
      <w:r>
        <w:rPr>
          <w:rFonts w:hint="eastAsia" w:ascii="宋体" w:hAnsi="宋体" w:eastAsia="宋体" w:cs="Times New Roman"/>
          <w:bCs/>
          <w:color w:val="0000ff"/>
          <w:szCs w:val="21"/>
        </w:rPr>
        <w:t xml:space="preserve">算原则：</w:t>
      </w:r>
      <w:r>
        <w:rPr>
          <w:rFonts w:hint="eastAsia" w:ascii="宋体" w:hAnsi="宋体" w:eastAsia="宋体" w:cs="Times New Roman"/>
          <w:bCs/>
          <w:color w:val="0000ff"/>
          <w:szCs w:val="21"/>
        </w:rPr>
      </w:r>
      <w:r/>
    </w:p>
    <w:p>
      <w:pPr>
        <w:pStyle w:val="1263"/>
        <w:ind w:firstLine="420"/>
        <w:jc w:val="left"/>
        <w:spacing w:line="360" w:lineRule="auto"/>
        <w:rPr>
          <w:rFonts w:ascii="宋体" w:hAnsi="宋体" w:eastAsia="宋体" w:cs="Times New Roman"/>
          <w:bCs/>
          <w:color w:val="0000ff"/>
          <w:szCs w:val="21"/>
        </w:rPr>
      </w:pPr>
      <w:r>
        <w:rPr>
          <w:rFonts w:hint="eastAsia" w:ascii="宋体" w:hAnsi="宋体" w:eastAsia="宋体" w:cs="Times New Roman"/>
          <w:bCs/>
          <w:color w:val="0000ff"/>
          <w:szCs w:val="21"/>
        </w:rPr>
        <w:t xml:space="preserve">①</w:t>
      </w:r>
      <w:r>
        <w:rPr>
          <w:rFonts w:ascii="宋体" w:hAnsi="宋体" w:eastAsia="宋体" w:cs="Times New Roman"/>
          <w:bCs/>
          <w:color w:val="0000ff"/>
          <w:szCs w:val="21"/>
        </w:rPr>
        <w:t xml:space="preserve">.暂定价材料</w:t>
      </w:r>
      <w:r>
        <w:rPr>
          <w:rFonts w:hint="eastAsia" w:ascii="宋体" w:hAnsi="宋体" w:eastAsia="宋体" w:cs="Times New Roman"/>
          <w:bCs/>
          <w:color w:val="0000ff"/>
          <w:szCs w:val="21"/>
          <w:lang w:eastAsia="zh-CN"/>
        </w:rPr>
        <w:t xml:space="preserve">、</w:t>
      </w:r>
      <w:r>
        <w:rPr>
          <w:rFonts w:hint="eastAsia" w:ascii="宋体" w:hAnsi="宋体" w:eastAsia="宋体" w:cs="Times New Roman"/>
          <w:bCs/>
          <w:color w:val="0000ff"/>
          <w:szCs w:val="21"/>
          <w:lang w:val="en-US" w:eastAsia="zh-CN"/>
        </w:rPr>
        <w:t xml:space="preserve">设备</w:t>
      </w:r>
      <w:r>
        <w:rPr>
          <w:rFonts w:hint="eastAsia" w:ascii="宋体" w:hAnsi="宋体" w:eastAsia="宋体" w:cs="Times New Roman"/>
          <w:bCs/>
          <w:color w:val="0000ff"/>
          <w:szCs w:val="21"/>
        </w:rPr>
        <w:t xml:space="preserve">：</w:t>
      </w:r>
      <w:r>
        <w:rPr>
          <w:rFonts w:ascii="宋体" w:hAnsi="宋体" w:eastAsia="宋体" w:cs="Times New Roman"/>
          <w:bCs/>
          <w:color w:val="0000ff"/>
          <w:szCs w:val="21"/>
        </w:rPr>
        <w:t xml:space="preserve">由承包人提出，经监理人、发包人、承包人、跟踪评审单位等相关部门通过市场询价、竞争性谈判的方式确定最终价格，确定后的价格不让利。经监理人、发包人和跟踪评审单位确定的价格承包人不得以价格低等一切原因拒绝施工，否则因拒绝施工产生的工期延误等一切损失由承包人承担。</w:t>
      </w:r>
      <w:r>
        <w:rPr>
          <w:rFonts w:ascii="宋体" w:hAnsi="宋体" w:eastAsia="宋体" w:cs="Times New Roman"/>
          <w:bCs/>
          <w:color w:val="0000ff"/>
          <w:szCs w:val="21"/>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②.工程量清单中暂估价项目以独立费作为暂定综合单价结算原则为：工程量按实（实际发生且经招标人认可）结算，综合单价由承包人根据发包人采用材料品质品牌要求及具体施工工序要求在该项目材料、设备采购前 20 天参照相关市场行情进行报价，经监理人、发包人、跟踪评审单位进行询价测价后进行协商定价。所确定的综合单价作为独立费进行结算，不再让利。经监理人、发包人和跟踪评审单位确定的价格承包人不得以价格低等一切原因拒绝施工，否则因拒绝施工产生的工期延误等一切损失由承包人承担。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③.工程量清单中专业工程暂估价结算原则为：工程量按实（实际发生且经招标人认可）结算，依据</w:t>
      </w:r>
      <w:r>
        <w:rPr>
          <w:rFonts w:hint="eastAsia" w:ascii="宋体" w:hAnsi="宋体" w:eastAsia="宋体" w:cs="Times New Roman"/>
          <w:bCs/>
          <w:color w:val="0000ff"/>
          <w:szCs w:val="21"/>
          <w:lang w:val="en-US" w:eastAsia="zh-CN"/>
        </w:rPr>
        <w:t xml:space="preserve">《建设工程工程量清单计价标准》 （GB/T50500-2024）、《房屋建筑与装饰工程工程量计算标准（GB/T50854-2024）、《通用安装工程工程计量计算标准》（GB/T50856-2024）、《市政工程工程量计算标准》（GB/T50857-2024）、</w:t>
      </w:r>
      <w:r>
        <w:rPr>
          <w:rFonts w:ascii="宋体" w:hAnsi="宋体" w:eastAsia="宋体" w:cs="Times New Roman"/>
          <w:bCs/>
          <w:color w:val="0000ff"/>
          <w:szCs w:val="21"/>
          <w:lang w:val="en-US" w:eastAsia="zh-CN"/>
        </w:rPr>
        <w:t xml:space="preserve">《园林绿化工程工程量计算标准》（GB/T50858-2024）</w:t>
      </w:r>
      <w:r>
        <w:rPr>
          <w:rFonts w:hint="eastAsia" w:ascii="宋体" w:hAnsi="宋体" w:eastAsia="宋体" w:cs="Times New Roman"/>
          <w:bCs/>
          <w:color w:val="0000ff"/>
          <w:szCs w:val="21"/>
          <w:lang w:val="en-US" w:eastAsia="zh-CN"/>
        </w:rPr>
        <w:t xml:space="preserve">、《江苏省建筑与装饰工程消耗量》（2026）、《江苏省通用安装工程消耗量》（2026）、《江苏省市政工程消耗量》（2026）、《江苏省建设工程费用参考》（2026）、《江苏省园林工程计价定额》（2007）、《</w:t>
      </w:r>
      <w:r>
        <w:rPr>
          <w:rFonts w:hint="eastAsia" w:ascii="宋体" w:hAnsi="宋体" w:eastAsia="宋体" w:cs="Times New Roman"/>
          <w:bCs/>
          <w:color w:val="0000ff"/>
          <w:szCs w:val="21"/>
          <w:lang w:val="en-US" w:eastAsia="zh-CN"/>
        </w:rPr>
        <w:t xml:space="preserve">江苏省房屋修缮工程计价表》（土建、安装）（2009）及《江苏建设工程施工机具台班费用参考表》（2026）等计价规范编制综合单价（其中材料价格参照施工期间的《常州工程造价信息》中的除税价，信息价中没有的材料价格的确定由承包人提出，经监理人、发包人、跟踪审计单位市场询价调研后共同确定材料价格，确定后的材料价格结算时不下浮；管理费和利润率依据相应专业按2026《江苏省建设工程费用参考》中相应费率取低值；人工工资按相应的政策文件执行；通用措施费项按实际发生项结合2026《江苏省建设工程费用参考》中相应费率取低值），</w:t>
      </w:r>
      <w:r>
        <w:rPr>
          <w:rFonts w:ascii="宋体" w:hAnsi="宋体" w:eastAsia="宋体" w:cs="Times New Roman"/>
          <w:bCs/>
          <w:color w:val="0000ff"/>
          <w:szCs w:val="21"/>
          <w:lang w:val="en-US" w:eastAsia="zh-CN"/>
        </w:rPr>
        <w:t xml:space="preserve">经监理人、发包人和跟踪评审单位共同确认</w:t>
      </w:r>
      <w:r>
        <w:rPr>
          <w:rFonts w:hint="eastAsia" w:ascii="宋体" w:hAnsi="宋体" w:eastAsia="宋体" w:cs="Times New Roman"/>
          <w:bCs/>
          <w:color w:val="0000ff"/>
          <w:szCs w:val="21"/>
          <w:lang w:val="en-US" w:eastAsia="zh-CN"/>
        </w:rPr>
        <w:t xml:space="preserve">后</w:t>
      </w:r>
      <w:r>
        <w:rPr>
          <w:rFonts w:ascii="宋体" w:hAnsi="宋体" w:eastAsia="宋体" w:cs="Times New Roman"/>
          <w:bCs/>
          <w:color w:val="0000ff"/>
          <w:szCs w:val="21"/>
          <w:lang w:val="en-US" w:eastAsia="zh-CN"/>
        </w:rPr>
        <w:t xml:space="preserve">按中标下浮率同比例下浮后</w:t>
      </w:r>
      <w:r>
        <w:rPr>
          <w:rFonts w:hint="eastAsia" w:ascii="宋体" w:hAnsi="宋体" w:eastAsia="宋体" w:cs="Times New Roman"/>
          <w:bCs/>
          <w:color w:val="0000ff"/>
          <w:szCs w:val="21"/>
          <w:lang w:val="en-US" w:eastAsia="zh-CN"/>
        </w:rPr>
        <w:t xml:space="preserve">进行结算</w:t>
      </w:r>
      <w:r>
        <w:rPr>
          <w:rFonts w:ascii="宋体" w:hAnsi="宋体" w:eastAsia="宋体" w:cs="Times New Roman"/>
          <w:bCs/>
          <w:color w:val="0000ff"/>
          <w:szCs w:val="21"/>
          <w:lang w:val="en-US" w:eastAsia="zh-CN"/>
        </w:rPr>
        <w:t xml:space="preserve">；</w:t>
      </w:r>
      <w:r>
        <w:rPr>
          <w:rFonts w:hint="eastAsia" w:ascii="宋体" w:hAnsi="宋体" w:eastAsia="宋体" w:cs="Times New Roman"/>
          <w:bCs/>
          <w:color w:val="0000ff"/>
          <w:szCs w:val="21"/>
          <w:lang w:val="en-US" w:eastAsia="zh-CN"/>
        </w:rPr>
        <w:t xml:space="preserve">无法套用消耗量或定额（尚未更新为2026消耗量的定额）或不适合套用消耗量或定额（尚未更新为2026消耗量的定额）</w:t>
      </w:r>
      <w:r>
        <w:rPr>
          <w:rFonts w:ascii="宋体" w:hAnsi="宋体" w:eastAsia="宋体" w:cs="Times New Roman"/>
          <w:bCs/>
          <w:color w:val="0000ff"/>
          <w:szCs w:val="21"/>
          <w:lang w:val="en-US" w:eastAsia="zh-CN"/>
        </w:rPr>
        <w:t xml:space="preserve">，依据独立费计价原则，经监理人、发包人和跟踪评审单位共同确认后执行，确认后的价格不下浮且不让利。经监理人、发包人和跟踪评审单位确定的价格承包人不得以价格低等原因一切拒绝施工，否则因拒绝施工产生的工期延误等一切损失由承包人承担。</w:t>
      </w:r>
      <w:r>
        <w:rPr>
          <w:rFonts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C、合同执行期间，如遇文件规定的人工费调整，按规定进行调整。人工调差单价按投标时的下浮幅度优惠让利，调差部分只计税金。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D、措施项目费的调整与结算办法：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highlight w:val="none"/>
          <w:lang w:val="en-US" w:eastAsia="zh-CN"/>
        </w:rPr>
        <w:t xml:space="preserve">①单价措施项目费的结算同分部分项工程的结算方式（仅指单价固定、工程量按实结算）。</w:t>
      </w:r>
      <w:r>
        <w:rPr>
          <w:rFonts w:hint="eastAsia" w:ascii="宋体" w:hAnsi="宋体" w:eastAsia="宋体" w:cs="Times New Roman"/>
          <w:bCs/>
          <w:color w:val="0000ff"/>
          <w:szCs w:val="21"/>
          <w:lang w:val="en-US" w:eastAsia="zh-CN"/>
        </w:rPr>
      </w:r>
      <w:r/>
    </w:p>
    <w:p>
      <w:pPr>
        <w:pStyle w:val="1263"/>
        <w:ind w:firstLine="420"/>
        <w:jc w:val="left"/>
        <w:spacing w:line="360" w:lineRule="auto"/>
        <w:rPr>
          <w:rFonts w:ascii="宋体" w:hAnsi="宋体" w:eastAsia="宋体" w:cs="Times New Roman"/>
          <w:bCs/>
          <w:color w:val="0000ff"/>
          <w:szCs w:val="21"/>
          <w:highlight w:val="none"/>
          <w:lang w:val="en-US" w:eastAsia="zh-CN"/>
        </w:rPr>
      </w:pPr>
      <w:r>
        <w:rPr>
          <w:rFonts w:ascii="宋体" w:hAnsi="宋体" w:eastAsia="宋体" w:cs="Times New Roman"/>
          <w:bCs/>
          <w:color w:val="0000ff"/>
          <w:szCs w:val="21"/>
          <w:highlight w:val="none"/>
          <w:lang w:val="en-US" w:eastAsia="zh-CN"/>
        </w:rPr>
        <w:t xml:space="preserve">②以“项”为单位报价的，一次性包干，结算不作调整（如施工过程中该项不实施，则结算时不得计取该项费用）。以费率报价的，结算时费率按投标费率计取不变（如施工过程中该项不实施，则结算时不得计取该项费用）。 </w:t>
      </w:r>
      <w:r>
        <w:rPr>
          <w:rFonts w:ascii="宋体" w:hAnsi="宋体" w:eastAsia="宋体" w:cs="Times New Roman"/>
          <w:bCs/>
          <w:color w:val="0000ff"/>
          <w:szCs w:val="21"/>
          <w:highlight w:val="none"/>
          <w:lang w:val="en-US" w:eastAsia="zh-CN"/>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ascii="宋体" w:hAnsi="宋体" w:eastAsia="宋体" w:cs="Times New Roman"/>
          <w:bCs/>
          <w:color w:val="0000ff"/>
          <w:szCs w:val="21"/>
          <w:highlight w:val="none"/>
          <w:lang w:val="en-US" w:eastAsia="zh-CN"/>
        </w:rPr>
        <w:t xml:space="preserve">③</w:t>
      </w:r>
      <w:r>
        <w:rPr>
          <w:rFonts w:hint="eastAsia" w:ascii="宋体" w:hAnsi="宋体" w:eastAsia="宋体" w:cs="Times New Roman"/>
          <w:bCs/>
          <w:color w:val="0000ff"/>
          <w:szCs w:val="21"/>
          <w:highlight w:val="none"/>
          <w:lang w:val="en-US" w:eastAsia="zh-CN"/>
        </w:rPr>
        <w:t xml:space="preserve">因工程量清单缺陷引起的措施项目变化处理：除了安全生产措施费及在分部分项工程项目清单中所列属于措施项目的模板可调整外，合同清单的措施项目均不予调整。</w:t>
      </w:r>
      <w:r>
        <w:rPr>
          <w:rFonts w:hint="eastAsia" w:ascii="宋体" w:hAnsi="宋体" w:eastAsia="宋体" w:cs="Times New Roman"/>
          <w:bCs/>
          <w:color w:val="0000ff"/>
          <w:szCs w:val="21"/>
          <w:highlight w:val="none"/>
          <w:lang w:val="en-US" w:eastAsia="zh-CN"/>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hint="eastAsia" w:ascii="宋体" w:hAnsi="宋体" w:eastAsia="宋体" w:cs="Times New Roman"/>
          <w:bCs/>
          <w:color w:val="0000ff"/>
          <w:szCs w:val="21"/>
          <w:highlight w:val="none"/>
          <w:lang w:val="en-US" w:eastAsia="zh-CN"/>
        </w:rPr>
        <w:t xml:space="preserve">④工程变更引起的措施项目变化处理：按《建设工程工程量清单计价标准》（GB/T50500-2024）第7.4.4条的规定执行。</w:t>
      </w:r>
      <w:r>
        <w:rPr>
          <w:rFonts w:hint="eastAsia" w:ascii="宋体" w:hAnsi="宋体" w:eastAsia="宋体" w:cs="Times New Roman"/>
          <w:bCs/>
          <w:color w:val="0000ff"/>
          <w:szCs w:val="21"/>
          <w:highlight w:val="none"/>
          <w:lang w:val="en-US" w:eastAsia="zh-CN"/>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hint="eastAsia" w:ascii="宋体" w:hAnsi="宋体" w:eastAsia="宋体" w:cs="Times New Roman"/>
          <w:bCs/>
          <w:color w:val="0000ff"/>
          <w:szCs w:val="21"/>
          <w:highlight w:val="none"/>
          <w:lang w:val="en-US" w:eastAsia="zh-CN"/>
        </w:rPr>
        <w:t xml:space="preserve">E、主要材料价格波动超过招标文件约定的风险幅度的调整办法如下：</w:t>
      </w:r>
      <w:r>
        <w:rPr>
          <w:rFonts w:hint="eastAsia" w:ascii="宋体" w:hAnsi="宋体" w:eastAsia="宋体" w:cs="Times New Roman"/>
          <w:bCs/>
          <w:color w:val="0000ff"/>
          <w:szCs w:val="21"/>
          <w:highlight w:val="none"/>
          <w:lang w:val="en-US" w:eastAsia="zh-CN"/>
        </w:rPr>
      </w:r>
      <w:r/>
    </w:p>
    <w:p>
      <w:pPr>
        <w:pStyle w:val="1263"/>
        <w:ind w:firstLine="420"/>
        <w:jc w:val="left"/>
        <w:keepLines w:val="0"/>
        <w:keepNext w:val="0"/>
        <w:pageBreakBefore w:val="0"/>
        <w:spacing w:line="360" w:lineRule="auto"/>
        <w:widowControl w:val="off"/>
        <w:rPr>
          <w:rFonts w:ascii="宋体" w:hAnsi="宋体" w:eastAsia="宋体" w:cs="Times New Roman"/>
          <w:bCs/>
          <w:color w:val="0000ff"/>
          <w:sz w:val="21"/>
          <w:szCs w:val="21"/>
          <w:highlight w:val="none"/>
          <w:lang w:val="en-US" w:eastAsia="zh-CN" w:bidi="ar-SA"/>
        </w:rPr>
      </w:pPr>
      <w:r>
        <w:rPr>
          <w:rFonts w:hint="eastAsia" w:ascii="宋体" w:hAnsi="宋体" w:eastAsia="宋体" w:cs="Times New Roman"/>
          <w:bCs/>
          <w:color w:val="0000ff"/>
          <w:sz w:val="21"/>
          <w:szCs w:val="21"/>
          <w:highlight w:val="none"/>
          <w:lang w:val="en-US" w:eastAsia="zh-CN" w:bidi="ar-SA"/>
        </w:rPr>
        <w:t xml:space="preserve">（1）、材料价格的调整以工程所在地（常州市）造价管理部门在项目实施阶段发布的常州工程造价信息材料指导价上涨或下跌平均值与2026年  月常州工程信息材料指导价进行比较，按苏建价（2008）67号文规定执行。</w:t>
      </w:r>
      <w:r>
        <w:rPr>
          <w:rFonts w:ascii="宋体" w:hAnsi="宋体" w:eastAsia="宋体" w:cs="Times New Roman"/>
          <w:bCs/>
          <w:color w:val="0000ff"/>
          <w:sz w:val="21"/>
          <w:szCs w:val="21"/>
          <w:highlight w:val="none"/>
          <w:lang w:val="en-US" w:eastAsia="zh-CN" w:bidi="ar-SA"/>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hint="eastAsia" w:ascii="宋体" w:hAnsi="宋体" w:eastAsia="宋体" w:cs="Times New Roman"/>
          <w:bCs/>
          <w:color w:val="0000ff"/>
          <w:szCs w:val="21"/>
          <w:highlight w:val="none"/>
          <w:lang w:val="en-US" w:eastAsia="zh-CN"/>
        </w:rPr>
        <w:t xml:space="preserve">（2）、本工程材料基准价参照编标当月信息价。</w:t>
      </w:r>
      <w:r>
        <w:rPr>
          <w:rFonts w:hint="eastAsia" w:ascii="宋体" w:hAnsi="宋体" w:eastAsia="宋体" w:cs="Times New Roman"/>
          <w:bCs/>
          <w:color w:val="0000ff"/>
          <w:szCs w:val="21"/>
          <w:highlight w:val="none"/>
          <w:lang w:val="en-US" w:eastAsia="zh-CN"/>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hint="eastAsia" w:ascii="宋体" w:hAnsi="宋体" w:eastAsia="宋体" w:cs="Times New Roman"/>
          <w:bCs/>
          <w:color w:val="0000ff"/>
          <w:szCs w:val="21"/>
          <w:highlight w:val="none"/>
          <w:lang w:val="en-US" w:eastAsia="zh-CN"/>
        </w:rPr>
        <w:t xml:space="preserve">（3）、工程竣工结算时，施工期间的主要材料在《常州造价信息》中相对应的单项材料算术平均价格如与基准价相比在±8%（含±8%）范围以内则不予调整；如超出±8%范围的，则超出±8%部分的差额予以调整。上述差额调整费用只计税金，不计其他费用。</w:t>
      </w:r>
      <w:r>
        <w:rPr>
          <w:rFonts w:hint="eastAsia" w:ascii="宋体" w:hAnsi="宋体" w:eastAsia="宋体" w:cs="Times New Roman"/>
          <w:bCs/>
          <w:color w:val="0000ff"/>
          <w:szCs w:val="21"/>
          <w:highlight w:val="none"/>
          <w:lang w:val="en-US" w:eastAsia="zh-CN"/>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hint="eastAsia" w:ascii="宋体" w:hAnsi="宋体" w:eastAsia="宋体" w:cs="Times New Roman"/>
          <w:bCs/>
          <w:color w:val="0000ff"/>
          <w:szCs w:val="21"/>
          <w:highlight w:val="none"/>
          <w:lang w:val="en-US" w:eastAsia="zh-CN"/>
        </w:rPr>
        <w:t xml:space="preserve">F、人工单价按相关政策文件调整。</w:t>
      </w:r>
      <w:r>
        <w:rPr>
          <w:rFonts w:hint="eastAsia" w:ascii="宋体" w:hAnsi="宋体" w:eastAsia="宋体" w:cs="Times New Roman"/>
          <w:bCs/>
          <w:color w:val="0000ff"/>
          <w:szCs w:val="21"/>
          <w:highlight w:val="none"/>
          <w:lang w:val="en-US" w:eastAsia="zh-CN"/>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hint="eastAsia" w:ascii="宋体" w:hAnsi="宋体" w:eastAsia="宋体" w:cs="Times New Roman"/>
          <w:bCs/>
          <w:color w:val="0000ff"/>
          <w:szCs w:val="21"/>
          <w:highlight w:val="none"/>
          <w:lang w:val="en-US" w:eastAsia="zh-CN"/>
        </w:rPr>
        <w:t xml:space="preserve">5）、中标下浮率=【预算价[扣除暂估价（含税金）及暂列金额（含税金）]－中标价[扣除暂估价（含税金）及暂列金额（含税金）]】/预算价[扣除暂估价（含税金）及暂列金额（含税金）]。</w:t>
      </w:r>
      <w:r>
        <w:rPr>
          <w:rFonts w:hint="eastAsia" w:ascii="宋体" w:hAnsi="宋体" w:eastAsia="宋体" w:cs="Times New Roman"/>
          <w:bCs/>
          <w:color w:val="0000ff"/>
          <w:szCs w:val="21"/>
          <w:highlight w:val="none"/>
          <w:lang w:val="en-US" w:eastAsia="zh-CN"/>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hint="eastAsia" w:ascii="宋体" w:hAnsi="宋体" w:eastAsia="宋体" w:cs="Times New Roman"/>
          <w:bCs/>
          <w:color w:val="0000ff"/>
          <w:szCs w:val="21"/>
          <w:highlight w:val="none"/>
          <w:lang w:val="en-US" w:eastAsia="zh-CN"/>
        </w:rPr>
        <w:t xml:space="preserve">6）、投标单位如某项投标综合单价超过招标人发布的招标控制单价的，则该项所增加工程量的综合单价按控制综合单价乘（1-中标下浮率）结算。</w:t>
      </w:r>
      <w:r>
        <w:rPr>
          <w:rFonts w:hint="eastAsia" w:ascii="宋体" w:hAnsi="宋体" w:eastAsia="宋体" w:cs="Times New Roman"/>
          <w:bCs/>
          <w:color w:val="0000ff"/>
          <w:szCs w:val="21"/>
          <w:highlight w:val="none"/>
          <w:lang w:val="en-US" w:eastAsia="zh-CN"/>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ascii="宋体" w:hAnsi="宋体" w:eastAsia="宋体" w:cs="Times New Roman"/>
          <w:bCs/>
          <w:color w:val="0000ff"/>
          <w:szCs w:val="21"/>
          <w:highlight w:val="none"/>
          <w:lang w:val="en-US" w:eastAsia="zh-CN"/>
        </w:rPr>
        <w:t xml:space="preserve">7）、所有涉及工程结算的签证单上必须有承包人（项目组）、监理工程师、发包人、跟踪审计的签字和盖章，方可作为竣工结算的依据，签证单上必须明确签证的原因、位置、尺寸、数量、材料、人工、机械台班、价格和签证时间须附有综合单价分析。 </w:t>
      </w:r>
      <w:r>
        <w:rPr>
          <w:rFonts w:hint="eastAsia" w:ascii="宋体" w:hAnsi="宋体" w:eastAsia="宋体" w:cs="Times New Roman"/>
          <w:bCs/>
          <w:color w:val="0000ff"/>
          <w:szCs w:val="21"/>
          <w:highlight w:val="none"/>
          <w:lang w:val="en-US" w:eastAsia="zh-CN"/>
        </w:rPr>
      </w:r>
      <w:r/>
    </w:p>
    <w:p>
      <w:pPr>
        <w:pStyle w:val="1263"/>
        <w:ind w:firstLine="420"/>
        <w:jc w:val="left"/>
        <w:spacing w:line="360" w:lineRule="auto"/>
        <w:rPr>
          <w:rFonts w:ascii="宋体" w:hAnsi="宋体" w:eastAsia="宋体" w:cs="Times New Roman"/>
          <w:bCs/>
          <w:color w:val="0000ff"/>
          <w:szCs w:val="21"/>
          <w:highlight w:val="none"/>
          <w:lang w:val="en-US" w:eastAsia="zh-CN"/>
        </w:rPr>
      </w:pPr>
      <w:r>
        <w:rPr>
          <w:rFonts w:ascii="宋体" w:hAnsi="宋体" w:eastAsia="宋体" w:cs="Times New Roman"/>
          <w:bCs/>
          <w:color w:val="0000ff"/>
          <w:szCs w:val="21"/>
          <w:highlight w:val="none"/>
          <w:lang w:val="en-US" w:eastAsia="zh-CN"/>
        </w:rPr>
        <w:t xml:space="preserve">8）投标报价组价时如违规调整定额人工、暂定价材料、机械消耗量，则按以下结算原则执行：①、如遇人工、机械单价调增时，投标报价组价中人工、</w:t>
      </w:r>
      <w:r>
        <w:rPr>
          <w:rFonts w:ascii="宋体" w:hAnsi="宋体" w:eastAsia="宋体" w:cs="Times New Roman"/>
          <w:bCs/>
          <w:color w:val="0000ff"/>
          <w:szCs w:val="21"/>
          <w:highlight w:val="none"/>
          <w:lang w:val="en-US" w:eastAsia="zh-CN"/>
        </w:rPr>
        <w:t xml:space="preserve">机械消耗量超过现行定额人工、机械消耗量的，按现行定额人工、机械消耗量执行；投标报价组价中人工、机械消耗量低于现行定额人工、机械消耗量的，按投标报价组价中人工、机械消耗量执行。②、如遇人工、机械单价调减时，投标报价组价中人工、机械消耗量超过现行定额人工、机械消耗量的，按投标报价组价中人工、机械消耗量执行；投标报价组价中人工、机械消耗量低于现行定额人工、机械消耗量的，按现行定额人工、机械消耗量执行。③、如暂定价材料投标报价组价中高于定额消耗量的，按定额消耗量执行；低于定额消耗量的按投标报价组价中的消耗量执行。 </w:t>
      </w:r>
      <w:r>
        <w:rPr>
          <w:rFonts w:ascii="宋体" w:hAnsi="宋体" w:eastAsia="宋体" w:cs="Times New Roman"/>
          <w:bCs/>
          <w:color w:val="0000ff"/>
          <w:szCs w:val="21"/>
          <w:highlight w:val="none"/>
          <w:lang w:val="en-US" w:eastAsia="zh-CN"/>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ascii="宋体" w:hAnsi="宋体" w:eastAsia="宋体" w:cs="Times New Roman"/>
          <w:bCs/>
          <w:color w:val="0000ff"/>
          <w:szCs w:val="21"/>
          <w:highlight w:val="none"/>
          <w:lang w:val="en-US" w:eastAsia="zh-CN"/>
        </w:rPr>
        <w:t xml:space="preserve">9）相同工程类别的单位工程，其相同清单项目特征、工程内容的清单项目，投标报价不一致的，工程结算时所有相关的清单项目按最低的报价结算。 </w:t>
      </w:r>
      <w:r>
        <w:rPr>
          <w:rFonts w:hint="eastAsia" w:ascii="宋体" w:hAnsi="宋体" w:eastAsia="宋体" w:cs="Times New Roman"/>
          <w:bCs/>
          <w:color w:val="0000ff"/>
          <w:szCs w:val="21"/>
          <w:highlight w:val="none"/>
          <w:lang w:val="en-US" w:eastAsia="zh-CN"/>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ascii="宋体" w:hAnsi="宋体" w:eastAsia="宋体" w:cs="Times New Roman"/>
          <w:bCs/>
          <w:color w:val="0000ff"/>
          <w:szCs w:val="21"/>
          <w:highlight w:val="none"/>
          <w:lang w:val="en-US" w:eastAsia="zh-CN"/>
        </w:rPr>
        <w:t xml:space="preserve">10）承包人在施工过程中必须保证施工现场的安全及工程质量，如由承包人原因造成的安全和质量事故，全部责任及由此造成的费用由承包人承担。 </w:t>
      </w:r>
      <w:r>
        <w:rPr>
          <w:rFonts w:hint="eastAsia" w:ascii="宋体" w:hAnsi="宋体" w:eastAsia="宋体" w:cs="Times New Roman"/>
          <w:bCs/>
          <w:color w:val="0000ff"/>
          <w:szCs w:val="21"/>
          <w:highlight w:val="none"/>
          <w:lang w:val="en-US" w:eastAsia="zh-CN"/>
        </w:rPr>
      </w:r>
      <w:r/>
    </w:p>
    <w:p>
      <w:pPr>
        <w:pStyle w:val="1263"/>
        <w:ind w:firstLine="420"/>
        <w:jc w:val="left"/>
        <w:keepLines w:val="0"/>
        <w:keepNext w:val="0"/>
        <w:pageBreakBefore w:val="0"/>
        <w:spacing w:line="360" w:lineRule="auto"/>
        <w:widowControl w:val="off"/>
        <w:rPr>
          <w:rFonts w:hint="eastAsia" w:ascii="宋体" w:hAnsi="宋体" w:eastAsia="宋体" w:cs="Times New Roman"/>
          <w:bCs/>
          <w:color w:val="0000ff"/>
          <w:szCs w:val="21"/>
          <w:highlight w:val="green"/>
          <w:lang w:val="en-US" w:eastAsia="zh-CN"/>
        </w:rPr>
        <w:outlineLvl w:val="9"/>
      </w:pPr>
      <w:r>
        <w:rPr>
          <w:rFonts w:ascii="宋体" w:hAnsi="宋体" w:eastAsia="宋体" w:cs="Times New Roman"/>
          <w:bCs/>
          <w:color w:val="0000ff"/>
          <w:szCs w:val="21"/>
          <w:highlight w:val="none"/>
        </w:rPr>
        <w:t xml:space="preserve">21.2 其它约定：</w:t>
      </w:r>
      <w:r>
        <w:rPr>
          <w:rFonts w:hint="eastAsia" w:ascii="宋体" w:hAnsi="宋体" w:eastAsia="宋体" w:cs="Times New Roman"/>
          <w:bCs/>
          <w:color w:val="0000ff"/>
          <w:szCs w:val="21"/>
          <w:highlight w:val="green"/>
          <w:lang w:val="en-US" w:eastAsia="zh-CN"/>
        </w:rPr>
      </w:r>
      <w:r/>
    </w:p>
    <w:p>
      <w:pPr>
        <w:pStyle w:val="1263"/>
        <w:ind w:firstLine="420"/>
        <w:jc w:val="left"/>
        <w:spacing w:line="360" w:lineRule="auto"/>
        <w:rPr>
          <w:rFonts w:ascii="宋体" w:hAnsi="宋体" w:eastAsia="宋体" w:cs="Times New Roman"/>
          <w:bCs/>
          <w:color w:val="0000ff"/>
          <w:szCs w:val="21"/>
          <w:highlight w:val="none"/>
        </w:rPr>
      </w:pPr>
      <w:r>
        <w:rPr>
          <w:rFonts w:ascii="宋体" w:hAnsi="宋体" w:eastAsia="宋体" w:cs="Times New Roman"/>
          <w:bCs/>
          <w:color w:val="0000ff"/>
          <w:szCs w:val="21"/>
          <w:lang w:val="en-US" w:eastAsia="zh-CN"/>
        </w:rPr>
        <w:t xml:space="preserve">1）</w:t>
      </w:r>
      <w:r>
        <w:rPr>
          <w:rFonts w:ascii="宋体" w:hAnsi="宋体" w:eastAsia="宋体" w:cs="Times New Roman"/>
          <w:bCs/>
          <w:color w:val="0000ff"/>
          <w:szCs w:val="21"/>
          <w:highlight w:val="none"/>
        </w:rPr>
        <w:t xml:space="preserve">投标人在投标前应对现场进行认真踏勘，熟悉工程现场和周围环境，了解一切可能影响投标方案、报价等编制投标文件的资料，并承担考查现场的责任和风险以及踏勘现场所发生的自身费用。中标后，投标人不得以不完全了解施工现场及周围环境为由，提出额外款项增加、补偿或延长工期等要求。同时作为一</w:t>
      </w:r>
      <w:r>
        <w:rPr>
          <w:rFonts w:hint="eastAsia" w:ascii="宋体" w:hAnsi="宋体" w:eastAsia="宋体" w:cs="Times New Roman"/>
          <w:bCs/>
          <w:color w:val="0000ff"/>
          <w:szCs w:val="21"/>
          <w:highlight w:val="none"/>
        </w:rPr>
        <w:t xml:space="preserve">个有经验的承包商，应充分考虑与施工现场周边居民的关系及外围矛盾的协调，投标报价时应包含解决与当地居民、地方矛盾所产生的费用，并承担相应的责任。</w:t>
      </w:r>
      <w:r>
        <w:rPr>
          <w:rFonts w:ascii="宋体" w:hAnsi="宋体" w:eastAsia="宋体" w:cs="Times New Roman"/>
          <w:bCs/>
          <w:color w:val="0000ff"/>
          <w:szCs w:val="21"/>
          <w:highlight w:val="none"/>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2）采取必要的措施对施工场地及周围地下管线、地上高压线和邻近建筑物、构筑物、道路、树木等进行保护，并承担相应的费用（费用由承包人在投标报价中自行考虑）。承包人不得破坏施工场地及周围地下管线和地上高压线，不得破坏施工场地及周围的建筑物、构筑物、道路、树木等，如造成破坏，承包人必须赔偿一切损失并承担一切后果。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3）采取措施加强施工现场的环境保护工作，工地道路出入口处的城市道路卫生工作。遵守地方政府和有关部门对施工场地交通、环卫、扬尘排放和施工噪音等管理规定，办理相关手续，承担相应费用（费用由承包人在投标报价中自行考虑）。承包人必须保证发包人不承担由于施工产生的噪音、污染或其他干扰所造成的损坏所引起的一切索赔、诉讼、损害、费用、罚款及开支等有关的责任，因承包人违反上述行为导致发包人承担责任的，发包人承担后有权向承包人追偿，</w:t>
      </w:r>
      <w:r>
        <w:rPr>
          <w:rFonts w:hint="eastAsia" w:ascii="宋体" w:hAnsi="宋体" w:eastAsia="宋体" w:cs="Times New Roman"/>
          <w:bCs/>
          <w:color w:val="0000ff"/>
          <w:szCs w:val="21"/>
          <w:lang w:val="en-US" w:eastAsia="zh-CN"/>
        </w:rPr>
        <w:t xml:space="preserve">并有权从工程款中扣除。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4）如果拖欠农民工工资，经审核确认发包方将按拖欠金额的50%对承包方进行处罚。</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5）工程施工产生的建筑垃圾及生活垃圾清理由承包人负责，由此产生的费用由承包人自理。承包人协调好与其他承包人的交叉施工，并承担由此产生的费用。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ascii="宋体" w:hAnsi="宋体" w:eastAsia="宋体" w:cs="Times New Roman"/>
          <w:bCs/>
          <w:color w:val="0000ff"/>
          <w:szCs w:val="21"/>
          <w:lang w:val="en-US" w:eastAsia="zh-CN"/>
        </w:rPr>
        <w:t xml:space="preserve">6）本工程所需的材料检测费用</w:t>
      </w:r>
      <w:r>
        <w:rPr>
          <w:rFonts w:hint="eastAsia" w:ascii="宋体" w:hAnsi="宋体" w:eastAsia="宋体" w:cs="Times New Roman"/>
          <w:bCs/>
          <w:color w:val="0000ff"/>
          <w:szCs w:val="21"/>
          <w:lang w:val="en-US" w:eastAsia="zh-CN"/>
        </w:rPr>
        <w:t xml:space="preserve">按相关</w:t>
      </w:r>
      <w:r>
        <w:rPr>
          <w:rFonts w:ascii="宋体" w:hAnsi="宋体" w:eastAsia="宋体" w:cs="Times New Roman"/>
          <w:bCs/>
          <w:color w:val="0000ff"/>
          <w:szCs w:val="21"/>
          <w:lang w:val="en-US" w:eastAsia="zh-CN"/>
        </w:rPr>
        <w:t xml:space="preserve">规定执行，对所有送检样品检测不合格的，该检测费用由承包人承担，不合格导致的延误时间将直接作为延误总工期计算并</w:t>
      </w:r>
      <w:r>
        <w:rPr>
          <w:rFonts w:ascii="宋体" w:hAnsi="宋体" w:eastAsia="宋体" w:cs="Times New Roman"/>
          <w:bCs/>
          <w:color w:val="0000ff"/>
          <w:szCs w:val="21"/>
          <w:highlight w:val="none"/>
          <w:lang w:val="en-US" w:eastAsia="zh-CN"/>
        </w:rPr>
        <w:t xml:space="preserve">予以处罚。 </w:t>
      </w:r>
      <w:r>
        <w:rPr>
          <w:rFonts w:hint="eastAsia" w:ascii="宋体" w:hAnsi="宋体" w:eastAsia="宋体" w:cs="Times New Roman"/>
          <w:bCs/>
          <w:color w:val="0000ff"/>
          <w:szCs w:val="21"/>
          <w:highlight w:val="none"/>
          <w:lang w:val="en-US" w:eastAsia="zh-CN"/>
        </w:rPr>
      </w:r>
      <w:r/>
    </w:p>
    <w:p>
      <w:pPr>
        <w:pStyle w:val="126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ascii="宋体" w:hAnsi="宋体" w:eastAsia="宋体" w:cs="Times New Roman"/>
          <w:bCs/>
          <w:color w:val="0000ff"/>
          <w:szCs w:val="21"/>
          <w:highlight w:val="none"/>
          <w:lang w:val="en-US" w:eastAsia="zh-CN"/>
        </w:rPr>
        <w:t xml:space="preserve">7）</w:t>
      </w:r>
      <w:r>
        <w:rPr>
          <w:rFonts w:ascii="宋体" w:hAnsi="宋体" w:eastAsia="宋体" w:cs="Times New Roman"/>
          <w:bCs/>
          <w:color w:val="0000ff"/>
          <w:szCs w:val="21"/>
          <w:highlight w:val="none"/>
        </w:rPr>
        <w:t xml:space="preserve">承包人在投标时可根据工程实际情况结合施工组织设计，对发包人所列的措施项目进行增补，但不得更改发包人已列措施项目。结算时承包人不得以招标工程措施项目清单缺项为由要求新增措施项目。</w:t>
      </w:r>
      <w:r>
        <w:rPr>
          <w:rFonts w:hint="eastAsia" w:ascii="宋体" w:hAnsi="宋体" w:eastAsia="宋体" w:cs="宋体"/>
          <w:color w:val="000000"/>
          <w:sz w:val="21"/>
          <w:szCs w:val="21"/>
          <w:highlight w:val="none"/>
        </w:rPr>
      </w:r>
      <w:r/>
    </w:p>
    <w:p>
      <w:pPr>
        <w:pStyle w:val="1263"/>
        <w:ind w:firstLine="420"/>
        <w:jc w:val="left"/>
        <w:spacing w:line="360" w:lineRule="auto"/>
        <w:rPr>
          <w:rFonts w:hint="eastAsia" w:ascii="宋体" w:hAnsi="宋体" w:eastAsia="宋体" w:cs="Times New Roman"/>
          <w:bCs/>
          <w:color w:val="0000ff"/>
          <w:szCs w:val="21"/>
          <w:highlight w:val="none"/>
          <w:lang w:val="en-US" w:eastAsia="zh-CN"/>
        </w:rPr>
      </w:pPr>
      <w:r>
        <w:rPr>
          <w:rFonts w:ascii="宋体" w:hAnsi="宋体" w:eastAsia="宋体" w:cs="Times New Roman"/>
          <w:bCs/>
          <w:color w:val="0000ff"/>
          <w:szCs w:val="21"/>
          <w:highlight w:val="none"/>
          <w:lang w:val="en-US" w:eastAsia="zh-CN"/>
        </w:rPr>
        <w:t xml:space="preserve">8）工程量清单中的工程数量是按《建设工程工程量清单计价标准》（GB/T50500-2024）的工程量计算规则进行计算的，施工中所用的材料、成品、半成品在制作、运输、保管、安装中等发生的一切损耗应包括在报价内，结算时承包人不得以清单中工程数量与实际施工发生的量有偏差为理由进行投标综合单价调整。 </w:t>
      </w:r>
      <w:r>
        <w:rPr>
          <w:rFonts w:hint="eastAsia" w:ascii="宋体" w:hAnsi="宋体" w:eastAsia="宋体" w:cs="Times New Roman"/>
          <w:bCs/>
          <w:color w:val="0000ff"/>
          <w:szCs w:val="21"/>
          <w:highlight w:val="none"/>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9）承包人根据施工图对招标工程量清单存在的缺项、漏项、超出清单量的项目和施工期间发包人提出的设计变更、增加项目，必须在项目开工前和收到发包人设计变更、增加项目联系单后</w:t>
      </w:r>
      <w:r>
        <w:rPr>
          <w:rFonts w:hint="eastAsia" w:ascii="宋体" w:hAnsi="宋体" w:eastAsia="宋体" w:cs="Times New Roman"/>
          <w:bCs/>
          <w:color w:val="0000ff"/>
          <w:szCs w:val="21"/>
          <w:lang w:val="en-US" w:eastAsia="zh-CN"/>
        </w:rPr>
        <w:t xml:space="preserve">一周</w:t>
      </w:r>
      <w:r>
        <w:rPr>
          <w:rFonts w:ascii="宋体" w:hAnsi="宋体" w:eastAsia="宋体" w:cs="Times New Roman"/>
          <w:bCs/>
          <w:color w:val="0000ff"/>
          <w:szCs w:val="21"/>
          <w:lang w:val="en-US" w:eastAsia="zh-CN"/>
        </w:rPr>
        <w:t xml:space="preserve">内编制工程预算交发包人，由发包人审批通过后予以实施，实施完成后一周内办理工程签证手续。如承包人未能按上述程序及时上报先行施工的，结算时一律不予认可。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10）本次工程量清单中所涉及的内容及范围在实际施工中如有增减或施工期间发包人提出设计变更、增加项目，承包人必须服从发包人的安排，不得以任何理由拒绝。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11）本工程所使用的材料必须严格按照设计环保要求和国家环保相关要求执行，确保材料质量和环保安全要求。用于本工程的材料必须是全新的环保产品。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12）承包人应熟悉工程现场和周围环境，投标时自行考虑修建或租赁临时设施，投标报价中应包含临时设施用地的占地费用和租赁费用。如现场不具备临时设施搭设条件，承包人采用其他解决办法的，费用由承包人在投标报价中自行考虑，发包人不再承担任何费用。招标人不提供现场水及电源接驳点，投标人自行踏勘现场，报价时综合考虑此费用。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1</w:t>
      </w:r>
      <w:r>
        <w:rPr>
          <w:rFonts w:hint="eastAsia" w:ascii="宋体" w:hAnsi="宋体" w:eastAsia="宋体" w:cs="Times New Roman"/>
          <w:bCs/>
          <w:color w:val="0000ff"/>
          <w:szCs w:val="21"/>
          <w:lang w:val="en-US" w:eastAsia="zh-CN"/>
        </w:rPr>
        <w:t xml:space="preserve">3</w:t>
      </w:r>
      <w:r>
        <w:rPr>
          <w:rFonts w:ascii="宋体" w:hAnsi="宋体" w:eastAsia="宋体" w:cs="Times New Roman"/>
          <w:bCs/>
          <w:color w:val="0000ff"/>
          <w:szCs w:val="21"/>
          <w:lang w:val="en-US" w:eastAsia="zh-CN"/>
        </w:rPr>
        <w:t xml:space="preserve">）本工程结算审计核减率超过10%以上部分的审计费以7%计收，由</w:t>
      </w:r>
      <w:r>
        <w:rPr>
          <w:rFonts w:hint="eastAsia" w:ascii="宋体" w:hAnsi="宋体" w:eastAsia="宋体" w:cs="Times New Roman"/>
          <w:bCs/>
          <w:color w:val="0000ff"/>
          <w:szCs w:val="21"/>
          <w:lang w:val="en-US" w:eastAsia="zh-CN"/>
        </w:rPr>
        <w:t xml:space="preserve">承包人</w:t>
      </w:r>
      <w:r>
        <w:rPr>
          <w:rFonts w:ascii="宋体" w:hAnsi="宋体" w:eastAsia="宋体" w:cs="Times New Roman"/>
          <w:bCs/>
          <w:color w:val="0000ff"/>
          <w:szCs w:val="21"/>
          <w:lang w:val="en-US" w:eastAsia="zh-CN"/>
        </w:rPr>
        <w:t xml:space="preserve">承担，</w:t>
      </w:r>
      <w:r>
        <w:rPr>
          <w:rFonts w:hint="eastAsia" w:ascii="宋体" w:hAnsi="宋体" w:eastAsia="宋体" w:cs="Times New Roman"/>
          <w:bCs/>
          <w:color w:val="0000ff"/>
          <w:szCs w:val="21"/>
          <w:lang w:val="en-US" w:eastAsia="zh-CN"/>
        </w:rPr>
        <w:t xml:space="preserve">发包人</w:t>
      </w:r>
      <w:r>
        <w:rPr>
          <w:rFonts w:ascii="宋体" w:hAnsi="宋体" w:eastAsia="宋体" w:cs="Times New Roman"/>
          <w:bCs/>
          <w:color w:val="0000ff"/>
          <w:szCs w:val="21"/>
          <w:lang w:val="en-US" w:eastAsia="zh-CN"/>
        </w:rPr>
        <w:t xml:space="preserve">从工程款中扣除，其中4%支付服务费，3%留建设方冲减工程成本。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1</w:t>
      </w:r>
      <w:r>
        <w:rPr>
          <w:rFonts w:hint="eastAsia" w:ascii="宋体" w:hAnsi="宋体" w:eastAsia="宋体" w:cs="Times New Roman"/>
          <w:bCs/>
          <w:color w:val="0000ff"/>
          <w:szCs w:val="21"/>
          <w:lang w:val="en-US" w:eastAsia="zh-CN"/>
        </w:rPr>
        <w:t xml:space="preserve">4</w:t>
      </w:r>
      <w:r>
        <w:rPr>
          <w:rFonts w:ascii="宋体" w:hAnsi="宋体" w:eastAsia="宋体" w:cs="Times New Roman"/>
          <w:bCs/>
          <w:color w:val="0000ff"/>
          <w:szCs w:val="21"/>
          <w:lang w:val="en-US" w:eastAsia="zh-CN"/>
        </w:rPr>
        <w:t xml:space="preserve">）承包人须严格执行《溧阳市工程建设领域农民工工资专用账户和银行代发农民工工资的实施意见（试行）》[溧人社发（2018）56 号]、《溧阳市工程建设领域农民工工资专用账户和银行代发农民工工资的实施意见（试行）》[溧人社发（2018）55 号]文，按规定实行实名制管理，设立农民工工资专户，农民工工资实行银行代发，如项目依法分包，分包企业委托总承包企业的工资专户发放农民工工资。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1</w:t>
      </w:r>
      <w:r>
        <w:rPr>
          <w:rFonts w:hint="eastAsia" w:ascii="宋体" w:hAnsi="宋体" w:eastAsia="宋体" w:cs="Times New Roman"/>
          <w:bCs/>
          <w:color w:val="0000ff"/>
          <w:szCs w:val="21"/>
          <w:lang w:val="en-US" w:eastAsia="zh-CN"/>
        </w:rPr>
        <w:t xml:space="preserve">5</w:t>
      </w:r>
      <w:r>
        <w:rPr>
          <w:rFonts w:ascii="宋体" w:hAnsi="宋体" w:eastAsia="宋体" w:cs="Times New Roman"/>
          <w:bCs/>
          <w:color w:val="0000ff"/>
          <w:szCs w:val="21"/>
          <w:lang w:val="en-US" w:eastAsia="zh-CN"/>
        </w:rPr>
        <w:t xml:space="preserve">）项目竣工验收前，市政工程农民工工资专户累计拔付资金不得低于签约合同价[扣除暂列金额（含税金）]的8%；且已发放的农民工工资数额原则上不得低于签约合同价[扣除暂列金额（含税金）]的6%；农民工工资发放数额低于签约合同价[扣除暂列金额（含税金）]的6%的，经工程所在地建设行政主管部门确认项目农民工工资已经结清，方可以进行竣工验收。</w:t>
      </w:r>
      <w:r>
        <w:rPr>
          <w:rFonts w:hint="eastAsia" w:ascii="宋体" w:hAnsi="宋体" w:eastAsia="宋体" w:cs="Times New Roman"/>
          <w:bCs/>
          <w:color w:val="0000ff"/>
          <w:szCs w:val="21"/>
          <w:lang w:val="en-US" w:eastAsia="zh-CN"/>
        </w:rPr>
        <w:t xml:space="preserve">（具体按常住建【2025】21号文及溧政办发【2026】21号执行）</w:t>
      </w:r>
      <w:r>
        <w:rPr>
          <w:rFonts w:ascii="宋体" w:hAnsi="宋体" w:eastAsia="宋体" w:cs="Times New Roman"/>
          <w:bCs/>
          <w:color w:val="0000ff"/>
          <w:szCs w:val="21"/>
          <w:lang w:val="en-US" w:eastAsia="zh-CN"/>
        </w:rPr>
        <w:t xml:space="preserve">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ascii="宋体" w:hAnsi="宋体" w:eastAsia="宋体" w:cs="Times New Roman"/>
          <w:bCs/>
          <w:color w:val="0000ff"/>
          <w:szCs w:val="21"/>
          <w:highlight w:val="none"/>
        </w:rPr>
      </w:pPr>
      <w:r>
        <w:rPr>
          <w:rFonts w:ascii="宋体" w:hAnsi="宋体" w:eastAsia="宋体" w:cs="Times New Roman"/>
          <w:bCs/>
          <w:color w:val="0000ff"/>
          <w:szCs w:val="21"/>
          <w:lang w:val="en-US" w:eastAsia="zh-CN"/>
        </w:rPr>
        <w:t xml:space="preserve">1</w:t>
      </w:r>
      <w:r>
        <w:rPr>
          <w:rFonts w:hint="eastAsia" w:ascii="宋体" w:hAnsi="宋体" w:eastAsia="宋体" w:cs="Times New Roman"/>
          <w:bCs/>
          <w:color w:val="0000ff"/>
          <w:szCs w:val="21"/>
          <w:lang w:val="en-US" w:eastAsia="zh-CN"/>
        </w:rPr>
        <w:t xml:space="preserve">6</w:t>
      </w:r>
      <w:r>
        <w:rPr>
          <w:rFonts w:ascii="宋体" w:hAnsi="宋体" w:eastAsia="宋体" w:cs="Times New Roman"/>
          <w:bCs/>
          <w:color w:val="0000ff"/>
          <w:szCs w:val="21"/>
          <w:lang w:val="en-US" w:eastAsia="zh-CN"/>
        </w:rPr>
        <w:t xml:space="preserve">）</w:t>
      </w:r>
      <w:r>
        <w:rPr>
          <w:rFonts w:ascii="宋体" w:hAnsi="宋体" w:eastAsia="宋体" w:cs="Times New Roman"/>
          <w:bCs/>
          <w:color w:val="0000ff"/>
          <w:szCs w:val="21"/>
          <w:highlight w:val="none"/>
        </w:rPr>
        <w:t xml:space="preserve">承包人</w:t>
      </w:r>
      <w:r>
        <w:rPr>
          <w:rFonts w:ascii="宋体" w:hAnsi="宋体" w:eastAsia="宋体" w:cs="Times New Roman"/>
          <w:bCs/>
          <w:color w:val="0000ff"/>
          <w:szCs w:val="21"/>
          <w:lang w:val="en-US" w:eastAsia="zh-CN"/>
        </w:rPr>
        <w:t xml:space="preserve">项目管理班子：</w:t>
      </w:r>
      <w:r>
        <w:rPr>
          <w:rFonts w:ascii="宋体" w:hAnsi="宋体" w:eastAsia="宋体" w:cs="Times New Roman"/>
          <w:bCs/>
          <w:color w:val="0000ff"/>
          <w:szCs w:val="21"/>
          <w:highlight w:val="none"/>
        </w:rPr>
        <w:t xml:space="preserve">项目负责人： </w:t>
      </w:r>
      <w:r>
        <w:rPr>
          <w:rFonts w:ascii="宋体" w:hAnsi="宋体" w:eastAsia="宋体" w:cs="Times New Roman"/>
          <w:bCs/>
          <w:color w:val="0000ff"/>
          <w:szCs w:val="21"/>
          <w:highlight w:val="none"/>
          <w:u w:val="single"/>
        </w:rPr>
        <w:t xml:space="preserve">       </w:t>
      </w:r>
      <w:r>
        <w:rPr>
          <w:rFonts w:ascii="宋体" w:hAnsi="宋体" w:eastAsia="宋体" w:cs="Times New Roman"/>
          <w:bCs/>
          <w:color w:val="0000ff"/>
          <w:szCs w:val="21"/>
          <w:highlight w:val="none"/>
        </w:rPr>
        <w:t xml:space="preserve">（联系电话：</w:t>
      </w:r>
      <w:r>
        <w:rPr>
          <w:rFonts w:ascii="宋体" w:hAnsi="宋体" w:eastAsia="宋体" w:cs="Times New Roman"/>
          <w:bCs/>
          <w:color w:val="0000ff"/>
          <w:szCs w:val="21"/>
          <w:highlight w:val="none"/>
          <w:u w:val="single"/>
        </w:rPr>
        <w:t xml:space="preserve">        </w:t>
      </w:r>
      <w:r>
        <w:rPr>
          <w:rFonts w:ascii="宋体" w:hAnsi="宋体" w:eastAsia="宋体" w:cs="Times New Roman"/>
          <w:bCs/>
          <w:color w:val="0000ff"/>
          <w:szCs w:val="21"/>
          <w:highlight w:val="none"/>
        </w:rPr>
        <w:t xml:space="preserve">）、技术负责人： </w:t>
      </w:r>
      <w:r>
        <w:rPr>
          <w:rFonts w:ascii="宋体" w:hAnsi="宋体" w:eastAsia="宋体" w:cs="Times New Roman"/>
          <w:bCs/>
          <w:color w:val="0000ff"/>
          <w:szCs w:val="21"/>
          <w:highlight w:val="none"/>
          <w:u w:val="single"/>
        </w:rPr>
        <w:t xml:space="preserve">      </w:t>
      </w:r>
      <w:r>
        <w:rPr>
          <w:rFonts w:ascii="宋体" w:hAnsi="宋体" w:eastAsia="宋体" w:cs="Times New Roman"/>
          <w:bCs/>
          <w:color w:val="0000ff"/>
          <w:szCs w:val="21"/>
          <w:highlight w:val="none"/>
        </w:rPr>
        <w:t xml:space="preserve"> （联系电话：        ）、造价负责人：       （联系电话：        ）：质量员：        （联系电话：        ）、安全员：         （联系电话：         ）、施工员：       （联系电话：        ）。</w:t>
      </w:r>
      <w:r>
        <w:rPr>
          <w:rFonts w:ascii="宋体" w:hAnsi="宋体" w:eastAsia="宋体" w:cs="Times New Roman"/>
          <w:bCs/>
          <w:color w:val="0000ff"/>
          <w:szCs w:val="21"/>
          <w:highlight w:val="none"/>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1</w:t>
      </w:r>
      <w:r>
        <w:rPr>
          <w:rFonts w:hint="eastAsia" w:ascii="宋体" w:hAnsi="宋体" w:eastAsia="宋体" w:cs="Times New Roman"/>
          <w:bCs/>
          <w:color w:val="0000ff"/>
          <w:szCs w:val="21"/>
          <w:lang w:val="en-US" w:eastAsia="zh-CN"/>
        </w:rPr>
        <w:t xml:space="preserve">7</w:t>
      </w:r>
      <w:r>
        <w:rPr>
          <w:rFonts w:ascii="宋体" w:hAnsi="宋体" w:eastAsia="宋体" w:cs="Times New Roman"/>
          <w:bCs/>
          <w:color w:val="0000ff"/>
          <w:szCs w:val="21"/>
          <w:lang w:val="en-US" w:eastAsia="zh-CN"/>
        </w:rPr>
        <w:t xml:space="preserve">）为加强本市建设工程标准化安全文明施工管理，维护城市环境整洁，凡在本市行政区域内从事建设工程施工活动的，必须遵守"溧政办发〔2017〕133 号文"市政府办公室关于印发《溧阳市建设工程标准化安全文明施工管理若干规定》的通知。在施工过程中必须严格执行六个百分百规定：具体为建筑施工现场 100%围挡、工地裸土 100%覆盖、工地主要路面 100%硬化、拆除工程 100%洒水抑尘、出工地运输车辆 100%冲洗、裸露场地 100%覆盖。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hint="eastAsia" w:ascii="宋体" w:hAnsi="宋体" w:eastAsia="宋体" w:cs="Times New Roman"/>
          <w:bCs/>
          <w:color w:val="0000ff"/>
          <w:szCs w:val="21"/>
          <w:lang w:val="en-US" w:eastAsia="zh-CN"/>
        </w:rPr>
        <w:t xml:space="preserve">18）</w:t>
      </w:r>
      <w:r>
        <w:rPr>
          <w:rFonts w:ascii="宋体" w:hAnsi="宋体" w:eastAsia="宋体" w:cs="Times New Roman"/>
          <w:bCs/>
          <w:color w:val="0000ff"/>
          <w:szCs w:val="21"/>
          <w:lang w:val="en-US" w:eastAsia="zh-CN"/>
        </w:rPr>
        <w:t xml:space="preserve">安全生产措施费按《江苏省建设工程费用参考》（2026）中的费率标准执行且本项目安全生产标准化考评等级在合格以上时，结算费用不另行增加。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hint="eastAsia" w:ascii="宋体" w:hAnsi="宋体" w:eastAsia="宋体" w:cs="Times New Roman"/>
          <w:bCs/>
          <w:color w:val="0000ff"/>
          <w:szCs w:val="21"/>
          <w:lang w:val="en-US" w:eastAsia="zh-CN"/>
        </w:rPr>
        <w:t xml:space="preserve">19</w:t>
      </w:r>
      <w:r>
        <w:rPr>
          <w:rFonts w:ascii="宋体" w:hAnsi="宋体" w:eastAsia="宋体" w:cs="Times New Roman"/>
          <w:bCs/>
          <w:color w:val="0000ff"/>
          <w:szCs w:val="21"/>
          <w:lang w:val="en-US" w:eastAsia="zh-CN"/>
        </w:rPr>
        <w:t xml:space="preserve">）承包人的施工进度计划必须按照招标人要求进行编制并实施，因征地等特殊原因造成工期延长产生的一系列费用承包人不得向发包人索赔，工期可顺延。 </w:t>
      </w:r>
      <w:r>
        <w:rPr>
          <w:rFonts w:hint="eastAsia" w:ascii="宋体" w:hAnsi="宋体" w:eastAsia="宋体" w:cs="Times New Roman"/>
          <w:bCs/>
          <w:color w:val="0000ff"/>
          <w:szCs w:val="21"/>
          <w:lang w:val="en-US" w:eastAsia="zh-CN"/>
        </w:rPr>
      </w:r>
      <w:r/>
    </w:p>
    <w:p>
      <w:pPr>
        <w:pStyle w:val="1263"/>
        <w:ind w:firstLine="420"/>
        <w:jc w:val="left"/>
        <w:spacing w:line="360" w:lineRule="auto"/>
        <w:rPr>
          <w:rFonts w:ascii="宋体" w:hAnsi="宋体" w:eastAsia="宋体" w:cs="Times New Roman"/>
          <w:bCs/>
          <w:color w:val="0000ff"/>
          <w:szCs w:val="21"/>
          <w:lang w:val="en-US" w:eastAsia="zh-CN"/>
        </w:rPr>
      </w:pPr>
      <w:r>
        <w:rPr>
          <w:rFonts w:ascii="宋体" w:hAnsi="宋体" w:eastAsia="宋体" w:cs="Times New Roman"/>
          <w:bCs/>
          <w:color w:val="0000ff"/>
          <w:szCs w:val="21"/>
          <w:lang w:val="en-US" w:eastAsia="zh-CN"/>
        </w:rPr>
        <w:t xml:space="preserve">2</w:t>
      </w:r>
      <w:r>
        <w:rPr>
          <w:rFonts w:hint="eastAsia" w:ascii="宋体" w:hAnsi="宋体" w:eastAsia="宋体" w:cs="Times New Roman"/>
          <w:bCs/>
          <w:color w:val="0000ff"/>
          <w:szCs w:val="21"/>
          <w:lang w:val="en-US" w:eastAsia="zh-CN"/>
        </w:rPr>
        <w:t xml:space="preserve">0</w:t>
      </w:r>
      <w:r>
        <w:rPr>
          <w:rFonts w:ascii="宋体" w:hAnsi="宋体" w:eastAsia="宋体" w:cs="Times New Roman"/>
          <w:bCs/>
          <w:color w:val="0000ff"/>
          <w:szCs w:val="21"/>
          <w:lang w:val="en-US" w:eastAsia="zh-CN"/>
        </w:rPr>
        <w:t xml:space="preserve">）承包人须在合同签订后 3 天内向发包人提供从电子化招投标系统打印出的与投标所报电子文件一致的纸质投标文件 3 份，并按要求签字盖章；提供与投标所报电子文件一致的造价软件版投标文件 1 份。</w:t>
      </w:r>
      <w:r>
        <w:rPr>
          <w:rFonts w:ascii="宋体" w:hAnsi="宋体" w:eastAsia="宋体" w:cs="Times New Roman"/>
          <w:bCs/>
          <w:color w:val="0000ff"/>
          <w:szCs w:val="21"/>
          <w:lang w:val="en-US" w:eastAsia="zh-CN"/>
        </w:rPr>
      </w:r>
      <w:r/>
    </w:p>
    <w:p>
      <w:pPr>
        <w:pStyle w:val="1263"/>
        <w:ind w:firstLine="420"/>
        <w:jc w:val="left"/>
        <w:spacing w:line="360" w:lineRule="auto"/>
        <w:rPr>
          <w:rFonts w:hint="eastAsia" w:ascii="宋体" w:hAnsi="宋体" w:eastAsia="宋体" w:cs="Times New Roman"/>
          <w:bCs/>
          <w:color w:val="0000ff"/>
          <w:szCs w:val="21"/>
          <w:lang w:val="en-US" w:eastAsia="zh-CN"/>
        </w:rPr>
      </w:pPr>
      <w:r>
        <w:rPr>
          <w:rFonts w:hint="eastAsia" w:ascii="宋体" w:hAnsi="宋体" w:eastAsia="宋体" w:cs="Times New Roman"/>
          <w:bCs/>
          <w:color w:val="0000ff"/>
          <w:szCs w:val="21"/>
          <w:highlight w:val="none"/>
        </w:rPr>
        <w:t xml:space="preserve">未尽事宜，双方另行约定</w:t>
      </w:r>
      <w:r>
        <w:rPr>
          <w:rFonts w:hint="eastAsia" w:ascii="宋体" w:hAnsi="宋体" w:eastAsia="宋体" w:cs="Times New Roman"/>
          <w:bCs/>
          <w:color w:val="0000ff"/>
          <w:szCs w:val="21"/>
          <w:lang w:val="en-US" w:eastAsia="zh-CN"/>
        </w:rPr>
      </w:r>
      <w:r/>
    </w:p>
    <w:p>
      <w:pPr>
        <w:pStyle w:val="1263"/>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outlineLvl w:val="9"/>
      </w:pPr>
      <w:r>
        <w:rPr>
          <w:rFonts w:ascii="宋体" w:hAnsi="宋体" w:eastAsia="宋体" w:cs="宋体"/>
          <w:color w:val="000000"/>
          <w:sz w:val="21"/>
          <w:szCs w:val="21"/>
          <w:highlight w:val="none"/>
          <w:lang w:val="en-US" w:eastAsia="zh-CN"/>
        </w:rPr>
      </w:r>
      <w:r/>
    </w:p>
    <w:p>
      <w:pPr>
        <w:pStyle w:val="1263"/>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outlineLvl w:val="9"/>
      </w:pPr>
      <w:r>
        <w:rPr>
          <w:rFonts w:ascii="宋体" w:hAnsi="宋体" w:eastAsia="宋体" w:cs="宋体"/>
          <w:color w:val="000000"/>
          <w:sz w:val="21"/>
          <w:szCs w:val="21"/>
          <w:highlight w:val="none"/>
          <w:lang w:val="en-US" w:eastAsia="zh-CN"/>
        </w:rPr>
      </w:r>
      <w:r/>
    </w:p>
    <w:p>
      <w:pPr>
        <w:pStyle w:val="1263"/>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outlineLvl w:val="9"/>
      </w:pPr>
      <w:r>
        <w:rPr>
          <w:rFonts w:ascii="宋体" w:hAnsi="宋体" w:eastAsia="宋体" w:cs="宋体"/>
          <w:color w:val="000000"/>
          <w:sz w:val="21"/>
          <w:szCs w:val="21"/>
          <w:highlight w:val="none"/>
          <w:lang w:val="en-US" w:eastAsia="zh-CN"/>
        </w:rPr>
      </w:r>
      <w:r/>
    </w:p>
    <w:p>
      <w:pPr>
        <w:pStyle w:val="1263"/>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outlineLvl w:val="9"/>
      </w:pPr>
      <w:r>
        <w:rPr>
          <w:rFonts w:ascii="宋体" w:hAnsi="宋体" w:eastAsia="宋体" w:cs="宋体"/>
          <w:color w:val="000000"/>
          <w:sz w:val="21"/>
          <w:szCs w:val="21"/>
          <w:highlight w:val="none"/>
          <w:lang w:val="en-US" w:eastAsia="zh-CN"/>
        </w:rPr>
      </w:r>
      <w:r/>
    </w:p>
    <w:p>
      <w:pPr>
        <w:pStyle w:val="1263"/>
        <w:jc w:val="left"/>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rPr>
      </w:r>
      <w:r/>
    </w:p>
    <w:p>
      <w:pPr>
        <w:pStyle w:val="1263"/>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协议书附件：</w:t>
      </w:r>
      <w:r>
        <w:rPr>
          <w:rFonts w:hint="eastAsia" w:ascii="宋体" w:hAnsi="宋体" w:eastAsia="宋体" w:cs="宋体"/>
          <w:color w:val="000000"/>
          <w:sz w:val="21"/>
          <w:szCs w:val="21"/>
          <w:highlight w:val="none"/>
        </w:rPr>
      </w:r>
      <w:r/>
    </w:p>
    <w:p>
      <w:pPr>
        <w:pStyle w:val="1263"/>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附件1：承包人承揽工程项目一览表</w:t>
      </w:r>
      <w:r>
        <w:rPr>
          <w:rFonts w:hint="eastAsia" w:ascii="宋体" w:hAnsi="宋体" w:eastAsia="宋体" w:cs="宋体"/>
          <w:color w:val="000000"/>
          <w:sz w:val="21"/>
          <w:szCs w:val="21"/>
          <w:highlight w:val="none"/>
        </w:rPr>
      </w:r>
      <w:r/>
    </w:p>
    <w:p>
      <w:pPr>
        <w:pStyle w:val="1263"/>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专用合同条款附件：</w:t>
      </w:r>
      <w:r>
        <w:rPr>
          <w:rFonts w:hint="eastAsia" w:ascii="宋体" w:hAnsi="宋体" w:eastAsia="宋体" w:cs="宋体"/>
          <w:color w:val="000000"/>
          <w:sz w:val="21"/>
          <w:szCs w:val="21"/>
          <w:highlight w:val="none"/>
        </w:rPr>
      </w:r>
      <w:r/>
    </w:p>
    <w:p>
      <w:pPr>
        <w:pStyle w:val="1263"/>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附件2：发包人供应材料设备一览表</w:t>
      </w:r>
      <w:r>
        <w:rPr>
          <w:rFonts w:hint="eastAsia" w:ascii="宋体" w:hAnsi="宋体" w:eastAsia="宋体" w:cs="宋体"/>
          <w:color w:val="000000"/>
          <w:sz w:val="21"/>
          <w:szCs w:val="21"/>
          <w:highlight w:val="none"/>
        </w:rPr>
      </w:r>
      <w:r/>
    </w:p>
    <w:p>
      <w:pPr>
        <w:pStyle w:val="1263"/>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附件3：工程质量保修书</w:t>
      </w:r>
      <w:r>
        <w:rPr>
          <w:rFonts w:hint="eastAsia" w:ascii="宋体" w:hAnsi="宋体" w:eastAsia="宋体" w:cs="宋体"/>
          <w:color w:val="000000"/>
          <w:sz w:val="21"/>
          <w:szCs w:val="21"/>
          <w:highlight w:val="none"/>
        </w:rPr>
      </w:r>
      <w:r/>
    </w:p>
    <w:p>
      <w:pPr>
        <w:pStyle w:val="1263"/>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附件4：主要建设工程文件目录</w:t>
      </w:r>
      <w:r>
        <w:rPr>
          <w:rFonts w:hint="eastAsia" w:ascii="宋体" w:hAnsi="宋体" w:eastAsia="宋体" w:cs="宋体"/>
          <w:color w:val="000000"/>
          <w:sz w:val="21"/>
          <w:szCs w:val="21"/>
          <w:highlight w:val="none"/>
        </w:rPr>
      </w:r>
      <w:r/>
    </w:p>
    <w:p>
      <w:pPr>
        <w:pStyle w:val="1263"/>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附件5：承包人用于本工程施工的机械设备表</w:t>
      </w:r>
      <w:r>
        <w:rPr>
          <w:rFonts w:hint="eastAsia" w:ascii="宋体" w:hAnsi="宋体" w:eastAsia="宋体" w:cs="宋体"/>
          <w:color w:val="000000"/>
          <w:sz w:val="21"/>
          <w:szCs w:val="21"/>
          <w:highlight w:val="none"/>
        </w:rPr>
      </w:r>
      <w:r/>
    </w:p>
    <w:p>
      <w:pPr>
        <w:pStyle w:val="1263"/>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附件6：承包人主要施工管理人员表</w:t>
      </w:r>
      <w:r>
        <w:rPr>
          <w:rFonts w:hint="eastAsia" w:ascii="宋体" w:hAnsi="宋体" w:eastAsia="宋体" w:cs="宋体"/>
          <w:color w:val="000000"/>
          <w:sz w:val="21"/>
          <w:szCs w:val="21"/>
          <w:highlight w:val="none"/>
        </w:rPr>
      </w:r>
      <w:r/>
    </w:p>
    <w:p>
      <w:pPr>
        <w:pStyle w:val="1263"/>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附件7：分包人主要施工管理人员表</w:t>
      </w:r>
      <w:r>
        <w:rPr>
          <w:rFonts w:hint="eastAsia" w:ascii="宋体" w:hAnsi="宋体" w:eastAsia="宋体" w:cs="宋体"/>
          <w:color w:val="000000"/>
          <w:sz w:val="21"/>
          <w:szCs w:val="21"/>
          <w:highlight w:val="none"/>
        </w:rPr>
      </w:r>
      <w:r/>
    </w:p>
    <w:p>
      <w:pPr>
        <w:pStyle w:val="1263"/>
        <w:jc w:val="left"/>
        <w:pageBreakBefore w:val="0"/>
        <w:spacing w:line="360" w:lineRule="auto"/>
        <w:widowControl w:val="off"/>
        <w:rPr>
          <w:rFonts w:hint="eastAsia" w:ascii="宋体" w:hAnsi="宋体" w:eastAsia="宋体" w:cs="宋体"/>
          <w:color w:val="000000"/>
          <w:sz w:val="21"/>
          <w:szCs w:val="21"/>
          <w:highlight w:val="none"/>
        </w:rPr>
        <w:sectPr>
          <w:footerReference w:type="first" r:id="rId26"/>
          <w:footnotePr/>
          <w:endnotePr/>
          <w:type w:val="nextPage"/>
          <w:pgSz w:w="11905" w:h="16838" w:orient="portrait"/>
          <w:pgMar w:top="1417" w:right="1531" w:bottom="1417" w:left="1531" w:header="851" w:footer="992" w:gutter="0"/>
          <w:cols w:num="1" w:sep="0" w:space="1701" w:equalWidth="1"/>
          <w:docGrid w:linePitch="360"/>
          <w:titlePg/>
        </w:sectPr>
        <w:outlineLvl w:val="9"/>
      </w:pP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：暂估价一览表</w:t>
      </w:r>
      <w:r>
        <w:rPr>
          <w:rFonts w:hint="eastAsia" w:ascii="宋体" w:hAnsi="宋体" w:eastAsia="宋体" w:cs="宋体"/>
          <w:color w:val="000000"/>
          <w:sz w:val="21"/>
          <w:szCs w:val="21"/>
          <w:highlight w:val="none"/>
        </w:rPr>
      </w:r>
      <w:r/>
    </w:p>
    <w:p>
      <w:pPr>
        <w:pStyle w:val="1263"/>
        <w:jc w:val="left"/>
        <w:pageBreakBefore w:val="0"/>
        <w:spacing w:before="156" w:after="156"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附件1：</w:t>
      </w:r>
      <w:r>
        <w:rPr>
          <w:rFonts w:hint="eastAsia" w:ascii="宋体" w:hAnsi="宋体" w:eastAsia="宋体" w:cs="宋体"/>
          <w:color w:val="000000"/>
          <w:sz w:val="21"/>
          <w:szCs w:val="21"/>
          <w:highlight w:val="none"/>
        </w:rPr>
      </w:r>
      <w:r/>
    </w:p>
    <w:p>
      <w:pPr>
        <w:pStyle w:val="1263"/>
        <w:jc w:val="center"/>
        <w:pageBreakBefore w:val="0"/>
        <w:spacing w:before="156" w:after="156"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承包人承揽工程项目一览表</w:t>
      </w:r>
      <w:r>
        <w:rPr>
          <w:rFonts w:hint="eastAsia" w:ascii="宋体" w:hAnsi="宋体" w:eastAsia="宋体" w:cs="宋体"/>
          <w:color w:val="000000"/>
          <w:sz w:val="21"/>
          <w:szCs w:val="21"/>
          <w:highlight w:val="none"/>
        </w:rPr>
      </w:r>
      <w:r/>
    </w:p>
    <w:tbl>
      <w:tblPr>
        <w:tblW w:w="14774"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450"/>
        <w:gridCol w:w="1843"/>
        <w:gridCol w:w="1417"/>
        <w:gridCol w:w="2410"/>
        <w:gridCol w:w="850"/>
        <w:gridCol w:w="1560"/>
        <w:gridCol w:w="2126"/>
        <w:gridCol w:w="1417"/>
        <w:gridCol w:w="851"/>
        <w:gridCol w:w="850"/>
      </w:tblGrid>
      <w:tr>
        <w:trPr/>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单位工程名称</w:t>
            </w:r>
            <w:r>
              <w:rPr>
                <w:rFonts w:hint="eastAsia" w:ascii="宋体" w:hAnsi="宋体" w:eastAsia="宋体" w:cs="宋体"/>
                <w:color w:val="000000"/>
                <w:sz w:val="21"/>
                <w:szCs w:val="21"/>
                <w:highlight w:val="none"/>
                <w:lang w:val="en-US" w:eastAsia="zh-CN" w:bidi="ar-SA"/>
              </w:rPr>
            </w:r>
            <w:r/>
          </w:p>
        </w:tc>
        <w:tc>
          <w:tcPr>
            <w:tcW w:w="1843" w:type="dxa"/>
            <w:vAlign w:val="center"/>
            <w:textDirection w:val="lrTb"/>
            <w:noWrap w:val="false"/>
          </w:tcPr>
          <w:p>
            <w:pPr>
              <w:pStyle w:val="1263"/>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建设规模</w:t>
            </w: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建筑面积（平方米）</w:t>
            </w:r>
            <w:r>
              <w:rPr>
                <w:rFonts w:hint="eastAsia" w:ascii="宋体" w:hAnsi="宋体" w:eastAsia="宋体" w:cs="宋体"/>
                <w:color w:val="000000"/>
                <w:sz w:val="21"/>
                <w:szCs w:val="21"/>
                <w:highlight w:val="none"/>
                <w:lang w:val="en-US" w:eastAsia="zh-CN" w:bidi="ar-SA"/>
              </w:rPr>
            </w:r>
            <w:r/>
          </w:p>
        </w:tc>
        <w:tc>
          <w:tcPr>
            <w:tcW w:w="2410" w:type="dxa"/>
            <w:vAlign w:val="center"/>
            <w:textDirection w:val="lrTb"/>
            <w:noWrap w:val="false"/>
          </w:tcPr>
          <w:p>
            <w:pPr>
              <w:pStyle w:val="1263"/>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结构形式</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层数</w:t>
            </w:r>
            <w:r>
              <w:rPr>
                <w:rFonts w:hint="eastAsia" w:ascii="宋体" w:hAnsi="宋体" w:eastAsia="宋体" w:cs="宋体"/>
                <w:color w:val="000000"/>
                <w:sz w:val="21"/>
                <w:szCs w:val="21"/>
                <w:highlight w:val="none"/>
                <w:lang w:val="en-US" w:eastAsia="zh-CN" w:bidi="ar-SA"/>
              </w:rPr>
            </w:r>
            <w:r/>
          </w:p>
        </w:tc>
        <w:tc>
          <w:tcPr>
            <w:tcW w:w="156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生产能力</w:t>
            </w:r>
            <w:r>
              <w:rPr>
                <w:rFonts w:hint="eastAsia" w:ascii="宋体" w:hAnsi="宋体" w:eastAsia="宋体" w:cs="宋体"/>
                <w:color w:val="000000"/>
                <w:sz w:val="21"/>
                <w:szCs w:val="21"/>
                <w:highlight w:val="none"/>
                <w:lang w:val="en-US" w:eastAsia="zh-CN" w:bidi="ar-SA"/>
              </w:rPr>
            </w:r>
            <w:r/>
          </w:p>
        </w:tc>
        <w:tc>
          <w:tcPr>
            <w:tcW w:w="212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设备安装内容</w:t>
            </w: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合同价格（元）</w:t>
            </w: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开工日期</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竣工日期</w:t>
            </w:r>
            <w:r>
              <w:rPr>
                <w:rFonts w:hint="eastAsia" w:ascii="宋体" w:hAnsi="宋体" w:eastAsia="宋体" w:cs="宋体"/>
                <w:color w:val="000000"/>
                <w:sz w:val="21"/>
                <w:szCs w:val="21"/>
                <w:highlight w:val="none"/>
                <w:lang w:val="en-US" w:eastAsia="zh-CN" w:bidi="ar-SA"/>
              </w:rPr>
            </w:r>
            <w:r/>
          </w:p>
        </w:tc>
      </w:tr>
      <w:tr>
        <w:trPr>
          <w:trHeight w:val="567"/>
        </w:trPr>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8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41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56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12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8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41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56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12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8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41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56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12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8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41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56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12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8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41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56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12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8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41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56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12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8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41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56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12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8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41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56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12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8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41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56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12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8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41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56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212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bl>
    <w:p>
      <w:pPr>
        <w:pStyle w:val="1263"/>
        <w:pageBreakBefore w:val="0"/>
        <w:spacing w:line="360" w:lineRule="auto"/>
        <w:widowControl w:val="off"/>
        <w:rPr>
          <w:rFonts w:hint="eastAsia" w:ascii="宋体" w:hAnsi="宋体" w:eastAsia="宋体" w:cs="宋体"/>
          <w:b/>
          <w:color w:val="000000"/>
          <w:sz w:val="21"/>
          <w:szCs w:val="21"/>
          <w:highlight w:val="none"/>
        </w:rPr>
        <w:sectPr>
          <w:headerReference w:type="first" r:id="rId13"/>
          <w:footnotePr/>
          <w:endnotePr/>
          <w:type w:val="nextPage"/>
          <w:pgSz w:w="16838" w:h="11905" w:orient="landscape"/>
          <w:pgMar w:top="1531" w:right="1417" w:bottom="1531" w:left="1417" w:header="851" w:footer="992" w:gutter="0"/>
          <w:cols w:num="1" w:sep="0" w:space="1701" w:equalWidth="1"/>
          <w:docGrid w:linePitch="360"/>
          <w:titlePg/>
        </w:sectPr>
        <w:outlineLvl w:val="9"/>
      </w:pPr>
      <w:r>
        <w:rPr>
          <w:rFonts w:hint="eastAsia" w:ascii="宋体" w:hAnsi="宋体" w:eastAsia="宋体" w:cs="宋体"/>
          <w:b/>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附件2：</w:t>
      </w:r>
      <w:r>
        <w:rPr>
          <w:rFonts w:hint="eastAsia" w:ascii="宋体" w:hAnsi="宋体" w:eastAsia="宋体" w:cs="宋体"/>
          <w:color w:val="000000"/>
          <w:sz w:val="21"/>
          <w:szCs w:val="21"/>
          <w:highlight w:val="none"/>
        </w:rPr>
      </w:r>
      <w:r/>
    </w:p>
    <w:p>
      <w:pPr>
        <w:pStyle w:val="1263"/>
        <w:jc w:val="center"/>
        <w:pageBreakBefore w:val="0"/>
        <w:spacing w:before="156" w:after="156"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发包人供应材料设备一览表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  材料、</w:t>
            </w:r>
            <w:r>
              <w:rPr>
                <w:rFonts w:hint="eastAsia" w:ascii="宋体" w:hAnsi="宋体" w:eastAsia="宋体" w:cs="宋体"/>
                <w:color w:val="000000"/>
                <w:sz w:val="21"/>
                <w:szCs w:val="21"/>
                <w:highlight w:val="none"/>
                <w:lang w:val="en-US" w:eastAsia="zh-CN" w:bidi="ar-SA"/>
              </w:rPr>
            </w:r>
            <w:r/>
          </w:p>
          <w:p>
            <w:pPr>
              <w:pStyle w:val="1263"/>
              <w:ind w:left="0"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设备品种</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规格型号</w:t>
            </w:r>
            <w:r>
              <w:rPr>
                <w:rFonts w:hint="eastAsia" w:ascii="宋体" w:hAnsi="宋体" w:eastAsia="宋体" w:cs="宋体"/>
                <w:color w:val="000000"/>
                <w:sz w:val="21"/>
                <w:szCs w:val="21"/>
                <w:highlight w:val="none"/>
                <w:lang w:val="en-US" w:eastAsia="zh-CN" w:bidi="ar-SA"/>
              </w:rPr>
            </w:r>
            <w:r/>
          </w:p>
        </w:tc>
        <w:tc>
          <w:tcPr>
            <w:tcW w:w="94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104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单价（元）</w:t>
            </w: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质量等级</w:t>
            </w: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供应时间</w:t>
            </w:r>
            <w:r>
              <w:rPr>
                <w:rFonts w:hint="eastAsia" w:ascii="宋体" w:hAnsi="宋体" w:eastAsia="宋体" w:cs="宋体"/>
                <w:color w:val="000000"/>
                <w:sz w:val="21"/>
                <w:szCs w:val="21"/>
                <w:highlight w:val="none"/>
                <w:lang w:val="en-US" w:eastAsia="zh-CN" w:bidi="ar-SA"/>
              </w:rPr>
            </w:r>
            <w:r/>
          </w:p>
        </w:tc>
        <w:tc>
          <w:tcPr>
            <w:tcW w:w="148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送达地点</w:t>
            </w: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trHeight w:val="567"/>
        </w:trPr>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4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4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4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4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4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4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4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4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4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4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4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4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4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4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4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4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4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4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9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附件3：    </w:t>
      </w:r>
      <w:r>
        <w:rPr>
          <w:rFonts w:hint="eastAsia" w:ascii="宋体" w:hAnsi="宋体" w:eastAsia="宋体" w:cs="宋体"/>
          <w:color w:val="000000"/>
          <w:sz w:val="21"/>
          <w:szCs w:val="21"/>
          <w:highlight w:val="none"/>
        </w:rPr>
      </w:r>
      <w:r/>
    </w:p>
    <w:p>
      <w:pPr>
        <w:pStyle w:val="1263"/>
        <w:jc w:val="center"/>
        <w:pageBreakBefore w:val="0"/>
        <w:spacing w:before="156" w:after="156"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工程质量保修书</w:t>
      </w:r>
      <w:r>
        <w:rPr>
          <w:rFonts w:hint="eastAsia" w:ascii="宋体" w:hAnsi="宋体" w:eastAsia="宋体" w:cs="宋体"/>
          <w:b/>
          <w:bCs/>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溧阳市上兴镇人民政府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发包人和承包人根据《中华人民共和国建筑法》和《建设工程质量管理条例》，经协商一致就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联强路（永兴大道-通港大道）改造工程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（工程全称）签订工程质量保修书。</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一、工程质量保修范围和内容</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承包人在质量保修期内，按照有关法律规定和合同约定，承担工程质量保修责任。</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u w:val="single"/>
        </w:rPr>
        <w:t xml:space="preserve">按《建设工程质量管理条例》的规定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二、质量保修期</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根据《建设工程质量管理条例》及有关规定，工程的质量保修期如下：</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地基基础工程和主体结构工程为设计文件规定的工程合理使用年限；</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屋面防水工程、有防水要求的卫生间、房间和外墙面的防渗为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263"/>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装修工程为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263"/>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电气管线、给排水管道、设备安装工程为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263"/>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供热与供冷系统为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个采暖期、供冷期；</w:t>
      </w:r>
      <w:r>
        <w:rPr>
          <w:rFonts w:hint="eastAsia" w:ascii="宋体" w:hAnsi="宋体" w:eastAsia="宋体" w:cs="宋体"/>
          <w:color w:val="000000"/>
          <w:sz w:val="21"/>
          <w:szCs w:val="21"/>
          <w:highlight w:val="none"/>
        </w:rPr>
      </w:r>
      <w:r/>
    </w:p>
    <w:p>
      <w:pPr>
        <w:pStyle w:val="1263"/>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住宅小区内的给排水设施、道路等配套工程为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263"/>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其他项目保修期限约定如下：</w:t>
      </w:r>
      <w:r>
        <w:rPr>
          <w:rFonts w:hint="eastAsia" w:ascii="宋体" w:hAnsi="宋体" w:eastAsia="宋体" w:cs="宋体"/>
          <w:color w:val="000000"/>
          <w:sz w:val="21"/>
          <w:szCs w:val="21"/>
          <w:highlight w:val="none"/>
        </w:rPr>
      </w:r>
      <w:r/>
    </w:p>
    <w:p>
      <w:pPr>
        <w:pStyle w:val="1263"/>
        <w:ind w:left="420" w:firstLine="525"/>
        <w:pageBreakBefore w:val="0"/>
        <w:spacing w:line="360" w:lineRule="auto"/>
        <w:widowControl w:val="off"/>
        <w:rPr>
          <w:rFonts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本工程</w:t>
      </w:r>
      <w:r>
        <w:rPr>
          <w:rFonts w:hint="eastAsia" w:ascii="宋体" w:hAnsi="宋体" w:eastAsia="宋体" w:cs="宋体"/>
          <w:color w:val="000000"/>
          <w:sz w:val="21"/>
          <w:szCs w:val="21"/>
          <w:highlight w:val="none"/>
          <w:u w:val="single"/>
          <w:lang w:val="en-US" w:eastAsia="zh-CN"/>
        </w:rPr>
        <w:t xml:space="preserve">缺陷责任</w:t>
      </w:r>
      <w:r>
        <w:rPr>
          <w:rFonts w:hint="eastAsia" w:ascii="宋体" w:hAnsi="宋体" w:eastAsia="宋体" w:cs="宋体"/>
          <w:color w:val="000000"/>
          <w:sz w:val="21"/>
          <w:szCs w:val="21"/>
          <w:highlight w:val="none"/>
          <w:u w:val="single"/>
        </w:rPr>
        <w:t xml:space="preserve">期为</w:t>
      </w:r>
      <w:r>
        <w:rPr>
          <w:rFonts w:hint="eastAsia" w:ascii="宋体" w:hAnsi="宋体" w:eastAsia="宋体" w:cs="宋体"/>
          <w:color w:val="000000"/>
          <w:sz w:val="21"/>
          <w:szCs w:val="21"/>
          <w:highlight w:val="none"/>
          <w:u w:val="single"/>
          <w:lang w:val="en-US" w:eastAsia="zh-CN"/>
        </w:rPr>
        <w:t xml:space="preserve">24个月，</w:t>
      </w:r>
      <w:r>
        <w:rPr>
          <w:rFonts w:hint="eastAsia" w:ascii="宋体" w:hAnsi="宋体" w:eastAsia="宋体" w:cs="宋体"/>
          <w:color w:val="000000"/>
          <w:sz w:val="21"/>
          <w:szCs w:val="21"/>
          <w:highlight w:val="none"/>
          <w:u w:val="single"/>
        </w:rPr>
        <w:t xml:space="preserve">审定价的3%为质保金，在</w:t>
      </w:r>
      <w:r>
        <w:rPr>
          <w:rFonts w:hint="eastAsia" w:ascii="宋体" w:hAnsi="宋体" w:eastAsia="宋体" w:cs="宋体"/>
          <w:color w:val="000000"/>
          <w:sz w:val="21"/>
          <w:szCs w:val="21"/>
          <w:highlight w:val="none"/>
          <w:u w:val="single"/>
          <w:lang w:val="en-US" w:eastAsia="zh-CN"/>
        </w:rPr>
        <w:t xml:space="preserve">缺陷责任</w:t>
      </w:r>
      <w:r>
        <w:rPr>
          <w:rFonts w:hint="eastAsia" w:ascii="宋体" w:hAnsi="宋体" w:eastAsia="宋体" w:cs="宋体"/>
          <w:color w:val="000000"/>
          <w:sz w:val="21"/>
          <w:szCs w:val="21"/>
          <w:highlight w:val="none"/>
          <w:u w:val="single"/>
        </w:rPr>
        <w:t xml:space="preserve">期满二周内结清（不计息）。</w:t>
      </w:r>
      <w:r>
        <w:rPr>
          <w:rFonts w:ascii="宋体" w:hAnsi="宋体" w:eastAsia="宋体" w:cs="宋体"/>
          <w:color w:val="000000"/>
          <w:sz w:val="21"/>
          <w:szCs w:val="21"/>
          <w:highlight w:val="none"/>
          <w:u w:val="single"/>
        </w:rPr>
        <w:t xml:space="preserve">质量</w:t>
      </w:r>
      <w:r>
        <w:rPr>
          <w:rFonts w:hint="eastAsia" w:ascii="宋体" w:hAnsi="宋体" w:eastAsia="宋体" w:cs="宋体"/>
          <w:color w:val="000000"/>
          <w:sz w:val="21"/>
          <w:szCs w:val="21"/>
          <w:highlight w:val="none"/>
          <w:u w:val="single"/>
          <w:lang w:val="en-US" w:eastAsia="zh-CN"/>
        </w:rPr>
        <w:t xml:space="preserve">缺陷责任</w:t>
      </w:r>
      <w:r>
        <w:rPr>
          <w:rFonts w:ascii="宋体" w:hAnsi="宋体" w:eastAsia="宋体" w:cs="宋体"/>
          <w:color w:val="000000"/>
          <w:sz w:val="21"/>
          <w:szCs w:val="21"/>
          <w:highlight w:val="none"/>
          <w:u w:val="single"/>
        </w:rPr>
        <w:t xml:space="preserve">期自工程竣工验收合格之日起计算。</w:t>
      </w:r>
      <w:r>
        <w:rPr>
          <w:rFonts w:ascii="宋体" w:hAnsi="宋体" w:eastAsia="宋体" w:cs="宋体"/>
          <w:color w:val="000000"/>
          <w:sz w:val="21"/>
          <w:szCs w:val="21"/>
          <w:highlight w:val="none"/>
          <w:u w:val="singl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三、缺陷责任期</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24</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缺陷责任期终止后，发包人应退还剩余的质量保证金。</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四、质量保修责任</w:t>
      </w:r>
      <w:r>
        <w:rPr>
          <w:rFonts w:hint="eastAsia" w:ascii="宋体" w:hAnsi="宋体" w:eastAsia="宋体" w:cs="宋体"/>
          <w:color w:val="000000"/>
          <w:sz w:val="21"/>
          <w:szCs w:val="21"/>
          <w:highlight w:val="none"/>
        </w:rPr>
      </w:r>
      <w:r/>
    </w:p>
    <w:p>
      <w:pPr>
        <w:pStyle w:val="1263"/>
        <w:ind w:left="105" w:firstLine="43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1"/>
          <w:szCs w:val="21"/>
          <w:highlight w:val="none"/>
        </w:rPr>
      </w:r>
      <w:r/>
    </w:p>
    <w:p>
      <w:pPr>
        <w:pStyle w:val="1263"/>
        <w:ind w:left="105" w:firstLine="43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发生紧急事故需抢修的，承包人在接到事故通知后，应当立即到达事故现场抢修。</w:t>
      </w:r>
      <w:r>
        <w:rPr>
          <w:rFonts w:hint="eastAsia" w:ascii="宋体" w:hAnsi="宋体" w:eastAsia="宋体" w:cs="宋体"/>
          <w:color w:val="000000"/>
          <w:sz w:val="21"/>
          <w:szCs w:val="21"/>
          <w:highlight w:val="none"/>
        </w:rPr>
      </w:r>
      <w:r/>
    </w:p>
    <w:p>
      <w:pPr>
        <w:pStyle w:val="1263"/>
        <w:ind w:left="105" w:firstLine="43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highlight w:val="none"/>
        </w:rPr>
      </w:r>
      <w:r/>
    </w:p>
    <w:p>
      <w:pPr>
        <w:pStyle w:val="1263"/>
        <w:ind w:left="420" w:firstLine="10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质量保修完成后，由发包人组织验收。</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五、保修费用</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保修费用由造成质量缺陷的责任方承担。</w:t>
      </w:r>
      <w:r>
        <w:rPr>
          <w:rFonts w:hint="eastAsia" w:ascii="宋体" w:hAnsi="宋体" w:eastAsia="宋体" w:cs="宋体"/>
          <w:color w:val="000000"/>
          <w:sz w:val="21"/>
          <w:szCs w:val="21"/>
          <w:highlight w:val="none"/>
        </w:rPr>
      </w:r>
      <w:r/>
    </w:p>
    <w:p>
      <w:pPr>
        <w:pStyle w:val="1263"/>
        <w:ind w:firstLine="420"/>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六、</w:t>
      </w:r>
      <w:r>
        <w:rPr>
          <w:rFonts w:hint="eastAsia" w:ascii="宋体" w:hAnsi="宋体" w:eastAsia="宋体" w:cs="宋体"/>
          <w:color w:val="000000"/>
          <w:sz w:val="21"/>
          <w:szCs w:val="21"/>
          <w:highlight w:val="none"/>
        </w:rPr>
        <w:t xml:space="preserve">双方约定的其他工程质量保修事项：</w:t>
      </w:r>
      <w:r>
        <w:rPr>
          <w:rFonts w:hint="eastAsia" w:ascii="宋体" w:hAnsi="宋体" w:eastAsia="宋体" w:cs="宋体"/>
          <w:color w:val="000000"/>
          <w:sz w:val="21"/>
          <w:szCs w:val="21"/>
          <w:highlight w:val="none"/>
        </w:rPr>
      </w:r>
      <w:r/>
    </w:p>
    <w:p>
      <w:pPr>
        <w:pStyle w:val="1263"/>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ind w:firstLine="399"/>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1"/>
          <w:szCs w:val="21"/>
          <w:highlight w:val="none"/>
        </w:rPr>
      </w:r>
      <w:r/>
    </w:p>
    <w:p>
      <w:pPr>
        <w:pStyle w:val="1263"/>
        <w:ind w:firstLine="42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委托代理人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  真：</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附件4：</w:t>
      </w:r>
      <w:r>
        <w:rPr>
          <w:rFonts w:hint="eastAsia" w:ascii="宋体" w:hAnsi="宋体" w:eastAsia="宋体" w:cs="宋体"/>
          <w:color w:val="000000"/>
          <w:sz w:val="21"/>
          <w:szCs w:val="21"/>
          <w:highlight w:val="none"/>
        </w:rPr>
      </w:r>
      <w:r/>
    </w:p>
    <w:p>
      <w:pPr>
        <w:pStyle w:val="1263"/>
        <w:jc w:val="center"/>
        <w:pageBreakBefore w:val="0"/>
        <w:spacing w:before="156" w:after="156"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主要建设工程文件目录</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文件名称</w:t>
            </w: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套数</w:t>
            </w: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费用（元）</w:t>
            </w:r>
            <w:r>
              <w:rPr>
                <w:rFonts w:hint="eastAsia" w:ascii="宋体" w:hAnsi="宋体" w:eastAsia="宋体" w:cs="宋体"/>
                <w:color w:val="000000"/>
                <w:sz w:val="21"/>
                <w:szCs w:val="21"/>
                <w:highlight w:val="none"/>
                <w:lang w:val="en-US" w:eastAsia="zh-CN" w:bidi="ar-SA"/>
              </w:rPr>
            </w:r>
            <w:r/>
          </w:p>
        </w:tc>
        <w:tc>
          <w:tcPr>
            <w:tcW w:w="12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质量</w:t>
            </w:r>
            <w:r>
              <w:rPr>
                <w:rFonts w:hint="eastAsia" w:ascii="宋体" w:hAnsi="宋体" w:eastAsia="宋体" w:cs="宋体"/>
                <w:color w:val="000000"/>
                <w:sz w:val="21"/>
                <w:szCs w:val="21"/>
                <w:highlight w:val="none"/>
                <w:lang w:val="en-US" w:eastAsia="zh-CN" w:bidi="ar-SA"/>
              </w:rPr>
            </w:r>
            <w:r/>
          </w:p>
        </w:tc>
        <w:tc>
          <w:tcPr>
            <w:tcW w:w="1450" w:type="dxa"/>
            <w:vAlign w:val="top"/>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移交时间</w:t>
            </w: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263"/>
              <w:jc w:val="cente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责任人</w:t>
            </w: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66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95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66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95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66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95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66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95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66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95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66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95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66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95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66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95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43"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667"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95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附件5：</w:t>
      </w:r>
      <w:r>
        <w:rPr>
          <w:rFonts w:hint="eastAsia" w:ascii="宋体" w:hAnsi="宋体" w:eastAsia="宋体" w:cs="宋体"/>
          <w:color w:val="000000"/>
          <w:sz w:val="21"/>
          <w:szCs w:val="21"/>
          <w:highlight w:val="none"/>
        </w:rPr>
      </w:r>
      <w:r/>
    </w:p>
    <w:p>
      <w:pPr>
        <w:pStyle w:val="1263"/>
        <w:jc w:val="center"/>
        <w:pageBreakBefore w:val="0"/>
        <w:spacing w:before="156" w:after="156"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承包人用于本工程施工的机械设备表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机械或设备名称</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规格型号</w:t>
            </w: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产地</w:t>
            </w: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制造年份</w:t>
            </w: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额定功率（kW）</w:t>
            </w: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生产能力</w:t>
            </w: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trHeight w:val="567"/>
        </w:trPr>
        <w:tc>
          <w:tcPr>
            <w:tcW w:w="116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16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16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16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16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16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16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16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162"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567"/>
        </w:trPr>
        <w:tc>
          <w:tcPr>
            <w:tcW w:w="1162"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附件6：</w:t>
      </w:r>
      <w:r>
        <w:rPr>
          <w:rFonts w:hint="eastAsia" w:ascii="宋体" w:hAnsi="宋体" w:eastAsia="宋体" w:cs="宋体"/>
          <w:color w:val="000000"/>
          <w:sz w:val="21"/>
          <w:szCs w:val="21"/>
          <w:highlight w:val="none"/>
        </w:rPr>
      </w:r>
      <w:r/>
    </w:p>
    <w:p>
      <w:pPr>
        <w:pStyle w:val="1263"/>
        <w:jc w:val="center"/>
        <w:pageBreakBefore w:val="0"/>
        <w:spacing w:before="156" w:after="156"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承包人主要施工管理人员表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名    称</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姓名</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职务</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职称</w:t>
            </w: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主要资历、经验及承担过的项目</w:t>
            </w:r>
            <w:r>
              <w:rPr>
                <w:rFonts w:hint="eastAsia" w:ascii="宋体" w:hAnsi="宋体" w:eastAsia="宋体" w:cs="宋体"/>
                <w:color w:val="000000"/>
                <w:sz w:val="21"/>
                <w:szCs w:val="21"/>
                <w:highlight w:val="none"/>
                <w:lang w:val="en-US" w:eastAsia="zh-CN" w:bidi="ar-SA"/>
              </w:rPr>
            </w:r>
            <w:r/>
          </w:p>
        </w:tc>
      </w:tr>
      <w:tr>
        <w:trPr/>
        <w:tc>
          <w:tcPr>
            <w:gridSpan w:val="5"/>
            <w:tcW w:w="9809"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一、总部人员</w:t>
            </w: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项目主管</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其他人员</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gridSpan w:val="5"/>
            <w:tcW w:w="9809"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二、现场人员</w:t>
            </w: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项目经理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项目副经理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技术负责人</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造价管理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质量管理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材料管理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计划管理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安全管理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restart"/>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其他人员</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continue"/>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continue"/>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continue"/>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continue"/>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continue"/>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bl>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附件7：</w:t>
      </w:r>
      <w:r>
        <w:rPr>
          <w:rFonts w:hint="eastAsia" w:ascii="宋体" w:hAnsi="宋体" w:eastAsia="宋体" w:cs="宋体"/>
          <w:color w:val="000000"/>
          <w:sz w:val="21"/>
          <w:szCs w:val="21"/>
          <w:highlight w:val="none"/>
        </w:rPr>
      </w:r>
      <w:r/>
    </w:p>
    <w:p>
      <w:pPr>
        <w:pStyle w:val="1263"/>
        <w:jc w:val="center"/>
        <w:pageBreakBefore w:val="0"/>
        <w:spacing w:before="156" w:after="156"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分包人主要施工管理人员表</w:t>
      </w:r>
      <w:r>
        <w:rPr>
          <w:rFonts w:hint="eastAsia" w:ascii="宋体" w:hAnsi="宋体" w:eastAsia="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名    称</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姓名</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职务</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职称</w:t>
            </w: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主要资历、经验及承担过的项目</w:t>
            </w:r>
            <w:r>
              <w:rPr>
                <w:rFonts w:hint="eastAsia" w:ascii="宋体" w:hAnsi="宋体" w:eastAsia="宋体" w:cs="宋体"/>
                <w:color w:val="000000"/>
                <w:sz w:val="21"/>
                <w:szCs w:val="21"/>
                <w:highlight w:val="none"/>
                <w:lang w:val="en-US" w:eastAsia="zh-CN" w:bidi="ar-SA"/>
              </w:rPr>
            </w:r>
            <w:r/>
          </w:p>
        </w:tc>
      </w:tr>
      <w:tr>
        <w:trPr/>
        <w:tc>
          <w:tcPr>
            <w:gridSpan w:val="5"/>
            <w:tcW w:w="9809"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一、总部人员</w:t>
            </w: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项目主管</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其他人员</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gridSpan w:val="5"/>
            <w:tcW w:w="9809"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二、现场人员</w:t>
            </w: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项目经理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项目副经理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技术负责人</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造价管理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质量管理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材料管理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计划管理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安全管理</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restart"/>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其他人员</w:t>
            </w: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continue"/>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continue"/>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continue"/>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continue"/>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1871" w:type="dxa"/>
            <w:vAlign w:val="center"/>
            <w:vMerge w:val="continue"/>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252" w:type="dxa"/>
            <w:vAlign w:val="center"/>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bl>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63"/>
        <w:jc w:val="center"/>
        <w:pageBreakBefore w:val="0"/>
        <w:spacing w:before="156" w:after="156"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-1：材料暂估价表</w:t>
      </w:r>
      <w:r>
        <w:rPr>
          <w:rFonts w:hint="eastAsia" w:ascii="宋体" w:hAnsi="宋体" w:eastAsia="宋体" w:cs="宋体"/>
          <w:color w:val="000000"/>
          <w:sz w:val="21"/>
          <w:szCs w:val="21"/>
          <w:highlight w:val="none"/>
        </w:rPr>
      </w:r>
      <w:r/>
    </w:p>
    <w:tbl>
      <w:tblPr>
        <w:tblW w:w="9073" w:type="dxa"/>
        <w:jc w:val="center"/>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名称</w:t>
            </w: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单价（元）</w:t>
            </w: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合价（元）</w:t>
            </w: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bl>
    <w:p>
      <w:pPr>
        <w:pStyle w:val="1263"/>
        <w:pageBreakBefore w:val="0"/>
        <w:spacing w:before="156" w:after="156"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263"/>
        <w:jc w:val="center"/>
        <w:pageBreakBefore w:val="0"/>
        <w:spacing w:before="156" w:after="156"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-2：工程设备暂估价表</w:t>
      </w:r>
      <w:r>
        <w:rPr>
          <w:rFonts w:hint="eastAsia" w:ascii="宋体" w:hAnsi="宋体" w:eastAsia="宋体" w:cs="宋体"/>
          <w:color w:val="000000"/>
          <w:sz w:val="21"/>
          <w:szCs w:val="21"/>
          <w:highlight w:val="none"/>
        </w:rPr>
      </w:r>
      <w:r/>
    </w:p>
    <w:tbl>
      <w:tblPr>
        <w:tblW w:w="9073" w:type="dxa"/>
        <w:jc w:val="center"/>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名称</w:t>
            </w: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单价（元）</w:t>
            </w: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合价（元）</w:t>
            </w: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993"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7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52"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701"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bl>
    <w:p>
      <w:pPr>
        <w:pStyle w:val="126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1263"/>
        <w:jc w:val="center"/>
        <w:pageBreakBefore w:val="0"/>
        <w:spacing w:before="156" w:after="156"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-3：专业工程暂估价表</w:t>
      </w:r>
      <w:r>
        <w:rPr>
          <w:rFonts w:hint="eastAsia" w:ascii="宋体" w:hAnsi="宋体" w:eastAsia="宋体" w:cs="宋体"/>
          <w:color w:val="000000"/>
          <w:sz w:val="21"/>
          <w:szCs w:val="21"/>
          <w:highlight w:val="none"/>
        </w:rPr>
      </w:r>
      <w:r/>
    </w:p>
    <w:tbl>
      <w:tblPr>
        <w:tblW w:w="8817"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专业工程名称</w:t>
            </w: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工程内容</w:t>
            </w: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金额</w:t>
            </w: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79"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984"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78"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276"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gridSpan w:val="4"/>
            <w:tcW w:w="8817" w:type="dxa"/>
            <w:vAlign w:val="top"/>
            <w:textDirection w:val="lrTb"/>
            <w:noWrap w:val="false"/>
          </w:tcPr>
          <w:p>
            <w:pPr>
              <w:pStyle w:val="1263"/>
              <w:ind w:left="63" w:right="63"/>
              <w:jc w:val="both"/>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小计：</w:t>
            </w:r>
            <w:r>
              <w:rPr>
                <w:rFonts w:hint="eastAsia" w:ascii="宋体" w:hAnsi="宋体" w:eastAsia="宋体" w:cs="宋体"/>
                <w:color w:val="000000"/>
                <w:sz w:val="21"/>
                <w:szCs w:val="21"/>
                <w:highlight w:val="none"/>
                <w:lang w:val="en-US" w:eastAsia="zh-CN" w:bidi="ar-SA"/>
              </w:rPr>
            </w:r>
            <w:r/>
          </w:p>
        </w:tc>
      </w:tr>
    </w:tbl>
    <w:p>
      <w:pPr>
        <w:pStyle w:val="1263"/>
        <w:spacing w:line="400" w:lineRule="exact"/>
        <w:rPr>
          <w:rFonts w:ascii="宋体" w:hAnsi="宋体"/>
          <w:sz w:val="32"/>
          <w:szCs w:val="32"/>
        </w:rPr>
      </w:pPr>
      <w:r>
        <w:rPr>
          <w:rFonts w:ascii="宋体" w:hAnsi="宋体"/>
          <w:sz w:val="32"/>
          <w:szCs w:val="32"/>
        </w:rPr>
      </w:r>
      <w:r/>
    </w:p>
    <w:p>
      <w:pPr>
        <w:pStyle w:val="1263"/>
        <w:spacing w:line="400" w:lineRule="exact"/>
        <w:rPr>
          <w:rFonts w:ascii="宋体" w:hAnsi="宋体"/>
          <w:sz w:val="32"/>
          <w:szCs w:val="32"/>
        </w:rPr>
      </w:pPr>
      <w:r>
        <w:rPr>
          <w:rFonts w:ascii="宋体" w:hAnsi="宋体"/>
          <w:sz w:val="32"/>
          <w:szCs w:val="32"/>
        </w:rPr>
      </w:r>
      <w:r/>
    </w:p>
    <w:p>
      <w:pPr>
        <w:pStyle w:val="1263"/>
        <w:jc w:val="center"/>
        <w:spacing w:line="360" w:lineRule="auto"/>
        <w:rPr>
          <w:b/>
          <w:sz w:val="36"/>
          <w:szCs w:val="36"/>
        </w:rPr>
        <w:outlineLvl w:val="0"/>
      </w:pPr>
      <w:r>
        <w:rPr>
          <w:b/>
          <w:sz w:val="36"/>
          <w:szCs w:val="36"/>
        </w:rPr>
        <w:br w:type="page" w:clear="all"/>
      </w:r>
      <w:bookmarkStart w:id="580" w:name="_Toc104818930"/>
      <w:r>
        <w:rPr>
          <w:b/>
          <w:sz w:val="36"/>
          <w:szCs w:val="36"/>
        </w:rPr>
        <w:t xml:space="preserve">第六章   响应文件格式</w:t>
      </w:r>
      <w:bookmarkEnd w:id="580"/>
      <w:r>
        <w:rPr>
          <w:b/>
          <w:sz w:val="36"/>
          <w:szCs w:val="36"/>
        </w:rPr>
      </w:r>
      <w:r/>
    </w:p>
    <w:p>
      <w:pPr>
        <w:pStyle w:val="1263"/>
        <w:jc w:val="left"/>
        <w:spacing w:line="360" w:lineRule="auto"/>
        <w:widowControl/>
        <w:rPr>
          <w:b/>
          <w:sz w:val="24"/>
        </w:rPr>
      </w:pPr>
      <w:r>
        <w:rPr>
          <w:b/>
          <w:sz w:val="24"/>
        </w:rPr>
      </w:r>
      <w:r/>
    </w:p>
    <w:p>
      <w:pPr>
        <w:pStyle w:val="1263"/>
        <w:jc w:val="left"/>
        <w:spacing w:line="360" w:lineRule="auto"/>
        <w:widowControl/>
        <w:rPr>
          <w:b/>
          <w:sz w:val="24"/>
        </w:rPr>
      </w:pPr>
      <w:r>
        <w:rPr>
          <w:b/>
          <w:sz w:val="24"/>
        </w:rPr>
      </w:r>
      <w:r/>
    </w:p>
    <w:p>
      <w:pPr>
        <w:pStyle w:val="1263"/>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26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、供应商按照本部分的顺序编制响应文件，编制中涉及格式资料的，应按照本部分提供的内容和格式（所有表格的格式可扩展）填写提交。 </w:t>
      </w:r>
      <w:r>
        <w:rPr>
          <w:rFonts w:hint="eastAsia" w:ascii="宋体" w:hAnsi="宋体" w:eastAsia="宋体" w:cs="宋体"/>
          <w:sz w:val="24"/>
          <w:szCs w:val="24"/>
          <w:lang w:val="en-US" w:eastAsia="zh-CN"/>
        </w:rPr>
      </w:r>
      <w:r/>
    </w:p>
    <w:p>
      <w:pPr>
        <w:pStyle w:val="126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、对于竞争性磋商文件中标记了</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实质性格式</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实质性格式</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的文件和竞争性磋商文件未提供格式的内容，可由供应商自行编写。</w:t>
      </w:r>
      <w:r>
        <w:rPr>
          <w:rFonts w:hint="eastAsia" w:ascii="宋体" w:hAnsi="宋体" w:eastAsia="宋体" w:cs="宋体"/>
          <w:sz w:val="24"/>
          <w:szCs w:val="24"/>
          <w:lang w:val="en-US" w:eastAsia="zh-CN"/>
        </w:rPr>
      </w:r>
      <w:r/>
    </w:p>
    <w:p>
      <w:pPr>
        <w:pStyle w:val="126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、全部声明和问题的回答及所附材料必须是真实的、准确的和完整的。 </w:t>
      </w:r>
      <w:r>
        <w:rPr>
          <w:rFonts w:hint="eastAsia" w:ascii="宋体" w:hAnsi="宋体" w:eastAsia="宋体" w:cs="宋体"/>
          <w:sz w:val="24"/>
          <w:szCs w:val="24"/>
          <w:lang w:val="en-US" w:eastAsia="zh-CN"/>
        </w:rPr>
      </w:r>
      <w:r/>
    </w:p>
    <w:p>
      <w:pPr>
        <w:pStyle w:val="126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、本项目实行电子化不见面交易方式，响应文件中加盖公章、签名等均通过响应文件编制工具加盖电子公章、签字或印鉴。本处所指的公章是指法定名称章，不包括合同专用章、业务专用章等印章。 </w:t>
      </w:r>
      <w:r>
        <w:rPr>
          <w:rFonts w:hint="eastAsia" w:ascii="宋体" w:hAnsi="宋体" w:eastAsia="宋体" w:cs="宋体"/>
          <w:sz w:val="24"/>
          <w:szCs w:val="24"/>
          <w:lang w:val="en-US" w:eastAsia="zh-CN"/>
        </w:rPr>
      </w:r>
      <w:r/>
    </w:p>
    <w:p>
      <w:pPr>
        <w:pStyle w:val="126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、提供相关材料复印件的须加盖供应商公章，且复印件内容应清晰可辨，必要时磋商小组有权要求提供原件或公证件进行核对。</w:t>
      </w:r>
      <w:r>
        <w:rPr>
          <w:rFonts w:hint="eastAsia" w:ascii="宋体" w:hAnsi="宋体" w:eastAsia="宋体" w:cs="宋体"/>
          <w:sz w:val="24"/>
          <w:szCs w:val="24"/>
          <w:lang w:val="en-US" w:eastAsia="zh-CN"/>
        </w:rPr>
      </w:r>
      <w:r/>
    </w:p>
    <w:p>
      <w:pPr>
        <w:pStyle w:val="1263"/>
        <w:ind w:left="142"/>
        <w:spacing w:line="360" w:lineRule="auto"/>
        <w:tabs>
          <w:tab w:val="left" w:pos="900" w:leader="none"/>
          <w:tab w:val="left" w:pos="1980" w:leader="none"/>
        </w:tabs>
        <w:rPr>
          <w:sz w:val="24"/>
        </w:rPr>
      </w:pPr>
      <w:r>
        <w:rPr>
          <w:sz w:val="24"/>
        </w:rPr>
      </w:r>
      <w:r/>
    </w:p>
    <w:p>
      <w:pPr>
        <w:pStyle w:val="1263"/>
        <w:ind w:left="142"/>
        <w:spacing w:line="360" w:lineRule="auto"/>
        <w:tabs>
          <w:tab w:val="left" w:pos="900" w:leader="none"/>
          <w:tab w:val="left" w:pos="1980" w:leader="none"/>
        </w:tabs>
        <w:rPr>
          <w:sz w:val="24"/>
        </w:rPr>
      </w:pPr>
      <w:r>
        <w:rPr>
          <w:sz w:val="24"/>
        </w:rPr>
      </w:r>
      <w:r/>
    </w:p>
    <w:p>
      <w:pPr>
        <w:pStyle w:val="1263"/>
        <w:jc w:val="left"/>
        <w:widowControl/>
        <w:rPr>
          <w:b/>
          <w:sz w:val="24"/>
        </w:rPr>
      </w:pPr>
      <w:r>
        <w:rPr>
          <w:sz w:val="24"/>
        </w:rPr>
        <w:br w:type="page" w:clear="all"/>
      </w:r>
      <w:bookmarkEnd w:id="488"/>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b/>
          <w:spacing w:val="20"/>
          <w:sz w:val="24"/>
        </w:rPr>
        <w:t xml:space="preserve">响应文件</w:t>
      </w:r>
      <w:r>
        <w:rPr>
          <w:b/>
          <w:sz w:val="24"/>
        </w:rPr>
        <w:t xml:space="preserve">封面（非实质性格式）</w:t>
      </w:r>
      <w:r>
        <w:rPr>
          <w:b/>
          <w:sz w:val="24"/>
        </w:rPr>
      </w:r>
      <w:r/>
    </w:p>
    <w:p>
      <w:pPr>
        <w:pStyle w:val="1263"/>
        <w:jc w:val="center"/>
        <w:rPr>
          <w:szCs w:val="21"/>
        </w:rPr>
      </w:pPr>
      <w:r>
        <w:rPr>
          <w:szCs w:val="21"/>
        </w:rPr>
      </w:r>
      <w:r/>
    </w:p>
    <w:p>
      <w:pPr>
        <w:pStyle w:val="1263"/>
        <w:jc w:val="center"/>
        <w:rPr>
          <w:b/>
          <w:spacing w:val="60"/>
          <w:sz w:val="84"/>
          <w:szCs w:val="84"/>
        </w:rPr>
      </w:pPr>
      <w:r>
        <w:rPr>
          <w:b/>
          <w:spacing w:val="60"/>
          <w:sz w:val="84"/>
          <w:szCs w:val="84"/>
        </w:rPr>
        <w:t xml:space="preserve">响 应 文 件</w:t>
      </w:r>
      <w:r>
        <w:rPr>
          <w:b/>
          <w:spacing w:val="60"/>
          <w:sz w:val="84"/>
          <w:szCs w:val="84"/>
        </w:rPr>
      </w:r>
      <w:r/>
    </w:p>
    <w:p>
      <w:pPr>
        <w:pStyle w:val="1263"/>
        <w:jc w:val="center"/>
        <w:rPr>
          <w:b/>
          <w:spacing w:val="60"/>
          <w:sz w:val="52"/>
          <w:szCs w:val="52"/>
        </w:rPr>
      </w:pPr>
      <w:r>
        <w:rPr>
          <w:b/>
          <w:spacing w:val="60"/>
          <w:sz w:val="52"/>
          <w:szCs w:val="52"/>
        </w:rPr>
      </w:r>
      <w:r/>
    </w:p>
    <w:p>
      <w:pPr>
        <w:pStyle w:val="1263"/>
        <w:ind w:firstLine="542"/>
        <w:rPr>
          <w:b/>
          <w:spacing w:val="20"/>
          <w:sz w:val="32"/>
          <w:szCs w:val="32"/>
        </w:rPr>
      </w:pPr>
      <w:r>
        <w:rPr>
          <w:b/>
          <w:spacing w:val="20"/>
          <w:sz w:val="32"/>
          <w:szCs w:val="32"/>
        </w:rPr>
      </w:r>
      <w:r/>
    </w:p>
    <w:p>
      <w:pPr>
        <w:pStyle w:val="1263"/>
        <w:ind w:firstLine="542"/>
        <w:rPr>
          <w:b/>
          <w:spacing w:val="20"/>
          <w:sz w:val="32"/>
          <w:szCs w:val="32"/>
        </w:rPr>
      </w:pPr>
      <w:r>
        <w:rPr>
          <w:b/>
          <w:spacing w:val="20"/>
          <w:sz w:val="32"/>
          <w:szCs w:val="32"/>
        </w:rPr>
      </w:r>
      <w:r/>
    </w:p>
    <w:p>
      <w:pPr>
        <w:pStyle w:val="126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26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26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26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263"/>
        <w:jc w:val="center"/>
        <w:rPr>
          <w:b/>
          <w:sz w:val="32"/>
          <w:szCs w:val="32"/>
        </w:rPr>
      </w:pPr>
      <w:r>
        <w:rPr>
          <w:b/>
          <w:sz w:val="32"/>
          <w:szCs w:val="32"/>
        </w:rPr>
      </w:r>
      <w:r/>
    </w:p>
    <w:p>
      <w:pPr>
        <w:pStyle w:val="1263"/>
        <w:rPr>
          <w:rFonts w:hint="eastAsia" w:eastAsia="宋体"/>
          <w:b/>
          <w:lang w:val="en-US" w:eastAsia="zh-CN"/>
        </w:rPr>
      </w:pPr>
      <w:r>
        <w:rPr>
          <w:b/>
          <w:spacing w:val="20"/>
          <w:sz w:val="32"/>
          <w:szCs w:val="32"/>
        </w:rPr>
        <w:br w:type="page" w:clear="all"/>
      </w:r>
      <w:r>
        <w:rPr>
          <w:rFonts w:hint="eastAsia"/>
          <w:b/>
          <w:spacing w:val="20"/>
          <w:sz w:val="32"/>
          <w:szCs w:val="32"/>
          <w:lang w:val="en-US" w:eastAsia="zh-CN"/>
        </w:rPr>
        <w:t xml:space="preserve">目录（格式自拟）</w:t>
      </w:r>
      <w:r>
        <w:rPr>
          <w:rFonts w:hint="eastAsia" w:eastAsia="宋体"/>
          <w:b/>
          <w:lang w:val="en-US" w:eastAsia="zh-CN"/>
        </w:rPr>
      </w:r>
      <w:r/>
    </w:p>
    <w:p>
      <w:pPr>
        <w:pStyle w:val="1263"/>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266"/>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26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263"/>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285"/>
        <w:ind w:firstLine="480"/>
        <w:spacing w:line="460" w:lineRule="exact"/>
      </w:pPr>
      <w:r/>
      <w:r/>
    </w:p>
    <w:p>
      <w:pPr>
        <w:pStyle w:val="1285"/>
        <w:ind w:firstLine="480"/>
        <w:spacing w:line="460" w:lineRule="exact"/>
        <w:rPr>
          <w:rFonts w:eastAsia="宋体"/>
          <w:lang w:val="en-US" w:eastAsia="zh-CN"/>
        </w:rPr>
      </w:pPr>
      <w:r>
        <w:rPr>
          <w:rFonts w:hint="eastAsia"/>
        </w:rPr>
        <w:t xml:space="preserve">致：</w:t>
      </w:r>
      <w:r>
        <w:rPr>
          <w:rFonts w:hint="eastAsia"/>
          <w:lang w:val="en-US" w:eastAsia="zh-CN"/>
        </w:rPr>
        <w:t xml:space="preserve">江苏苏南项目管理有限公司</w:t>
      </w:r>
      <w:r>
        <w:rPr>
          <w:rFonts w:eastAsia="宋体"/>
          <w:lang w:val="en-US" w:eastAsia="zh-CN"/>
        </w:rPr>
      </w:r>
      <w:r/>
    </w:p>
    <w:p>
      <w:pPr>
        <w:pStyle w:val="1285"/>
        <w:ind w:firstLine="960"/>
        <w:spacing w:line="460" w:lineRule="exact"/>
        <w:rPr>
          <w:u w:val="single"/>
        </w:rPr>
      </w:pPr>
      <w:r>
        <w:rPr>
          <w:rFonts w:hint="eastAsia"/>
          <w:u w:val="single"/>
        </w:rPr>
        <w:t xml:space="preserve">（采购人名称）</w:t>
      </w:r>
      <w:r>
        <w:rPr>
          <w:u w:val="single"/>
        </w:rPr>
      </w:r>
      <w:r/>
    </w:p>
    <w:p>
      <w:pPr>
        <w:pStyle w:val="1285"/>
        <w:ind w:firstLine="480"/>
        <w:spacing w:line="460" w:lineRule="exact"/>
      </w:pPr>
      <w:r/>
      <w:r/>
    </w:p>
    <w:p>
      <w:pPr>
        <w:pStyle w:val="1285"/>
        <w:ind w:firstLine="480"/>
        <w:spacing w:line="460" w:lineRule="exact"/>
      </w:pPr>
      <w:r>
        <w:rPr>
          <w:rFonts w:hint="eastAsia"/>
        </w:rPr>
        <w:t xml:space="preserve">按照《中华人民共和国政府采购法》第二十二条和磋商文件的规定，我单位郑重声明如下：</w:t>
      </w:r>
      <w:r/>
    </w:p>
    <w:p>
      <w:pPr>
        <w:pStyle w:val="128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285"/>
        <w:ind w:firstLine="480"/>
        <w:spacing w:line="460" w:lineRule="exact"/>
      </w:pPr>
      <w:r>
        <w:rPr>
          <w:rFonts w:hint="eastAsia"/>
        </w:rPr>
        <w:t xml:space="preserve">二、我单位未被“国家企业信用信息系统”列入经营异常名录或者严重违法企业名单。</w:t>
      </w:r>
      <w:r/>
    </w:p>
    <w:p>
      <w:pPr>
        <w:pStyle w:val="1285"/>
        <w:ind w:firstLine="480"/>
        <w:spacing w:line="460" w:lineRule="exact"/>
      </w:pPr>
      <w:r>
        <w:rPr>
          <w:rFonts w:hint="eastAsia"/>
        </w:rPr>
        <w:t xml:space="preserve">三、我单位具有良好的商业信誉（指供应商经营状况良好，无本资格声明第十条情形）和健全的财务会计制度。</w:t>
      </w:r>
      <w:r/>
    </w:p>
    <w:p>
      <w:pPr>
        <w:pStyle w:val="1285"/>
        <w:ind w:firstLine="480"/>
        <w:spacing w:line="460" w:lineRule="exact"/>
      </w:pPr>
      <w:r>
        <w:rPr>
          <w:rFonts w:hint="eastAsia"/>
        </w:rPr>
        <w:t xml:space="preserve">四、我单位依法进行纳税和社会保险申报并实际履行了义务。</w:t>
      </w:r>
      <w:r/>
    </w:p>
    <w:p>
      <w:pPr>
        <w:pStyle w:val="128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lang w:eastAsia="zh-CN"/>
        </w:rPr>
        <w:t xml:space="preserve">：</w:t>
      </w:r>
      <w:r/>
    </w:p>
    <w:p>
      <w:pPr>
        <w:pStyle w:val="1285"/>
        <w:ind w:firstLine="480"/>
        <w:spacing w:line="460" w:lineRule="exact"/>
      </w:pPr>
      <w:r>
        <w:rPr>
          <w:rFonts w:hint="eastAsia"/>
        </w:rPr>
        <w:t xml:space="preserve">主要设备有：</w:t>
      </w:r>
      <w:r>
        <w:rPr>
          <w:u w:val="single"/>
        </w:rPr>
        <w:t xml:space="preserve">            </w:t>
      </w:r>
      <w:r/>
    </w:p>
    <w:p>
      <w:pPr>
        <w:pStyle w:val="1285"/>
        <w:ind w:firstLine="480"/>
        <w:spacing w:line="460" w:lineRule="exact"/>
      </w:pPr>
      <w:r>
        <w:rPr>
          <w:rFonts w:hint="eastAsia"/>
        </w:rPr>
        <w:t xml:space="preserve">主要专业技术能力有</w:t>
      </w:r>
      <w:r>
        <w:rPr>
          <w:rFonts w:hint="eastAsia"/>
          <w:u w:val="single"/>
        </w:rPr>
        <w:t xml:space="preserve">                 </w:t>
      </w:r>
      <w:r/>
    </w:p>
    <w:p>
      <w:pPr>
        <w:pStyle w:val="128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w:t>
      </w:r>
      <w:r>
        <w:rPr>
          <w:rFonts w:hint="eastAsia"/>
          <w:lang w:eastAsia="zh-CN"/>
        </w:rPr>
        <w:t xml:space="preserve">的</w:t>
      </w:r>
      <w:r>
        <w:rPr>
          <w:rFonts w:hint="eastAsia"/>
        </w:rPr>
        <w:t xml:space="preserve">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85"/>
        <w:ind w:firstLine="480"/>
        <w:spacing w:line="460" w:lineRule="exact"/>
      </w:pPr>
      <w:r>
        <w:rPr>
          <w:rFonts w:hint="eastAsia"/>
        </w:rPr>
        <w:t xml:space="preserve">七、我单位具备法律、行政法规规定的其他条件。</w:t>
      </w:r>
      <w:r/>
    </w:p>
    <w:p>
      <w:pPr>
        <w:pStyle w:val="128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28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28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28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28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285"/>
        <w:ind w:firstLine="480"/>
        <w:spacing w:line="460" w:lineRule="exact"/>
      </w:pPr>
      <w:r>
        <w:rPr>
          <w:rFonts w:hint="eastAsia"/>
        </w:rPr>
        <w:t xml:space="preserve">十、</w:t>
      </w:r>
      <w:r>
        <w:t xml:space="preserve">我单位无以下不良信用记录情形：</w:t>
      </w:r>
      <w:r/>
    </w:p>
    <w:p>
      <w:pPr>
        <w:pStyle w:val="1285"/>
        <w:ind w:firstLine="480"/>
        <w:spacing w:line="460" w:lineRule="exact"/>
      </w:pPr>
      <w:r>
        <w:t xml:space="preserve">1</w:t>
      </w:r>
      <w:r>
        <w:rPr>
          <w:rFonts w:hint="eastAsia"/>
        </w:rPr>
        <w:t xml:space="preserve">、在“信用中国”网站被列入失信被执行人和重大税收违法案件当事人名单；</w:t>
      </w:r>
      <w:r/>
    </w:p>
    <w:p>
      <w:pPr>
        <w:pStyle w:val="1285"/>
        <w:ind w:firstLine="480"/>
        <w:spacing w:line="460" w:lineRule="exact"/>
      </w:pPr>
      <w:r>
        <w:t xml:space="preserve">2</w:t>
      </w:r>
      <w:r>
        <w:rPr>
          <w:rFonts w:hint="eastAsia"/>
        </w:rPr>
        <w:t xml:space="preserve">、在“中国政府采购网”网站被列入政府采购严重违法失信行为记录名单；</w:t>
      </w:r>
      <w:r/>
    </w:p>
    <w:p>
      <w:pPr>
        <w:pStyle w:val="1285"/>
        <w:ind w:firstLine="480"/>
        <w:spacing w:line="460" w:lineRule="exact"/>
      </w:pPr>
      <w:r>
        <w:t xml:space="preserve">3</w:t>
      </w:r>
      <w:r>
        <w:rPr>
          <w:rFonts w:hint="eastAsia"/>
        </w:rPr>
        <w:t xml:space="preserve">、</w:t>
      </w:r>
      <w:r>
        <w:t xml:space="preserve">不符合《政府采购法》第二十二条规定的条件。</w:t>
      </w:r>
      <w:r/>
    </w:p>
    <w:p>
      <w:pPr>
        <w:pStyle w:val="1285"/>
        <w:ind w:firstLine="480"/>
        <w:spacing w:line="460" w:lineRule="exact"/>
      </w:pPr>
      <w:r/>
      <w:r/>
    </w:p>
    <w:p>
      <w:pPr>
        <w:pStyle w:val="128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285"/>
        <w:ind w:firstLine="480"/>
        <w:spacing w:line="460" w:lineRule="exact"/>
      </w:pPr>
      <w:r/>
      <w:r/>
    </w:p>
    <w:p>
      <w:pPr>
        <w:pStyle w:val="1285"/>
        <w:ind w:firstLine="480"/>
        <w:spacing w:line="460" w:lineRule="exact"/>
      </w:pPr>
      <w:r/>
      <w:r/>
    </w:p>
    <w:p>
      <w:pPr>
        <w:pStyle w:val="1285"/>
        <w:ind w:firstLine="480"/>
        <w:spacing w:line="460" w:lineRule="exact"/>
      </w:pPr>
      <w:r>
        <w:rPr>
          <w:rFonts w:hint="eastAsia"/>
        </w:rPr>
        <w:t xml:space="preserve">                                            供应商：（加盖公章）</w:t>
      </w:r>
      <w:r/>
    </w:p>
    <w:p>
      <w:pPr>
        <w:pStyle w:val="1285"/>
        <w:ind w:firstLine="480"/>
        <w:spacing w:line="460" w:lineRule="exact"/>
      </w:pPr>
      <w:r>
        <w:rPr>
          <w:rFonts w:hint="eastAsia"/>
        </w:rPr>
        <w:t xml:space="preserve">                                           法定代表人（或单位负责人）签字或盖章：</w:t>
      </w:r>
      <w:r/>
    </w:p>
    <w:p>
      <w:pPr>
        <w:pStyle w:val="1285"/>
        <w:ind w:firstLine="4920"/>
        <w:spacing w:line="460" w:lineRule="exact"/>
        <w:rPr>
          <w:rFonts w:hint="eastAsia"/>
        </w:rPr>
      </w:pPr>
      <w:r>
        <w:rPr>
          <w:rFonts w:hint="eastAsia"/>
        </w:rPr>
        <w:t xml:space="preserve">日期：    年    月    日</w:t>
      </w:r>
      <w:r>
        <w:rPr>
          <w:rFonts w:hint="eastAsia"/>
        </w:rPr>
      </w:r>
      <w:r/>
    </w:p>
    <w:p>
      <w:pPr>
        <w:pStyle w:val="1263"/>
        <w:spacing w:line="360" w:lineRule="auto"/>
        <w:rPr>
          <w:rFonts w:hint="eastAsia"/>
          <w:sz w:val="24"/>
        </w:rPr>
      </w:pPr>
      <w:r>
        <w:rPr>
          <w:rFonts w:hint="eastAsia"/>
          <w:sz w:val="24"/>
        </w:rPr>
      </w:r>
      <w:r/>
    </w:p>
    <w:p>
      <w:pPr>
        <w:pStyle w:val="1263"/>
        <w:spacing w:line="360" w:lineRule="auto"/>
        <w:rPr>
          <w:rFonts w:hint="eastAsia"/>
          <w:sz w:val="24"/>
        </w:rPr>
      </w:pPr>
      <w:r>
        <w:rPr>
          <w:rFonts w:hint="eastAsia"/>
          <w:sz w:val="24"/>
        </w:rPr>
      </w:r>
      <w:r/>
    </w:p>
    <w:p>
      <w:pPr>
        <w:pStyle w:val="1263"/>
        <w:spacing w:line="360" w:lineRule="auto"/>
        <w:rPr>
          <w:rFonts w:hint="eastAsia"/>
          <w:sz w:val="24"/>
        </w:rPr>
      </w:pPr>
      <w:r>
        <w:rPr>
          <w:rFonts w:hint="eastAsia"/>
          <w:sz w:val="24"/>
        </w:rPr>
      </w:r>
      <w:r/>
    </w:p>
    <w:p>
      <w:pPr>
        <w:pStyle w:val="126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263"/>
        <w:spacing w:line="360" w:lineRule="auto"/>
        <w:tabs>
          <w:tab w:val="left" w:pos="5580" w:leader="none"/>
        </w:tabs>
        <w:rPr>
          <w:sz w:val="24"/>
        </w:rPr>
        <w:sectPr>
          <w:headerReference w:type="default" r:id="rId14"/>
          <w:headerReference w:type="first" r:id="rId15"/>
          <w:footerReference w:type="default" r:id="rId27"/>
          <w:footerReference w:type="first" r:id="rId28"/>
          <w:footnotePr/>
          <w:endnotePr/>
          <w:type w:val="nextPage"/>
          <w:pgSz w:w="11905" w:h="16838" w:orient="portrait"/>
          <w:pgMar w:top="1417" w:right="1531" w:bottom="1417" w:left="1531" w:header="851" w:footer="992" w:gutter="0"/>
          <w:pgNumType w:start="1"/>
          <w:cols w:num="1" w:sep="0" w:space="1701" w:equalWidth="1"/>
          <w:docGrid w:linePitch="360"/>
          <w:titlePg/>
        </w:sectPr>
      </w:pPr>
      <w:r>
        <w:rPr>
          <w:sz w:val="24"/>
        </w:rPr>
      </w:r>
      <w:r/>
    </w:p>
    <w:p>
      <w:pPr>
        <w:pStyle w:val="1263"/>
        <w:spacing w:line="360" w:lineRule="auto"/>
        <w:rPr>
          <w:rFonts w:hint="eastAsia"/>
          <w:color w:val="000000"/>
          <w:sz w:val="24"/>
          <w:szCs w:val="20"/>
          <w:lang w:eastAsia="zh-CN"/>
        </w:rPr>
        <w:outlineLvl w:val="2"/>
      </w:pPr>
      <w:r>
        <w:rPr>
          <w:color w:val="000000"/>
          <w:sz w:val="24"/>
          <w:szCs w:val="20"/>
        </w:rPr>
        <w:t xml:space="preserve">2 落实政府采购政策需满足的资格要求</w:t>
      </w:r>
      <w:r>
        <w:rPr>
          <w:rFonts w:hint="eastAsia"/>
          <w:color w:val="000000"/>
          <w:sz w:val="24"/>
          <w:szCs w:val="20"/>
          <w:lang w:val="en-US" w:eastAsia="zh-CN"/>
        </w:rPr>
        <w:t xml:space="preserve"> </w:t>
      </w:r>
      <w:r>
        <w:rPr>
          <w:rFonts w:hint="eastAsia"/>
          <w:color w:val="000000"/>
          <w:sz w:val="24"/>
          <w:szCs w:val="20"/>
          <w:lang w:eastAsia="zh-CN"/>
        </w:rPr>
      </w:r>
      <w:r/>
    </w:p>
    <w:p>
      <w:pPr>
        <w:pStyle w:val="1263"/>
        <w:spacing w:line="360" w:lineRule="auto"/>
        <w:rPr>
          <w:rFonts w:hint="eastAsia"/>
          <w:sz w:val="24"/>
          <w:szCs w:val="20"/>
          <w:lang w:eastAsia="zh-CN"/>
        </w:rPr>
        <w:outlineLvl w:val="2"/>
      </w:pPr>
      <w:r>
        <w:rPr>
          <w:color w:val="000000"/>
          <w:sz w:val="24"/>
          <w:szCs w:val="20"/>
        </w:rPr>
        <w:t xml:space="preserve">其他</w:t>
      </w:r>
      <w:r>
        <w:rPr>
          <w:sz w:val="24"/>
          <w:szCs w:val="20"/>
        </w:rPr>
        <w:t xml:space="preserve">特定资格要求</w:t>
      </w:r>
      <w:r>
        <w:rPr>
          <w:rFonts w:hint="eastAsia"/>
          <w:sz w:val="24"/>
          <w:szCs w:val="20"/>
          <w:lang w:eastAsia="zh-CN"/>
        </w:rPr>
        <w:t xml:space="preserve">：</w:t>
      </w:r>
      <w:r>
        <w:rPr>
          <w:rFonts w:hint="eastAsia"/>
          <w:sz w:val="24"/>
          <w:szCs w:val="20"/>
          <w:lang w:eastAsia="zh-CN"/>
        </w:rPr>
      </w:r>
      <w:r/>
    </w:p>
    <w:p>
      <w:pPr>
        <w:pStyle w:val="1263"/>
        <w:ind w:firstLine="480"/>
        <w:spacing w:line="360" w:lineRule="auto"/>
        <w:rPr>
          <w:rFonts w:hint="eastAsia" w:ascii="宋体" w:hAnsi="宋体" w:eastAsia="宋体" w:cs="仿宋"/>
          <w:sz w:val="24"/>
          <w:lang w:bidi="ar"/>
        </w:rPr>
      </w:pPr>
      <w:r>
        <w:rPr>
          <w:rFonts w:hint="eastAsia" w:ascii="宋体" w:hAnsi="宋体" w:eastAsia="宋体" w:cs="仿宋"/>
          <w:sz w:val="24"/>
          <w:lang w:bidi="ar"/>
        </w:rPr>
        <w:t xml:space="preserve">（1）有效期内营业执照；</w:t>
      </w:r>
      <w:r>
        <w:rPr>
          <w:rFonts w:hint="eastAsia" w:ascii="宋体" w:hAnsi="宋体" w:eastAsia="宋体" w:cs="仿宋"/>
          <w:sz w:val="24"/>
          <w:lang w:bidi="ar"/>
        </w:rPr>
      </w:r>
      <w:r/>
    </w:p>
    <w:p>
      <w:pPr>
        <w:pStyle w:val="1263"/>
        <w:ind w:firstLine="480"/>
        <w:spacing w:line="360" w:lineRule="auto"/>
        <w:rPr>
          <w:rFonts w:hint="eastAsia" w:ascii="宋体" w:hAnsi="宋体" w:eastAsia="宋体" w:cs="仿宋"/>
          <w:sz w:val="24"/>
          <w:lang w:bidi="ar"/>
        </w:rPr>
      </w:pPr>
      <w:r>
        <w:rPr>
          <w:rFonts w:hint="eastAsia" w:ascii="宋体" w:hAnsi="宋体" w:eastAsia="宋体" w:cs="仿宋"/>
          <w:sz w:val="24"/>
          <w:lang w:bidi="ar"/>
        </w:rPr>
        <w:t xml:space="preserve">（2）投标人具有有效期内</w:t>
      </w:r>
      <w:r>
        <w:rPr>
          <w:rFonts w:hint="eastAsia" w:ascii="宋体" w:hAnsi="宋体" w:eastAsia="宋体" w:cs="仿宋"/>
          <w:sz w:val="24"/>
          <w:lang w:eastAsia="zh-CN" w:bidi="ar"/>
        </w:rPr>
        <w:t xml:space="preserve">市政公用工程</w:t>
      </w:r>
      <w:r>
        <w:rPr>
          <w:rFonts w:hint="eastAsia" w:ascii="宋体" w:hAnsi="宋体" w:eastAsia="宋体" w:cs="仿宋"/>
          <w:sz w:val="24"/>
          <w:lang w:bidi="ar"/>
        </w:rPr>
        <w:t xml:space="preserve">施工总承包三级及以上资质证书；</w:t>
      </w:r>
      <w:r>
        <w:rPr>
          <w:rFonts w:hint="eastAsia" w:ascii="宋体" w:hAnsi="宋体" w:eastAsia="宋体" w:cs="仿宋"/>
          <w:sz w:val="24"/>
          <w:lang w:bidi="ar"/>
        </w:rPr>
      </w:r>
      <w:r/>
    </w:p>
    <w:p>
      <w:pPr>
        <w:pStyle w:val="1263"/>
        <w:ind w:firstLine="480"/>
        <w:spacing w:line="360" w:lineRule="auto"/>
        <w:rPr>
          <w:rFonts w:hint="eastAsia" w:ascii="宋体" w:hAnsi="宋体" w:eastAsia="宋体" w:cs="仿宋"/>
          <w:sz w:val="24"/>
          <w:lang w:bidi="ar"/>
        </w:rPr>
      </w:pPr>
      <w:r>
        <w:rPr>
          <w:rFonts w:hint="eastAsia" w:ascii="宋体" w:hAnsi="宋体" w:eastAsia="宋体" w:cs="仿宋"/>
          <w:sz w:val="24"/>
          <w:lang w:bidi="ar"/>
        </w:rPr>
        <w:t xml:space="preserve">（3）投标人具有有效期内企业安全生产许可证证书；</w:t>
      </w:r>
      <w:r>
        <w:rPr>
          <w:rFonts w:hint="eastAsia" w:ascii="宋体" w:hAnsi="宋体" w:eastAsia="宋体" w:cs="仿宋"/>
          <w:sz w:val="24"/>
          <w:lang w:bidi="ar"/>
        </w:rPr>
      </w:r>
      <w:r/>
    </w:p>
    <w:p>
      <w:pPr>
        <w:pStyle w:val="1263"/>
        <w:ind w:firstLine="480"/>
        <w:spacing w:line="360" w:lineRule="auto"/>
        <w:rPr>
          <w:rFonts w:hint="eastAsia" w:ascii="宋体" w:hAnsi="宋体" w:eastAsia="宋体" w:cs="仿宋"/>
          <w:sz w:val="24"/>
          <w:lang w:eastAsia="zh-CN" w:bidi="ar"/>
        </w:rPr>
      </w:pPr>
      <w:r>
        <w:rPr>
          <w:rFonts w:hint="eastAsia" w:ascii="宋体" w:hAnsi="宋体" w:eastAsia="宋体" w:cs="仿宋"/>
          <w:sz w:val="24"/>
          <w:lang w:bidi="ar"/>
        </w:rPr>
        <w:t xml:space="preserve">（4）项目负责人具有</w:t>
      </w:r>
      <w:r>
        <w:rPr>
          <w:rFonts w:hint="eastAsia" w:ascii="宋体" w:hAnsi="宋体" w:eastAsia="宋体" w:cs="仿宋"/>
          <w:sz w:val="24"/>
          <w:lang w:eastAsia="zh-CN" w:bidi="ar"/>
        </w:rPr>
        <w:t xml:space="preserve">市政公用工程</w:t>
      </w:r>
      <w:r>
        <w:rPr>
          <w:rFonts w:hint="eastAsia" w:ascii="宋体" w:hAnsi="宋体" w:eastAsia="宋体" w:cs="仿宋"/>
          <w:sz w:val="24"/>
          <w:lang w:bidi="ar"/>
        </w:rPr>
        <w:t xml:space="preserve">二级及以上注册建造师证书、安全生产考核合格证（B 证）及为其缴纳的</w:t>
      </w:r>
      <w:r>
        <w:rPr>
          <w:rFonts w:hint="eastAsia" w:ascii="宋体" w:hAnsi="宋体" w:eastAsia="宋体" w:cs="仿宋"/>
          <w:sz w:val="24"/>
          <w:lang w:eastAsia="zh-CN" w:bidi="ar"/>
        </w:rPr>
        <w:t xml:space="preserve">2026年8月至2026年10月</w:t>
      </w:r>
      <w:r>
        <w:rPr>
          <w:rFonts w:hint="eastAsia" w:ascii="宋体" w:hAnsi="宋体" w:eastAsia="宋体" w:cs="仿宋"/>
          <w:sz w:val="24"/>
          <w:lang w:bidi="ar"/>
        </w:rPr>
        <w:t xml:space="preserve">任意1个月的社保证明</w:t>
      </w:r>
      <w:r>
        <w:rPr>
          <w:rFonts w:hint="eastAsia" w:ascii="宋体" w:hAnsi="宋体" w:eastAsia="宋体" w:cs="仿宋"/>
          <w:b/>
          <w:bCs/>
          <w:sz w:val="24"/>
          <w:lang w:val="en-US" w:eastAsia="zh-CN" w:bidi="ar"/>
        </w:rPr>
        <w:t xml:space="preserve">（暂未缴纳社保的新成立的公司，则需提供人员社保缴纳承诺书，格式自拟）</w:t>
      </w:r>
      <w:r>
        <w:rPr>
          <w:rFonts w:hint="eastAsia" w:ascii="宋体" w:hAnsi="宋体" w:eastAsia="宋体" w:cs="仿宋"/>
          <w:sz w:val="24"/>
          <w:lang w:bidi="ar"/>
        </w:rPr>
        <w:t xml:space="preserve">及无在建承诺（承诺书格式自拟）。</w:t>
      </w:r>
      <w:r>
        <w:rPr>
          <w:rFonts w:hint="eastAsia" w:ascii="宋体" w:hAnsi="宋体" w:eastAsia="宋体" w:cs="仿宋"/>
          <w:sz w:val="24"/>
          <w:lang w:eastAsia="zh-CN" w:bidi="ar"/>
        </w:rPr>
      </w:r>
      <w:r/>
    </w:p>
    <w:p>
      <w:pPr>
        <w:pStyle w:val="1265"/>
        <w:jc w:val="both"/>
        <w:rPr>
          <w:rFonts w:hint="eastAsia"/>
          <w:sz w:val="28"/>
          <w:szCs w:val="28"/>
          <w:lang w:val="en-US" w:eastAsia="zh-CN"/>
        </w:rPr>
      </w:pPr>
      <w:r>
        <w:rPr>
          <w:rFonts w:hint="eastAsia"/>
          <w:sz w:val="28"/>
          <w:szCs w:val="28"/>
          <w:lang w:val="en-US" w:eastAsia="zh-CN"/>
        </w:rPr>
        <w:t xml:space="preserve">注：响应文件中提供资料电子扫描件加盖企业公章，使用电子证书的，需按江苏省住房和城乡建设厅〔2023〕第5号公告规定使用新版电子证照。</w:t>
      </w:r>
      <w:r>
        <w:rPr>
          <w:rFonts w:hint="eastAsia"/>
          <w:sz w:val="28"/>
          <w:szCs w:val="28"/>
          <w:lang w:val="en-US" w:eastAsia="zh-CN"/>
        </w:rPr>
      </w:r>
      <w:r/>
    </w:p>
    <w:p>
      <w:pPr>
        <w:pStyle w:val="1263"/>
        <w:rPr>
          <w:rFonts w:ascii="Arial" w:hAnsi="Arial" w:eastAsia="黑体" w:cs="Times New Roman"/>
          <w:b/>
          <w:sz w:val="28"/>
          <w:szCs w:val="28"/>
          <w:lang w:val="en-US" w:eastAsia="zh-CN" w:bidi="ar-SA"/>
        </w:rPr>
      </w:pPr>
      <w:r>
        <w:rPr>
          <w:rFonts w:hint="eastAsia" w:ascii="Arial" w:hAnsi="Arial" w:eastAsia="黑体" w:cs="Times New Roman"/>
          <w:b/>
          <w:sz w:val="28"/>
          <w:szCs w:val="28"/>
          <w:lang w:val="en-US" w:eastAsia="zh-CN" w:bidi="ar-SA"/>
        </w:rPr>
        <w:t xml:space="preserve">（一级建造师电子注册证书，执行《住房和城乡建设部办公厅关于全面实行一级建造师电子注册证书的通知》（建办市 [2021]40号）文件）</w:t>
      </w:r>
      <w:r>
        <w:rPr>
          <w:rFonts w:ascii="Arial" w:hAnsi="Arial" w:eastAsia="黑体" w:cs="Times New Roman"/>
          <w:b/>
          <w:sz w:val="28"/>
          <w:szCs w:val="28"/>
          <w:lang w:val="en-US" w:eastAsia="zh-CN" w:bidi="ar-SA"/>
        </w:rPr>
      </w:r>
      <w:r/>
    </w:p>
    <w:p>
      <w:pPr>
        <w:pStyle w:val="1263"/>
        <w:spacing w:line="360" w:lineRule="auto"/>
        <w:tabs>
          <w:tab w:val="left" w:pos="5580" w:leader="none"/>
        </w:tabs>
        <w:rPr>
          <w:sz w:val="24"/>
          <w:szCs w:val="20"/>
        </w:rPr>
      </w:pPr>
      <w:r>
        <w:rPr>
          <w:sz w:val="24"/>
          <w:szCs w:val="20"/>
        </w:rPr>
      </w:r>
      <w:r/>
    </w:p>
    <w:p>
      <w:pPr>
        <w:pStyle w:val="1263"/>
        <w:spacing w:line="360" w:lineRule="auto"/>
        <w:rPr>
          <w:color w:val="000000"/>
          <w:sz w:val="24"/>
          <w:szCs w:val="20"/>
        </w:rPr>
        <w:outlineLvl w:val="2"/>
      </w:pPr>
      <w:r>
        <w:rPr>
          <w:b/>
          <w:sz w:val="24"/>
        </w:rPr>
        <w:br w:type="page" w:clear="all"/>
      </w:r>
      <w:bookmarkStart w:id="581" w:name="_Toc142311059"/>
      <w:r/>
      <w:bookmarkStart w:id="582" w:name="_Ref467988705"/>
      <w:r/>
      <w:bookmarkStart w:id="583" w:name="_Toc150774762"/>
      <w:r/>
      <w:bookmarkStart w:id="584" w:name="_Toc226965830"/>
      <w:r/>
      <w:bookmarkStart w:id="585" w:name="_Toc520356218"/>
      <w:r/>
      <w:bookmarkStart w:id="586" w:name="_Toc305158899"/>
      <w:r/>
      <w:bookmarkStart w:id="587" w:name="_Toc226309801"/>
      <w:r/>
      <w:bookmarkStart w:id="588" w:name="_Toc305158825"/>
      <w:r/>
      <w:bookmarkStart w:id="589" w:name="_Toc127151557"/>
      <w:r/>
      <w:bookmarkStart w:id="590" w:name="_Toc150480795"/>
      <w:r/>
      <w:bookmarkStart w:id="591" w:name="_Toc226965747"/>
      <w:r/>
      <w:bookmarkStart w:id="592" w:name="_Toc265228395"/>
      <w:r/>
      <w:bookmarkStart w:id="593" w:name="_Toc264969247"/>
      <w:r/>
      <w:bookmarkStart w:id="594" w:name="_Toc226337253"/>
      <w:r/>
      <w:bookmarkStart w:id="595" w:name="_Toc480942350"/>
      <w:r/>
      <w:bookmarkStart w:id="596" w:name="_Toc195842922"/>
      <w:r>
        <w:rPr>
          <w:rFonts w:hint="eastAsia"/>
          <w:color w:val="000000"/>
          <w:sz w:val="24"/>
          <w:lang w:val="en-US" w:eastAsia="zh-CN"/>
        </w:rPr>
        <w:t xml:space="preserve">3</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263"/>
        <w:spacing w:line="360" w:lineRule="auto"/>
        <w:tabs>
          <w:tab w:val="left" w:pos="5580" w:leader="none"/>
        </w:tabs>
        <w:rPr>
          <w:color w:val="000000"/>
          <w:sz w:val="24"/>
        </w:rPr>
      </w:pPr>
      <w:r>
        <w:rPr>
          <w:color w:val="000000"/>
          <w:sz w:val="24"/>
        </w:rPr>
      </w:r>
      <w:r/>
    </w:p>
    <w:p>
      <w:pPr>
        <w:pStyle w:val="1263"/>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263"/>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263"/>
        <w:spacing w:line="360" w:lineRule="auto"/>
        <w:tabs>
          <w:tab w:val="left" w:pos="5580" w:leader="none"/>
        </w:tabs>
        <w:rPr>
          <w:color w:val="000000"/>
          <w:sz w:val="24"/>
          <w:szCs w:val="20"/>
        </w:rPr>
      </w:pPr>
      <w:r>
        <w:rPr>
          <w:color w:val="000000"/>
          <w:sz w:val="24"/>
          <w:szCs w:val="20"/>
        </w:rPr>
      </w:r>
      <w:r/>
    </w:p>
    <w:p>
      <w:pPr>
        <w:pStyle w:val="1263"/>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263"/>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263"/>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263"/>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263"/>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263"/>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263"/>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263"/>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263"/>
        <w:ind w:left="420"/>
        <w:spacing w:line="360" w:lineRule="auto"/>
        <w:tabs>
          <w:tab w:val="left" w:pos="5580" w:leader="none"/>
        </w:tabs>
        <w:rPr>
          <w:color w:val="000000"/>
          <w:sz w:val="24"/>
          <w:szCs w:val="20"/>
        </w:rPr>
      </w:pPr>
      <w:r>
        <w:rPr>
          <w:color w:val="000000"/>
          <w:sz w:val="24"/>
          <w:szCs w:val="20"/>
        </w:rPr>
      </w:r>
      <w:r/>
    </w:p>
    <w:p>
      <w:pPr>
        <w:pStyle w:val="1263"/>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263"/>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263"/>
        <w:ind w:left="420"/>
        <w:spacing w:line="360" w:lineRule="auto"/>
        <w:tabs>
          <w:tab w:val="left" w:pos="5580" w:leader="none"/>
        </w:tabs>
        <w:rPr>
          <w:color w:val="000000"/>
          <w:sz w:val="24"/>
          <w:szCs w:val="20"/>
        </w:rPr>
      </w:pPr>
      <w:r>
        <w:rPr>
          <w:color w:val="000000"/>
          <w:sz w:val="24"/>
          <w:szCs w:val="20"/>
        </w:rPr>
      </w:r>
      <w:r/>
    </w:p>
    <w:p>
      <w:pPr>
        <w:pStyle w:val="1263"/>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263"/>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263"/>
        <w:ind w:left="420"/>
        <w:spacing w:line="360" w:lineRule="auto"/>
        <w:tabs>
          <w:tab w:val="left" w:pos="5580" w:leader="none"/>
        </w:tabs>
        <w:rPr>
          <w:color w:val="000000"/>
          <w:sz w:val="24"/>
          <w:szCs w:val="20"/>
          <w:u w:val="single"/>
        </w:rPr>
      </w:pPr>
      <w:r>
        <w:rPr>
          <w:color w:val="000000"/>
          <w:sz w:val="24"/>
          <w:szCs w:val="20"/>
          <w:u w:val="single"/>
        </w:rPr>
      </w:r>
      <w:r/>
    </w:p>
    <w:p>
      <w:pPr>
        <w:pStyle w:val="1263"/>
        <w:jc w:val="left"/>
        <w:widowControl/>
        <w:rPr>
          <w:rFonts w:hint="eastAsia"/>
          <w:color w:val="000000"/>
          <w:sz w:val="24"/>
        </w:rPr>
      </w:pPr>
      <w:r/>
      <w:bookmarkStart w:id="597" w:name="_Hlt520355938"/>
      <w:r/>
      <w:bookmarkEnd w:id="597"/>
      <w:r/>
      <w:bookmarkStart w:id="598" w:name="_Hlt520356243"/>
      <w:r/>
      <w:bookmarkEnd w:id="598"/>
      <w:r>
        <w:rPr>
          <w:color w:val="000000"/>
          <w:sz w:val="24"/>
        </w:rPr>
        <w:br w:type="page" w:clear="all"/>
      </w:r>
      <w:r>
        <w:rPr>
          <w:rFonts w:hint="eastAsia"/>
          <w:color w:val="000000"/>
          <w:sz w:val="24"/>
          <w:lang w:val="en-US" w:eastAsia="zh-CN"/>
        </w:rPr>
        <w:t xml:space="preserve">4</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263"/>
        <w:jc w:val="left"/>
        <w:widowControl/>
        <w:rPr>
          <w:rFonts w:hint="eastAsia"/>
          <w:color w:val="000000"/>
          <w:sz w:val="24"/>
        </w:rPr>
      </w:pPr>
      <w:r>
        <w:rPr>
          <w:rFonts w:hint="eastAsia"/>
          <w:color w:val="000000"/>
          <w:sz w:val="24"/>
          <w:lang w:val="en-US" w:eastAsia="zh-CN"/>
        </w:rPr>
        <w:t xml:space="preserve">4-1</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263"/>
        <w:jc w:val="center"/>
        <w:spacing w:line="360" w:lineRule="auto"/>
        <w:rPr>
          <w:rFonts w:hint="eastAsia" w:ascii="宋体" w:hAnsi="宋体"/>
          <w:b/>
          <w:sz w:val="32"/>
          <w:szCs w:val="32"/>
        </w:rPr>
      </w:pPr>
      <w:r>
        <w:rPr>
          <w:rFonts w:hint="eastAsia" w:ascii="宋体" w:hAnsi="宋体"/>
          <w:b/>
          <w:sz w:val="32"/>
          <w:szCs w:val="32"/>
        </w:rPr>
      </w:r>
      <w:r/>
    </w:p>
    <w:p>
      <w:pPr>
        <w:pStyle w:val="126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263"/>
        <w:spacing w:line="560" w:lineRule="exact"/>
        <w:rPr>
          <w:rFonts w:ascii="宋体" w:hAnsi="宋体"/>
          <w:sz w:val="24"/>
        </w:rPr>
      </w:pPr>
      <w:r>
        <w:rPr>
          <w:rFonts w:hint="eastAsia" w:ascii="宋体" w:hAnsi="宋体"/>
          <w:sz w:val="24"/>
        </w:rPr>
        <w:t xml:space="preserve">单位名称</w:t>
      </w:r>
      <w:r>
        <w:rPr>
          <w:rFonts w:hint="eastAsia" w:ascii="宋体" w:hAnsi="宋体"/>
          <w:sz w:val="24"/>
          <w:lang w:eastAsia="zh-CN"/>
        </w:rPr>
        <w:t xml:space="preserve">：</w:t>
      </w:r>
      <w:r>
        <w:rPr>
          <w:rFonts w:ascii="宋体" w:hAnsi="宋体"/>
          <w:sz w:val="24"/>
        </w:rPr>
      </w:r>
      <w:r/>
    </w:p>
    <w:p>
      <w:pPr>
        <w:pStyle w:val="1263"/>
        <w:spacing w:line="560" w:lineRule="exact"/>
        <w:rPr>
          <w:rFonts w:ascii="宋体" w:hAnsi="宋体"/>
          <w:sz w:val="24"/>
        </w:rPr>
      </w:pPr>
      <w:r>
        <w:rPr>
          <w:rFonts w:hint="eastAsia" w:ascii="宋体" w:hAnsi="宋体"/>
          <w:sz w:val="24"/>
        </w:rPr>
        <w:t xml:space="preserve">地址</w:t>
      </w:r>
      <w:r>
        <w:rPr>
          <w:rFonts w:hint="eastAsia" w:ascii="宋体" w:hAnsi="宋体"/>
          <w:sz w:val="24"/>
          <w:lang w:eastAsia="zh-CN"/>
        </w:rPr>
        <w:t xml:space="preserve">：</w:t>
      </w:r>
      <w:r>
        <w:rPr>
          <w:rFonts w:ascii="宋体" w:hAnsi="宋体"/>
          <w:sz w:val="24"/>
        </w:rPr>
      </w:r>
      <w:r/>
    </w:p>
    <w:p>
      <w:pPr>
        <w:pStyle w:val="1263"/>
        <w:spacing w:line="560" w:lineRule="exact"/>
        <w:rPr>
          <w:rFonts w:ascii="宋体" w:hAnsi="宋体"/>
          <w:sz w:val="24"/>
        </w:rPr>
      </w:pPr>
      <w:r>
        <w:rPr>
          <w:rFonts w:hint="eastAsia" w:ascii="宋体" w:hAnsi="宋体"/>
          <w:sz w:val="24"/>
        </w:rPr>
        <w:t xml:space="preserve">姓名</w:t>
      </w:r>
      <w:r>
        <w:rPr>
          <w:rFonts w:hint="eastAsia" w:ascii="宋体" w:hAnsi="宋体"/>
          <w:sz w:val="24"/>
          <w:lang w:eastAsia="zh-CN"/>
        </w:rPr>
        <w:t xml:space="preserve">：</w:t>
      </w:r>
      <w:r>
        <w:rPr>
          <w:rFonts w:hint="eastAsia" w:ascii="宋体" w:hAnsi="宋体"/>
          <w:sz w:val="24"/>
        </w:rPr>
        <w:t xml:space="preserve">     性别</w:t>
      </w:r>
      <w:r>
        <w:rPr>
          <w:rFonts w:hint="eastAsia" w:ascii="宋体" w:hAnsi="宋体"/>
          <w:sz w:val="24"/>
          <w:lang w:eastAsia="zh-CN"/>
        </w:rPr>
        <w:t xml:space="preserve">：</w:t>
      </w:r>
      <w:r>
        <w:rPr>
          <w:rFonts w:hint="eastAsia" w:ascii="宋体" w:hAnsi="宋体"/>
          <w:sz w:val="24"/>
        </w:rPr>
        <w:t xml:space="preserve">       年龄</w:t>
      </w:r>
      <w:r>
        <w:rPr>
          <w:rFonts w:hint="eastAsia" w:ascii="宋体" w:hAnsi="宋体"/>
          <w:sz w:val="24"/>
          <w:lang w:eastAsia="zh-CN"/>
        </w:rPr>
        <w:t xml:space="preserve">：</w:t>
      </w:r>
      <w:r>
        <w:rPr>
          <w:rFonts w:hint="eastAsia" w:ascii="宋体" w:hAnsi="宋体"/>
          <w:sz w:val="24"/>
        </w:rPr>
        <w:t xml:space="preserve">      职务</w:t>
      </w:r>
      <w:r>
        <w:rPr>
          <w:rFonts w:hint="eastAsia" w:ascii="宋体" w:hAnsi="宋体"/>
          <w:sz w:val="24"/>
          <w:lang w:eastAsia="zh-CN"/>
        </w:rPr>
        <w:t xml:space="preserve">：</w:t>
      </w:r>
      <w:r>
        <w:rPr>
          <w:rFonts w:ascii="宋体" w:hAnsi="宋体"/>
          <w:sz w:val="24"/>
        </w:rPr>
      </w:r>
      <w:r/>
    </w:p>
    <w:p>
      <w:pPr>
        <w:pStyle w:val="126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26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263"/>
        <w:spacing w:line="560" w:lineRule="exact"/>
        <w:rPr>
          <w:rFonts w:ascii="宋体" w:hAnsi="宋体"/>
          <w:sz w:val="24"/>
        </w:rPr>
      </w:pPr>
      <w:r>
        <w:rPr>
          <w:rFonts w:ascii="宋体" w:hAnsi="宋体"/>
          <w:sz w:val="24"/>
        </w:rPr>
      </w:r>
      <w:r/>
    </w:p>
    <w:p>
      <w:pPr>
        <w:pStyle w:val="129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lang w:val="en-US" w:eastAsia="zh-CN"/>
        </w:rPr>
        <w:t xml:space="preserve">复印</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180"/>
        </w:trPr>
        <w:tc>
          <w:tcPr>
            <w:tcW w:w="4673" w:type="dxa"/>
            <w:vAlign w:val="top"/>
            <w:textDirection w:val="lrTb"/>
            <w:noWrap w:val="false"/>
          </w:tcPr>
          <w:p>
            <w:pPr>
              <w:pStyle w:val="12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2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2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2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2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26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26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263"/>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26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263"/>
        <w:jc w:val="left"/>
        <w:widowControl/>
        <w:rPr>
          <w:rFonts w:hint="eastAsia"/>
          <w:color w:val="000000"/>
          <w:sz w:val="24"/>
        </w:rPr>
      </w:pPr>
      <w:r>
        <w:rPr>
          <w:rFonts w:hint="eastAsia"/>
          <w:color w:val="000000"/>
          <w:sz w:val="24"/>
        </w:rPr>
      </w:r>
      <w:r/>
    </w:p>
    <w:p>
      <w:pPr>
        <w:pStyle w:val="1263"/>
        <w:jc w:val="left"/>
        <w:widowControl/>
        <w:rPr>
          <w:rFonts w:hint="eastAsia"/>
          <w:color w:val="000000"/>
          <w:sz w:val="24"/>
        </w:rPr>
      </w:pPr>
      <w:r>
        <w:rPr>
          <w:rFonts w:hint="eastAsia"/>
          <w:color w:val="000000"/>
          <w:sz w:val="24"/>
        </w:rPr>
      </w:r>
      <w:r/>
    </w:p>
    <w:p>
      <w:pPr>
        <w:pStyle w:val="1263"/>
        <w:jc w:val="left"/>
        <w:widowControl/>
        <w:rPr>
          <w:rFonts w:hint="eastAsia"/>
          <w:color w:val="000000"/>
          <w:sz w:val="24"/>
        </w:rPr>
      </w:pPr>
      <w:r>
        <w:rPr>
          <w:rFonts w:hint="eastAsia"/>
          <w:color w:val="000000"/>
          <w:sz w:val="24"/>
        </w:rPr>
      </w:r>
      <w:r/>
    </w:p>
    <w:p>
      <w:pPr>
        <w:pStyle w:val="12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highlight w:val="none"/>
          <w:lang w:val="en-US" w:eastAsia="zh-CN"/>
        </w:rPr>
      </w:r>
      <w:r>
        <w:rPr>
          <w:rFonts w:hint="eastAsia" w:ascii="Times New Roman" w:hAnsi="Times New Roman" w:eastAsia="宋体" w:cs="Times New Roman"/>
          <w:color w:val="000000"/>
          <w:sz w:val="24"/>
          <w:highlight w:val="none"/>
          <w:lang w:val="en-US" w:eastAsia="zh-CN"/>
        </w:rPr>
      </w:r>
      <w:r/>
    </w:p>
    <w:p>
      <w:pPr>
        <w:jc w:val="left"/>
        <w:widowControl/>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highlight w:val="none"/>
          <w:lang w:val="en-US" w:eastAsia="zh-CN"/>
        </w:rPr>
      </w:r>
      <w:r>
        <w:rPr>
          <w:rFonts w:hint="eastAsia" w:ascii="Times New Roman" w:hAnsi="Times New Roman" w:eastAsia="宋体" w:cs="Times New Roman"/>
          <w:color w:val="000000"/>
          <w:sz w:val="24"/>
          <w:highlight w:val="none"/>
          <w:lang w:val="en-US" w:eastAsia="zh-CN"/>
        </w:rPr>
      </w:r>
      <w:r/>
    </w:p>
    <w:p>
      <w:pPr>
        <w:pStyle w:val="1263"/>
        <w:jc w:val="left"/>
        <w:widowControl/>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lang w:val="en-US" w:eastAsia="zh-CN"/>
        </w:rPr>
        <w:t xml:space="preserve">4-2授权委托书（实质性格式）</w:t>
      </w:r>
      <w:r>
        <w:rPr>
          <w:rFonts w:hint="eastAsia" w:ascii="Times New Roman" w:hAnsi="Times New Roman" w:eastAsia="宋体" w:cs="Times New Roman"/>
          <w:color w:val="000000"/>
          <w:sz w:val="24"/>
          <w:lang w:val="en-US" w:eastAsia="zh-CN"/>
        </w:rPr>
      </w:r>
      <w:r/>
    </w:p>
    <w:p>
      <w:pPr>
        <w:pStyle w:val="1263"/>
        <w:jc w:val="center"/>
        <w:keepLines w:val="0"/>
        <w:keepNext w:val="0"/>
        <w:pageBreakBefore w:val="0"/>
        <w:spacing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授权委托书</w:t>
      </w:r>
      <w:r>
        <w:rPr>
          <w:rFonts w:hint="eastAsia" w:ascii="宋体" w:hAnsi="宋体" w:eastAsia="宋体" w:cs="宋体"/>
          <w:b/>
          <w:bCs/>
          <w:sz w:val="32"/>
          <w:szCs w:val="32"/>
        </w:rPr>
      </w:r>
      <w:r/>
    </w:p>
    <w:p>
      <w:pPr>
        <w:pStyle w:val="12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人_______（姓名）系________________（供应商名称）的法定代表人（单位负责人），现委托_______（姓名）为我方代理人。代理人根据授权，以我方名义签署、澄清确认、递交、撤回、修改________________（项目名称）响应文件和处理有关事宜，其法律后果由我方承担。</w:t>
      </w: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r>
      <w:r/>
    </w:p>
    <w:p>
      <w:pPr>
        <w:pStyle w:val="12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供应商名称（加盖公章）：________________</w:t>
      </w: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法定代表人（单位负责人）（签字、签章或印鉴）：________________</w:t>
      </w: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委托代理人（签字/签章）：________________                          </w:t>
      </w: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日期：_____年______月______日</w:t>
      </w:r>
      <w:r>
        <w:rPr>
          <w:rFonts w:hint="eastAsia" w:ascii="宋体" w:hAnsi="宋体" w:eastAsia="宋体" w:cs="宋体"/>
          <w:sz w:val="24"/>
          <w:szCs w:val="24"/>
        </w:rPr>
      </w:r>
      <w:r/>
    </w:p>
    <w:p>
      <w:pPr>
        <w:pStyle w:val="12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w:t>
      </w:r>
      <w:r>
        <w:rPr>
          <w:rFonts w:hint="eastAsia" w:ascii="宋体" w:hAnsi="宋体" w:eastAsia="宋体" w:cs="宋体"/>
          <w:sz w:val="24"/>
          <w:szCs w:val="24"/>
          <w:lang w:val="en-US" w:eastAsia="zh-CN"/>
        </w:rPr>
        <w:t xml:space="preserve">复印</w:t>
      </w:r>
      <w:r>
        <w:rPr>
          <w:rFonts w:hint="eastAsia" w:ascii="宋体" w:hAnsi="宋体" w:eastAsia="宋体" w:cs="宋体"/>
          <w:sz w:val="24"/>
          <w:szCs w:val="24"/>
        </w:rPr>
        <w:t xml:space="preserve">件：</w:t>
      </w:r>
      <w:r>
        <w:rPr>
          <w:rFonts w:hint="eastAsia" w:ascii="宋体" w:hAnsi="宋体" w:eastAsia="宋体" w:cs="宋体"/>
          <w:sz w:val="24"/>
          <w:szCs w:val="24"/>
        </w:rPr>
      </w:r>
      <w:r/>
    </w:p>
    <w:tbl>
      <w:tblPr>
        <w:tblStyle w:val="1334"/>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1263"/>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261" w:type="dxa"/>
            <w:vAlign w:val="top"/>
            <w:textDirection w:val="lrTb"/>
            <w:noWrap w:val="false"/>
          </w:tcPr>
          <w:p>
            <w:pPr>
              <w:pStyle w:val="1263"/>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w:t>
      </w:r>
      <w:r>
        <w:rPr>
          <w:rFonts w:hint="eastAsia" w:ascii="宋体" w:hAnsi="宋体" w:eastAsia="宋体" w:cs="宋体"/>
          <w:sz w:val="24"/>
          <w:szCs w:val="24"/>
          <w:lang w:val="en-US" w:eastAsia="zh-CN"/>
        </w:rPr>
        <w:t xml:space="preserve">复印</w:t>
      </w:r>
      <w:r>
        <w:rPr>
          <w:rFonts w:hint="eastAsia" w:ascii="宋体" w:hAnsi="宋体" w:eastAsia="宋体" w:cs="宋体"/>
          <w:sz w:val="24"/>
          <w:szCs w:val="24"/>
        </w:rPr>
        <w:t xml:space="preserve">件：</w:t>
      </w:r>
      <w:r>
        <w:rPr>
          <w:rFonts w:hint="eastAsia" w:ascii="宋体" w:hAnsi="宋体" w:eastAsia="宋体" w:cs="宋体"/>
          <w:sz w:val="24"/>
          <w:szCs w:val="24"/>
        </w:rPr>
      </w:r>
      <w:r/>
    </w:p>
    <w:tbl>
      <w:tblPr>
        <w:tblStyle w:val="1334"/>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1263"/>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261" w:type="dxa"/>
            <w:vAlign w:val="top"/>
            <w:textDirection w:val="lrTb"/>
            <w:noWrap w:val="false"/>
          </w:tcPr>
          <w:p>
            <w:pPr>
              <w:pStyle w:val="1263"/>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pStyle w:val="12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1.若供应商为事业单位或其他组织或分支机构（仅当</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文件注明允许分支机构响应的），则法定代表人（单位负责人）处的签署人可为单位负责人。</w:t>
      </w:r>
      <w:r>
        <w:rPr>
          <w:rFonts w:hint="eastAsia" w:ascii="宋体" w:hAnsi="宋体" w:eastAsia="宋体" w:cs="宋体"/>
          <w:sz w:val="24"/>
          <w:szCs w:val="24"/>
        </w:rPr>
      </w:r>
      <w:r/>
    </w:p>
    <w:p>
      <w:pPr>
        <w:pStyle w:val="12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2.若响应文件中签字之处均为法定代表人（单位负责人）本人签署，则可不提供本《授权委托书》，但须提供《法定代表人（单位负责人）身份证明》（实质性格式）。</w:t>
      </w:r>
      <w:r>
        <w:rPr>
          <w:rFonts w:hint="eastAsia" w:ascii="宋体" w:hAnsi="宋体" w:eastAsia="宋体" w:cs="宋体"/>
          <w:sz w:val="24"/>
          <w:szCs w:val="24"/>
        </w:rPr>
      </w:r>
      <w:r/>
    </w:p>
    <w:p>
      <w:pPr>
        <w:pStyle w:val="1263"/>
        <w:ind w:firstLine="480"/>
        <w:jc w:val="left"/>
        <w:spacing w:line="360" w:lineRule="auto"/>
        <w:tabs>
          <w:tab w:val="left" w:pos="5580" w:leader="none"/>
        </w:tabs>
        <w:rPr>
          <w:rFonts w:ascii="宋体" w:hAnsi="宋体"/>
          <w:i/>
          <w:color w:val="000000"/>
          <w:sz w:val="24"/>
          <w:szCs w:val="20"/>
          <w:u w:val="single"/>
        </w:rPr>
      </w:pPr>
      <w:r>
        <w:rPr>
          <w:rFonts w:hint="eastAsia" w:ascii="宋体" w:hAnsi="宋体" w:eastAsia="宋体" w:cs="宋体"/>
          <w:sz w:val="24"/>
          <w:szCs w:val="24"/>
        </w:rPr>
        <w:t xml:space="preserve">3.供应商为自然人的情形，可不提供本《授权委托书》。</w:t>
      </w:r>
      <w:r>
        <w:rPr>
          <w:rFonts w:ascii="宋体" w:hAnsi="宋体"/>
          <w:i/>
          <w:color w:val="000000"/>
          <w:sz w:val="24"/>
          <w:szCs w:val="20"/>
          <w:u w:val="single"/>
        </w:rPr>
      </w:r>
      <w:r/>
    </w:p>
    <w:p>
      <w:pPr>
        <w:pStyle w:val="1263"/>
        <w:jc w:val="left"/>
        <w:widowControl/>
        <w:rPr>
          <w:rFonts w:hint="eastAsia"/>
          <w:color w:val="000000"/>
          <w:sz w:val="24"/>
        </w:rPr>
      </w:pPr>
      <w:r>
        <w:rPr>
          <w:rFonts w:hint="eastAsia"/>
          <w:color w:val="000000"/>
          <w:sz w:val="24"/>
        </w:rPr>
      </w:r>
      <w:r/>
    </w:p>
    <w:p>
      <w:pPr>
        <w:pStyle w:val="1265"/>
        <w:rPr>
          <w:rFonts w:hint="eastAsia"/>
        </w:rPr>
      </w:pPr>
      <w:r>
        <w:rPr>
          <w:rFonts w:hint="eastAsia"/>
        </w:rPr>
      </w:r>
      <w:r/>
    </w:p>
    <w:p>
      <w:pPr>
        <w:pStyle w:val="1263"/>
        <w:rPr>
          <w:rFonts w:hint="eastAsia"/>
        </w:rPr>
      </w:pPr>
      <w:r>
        <w:rPr>
          <w:rFonts w:hint="eastAsia"/>
        </w:rPr>
      </w:r>
      <w:r/>
    </w:p>
    <w:p>
      <w:pPr>
        <w:pStyle w:val="1332"/>
        <w:rPr>
          <w:rFonts w:hint="eastAsia"/>
        </w:rPr>
      </w:pPr>
      <w:r>
        <w:rPr>
          <w:rFonts w:hint="eastAsia"/>
        </w:rPr>
      </w:r>
      <w:r/>
    </w:p>
    <w:p>
      <w:pPr>
        <w:pStyle w:val="1263"/>
        <w:rPr>
          <w:rFonts w:hint="eastAsia"/>
        </w:rPr>
      </w:pPr>
      <w:r>
        <w:rPr>
          <w:rFonts w:hint="eastAsia"/>
        </w:rPr>
      </w:r>
      <w:r/>
    </w:p>
    <w:p>
      <w:pPr>
        <w:pStyle w:val="1332"/>
        <w:rPr>
          <w:rFonts w:hint="eastAsia"/>
        </w:rPr>
      </w:pPr>
      <w:r>
        <w:rPr>
          <w:rFonts w:hint="eastAsia"/>
        </w:rPr>
      </w:r>
      <w:r/>
    </w:p>
    <w:p>
      <w:pPr>
        <w:pStyle w:val="1263"/>
        <w:rPr>
          <w:rFonts w:hint="eastAsia"/>
        </w:rPr>
      </w:pPr>
      <w:r>
        <w:rPr>
          <w:rFonts w:hint="eastAsia"/>
        </w:rPr>
      </w:r>
      <w:r/>
    </w:p>
    <w:p>
      <w:pPr>
        <w:pStyle w:val="1332"/>
        <w:rPr>
          <w:rFonts w:hint="eastAsia"/>
        </w:rPr>
      </w:pPr>
      <w:r>
        <w:rPr>
          <w:rFonts w:hint="eastAsia"/>
        </w:rPr>
      </w:r>
      <w:r/>
    </w:p>
    <w:p>
      <w:pPr>
        <w:pStyle w:val="1263"/>
        <w:rPr>
          <w:rFonts w:hint="eastAsia"/>
        </w:rPr>
      </w:pPr>
      <w:r>
        <w:rPr>
          <w:rFonts w:hint="eastAsia"/>
        </w:rPr>
      </w:r>
      <w:r/>
    </w:p>
    <w:p>
      <w:pPr>
        <w:pStyle w:val="1332"/>
        <w:rPr>
          <w:rFonts w:hint="eastAsia"/>
        </w:rPr>
      </w:pPr>
      <w:r>
        <w:rPr>
          <w:rFonts w:hint="eastAsia"/>
        </w:rPr>
      </w:r>
      <w:r/>
    </w:p>
    <w:p>
      <w:pPr>
        <w:pStyle w:val="1263"/>
        <w:rPr>
          <w:rFonts w:hint="eastAsia"/>
        </w:rPr>
      </w:pPr>
      <w:r>
        <w:rPr>
          <w:rFonts w:hint="eastAsia"/>
        </w:rPr>
      </w:r>
      <w:r/>
    </w:p>
    <w:p>
      <w:pPr>
        <w:pStyle w:val="1332"/>
        <w:rPr>
          <w:rFonts w:hint="eastAsia"/>
        </w:rPr>
      </w:pPr>
      <w:r>
        <w:rPr>
          <w:rFonts w:hint="eastAsia"/>
        </w:rPr>
      </w:r>
      <w:r/>
    </w:p>
    <w:p>
      <w:pPr>
        <w:pStyle w:val="1263"/>
        <w:rPr>
          <w:rFonts w:hint="eastAsia"/>
        </w:rPr>
      </w:pPr>
      <w:r>
        <w:rPr>
          <w:rFonts w:hint="eastAsia"/>
        </w:rPr>
      </w:r>
      <w:r/>
    </w:p>
    <w:p>
      <w:pPr>
        <w:pStyle w:val="1332"/>
        <w:rPr>
          <w:rFonts w:hint="eastAsia"/>
        </w:rPr>
      </w:pPr>
      <w:r>
        <w:rPr>
          <w:rFonts w:hint="eastAsia"/>
        </w:rPr>
      </w:r>
      <w:r/>
    </w:p>
    <w:p>
      <w:pPr>
        <w:pStyle w:val="1263"/>
        <w:rPr>
          <w:rFonts w:hint="eastAsia"/>
        </w:rPr>
      </w:pPr>
      <w:r>
        <w:rPr>
          <w:rFonts w:hint="eastAsia"/>
        </w:rPr>
      </w:r>
      <w:r/>
    </w:p>
    <w:p>
      <w:pPr>
        <w:pStyle w:val="1332"/>
        <w:rPr>
          <w:rFonts w:hint="eastAsia"/>
        </w:rPr>
      </w:pPr>
      <w:r>
        <w:rPr>
          <w:rFonts w:hint="eastAsia"/>
        </w:rPr>
      </w:r>
      <w:r/>
    </w:p>
    <w:p>
      <w:pPr>
        <w:pStyle w:val="1263"/>
        <w:rPr>
          <w:rFonts w:hint="eastAsia"/>
        </w:rPr>
      </w:pPr>
      <w:r>
        <w:rPr>
          <w:rFonts w:hint="eastAsia"/>
        </w:rPr>
      </w:r>
      <w:r/>
    </w:p>
    <w:p>
      <w:pPr>
        <w:pStyle w:val="1332"/>
        <w:rPr>
          <w:rFonts w:hint="eastAsia"/>
        </w:rPr>
      </w:pPr>
      <w:r>
        <w:rPr>
          <w:rFonts w:hint="eastAsia"/>
        </w:rPr>
      </w:r>
      <w:r/>
    </w:p>
    <w:p>
      <w:pPr>
        <w:pStyle w:val="1263"/>
        <w:rPr>
          <w:rFonts w:hint="eastAsia"/>
        </w:rPr>
      </w:pPr>
      <w:r>
        <w:rPr>
          <w:rFonts w:hint="eastAsia"/>
        </w:rPr>
      </w:r>
      <w:r/>
    </w:p>
    <w:p>
      <w:pPr>
        <w:pStyle w:val="1332"/>
        <w:rPr>
          <w:rFonts w:hint="eastAsia"/>
        </w:rPr>
      </w:pPr>
      <w:r>
        <w:rPr>
          <w:rFonts w:hint="eastAsia"/>
        </w:rPr>
      </w:r>
      <w:r/>
    </w:p>
    <w:p>
      <w:pPr>
        <w:pStyle w:val="1263"/>
        <w:rPr>
          <w:rFonts w:hint="eastAsia"/>
        </w:rPr>
      </w:pPr>
      <w:r>
        <w:rPr>
          <w:rFonts w:hint="eastAsia"/>
        </w:rPr>
      </w:r>
      <w:r/>
    </w:p>
    <w:p>
      <w:pPr>
        <w:pStyle w:val="1332"/>
        <w:rPr>
          <w:rFonts w:hint="eastAsia"/>
        </w:rPr>
      </w:pPr>
      <w:r>
        <w:rPr>
          <w:rFonts w:hint="eastAsia"/>
        </w:rPr>
      </w:r>
      <w:r/>
    </w:p>
    <w:p>
      <w:pPr>
        <w:jc w:val="left"/>
        <w:widowControl/>
        <w:rPr>
          <w:rFonts w:hint="eastAsia"/>
          <w:color w:val="000000"/>
          <w:sz w:val="24"/>
          <w:szCs w:val="24"/>
        </w:rPr>
      </w:pPr>
      <w:r>
        <w:rPr>
          <w:color w:val="000000"/>
          <w:sz w:val="24"/>
          <w:szCs w:val="20"/>
          <w:highlight w:val="none"/>
        </w:rPr>
      </w:r>
      <w:r>
        <w:rPr>
          <w:color w:val="000000"/>
          <w:sz w:val="24"/>
          <w:szCs w:val="20"/>
          <w:highlight w:val="none"/>
        </w:rPr>
      </w:r>
      <w:r/>
    </w:p>
    <w:p>
      <w:pPr>
        <w:jc w:val="left"/>
        <w:widowControl/>
        <w:rPr>
          <w:color w:val="000000"/>
          <w:sz w:val="24"/>
          <w:szCs w:val="24"/>
          <w:highlight w:val="none"/>
        </w:rPr>
      </w:pPr>
      <w:r>
        <w:rPr>
          <w:color w:val="000000"/>
          <w:sz w:val="24"/>
          <w:szCs w:val="20"/>
          <w:highlight w:val="none"/>
        </w:rPr>
      </w:r>
      <w:r>
        <w:rPr>
          <w:color w:val="000000"/>
          <w:sz w:val="24"/>
          <w:szCs w:val="20"/>
          <w:highlight w:val="none"/>
        </w:rPr>
      </w:r>
      <w:r/>
    </w:p>
    <w:p>
      <w:pPr>
        <w:jc w:val="left"/>
        <w:widowControl/>
        <w:rPr>
          <w:color w:val="000000"/>
          <w:sz w:val="24"/>
          <w:szCs w:val="24"/>
          <w:highlight w:val="none"/>
        </w:rPr>
      </w:pPr>
      <w:r>
        <w:rPr>
          <w:color w:val="000000"/>
          <w:sz w:val="24"/>
          <w:szCs w:val="20"/>
          <w:highlight w:val="none"/>
        </w:rPr>
      </w:r>
      <w:r>
        <w:rPr>
          <w:color w:val="000000"/>
          <w:sz w:val="24"/>
          <w:szCs w:val="20"/>
          <w:highlight w:val="none"/>
        </w:rPr>
      </w:r>
      <w:r/>
    </w:p>
    <w:p>
      <w:pPr>
        <w:jc w:val="left"/>
        <w:widowControl/>
        <w:rPr>
          <w:color w:val="000000"/>
          <w:sz w:val="24"/>
          <w:szCs w:val="24"/>
          <w:highlight w:val="none"/>
        </w:rPr>
      </w:pPr>
      <w:r>
        <w:rPr>
          <w:color w:val="000000"/>
          <w:sz w:val="24"/>
          <w:szCs w:val="20"/>
          <w:highlight w:val="none"/>
        </w:rPr>
      </w:r>
      <w:r>
        <w:rPr>
          <w:color w:val="000000"/>
          <w:sz w:val="24"/>
          <w:szCs w:val="20"/>
          <w:highlight w:val="none"/>
        </w:rPr>
      </w:r>
      <w:r/>
    </w:p>
    <w:p>
      <w:pPr>
        <w:jc w:val="left"/>
        <w:widowControl/>
        <w:rPr>
          <w:color w:val="000000"/>
          <w:sz w:val="24"/>
          <w:szCs w:val="24"/>
          <w:highlight w:val="none"/>
        </w:rPr>
      </w:pPr>
      <w:r>
        <w:rPr>
          <w:color w:val="000000"/>
          <w:sz w:val="24"/>
          <w:szCs w:val="20"/>
          <w:highlight w:val="none"/>
        </w:rPr>
      </w:r>
      <w:r>
        <w:rPr>
          <w:color w:val="000000"/>
          <w:sz w:val="24"/>
          <w:szCs w:val="20"/>
          <w:highlight w:val="none"/>
        </w:rPr>
      </w:r>
      <w:r/>
    </w:p>
    <w:p>
      <w:pPr>
        <w:pStyle w:val="1263"/>
        <w:jc w:val="left"/>
        <w:widowControl/>
        <w:rPr>
          <w:color w:val="000000"/>
          <w:sz w:val="24"/>
          <w:szCs w:val="24"/>
          <w:highlight w:val="none"/>
        </w:rPr>
      </w:pPr>
      <w:r>
        <w:rPr>
          <w:rFonts w:hint="eastAsia"/>
          <w:color w:val="000000"/>
          <w:sz w:val="24"/>
          <w:lang w:val="en-US" w:eastAsia="zh-CN"/>
        </w:rPr>
        <w:t xml:space="preserve">5</w:t>
      </w:r>
      <w:r>
        <w:rPr>
          <w:rFonts w:hint="eastAsia"/>
          <w:color w:val="000000"/>
          <w:sz w:val="24"/>
        </w:rPr>
        <w:t xml:space="preserve">  政府采购供应商信用承诺书</w:t>
      </w:r>
      <w:r>
        <w:rPr>
          <w:color w:val="000000"/>
          <w:sz w:val="24"/>
          <w:szCs w:val="20"/>
        </w:rPr>
        <w:t xml:space="preserve">（实质性格式）</w:t>
      </w:r>
      <w:r>
        <w:rPr>
          <w:rFonts w:hint="eastAsia"/>
          <w:color w:val="000000"/>
          <w:sz w:val="24"/>
        </w:rPr>
      </w:r>
      <w:r/>
    </w:p>
    <w:p>
      <w:pPr>
        <w:pStyle w:val="126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26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263"/>
        <w:ind w:firstLine="640"/>
      </w:pPr>
      <w:r/>
      <w:r/>
    </w:p>
    <w:p>
      <w:pPr>
        <w:pStyle w:val="126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w:t>
      </w:r>
      <w:r>
        <w:rPr>
          <w:rFonts w:hint="eastAsia" w:ascii="宋体" w:hAnsi="宋体"/>
          <w:sz w:val="24"/>
          <w:lang w:eastAsia="zh-CN"/>
        </w:rPr>
        <w:t xml:space="preserve">，</w:t>
      </w:r>
      <w:r>
        <w:rPr>
          <w:rFonts w:hint="eastAsia" w:ascii="宋体" w:hAnsi="宋体"/>
          <w:sz w:val="24"/>
        </w:rPr>
        <w:t xml:space="preserve">自愿作出以下承诺：</w:t>
      </w:r>
      <w:r>
        <w:rPr>
          <w:rFonts w:ascii="宋体" w:hAnsi="宋体"/>
          <w:sz w:val="24"/>
        </w:rPr>
      </w:r>
      <w:r/>
    </w:p>
    <w:p>
      <w:pPr>
        <w:pStyle w:val="126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26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26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126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26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26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26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26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26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26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26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51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26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26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63"/>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6</w:t>
      </w:r>
      <w:r>
        <w:rPr>
          <w:color w:val="000000"/>
          <w:sz w:val="24"/>
          <w:szCs w:val="20"/>
        </w:rPr>
        <w:t xml:space="preserve">  报价一览表</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color w:val="000000"/>
          <w:sz w:val="24"/>
          <w:szCs w:val="20"/>
        </w:rPr>
      </w:r>
      <w:r/>
    </w:p>
    <w:p>
      <w:pPr>
        <w:pStyle w:val="1263"/>
        <w:jc w:val="center"/>
        <w:rPr>
          <w:b/>
          <w:color w:val="000000"/>
          <w:sz w:val="36"/>
          <w:szCs w:val="36"/>
        </w:rPr>
      </w:pPr>
      <w:r/>
      <w:bookmarkStart w:id="599" w:name="_Toc164608827"/>
      <w:r/>
      <w:bookmarkStart w:id="600" w:name="_Toc305158900"/>
      <w:r/>
      <w:bookmarkStart w:id="601" w:name="_Toc226309802"/>
      <w:r/>
      <w:bookmarkStart w:id="602" w:name="_Toc226337254"/>
      <w:r/>
      <w:bookmarkStart w:id="603" w:name="_Toc264969248"/>
      <w:r/>
      <w:bookmarkStart w:id="604" w:name="_Toc226965831"/>
      <w:r/>
      <w:bookmarkStart w:id="605" w:name="_Toc226965748"/>
      <w:r/>
      <w:bookmarkStart w:id="606" w:name="_Toc265228396"/>
      <w:r/>
      <w:bookmarkStart w:id="607" w:name="_Toc305158826"/>
      <w:r/>
      <w:bookmarkStart w:id="608" w:name="_Toc164608672"/>
      <w:r/>
      <w:bookmarkStart w:id="609" w:name="_Toc195842923"/>
      <w:r>
        <w:rPr>
          <w:rFonts w:hint="eastAsia"/>
          <w:b/>
          <w:color w:val="000000"/>
          <w:sz w:val="36"/>
          <w:szCs w:val="36"/>
        </w:rPr>
        <w:t xml:space="preserve">报价一览表</w:t>
      </w:r>
      <w:bookmarkEnd w:id="599"/>
      <w:r/>
      <w:bookmarkEnd w:id="600"/>
      <w:r/>
      <w:bookmarkEnd w:id="601"/>
      <w:r/>
      <w:bookmarkEnd w:id="602"/>
      <w:r/>
      <w:bookmarkEnd w:id="603"/>
      <w:r/>
      <w:bookmarkEnd w:id="604"/>
      <w:r/>
      <w:bookmarkEnd w:id="605"/>
      <w:r/>
      <w:bookmarkEnd w:id="606"/>
      <w:r/>
      <w:bookmarkEnd w:id="607"/>
      <w:r/>
      <w:bookmarkEnd w:id="608"/>
      <w:r/>
      <w:bookmarkEnd w:id="609"/>
      <w:r>
        <w:rPr>
          <w:b/>
          <w:color w:val="000000"/>
          <w:sz w:val="36"/>
          <w:szCs w:val="36"/>
        </w:rPr>
      </w:r>
      <w:r/>
    </w:p>
    <w:p>
      <w:pPr>
        <w:pStyle w:val="1263"/>
        <w:jc w:val="left"/>
        <w:spacing w:line="360" w:lineRule="auto"/>
        <w:tabs>
          <w:tab w:val="left" w:pos="1800" w:leader="none"/>
          <w:tab w:val="left" w:pos="5580" w:leader="none"/>
        </w:tabs>
        <w:rPr>
          <w:color w:val="000000"/>
          <w:sz w:val="24"/>
        </w:rPr>
      </w:pPr>
      <w:r>
        <w:rPr>
          <w:color w:val="000000"/>
          <w:sz w:val="24"/>
        </w:rPr>
      </w:r>
      <w:r/>
    </w:p>
    <w:p>
      <w:pPr>
        <w:pStyle w:val="1263"/>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pPr w:horzAnchor="page" w:tblpX="1929" w:vertAnchor="text" w:tblpY="269" w:leftFromText="180" w:topFromText="0" w:rightFromText="180" w:bottomFromText="0"/>
        <w:tblW w:w="8385"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38"/>
        <w:gridCol w:w="1471"/>
        <w:gridCol w:w="1462"/>
        <w:gridCol w:w="1456"/>
        <w:gridCol w:w="1458"/>
      </w:tblGrid>
      <w:tr>
        <w:trPr>
          <w:trHeight w:val="755"/>
        </w:trPr>
        <w:tc>
          <w:tcPr>
            <w:tcW w:w="2538" w:type="dxa"/>
            <w:vAlign w:val="center"/>
            <w:textDirection w:val="lrTb"/>
            <w:noWrap w:val="false"/>
          </w:tcPr>
          <w:p>
            <w:pPr>
              <w:pStyle w:val="126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项目名称</w:t>
            </w:r>
            <w:r>
              <w:rPr>
                <w:rFonts w:hint="eastAsia" w:ascii="宋体" w:hAnsi="宋体" w:cs="宋体"/>
                <w:sz w:val="24"/>
                <w:szCs w:val="20"/>
              </w:rPr>
            </w:r>
            <w:r/>
          </w:p>
        </w:tc>
        <w:tc>
          <w:tcPr>
            <w:tcW w:w="1471" w:type="dxa"/>
            <w:vAlign w:val="center"/>
            <w:textDirection w:val="lrTb"/>
            <w:noWrap w:val="false"/>
          </w:tcPr>
          <w:p>
            <w:pPr>
              <w:pStyle w:val="126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投标总价（元）</w:t>
            </w:r>
            <w:r>
              <w:rPr>
                <w:rFonts w:hint="eastAsia" w:ascii="宋体" w:hAnsi="宋体" w:cs="宋体"/>
                <w:sz w:val="24"/>
                <w:szCs w:val="20"/>
              </w:rPr>
            </w:r>
            <w:r/>
          </w:p>
        </w:tc>
        <w:tc>
          <w:tcPr>
            <w:tcW w:w="1462" w:type="dxa"/>
            <w:vAlign w:val="center"/>
            <w:textDirection w:val="lrTb"/>
            <w:noWrap w:val="false"/>
          </w:tcPr>
          <w:p>
            <w:pPr>
              <w:pStyle w:val="126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项目负责人</w:t>
            </w:r>
            <w:r>
              <w:rPr>
                <w:rFonts w:hint="eastAsia" w:ascii="宋体" w:hAnsi="宋体" w:cs="宋体"/>
                <w:sz w:val="24"/>
                <w:szCs w:val="20"/>
              </w:rPr>
            </w:r>
            <w:r/>
          </w:p>
        </w:tc>
        <w:tc>
          <w:tcPr>
            <w:tcW w:w="1456" w:type="dxa"/>
            <w:vAlign w:val="center"/>
            <w:textDirection w:val="lrTb"/>
            <w:noWrap w:val="false"/>
          </w:tcPr>
          <w:p>
            <w:pPr>
              <w:pStyle w:val="126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工期要求</w:t>
            </w:r>
            <w:r>
              <w:rPr>
                <w:rFonts w:hint="eastAsia" w:ascii="宋体" w:hAnsi="宋体" w:cs="宋体"/>
                <w:sz w:val="24"/>
                <w:szCs w:val="20"/>
              </w:rPr>
            </w:r>
            <w:r/>
          </w:p>
        </w:tc>
        <w:tc>
          <w:tcPr>
            <w:tcW w:w="1458" w:type="dxa"/>
            <w:vAlign w:val="center"/>
            <w:textDirection w:val="lrTb"/>
            <w:noWrap w:val="false"/>
          </w:tcPr>
          <w:p>
            <w:pPr>
              <w:pStyle w:val="126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质量要求</w:t>
            </w:r>
            <w:r>
              <w:rPr>
                <w:rFonts w:hint="eastAsia" w:ascii="宋体" w:hAnsi="宋体" w:cs="宋体"/>
                <w:sz w:val="24"/>
                <w:szCs w:val="20"/>
              </w:rPr>
            </w:r>
            <w:r/>
          </w:p>
        </w:tc>
      </w:tr>
      <w:tr>
        <w:trPr>
          <w:trHeight w:val="760"/>
        </w:trPr>
        <w:tc>
          <w:tcPr>
            <w:tcW w:w="2538" w:type="dxa"/>
            <w:vAlign w:val="center"/>
            <w:textDirection w:val="lrTb"/>
            <w:noWrap w:val="false"/>
          </w:tcPr>
          <w:p>
            <w:pPr>
              <w:pStyle w:val="126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c>
          <w:tcPr>
            <w:tcW w:w="1471" w:type="dxa"/>
            <w:vAlign w:val="center"/>
            <w:textDirection w:val="lrTb"/>
            <w:noWrap w:val="false"/>
          </w:tcPr>
          <w:p>
            <w:pPr>
              <w:pStyle w:val="1263"/>
              <w:ind w:left="0" w:right="0"/>
              <w:jc w:val="left"/>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小写：</w:t>
            </w:r>
            <w:r>
              <w:rPr>
                <w:rFonts w:hint="eastAsia" w:ascii="宋体" w:hAnsi="宋体" w:cs="宋体"/>
                <w:sz w:val="24"/>
                <w:szCs w:val="20"/>
              </w:rPr>
            </w:r>
            <w:r/>
          </w:p>
        </w:tc>
        <w:tc>
          <w:tcPr>
            <w:tcW w:w="1462" w:type="dxa"/>
            <w:vAlign w:val="center"/>
            <w:textDirection w:val="lrTb"/>
            <w:noWrap w:val="false"/>
          </w:tcPr>
          <w:p>
            <w:pPr>
              <w:pStyle w:val="126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c>
          <w:tcPr>
            <w:tcW w:w="1456" w:type="dxa"/>
            <w:vAlign w:val="center"/>
            <w:textDirection w:val="lrTb"/>
            <w:noWrap w:val="false"/>
          </w:tcPr>
          <w:p>
            <w:pPr>
              <w:pStyle w:val="126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c>
          <w:tcPr>
            <w:tcW w:w="1458" w:type="dxa"/>
            <w:vAlign w:val="center"/>
            <w:textDirection w:val="lrTb"/>
            <w:noWrap w:val="false"/>
          </w:tcPr>
          <w:p>
            <w:pPr>
              <w:pStyle w:val="126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r>
      <w:tr>
        <w:trPr>
          <w:trHeight w:val="760"/>
        </w:trPr>
        <w:tc>
          <w:tcPr>
            <w:tcW w:w="2538" w:type="dxa"/>
            <w:vAlign w:val="center"/>
            <w:textDirection w:val="lrTb"/>
            <w:noWrap w:val="false"/>
          </w:tcPr>
          <w:p>
            <w:pPr>
              <w:pStyle w:val="126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合计</w:t>
            </w:r>
            <w:r>
              <w:rPr>
                <w:rFonts w:hint="eastAsia" w:ascii="宋体" w:hAnsi="宋体" w:cs="宋体"/>
                <w:sz w:val="24"/>
                <w:szCs w:val="20"/>
              </w:rPr>
            </w:r>
            <w:r/>
          </w:p>
        </w:tc>
        <w:tc>
          <w:tcPr>
            <w:gridSpan w:val="4"/>
            <w:tcW w:w="5847" w:type="dxa"/>
            <w:vAlign w:val="center"/>
            <w:textDirection w:val="lrTb"/>
            <w:noWrap w:val="false"/>
          </w:tcPr>
          <w:p>
            <w:pPr>
              <w:pStyle w:val="1263"/>
              <w:ind w:left="0" w:right="0"/>
              <w:jc w:val="left"/>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大写：</w:t>
            </w:r>
            <w:r>
              <w:rPr>
                <w:rFonts w:hint="eastAsia" w:ascii="宋体" w:hAnsi="宋体" w:cs="宋体"/>
                <w:sz w:val="24"/>
                <w:szCs w:val="20"/>
              </w:rPr>
            </w:r>
            <w:r/>
          </w:p>
        </w:tc>
      </w:tr>
    </w:tbl>
    <w:p>
      <w:pPr>
        <w:pStyle w:val="1263"/>
        <w:jc w:val="left"/>
        <w:rPr>
          <w:color w:val="000000"/>
          <w:sz w:val="24"/>
        </w:rPr>
      </w:pPr>
      <w:r>
        <w:rPr>
          <w:color w:val="000000"/>
          <w:sz w:val="24"/>
        </w:rPr>
      </w:r>
      <w:r/>
    </w:p>
    <w:p>
      <w:pPr>
        <w:pStyle w:val="1263"/>
        <w:jc w:val="left"/>
        <w:rPr>
          <w:color w:val="000000"/>
          <w:sz w:val="24"/>
        </w:rPr>
      </w:pPr>
      <w:r>
        <w:rPr>
          <w:color w:val="000000"/>
          <w:sz w:val="24"/>
        </w:rPr>
      </w:r>
      <w:r/>
    </w:p>
    <w:p>
      <w:pPr>
        <w:pStyle w:val="1263"/>
        <w:jc w:val="left"/>
        <w:rPr>
          <w:color w:val="000000"/>
          <w:sz w:val="24"/>
        </w:rPr>
      </w:pPr>
      <w:r>
        <w:rPr>
          <w:color w:val="000000"/>
          <w:sz w:val="24"/>
        </w:rPr>
      </w:r>
      <w:r/>
    </w:p>
    <w:p>
      <w:pPr>
        <w:pStyle w:val="1263"/>
        <w:jc w:val="left"/>
        <w:rPr>
          <w:color w:val="000000"/>
          <w:sz w:val="24"/>
        </w:rPr>
      </w:pPr>
      <w:r>
        <w:rPr>
          <w:color w:val="000000"/>
          <w:sz w:val="24"/>
        </w:rPr>
      </w:r>
      <w:r/>
    </w:p>
    <w:p>
      <w:pPr>
        <w:pStyle w:val="1263"/>
        <w:jc w:val="left"/>
        <w:rPr>
          <w:color w:val="000000"/>
          <w:sz w:val="24"/>
        </w:rPr>
      </w:pPr>
      <w:r>
        <w:rPr>
          <w:color w:val="000000"/>
          <w:sz w:val="24"/>
        </w:rPr>
      </w:r>
      <w:r/>
    </w:p>
    <w:p>
      <w:pPr>
        <w:pStyle w:val="1263"/>
        <w:jc w:val="left"/>
        <w:rPr>
          <w:color w:val="000000"/>
          <w:sz w:val="24"/>
        </w:rPr>
      </w:pPr>
      <w:r>
        <w:rPr>
          <w:color w:val="000000"/>
          <w:sz w:val="24"/>
        </w:rPr>
      </w:r>
      <w:r/>
    </w:p>
    <w:p>
      <w:pPr>
        <w:pStyle w:val="1263"/>
        <w:jc w:val="left"/>
        <w:rPr>
          <w:color w:val="000000"/>
          <w:sz w:val="24"/>
        </w:rPr>
      </w:pPr>
      <w:r>
        <w:rPr>
          <w:color w:val="000000"/>
          <w:sz w:val="24"/>
        </w:rPr>
      </w:r>
      <w:r/>
    </w:p>
    <w:p>
      <w:pPr>
        <w:pStyle w:val="1263"/>
        <w:jc w:val="left"/>
        <w:rPr>
          <w:color w:val="000000"/>
          <w:sz w:val="24"/>
        </w:rPr>
      </w:pPr>
      <w:r>
        <w:rPr>
          <w:color w:val="000000"/>
          <w:sz w:val="24"/>
        </w:rPr>
      </w:r>
      <w:r/>
    </w:p>
    <w:p>
      <w:pPr>
        <w:pStyle w:val="1263"/>
        <w:jc w:val="left"/>
        <w:rPr>
          <w:color w:val="000000"/>
          <w:sz w:val="24"/>
        </w:rPr>
      </w:pPr>
      <w:r>
        <w:rPr>
          <w:color w:val="000000"/>
          <w:sz w:val="24"/>
        </w:rPr>
      </w:r>
      <w:r/>
    </w:p>
    <w:p>
      <w:pPr>
        <w:pStyle w:val="1263"/>
        <w:jc w:val="left"/>
        <w:rPr>
          <w:color w:val="000000"/>
          <w:sz w:val="24"/>
        </w:rPr>
      </w:pPr>
      <w:r>
        <w:rPr>
          <w:color w:val="000000"/>
          <w:sz w:val="24"/>
        </w:rPr>
      </w:r>
      <w:r/>
    </w:p>
    <w:p>
      <w:pPr>
        <w:pStyle w:val="1263"/>
        <w:jc w:val="left"/>
        <w:rPr>
          <w:color w:val="000000"/>
          <w:sz w:val="24"/>
        </w:rPr>
      </w:pPr>
      <w:r>
        <w:rPr>
          <w:color w:val="000000"/>
          <w:sz w:val="24"/>
        </w:rPr>
      </w:r>
      <w:r/>
    </w:p>
    <w:p>
      <w:pPr>
        <w:pStyle w:val="1263"/>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1263"/>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1263"/>
        <w:spacing w:before="25" w:after="25" w:line="360" w:lineRule="auto"/>
        <w:rPr>
          <w:color w:val="000000"/>
          <w:sz w:val="24"/>
          <w:lang w:val="zh-CN"/>
        </w:rPr>
      </w:pPr>
      <w:r>
        <w:rPr>
          <w:color w:val="000000"/>
          <w:sz w:val="24"/>
          <w:lang w:val="zh-CN"/>
        </w:rPr>
      </w:r>
      <w:r/>
    </w:p>
    <w:p>
      <w:pPr>
        <w:pStyle w:val="126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26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26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63"/>
        <w:ind w:right="0"/>
        <w:jc w:val="both"/>
        <w:keepLines w:val="0"/>
        <w:keepNext w:val="0"/>
        <w:spacing w:before="0" w:beforeAutospacing="0" w:after="0" w:afterAutospacing="0" w:line="400" w:lineRule="exact"/>
        <w:widowControl w:val="off"/>
        <w:rPr>
          <w:rFonts w:hint="eastAsia" w:ascii="宋体" w:hAnsi="宋体" w:eastAsia="宋体" w:cs="宋体"/>
          <w:b/>
          <w:bCs w:val="0"/>
          <w:sz w:val="28"/>
          <w:szCs w:val="28"/>
          <w:lang w:val="en-US"/>
        </w:rPr>
        <w:suppressLineNumbers w:val="0"/>
      </w:pPr>
      <w:r/>
      <w:bookmarkStart w:id="610" w:name="_Toc264969249"/>
      <w:r/>
      <w:bookmarkStart w:id="611" w:name="_Toc226309803"/>
      <w:r/>
      <w:bookmarkStart w:id="612" w:name="_Toc305158901"/>
      <w:r/>
      <w:bookmarkStart w:id="613" w:name="_Toc195842924"/>
      <w:r/>
      <w:bookmarkStart w:id="614" w:name="_Toc265228397"/>
      <w:r/>
      <w:bookmarkStart w:id="615" w:name="_Toc127151558"/>
      <w:r/>
      <w:bookmarkStart w:id="616" w:name="_Toc305158827"/>
      <w:r/>
      <w:bookmarkStart w:id="617" w:name="_Toc226965749"/>
      <w:r/>
      <w:bookmarkStart w:id="618" w:name="_Toc150480796"/>
      <w:r/>
      <w:bookmarkStart w:id="619" w:name="_Toc142311060"/>
      <w:r/>
      <w:bookmarkStart w:id="620" w:name="_Toc150774763"/>
      <w:r/>
      <w:bookmarkStart w:id="621" w:name="_Toc226965832"/>
      <w:r/>
      <w:bookmarkStart w:id="622" w:name="_Toc226337255"/>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分项报价表</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eastAsia="宋体" w:cs="宋体"/>
          <w:b/>
          <w:bCs w:val="0"/>
          <w:sz w:val="28"/>
          <w:szCs w:val="28"/>
          <w:lang w:val="en-US"/>
        </w:rPr>
      </w:r>
      <w:r/>
    </w:p>
    <w:p>
      <w:pPr>
        <w:pStyle w:val="1263"/>
        <w:ind w:left="0" w:right="0"/>
        <w:jc w:val="both"/>
        <w:keepLines w:val="0"/>
        <w:keepNext w:val="0"/>
        <w:spacing w:before="0" w:beforeAutospacing="0" w:after="0" w:afterAutospacing="0" w:line="400" w:lineRule="exact"/>
        <w:widowControl w:val="off"/>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p>
      <w:pPr>
        <w:pStyle w:val="1263"/>
        <w:jc w:val="center"/>
        <w:spacing w:line="400" w:lineRule="exact"/>
        <w:rPr>
          <w:rFonts w:hint="eastAsia" w:ascii="宋体" w:hAnsi="宋体" w:cs="宋体"/>
          <w:b/>
          <w:sz w:val="36"/>
          <w:szCs w:val="36"/>
        </w:rPr>
      </w:pPr>
      <w:r>
        <w:rPr>
          <w:rFonts w:hint="eastAsia" w:ascii="宋体" w:hAnsi="宋体" w:cs="宋体"/>
          <w:b/>
          <w:sz w:val="36"/>
          <w:szCs w:val="36"/>
          <w:lang w:bidi="ar"/>
        </w:rPr>
        <w:t xml:space="preserve">磋商总价（封面）</w:t>
      </w:r>
      <w:r>
        <w:rPr>
          <w:rFonts w:hint="eastAsia" w:ascii="宋体" w:hAnsi="宋体" w:cs="宋体"/>
          <w:b/>
          <w:sz w:val="36"/>
          <w:szCs w:val="36"/>
        </w:rPr>
      </w:r>
      <w:r/>
    </w:p>
    <w:p>
      <w:pPr>
        <w:pStyle w:val="1263"/>
        <w:spacing w:line="400" w:lineRule="exact"/>
        <w:rPr>
          <w:rFonts w:hint="eastAsia" w:ascii="宋体" w:hAnsi="宋体" w:cs="宋体"/>
        </w:rPr>
      </w:pPr>
      <w:r>
        <w:rPr>
          <w:rFonts w:hint="eastAsia" w:ascii="宋体" w:hAnsi="宋体" w:cs="宋体"/>
        </w:rPr>
      </w:r>
      <w:r/>
    </w:p>
    <w:p>
      <w:pPr>
        <w:pStyle w:val="1263"/>
        <w:spacing w:line="400" w:lineRule="exact"/>
        <w:rPr>
          <w:rFonts w:hint="eastAsia" w:ascii="宋体" w:hAnsi="宋体" w:cs="宋体"/>
        </w:rPr>
      </w:pPr>
      <w:r>
        <w:rPr>
          <w:rFonts w:hint="eastAsia" w:ascii="宋体" w:hAnsi="宋体" w:cs="宋体"/>
          <w:szCs w:val="20"/>
          <w:lang w:bidi="ar"/>
        </w:rPr>
        <w:t xml:space="preserve"> </w:t>
      </w:r>
      <w:r>
        <w:rPr>
          <w:rFonts w:hint="eastAsia" w:ascii="宋体" w:hAnsi="宋体" w:cs="宋体"/>
        </w:rPr>
      </w:r>
      <w:r/>
    </w:p>
    <w:p>
      <w:pPr>
        <w:pStyle w:val="1266"/>
        <w:widowControl/>
        <w:rPr>
          <w:rFonts w:hAnsi="宋体" w:cs="宋体"/>
        </w:rPr>
      </w:pPr>
      <w:r>
        <w:rPr>
          <w:rFonts w:hAnsi="宋体" w:cs="宋体"/>
        </w:rPr>
      </w:r>
      <w:r/>
    </w:p>
    <w:p>
      <w:pPr>
        <w:pStyle w:val="1263"/>
        <w:spacing w:line="400" w:lineRule="exact"/>
        <w:rPr>
          <w:rFonts w:ascii="宋体" w:hAnsi="宋体" w:cs="宋体"/>
          <w:b/>
          <w:sz w:val="28"/>
          <w:szCs w:val="28"/>
        </w:rPr>
      </w:pPr>
      <w:r>
        <w:rPr>
          <w:rFonts w:hint="eastAsia" w:ascii="宋体" w:hAnsi="宋体" w:cs="宋体"/>
          <w:b/>
          <w:sz w:val="32"/>
          <w:szCs w:val="32"/>
          <w:lang w:bidi="ar"/>
        </w:rPr>
        <w:t xml:space="preserve">   </w:t>
      </w:r>
      <w:r>
        <w:rPr>
          <w:rFonts w:hint="eastAsia" w:ascii="宋体" w:hAnsi="宋体" w:cs="宋体"/>
          <w:b/>
          <w:sz w:val="28"/>
          <w:szCs w:val="28"/>
          <w:lang w:bidi="ar"/>
        </w:rPr>
        <w:t xml:space="preserve">采 购 人：</w:t>
      </w:r>
      <w:r>
        <w:rPr>
          <w:rFonts w:hint="eastAsia" w:ascii="宋体" w:hAnsi="宋体" w:cs="宋体"/>
          <w:b/>
          <w:sz w:val="28"/>
          <w:szCs w:val="28"/>
          <w:u w:val="single"/>
          <w:lang w:bidi="ar"/>
        </w:rPr>
        <w:t xml:space="preserve">                                    </w:t>
      </w:r>
      <w:r>
        <w:rPr>
          <w:rFonts w:ascii="宋体" w:hAnsi="宋体" w:cs="宋体"/>
          <w:b/>
          <w:sz w:val="28"/>
          <w:szCs w:val="28"/>
        </w:rPr>
      </w:r>
      <w:r/>
    </w:p>
    <w:p>
      <w:pPr>
        <w:pStyle w:val="1266"/>
        <w:widowControl/>
        <w:rPr>
          <w:rFonts w:hAnsi="宋体" w:cs="宋体"/>
        </w:rPr>
      </w:pPr>
      <w:r>
        <w:rPr>
          <w:rFonts w:hAnsi="宋体" w:cs="宋体"/>
        </w:rPr>
      </w:r>
      <w:r/>
    </w:p>
    <w:p>
      <w:pPr>
        <w:pStyle w:val="1263"/>
        <w:spacing w:line="400" w:lineRule="exact"/>
        <w:rPr>
          <w:rFonts w:hint="eastAsia" w:ascii="宋体" w:hAnsi="宋体" w:cs="宋体"/>
          <w:b/>
          <w:sz w:val="28"/>
          <w:szCs w:val="28"/>
          <w:u w:val="single"/>
        </w:rPr>
      </w:pPr>
      <w:r>
        <w:rPr>
          <w:rFonts w:hint="eastAsia" w:ascii="宋体" w:hAnsi="宋体" w:cs="宋体"/>
          <w:b/>
          <w:sz w:val="28"/>
          <w:szCs w:val="28"/>
          <w:lang w:bidi="ar"/>
        </w:rPr>
        <w:t xml:space="preserve">   工 程 名 称：</w:t>
      </w:r>
      <w:r>
        <w:rPr>
          <w:rFonts w:hint="eastAsia" w:ascii="宋体" w:hAnsi="宋体" w:cs="宋体"/>
          <w:b/>
          <w:sz w:val="28"/>
          <w:szCs w:val="28"/>
          <w:u w:val="single"/>
          <w:lang w:bidi="ar"/>
        </w:rPr>
        <w:t xml:space="preserve">                                  </w:t>
      </w:r>
      <w:r>
        <w:rPr>
          <w:rFonts w:hint="eastAsia" w:ascii="宋体" w:hAnsi="宋体" w:cs="宋体"/>
          <w:b/>
          <w:sz w:val="28"/>
          <w:szCs w:val="28"/>
          <w:lang w:bidi="ar"/>
        </w:rPr>
        <w:t xml:space="preserve">           </w:t>
      </w:r>
      <w:r>
        <w:rPr>
          <w:rFonts w:hint="eastAsia" w:ascii="宋体" w:hAnsi="宋体" w:cs="宋体"/>
          <w:b/>
          <w:sz w:val="28"/>
          <w:szCs w:val="28"/>
          <w:u w:val="single"/>
        </w:rPr>
      </w:r>
      <w:r/>
    </w:p>
    <w:p>
      <w:pPr>
        <w:pStyle w:val="1263"/>
        <w:spacing w:line="400" w:lineRule="exact"/>
        <w:rPr>
          <w:rFonts w:hint="eastAsia" w:ascii="宋体" w:hAnsi="宋体" w:cs="宋体"/>
          <w:sz w:val="28"/>
          <w:szCs w:val="28"/>
        </w:rPr>
      </w:pPr>
      <w:r>
        <w:rPr>
          <w:rFonts w:hint="eastAsia" w:ascii="宋体" w:hAnsi="宋体" w:cs="宋体"/>
          <w:sz w:val="28"/>
          <w:szCs w:val="28"/>
        </w:rPr>
      </w:r>
      <w:r/>
    </w:p>
    <w:p>
      <w:pPr>
        <w:pStyle w:val="1263"/>
        <w:spacing w:line="400" w:lineRule="exact"/>
        <w:rPr>
          <w:rFonts w:hint="eastAsia" w:ascii="宋体" w:hAnsi="宋体" w:cs="宋体"/>
          <w:sz w:val="28"/>
          <w:szCs w:val="28"/>
        </w:rPr>
      </w:pPr>
      <w:r>
        <w:rPr>
          <w:rFonts w:hint="eastAsia" w:ascii="宋体" w:hAnsi="宋体" w:cs="宋体"/>
          <w:sz w:val="28"/>
          <w:szCs w:val="28"/>
        </w:rPr>
      </w:r>
      <w:r/>
    </w:p>
    <w:p>
      <w:pPr>
        <w:pStyle w:val="1263"/>
        <w:ind w:firstLine="562"/>
        <w:spacing w:line="400" w:lineRule="exact"/>
        <w:rPr>
          <w:rFonts w:hint="eastAsia" w:ascii="宋体" w:hAnsi="宋体" w:cs="宋体"/>
          <w:b/>
          <w:sz w:val="28"/>
          <w:szCs w:val="28"/>
          <w:u w:val="single"/>
        </w:rPr>
      </w:pPr>
      <w:r>
        <w:rPr>
          <w:rFonts w:hint="eastAsia" w:ascii="宋体" w:hAnsi="宋体" w:cs="宋体"/>
          <w:b/>
          <w:sz w:val="28"/>
          <w:szCs w:val="28"/>
          <w:lang w:bidi="ar"/>
        </w:rPr>
        <w:t xml:space="preserve">磋 商 总 价（小写）：</w:t>
      </w:r>
      <w:r>
        <w:rPr>
          <w:rFonts w:hint="eastAsia" w:ascii="宋体" w:hAnsi="宋体" w:cs="宋体"/>
          <w:b/>
          <w:sz w:val="28"/>
          <w:szCs w:val="28"/>
          <w:u w:val="single"/>
          <w:lang w:bidi="ar"/>
        </w:rPr>
        <w:t xml:space="preserve">                                </w:t>
      </w:r>
      <w:r>
        <w:rPr>
          <w:rFonts w:hint="eastAsia" w:ascii="宋体" w:hAnsi="宋体" w:cs="宋体"/>
          <w:b/>
          <w:sz w:val="28"/>
          <w:szCs w:val="28"/>
          <w:u w:val="single"/>
        </w:rPr>
      </w:r>
      <w:r/>
    </w:p>
    <w:p>
      <w:pPr>
        <w:pStyle w:val="1263"/>
        <w:ind w:firstLine="1687"/>
        <w:spacing w:line="400" w:lineRule="exact"/>
        <w:rPr>
          <w:rFonts w:hint="eastAsia" w:ascii="宋体" w:hAnsi="宋体" w:cs="宋体"/>
          <w:b/>
          <w:sz w:val="28"/>
          <w:szCs w:val="28"/>
        </w:rPr>
      </w:pPr>
      <w:r>
        <w:rPr>
          <w:rFonts w:hint="eastAsia" w:ascii="宋体" w:hAnsi="宋体" w:cs="宋体"/>
          <w:b/>
          <w:sz w:val="28"/>
          <w:szCs w:val="28"/>
        </w:rPr>
      </w:r>
      <w:r/>
    </w:p>
    <w:p>
      <w:pPr>
        <w:pStyle w:val="1263"/>
        <w:ind w:firstLine="2249"/>
        <w:spacing w:line="400" w:lineRule="exact"/>
        <w:rPr>
          <w:rFonts w:hint="eastAsia" w:ascii="宋体" w:hAnsi="宋体" w:cs="宋体"/>
          <w:sz w:val="28"/>
          <w:szCs w:val="28"/>
          <w:u w:val="single"/>
        </w:rPr>
      </w:pPr>
      <w:r>
        <w:rPr>
          <w:rFonts w:hint="eastAsia" w:ascii="宋体" w:hAnsi="宋体" w:cs="宋体"/>
          <w:b/>
          <w:sz w:val="28"/>
          <w:szCs w:val="28"/>
          <w:lang w:bidi="ar"/>
        </w:rPr>
        <w:t xml:space="preserve">（大写）：</w:t>
      </w:r>
      <w:r>
        <w:rPr>
          <w:rFonts w:hint="eastAsia" w:ascii="宋体" w:hAnsi="宋体" w:cs="宋体"/>
          <w:sz w:val="28"/>
          <w:szCs w:val="28"/>
          <w:u w:val="single"/>
          <w:lang w:bidi="ar"/>
        </w:rPr>
        <w:t xml:space="preserve">                                </w:t>
      </w:r>
      <w:r>
        <w:rPr>
          <w:rFonts w:hint="eastAsia" w:ascii="宋体" w:hAnsi="宋体" w:cs="宋体"/>
          <w:sz w:val="28"/>
          <w:szCs w:val="28"/>
          <w:u w:val="single"/>
        </w:rPr>
      </w:r>
      <w:r/>
    </w:p>
    <w:p>
      <w:pPr>
        <w:pStyle w:val="1263"/>
        <w:spacing w:line="400" w:lineRule="exact"/>
        <w:rPr>
          <w:rFonts w:hint="eastAsia" w:ascii="宋体" w:hAnsi="宋体" w:cs="宋体"/>
          <w:sz w:val="28"/>
          <w:szCs w:val="28"/>
        </w:rPr>
      </w:pPr>
      <w:r>
        <w:rPr>
          <w:rFonts w:hint="eastAsia" w:ascii="宋体" w:hAnsi="宋体" w:cs="宋体"/>
          <w:sz w:val="28"/>
          <w:szCs w:val="28"/>
        </w:rPr>
      </w:r>
      <w:r/>
    </w:p>
    <w:p>
      <w:pPr>
        <w:pStyle w:val="1263"/>
        <w:spacing w:line="400" w:lineRule="exact"/>
        <w:rPr>
          <w:rFonts w:hint="eastAsia" w:ascii="宋体" w:hAnsi="宋体" w:cs="宋体"/>
          <w:sz w:val="28"/>
          <w:szCs w:val="28"/>
        </w:rPr>
      </w:pPr>
      <w:r>
        <w:rPr>
          <w:rFonts w:hint="eastAsia" w:ascii="宋体" w:hAnsi="宋体" w:cs="宋体"/>
          <w:sz w:val="28"/>
          <w:szCs w:val="28"/>
        </w:rPr>
      </w:r>
      <w:r/>
    </w:p>
    <w:p>
      <w:pPr>
        <w:pStyle w:val="1263"/>
        <w:ind w:firstLine="562"/>
        <w:spacing w:line="400" w:lineRule="exact"/>
        <w:rPr>
          <w:rFonts w:hint="eastAsia" w:ascii="宋体" w:hAnsi="宋体" w:cs="宋体"/>
          <w:sz w:val="28"/>
          <w:szCs w:val="28"/>
        </w:rPr>
      </w:pPr>
      <w:r>
        <w:rPr>
          <w:rFonts w:hint="eastAsia" w:ascii="宋体" w:hAnsi="宋体" w:cs="宋体"/>
          <w:b/>
          <w:sz w:val="28"/>
          <w:szCs w:val="28"/>
          <w:lang w:bidi="ar"/>
        </w:rPr>
        <w:t xml:space="preserve">供应商：</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（单位盖公章）</w:t>
      </w:r>
      <w:r>
        <w:rPr>
          <w:rFonts w:hint="eastAsia" w:ascii="宋体" w:hAnsi="宋体" w:cs="宋体"/>
          <w:sz w:val="28"/>
          <w:szCs w:val="28"/>
        </w:rPr>
      </w:r>
      <w:r/>
    </w:p>
    <w:p>
      <w:pPr>
        <w:pStyle w:val="1263"/>
        <w:spacing w:line="400" w:lineRule="exact"/>
        <w:rPr>
          <w:rFonts w:hint="eastAsia" w:ascii="宋体" w:hAnsi="宋体" w:cs="宋体"/>
          <w:sz w:val="28"/>
          <w:szCs w:val="28"/>
        </w:rPr>
      </w:pPr>
      <w:r>
        <w:rPr>
          <w:rFonts w:hint="eastAsia" w:ascii="宋体" w:hAnsi="宋体" w:cs="宋体"/>
          <w:sz w:val="28"/>
          <w:szCs w:val="28"/>
        </w:rPr>
      </w:r>
      <w:r/>
    </w:p>
    <w:p>
      <w:pPr>
        <w:pStyle w:val="1263"/>
        <w:ind w:firstLine="562"/>
        <w:spacing w:line="400" w:lineRule="exact"/>
        <w:rPr>
          <w:rFonts w:hint="eastAsia" w:ascii="宋体" w:hAnsi="宋体" w:cs="宋体"/>
          <w:b/>
          <w:sz w:val="28"/>
          <w:szCs w:val="28"/>
        </w:rPr>
      </w:pPr>
      <w:r>
        <w:rPr>
          <w:rFonts w:hint="eastAsia" w:ascii="宋体" w:hAnsi="宋体" w:cs="宋体"/>
          <w:b/>
          <w:sz w:val="28"/>
          <w:szCs w:val="28"/>
          <w:lang w:bidi="ar"/>
        </w:rPr>
        <w:t xml:space="preserve">法定代表人</w:t>
      </w:r>
      <w:r>
        <w:rPr>
          <w:rFonts w:hint="eastAsia" w:ascii="宋体" w:hAnsi="宋体" w:cs="宋体"/>
          <w:b/>
          <w:sz w:val="28"/>
          <w:szCs w:val="28"/>
        </w:rPr>
      </w:r>
      <w:r/>
    </w:p>
    <w:p>
      <w:pPr>
        <w:pStyle w:val="1263"/>
        <w:ind w:firstLine="562"/>
        <w:spacing w:line="400" w:lineRule="exact"/>
        <w:rPr>
          <w:rFonts w:hint="eastAsia" w:ascii="宋体" w:hAnsi="宋体" w:cs="宋体"/>
          <w:sz w:val="28"/>
          <w:szCs w:val="28"/>
        </w:rPr>
      </w:pPr>
      <w:r>
        <w:rPr>
          <w:rFonts w:hint="eastAsia" w:ascii="宋体" w:hAnsi="宋体" w:cs="宋体"/>
          <w:b/>
          <w:sz w:val="28"/>
          <w:szCs w:val="28"/>
          <w:lang w:bidi="ar"/>
        </w:rPr>
        <w:t xml:space="preserve">或其授权人：</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 （签字或盖公章）</w:t>
      </w:r>
      <w:r>
        <w:rPr>
          <w:rFonts w:hint="eastAsia" w:ascii="宋体" w:hAnsi="宋体" w:cs="宋体"/>
          <w:sz w:val="28"/>
          <w:szCs w:val="28"/>
        </w:rPr>
      </w:r>
      <w:r/>
    </w:p>
    <w:p>
      <w:pPr>
        <w:pStyle w:val="1263"/>
        <w:spacing w:line="400" w:lineRule="exact"/>
        <w:rPr>
          <w:rFonts w:hint="eastAsia" w:ascii="宋体" w:hAnsi="宋体" w:cs="宋体"/>
          <w:sz w:val="28"/>
          <w:szCs w:val="28"/>
        </w:rPr>
      </w:pPr>
      <w:r>
        <w:rPr>
          <w:rFonts w:hint="eastAsia" w:ascii="宋体" w:hAnsi="宋体" w:cs="宋体"/>
          <w:sz w:val="28"/>
          <w:szCs w:val="28"/>
        </w:rPr>
      </w:r>
      <w:r/>
    </w:p>
    <w:p>
      <w:pPr>
        <w:pStyle w:val="1263"/>
        <w:spacing w:line="400" w:lineRule="exact"/>
        <w:rPr>
          <w:rFonts w:hint="eastAsia" w:ascii="宋体" w:hAnsi="宋体" w:cs="宋体"/>
          <w:sz w:val="28"/>
          <w:szCs w:val="28"/>
        </w:rPr>
      </w:pPr>
      <w:r>
        <w:rPr>
          <w:rFonts w:hint="eastAsia" w:ascii="宋体" w:hAnsi="宋体" w:cs="宋体"/>
          <w:sz w:val="28"/>
          <w:szCs w:val="28"/>
        </w:rPr>
      </w:r>
      <w:r/>
    </w:p>
    <w:p>
      <w:pPr>
        <w:pStyle w:val="1263"/>
        <w:spacing w:line="400" w:lineRule="exact"/>
        <w:rPr>
          <w:rFonts w:hint="eastAsia" w:ascii="宋体" w:hAnsi="宋体" w:cs="宋体"/>
          <w:sz w:val="28"/>
          <w:szCs w:val="28"/>
        </w:rPr>
      </w:pPr>
      <w:r>
        <w:rPr>
          <w:rFonts w:hint="eastAsia" w:ascii="宋体" w:hAnsi="宋体" w:cs="宋体"/>
          <w:sz w:val="28"/>
          <w:szCs w:val="28"/>
        </w:rPr>
      </w:r>
      <w:r/>
    </w:p>
    <w:p>
      <w:pPr>
        <w:pStyle w:val="1263"/>
        <w:ind w:firstLine="562"/>
        <w:spacing w:line="400" w:lineRule="exact"/>
        <w:rPr>
          <w:rFonts w:hint="eastAsia" w:ascii="宋体" w:hAnsi="宋体" w:cs="宋体"/>
          <w:sz w:val="28"/>
          <w:szCs w:val="28"/>
        </w:rPr>
      </w:pPr>
      <w:r>
        <w:rPr>
          <w:rFonts w:hint="eastAsia" w:ascii="宋体" w:hAnsi="宋体" w:cs="宋体"/>
          <w:b/>
          <w:sz w:val="28"/>
          <w:szCs w:val="28"/>
          <w:lang w:bidi="ar"/>
        </w:rPr>
        <w:t xml:space="preserve">编  制  人：</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（造价人员签字</w:t>
      </w:r>
      <w:r>
        <w:rPr>
          <w:rFonts w:hint="eastAsia" w:ascii="宋体" w:hAnsi="宋体" w:cs="宋体"/>
          <w:b/>
          <w:sz w:val="28"/>
          <w:szCs w:val="28"/>
          <w:lang w:bidi="ar"/>
        </w:rPr>
        <w:t xml:space="preserve">或</w:t>
      </w:r>
      <w:r>
        <w:rPr>
          <w:rFonts w:hint="eastAsia" w:ascii="宋体" w:hAnsi="宋体" w:cs="宋体"/>
          <w:sz w:val="28"/>
          <w:szCs w:val="28"/>
          <w:lang w:bidi="ar"/>
        </w:rPr>
        <w:t xml:space="preserve">盖专用章）</w:t>
      </w:r>
      <w:r>
        <w:rPr>
          <w:rFonts w:hint="eastAsia" w:ascii="宋体" w:hAnsi="宋体" w:cs="宋体"/>
          <w:sz w:val="28"/>
          <w:szCs w:val="28"/>
        </w:rPr>
      </w:r>
      <w:r/>
    </w:p>
    <w:p>
      <w:pPr>
        <w:pStyle w:val="1263"/>
        <w:spacing w:line="400" w:lineRule="exact"/>
        <w:rPr>
          <w:rFonts w:hint="eastAsia" w:ascii="宋体" w:hAnsi="宋体" w:cs="宋体"/>
          <w:sz w:val="28"/>
          <w:szCs w:val="28"/>
        </w:rPr>
      </w:pPr>
      <w:r>
        <w:rPr>
          <w:rFonts w:hint="eastAsia" w:ascii="宋体" w:hAnsi="宋体" w:cs="宋体"/>
          <w:sz w:val="28"/>
          <w:szCs w:val="28"/>
        </w:rPr>
      </w:r>
      <w:r/>
    </w:p>
    <w:p>
      <w:pPr>
        <w:pStyle w:val="1263"/>
        <w:spacing w:line="400" w:lineRule="exact"/>
        <w:rPr>
          <w:rFonts w:hint="eastAsia" w:ascii="宋体" w:hAnsi="宋体" w:cs="宋体"/>
          <w:sz w:val="28"/>
          <w:szCs w:val="28"/>
        </w:rPr>
      </w:pPr>
      <w:r>
        <w:rPr>
          <w:rFonts w:hint="eastAsia" w:ascii="宋体" w:hAnsi="宋体" w:cs="宋体"/>
          <w:sz w:val="28"/>
          <w:szCs w:val="28"/>
        </w:rPr>
      </w:r>
      <w:r/>
    </w:p>
    <w:p>
      <w:pPr>
        <w:pStyle w:val="1263"/>
        <w:ind w:firstLine="562"/>
        <w:spacing w:line="400" w:lineRule="exact"/>
        <w:rPr>
          <w:rFonts w:hint="eastAsia" w:ascii="宋体" w:hAnsi="宋体" w:cs="宋体"/>
          <w:b/>
          <w:sz w:val="28"/>
          <w:szCs w:val="28"/>
        </w:rPr>
      </w:pPr>
      <w:r>
        <w:rPr>
          <w:rFonts w:hint="eastAsia" w:ascii="宋体" w:hAnsi="宋体" w:cs="宋体"/>
          <w:b/>
          <w:sz w:val="28"/>
          <w:szCs w:val="28"/>
          <w:lang w:bidi="ar"/>
        </w:rPr>
        <w:t xml:space="preserve">编 制 时 间：</w:t>
      </w:r>
      <w:r>
        <w:rPr>
          <w:rFonts w:hint="eastAsia" w:ascii="宋体" w:hAnsi="宋体" w:cs="宋体"/>
          <w:b/>
          <w:sz w:val="28"/>
          <w:szCs w:val="28"/>
        </w:rPr>
      </w:r>
      <w:r/>
    </w:p>
    <w:p>
      <w:pPr>
        <w:pStyle w:val="1263"/>
        <w:spacing w:line="400" w:lineRule="exact"/>
        <w:rPr>
          <w:rFonts w:hint="eastAsia" w:ascii="宋体" w:hAnsi="宋体" w:cs="宋体"/>
          <w:sz w:val="28"/>
          <w:szCs w:val="28"/>
        </w:rPr>
      </w:pPr>
      <w:r>
        <w:rPr>
          <w:rFonts w:hint="eastAsia" w:ascii="宋体" w:hAnsi="宋体" w:cs="宋体"/>
          <w:sz w:val="28"/>
          <w:szCs w:val="28"/>
        </w:rPr>
      </w:r>
      <w:r/>
    </w:p>
    <w:p>
      <w:pPr>
        <w:pStyle w:val="1263"/>
        <w:jc w:val="center"/>
        <w:rPr>
          <w:b/>
          <w:color w:val="000000"/>
          <w:sz w:val="36"/>
          <w:szCs w:val="36"/>
        </w:rPr>
      </w:pPr>
      <w:r>
        <w:rPr>
          <w:b/>
          <w:color w:val="000000"/>
          <w:sz w:val="36"/>
          <w:szCs w:val="36"/>
        </w:rPr>
      </w:r>
      <w:r/>
    </w:p>
    <w:p>
      <w:pPr>
        <w:pStyle w:val="1263"/>
        <w:jc w:val="center"/>
        <w:spacing w:line="260" w:lineRule="exact"/>
        <w:rPr>
          <w:color w:val="000000"/>
          <w:sz w:val="36"/>
          <w:szCs w:val="36"/>
        </w:rPr>
      </w:pPr>
      <w:r>
        <w:rPr>
          <w:color w:val="000000"/>
          <w:sz w:val="36"/>
          <w:szCs w:val="36"/>
        </w:rPr>
      </w:r>
      <w:r/>
    </w:p>
    <w:p>
      <w:pPr>
        <w:pStyle w:val="1263"/>
        <w:rPr>
          <w:rFonts w:hint="eastAsia"/>
          <w:color w:val="000000"/>
          <w:sz w:val="24"/>
          <w:szCs w:val="20"/>
        </w:rPr>
      </w:pPr>
      <w:r>
        <w:rPr>
          <w:rFonts w:hint="eastAsia"/>
          <w:color w:val="000000"/>
          <w:sz w:val="24"/>
          <w:szCs w:val="20"/>
        </w:rPr>
      </w:r>
      <w:r/>
    </w:p>
    <w:p>
      <w:pPr>
        <w:pStyle w:val="1332"/>
        <w:ind w:firstLine="480"/>
        <w:rPr>
          <w:rFonts w:hint="eastAsia"/>
        </w:rPr>
      </w:pPr>
      <w:r>
        <w:rPr>
          <w:rFonts w:hint="eastAsia"/>
        </w:rPr>
      </w:r>
      <w:r/>
    </w:p>
    <w:p>
      <w:pPr>
        <w:pStyle w:val="1263"/>
        <w:rPr>
          <w:rFonts w:hint="eastAsia"/>
        </w:rPr>
      </w:pPr>
      <w:r>
        <w:rPr>
          <w:rFonts w:hint="eastAsia"/>
        </w:rPr>
      </w:r>
      <w:r/>
    </w:p>
    <w:p>
      <w:pPr>
        <w:pStyle w:val="1263"/>
        <w:jc w:val="center"/>
        <w:rPr>
          <w:rFonts w:hint="eastAsia" w:ascii="宋体" w:hAnsi="宋体" w:cs="宋体"/>
          <w:b/>
          <w:sz w:val="28"/>
          <w:szCs w:val="28"/>
        </w:rPr>
      </w:pPr>
      <w:r>
        <w:rPr>
          <w:rFonts w:hint="eastAsia" w:ascii="宋体" w:hAnsi="宋体" w:cs="宋体"/>
          <w:b/>
          <w:sz w:val="28"/>
          <w:szCs w:val="28"/>
          <w:lang w:bidi="ar"/>
        </w:rPr>
        <w:t xml:space="preserve">工程量清单报价表</w:t>
      </w:r>
      <w:r>
        <w:rPr>
          <w:rFonts w:hint="eastAsia" w:ascii="宋体" w:hAnsi="宋体" w:cs="宋体"/>
          <w:b/>
          <w:sz w:val="28"/>
          <w:szCs w:val="28"/>
        </w:rPr>
      </w:r>
      <w:r/>
    </w:p>
    <w:p>
      <w:pPr>
        <w:pStyle w:val="1263"/>
        <w:jc w:val="center"/>
        <w:rPr>
          <w:rFonts w:hint="eastAsia" w:ascii="宋体" w:hAnsi="宋体" w:cs="宋体"/>
          <w:b/>
          <w:sz w:val="28"/>
          <w:szCs w:val="28"/>
        </w:rPr>
        <w:outlineLvl w:val="1"/>
      </w:pPr>
      <w:r>
        <w:rPr>
          <w:rFonts w:hint="eastAsia" w:ascii="宋体" w:hAnsi="宋体" w:cs="宋体"/>
          <w:b/>
          <w:sz w:val="28"/>
          <w:szCs w:val="28"/>
        </w:rPr>
      </w:r>
      <w:r/>
    </w:p>
    <w:p>
      <w:pPr>
        <w:pStyle w:val="1263"/>
        <w:jc w:val="center"/>
        <w:rPr>
          <w:rFonts w:hint="eastAsia" w:ascii="宋体" w:hAnsi="宋体" w:cs="宋体"/>
          <w:b/>
          <w:sz w:val="28"/>
          <w:szCs w:val="28"/>
        </w:rPr>
      </w:pPr>
      <w:r>
        <w:rPr>
          <w:rFonts w:hint="eastAsia" w:ascii="宋体" w:hAnsi="宋体" w:cs="宋体"/>
          <w:b/>
          <w:sz w:val="28"/>
          <w:szCs w:val="28"/>
          <w:lang w:bidi="ar"/>
        </w:rPr>
        <w:t xml:space="preserve">详见工程量清单</w:t>
      </w:r>
      <w:r>
        <w:rPr>
          <w:rFonts w:hint="eastAsia" w:ascii="宋体" w:hAnsi="宋体" w:cs="宋体"/>
          <w:b/>
          <w:sz w:val="28"/>
          <w:szCs w:val="28"/>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ascii="宋体" w:hAnsi="宋体" w:cs="宋体"/>
          <w:color w:val="000000"/>
          <w:sz w:val="24"/>
        </w:rPr>
      </w:pPr>
      <w:r>
        <w:rPr>
          <w:rFonts w:hint="eastAsia" w:ascii="宋体" w:hAnsi="宋体" w:cs="宋体"/>
          <w:color w:val="000000"/>
          <w:sz w:val="24"/>
        </w:rPr>
        <w:t xml:space="preserve">工程量清单报价格式：</w:t>
      </w:r>
      <w:r>
        <w:rPr>
          <w:rFonts w:hint="eastAsia" w:ascii="宋体" w:hAnsi="宋体" w:cs="宋体"/>
          <w:color w:val="000000"/>
          <w:sz w:val="24"/>
        </w:rPr>
      </w:r>
      <w:r/>
    </w:p>
    <w:p>
      <w:pPr>
        <w:pStyle w:val="1263"/>
        <w:ind w:firstLine="482"/>
        <w:spacing w:line="360" w:lineRule="auto"/>
        <w:rPr>
          <w:rFonts w:hint="eastAsia" w:ascii="宋体" w:hAnsi="宋体" w:cs="宋体"/>
          <w:sz w:val="24"/>
        </w:rPr>
      </w:pPr>
      <w:r>
        <w:rPr>
          <w:rFonts w:hint="eastAsia" w:ascii="宋体" w:hAnsi="宋体" w:eastAsia="宋体" w:cs="宋体"/>
          <w:b/>
          <w:color w:val="000000"/>
          <w:sz w:val="24"/>
        </w:rPr>
        <w:t xml:space="preserve">报价表格式填写要求详见《建设工程工程量清单计价标准》（GB/T50500-2024）中的相关规定。</w:t>
      </w:r>
      <w:r>
        <w:rPr>
          <w:rFonts w:hint="eastAsia" w:ascii="宋体" w:hAnsi="宋体" w:cs="宋体"/>
          <w:sz w:val="24"/>
        </w:rPr>
      </w:r>
      <w:r/>
    </w:p>
    <w:p>
      <w:pPr>
        <w:pStyle w:val="1263"/>
        <w:jc w:val="both"/>
        <w:rPr>
          <w:rFonts w:eastAsia="宋体"/>
          <w:b/>
          <w:color w:val="000000"/>
          <w:sz w:val="36"/>
          <w:szCs w:val="36"/>
          <w:lang w:val="en-US" w:eastAsia="zh-CN"/>
        </w:rPr>
      </w:pPr>
      <w:r>
        <w:rPr>
          <w:rFonts w:eastAsia="宋体"/>
          <w:b/>
          <w:color w:val="000000"/>
          <w:sz w:val="36"/>
          <w:szCs w:val="36"/>
          <w:lang w:val="en-US" w:eastAsia="zh-CN"/>
        </w:rPr>
      </w:r>
      <w:r/>
    </w:p>
    <w:p>
      <w:pPr>
        <w:pStyle w:val="1263"/>
        <w:spacing w:line="360" w:lineRule="auto"/>
        <w:rPr>
          <w:rFonts w:hint="eastAsia"/>
          <w:color w:val="000000"/>
          <w:sz w:val="24"/>
          <w:szCs w:val="20"/>
          <w:lang w:val="en-US" w:eastAsia="zh-CN"/>
        </w:rPr>
        <w:outlineLvl w:val="2"/>
      </w:pPr>
      <w:r/>
      <w:bookmarkStart w:id="623" w:name="_Toc264969252"/>
      <w:r/>
      <w:bookmarkStart w:id="624" w:name="_Toc226337258"/>
      <w:r/>
      <w:bookmarkStart w:id="625" w:name="_Toc226965752"/>
      <w:r/>
      <w:bookmarkStart w:id="626" w:name="_Toc195842927"/>
      <w:r/>
      <w:bookmarkStart w:id="627" w:name="_Toc150480798"/>
      <w:r/>
      <w:bookmarkStart w:id="628" w:name="_Toc226309806"/>
      <w:r/>
      <w:bookmarkStart w:id="629" w:name="_Toc127151562"/>
      <w:r/>
      <w:bookmarkStart w:id="630" w:name="_Toc305158830"/>
      <w:r/>
      <w:bookmarkStart w:id="631" w:name="_Toc305158904"/>
      <w:r/>
      <w:bookmarkStart w:id="632" w:name="_Toc226965835"/>
      <w:r/>
      <w:bookmarkStart w:id="633" w:name="_Toc142311062"/>
      <w:r/>
      <w:bookmarkStart w:id="634" w:name="_Toc265228400"/>
      <w:r/>
      <w:bookmarkStart w:id="635" w:name="_Toc150774765"/>
      <w:r/>
      <w:bookmarkStart w:id="636" w:name="_Toc226965751"/>
      <w:r/>
      <w:bookmarkStart w:id="637" w:name="_Toc226337257"/>
      <w:r/>
      <w:bookmarkStart w:id="638" w:name="_Toc226965834"/>
      <w:r/>
      <w:bookmarkStart w:id="639" w:name="_Toc127151561"/>
      <w:r/>
      <w:bookmarkStart w:id="640" w:name="_Toc305158903"/>
      <w:r/>
      <w:bookmarkStart w:id="641" w:name="_Toc150774764"/>
      <w:r/>
      <w:bookmarkStart w:id="642" w:name="_Toc226309805"/>
      <w:r/>
      <w:bookmarkStart w:id="643" w:name="_Toc265228399"/>
      <w:r/>
      <w:bookmarkStart w:id="644" w:name="_Toc142311061"/>
      <w:r/>
      <w:bookmarkStart w:id="645" w:name="_Toc264969251"/>
      <w:r/>
      <w:bookmarkStart w:id="646" w:name="_Toc150480797"/>
      <w:r/>
      <w:bookmarkStart w:id="647" w:name="_Toc195842926"/>
      <w:r/>
      <w:bookmarkStart w:id="648" w:name="_Toc305158829"/>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6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spacing w:line="360" w:lineRule="auto"/>
        <w:rPr>
          <w:color w:val="000000"/>
          <w:sz w:val="24"/>
          <w:szCs w:val="24"/>
        </w:rPr>
        <w:outlineLvl w:val="2"/>
      </w:pPr>
      <w:r>
        <w:rPr>
          <w:color w:val="000000"/>
          <w:sz w:val="24"/>
          <w:szCs w:val="20"/>
          <w:highlight w:val="none"/>
        </w:rPr>
      </w:r>
      <w:r>
        <w:rPr>
          <w:color w:val="000000"/>
          <w:sz w:val="24"/>
          <w:szCs w:val="20"/>
          <w:highlight w:val="none"/>
        </w:rPr>
      </w:r>
      <w:r/>
    </w:p>
    <w:p>
      <w:pPr>
        <w:spacing w:line="360" w:lineRule="auto"/>
        <w:rPr>
          <w:color w:val="000000"/>
          <w:sz w:val="24"/>
          <w:szCs w:val="24"/>
          <w:highlight w:val="none"/>
        </w:rPr>
        <w:outlineLvl w:val="2"/>
      </w:pPr>
      <w:r>
        <w:rPr>
          <w:color w:val="000000"/>
          <w:sz w:val="24"/>
          <w:szCs w:val="20"/>
          <w:highlight w:val="none"/>
        </w:rPr>
      </w:r>
      <w:r>
        <w:rPr>
          <w:color w:val="000000"/>
          <w:sz w:val="24"/>
          <w:szCs w:val="20"/>
          <w:highlight w:val="none"/>
        </w:rPr>
      </w:r>
      <w:r/>
    </w:p>
    <w:p>
      <w:pPr>
        <w:spacing w:line="360" w:lineRule="auto"/>
        <w:rPr>
          <w:color w:val="000000"/>
          <w:sz w:val="24"/>
          <w:szCs w:val="24"/>
          <w:highlight w:val="none"/>
        </w:rPr>
        <w:outlineLvl w:val="2"/>
      </w:pPr>
      <w:r>
        <w:rPr>
          <w:color w:val="000000"/>
          <w:sz w:val="24"/>
          <w:szCs w:val="20"/>
          <w:highlight w:val="none"/>
        </w:rPr>
      </w:r>
      <w:r>
        <w:rPr>
          <w:color w:val="000000"/>
          <w:sz w:val="24"/>
          <w:szCs w:val="20"/>
          <w:highlight w:val="none"/>
        </w:rPr>
      </w:r>
      <w:r/>
    </w:p>
    <w:p>
      <w:pPr>
        <w:spacing w:line="360" w:lineRule="auto"/>
        <w:rPr>
          <w:color w:val="000000"/>
          <w:sz w:val="24"/>
          <w:szCs w:val="24"/>
          <w:highlight w:val="none"/>
        </w:rPr>
        <w:outlineLvl w:val="2"/>
      </w:pPr>
      <w:r>
        <w:rPr>
          <w:color w:val="000000"/>
          <w:sz w:val="24"/>
          <w:szCs w:val="20"/>
          <w:highlight w:val="none"/>
        </w:rPr>
      </w:r>
      <w:r>
        <w:rPr>
          <w:color w:val="000000"/>
          <w:sz w:val="24"/>
          <w:szCs w:val="20"/>
          <w:highlight w:val="none"/>
        </w:rPr>
      </w:r>
      <w:r/>
    </w:p>
    <w:p>
      <w:pPr>
        <w:spacing w:line="360" w:lineRule="auto"/>
        <w:rPr>
          <w:color w:val="000000"/>
          <w:sz w:val="24"/>
          <w:szCs w:val="24"/>
          <w:highlight w:val="none"/>
        </w:rPr>
        <w:outlineLvl w:val="2"/>
      </w:pPr>
      <w:r>
        <w:rPr>
          <w:color w:val="000000"/>
          <w:sz w:val="24"/>
          <w:szCs w:val="20"/>
          <w:highlight w:val="none"/>
        </w:rPr>
      </w:r>
      <w:r>
        <w:rPr>
          <w:color w:val="000000"/>
          <w:sz w:val="24"/>
          <w:szCs w:val="20"/>
          <w:highlight w:val="none"/>
        </w:rPr>
      </w:r>
      <w:r/>
    </w:p>
    <w:p>
      <w:pPr>
        <w:spacing w:line="360" w:lineRule="auto"/>
        <w:rPr>
          <w:color w:val="000000"/>
          <w:sz w:val="24"/>
          <w:szCs w:val="24"/>
          <w:highlight w:val="none"/>
        </w:rPr>
        <w:outlineLvl w:val="2"/>
      </w:pPr>
      <w:r>
        <w:rPr>
          <w:color w:val="000000"/>
          <w:sz w:val="24"/>
          <w:szCs w:val="20"/>
          <w:highlight w:val="none"/>
        </w:rPr>
      </w:r>
      <w:r>
        <w:rPr>
          <w:color w:val="000000"/>
          <w:sz w:val="24"/>
          <w:szCs w:val="20"/>
          <w:highlight w:val="none"/>
        </w:rPr>
      </w:r>
      <w:r/>
    </w:p>
    <w:p>
      <w:pPr>
        <w:spacing w:line="360" w:lineRule="auto"/>
        <w:rPr>
          <w:color w:val="000000"/>
          <w:sz w:val="24"/>
          <w:szCs w:val="24"/>
          <w:highlight w:val="none"/>
        </w:rPr>
        <w:outlineLvl w:val="2"/>
      </w:pPr>
      <w:r>
        <w:rPr>
          <w:color w:val="000000"/>
          <w:sz w:val="24"/>
          <w:szCs w:val="20"/>
          <w:highlight w:val="none"/>
        </w:rPr>
      </w:r>
      <w:r>
        <w:rPr>
          <w:color w:val="000000"/>
          <w:sz w:val="24"/>
          <w:szCs w:val="20"/>
          <w:highlight w:val="none"/>
        </w:rPr>
      </w:r>
      <w:r/>
    </w:p>
    <w:p>
      <w:pPr>
        <w:spacing w:line="360" w:lineRule="auto"/>
        <w:rPr>
          <w:color w:val="000000"/>
          <w:sz w:val="24"/>
          <w:szCs w:val="24"/>
          <w:highlight w:val="none"/>
        </w:rPr>
        <w:outlineLvl w:val="2"/>
      </w:pPr>
      <w:r>
        <w:rPr>
          <w:color w:val="000000"/>
          <w:sz w:val="24"/>
          <w:szCs w:val="20"/>
          <w:highlight w:val="none"/>
        </w:rPr>
      </w:r>
      <w:r>
        <w:rPr>
          <w:color w:val="000000"/>
          <w:sz w:val="24"/>
          <w:szCs w:val="20"/>
          <w:highlight w:val="none"/>
        </w:rPr>
      </w:r>
      <w:r/>
    </w:p>
    <w:p>
      <w:pPr>
        <w:pStyle w:val="1263"/>
        <w:spacing w:line="360" w:lineRule="auto"/>
        <w:rPr>
          <w:color w:val="000000"/>
          <w:sz w:val="24"/>
          <w:szCs w:val="24"/>
          <w:highlight w:val="none"/>
        </w:rPr>
        <w:outlineLvl w:val="2"/>
      </w:pPr>
      <w:r>
        <w:rPr>
          <w:rFonts w:hint="eastAsia"/>
          <w:color w:val="000000"/>
          <w:sz w:val="24"/>
          <w:szCs w:val="20"/>
          <w:lang w:val="en-US" w:eastAsia="zh-CN"/>
        </w:rPr>
        <w:t xml:space="preserve">8</w:t>
      </w:r>
      <w:r>
        <w:rPr>
          <w:color w:val="000000"/>
          <w:sz w:val="24"/>
          <w:szCs w:val="20"/>
        </w:rPr>
        <w:t xml:space="preserve">  合同条款偏离表</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color w:val="000000"/>
          <w:sz w:val="24"/>
          <w:szCs w:val="20"/>
        </w:rPr>
      </w:r>
      <w:r/>
    </w:p>
    <w:p>
      <w:pPr>
        <w:pStyle w:val="1263"/>
        <w:spacing w:line="360" w:lineRule="auto"/>
        <w:rPr>
          <w:color w:val="000000"/>
          <w:sz w:val="24"/>
          <w:szCs w:val="20"/>
        </w:rPr>
      </w:pPr>
      <w:r>
        <w:rPr>
          <w:color w:val="000000"/>
          <w:sz w:val="24"/>
          <w:szCs w:val="20"/>
        </w:rPr>
      </w:r>
      <w:r/>
    </w:p>
    <w:p>
      <w:pPr>
        <w:pStyle w:val="1263"/>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263"/>
        <w:jc w:val="center"/>
        <w:rPr>
          <w:color w:val="000000"/>
          <w:sz w:val="36"/>
          <w:szCs w:val="36"/>
        </w:rPr>
      </w:pPr>
      <w:r>
        <w:rPr>
          <w:color w:val="000000"/>
          <w:sz w:val="36"/>
          <w:szCs w:val="36"/>
        </w:rPr>
      </w:r>
      <w:r/>
    </w:p>
    <w:p>
      <w:pPr>
        <w:pStyle w:val="1263"/>
        <w:spacing w:line="360" w:lineRule="auto"/>
        <w:rPr>
          <w:color w:val="000000"/>
          <w:sz w:val="24"/>
          <w:szCs w:val="20"/>
        </w:rPr>
      </w:pPr>
      <w:r>
        <w:rPr>
          <w:color w:val="000000"/>
          <w:sz w:val="24"/>
          <w:szCs w:val="20"/>
        </w:rPr>
      </w:r>
      <w:r/>
    </w:p>
    <w:p>
      <w:pPr>
        <w:pStyle w:val="1263"/>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68"/>
        <w:gridCol w:w="1922"/>
        <w:gridCol w:w="1923"/>
        <w:gridCol w:w="2362"/>
        <w:gridCol w:w="771"/>
      </w:tblGrid>
      <w:tr>
        <w:trPr>
          <w:trHeight w:val="930"/>
        </w:trPr>
        <w:tc>
          <w:tcPr>
            <w:gridSpan w:val="6"/>
            <w:tcW w:w="9059" w:type="dxa"/>
            <w:vAlign w:val="center"/>
            <w:textDirection w:val="lrTb"/>
            <w:noWrap w:val="false"/>
          </w:tcPr>
          <w:p>
            <w:pPr>
              <w:pStyle w:val="1263"/>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263"/>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263"/>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1263"/>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263"/>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1263"/>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1263"/>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1263"/>
              <w:jc w:val="center"/>
              <w:rPr>
                <w:color w:val="000000"/>
                <w:sz w:val="24"/>
              </w:rPr>
            </w:pPr>
            <w:r>
              <w:rPr>
                <w:color w:val="000000"/>
                <w:sz w:val="24"/>
              </w:rPr>
              <w:t xml:space="preserve">偏离情况</w:t>
            </w:r>
            <w:r>
              <w:rPr>
                <w:color w:val="000000"/>
                <w:sz w:val="24"/>
              </w:rPr>
            </w:r>
            <w:r/>
          </w:p>
          <w:p>
            <w:pPr>
              <w:pStyle w:val="1263"/>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1263"/>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263"/>
              <w:jc w:val="center"/>
              <w:rPr>
                <w:color w:val="000000"/>
                <w:sz w:val="24"/>
              </w:rPr>
            </w:pPr>
            <w:r>
              <w:rPr>
                <w:color w:val="000000"/>
                <w:sz w:val="24"/>
              </w:rPr>
            </w:r>
            <w:r/>
          </w:p>
        </w:tc>
        <w:tc>
          <w:tcPr>
            <w:tcW w:w="1301" w:type="dxa"/>
            <w:vAlign w:val="center"/>
            <w:textDirection w:val="lrTb"/>
            <w:noWrap w:val="false"/>
          </w:tcPr>
          <w:p>
            <w:pPr>
              <w:pStyle w:val="1263"/>
              <w:jc w:val="center"/>
              <w:rPr>
                <w:color w:val="000000"/>
                <w:sz w:val="24"/>
              </w:rPr>
            </w:pPr>
            <w:r>
              <w:rPr>
                <w:color w:val="000000"/>
                <w:sz w:val="24"/>
              </w:rPr>
            </w:r>
            <w:r/>
          </w:p>
        </w:tc>
        <w:tc>
          <w:tcPr>
            <w:tcW w:w="2007" w:type="dxa"/>
            <w:vAlign w:val="center"/>
            <w:textDirection w:val="lrTb"/>
            <w:noWrap w:val="false"/>
          </w:tcPr>
          <w:p>
            <w:pPr>
              <w:pStyle w:val="1263"/>
              <w:jc w:val="center"/>
              <w:rPr>
                <w:color w:val="000000"/>
                <w:sz w:val="24"/>
              </w:rPr>
            </w:pPr>
            <w:r>
              <w:rPr>
                <w:color w:val="000000"/>
                <w:sz w:val="24"/>
              </w:rPr>
            </w:r>
            <w:r/>
          </w:p>
        </w:tc>
        <w:tc>
          <w:tcPr>
            <w:tcW w:w="2008" w:type="dxa"/>
            <w:vAlign w:val="center"/>
            <w:textDirection w:val="lrTb"/>
            <w:noWrap w:val="false"/>
          </w:tcPr>
          <w:p>
            <w:pPr>
              <w:pStyle w:val="1263"/>
              <w:jc w:val="center"/>
              <w:rPr>
                <w:color w:val="000000"/>
                <w:sz w:val="24"/>
              </w:rPr>
            </w:pPr>
            <w:r>
              <w:rPr>
                <w:color w:val="000000"/>
                <w:sz w:val="24"/>
              </w:rPr>
            </w:r>
            <w:r/>
          </w:p>
        </w:tc>
        <w:tc>
          <w:tcPr>
            <w:tcW w:w="2458" w:type="dxa"/>
            <w:vAlign w:val="center"/>
            <w:textDirection w:val="lrTb"/>
            <w:noWrap w:val="false"/>
          </w:tcPr>
          <w:p>
            <w:pPr>
              <w:pStyle w:val="1263"/>
              <w:jc w:val="center"/>
              <w:rPr>
                <w:color w:val="000000"/>
                <w:sz w:val="24"/>
              </w:rPr>
            </w:pPr>
            <w:r>
              <w:rPr>
                <w:color w:val="000000"/>
                <w:sz w:val="24"/>
              </w:rPr>
            </w:r>
            <w:r/>
          </w:p>
        </w:tc>
        <w:tc>
          <w:tcPr>
            <w:tcW w:w="788" w:type="dxa"/>
            <w:vAlign w:val="center"/>
            <w:textDirection w:val="lrTb"/>
            <w:noWrap w:val="false"/>
          </w:tcPr>
          <w:p>
            <w:pPr>
              <w:pStyle w:val="1263"/>
              <w:jc w:val="center"/>
              <w:rPr>
                <w:color w:val="000000"/>
                <w:sz w:val="24"/>
              </w:rPr>
            </w:pPr>
            <w:r>
              <w:rPr>
                <w:color w:val="000000"/>
                <w:sz w:val="24"/>
              </w:rPr>
            </w:r>
            <w:r/>
          </w:p>
        </w:tc>
      </w:tr>
      <w:tr>
        <w:trPr>
          <w:trHeight w:val="930"/>
        </w:trPr>
        <w:tc>
          <w:tcPr>
            <w:tcW w:w="834" w:type="dxa"/>
            <w:vAlign w:val="center"/>
            <w:textDirection w:val="lrTb"/>
            <w:noWrap w:val="false"/>
          </w:tcPr>
          <w:p>
            <w:pPr>
              <w:pStyle w:val="1263"/>
              <w:jc w:val="center"/>
              <w:rPr>
                <w:color w:val="000000"/>
                <w:sz w:val="24"/>
              </w:rPr>
            </w:pPr>
            <w:r>
              <w:rPr>
                <w:color w:val="000000"/>
                <w:sz w:val="24"/>
              </w:rPr>
            </w:r>
            <w:r/>
          </w:p>
        </w:tc>
        <w:tc>
          <w:tcPr>
            <w:tcW w:w="1301" w:type="dxa"/>
            <w:vAlign w:val="center"/>
            <w:textDirection w:val="lrTb"/>
            <w:noWrap w:val="false"/>
          </w:tcPr>
          <w:p>
            <w:pPr>
              <w:pStyle w:val="1263"/>
              <w:jc w:val="center"/>
              <w:rPr>
                <w:color w:val="000000"/>
                <w:sz w:val="24"/>
              </w:rPr>
            </w:pPr>
            <w:r>
              <w:rPr>
                <w:color w:val="000000"/>
                <w:sz w:val="24"/>
              </w:rPr>
            </w:r>
            <w:r/>
          </w:p>
        </w:tc>
        <w:tc>
          <w:tcPr>
            <w:tcW w:w="2007" w:type="dxa"/>
            <w:vAlign w:val="center"/>
            <w:textDirection w:val="lrTb"/>
            <w:noWrap w:val="false"/>
          </w:tcPr>
          <w:p>
            <w:pPr>
              <w:pStyle w:val="1263"/>
              <w:jc w:val="center"/>
              <w:rPr>
                <w:color w:val="000000"/>
                <w:sz w:val="24"/>
              </w:rPr>
            </w:pPr>
            <w:r>
              <w:rPr>
                <w:color w:val="000000"/>
                <w:sz w:val="24"/>
              </w:rPr>
            </w:r>
            <w:r/>
          </w:p>
        </w:tc>
        <w:tc>
          <w:tcPr>
            <w:tcW w:w="2008" w:type="dxa"/>
            <w:vAlign w:val="center"/>
            <w:textDirection w:val="lrTb"/>
            <w:noWrap w:val="false"/>
          </w:tcPr>
          <w:p>
            <w:pPr>
              <w:pStyle w:val="1263"/>
              <w:jc w:val="center"/>
              <w:rPr>
                <w:color w:val="000000"/>
                <w:sz w:val="24"/>
              </w:rPr>
            </w:pPr>
            <w:r>
              <w:rPr>
                <w:color w:val="000000"/>
                <w:sz w:val="24"/>
              </w:rPr>
            </w:r>
            <w:r/>
          </w:p>
        </w:tc>
        <w:tc>
          <w:tcPr>
            <w:tcW w:w="2458" w:type="dxa"/>
            <w:vAlign w:val="center"/>
            <w:textDirection w:val="lrTb"/>
            <w:noWrap w:val="false"/>
          </w:tcPr>
          <w:p>
            <w:pPr>
              <w:pStyle w:val="1263"/>
              <w:jc w:val="center"/>
              <w:rPr>
                <w:color w:val="000000"/>
                <w:sz w:val="24"/>
              </w:rPr>
            </w:pPr>
            <w:r>
              <w:rPr>
                <w:color w:val="000000"/>
                <w:sz w:val="24"/>
              </w:rPr>
            </w:r>
            <w:r/>
          </w:p>
        </w:tc>
        <w:tc>
          <w:tcPr>
            <w:tcW w:w="788" w:type="dxa"/>
            <w:vAlign w:val="center"/>
            <w:textDirection w:val="lrTb"/>
            <w:noWrap w:val="false"/>
          </w:tcPr>
          <w:p>
            <w:pPr>
              <w:pStyle w:val="1263"/>
              <w:jc w:val="center"/>
              <w:rPr>
                <w:color w:val="000000"/>
                <w:sz w:val="24"/>
              </w:rPr>
            </w:pPr>
            <w:r>
              <w:rPr>
                <w:color w:val="000000"/>
                <w:sz w:val="24"/>
              </w:rPr>
            </w:r>
            <w:r/>
          </w:p>
        </w:tc>
      </w:tr>
      <w:tr>
        <w:trPr>
          <w:trHeight w:val="930"/>
        </w:trPr>
        <w:tc>
          <w:tcPr>
            <w:tcW w:w="834" w:type="dxa"/>
            <w:vAlign w:val="center"/>
            <w:textDirection w:val="lrTb"/>
            <w:noWrap w:val="false"/>
          </w:tcPr>
          <w:p>
            <w:pPr>
              <w:pStyle w:val="1263"/>
              <w:jc w:val="center"/>
              <w:rPr>
                <w:color w:val="000000"/>
                <w:sz w:val="24"/>
              </w:rPr>
            </w:pPr>
            <w:r>
              <w:rPr>
                <w:color w:val="000000"/>
                <w:sz w:val="24"/>
              </w:rPr>
            </w:r>
            <w:r/>
          </w:p>
        </w:tc>
        <w:tc>
          <w:tcPr>
            <w:tcW w:w="1301" w:type="dxa"/>
            <w:vAlign w:val="center"/>
            <w:textDirection w:val="lrTb"/>
            <w:noWrap w:val="false"/>
          </w:tcPr>
          <w:p>
            <w:pPr>
              <w:pStyle w:val="1263"/>
              <w:jc w:val="center"/>
              <w:rPr>
                <w:color w:val="000000"/>
                <w:sz w:val="24"/>
              </w:rPr>
            </w:pPr>
            <w:r>
              <w:rPr>
                <w:color w:val="000000"/>
                <w:sz w:val="24"/>
              </w:rPr>
            </w:r>
            <w:r/>
          </w:p>
        </w:tc>
        <w:tc>
          <w:tcPr>
            <w:tcW w:w="2007" w:type="dxa"/>
            <w:vAlign w:val="center"/>
            <w:textDirection w:val="lrTb"/>
            <w:noWrap w:val="false"/>
          </w:tcPr>
          <w:p>
            <w:pPr>
              <w:pStyle w:val="1263"/>
              <w:jc w:val="center"/>
              <w:rPr>
                <w:color w:val="000000"/>
                <w:sz w:val="24"/>
              </w:rPr>
            </w:pPr>
            <w:r>
              <w:rPr>
                <w:color w:val="000000"/>
                <w:sz w:val="24"/>
              </w:rPr>
            </w:r>
            <w:r/>
          </w:p>
        </w:tc>
        <w:tc>
          <w:tcPr>
            <w:tcW w:w="2008" w:type="dxa"/>
            <w:vAlign w:val="center"/>
            <w:textDirection w:val="lrTb"/>
            <w:noWrap w:val="false"/>
          </w:tcPr>
          <w:p>
            <w:pPr>
              <w:pStyle w:val="1263"/>
              <w:jc w:val="center"/>
              <w:rPr>
                <w:color w:val="000000"/>
                <w:sz w:val="24"/>
              </w:rPr>
            </w:pPr>
            <w:r>
              <w:rPr>
                <w:color w:val="000000"/>
                <w:sz w:val="24"/>
              </w:rPr>
            </w:r>
            <w:r/>
          </w:p>
        </w:tc>
        <w:tc>
          <w:tcPr>
            <w:tcW w:w="2458" w:type="dxa"/>
            <w:vAlign w:val="center"/>
            <w:textDirection w:val="lrTb"/>
            <w:noWrap w:val="false"/>
          </w:tcPr>
          <w:p>
            <w:pPr>
              <w:pStyle w:val="1263"/>
              <w:jc w:val="center"/>
              <w:rPr>
                <w:color w:val="000000"/>
                <w:sz w:val="24"/>
              </w:rPr>
            </w:pPr>
            <w:r>
              <w:rPr>
                <w:color w:val="000000"/>
                <w:sz w:val="24"/>
              </w:rPr>
            </w:r>
            <w:r/>
          </w:p>
        </w:tc>
        <w:tc>
          <w:tcPr>
            <w:tcW w:w="788" w:type="dxa"/>
            <w:vAlign w:val="center"/>
            <w:textDirection w:val="lrTb"/>
            <w:noWrap w:val="false"/>
          </w:tcPr>
          <w:p>
            <w:pPr>
              <w:pStyle w:val="1263"/>
              <w:jc w:val="center"/>
              <w:rPr>
                <w:color w:val="000000"/>
                <w:sz w:val="24"/>
              </w:rPr>
            </w:pPr>
            <w:r>
              <w:rPr>
                <w:color w:val="000000"/>
                <w:sz w:val="24"/>
              </w:rPr>
            </w:r>
            <w:r/>
          </w:p>
        </w:tc>
      </w:tr>
      <w:tr>
        <w:trPr>
          <w:trHeight w:val="930"/>
        </w:trPr>
        <w:tc>
          <w:tcPr>
            <w:tcW w:w="834" w:type="dxa"/>
            <w:vAlign w:val="center"/>
            <w:textDirection w:val="lrTb"/>
            <w:noWrap w:val="false"/>
          </w:tcPr>
          <w:p>
            <w:pPr>
              <w:pStyle w:val="1263"/>
              <w:jc w:val="center"/>
              <w:rPr>
                <w:color w:val="000000"/>
                <w:sz w:val="24"/>
              </w:rPr>
            </w:pPr>
            <w:r>
              <w:rPr>
                <w:color w:val="000000"/>
                <w:sz w:val="24"/>
              </w:rPr>
            </w:r>
            <w:r/>
          </w:p>
        </w:tc>
        <w:tc>
          <w:tcPr>
            <w:tcW w:w="1301" w:type="dxa"/>
            <w:vAlign w:val="center"/>
            <w:textDirection w:val="lrTb"/>
            <w:noWrap w:val="false"/>
          </w:tcPr>
          <w:p>
            <w:pPr>
              <w:pStyle w:val="1263"/>
              <w:jc w:val="center"/>
              <w:rPr>
                <w:color w:val="000000"/>
                <w:sz w:val="24"/>
              </w:rPr>
            </w:pPr>
            <w:r>
              <w:rPr>
                <w:color w:val="000000"/>
                <w:sz w:val="24"/>
              </w:rPr>
            </w:r>
            <w:r/>
          </w:p>
        </w:tc>
        <w:tc>
          <w:tcPr>
            <w:tcW w:w="2007" w:type="dxa"/>
            <w:vAlign w:val="center"/>
            <w:textDirection w:val="lrTb"/>
            <w:noWrap w:val="false"/>
          </w:tcPr>
          <w:p>
            <w:pPr>
              <w:pStyle w:val="1263"/>
              <w:jc w:val="center"/>
              <w:rPr>
                <w:color w:val="000000"/>
                <w:sz w:val="24"/>
              </w:rPr>
            </w:pPr>
            <w:r>
              <w:rPr>
                <w:color w:val="000000"/>
                <w:sz w:val="24"/>
              </w:rPr>
            </w:r>
            <w:r/>
          </w:p>
        </w:tc>
        <w:tc>
          <w:tcPr>
            <w:tcW w:w="2008" w:type="dxa"/>
            <w:vAlign w:val="center"/>
            <w:textDirection w:val="lrTb"/>
            <w:noWrap w:val="false"/>
          </w:tcPr>
          <w:p>
            <w:pPr>
              <w:pStyle w:val="1263"/>
              <w:jc w:val="center"/>
              <w:rPr>
                <w:color w:val="000000"/>
                <w:sz w:val="24"/>
              </w:rPr>
            </w:pPr>
            <w:r>
              <w:rPr>
                <w:color w:val="000000"/>
                <w:sz w:val="24"/>
              </w:rPr>
            </w:r>
            <w:r/>
          </w:p>
        </w:tc>
        <w:tc>
          <w:tcPr>
            <w:tcW w:w="2458" w:type="dxa"/>
            <w:vAlign w:val="center"/>
            <w:textDirection w:val="lrTb"/>
            <w:noWrap w:val="false"/>
          </w:tcPr>
          <w:p>
            <w:pPr>
              <w:pStyle w:val="1263"/>
              <w:jc w:val="center"/>
              <w:rPr>
                <w:color w:val="000000"/>
                <w:sz w:val="24"/>
              </w:rPr>
            </w:pPr>
            <w:r>
              <w:rPr>
                <w:color w:val="000000"/>
                <w:sz w:val="24"/>
              </w:rPr>
            </w:r>
            <w:r/>
          </w:p>
        </w:tc>
        <w:tc>
          <w:tcPr>
            <w:tcW w:w="788" w:type="dxa"/>
            <w:vAlign w:val="center"/>
            <w:textDirection w:val="lrTb"/>
            <w:noWrap w:val="false"/>
          </w:tcPr>
          <w:p>
            <w:pPr>
              <w:pStyle w:val="1263"/>
              <w:jc w:val="center"/>
              <w:rPr>
                <w:color w:val="000000"/>
                <w:sz w:val="24"/>
              </w:rPr>
            </w:pPr>
            <w:r>
              <w:rPr>
                <w:color w:val="000000"/>
                <w:sz w:val="24"/>
              </w:rPr>
            </w:r>
            <w:r/>
          </w:p>
        </w:tc>
      </w:tr>
    </w:tbl>
    <w:p>
      <w:pPr>
        <w:pStyle w:val="1263"/>
        <w:jc w:val="left"/>
        <w:tabs>
          <w:tab w:val="left" w:pos="1800" w:leader="none"/>
          <w:tab w:val="left" w:pos="5580" w:leader="none"/>
        </w:tabs>
        <w:rPr>
          <w:color w:val="000000"/>
          <w:sz w:val="24"/>
        </w:rPr>
      </w:pPr>
      <w:r>
        <w:rPr>
          <w:color w:val="000000"/>
          <w:sz w:val="24"/>
        </w:rPr>
      </w:r>
      <w:r/>
    </w:p>
    <w:p>
      <w:pPr>
        <w:pStyle w:val="1263"/>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263"/>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263"/>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color w:val="000000"/>
          <w:sz w:val="24"/>
        </w:rPr>
      </w:r>
      <w:r/>
    </w:p>
    <w:p>
      <w:pPr>
        <w:pStyle w:val="1263"/>
        <w:spacing w:line="360" w:lineRule="auto"/>
        <w:rPr>
          <w:color w:val="000000"/>
          <w:sz w:val="24"/>
          <w:szCs w:val="20"/>
        </w:rPr>
      </w:pPr>
      <w:r>
        <w:rPr>
          <w:color w:val="000000"/>
          <w:sz w:val="24"/>
          <w:szCs w:val="20"/>
        </w:rPr>
      </w:r>
      <w:r/>
    </w:p>
    <w:p>
      <w:pPr>
        <w:pStyle w:val="126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26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6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63"/>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9</w:t>
      </w:r>
      <w:r>
        <w:rPr>
          <w:color w:val="000000"/>
          <w:sz w:val="24"/>
          <w:szCs w:val="20"/>
        </w:rPr>
        <w:t xml:space="preserve">  </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color w:val="000000"/>
          <w:sz w:val="24"/>
          <w:szCs w:val="20"/>
        </w:rPr>
        <w:t xml:space="preserve">采购需求偏离表</w:t>
      </w:r>
      <w:r>
        <w:rPr>
          <w:color w:val="000000"/>
          <w:sz w:val="24"/>
          <w:szCs w:val="20"/>
        </w:rPr>
      </w:r>
      <w:r/>
    </w:p>
    <w:p>
      <w:pPr>
        <w:pStyle w:val="1263"/>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263"/>
        <w:jc w:val="center"/>
        <w:rPr>
          <w:color w:val="000000"/>
          <w:sz w:val="36"/>
          <w:szCs w:val="36"/>
        </w:rPr>
      </w:pPr>
      <w:r>
        <w:rPr>
          <w:color w:val="000000"/>
          <w:sz w:val="36"/>
          <w:szCs w:val="36"/>
        </w:rPr>
      </w:r>
      <w:r/>
    </w:p>
    <w:p>
      <w:pPr>
        <w:pStyle w:val="1263"/>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458"/>
        <w:gridCol w:w="1732"/>
        <w:gridCol w:w="1923"/>
        <w:gridCol w:w="2362"/>
        <w:gridCol w:w="771"/>
      </w:tblGrid>
      <w:tr>
        <w:trPr>
          <w:trHeight w:val="930"/>
        </w:trPr>
        <w:tc>
          <w:tcPr>
            <w:tcW w:w="827" w:type="dxa"/>
            <w:vAlign w:val="center"/>
            <w:textDirection w:val="lrTb"/>
            <w:noWrap w:val="false"/>
          </w:tcPr>
          <w:p>
            <w:pPr>
              <w:pStyle w:val="1263"/>
              <w:jc w:val="center"/>
              <w:rPr>
                <w:color w:val="000000"/>
                <w:sz w:val="24"/>
              </w:rPr>
            </w:pPr>
            <w:r>
              <w:rPr>
                <w:color w:val="000000"/>
                <w:sz w:val="24"/>
              </w:rPr>
              <w:t xml:space="preserve">序号</w:t>
            </w:r>
            <w:r>
              <w:rPr>
                <w:color w:val="000000"/>
                <w:sz w:val="24"/>
              </w:rPr>
            </w:r>
            <w:r/>
          </w:p>
        </w:tc>
        <w:tc>
          <w:tcPr>
            <w:tcW w:w="1488" w:type="dxa"/>
            <w:vAlign w:val="center"/>
            <w:textDirection w:val="lrTb"/>
            <w:noWrap w:val="false"/>
          </w:tcPr>
          <w:p>
            <w:pPr>
              <w:pStyle w:val="1263"/>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782" w:type="dxa"/>
            <w:vAlign w:val="center"/>
            <w:textDirection w:val="lrTb"/>
            <w:noWrap w:val="false"/>
          </w:tcPr>
          <w:p>
            <w:pPr>
              <w:pStyle w:val="1263"/>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263"/>
              <w:jc w:val="center"/>
              <w:rPr>
                <w:color w:val="000000"/>
                <w:sz w:val="24"/>
              </w:rPr>
            </w:pPr>
            <w:r>
              <w:rPr>
                <w:color w:val="000000"/>
                <w:sz w:val="24"/>
              </w:rPr>
              <w:t xml:space="preserve">响应内容</w:t>
            </w:r>
            <w:r>
              <w:rPr>
                <w:color w:val="000000"/>
                <w:sz w:val="24"/>
              </w:rPr>
            </w:r>
            <w:r/>
          </w:p>
        </w:tc>
        <w:tc>
          <w:tcPr>
            <w:tcW w:w="2427" w:type="dxa"/>
            <w:vAlign w:val="center"/>
            <w:textDirection w:val="lrTb"/>
            <w:noWrap w:val="false"/>
          </w:tcPr>
          <w:p>
            <w:pPr>
              <w:pStyle w:val="1263"/>
              <w:jc w:val="center"/>
              <w:rPr>
                <w:color w:val="000000"/>
                <w:sz w:val="24"/>
              </w:rPr>
            </w:pPr>
            <w:r>
              <w:rPr>
                <w:color w:val="000000"/>
                <w:sz w:val="24"/>
              </w:rPr>
              <w:t xml:space="preserve">偏离情况</w:t>
            </w:r>
            <w:r>
              <w:rPr>
                <w:color w:val="000000"/>
                <w:sz w:val="24"/>
              </w:rPr>
            </w:r>
            <w:r/>
          </w:p>
          <w:p>
            <w:pPr>
              <w:pStyle w:val="1263"/>
              <w:jc w:val="center"/>
              <w:rPr>
                <w:color w:val="000000"/>
                <w:sz w:val="24"/>
              </w:rPr>
            </w:pPr>
            <w:r>
              <w:rPr>
                <w:color w:val="000000"/>
                <w:sz w:val="24"/>
              </w:rPr>
              <w:t xml:space="preserve">（据实填写）</w:t>
            </w:r>
            <w:r>
              <w:rPr>
                <w:color w:val="000000"/>
                <w:sz w:val="24"/>
              </w:rPr>
            </w:r>
            <w:r/>
          </w:p>
        </w:tc>
        <w:tc>
          <w:tcPr>
            <w:tcW w:w="783" w:type="dxa"/>
            <w:vAlign w:val="center"/>
            <w:textDirection w:val="lrTb"/>
            <w:noWrap w:val="false"/>
          </w:tcPr>
          <w:p>
            <w:pPr>
              <w:pStyle w:val="1263"/>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1263"/>
              <w:jc w:val="center"/>
              <w:rPr>
                <w:color w:val="000000"/>
                <w:sz w:val="24"/>
              </w:rPr>
            </w:pPr>
            <w:r>
              <w:rPr>
                <w:color w:val="000000"/>
                <w:sz w:val="24"/>
              </w:rPr>
            </w:r>
            <w:r/>
          </w:p>
        </w:tc>
        <w:tc>
          <w:tcPr>
            <w:tcW w:w="1488" w:type="dxa"/>
            <w:vAlign w:val="center"/>
            <w:textDirection w:val="lrTb"/>
            <w:noWrap w:val="false"/>
          </w:tcPr>
          <w:p>
            <w:pPr>
              <w:pStyle w:val="1263"/>
              <w:jc w:val="center"/>
              <w:rPr>
                <w:color w:val="000000"/>
                <w:sz w:val="24"/>
              </w:rPr>
            </w:pPr>
            <w:r>
              <w:rPr>
                <w:color w:val="000000"/>
                <w:sz w:val="24"/>
              </w:rPr>
            </w:r>
            <w:r/>
          </w:p>
        </w:tc>
        <w:tc>
          <w:tcPr>
            <w:tcW w:w="1782" w:type="dxa"/>
            <w:vAlign w:val="center"/>
            <w:textDirection w:val="lrTb"/>
            <w:noWrap w:val="false"/>
          </w:tcPr>
          <w:p>
            <w:pPr>
              <w:pStyle w:val="1263"/>
              <w:jc w:val="center"/>
              <w:rPr>
                <w:color w:val="000000"/>
                <w:sz w:val="24"/>
              </w:rPr>
            </w:pPr>
            <w:r>
              <w:rPr>
                <w:color w:val="000000"/>
                <w:sz w:val="24"/>
              </w:rPr>
            </w:r>
            <w:r/>
          </w:p>
        </w:tc>
        <w:tc>
          <w:tcPr>
            <w:tcW w:w="1981" w:type="dxa"/>
            <w:vAlign w:val="center"/>
            <w:textDirection w:val="lrTb"/>
            <w:noWrap w:val="false"/>
          </w:tcPr>
          <w:p>
            <w:pPr>
              <w:pStyle w:val="1263"/>
              <w:jc w:val="center"/>
              <w:rPr>
                <w:color w:val="000000"/>
                <w:sz w:val="24"/>
              </w:rPr>
            </w:pPr>
            <w:r>
              <w:rPr>
                <w:color w:val="000000"/>
                <w:sz w:val="24"/>
              </w:rPr>
            </w:r>
            <w:r/>
          </w:p>
        </w:tc>
        <w:tc>
          <w:tcPr>
            <w:tcW w:w="2427" w:type="dxa"/>
            <w:vAlign w:val="center"/>
            <w:textDirection w:val="lrTb"/>
            <w:noWrap w:val="false"/>
          </w:tcPr>
          <w:p>
            <w:pPr>
              <w:pStyle w:val="1263"/>
              <w:jc w:val="center"/>
              <w:rPr>
                <w:color w:val="000000"/>
                <w:sz w:val="24"/>
              </w:rPr>
            </w:pPr>
            <w:r>
              <w:rPr>
                <w:color w:val="000000"/>
                <w:sz w:val="24"/>
              </w:rPr>
            </w:r>
            <w:r/>
          </w:p>
        </w:tc>
        <w:tc>
          <w:tcPr>
            <w:tcW w:w="783" w:type="dxa"/>
            <w:vAlign w:val="center"/>
            <w:textDirection w:val="lrTb"/>
            <w:noWrap w:val="false"/>
          </w:tcPr>
          <w:p>
            <w:pPr>
              <w:pStyle w:val="1263"/>
              <w:jc w:val="center"/>
              <w:rPr>
                <w:color w:val="000000"/>
                <w:sz w:val="24"/>
              </w:rPr>
            </w:pPr>
            <w:r>
              <w:rPr>
                <w:color w:val="000000"/>
                <w:sz w:val="24"/>
              </w:rPr>
            </w:r>
            <w:r/>
          </w:p>
        </w:tc>
      </w:tr>
      <w:tr>
        <w:trPr>
          <w:trHeight w:val="930"/>
        </w:trPr>
        <w:tc>
          <w:tcPr>
            <w:tcW w:w="827" w:type="dxa"/>
            <w:vAlign w:val="center"/>
            <w:textDirection w:val="lrTb"/>
            <w:noWrap w:val="false"/>
          </w:tcPr>
          <w:p>
            <w:pPr>
              <w:pStyle w:val="1263"/>
              <w:jc w:val="center"/>
              <w:rPr>
                <w:color w:val="000000"/>
                <w:sz w:val="24"/>
              </w:rPr>
            </w:pPr>
            <w:r>
              <w:rPr>
                <w:color w:val="000000"/>
                <w:sz w:val="24"/>
              </w:rPr>
            </w:r>
            <w:r/>
          </w:p>
        </w:tc>
        <w:tc>
          <w:tcPr>
            <w:tcW w:w="1488" w:type="dxa"/>
            <w:vAlign w:val="center"/>
            <w:textDirection w:val="lrTb"/>
            <w:noWrap w:val="false"/>
          </w:tcPr>
          <w:p>
            <w:pPr>
              <w:pStyle w:val="1263"/>
              <w:jc w:val="center"/>
              <w:rPr>
                <w:color w:val="000000"/>
                <w:sz w:val="24"/>
              </w:rPr>
            </w:pPr>
            <w:r>
              <w:rPr>
                <w:color w:val="000000"/>
                <w:sz w:val="24"/>
              </w:rPr>
            </w:r>
            <w:r/>
          </w:p>
        </w:tc>
        <w:tc>
          <w:tcPr>
            <w:tcW w:w="1782" w:type="dxa"/>
            <w:vAlign w:val="center"/>
            <w:textDirection w:val="lrTb"/>
            <w:noWrap w:val="false"/>
          </w:tcPr>
          <w:p>
            <w:pPr>
              <w:pStyle w:val="1263"/>
              <w:jc w:val="center"/>
              <w:rPr>
                <w:color w:val="000000"/>
                <w:sz w:val="24"/>
              </w:rPr>
            </w:pPr>
            <w:r>
              <w:rPr>
                <w:color w:val="000000"/>
                <w:sz w:val="24"/>
              </w:rPr>
            </w:r>
            <w:r/>
          </w:p>
        </w:tc>
        <w:tc>
          <w:tcPr>
            <w:tcW w:w="1981" w:type="dxa"/>
            <w:vAlign w:val="center"/>
            <w:textDirection w:val="lrTb"/>
            <w:noWrap w:val="false"/>
          </w:tcPr>
          <w:p>
            <w:pPr>
              <w:pStyle w:val="1263"/>
              <w:jc w:val="center"/>
              <w:rPr>
                <w:color w:val="000000"/>
                <w:sz w:val="24"/>
              </w:rPr>
            </w:pPr>
            <w:r>
              <w:rPr>
                <w:color w:val="000000"/>
                <w:sz w:val="24"/>
              </w:rPr>
            </w:r>
            <w:r/>
          </w:p>
        </w:tc>
        <w:tc>
          <w:tcPr>
            <w:tcW w:w="2427" w:type="dxa"/>
            <w:vAlign w:val="center"/>
            <w:textDirection w:val="lrTb"/>
            <w:noWrap w:val="false"/>
          </w:tcPr>
          <w:p>
            <w:pPr>
              <w:pStyle w:val="1263"/>
              <w:jc w:val="center"/>
              <w:rPr>
                <w:color w:val="000000"/>
                <w:sz w:val="24"/>
              </w:rPr>
            </w:pPr>
            <w:r>
              <w:rPr>
                <w:color w:val="000000"/>
                <w:sz w:val="24"/>
              </w:rPr>
            </w:r>
            <w:r/>
          </w:p>
        </w:tc>
        <w:tc>
          <w:tcPr>
            <w:tcW w:w="783" w:type="dxa"/>
            <w:vAlign w:val="center"/>
            <w:textDirection w:val="lrTb"/>
            <w:noWrap w:val="false"/>
          </w:tcPr>
          <w:p>
            <w:pPr>
              <w:pStyle w:val="1263"/>
              <w:jc w:val="center"/>
              <w:rPr>
                <w:color w:val="000000"/>
                <w:sz w:val="24"/>
              </w:rPr>
            </w:pPr>
            <w:r>
              <w:rPr>
                <w:color w:val="000000"/>
                <w:sz w:val="24"/>
              </w:rPr>
            </w:r>
            <w:r/>
          </w:p>
        </w:tc>
      </w:tr>
      <w:tr>
        <w:trPr>
          <w:trHeight w:val="930"/>
        </w:trPr>
        <w:tc>
          <w:tcPr>
            <w:tcW w:w="827" w:type="dxa"/>
            <w:vAlign w:val="center"/>
            <w:textDirection w:val="lrTb"/>
            <w:noWrap w:val="false"/>
          </w:tcPr>
          <w:p>
            <w:pPr>
              <w:pStyle w:val="1263"/>
              <w:jc w:val="center"/>
              <w:rPr>
                <w:color w:val="000000"/>
                <w:sz w:val="24"/>
              </w:rPr>
            </w:pPr>
            <w:r>
              <w:rPr>
                <w:color w:val="000000"/>
                <w:sz w:val="24"/>
              </w:rPr>
            </w:r>
            <w:r/>
          </w:p>
        </w:tc>
        <w:tc>
          <w:tcPr>
            <w:tcW w:w="1488" w:type="dxa"/>
            <w:vAlign w:val="center"/>
            <w:textDirection w:val="lrTb"/>
            <w:noWrap w:val="false"/>
          </w:tcPr>
          <w:p>
            <w:pPr>
              <w:pStyle w:val="1263"/>
              <w:jc w:val="center"/>
              <w:rPr>
                <w:color w:val="000000"/>
                <w:sz w:val="24"/>
              </w:rPr>
            </w:pPr>
            <w:r>
              <w:rPr>
                <w:color w:val="000000"/>
                <w:sz w:val="24"/>
              </w:rPr>
            </w:r>
            <w:r/>
          </w:p>
        </w:tc>
        <w:tc>
          <w:tcPr>
            <w:tcW w:w="1782" w:type="dxa"/>
            <w:vAlign w:val="center"/>
            <w:textDirection w:val="lrTb"/>
            <w:noWrap w:val="false"/>
          </w:tcPr>
          <w:p>
            <w:pPr>
              <w:pStyle w:val="1263"/>
              <w:jc w:val="center"/>
              <w:rPr>
                <w:color w:val="000000"/>
                <w:sz w:val="24"/>
              </w:rPr>
            </w:pPr>
            <w:r>
              <w:rPr>
                <w:color w:val="000000"/>
                <w:sz w:val="24"/>
              </w:rPr>
            </w:r>
            <w:r/>
          </w:p>
        </w:tc>
        <w:tc>
          <w:tcPr>
            <w:tcW w:w="1981" w:type="dxa"/>
            <w:vAlign w:val="center"/>
            <w:textDirection w:val="lrTb"/>
            <w:noWrap w:val="false"/>
          </w:tcPr>
          <w:p>
            <w:pPr>
              <w:pStyle w:val="1263"/>
              <w:jc w:val="center"/>
              <w:rPr>
                <w:color w:val="000000"/>
                <w:sz w:val="24"/>
              </w:rPr>
            </w:pPr>
            <w:r>
              <w:rPr>
                <w:color w:val="000000"/>
                <w:sz w:val="24"/>
              </w:rPr>
            </w:r>
            <w:r/>
          </w:p>
        </w:tc>
        <w:tc>
          <w:tcPr>
            <w:tcW w:w="2427" w:type="dxa"/>
            <w:vAlign w:val="center"/>
            <w:textDirection w:val="lrTb"/>
            <w:noWrap w:val="false"/>
          </w:tcPr>
          <w:p>
            <w:pPr>
              <w:pStyle w:val="1263"/>
              <w:jc w:val="center"/>
              <w:rPr>
                <w:color w:val="000000"/>
                <w:sz w:val="24"/>
              </w:rPr>
            </w:pPr>
            <w:r>
              <w:rPr>
                <w:color w:val="000000"/>
                <w:sz w:val="24"/>
              </w:rPr>
            </w:r>
            <w:r/>
          </w:p>
        </w:tc>
        <w:tc>
          <w:tcPr>
            <w:tcW w:w="783" w:type="dxa"/>
            <w:vAlign w:val="center"/>
            <w:textDirection w:val="lrTb"/>
            <w:noWrap w:val="false"/>
          </w:tcPr>
          <w:p>
            <w:pPr>
              <w:pStyle w:val="1263"/>
              <w:jc w:val="center"/>
              <w:rPr>
                <w:color w:val="000000"/>
                <w:sz w:val="24"/>
              </w:rPr>
            </w:pPr>
            <w:r>
              <w:rPr>
                <w:color w:val="000000"/>
                <w:sz w:val="24"/>
              </w:rPr>
            </w:r>
            <w:r/>
          </w:p>
        </w:tc>
      </w:tr>
      <w:tr>
        <w:trPr>
          <w:trHeight w:val="930"/>
        </w:trPr>
        <w:tc>
          <w:tcPr>
            <w:tcW w:w="827" w:type="dxa"/>
            <w:vAlign w:val="center"/>
            <w:textDirection w:val="lrTb"/>
            <w:noWrap w:val="false"/>
          </w:tcPr>
          <w:p>
            <w:pPr>
              <w:pStyle w:val="1263"/>
              <w:jc w:val="center"/>
              <w:rPr>
                <w:color w:val="000000"/>
                <w:sz w:val="24"/>
              </w:rPr>
            </w:pPr>
            <w:r>
              <w:rPr>
                <w:color w:val="000000"/>
                <w:sz w:val="24"/>
              </w:rPr>
            </w:r>
            <w:r/>
          </w:p>
        </w:tc>
        <w:tc>
          <w:tcPr>
            <w:tcW w:w="1488" w:type="dxa"/>
            <w:vAlign w:val="center"/>
            <w:textDirection w:val="lrTb"/>
            <w:noWrap w:val="false"/>
          </w:tcPr>
          <w:p>
            <w:pPr>
              <w:pStyle w:val="1263"/>
              <w:jc w:val="center"/>
              <w:rPr>
                <w:color w:val="000000"/>
                <w:sz w:val="24"/>
              </w:rPr>
            </w:pPr>
            <w:r>
              <w:rPr>
                <w:color w:val="000000"/>
                <w:sz w:val="24"/>
              </w:rPr>
            </w:r>
            <w:r/>
          </w:p>
        </w:tc>
        <w:tc>
          <w:tcPr>
            <w:tcW w:w="1782" w:type="dxa"/>
            <w:vAlign w:val="center"/>
            <w:textDirection w:val="lrTb"/>
            <w:noWrap w:val="false"/>
          </w:tcPr>
          <w:p>
            <w:pPr>
              <w:pStyle w:val="1263"/>
              <w:jc w:val="center"/>
              <w:rPr>
                <w:color w:val="000000"/>
                <w:sz w:val="24"/>
              </w:rPr>
            </w:pPr>
            <w:r>
              <w:rPr>
                <w:color w:val="000000"/>
                <w:sz w:val="24"/>
              </w:rPr>
            </w:r>
            <w:r/>
          </w:p>
        </w:tc>
        <w:tc>
          <w:tcPr>
            <w:tcW w:w="1981" w:type="dxa"/>
            <w:vAlign w:val="center"/>
            <w:textDirection w:val="lrTb"/>
            <w:noWrap w:val="false"/>
          </w:tcPr>
          <w:p>
            <w:pPr>
              <w:pStyle w:val="1263"/>
              <w:jc w:val="center"/>
              <w:rPr>
                <w:color w:val="000000"/>
                <w:sz w:val="24"/>
              </w:rPr>
            </w:pPr>
            <w:r>
              <w:rPr>
                <w:color w:val="000000"/>
                <w:sz w:val="24"/>
              </w:rPr>
            </w:r>
            <w:r/>
          </w:p>
        </w:tc>
        <w:tc>
          <w:tcPr>
            <w:tcW w:w="2427" w:type="dxa"/>
            <w:vAlign w:val="center"/>
            <w:textDirection w:val="lrTb"/>
            <w:noWrap w:val="false"/>
          </w:tcPr>
          <w:p>
            <w:pPr>
              <w:pStyle w:val="1263"/>
              <w:jc w:val="center"/>
              <w:rPr>
                <w:color w:val="000000"/>
                <w:sz w:val="24"/>
              </w:rPr>
            </w:pPr>
            <w:r>
              <w:rPr>
                <w:color w:val="000000"/>
                <w:sz w:val="24"/>
              </w:rPr>
            </w:r>
            <w:r/>
          </w:p>
        </w:tc>
        <w:tc>
          <w:tcPr>
            <w:tcW w:w="783" w:type="dxa"/>
            <w:vAlign w:val="center"/>
            <w:textDirection w:val="lrTb"/>
            <w:noWrap w:val="false"/>
          </w:tcPr>
          <w:p>
            <w:pPr>
              <w:pStyle w:val="1263"/>
              <w:jc w:val="center"/>
              <w:rPr>
                <w:color w:val="000000"/>
                <w:sz w:val="24"/>
              </w:rPr>
            </w:pPr>
            <w:r>
              <w:rPr>
                <w:color w:val="000000"/>
                <w:sz w:val="24"/>
              </w:rPr>
            </w:r>
            <w:r/>
          </w:p>
        </w:tc>
      </w:tr>
    </w:tbl>
    <w:p>
      <w:pPr>
        <w:pStyle w:val="126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26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26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263"/>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263"/>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rFonts w:hint="eastAsia"/>
          <w:sz w:val="24"/>
          <w:lang w:val="en-US" w:eastAsia="zh-CN"/>
        </w:rPr>
        <w:t xml:space="preserve">或“无偏离”</w:t>
      </w:r>
      <w:r>
        <w:rPr>
          <w:rFonts w:hint="eastAsia"/>
          <w:sz w:val="24"/>
        </w:rPr>
        <w:t xml:space="preserve">。</w:t>
      </w:r>
      <w:r>
        <w:rPr>
          <w:color w:val="000000"/>
          <w:sz w:val="24"/>
        </w:rPr>
      </w:r>
      <w:r/>
    </w:p>
    <w:p>
      <w:pPr>
        <w:pStyle w:val="1263"/>
        <w:jc w:val="left"/>
        <w:tabs>
          <w:tab w:val="left" w:pos="1800" w:leader="none"/>
          <w:tab w:val="left" w:pos="5580" w:leader="none"/>
        </w:tabs>
        <w:rPr>
          <w:color w:val="000000"/>
          <w:sz w:val="24"/>
        </w:rPr>
      </w:pPr>
      <w:r>
        <w:rPr>
          <w:color w:val="000000"/>
          <w:sz w:val="24"/>
        </w:rPr>
      </w:r>
      <w:r/>
    </w:p>
    <w:p>
      <w:pPr>
        <w:pStyle w:val="1263"/>
        <w:rPr>
          <w:color w:val="000000"/>
          <w:sz w:val="24"/>
          <w:szCs w:val="20"/>
        </w:rPr>
      </w:pPr>
      <w:r>
        <w:rPr>
          <w:color w:val="000000"/>
          <w:sz w:val="24"/>
          <w:szCs w:val="20"/>
        </w:rPr>
      </w:r>
      <w:r/>
    </w:p>
    <w:p>
      <w:pPr>
        <w:pStyle w:val="126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26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6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63"/>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0</w:t>
      </w:r>
      <w:r>
        <w:rPr>
          <w:color w:val="000000"/>
          <w:sz w:val="24"/>
          <w:szCs w:val="20"/>
        </w:rPr>
        <w:t xml:space="preserve">  中小企业声明函</w:t>
      </w:r>
      <w:r>
        <w:rPr>
          <w:color w:val="000000"/>
          <w:sz w:val="24"/>
          <w:szCs w:val="20"/>
        </w:rPr>
      </w:r>
      <w:r/>
    </w:p>
    <w:p>
      <w:pPr>
        <w:pStyle w:val="1263"/>
        <w:spacing w:line="360" w:lineRule="auto"/>
        <w:tabs>
          <w:tab w:val="left" w:pos="5580" w:leader="none"/>
        </w:tabs>
        <w:rPr>
          <w:sz w:val="24"/>
        </w:rPr>
      </w:pPr>
      <w:r>
        <w:rPr>
          <w:rFonts w:hint="eastAsia"/>
          <w:sz w:val="24"/>
        </w:rPr>
        <w:t xml:space="preserve">说明：</w:t>
      </w:r>
      <w:r>
        <w:rPr>
          <w:sz w:val="24"/>
        </w:rPr>
      </w:r>
      <w:r/>
    </w:p>
    <w:p>
      <w:pPr>
        <w:pStyle w:val="1263"/>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1263"/>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263"/>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1263"/>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263"/>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34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263"/>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263"/>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263"/>
        <w:jc w:val="left"/>
        <w:widowControl/>
        <w:rPr>
          <w:b/>
          <w:bCs/>
          <w:color w:val="000000"/>
          <w:sz w:val="24"/>
        </w:rPr>
      </w:pPr>
      <w:r>
        <w:rPr>
          <w:b/>
          <w:bCs/>
          <w:color w:val="000000"/>
          <w:sz w:val="24"/>
        </w:rPr>
        <w:br w:type="page" w:clear="all"/>
      </w:r>
      <w:r>
        <w:rPr>
          <w:b/>
          <w:bCs/>
          <w:color w:val="000000"/>
          <w:sz w:val="24"/>
        </w:rPr>
      </w:r>
      <w:r/>
    </w:p>
    <w:p>
      <w:pPr>
        <w:pStyle w:val="1263"/>
        <w:jc w:val="center"/>
        <w:spacing w:before="240" w:after="240" w:line="360" w:lineRule="auto"/>
        <w:rPr>
          <w:b/>
          <w:bCs/>
          <w:color w:val="000000"/>
          <w:sz w:val="36"/>
          <w:szCs w:val="36"/>
        </w:rPr>
      </w:pPr>
      <w:r>
        <w:rPr>
          <w:rFonts w:hint="eastAsia"/>
          <w:b/>
          <w:bCs/>
          <w:color w:val="000000"/>
          <w:sz w:val="36"/>
          <w:szCs w:val="36"/>
        </w:rPr>
        <w:t xml:space="preserve">中小企业声明函（工程）格式</w:t>
      </w:r>
      <w:r>
        <w:rPr>
          <w:b/>
          <w:bCs/>
          <w:color w:val="000000"/>
          <w:sz w:val="36"/>
          <w:szCs w:val="36"/>
        </w:rPr>
      </w:r>
      <w:r/>
    </w:p>
    <w:p>
      <w:pPr>
        <w:pStyle w:val="1263"/>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263"/>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263"/>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263"/>
        <w:ind w:firstLine="504"/>
        <w:spacing w:line="360" w:lineRule="auto"/>
        <w:rPr>
          <w:spacing w:val="6"/>
          <w:sz w:val="24"/>
        </w:rPr>
      </w:pPr>
      <w:r>
        <w:rPr>
          <w:spacing w:val="6"/>
          <w:sz w:val="24"/>
        </w:rPr>
      </w:r>
      <w:r/>
    </w:p>
    <w:p>
      <w:pPr>
        <w:pStyle w:val="1263"/>
        <w:ind w:firstLine="504"/>
        <w:spacing w:line="360" w:lineRule="auto"/>
        <w:rPr>
          <w:spacing w:val="6"/>
          <w:sz w:val="24"/>
        </w:rPr>
      </w:pPr>
      <w:r>
        <w:rPr>
          <w:spacing w:val="6"/>
          <w:sz w:val="24"/>
        </w:rPr>
        <w:t xml:space="preserve">……</w:t>
      </w:r>
      <w:r>
        <w:rPr>
          <w:spacing w:val="6"/>
          <w:sz w:val="24"/>
        </w:rPr>
      </w:r>
      <w:r/>
    </w:p>
    <w:p>
      <w:pPr>
        <w:pStyle w:val="126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263"/>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263"/>
        <w:ind w:right="360" w:firstLine="480"/>
        <w:jc w:val="right"/>
        <w:spacing w:line="360" w:lineRule="auto"/>
        <w:rPr>
          <w:color w:val="000000"/>
          <w:sz w:val="24"/>
        </w:rPr>
      </w:pPr>
      <w:r>
        <w:rPr>
          <w:color w:val="000000"/>
          <w:sz w:val="24"/>
        </w:rPr>
      </w:r>
      <w:r/>
    </w:p>
    <w:p>
      <w:pPr>
        <w:pStyle w:val="1263"/>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263"/>
        <w:ind w:right="360" w:firstLine="480"/>
        <w:jc w:val="right"/>
        <w:spacing w:line="360" w:lineRule="auto"/>
        <w:rPr>
          <w:color w:val="000000"/>
          <w:sz w:val="24"/>
        </w:rPr>
      </w:pPr>
      <w:r>
        <w:rPr>
          <w:color w:val="000000"/>
          <w:sz w:val="24"/>
        </w:rPr>
        <w:t xml:space="preserve">日 期：________</w:t>
      </w:r>
      <w:r>
        <w:rPr>
          <w:color w:val="000000"/>
          <w:sz w:val="24"/>
        </w:rPr>
      </w:r>
      <w:r/>
    </w:p>
    <w:p>
      <w:pPr>
        <w:pStyle w:val="1263"/>
        <w:jc w:val="left"/>
        <w:rPr>
          <w:color w:val="000000"/>
          <w:sz w:val="24"/>
          <w:szCs w:val="21"/>
        </w:rPr>
      </w:pPr>
      <w:r>
        <w:rPr>
          <w:color w:val="000000"/>
          <w:sz w:val="24"/>
          <w:szCs w:val="21"/>
        </w:rPr>
      </w:r>
      <w:r/>
    </w:p>
    <w:p>
      <w:pPr>
        <w:pStyle w:val="1263"/>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63"/>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263"/>
        <w:jc w:val="left"/>
        <w:rPr>
          <w:color w:val="000000"/>
          <w:szCs w:val="21"/>
          <w:vertAlign w:val="superscript"/>
        </w:rPr>
      </w:pPr>
      <w:r>
        <w:rPr>
          <w:color w:val="000000"/>
          <w:szCs w:val="21"/>
          <w:vertAlign w:val="superscript"/>
        </w:rPr>
      </w:r>
      <w:r/>
    </w:p>
    <w:p>
      <w:pPr>
        <w:pStyle w:val="1263"/>
        <w:ind w:right="360" w:firstLine="480"/>
        <w:jc w:val="right"/>
        <w:spacing w:line="360" w:lineRule="auto"/>
        <w:rPr>
          <w:color w:val="000000"/>
          <w:sz w:val="24"/>
        </w:rPr>
      </w:pPr>
      <w:r>
        <w:rPr>
          <w:color w:val="000000"/>
          <w:sz w:val="24"/>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color w:val="000000"/>
          <w:sz w:val="24"/>
          <w:szCs w:val="20"/>
        </w:rPr>
        <w:outlineLvl w:val="2"/>
      </w:pPr>
      <w:r>
        <w:rPr>
          <w:color w:val="000000"/>
          <w:sz w:val="24"/>
          <w:szCs w:val="20"/>
        </w:rPr>
      </w:r>
      <w:r/>
    </w:p>
    <w:p>
      <w:pPr>
        <w:pStyle w:val="1263"/>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26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263"/>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26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26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263"/>
        <w:ind w:firstLine="504"/>
        <w:spacing w:line="588" w:lineRule="exact"/>
        <w:rPr>
          <w:spacing w:val="6"/>
          <w:sz w:val="24"/>
        </w:rPr>
      </w:pPr>
      <w:r>
        <w:rPr>
          <w:spacing w:val="6"/>
          <w:sz w:val="24"/>
        </w:rPr>
      </w:r>
      <w:r/>
    </w:p>
    <w:p>
      <w:pPr>
        <w:pStyle w:val="1263"/>
        <w:ind w:firstLine="504"/>
        <w:spacing w:line="588" w:lineRule="exact"/>
        <w:rPr>
          <w:spacing w:val="6"/>
          <w:sz w:val="24"/>
        </w:rPr>
      </w:pPr>
      <w:r>
        <w:rPr>
          <w:spacing w:val="6"/>
          <w:sz w:val="24"/>
        </w:rPr>
      </w:r>
      <w:r/>
    </w:p>
    <w:p>
      <w:pPr>
        <w:pStyle w:val="1263"/>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263"/>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263"/>
        <w:spacing w:line="360" w:lineRule="auto"/>
        <w:rPr>
          <w:b/>
          <w:color w:val="000000"/>
          <w:sz w:val="24"/>
        </w:rPr>
        <w:outlineLvl w:val="2"/>
      </w:pPr>
      <w:r>
        <w:rPr>
          <w:b/>
          <w:color w:val="000000"/>
          <w:sz w:val="24"/>
        </w:rPr>
      </w:r>
      <w:r/>
    </w:p>
    <w:p>
      <w:pPr>
        <w:pStyle w:val="1263"/>
        <w:rPr>
          <w:color w:val="000000"/>
          <w:sz w:val="24"/>
          <w:szCs w:val="20"/>
        </w:rPr>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1263"/>
        <w:ind w:firstLine="482"/>
        <w:spacing w:line="560" w:lineRule="exact"/>
        <w:rPr>
          <w:rFonts w:eastAsia="宋体"/>
          <w:color w:val="000000"/>
          <w:sz w:val="24"/>
          <w:szCs w:val="20"/>
          <w:lang w:val="en-US" w:eastAsia="zh-CN"/>
        </w:rPr>
      </w:pPr>
      <w:r>
        <w:rPr>
          <w:rFonts w:hint="eastAsia"/>
          <w:b/>
          <w:bCs/>
          <w:color w:val="000000"/>
          <w:sz w:val="24"/>
          <w:szCs w:val="20"/>
          <w:lang w:val="en-US" w:eastAsia="zh-CN"/>
        </w:rPr>
        <w:t xml:space="preserve">根据实际方案自行编制方案目录</w:t>
      </w:r>
      <w:r>
        <w:rPr>
          <w:rFonts w:eastAsia="宋体"/>
          <w:color w:val="000000"/>
          <w:sz w:val="24"/>
          <w:szCs w:val="20"/>
          <w:lang w:val="en-US" w:eastAsia="zh-CN"/>
        </w:rPr>
      </w:r>
      <w:r/>
    </w:p>
    <w:p>
      <w:pPr>
        <w:pStyle w:val="1263"/>
        <w:ind w:firstLine="480"/>
        <w:spacing w:line="560" w:lineRule="exact"/>
        <w:rPr>
          <w:color w:val="000000"/>
          <w:sz w:val="24"/>
          <w:szCs w:val="20"/>
        </w:rPr>
      </w:pPr>
      <w:r>
        <w:rPr>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5"/>
        <w:rPr>
          <w:rFonts w:hint="eastAsia"/>
        </w:rPr>
      </w:pPr>
      <w:r>
        <w:rPr>
          <w:rFonts w:hint="eastAsia"/>
        </w:rPr>
      </w:r>
      <w:r/>
    </w:p>
    <w:p>
      <w:pPr>
        <w:pStyle w:val="1263"/>
        <w:rPr>
          <w:rFonts w:hint="eastAsia"/>
        </w:rPr>
      </w:pPr>
      <w:r>
        <w:rPr>
          <w:rFonts w:hint="eastAsia"/>
        </w:rPr>
      </w:r>
      <w:r/>
    </w:p>
    <w:p>
      <w:pPr>
        <w:pStyle w:val="1265"/>
        <w:rPr>
          <w:rFonts w:hint="eastAsia"/>
        </w:rPr>
      </w:pPr>
      <w:r>
        <w:rPr>
          <w:rFonts w:hint="eastAsia"/>
        </w:rPr>
      </w:r>
      <w:r/>
    </w:p>
    <w:p>
      <w:pPr>
        <w:pStyle w:val="1263"/>
        <w:rPr>
          <w:rFonts w:hint="eastAsia"/>
        </w:rPr>
      </w:pPr>
      <w:r>
        <w:rPr>
          <w:rFonts w:hint="eastAsia"/>
        </w:rPr>
      </w:r>
      <w:r/>
    </w:p>
    <w:p>
      <w:pPr>
        <w:rPr>
          <w:color w:val="000000"/>
          <w:sz w:val="24"/>
          <w:szCs w:val="24"/>
        </w:rPr>
      </w:pPr>
      <w:r>
        <w:rPr>
          <w:rFonts w:hint="eastAsia"/>
          <w:color w:val="000000"/>
          <w:sz w:val="24"/>
          <w:szCs w:val="20"/>
          <w:highlight w:val="none"/>
        </w:rPr>
      </w:r>
      <w:r>
        <w:rPr>
          <w:rFonts w:hint="eastAsia"/>
          <w:color w:val="000000"/>
          <w:sz w:val="24"/>
          <w:szCs w:val="20"/>
          <w:highlight w:val="none"/>
        </w:rPr>
      </w: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r/>
    </w:p>
    <w:p>
      <w:pPr>
        <w:rPr>
          <w:rFonts w:hint="eastAsia"/>
          <w:color w:val="000000"/>
          <w:sz w:val="24"/>
          <w:szCs w:val="24"/>
          <w:highlight w:val="none"/>
        </w:rPr>
      </w:pPr>
      <w:r>
        <w:rPr>
          <w:rFonts w:hint="eastAsia"/>
          <w:color w:val="000000"/>
          <w:sz w:val="24"/>
          <w:szCs w:val="20"/>
          <w:highlight w:val="none"/>
        </w:rPr>
      </w:r>
      <w:r>
        <w:rPr>
          <w:rFonts w:hint="eastAsia"/>
          <w:color w:val="000000"/>
          <w:sz w:val="24"/>
          <w:szCs w:val="20"/>
          <w:highlight w:val="none"/>
        </w:rPr>
      </w:r>
      <w:r/>
    </w:p>
    <w:p>
      <w:pPr>
        <w:pStyle w:val="1263"/>
        <w:rPr>
          <w:rFonts w:hint="eastAsia"/>
          <w:color w:val="000000"/>
          <w:sz w:val="24"/>
          <w:szCs w:val="24"/>
          <w:highlight w:val="none"/>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参加本项目人员一览表</w:t>
      </w:r>
      <w:r>
        <w:rPr>
          <w:color w:val="000000"/>
          <w:sz w:val="24"/>
          <w:szCs w:val="20"/>
        </w:rPr>
      </w:r>
      <w:r/>
    </w:p>
    <w:p>
      <w:pPr>
        <w:pStyle w:val="1263"/>
        <w:jc w:val="center"/>
        <w:spacing w:line="360" w:lineRule="auto"/>
        <w:rPr>
          <w:rFonts w:hint="eastAsia" w:ascii="宋体" w:hAnsi="宋体"/>
          <w:b/>
          <w:sz w:val="32"/>
          <w:szCs w:val="32"/>
        </w:rPr>
      </w:pPr>
      <w:r>
        <w:rPr>
          <w:rFonts w:hint="eastAsia" w:ascii="宋体" w:hAnsi="宋体"/>
          <w:b/>
          <w:sz w:val="32"/>
          <w:szCs w:val="32"/>
        </w:rPr>
      </w:r>
      <w:r/>
    </w:p>
    <w:p>
      <w:pPr>
        <w:pStyle w:val="126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263"/>
        <w:spacing w:line="360" w:lineRule="auto"/>
        <w:rPr>
          <w:rFonts w:ascii="宋体" w:hAnsi="宋体"/>
          <w:sz w:val="22"/>
        </w:rPr>
      </w:pPr>
      <w:r>
        <w:rPr>
          <w:rFonts w:ascii="宋体" w:hAnsi="宋体"/>
          <w:sz w:val="22"/>
        </w:rPr>
      </w:r>
      <w:r/>
    </w:p>
    <w:p>
      <w:pPr>
        <w:pStyle w:val="126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84"/>
        <w:gridCol w:w="706"/>
        <w:gridCol w:w="945"/>
        <w:gridCol w:w="945"/>
        <w:gridCol w:w="945"/>
        <w:gridCol w:w="945"/>
      </w:tblGrid>
      <w:tr>
        <w:trPr/>
        <w:tc>
          <w:tcPr>
            <w:tcW w:w="945"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1184"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706"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26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26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263"/>
        <w:tabs>
          <w:tab w:val="left" w:pos="9765" w:leader="none"/>
        </w:tabs>
        <w:rPr>
          <w:rFonts w:ascii="宋体" w:hAnsi="宋体" w:cs="宋体"/>
          <w:b/>
          <w:sz w:val="24"/>
          <w:lang w:val="zh-CN"/>
        </w:rPr>
      </w:pPr>
      <w:r>
        <w:rPr>
          <w:rFonts w:ascii="宋体" w:hAnsi="宋体" w:cs="宋体"/>
          <w:b/>
          <w:sz w:val="24"/>
          <w:lang w:val="zh-CN"/>
        </w:rPr>
      </w:r>
      <w:r/>
    </w:p>
    <w:p>
      <w:pPr>
        <w:pStyle w:val="126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eastAsia="宋体" w:cs="宋体"/>
          <w:b/>
          <w:sz w:val="24"/>
          <w:lang w:val="en-US" w:eastAsia="zh-CN"/>
        </w:rPr>
        <w:t xml:space="preserve">作为评分项的请依据评分细则要求提供</w:t>
      </w:r>
      <w:r>
        <w:rPr>
          <w:rFonts w:hint="eastAsia" w:ascii="宋体" w:hAnsi="宋体" w:eastAsia="宋体" w:cs="宋体"/>
          <w:b/>
          <w:sz w:val="24"/>
          <w:lang w:val="zh-CN" w:eastAsia="zh-CN"/>
        </w:rPr>
        <w:t xml:space="preserve">）。</w:t>
      </w:r>
      <w:r>
        <w:rPr>
          <w:rFonts w:ascii="宋体" w:hAnsi="宋体" w:cs="宋体"/>
          <w:b/>
          <w:sz w:val="24"/>
        </w:rPr>
      </w:r>
      <w:r/>
    </w:p>
    <w:p>
      <w:pPr>
        <w:pStyle w:val="1263"/>
        <w:spacing w:line="360" w:lineRule="auto"/>
        <w:rPr>
          <w:rFonts w:ascii="宋体" w:hAnsi="宋体"/>
          <w:sz w:val="24"/>
        </w:rPr>
      </w:pPr>
      <w:r>
        <w:rPr>
          <w:rFonts w:ascii="宋体" w:hAnsi="宋体"/>
          <w:sz w:val="24"/>
        </w:rPr>
      </w:r>
      <w:r/>
    </w:p>
    <w:p>
      <w:pPr>
        <w:pStyle w:val="126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6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63"/>
        <w:rPr>
          <w:color w:val="000000"/>
          <w:sz w:val="24"/>
          <w:szCs w:val="20"/>
        </w:rPr>
      </w:pPr>
      <w:r>
        <w:rPr>
          <w:sz w:val="22"/>
        </w:rPr>
        <w:br w:type="page" w:clear="all"/>
      </w:r>
      <w:bookmarkStart w:id="649" w:name="_Toc288738397"/>
      <w:r/>
      <w:bookmarkStart w:id="650" w:name="_Toc288738839"/>
      <w:r>
        <w:rPr>
          <w:rFonts w:hint="eastAsia"/>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相关业绩案例一览表</w:t>
      </w:r>
      <w:r>
        <w:rPr>
          <w:color w:val="000000"/>
          <w:sz w:val="24"/>
          <w:szCs w:val="20"/>
        </w:rPr>
      </w:r>
      <w:r/>
    </w:p>
    <w:p>
      <w:pPr>
        <w:pStyle w:val="1263"/>
        <w:rPr>
          <w:color w:val="000000"/>
          <w:sz w:val="24"/>
          <w:szCs w:val="20"/>
        </w:rPr>
      </w:pPr>
      <w:r>
        <w:rPr>
          <w:color w:val="000000"/>
          <w:sz w:val="24"/>
          <w:szCs w:val="20"/>
        </w:rPr>
      </w:r>
      <w:r/>
    </w:p>
    <w:p>
      <w:pPr>
        <w:pStyle w:val="1263"/>
        <w:jc w:val="center"/>
        <w:rPr>
          <w:rFonts w:ascii="宋体" w:hAnsi="宋体"/>
          <w:b/>
          <w:sz w:val="32"/>
          <w:szCs w:val="32"/>
        </w:rPr>
      </w:pPr>
      <w:r>
        <w:rPr>
          <w:rFonts w:hint="eastAsia" w:ascii="宋体" w:hAnsi="宋体"/>
          <w:b/>
          <w:sz w:val="32"/>
          <w:szCs w:val="32"/>
        </w:rPr>
        <w:t xml:space="preserve">相关业绩案例一览表</w:t>
      </w:r>
      <w:bookmarkEnd w:id="649"/>
      <w:r/>
      <w:bookmarkEnd w:id="650"/>
      <w:r>
        <w:rPr>
          <w:rFonts w:ascii="宋体" w:hAnsi="宋体"/>
          <w:b/>
          <w:sz w:val="32"/>
          <w:szCs w:val="32"/>
        </w:rPr>
      </w:r>
      <w:r/>
    </w:p>
    <w:p>
      <w:pPr>
        <w:pStyle w:val="1263"/>
        <w:jc w:val="center"/>
        <w:spacing w:line="360" w:lineRule="auto"/>
        <w:rPr>
          <w:rFonts w:ascii="宋体" w:hAnsi="宋体"/>
          <w:b/>
          <w:sz w:val="28"/>
          <w:szCs w:val="30"/>
        </w:rPr>
      </w:pPr>
      <w:r>
        <w:rPr>
          <w:rFonts w:ascii="宋体" w:hAnsi="宋体"/>
          <w:b/>
          <w:sz w:val="28"/>
          <w:szCs w:val="30"/>
        </w:rPr>
      </w:r>
      <w:r/>
    </w:p>
    <w:p>
      <w:pPr>
        <w:pStyle w:val="126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6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6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63"/>
              <w:spacing w:line="360" w:lineRule="auto"/>
              <w:tabs>
                <w:tab w:val="left" w:pos="9765" w:leader="none"/>
              </w:tabs>
              <w:rPr>
                <w:rFonts w:ascii="宋体" w:hAnsi="宋体" w:cs="宋体"/>
                <w:sz w:val="24"/>
              </w:rPr>
            </w:pPr>
            <w:r>
              <w:rPr>
                <w:rFonts w:ascii="宋体" w:hAnsi="宋体" w:cs="宋体"/>
                <w:sz w:val="24"/>
              </w:rPr>
            </w:r>
            <w:r/>
          </w:p>
        </w:tc>
      </w:tr>
    </w:tbl>
    <w:p>
      <w:pPr>
        <w:pStyle w:val="1263"/>
        <w:tabs>
          <w:tab w:val="left" w:pos="9765" w:leader="none"/>
        </w:tabs>
        <w:rPr>
          <w:rFonts w:ascii="宋体" w:hAnsi="宋体" w:cs="宋体"/>
          <w:sz w:val="24"/>
          <w:lang w:val="zh-CN"/>
        </w:rPr>
      </w:pPr>
      <w:r>
        <w:rPr>
          <w:rFonts w:ascii="宋体" w:hAnsi="宋体" w:cs="宋体"/>
          <w:sz w:val="24"/>
          <w:lang w:val="zh-CN"/>
        </w:rPr>
      </w:r>
      <w:r/>
    </w:p>
    <w:p>
      <w:pPr>
        <w:pStyle w:val="1263"/>
        <w:spacing w:line="360" w:lineRule="auto"/>
        <w:rPr>
          <w:rFonts w:ascii="宋体" w:hAnsi="宋体" w:cs="宋体"/>
          <w:sz w:val="24"/>
        </w:rPr>
      </w:pPr>
      <w:r>
        <w:rPr>
          <w:rFonts w:hint="eastAsia" w:ascii="宋体" w:hAnsi="宋体" w:cs="宋体"/>
          <w:b/>
          <w:bCs/>
          <w:sz w:val="24"/>
          <w:lang w:val="en-US" w:eastAsia="zh-CN"/>
        </w:rPr>
        <w:t xml:space="preserve">注：附相关证明材料（如中标通知书、合同等，作为评分项的请依据评分细则要求提供）</w:t>
      </w:r>
      <w:r>
        <w:rPr>
          <w:rFonts w:ascii="宋体" w:hAnsi="宋体" w:cs="宋体"/>
          <w:sz w:val="24"/>
        </w:rPr>
      </w:r>
      <w:r/>
    </w:p>
    <w:p>
      <w:pPr>
        <w:pStyle w:val="126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26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pStyle w:val="1263"/>
        <w:spacing w:line="360" w:lineRule="auto"/>
        <w:rPr>
          <w:rFonts w:hint="eastAsia"/>
          <w:color w:val="000000"/>
          <w:sz w:val="24"/>
          <w:szCs w:val="20"/>
        </w:rPr>
        <w:outlineLvl w:val="2"/>
      </w:pPr>
      <w:r>
        <w:rPr>
          <w:rFonts w:hint="eastAsia"/>
          <w:color w:val="000000"/>
          <w:sz w:val="24"/>
          <w:szCs w:val="20"/>
        </w:rPr>
      </w:r>
      <w:r/>
    </w:p>
    <w:p>
      <w:pPr>
        <w:spacing w:line="360" w:lineRule="auto"/>
        <w:rPr>
          <w:sz w:val="24"/>
          <w:szCs w:val="24"/>
        </w:rPr>
        <w:outlineLvl w:val="2"/>
      </w:pPr>
      <w:r>
        <w:rPr>
          <w:color w:val="000000"/>
          <w:sz w:val="24"/>
          <w:szCs w:val="20"/>
          <w:highlight w:val="none"/>
        </w:rPr>
      </w:r>
      <w:r>
        <w:rPr>
          <w:color w:val="000000"/>
          <w:sz w:val="24"/>
          <w:szCs w:val="20"/>
          <w:highlight w:val="none"/>
        </w:rPr>
      </w:r>
      <w:r/>
    </w:p>
    <w:p>
      <w:pPr>
        <w:spacing w:line="360" w:lineRule="auto"/>
        <w:rPr>
          <w:color w:val="000000"/>
          <w:sz w:val="24"/>
          <w:szCs w:val="24"/>
          <w:highlight w:val="none"/>
        </w:rPr>
        <w:outlineLvl w:val="2"/>
      </w:pPr>
      <w:r>
        <w:rPr>
          <w:color w:val="000000"/>
          <w:sz w:val="24"/>
          <w:szCs w:val="20"/>
          <w:highlight w:val="none"/>
        </w:rPr>
      </w:r>
      <w:r>
        <w:rPr>
          <w:color w:val="000000"/>
          <w:sz w:val="24"/>
          <w:szCs w:val="20"/>
          <w:highlight w:val="none"/>
        </w:rPr>
      </w:r>
      <w:r/>
    </w:p>
    <w:p>
      <w:pPr>
        <w:pStyle w:val="1263"/>
        <w:spacing w:line="360" w:lineRule="auto"/>
        <w:rPr>
          <w:color w:val="000000"/>
          <w:sz w:val="24"/>
          <w:szCs w:val="24"/>
          <w:highlight w:val="none"/>
        </w:rPr>
        <w:outlineLvl w:val="2"/>
      </w:pPr>
      <w:r>
        <w:rPr>
          <w:color w:val="000000"/>
          <w:sz w:val="24"/>
          <w:szCs w:val="20"/>
        </w:rPr>
        <w:t xml:space="preserve">1</w:t>
      </w:r>
      <w:r>
        <w:rPr>
          <w:rFonts w:hint="eastAsia"/>
          <w:color w:val="000000"/>
          <w:sz w:val="24"/>
          <w:szCs w:val="20"/>
          <w:lang w:val="en-US" w:eastAsia="zh-CN"/>
        </w:rPr>
        <w:t xml:space="preserve">4</w:t>
      </w:r>
      <w:r>
        <w:rPr>
          <w:color w:val="000000"/>
          <w:sz w:val="24"/>
          <w:szCs w:val="20"/>
        </w:rPr>
        <w:t xml:space="preserve">  磋商文件要求提供或供应商认为应附的其他材料</w:t>
      </w:r>
      <w:r>
        <w:rPr>
          <w:sz w:val="24"/>
        </w:rPr>
      </w:r>
      <w:r/>
    </w:p>
    <w:p>
      <w:pPr>
        <w:pStyle w:val="1263"/>
        <w:jc w:val="center"/>
        <w:rPr>
          <w:rFonts w:ascii="宋体" w:hAnsi="宋体" w:eastAsia="宋体" w:cs="宋体"/>
          <w:b/>
          <w:bCs/>
          <w:spacing w:val="0"/>
          <w:sz w:val="24"/>
          <w:szCs w:val="24"/>
          <w:lang w:val="en-US" w:eastAsia="zh-CN" w:bidi="ar-SA"/>
        </w:rPr>
      </w:pPr>
      <w:r>
        <w:rPr>
          <w:rFonts w:ascii="Times New Roman" w:hAnsi="Times New Roman" w:eastAsia="宋体" w:cs="Times New Roman"/>
          <w:b/>
          <w:bCs/>
          <w:color w:val="000000"/>
          <w:spacing w:val="0"/>
          <w:sz w:val="28"/>
          <w:szCs w:val="28"/>
          <w:lang w:val="en-US" w:eastAsia="zh-CN" w:bidi="ar-SA"/>
        </w:rPr>
        <w:t xml:space="preserve">符合性审查承诺书</w:t>
      </w:r>
      <w:r>
        <w:rPr>
          <w:rFonts w:ascii="宋体" w:hAnsi="宋体" w:eastAsia="宋体" w:cs="宋体"/>
          <w:b/>
          <w:bCs/>
          <w:spacing w:val="0"/>
          <w:sz w:val="24"/>
          <w:szCs w:val="24"/>
          <w:lang w:val="en-US" w:eastAsia="zh-CN" w:bidi="ar-SA"/>
        </w:rPr>
      </w:r>
      <w:r/>
    </w:p>
    <w:p>
      <w:pPr>
        <w:pStyle w:val="1263"/>
        <w:jc w:val="left"/>
        <w:keepLines w:val="0"/>
        <w:keepNext w:val="0"/>
        <w:pageBreakBefore w:val="0"/>
        <w:spacing w:before="0" w:beforeAutospacing="0" w:after="0" w:afterAutospacing="0" w:line="46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4"/>
          <w:szCs w:val="24"/>
          <w:lang w:val="en-US" w:eastAsia="zh-CN" w:bidi="ar-SA"/>
        </w:rPr>
        <w:t xml:space="preserve">江苏苏南项目管理有限公司</w:t>
      </w:r>
      <w:r>
        <w:rPr>
          <w:rFonts w:hint="eastAsia" w:ascii="Times New Roman" w:hAnsi="Times New Roman" w:eastAsia="宋体" w:cs="Times New Roman"/>
          <w:color w:val="000000"/>
          <w:spacing w:val="0"/>
          <w:sz w:val="24"/>
          <w:szCs w:val="24"/>
          <w:lang w:val="en-US" w:eastAsia="zh-CN" w:bidi="ar-SA"/>
        </w:rPr>
        <w:t xml:space="preserve">：</w:t>
      </w:r>
      <w:r>
        <w:rPr>
          <w:rFonts w:ascii="宋体" w:hAnsi="宋体" w:eastAsia="宋体" w:cs="宋体"/>
          <w:spacing w:val="0"/>
          <w:sz w:val="24"/>
          <w:szCs w:val="24"/>
          <w:lang w:val="en-US" w:eastAsia="zh-CN" w:bidi="ar-SA"/>
        </w:rPr>
      </w:r>
      <w:r/>
    </w:p>
    <w:p>
      <w:pPr>
        <w:pStyle w:val="1263"/>
        <w:jc w:val="left"/>
        <w:keepLines w:val="0"/>
        <w:keepNext w:val="0"/>
        <w:pageBreakBefore w:val="0"/>
        <w:spacing w:before="0" w:beforeAutospacing="0" w:after="0" w:afterAutospacing="0" w:line="46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4"/>
          <w:szCs w:val="24"/>
          <w:u w:val="single"/>
          <w:lang w:val="en-US" w:eastAsia="zh-CN" w:bidi="ar-SA"/>
        </w:rPr>
        <w:t xml:space="preserve">（采购人）</w:t>
      </w:r>
      <w:r>
        <w:rPr>
          <w:rFonts w:ascii="宋体" w:hAnsi="宋体" w:eastAsia="宋体" w:cs="宋体"/>
          <w:spacing w:val="0"/>
          <w:sz w:val="24"/>
          <w:szCs w:val="24"/>
          <w:lang w:val="en-US" w:eastAsia="zh-CN" w:bidi="ar-SA"/>
        </w:rPr>
      </w:r>
      <w:r/>
    </w:p>
    <w:p>
      <w:pPr>
        <w:pStyle w:val="1263"/>
        <w:jc w:val="left"/>
        <w:keepLines w:val="0"/>
        <w:keepNext w:val="0"/>
        <w:pageBreakBefore w:val="0"/>
        <w:spacing w:before="0" w:beforeAutospacing="0" w:after="0" w:afterAutospacing="0" w:line="40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4"/>
          <w:szCs w:val="24"/>
          <w:lang w:val="en-US" w:eastAsia="zh-CN" w:bidi="ar-SA"/>
        </w:rPr>
        <w:t xml:space="preserve"> </w:t>
      </w:r>
      <w:r>
        <w:rPr>
          <w:rFonts w:hint="eastAsia" w:ascii="Times New Roman" w:hAnsi="Times New Roman" w:eastAsia="宋体" w:cs="Times New Roman"/>
          <w:color w:val="000000"/>
          <w:spacing w:val="0"/>
          <w:sz w:val="24"/>
          <w:szCs w:val="24"/>
          <w:lang w:val="en-US" w:eastAsia="zh-CN" w:bidi="ar-SA"/>
        </w:rPr>
        <w:t xml:space="preserve">   </w:t>
      </w:r>
      <w:r>
        <w:rPr>
          <w:rFonts w:ascii="Times New Roman" w:hAnsi="Times New Roman" w:eastAsia="宋体" w:cs="Times New Roman"/>
          <w:color w:val="000000"/>
          <w:spacing w:val="0"/>
          <w:sz w:val="24"/>
          <w:szCs w:val="24"/>
          <w:lang w:val="en-US" w:eastAsia="zh-CN" w:bidi="ar-SA"/>
        </w:rPr>
        <w:t xml:space="preserve">我单位承诺，我单位提供的投标文件完全符合招标文件中符合性审查的相关要求，特此承诺，若在招投标阶段任一环节中查出我单位不符合相关规定，我单位自愿接受作无效响应的处理。</w:t>
      </w:r>
      <w:r>
        <w:rPr>
          <w:rFonts w:ascii="宋体" w:hAnsi="宋体" w:eastAsia="宋体" w:cs="宋体"/>
          <w:spacing w:val="0"/>
          <w:sz w:val="24"/>
          <w:szCs w:val="24"/>
          <w:lang w:val="en-US" w:eastAsia="zh-CN" w:bidi="ar-SA"/>
        </w:rPr>
      </w:r>
      <w:r/>
    </w:p>
    <w:tbl>
      <w:tblPr>
        <w:tblW w:w="5456" w:type="pct"/>
        <w:jc w:val="center"/>
        <w:tblInd w:w="3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831"/>
        <w:gridCol w:w="5655"/>
        <w:gridCol w:w="1547"/>
      </w:tblGrid>
      <w:tr>
        <w:trPr>
          <w:trHeight w:val="300"/>
        </w:trPr>
        <w:tc>
          <w:tcPr>
            <w:tcW w:w="431" w:type="dxa"/>
            <w:vAlign w:val="center"/>
            <w:textDirection w:val="lrTb"/>
            <w:noWrap w:val="false"/>
          </w:tcPr>
          <w:p>
            <w:pPr>
              <w:pStyle w:val="1263"/>
              <w:jc w:val="center"/>
              <w:widowControl/>
              <w:rPr>
                <w:rFonts w:ascii="Times New Roman" w:hAnsi="Times New Roman" w:eastAsia="宋体" w:cs="Times New Roman"/>
                <w:b/>
                <w:color w:val="000000"/>
                <w:spacing w:val="0"/>
                <w:sz w:val="24"/>
              </w:rPr>
            </w:pPr>
            <w:r>
              <w:rPr>
                <w:rFonts w:ascii="Times New Roman" w:hAnsi="Times New Roman" w:eastAsia="宋体" w:cs="Times New Roman"/>
                <w:b/>
                <w:color w:val="000000"/>
                <w:spacing w:val="0"/>
                <w:sz w:val="24"/>
              </w:rPr>
              <w:t xml:space="preserve">序号</w:t>
            </w:r>
            <w:r>
              <w:rPr>
                <w:rFonts w:ascii="Times New Roman" w:hAnsi="Times New Roman" w:eastAsia="宋体" w:cs="Times New Roman"/>
                <w:b/>
                <w:color w:val="000000"/>
                <w:spacing w:val="0"/>
                <w:sz w:val="24"/>
              </w:rPr>
            </w:r>
            <w:r/>
          </w:p>
        </w:tc>
        <w:tc>
          <w:tcPr>
            <w:tcW w:w="926" w:type="dxa"/>
            <w:vAlign w:val="center"/>
            <w:textDirection w:val="lrTb"/>
            <w:noWrap w:val="false"/>
          </w:tcPr>
          <w:p>
            <w:pPr>
              <w:pStyle w:val="1263"/>
              <w:jc w:val="center"/>
              <w:widowControl/>
              <w:rPr>
                <w:rFonts w:ascii="Times New Roman" w:hAnsi="Times New Roman" w:eastAsia="宋体" w:cs="Times New Roman"/>
                <w:b/>
                <w:color w:val="000000"/>
                <w:spacing w:val="0"/>
                <w:sz w:val="24"/>
              </w:rPr>
            </w:pPr>
            <w:r>
              <w:rPr>
                <w:rFonts w:ascii="Times New Roman" w:hAnsi="Times New Roman" w:eastAsia="宋体" w:cs="Times New Roman"/>
                <w:b/>
                <w:color w:val="000000"/>
                <w:spacing w:val="0"/>
                <w:sz w:val="24"/>
              </w:rPr>
              <w:t xml:space="preserve">审查因素</w:t>
            </w:r>
            <w:r>
              <w:rPr>
                <w:rFonts w:ascii="Times New Roman" w:hAnsi="Times New Roman" w:eastAsia="宋体" w:cs="Times New Roman"/>
                <w:b/>
                <w:color w:val="000000"/>
                <w:spacing w:val="0"/>
                <w:sz w:val="24"/>
              </w:rPr>
            </w:r>
            <w:r/>
          </w:p>
        </w:tc>
        <w:tc>
          <w:tcPr>
            <w:tcW w:w="2859" w:type="dxa"/>
            <w:vAlign w:val="center"/>
            <w:textDirection w:val="lrTb"/>
            <w:noWrap w:val="false"/>
          </w:tcPr>
          <w:p>
            <w:pPr>
              <w:pStyle w:val="1263"/>
              <w:jc w:val="center"/>
              <w:widowControl/>
              <w:rPr>
                <w:rFonts w:ascii="Times New Roman" w:hAnsi="Times New Roman" w:eastAsia="宋体" w:cs="Times New Roman"/>
                <w:b/>
                <w:color w:val="000000"/>
                <w:spacing w:val="0"/>
                <w:sz w:val="24"/>
              </w:rPr>
            </w:pPr>
            <w:r>
              <w:rPr>
                <w:rFonts w:ascii="Times New Roman" w:hAnsi="Times New Roman" w:eastAsia="宋体" w:cs="Times New Roman"/>
                <w:b/>
                <w:color w:val="000000"/>
                <w:spacing w:val="0"/>
                <w:sz w:val="24"/>
              </w:rPr>
              <w:t xml:space="preserve">审查内容</w:t>
            </w:r>
            <w:r>
              <w:rPr>
                <w:rFonts w:ascii="Times New Roman" w:hAnsi="Times New Roman" w:eastAsia="宋体" w:cs="Times New Roman"/>
                <w:b/>
                <w:color w:val="000000"/>
                <w:spacing w:val="0"/>
                <w:sz w:val="24"/>
              </w:rPr>
            </w:r>
            <w:r/>
          </w:p>
        </w:tc>
        <w:tc>
          <w:tcPr>
            <w:tcW w:w="782" w:type="dxa"/>
            <w:vAlign w:val="center"/>
            <w:textDirection w:val="lrTb"/>
            <w:noWrap w:val="false"/>
          </w:tcPr>
          <w:p>
            <w:pPr>
              <w:pStyle w:val="1263"/>
              <w:jc w:val="center"/>
              <w:widowControl/>
              <w:rPr>
                <w:rFonts w:ascii="Times New Roman" w:hAnsi="Times New Roman" w:eastAsia="宋体" w:cs="Times New Roman"/>
                <w:b/>
                <w:color w:val="000000"/>
                <w:spacing w:val="0"/>
                <w:sz w:val="24"/>
                <w:lang w:val="en-US" w:eastAsia="zh-CN"/>
              </w:rPr>
            </w:pPr>
            <w:r>
              <w:rPr>
                <w:rFonts w:hint="eastAsia" w:ascii="Times New Roman" w:hAnsi="Times New Roman" w:eastAsia="宋体" w:cs="Times New Roman"/>
                <w:b/>
                <w:color w:val="000000"/>
                <w:spacing w:val="0"/>
                <w:sz w:val="24"/>
                <w:lang w:val="en-US" w:eastAsia="zh-CN"/>
              </w:rPr>
              <w:t xml:space="preserve">是否符合要求</w:t>
            </w:r>
            <w:r>
              <w:rPr>
                <w:rFonts w:ascii="Times New Roman" w:hAnsi="Times New Roman" w:eastAsia="宋体" w:cs="Times New Roman"/>
                <w:b/>
                <w:color w:val="000000"/>
                <w:spacing w:val="0"/>
                <w:sz w:val="24"/>
                <w:lang w:val="en-US" w:eastAsia="zh-CN"/>
              </w:rPr>
            </w:r>
            <w:r/>
          </w:p>
        </w:tc>
      </w:tr>
      <w:tr>
        <w:trPr>
          <w:trHeight w:val="535"/>
        </w:trPr>
        <w:tc>
          <w:tcPr>
            <w:tcW w:w="431"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color w:val="000000"/>
                <w:sz w:val="24"/>
              </w:rPr>
              <w:t xml:space="preserve">1</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63"/>
              <w:jc w:val="center"/>
              <w:widowControl/>
              <w:rPr>
                <w:rFonts w:hint="eastAsia" w:ascii="Times New Roman" w:hAnsi="Times New Roman" w:eastAsia="宋体" w:cs="Times New Roman"/>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spacing w:val="0"/>
                <w:sz w:val="24"/>
              </w:rPr>
            </w:r>
            <w:r/>
          </w:p>
        </w:tc>
      </w:tr>
      <w:tr>
        <w:trPr>
          <w:trHeight w:val="384"/>
        </w:trPr>
        <w:tc>
          <w:tcPr>
            <w:tcW w:w="431"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color w:val="000000"/>
                <w:sz w:val="24"/>
              </w:rPr>
              <w:t xml:space="preserve">2</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响应完整性</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rFonts w:hint="eastAsia"/>
                <w:sz w:val="24"/>
              </w:rPr>
              <w:t xml:space="preserve">未</w:t>
            </w:r>
            <w:r>
              <w:rPr>
                <w:sz w:val="24"/>
              </w:rPr>
              <w:t xml:space="preserve">将一个采购包中的内容拆开响应；</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63"/>
              <w:jc w:val="center"/>
              <w:widowControl/>
              <w:rPr>
                <w:rFonts w:hint="eastAsia" w:ascii="Times New Roman" w:hAnsi="Times New Roman" w:eastAsia="宋体" w:cs="Calibri"/>
                <w:b/>
                <w:bCs/>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Calibri"/>
                <w:b/>
                <w:bCs/>
                <w:color w:val="000000"/>
                <w:spacing w:val="0"/>
                <w:sz w:val="24"/>
              </w:rPr>
            </w:r>
            <w:r/>
          </w:p>
        </w:tc>
      </w:tr>
      <w:tr>
        <w:trPr>
          <w:trHeight w:val="685"/>
        </w:trPr>
        <w:tc>
          <w:tcPr>
            <w:tcW w:w="431"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color w:val="000000"/>
                <w:sz w:val="24"/>
              </w:rPr>
              <w:t xml:space="preserve">3</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响应报价</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rFonts w:hint="eastAsia" w:cs="Calibri"/>
                <w:b/>
                <w:bCs/>
                <w:color w:val="000000"/>
                <w:sz w:val="24"/>
              </w:rPr>
              <w:t xml:space="preserve">供应商报价总价不得超过控制价总价、已标价工程量清单中所有分部分项工程响应单价不得超过分部分项工程</w:t>
            </w:r>
            <w:r>
              <w:rPr>
                <w:rFonts w:hint="eastAsia" w:cs="Calibri"/>
                <w:b/>
                <w:bCs/>
                <w:color w:val="000000"/>
                <w:sz w:val="24"/>
                <w:lang w:val="en-US" w:eastAsia="zh-CN"/>
              </w:rPr>
              <w:t xml:space="preserve">控制价</w:t>
            </w:r>
            <w:r>
              <w:rPr>
                <w:rFonts w:hint="eastAsia" w:cs="Calibri"/>
                <w:b/>
                <w:bCs/>
                <w:color w:val="000000"/>
                <w:sz w:val="24"/>
              </w:rPr>
              <w:t xml:space="preserve">单价，否则作无效响应处理。未</w:t>
            </w:r>
            <w:r>
              <w:rPr>
                <w:rFonts w:hint="eastAsia"/>
                <w:b/>
                <w:bCs/>
                <w:color w:val="000000"/>
                <w:sz w:val="24"/>
              </w:rPr>
              <w:t xml:space="preserve">改变控制价文件中规定的暂估价、暂列金及甲供材料，未改变文件中明确列出的不可竞争费的名称或费率</w:t>
            </w:r>
            <w:r>
              <w:rPr>
                <w:b/>
                <w:bCs/>
                <w:color w:val="000000"/>
                <w:sz w:val="24"/>
              </w:rPr>
              <w:t xml:space="preserve">；</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685"/>
        </w:trPr>
        <w:tc>
          <w:tcPr>
            <w:tcW w:w="431"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color w:val="000000"/>
                <w:sz w:val="24"/>
              </w:rPr>
              <w:t xml:space="preserve">4</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报价唯一性</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471"/>
        </w:trPr>
        <w:tc>
          <w:tcPr>
            <w:tcW w:w="431"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color w:val="000000"/>
                <w:sz w:val="24"/>
              </w:rPr>
              <w:t xml:space="preserve">5</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响应有效期</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387"/>
        </w:trPr>
        <w:tc>
          <w:tcPr>
            <w:tcW w:w="431"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color w:val="000000"/>
                <w:sz w:val="24"/>
              </w:rPr>
              <w:t xml:space="preserve">6</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签署、加盖公章</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按照磋商文件要求签署、加盖公章的；</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63"/>
              <w:jc w:val="center"/>
              <w:widowControl/>
              <w:rPr>
                <w:rFonts w:hint="eastAsia" w:ascii="Times New Roman" w:hAnsi="Times New Roman" w:eastAsia="宋体" w:cs="Times New Roman"/>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spacing w:val="0"/>
                <w:sz w:val="24"/>
              </w:rPr>
            </w:r>
            <w:r/>
          </w:p>
        </w:tc>
      </w:tr>
      <w:tr>
        <w:trPr>
          <w:trHeight w:val="443"/>
        </w:trPr>
        <w:tc>
          <w:tcPr>
            <w:tcW w:w="431" w:type="dxa"/>
            <w:vAlign w:val="center"/>
            <w:textDirection w:val="lrTb"/>
            <w:noWrap w:val="false"/>
          </w:tcPr>
          <w:p>
            <w:pPr>
              <w:pStyle w:val="1263"/>
              <w:jc w:val="center"/>
              <w:widowControl/>
              <w:rPr>
                <w:rFonts w:hint="eastAsia" w:ascii="Times New Roman" w:hAnsi="Times New Roman" w:eastAsia="宋体" w:cs="Times New Roman"/>
                <w:color w:val="000000"/>
                <w:spacing w:val="0"/>
                <w:sz w:val="24"/>
              </w:rPr>
            </w:pPr>
            <w:r>
              <w:rPr>
                <w:rFonts w:hint="eastAsia"/>
                <w:color w:val="000000"/>
                <w:sz w:val="24"/>
              </w:rPr>
              <w:t xml:space="preserve">7</w:t>
            </w:r>
            <w:r>
              <w:rPr>
                <w:rFonts w:hint="eastAsia" w:ascii="Times New Roman" w:hAnsi="Times New Roman" w:eastAsia="宋体" w:cs="Times New Roman"/>
                <w:color w:val="000000"/>
                <w:spacing w:val="0"/>
                <w:sz w:val="24"/>
              </w:rPr>
            </w:r>
            <w:r/>
          </w:p>
        </w:tc>
        <w:tc>
          <w:tcPr>
            <w:tcW w:w="926"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rFonts w:hint="eastAsia"/>
                <w:color w:val="000000"/>
                <w:sz w:val="24"/>
              </w:rPr>
              <w:t xml:space="preserve">实质性格式</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685"/>
        </w:trPr>
        <w:tc>
          <w:tcPr>
            <w:tcW w:w="431" w:type="dxa"/>
            <w:vAlign w:val="center"/>
            <w:textDirection w:val="lrTb"/>
            <w:noWrap w:val="false"/>
          </w:tcPr>
          <w:p>
            <w:pPr>
              <w:pStyle w:val="1263"/>
              <w:jc w:val="center"/>
              <w:widowControl/>
              <w:rPr>
                <w:rFonts w:hint="eastAsia" w:ascii="Times New Roman" w:hAnsi="Times New Roman" w:eastAsia="宋体" w:cs="Times New Roman"/>
                <w:color w:val="000000"/>
                <w:spacing w:val="0"/>
                <w:sz w:val="24"/>
              </w:rPr>
            </w:pPr>
            <w:r>
              <w:rPr>
                <w:rFonts w:hint="eastAsia"/>
                <w:color w:val="000000"/>
                <w:sz w:val="24"/>
                <w:lang w:val="en-US" w:eastAsia="zh-CN"/>
              </w:rPr>
              <w:t xml:space="preserve">8</w:t>
            </w:r>
            <w:r>
              <w:rPr>
                <w:rFonts w:hint="eastAsia" w:ascii="Times New Roman" w:hAnsi="Times New Roman" w:eastAsia="宋体" w:cs="Times New Roman"/>
                <w:color w:val="000000"/>
                <w:spacing w:val="0"/>
                <w:sz w:val="24"/>
              </w:rPr>
            </w:r>
            <w:r/>
          </w:p>
        </w:tc>
        <w:tc>
          <w:tcPr>
            <w:tcW w:w="926"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公平竞争</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供应商遵循公平竞争的原则，不存在恶意串通，妨碍其他供应商的竞争行为，不存在损害采购人或者其他供应商的合法权益情形的；</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63"/>
              <w:jc w:val="center"/>
              <w:widowControl/>
              <w:rPr>
                <w:rFonts w:hint="eastAsia"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color w:val="000000"/>
                <w:spacing w:val="0"/>
                <w:sz w:val="24"/>
              </w:rPr>
            </w:r>
            <w:r/>
          </w:p>
        </w:tc>
      </w:tr>
      <w:tr>
        <w:trPr>
          <w:trHeight w:val="459"/>
        </w:trPr>
        <w:tc>
          <w:tcPr>
            <w:tcW w:w="431"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rFonts w:hint="eastAsia" w:eastAsia="宋体"/>
                <w:color w:val="000000"/>
                <w:sz w:val="24"/>
                <w:lang w:val="en-US" w:eastAsia="zh-CN"/>
              </w:rPr>
              <w:t xml:space="preserve">9</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串通响应</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173"/>
        </w:trPr>
        <w:tc>
          <w:tcPr>
            <w:tcW w:w="431" w:type="dxa"/>
            <w:vAlign w:val="center"/>
            <w:textDirection w:val="lrTb"/>
            <w:noWrap w:val="false"/>
          </w:tcPr>
          <w:p>
            <w:pPr>
              <w:pStyle w:val="1263"/>
              <w:jc w:val="center"/>
              <w:widowControl/>
              <w:rPr>
                <w:rFonts w:hint="eastAsia" w:ascii="Times New Roman" w:hAnsi="Times New Roman" w:eastAsia="宋体" w:cs="Times New Roman"/>
                <w:color w:val="000000"/>
                <w:spacing w:val="0"/>
                <w:sz w:val="24"/>
              </w:rPr>
            </w:pPr>
            <w:r>
              <w:rPr>
                <w:rFonts w:hint="eastAsia" w:eastAsia="宋体"/>
                <w:color w:val="000000"/>
                <w:sz w:val="24"/>
                <w:lang w:val="en-US" w:eastAsia="zh-CN"/>
              </w:rPr>
              <w:t xml:space="preserve">10</w:t>
            </w:r>
            <w:r>
              <w:rPr>
                <w:rFonts w:hint="eastAsia" w:ascii="Times New Roman" w:hAnsi="Times New Roman" w:eastAsia="宋体" w:cs="Times New Roman"/>
                <w:color w:val="000000"/>
                <w:spacing w:val="0"/>
                <w:sz w:val="24"/>
              </w:rPr>
            </w:r>
            <w:r/>
          </w:p>
        </w:tc>
        <w:tc>
          <w:tcPr>
            <w:tcW w:w="926"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附加条件</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63"/>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596"/>
        </w:trPr>
        <w:tc>
          <w:tcPr>
            <w:tcW w:w="431" w:type="dxa"/>
            <w:vAlign w:val="center"/>
            <w:textDirection w:val="lrTb"/>
            <w:noWrap w:val="false"/>
          </w:tcPr>
          <w:p>
            <w:pPr>
              <w:pStyle w:val="1263"/>
              <w:jc w:val="center"/>
              <w:widowControl/>
              <w:rPr>
                <w:rFonts w:hint="eastAsia" w:ascii="Times New Roman" w:hAnsi="Times New Roman" w:eastAsia="宋体" w:cs="Times New Roman"/>
                <w:color w:val="000000"/>
                <w:spacing w:val="0"/>
                <w:sz w:val="24"/>
                <w:lang w:val="en-US" w:eastAsia="zh-CN"/>
              </w:rPr>
            </w:pPr>
            <w:r>
              <w:rPr>
                <w:rFonts w:hint="eastAsia"/>
                <w:color w:val="000000"/>
                <w:sz w:val="24"/>
              </w:rPr>
              <w:t xml:space="preserve">1</w:t>
            </w:r>
            <w:r>
              <w:rPr>
                <w:rFonts w:hint="eastAsia"/>
                <w:color w:val="000000"/>
                <w:sz w:val="24"/>
                <w:lang w:val="en-US" w:eastAsia="zh-CN"/>
              </w:rPr>
              <w:t xml:space="preserve">1</w:t>
            </w:r>
            <w:r>
              <w:rPr>
                <w:rFonts w:hint="eastAsia" w:ascii="Times New Roman" w:hAnsi="Times New Roman" w:eastAsia="宋体" w:cs="Times New Roman"/>
                <w:color w:val="000000"/>
                <w:spacing w:val="0"/>
                <w:sz w:val="24"/>
                <w:lang w:val="en-US" w:eastAsia="zh-CN"/>
              </w:rPr>
            </w:r>
            <w:r/>
          </w:p>
        </w:tc>
        <w:tc>
          <w:tcPr>
            <w:tcW w:w="926"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其他无效情形</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63"/>
              <w:jc w:val="left"/>
              <w:widowControl/>
              <w:rPr>
                <w:rFonts w:ascii="Times New Roman" w:hAnsi="Times New Roman" w:eastAsia="宋体" w:cs="Times New Roman"/>
                <w:color w:val="000000"/>
                <w:spacing w:val="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63"/>
              <w:jc w:val="center"/>
              <w:widowControl/>
              <w:rPr>
                <w:rFonts w:ascii="Times New Roman" w:hAnsi="Times New Roman" w:eastAsia="宋体" w:cs="Times New Roman"/>
                <w:b/>
                <w:color w:val="000000"/>
                <w:spacing w:val="0"/>
                <w:sz w:val="24"/>
                <w:lang w:val="en-US" w:eastAsia="zh-CN"/>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b/>
                <w:color w:val="000000"/>
                <w:spacing w:val="0"/>
                <w:sz w:val="24"/>
                <w:lang w:val="en-US" w:eastAsia="zh-CN"/>
              </w:rPr>
            </w:r>
            <w:r/>
          </w:p>
        </w:tc>
      </w:tr>
    </w:tbl>
    <w:p>
      <w:pPr>
        <w:pStyle w:val="1263"/>
        <w:ind w:firstLine="4200"/>
        <w:jc w:val="left"/>
        <w:keepLines w:val="0"/>
        <w:keepNext w:val="0"/>
        <w:pageBreakBefore w:val="0"/>
        <w:spacing w:before="0" w:beforeAutospacing="0" w:after="0" w:afterAutospacing="0" w:line="50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8"/>
          <w:szCs w:val="28"/>
          <w:lang w:val="en-US" w:eastAsia="zh-CN" w:bidi="ar-SA"/>
        </w:rPr>
        <w:t xml:space="preserve">投标供应商（公章）：</w:t>
      </w:r>
      <w:r>
        <w:rPr>
          <w:rFonts w:ascii="宋体" w:hAnsi="宋体" w:eastAsia="宋体" w:cs="宋体"/>
          <w:spacing w:val="0"/>
          <w:sz w:val="24"/>
          <w:szCs w:val="24"/>
          <w:lang w:val="en-US" w:eastAsia="zh-CN" w:bidi="ar-SA"/>
        </w:rPr>
      </w:r>
      <w:r/>
    </w:p>
    <w:p>
      <w:pPr>
        <w:pStyle w:val="1263"/>
        <w:ind w:firstLine="4200"/>
        <w:jc w:val="left"/>
        <w:keepLines w:val="0"/>
        <w:keepNext w:val="0"/>
        <w:pageBreakBefore w:val="0"/>
        <w:spacing w:before="0" w:beforeAutospacing="0" w:after="0" w:afterAutospacing="0" w:line="500" w:lineRule="exact"/>
        <w:widowControl/>
        <w:rPr>
          <w:rFonts w:ascii="Times New Roman" w:hAnsi="Times New Roman" w:eastAsia="宋体" w:cs="Times New Roman"/>
          <w:color w:val="000000"/>
          <w:spacing w:val="0"/>
          <w:sz w:val="24"/>
          <w:szCs w:val="2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8"/>
          <w:szCs w:val="28"/>
          <w:lang w:val="en-US" w:eastAsia="zh-CN" w:bidi="ar-SA"/>
        </w:rPr>
        <w:t xml:space="preserve">日期：</w:t>
      </w:r>
      <w:r>
        <w:rPr>
          <w:rFonts w:ascii="Times New Roman" w:hAnsi="Times New Roman" w:eastAsia="宋体" w:cs="Times New Roman"/>
          <w:color w:val="000000"/>
          <w:spacing w:val="0"/>
          <w:sz w:val="24"/>
          <w:szCs w:val="20"/>
        </w:rPr>
        <w:t xml:space="preserve"> </w:t>
      </w:r>
      <w:r/>
    </w:p>
    <w:sectPr>
      <w:headerReference w:type="even" r:id="rId16"/>
      <w:headerReference w:type="first" r:id="rId17"/>
      <w:footerReference w:type="even" r:id="rId29"/>
      <w:footerReference w:type="first" r:id="rId30"/>
      <w:footnotePr/>
      <w:endnotePr/>
      <w:type w:val="nextPage"/>
      <w:pgSz w:w="11905" w:h="16838" w:orient="portrait"/>
      <w:pgMar w:top="1417" w:right="1531" w:bottom="1417" w:left="1531"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瀹嬩綋">
    <w:panose1 w:val="020B0503020202020204"/>
  </w:font>
  <w:font w:name="Segoe UI Symbol">
    <w:panose1 w:val="020B0502040204020203"/>
  </w:font>
  <w:font w:name="Wingdings 2">
    <w:panose1 w:val="05020102010507070707"/>
  </w:font>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rPr>
        <w:rStyle w:val="1337"/>
      </w:rPr>
      <w:framePr w:wrap="around" w:vAnchor="text" w:hAnchor="margin" w:xAlign="center" w:y="1"/>
    </w:pPr>
    <w:r>
      <w:fldChar w:fldCharType="begin"/>
    </w:r>
    <w:r>
      <w:rPr>
        <w:rStyle w:val="1337"/>
      </w:rPr>
      <w:instrText xml:space="preserve">PAGE  </w:instrText>
    </w:r>
    <w:r>
      <w:fldChar w:fldCharType="end"/>
    </w:r>
    <w:r>
      <w:rPr>
        <w:rStyle w:val="1337"/>
      </w:rPr>
    </w:r>
    <w:r/>
  </w:p>
  <w:p>
    <w:pPr>
      <w:pStyle w:val="131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63"/>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63"/>
                    </w:pPr>
                    <w:r/>
                    <w:r/>
                  </w:p>
                </w:txbxContent>
              </v:textbox>
            </v:shape>
          </w:pict>
        </mc:Fallback>
      </mc:AlternateContent>
    </w: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63"/>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6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jc w:val="center"/>
      <w:widowControl w:val="off"/>
      <w:tabs>
        <w:tab w:val="center" w:pos="4153" w:leader="none"/>
        <w:tab w:val="right" w:pos="8306" w:leader="none"/>
      </w:tabs>
      <w:rPr>
        <w:rFonts w:ascii="Times New Roman" w:hAnsi="Times New Roman" w:eastAsia="仿宋_GB2312" w:cs="Times New Roman"/>
        <w:sz w:val="24"/>
        <w:szCs w:val="18"/>
        <w:lang w:val="en-US" w:eastAsia="zh-CN" w:bidi="ar-SA"/>
      </w:rPr>
    </w:pPr>
    <w:r>
      <w:rPr>
        <w:rFonts w:ascii="Times New Roman" w:hAnsi="Times New Roman"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3"/>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- 1 -</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126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3"/>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- 1 -</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1263"/>
                    </w:pPr>
                    <w:r/>
                    <w:r/>
                  </w:p>
                </w:txbxContent>
              </v:textbox>
            </v:shape>
          </w:pict>
        </mc:Fallback>
      </mc:AlternateContent>
    </w:r>
    <w:r>
      <w:rPr>
        <w:rFonts w:ascii="Times New Roman" w:hAnsi="Times New Roman" w:eastAsia="仿宋_GB2312" w:cs="Times New Roman"/>
        <w:sz w:val="24"/>
        <w:szCs w:val="18"/>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jc w:val="center"/>
      <w:rPr>
        <w:rFonts w:hint="eastAsia" w:ascii="Times New Roman" w:hAnsi="Times New Roman" w:eastAsia="宋体" w:cs="Times New Roman"/>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3"/>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- 1 -</w:t>
                          </w:r>
                          <w:r>
                            <w:rPr>
                              <w:rFonts w:ascii="Times New Roman" w:hAnsi="Times New Roman" w:eastAsia="宋体" w:cs="Times New Roman"/>
                            </w:rPr>
                            <w:fldChar w:fldCharType="end"/>
                          </w:r>
                          <w:r>
                            <w:rPr>
                              <w:rFonts w:ascii="Times New Roman" w:hAnsi="Times New Roman" w:eastAsia="宋体" w:cs="Times New Roman"/>
                            </w:rPr>
                          </w:r>
                          <w:r/>
                        </w:p>
                        <w:p>
                          <w:pPr>
                            <w:pStyle w:val="1263"/>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3"/>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- 1 -</w:t>
                    </w:r>
                    <w:r>
                      <w:rPr>
                        <w:rFonts w:ascii="Times New Roman" w:hAnsi="Times New Roman" w:eastAsia="宋体" w:cs="Times New Roman"/>
                      </w:rPr>
                      <w:fldChar w:fldCharType="end"/>
                    </w:r>
                    <w:r>
                      <w:rPr>
                        <w:rFonts w:ascii="Times New Roman" w:hAnsi="Times New Roman" w:eastAsia="宋体" w:cs="Times New Roman"/>
                      </w:rPr>
                    </w:r>
                    <w:r/>
                  </w:p>
                  <w:p>
                    <w:pPr>
                      <w:pStyle w:val="1263"/>
                    </w:pPr>
                    <w:r/>
                    <w:r/>
                  </w:p>
                </w:txbxContent>
              </v:textbox>
            </v:shape>
          </w:pict>
        </mc:Fallback>
      </mc:AlternateContent>
    </w:r>
    <w:r>
      <w:rPr>
        <w:rFonts w:hint="eastAsia" w:ascii="Times New Roman" w:hAnsi="Times New Roman" w:eastAsia="宋体" w:cs="Times New Roman"/>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263"/>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263"/>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63"/>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63"/>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rPr>
        <w:rStyle w:val="1337"/>
      </w:rPr>
      <w:framePr w:wrap="around" w:vAnchor="text" w:hAnchor="margin" w:xAlign="right" w:y="1"/>
    </w:pPr>
    <w:r>
      <w:rPr>
        <w:rStyle w:val="1337"/>
      </w:rPr>
      <w:fldChar w:fldCharType="begin"/>
    </w:r>
    <w:r>
      <w:rPr>
        <w:rStyle w:val="1337"/>
      </w:rPr>
      <w:instrText xml:space="preserve">PAGE  </w:instrText>
    </w:r>
    <w:r>
      <w:rPr>
        <w:rStyle w:val="1337"/>
      </w:rPr>
      <w:fldChar w:fldCharType="end"/>
    </w:r>
    <w:r>
      <w:rPr>
        <w:rStyle w:val="1337"/>
      </w:rPr>
    </w:r>
    <w:r/>
  </w:p>
  <w:p>
    <w:pPr>
      <w:pStyle w:val="1311"/>
      <w:ind w:right="360"/>
      <w:tabs>
        <w:tab w:val="center" w:pos="4153" w:leader="none"/>
        <w:tab w:val="right" w:pos="8306" w:leader="none"/>
      </w:tabs>
    </w:pPr>
    <w:r/>
    <w:r/>
  </w:p>
  <w:p>
    <w:pPr>
      <w:pStyle w:val="1263"/>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right"/>
      <w:tabs>
        <w:tab w:val="center" w:pos="4153" w:leader="none"/>
        <w:tab w:val="right" w:pos="8306" w:leader="none"/>
      </w:tabs>
      <w:rPr>
        <w:rFonts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tabs>
        <w:tab w:val="center" w:pos="4153" w:leader="none"/>
        <w:tab w:val="right" w:pos="8306" w:leader="none"/>
      </w:tabs>
      <w:rPr>
        <w:rFonts w:hint="eastAsia"/>
        <w:lang w:val="en-US" w:eastAsia="zh-CN"/>
      </w:rPr>
      <w:pBdr>
        <w:bottom w:val="none" w:color="000000" w:sz="0" w:space="1"/>
      </w:pBdr>
    </w:pPr>
    <w:r>
      <w:rPr>
        <w:rFonts w:hint="eastAsia"/>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right"/>
      <w:tabs>
        <w:tab w:val="center" w:pos="4153" w:leader="none"/>
        <w:tab w:val="right" w:pos="8306" w:leader="none"/>
      </w:tabs>
      <w:rPr>
        <w:rFonts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eastAsia="宋体"/>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right"/>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center"/>
      <w:tabs>
        <w:tab w:val="center" w:pos="4153" w:leader="none"/>
        <w:tab w:val="right" w:pos="8306" w:leader="none"/>
      </w:tabs>
      <w:rPr>
        <w:rFonts w:hint="eastAsia" w:ascii="Times New Roman" w:hAnsi="Times New Roman" w:eastAsia="宋体" w:cs="Times New Roman"/>
        <w:lang w:val="en-US" w:eastAsia="zh-CN"/>
      </w:rPr>
      <w:pBdr>
        <w:bottom w:val="single" w:color="000000" w:sz="4" w:space="1"/>
      </w:pBdr>
    </w:pPr>
    <w:r>
      <w:rPr>
        <w:rFonts w:hint="eastAsia" w:ascii="Times New Roman" w:hAnsi="Times New Roman" w:eastAsia="宋体" w:cs="Times New Roman"/>
        <w:sz w:val="21"/>
        <w:szCs w:val="21"/>
        <w:lang w:val="en-US" w:eastAsia="zh-CN"/>
      </w:rPr>
      <w:t xml:space="preserve">竞争性磋商文件                                                                                               江苏苏南项目管理有限公司</w:t>
    </w:r>
    <w:r>
      <w:rPr>
        <w:rFonts w:hint="eastAsia" w:ascii="Times New Roman" w:hAnsi="Times New Roman" w:eastAsia="宋体" w:cs="Times New Roman"/>
        <w:lang w:val="en-US"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both"/>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p>
    <w:pPr>
      <w:pStyle w:val="1314"/>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right"/>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tabs>
        <w:tab w:val="center" w:pos="4153" w:leader="none"/>
        <w:tab w:val="right" w:pos="8306" w:leader="none"/>
      </w:tabs>
    </w:pPr>
    <w:r/>
    <w:r/>
  </w:p>
  <w:p>
    <w:pPr>
      <w:pStyle w:val="1263"/>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2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2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263"/>
        <w:ind w:left="4941" w:hanging="1140"/>
        <w:tabs>
          <w:tab w:val="num" w:pos="4941" w:leader="none"/>
        </w:tabs>
      </w:pPr>
      <w:rPr>
        <w:rFonts w:hint="eastAsia"/>
      </w:rPr>
    </w:lvl>
    <w:lvl w:ilvl="1">
      <w:start w:val="1"/>
      <w:numFmt w:val="lowerLetter"/>
      <w:isLgl w:val="false"/>
      <w:suff w:val="tab"/>
      <w:lvlText w:val="%2)"/>
      <w:lvlJc w:val="left"/>
      <w:pPr>
        <w:pStyle w:val="1263"/>
        <w:ind w:left="4641" w:hanging="420"/>
        <w:tabs>
          <w:tab w:val="num" w:pos="4641" w:leader="none"/>
        </w:tabs>
      </w:pPr>
    </w:lvl>
    <w:lvl w:ilvl="2">
      <w:start w:val="1"/>
      <w:numFmt w:val="lowerRoman"/>
      <w:isLgl w:val="false"/>
      <w:suff w:val="tab"/>
      <w:lvlText w:val="%3."/>
      <w:lvlJc w:val="right"/>
      <w:pPr>
        <w:pStyle w:val="1263"/>
        <w:ind w:left="5061" w:hanging="420"/>
        <w:tabs>
          <w:tab w:val="num" w:pos="5061" w:leader="none"/>
        </w:tabs>
      </w:pPr>
    </w:lvl>
    <w:lvl w:ilvl="3">
      <w:start w:val="1"/>
      <w:numFmt w:val="decimal"/>
      <w:isLgl w:val="false"/>
      <w:suff w:val="tab"/>
      <w:lvlText w:val="%4."/>
      <w:lvlJc w:val="left"/>
      <w:pPr>
        <w:pStyle w:val="1263"/>
        <w:ind w:left="5481" w:hanging="420"/>
        <w:tabs>
          <w:tab w:val="num" w:pos="5481" w:leader="none"/>
        </w:tabs>
      </w:pPr>
    </w:lvl>
    <w:lvl w:ilvl="4">
      <w:start w:val="1"/>
      <w:numFmt w:val="lowerLetter"/>
      <w:isLgl w:val="false"/>
      <w:suff w:val="tab"/>
      <w:lvlText w:val="%5)"/>
      <w:lvlJc w:val="left"/>
      <w:pPr>
        <w:pStyle w:val="1263"/>
        <w:ind w:left="5901" w:hanging="420"/>
        <w:tabs>
          <w:tab w:val="num" w:pos="5901" w:leader="none"/>
        </w:tabs>
      </w:pPr>
    </w:lvl>
    <w:lvl w:ilvl="5">
      <w:start w:val="1"/>
      <w:numFmt w:val="lowerRoman"/>
      <w:isLgl w:val="false"/>
      <w:suff w:val="tab"/>
      <w:lvlText w:val="%6."/>
      <w:lvlJc w:val="right"/>
      <w:pPr>
        <w:pStyle w:val="1263"/>
        <w:ind w:left="6321" w:hanging="420"/>
        <w:tabs>
          <w:tab w:val="num" w:pos="6321" w:leader="none"/>
        </w:tabs>
      </w:pPr>
    </w:lvl>
    <w:lvl w:ilvl="6">
      <w:start w:val="1"/>
      <w:numFmt w:val="decimal"/>
      <w:isLgl w:val="false"/>
      <w:suff w:val="tab"/>
      <w:lvlText w:val="%7."/>
      <w:lvlJc w:val="left"/>
      <w:pPr>
        <w:pStyle w:val="1263"/>
        <w:ind w:left="6741" w:hanging="420"/>
        <w:tabs>
          <w:tab w:val="num" w:pos="6741" w:leader="none"/>
        </w:tabs>
      </w:pPr>
    </w:lvl>
    <w:lvl w:ilvl="7">
      <w:start w:val="1"/>
      <w:numFmt w:val="lowerLetter"/>
      <w:isLgl w:val="false"/>
      <w:suff w:val="tab"/>
      <w:lvlText w:val="%8)"/>
      <w:lvlJc w:val="left"/>
      <w:pPr>
        <w:pStyle w:val="1263"/>
        <w:ind w:left="7161" w:hanging="420"/>
        <w:tabs>
          <w:tab w:val="num" w:pos="7161" w:leader="none"/>
        </w:tabs>
      </w:pPr>
    </w:lvl>
    <w:lvl w:ilvl="8">
      <w:start w:val="1"/>
      <w:numFmt w:val="lowerRoman"/>
      <w:isLgl w:val="false"/>
      <w:suff w:val="tab"/>
      <w:lvlText w:val="%9."/>
      <w:lvlJc w:val="right"/>
      <w:pPr>
        <w:pStyle w:val="1263"/>
        <w:ind w:left="7581" w:hanging="420"/>
        <w:tabs>
          <w:tab w:val="num" w:pos="7581" w:leader="none"/>
        </w:tabs>
      </w:pPr>
    </w:lvl>
  </w:abstractNum>
  <w:abstractNum w:abstractNumId="3">
    <w:multiLevelType w:val="hybridMultilevel"/>
    <w:lvl w:ilvl="0">
      <w:start w:val="1"/>
      <w:numFmt w:val="decimal"/>
      <w:pStyle w:val="1376"/>
      <w:isLgl w:val="false"/>
      <w:suff w:val="tab"/>
      <w:lvlText w:val="%1."/>
      <w:lvlJc w:val="left"/>
      <w:pPr>
        <w:pStyle w:val="1263"/>
        <w:ind w:left="420" w:hanging="420"/>
      </w:pPr>
    </w:lvl>
    <w:lvl w:ilvl="1">
      <w:start w:val="1"/>
      <w:numFmt w:val="decimal"/>
      <w:isLgl w:val="false"/>
      <w:suff w:val="tab"/>
      <w:lvlText w:val="（%2）"/>
      <w:lvlJc w:val="left"/>
      <w:pPr>
        <w:pStyle w:val="1263"/>
        <w:ind w:left="1140" w:hanging="720"/>
        <w:tabs>
          <w:tab w:val="num" w:pos="1140" w:leader="none"/>
        </w:tabs>
      </w:pPr>
      <w:rPr>
        <w:rFonts w:hint="eastAsia"/>
      </w:rPr>
    </w:lvl>
    <w:lvl w:ilvl="2">
      <w:start w:val="1"/>
      <w:numFmt w:val="lowerRoman"/>
      <w:isLgl w:val="false"/>
      <w:suff w:val="tab"/>
      <w:lvlText w:val="%3."/>
      <w:lvlJc w:val="right"/>
      <w:pPr>
        <w:pStyle w:val="1263"/>
        <w:ind w:left="1260" w:hanging="420"/>
      </w:pPr>
    </w:lvl>
    <w:lvl w:ilvl="3">
      <w:start w:val="1"/>
      <w:numFmt w:val="decimal"/>
      <w:isLgl w:val="false"/>
      <w:suff w:val="tab"/>
      <w:lvlText w:val="%4."/>
      <w:lvlJc w:val="left"/>
      <w:pPr>
        <w:pStyle w:val="1263"/>
        <w:ind w:left="1680" w:hanging="420"/>
      </w:pPr>
    </w:lvl>
    <w:lvl w:ilvl="4">
      <w:start w:val="1"/>
      <w:numFmt w:val="lowerLetter"/>
      <w:isLgl w:val="false"/>
      <w:suff w:val="tab"/>
      <w:lvlText w:val="%5)"/>
      <w:lvlJc w:val="left"/>
      <w:pPr>
        <w:pStyle w:val="1263"/>
        <w:ind w:left="2100" w:hanging="420"/>
      </w:pPr>
    </w:lvl>
    <w:lvl w:ilvl="5">
      <w:start w:val="1"/>
      <w:numFmt w:val="lowerRoman"/>
      <w:isLgl w:val="false"/>
      <w:suff w:val="tab"/>
      <w:lvlText w:val="%6."/>
      <w:lvlJc w:val="right"/>
      <w:pPr>
        <w:pStyle w:val="1263"/>
        <w:ind w:left="2520" w:hanging="420"/>
      </w:pPr>
    </w:lvl>
    <w:lvl w:ilvl="6">
      <w:start w:val="1"/>
      <w:numFmt w:val="decimal"/>
      <w:isLgl w:val="false"/>
      <w:suff w:val="tab"/>
      <w:lvlText w:val="%7."/>
      <w:lvlJc w:val="left"/>
      <w:pPr>
        <w:pStyle w:val="1263"/>
        <w:ind w:left="2940" w:hanging="420"/>
      </w:pPr>
    </w:lvl>
    <w:lvl w:ilvl="7">
      <w:start w:val="1"/>
      <w:numFmt w:val="lowerLetter"/>
      <w:isLgl w:val="false"/>
      <w:suff w:val="tab"/>
      <w:lvlText w:val="%8)"/>
      <w:lvlJc w:val="left"/>
      <w:pPr>
        <w:pStyle w:val="1263"/>
        <w:ind w:left="3360" w:hanging="420"/>
      </w:pPr>
    </w:lvl>
    <w:lvl w:ilvl="8">
      <w:start w:val="1"/>
      <w:numFmt w:val="lowerRoman"/>
      <w:isLgl w:val="false"/>
      <w:suff w:val="tab"/>
      <w:lvlText w:val="%9."/>
      <w:lvlJc w:val="right"/>
      <w:pPr>
        <w:pStyle w:val="1263"/>
        <w:ind w:left="3780" w:hanging="420"/>
      </w:pPr>
    </w:lvl>
  </w:abstractNum>
  <w:abstractNum w:abstractNumId="4">
    <w:multiLevelType w:val="hybridMultilevel"/>
    <w:lvl w:ilvl="0">
      <w:start w:val="1"/>
      <w:numFmt w:val="lowerLetter"/>
      <w:pStyle w:val="1451"/>
      <w:isLgl w:val="false"/>
      <w:suff w:val="tab"/>
      <w:lvlText w:val="%1)"/>
      <w:lvlJc w:val="left"/>
      <w:pPr>
        <w:pStyle w:val="1263"/>
        <w:ind w:left="902" w:hanging="420"/>
      </w:pPr>
      <w:rPr>
        <w:color w:val="000000"/>
      </w:rPr>
    </w:lvl>
    <w:lvl w:ilvl="1">
      <w:start w:val="1"/>
      <w:numFmt w:val="lowerLetter"/>
      <w:isLgl w:val="false"/>
      <w:suff w:val="tab"/>
      <w:lvlText w:val="%2)"/>
      <w:lvlJc w:val="left"/>
      <w:pPr>
        <w:pStyle w:val="1263"/>
        <w:ind w:left="1322" w:hanging="420"/>
      </w:pPr>
    </w:lvl>
    <w:lvl w:ilvl="2">
      <w:start w:val="1"/>
      <w:numFmt w:val="lowerRoman"/>
      <w:isLgl w:val="false"/>
      <w:suff w:val="tab"/>
      <w:lvlText w:val="%3."/>
      <w:lvlJc w:val="right"/>
      <w:pPr>
        <w:pStyle w:val="1263"/>
        <w:ind w:left="1742" w:hanging="420"/>
      </w:pPr>
    </w:lvl>
    <w:lvl w:ilvl="3">
      <w:start w:val="1"/>
      <w:numFmt w:val="decimal"/>
      <w:isLgl w:val="false"/>
      <w:suff w:val="tab"/>
      <w:lvlText w:val="%4."/>
      <w:lvlJc w:val="left"/>
      <w:pPr>
        <w:pStyle w:val="1263"/>
        <w:ind w:left="2162" w:hanging="420"/>
      </w:pPr>
    </w:lvl>
    <w:lvl w:ilvl="4">
      <w:start w:val="1"/>
      <w:numFmt w:val="lowerLetter"/>
      <w:isLgl w:val="false"/>
      <w:suff w:val="tab"/>
      <w:lvlText w:val="%5)"/>
      <w:lvlJc w:val="left"/>
      <w:pPr>
        <w:pStyle w:val="1263"/>
        <w:ind w:left="2582" w:hanging="420"/>
      </w:pPr>
    </w:lvl>
    <w:lvl w:ilvl="5">
      <w:start w:val="1"/>
      <w:numFmt w:val="lowerRoman"/>
      <w:isLgl w:val="false"/>
      <w:suff w:val="tab"/>
      <w:lvlText w:val="%6."/>
      <w:lvlJc w:val="right"/>
      <w:pPr>
        <w:pStyle w:val="1263"/>
        <w:ind w:left="3002" w:hanging="420"/>
      </w:pPr>
    </w:lvl>
    <w:lvl w:ilvl="6">
      <w:start w:val="1"/>
      <w:numFmt w:val="decimal"/>
      <w:isLgl w:val="false"/>
      <w:suff w:val="tab"/>
      <w:lvlText w:val="%7."/>
      <w:lvlJc w:val="left"/>
      <w:pPr>
        <w:pStyle w:val="1263"/>
        <w:ind w:left="3422" w:hanging="420"/>
      </w:pPr>
    </w:lvl>
    <w:lvl w:ilvl="7">
      <w:start w:val="1"/>
      <w:numFmt w:val="lowerLetter"/>
      <w:isLgl w:val="false"/>
      <w:suff w:val="tab"/>
      <w:lvlText w:val="%8)"/>
      <w:lvlJc w:val="left"/>
      <w:pPr>
        <w:pStyle w:val="1263"/>
        <w:ind w:left="3842" w:hanging="420"/>
      </w:pPr>
    </w:lvl>
    <w:lvl w:ilvl="8">
      <w:start w:val="1"/>
      <w:numFmt w:val="lowerRoman"/>
      <w:isLgl w:val="false"/>
      <w:suff w:val="tab"/>
      <w:lvlText w:val="%9."/>
      <w:lvlJc w:val="right"/>
      <w:pPr>
        <w:pStyle w:val="1263"/>
        <w:ind w:left="4262" w:hanging="420"/>
      </w:pPr>
    </w:lvl>
  </w:abstractNum>
  <w:abstractNum w:abstractNumId="5">
    <w:multiLevelType w:val="hybridMultilevel"/>
    <w:lvl w:ilvl="0">
      <w:start w:val="1"/>
      <w:numFmt w:val="decimal"/>
      <w:pStyle w:val="1421"/>
      <w:isLgl w:val="false"/>
      <w:suff w:val="tab"/>
      <w:lvlText w:val="%1."/>
      <w:lvlJc w:val="left"/>
      <w:pPr>
        <w:pStyle w:val="12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70"/>
      <w:isLgl w:val="false"/>
      <w:suff w:val="nothing"/>
      <w:lvlText w:val="%1　"/>
      <w:lvlJc w:val="left"/>
      <w:pPr>
        <w:pStyle w:val="12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63"/>
        <w:ind w:left="-25" w:firstLine="0"/>
      </w:pPr>
      <w:rPr>
        <w:rFonts w:ascii="Times New Roman" w:hAnsi="Times New Roman" w:eastAsia="黑体"/>
        <w:b/>
        <w:i w:val="0"/>
        <w:sz w:val="28"/>
      </w:rPr>
    </w:lvl>
    <w:lvl w:ilvl="3">
      <w:start w:val="1"/>
      <w:numFmt w:val="decimal"/>
      <w:pStyle w:val="1406"/>
      <w:isLgl w:val="false"/>
      <w:suff w:val="nothing"/>
      <w:lvlText w:val="%1.%2.%3.%4　"/>
      <w:lvlJc w:val="left"/>
      <w:pPr>
        <w:pStyle w:val="12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63"/>
        <w:ind w:left="-25" w:firstLine="0"/>
      </w:pPr>
      <w:rPr>
        <w:rFonts w:ascii="Times New Roman" w:hAnsi="Times New Roman" w:eastAsia="宋体"/>
        <w:b/>
        <w:i w:val="0"/>
        <w:sz w:val="28"/>
      </w:rPr>
    </w:lvl>
    <w:lvl w:ilvl="6">
      <w:start w:val="1"/>
      <w:numFmt w:val="lowerLetter"/>
      <w:pStyle w:val="1427"/>
      <w:isLgl w:val="false"/>
      <w:suff w:val="tab"/>
      <w:lvlText w:val="%7) "/>
      <w:lvlJc w:val="left"/>
      <w:pPr>
        <w:pStyle w:val="1263"/>
        <w:ind w:left="-125" w:firstLine="400"/>
        <w:tabs>
          <w:tab w:val="num" w:pos="635" w:leader="none"/>
        </w:tabs>
      </w:pPr>
      <w:rPr>
        <w:rFonts w:ascii="Times New Roman" w:hAnsi="Times New Roman" w:eastAsia="宋体"/>
        <w:b/>
        <w:i w:val="0"/>
        <w:color w:val="000000"/>
        <w:sz w:val="28"/>
        <w:u w:val="none"/>
      </w:rPr>
    </w:lvl>
    <w:lvl w:ilvl="7">
      <w:start w:val="1"/>
      <w:numFmt w:val="decimal"/>
      <w:pStyle w:val="1390"/>
      <w:isLgl w:val="false"/>
      <w:suff w:val="tab"/>
      <w:lvlText w:val="%8) "/>
      <w:lvlJc w:val="left"/>
      <w:pPr>
        <w:pStyle w:val="12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63"/>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263"/>
        <w:ind w:left="768" w:hanging="360"/>
        <w:tabs>
          <w:tab w:val="num" w:pos="768" w:leader="none"/>
        </w:tabs>
      </w:pPr>
      <w:rPr>
        <w:rFonts w:hint="eastAsia"/>
      </w:rPr>
    </w:lvl>
    <w:lvl w:ilvl="1">
      <w:start w:val="1"/>
      <w:numFmt w:val="decimal"/>
      <w:pStyle w:val="1408"/>
      <w:isLgl w:val="false"/>
      <w:suff w:val="tab"/>
      <w:lvlText w:val="%2、"/>
      <w:lvlJc w:val="left"/>
      <w:pPr>
        <w:pStyle w:val="1263"/>
        <w:ind w:left="1188" w:hanging="360"/>
        <w:tabs>
          <w:tab w:val="num" w:pos="1188" w:leader="none"/>
        </w:tabs>
      </w:pPr>
      <w:rPr>
        <w:rFonts w:hint="eastAsia"/>
      </w:rPr>
    </w:lvl>
    <w:lvl w:ilvl="2">
      <w:start w:val="1"/>
      <w:numFmt w:val="decimal"/>
      <w:isLgl w:val="false"/>
      <w:suff w:val="tab"/>
      <w:lvlText w:val="（%3）"/>
      <w:lvlJc w:val="left"/>
      <w:pPr>
        <w:pStyle w:val="1263"/>
        <w:ind w:left="1968" w:hanging="720"/>
        <w:tabs>
          <w:tab w:val="num" w:pos="1968" w:leader="none"/>
        </w:tabs>
      </w:pPr>
      <w:rPr>
        <w:rFonts w:hint="eastAsia"/>
        <w:u w:val="none"/>
      </w:rPr>
    </w:lvl>
    <w:lvl w:ilvl="3">
      <w:start w:val="1"/>
      <w:numFmt w:val="decimal"/>
      <w:isLgl w:val="false"/>
      <w:suff w:val="tab"/>
      <w:lvlText w:val="%4."/>
      <w:lvlJc w:val="left"/>
      <w:pPr>
        <w:pStyle w:val="1263"/>
        <w:ind w:left="2088" w:hanging="420"/>
        <w:tabs>
          <w:tab w:val="num" w:pos="2088" w:leader="none"/>
        </w:tabs>
      </w:pPr>
    </w:lvl>
    <w:lvl w:ilvl="4">
      <w:start w:val="1"/>
      <w:numFmt w:val="lowerLetter"/>
      <w:isLgl w:val="false"/>
      <w:suff w:val="tab"/>
      <w:lvlText w:val="%5)"/>
      <w:lvlJc w:val="left"/>
      <w:pPr>
        <w:pStyle w:val="1263"/>
        <w:ind w:left="2508" w:hanging="420"/>
        <w:tabs>
          <w:tab w:val="num" w:pos="2508" w:leader="none"/>
        </w:tabs>
      </w:pPr>
    </w:lvl>
    <w:lvl w:ilvl="5">
      <w:start w:val="1"/>
      <w:numFmt w:val="lowerRoman"/>
      <w:isLgl w:val="false"/>
      <w:suff w:val="tab"/>
      <w:lvlText w:val="%6."/>
      <w:lvlJc w:val="right"/>
      <w:pPr>
        <w:pStyle w:val="1263"/>
        <w:ind w:left="2928" w:hanging="420"/>
        <w:tabs>
          <w:tab w:val="num" w:pos="2928" w:leader="none"/>
        </w:tabs>
      </w:pPr>
    </w:lvl>
    <w:lvl w:ilvl="6">
      <w:start w:val="1"/>
      <w:numFmt w:val="decimal"/>
      <w:isLgl w:val="false"/>
      <w:suff w:val="tab"/>
      <w:lvlText w:val="%7."/>
      <w:lvlJc w:val="left"/>
      <w:pPr>
        <w:pStyle w:val="1263"/>
        <w:ind w:left="3348" w:hanging="420"/>
        <w:tabs>
          <w:tab w:val="num" w:pos="3348" w:leader="none"/>
        </w:tabs>
      </w:pPr>
    </w:lvl>
    <w:lvl w:ilvl="7">
      <w:start w:val="1"/>
      <w:numFmt w:val="lowerLetter"/>
      <w:isLgl w:val="false"/>
      <w:suff w:val="tab"/>
      <w:lvlText w:val="%8)"/>
      <w:lvlJc w:val="left"/>
      <w:pPr>
        <w:pStyle w:val="1263"/>
        <w:ind w:left="3768" w:hanging="420"/>
        <w:tabs>
          <w:tab w:val="num" w:pos="3768" w:leader="none"/>
        </w:tabs>
      </w:pPr>
    </w:lvl>
    <w:lvl w:ilvl="8">
      <w:start w:val="1"/>
      <w:numFmt w:val="lowerRoman"/>
      <w:isLgl w:val="false"/>
      <w:suff w:val="tab"/>
      <w:lvlText w:val="%9."/>
      <w:lvlJc w:val="right"/>
      <w:pPr>
        <w:pStyle w:val="1263"/>
        <w:ind w:left="4188" w:hanging="420"/>
        <w:tabs>
          <w:tab w:val="num" w:pos="4188" w:leader="none"/>
        </w:tabs>
      </w:pPr>
    </w:lvl>
  </w:abstractNum>
  <w:abstractNum w:abstractNumId="8">
    <w:multiLevelType w:val="hybridMultilevel"/>
    <w:lvl w:ilvl="0">
      <w:start w:val="1"/>
      <w:numFmt w:val="decimal"/>
      <w:pStyle w:val="1375"/>
      <w:isLgl w:val="false"/>
      <w:suff w:val="tab"/>
      <w:lvlText w:val="%1)"/>
      <w:lvlJc w:val="left"/>
      <w:pPr>
        <w:pStyle w:val="1263"/>
        <w:ind w:left="420" w:hanging="420"/>
      </w:pPr>
    </w:lvl>
    <w:lvl w:ilvl="1">
      <w:start w:val="1"/>
      <w:numFmt w:val="lowerLetter"/>
      <w:isLgl w:val="false"/>
      <w:suff w:val="tab"/>
      <w:lvlText w:val="%2)"/>
      <w:lvlJc w:val="left"/>
      <w:pPr>
        <w:pStyle w:val="1263"/>
        <w:ind w:left="840" w:hanging="420"/>
      </w:pPr>
    </w:lvl>
    <w:lvl w:ilvl="2">
      <w:start w:val="1"/>
      <w:numFmt w:val="lowerRoman"/>
      <w:isLgl w:val="false"/>
      <w:suff w:val="tab"/>
      <w:lvlText w:val="%3."/>
      <w:lvlJc w:val="right"/>
      <w:pPr>
        <w:pStyle w:val="1263"/>
        <w:ind w:left="1260" w:hanging="420"/>
      </w:pPr>
    </w:lvl>
    <w:lvl w:ilvl="3">
      <w:start w:val="1"/>
      <w:numFmt w:val="decimal"/>
      <w:isLgl w:val="false"/>
      <w:suff w:val="tab"/>
      <w:lvlText w:val="%4."/>
      <w:lvlJc w:val="left"/>
      <w:pPr>
        <w:pStyle w:val="1263"/>
        <w:ind w:left="1680" w:hanging="420"/>
      </w:pPr>
    </w:lvl>
    <w:lvl w:ilvl="4">
      <w:start w:val="1"/>
      <w:numFmt w:val="lowerLetter"/>
      <w:isLgl w:val="false"/>
      <w:suff w:val="tab"/>
      <w:lvlText w:val="%5)"/>
      <w:lvlJc w:val="left"/>
      <w:pPr>
        <w:pStyle w:val="1263"/>
        <w:ind w:left="2100" w:hanging="420"/>
      </w:pPr>
    </w:lvl>
    <w:lvl w:ilvl="5">
      <w:start w:val="1"/>
      <w:numFmt w:val="lowerRoman"/>
      <w:isLgl w:val="false"/>
      <w:suff w:val="tab"/>
      <w:lvlText w:val="%6."/>
      <w:lvlJc w:val="right"/>
      <w:pPr>
        <w:pStyle w:val="1263"/>
        <w:ind w:left="2520" w:hanging="420"/>
      </w:pPr>
    </w:lvl>
    <w:lvl w:ilvl="6">
      <w:start w:val="1"/>
      <w:numFmt w:val="decimal"/>
      <w:isLgl w:val="false"/>
      <w:suff w:val="tab"/>
      <w:lvlText w:val="%7."/>
      <w:lvlJc w:val="left"/>
      <w:pPr>
        <w:pStyle w:val="1263"/>
        <w:ind w:left="2940" w:hanging="420"/>
      </w:pPr>
    </w:lvl>
    <w:lvl w:ilvl="7">
      <w:start w:val="1"/>
      <w:numFmt w:val="lowerLetter"/>
      <w:isLgl w:val="false"/>
      <w:suff w:val="tab"/>
      <w:lvlText w:val="%8)"/>
      <w:lvlJc w:val="left"/>
      <w:pPr>
        <w:pStyle w:val="1263"/>
        <w:ind w:left="3360" w:hanging="420"/>
      </w:pPr>
    </w:lvl>
    <w:lvl w:ilvl="8">
      <w:start w:val="1"/>
      <w:numFmt w:val="lowerRoman"/>
      <w:isLgl w:val="false"/>
      <w:suff w:val="tab"/>
      <w:lvlText w:val="%9."/>
      <w:lvlJc w:val="right"/>
      <w:pPr>
        <w:pStyle w:val="1263"/>
        <w:ind w:left="3780" w:hanging="420"/>
      </w:pPr>
    </w:lvl>
  </w:abstractNum>
  <w:abstractNum w:abstractNumId="9">
    <w:multiLevelType w:val="hybridMultilevel"/>
    <w:lvl w:ilvl="0">
      <w:start w:val="1"/>
      <w:numFmt w:val="decimal"/>
      <w:pStyle w:val="1476"/>
      <w:isLgl w:val="false"/>
      <w:suff w:val="tab"/>
      <w:lvlText w:val="%1"/>
      <w:lvlJc w:val="left"/>
      <w:pPr>
        <w:pStyle w:val="1263"/>
        <w:ind w:left="680" w:hanging="680"/>
      </w:pPr>
      <w:rPr>
        <w:rFonts w:hint="eastAsia" w:ascii="宋体" w:hAnsi="宋体" w:eastAsia="宋体"/>
      </w:rPr>
    </w:lvl>
    <w:lvl w:ilvl="1">
      <w:start w:val="1"/>
      <w:numFmt w:val="decimal"/>
      <w:pStyle w:val="1477"/>
      <w:isLgl w:val="false"/>
      <w:suff w:val="tab"/>
      <w:lvlText w:val="%1.%2"/>
      <w:lvlJc w:val="left"/>
      <w:pPr>
        <w:pStyle w:val="1263"/>
        <w:ind w:left="851" w:hanging="851"/>
      </w:pPr>
      <w:rPr>
        <w:rFonts w:hint="eastAsia" w:ascii="宋体" w:hAnsi="宋体" w:eastAsia="宋体"/>
        <w:color w:val="000000"/>
      </w:rPr>
    </w:lvl>
    <w:lvl w:ilvl="2">
      <w:start w:val="1"/>
      <w:numFmt w:val="decimal"/>
      <w:pStyle w:val="1478"/>
      <w:isLgl w:val="false"/>
      <w:suff w:val="tab"/>
      <w:lvlText w:val="%1.%2.%3"/>
      <w:lvlJc w:val="left"/>
      <w:pPr>
        <w:pStyle w:val="1263"/>
        <w:ind w:left="851" w:hanging="851"/>
      </w:pPr>
      <w:rPr>
        <w:rFonts w:hint="eastAsia"/>
      </w:rPr>
    </w:lvl>
    <w:lvl w:ilvl="3">
      <w:start w:val="1"/>
      <w:numFmt w:val="decimal"/>
      <w:isLgl w:val="false"/>
      <w:suff w:val="tab"/>
      <w:lvlText w:val="%1.%2.%3.%4"/>
      <w:lvlJc w:val="left"/>
      <w:pPr>
        <w:pStyle w:val="1263"/>
        <w:ind w:left="680" w:hanging="680"/>
      </w:pPr>
      <w:rPr>
        <w:rFonts w:hint="eastAsia"/>
      </w:rPr>
    </w:lvl>
    <w:lvl w:ilvl="4">
      <w:start w:val="1"/>
      <w:numFmt w:val="decimal"/>
      <w:isLgl w:val="false"/>
      <w:suff w:val="tab"/>
      <w:lvlText w:val="%1.%2.%3.%4.%5"/>
      <w:lvlJc w:val="left"/>
      <w:pPr>
        <w:pStyle w:val="1263"/>
        <w:ind w:left="680" w:hanging="680"/>
      </w:pPr>
      <w:rPr>
        <w:rFonts w:hint="eastAsia"/>
      </w:rPr>
    </w:lvl>
    <w:lvl w:ilvl="5">
      <w:start w:val="1"/>
      <w:numFmt w:val="decimal"/>
      <w:isLgl w:val="false"/>
      <w:suff w:val="tab"/>
      <w:lvlText w:val="%1.%2.%3.%4.%5.%6"/>
      <w:lvlJc w:val="left"/>
      <w:pPr>
        <w:pStyle w:val="1263"/>
        <w:ind w:left="680" w:hanging="680"/>
      </w:pPr>
      <w:rPr>
        <w:rFonts w:hint="eastAsia"/>
      </w:rPr>
    </w:lvl>
    <w:lvl w:ilvl="6">
      <w:start w:val="1"/>
      <w:numFmt w:val="decimal"/>
      <w:isLgl w:val="false"/>
      <w:suff w:val="tab"/>
      <w:lvlText w:val="%1.%2.%3.%4.%5.%6.%7"/>
      <w:lvlJc w:val="left"/>
      <w:pPr>
        <w:pStyle w:val="1263"/>
        <w:ind w:left="680" w:hanging="680"/>
      </w:pPr>
      <w:rPr>
        <w:rFonts w:hint="eastAsia"/>
      </w:rPr>
    </w:lvl>
    <w:lvl w:ilvl="7">
      <w:start w:val="1"/>
      <w:numFmt w:val="decimal"/>
      <w:isLgl w:val="false"/>
      <w:suff w:val="tab"/>
      <w:lvlText w:val="%1.%2.%3.%4.%5.%6.%7.%8"/>
      <w:lvlJc w:val="left"/>
      <w:pPr>
        <w:pStyle w:val="1263"/>
        <w:ind w:left="680" w:hanging="680"/>
      </w:pPr>
      <w:rPr>
        <w:rFonts w:hint="eastAsia"/>
      </w:rPr>
    </w:lvl>
    <w:lvl w:ilvl="8">
      <w:start w:val="1"/>
      <w:numFmt w:val="decimal"/>
      <w:isLgl w:val="false"/>
      <w:suff w:val="tab"/>
      <w:lvlText w:val="%1.%2.%3.%4.%5.%6.%7.%8.%9"/>
      <w:lvlJc w:val="left"/>
      <w:pPr>
        <w:pStyle w:val="1263"/>
        <w:ind w:left="680" w:hanging="680"/>
      </w:pPr>
      <w:rPr>
        <w:rFonts w:hint="eastAsia"/>
      </w:rPr>
    </w:lvl>
  </w:abstractNum>
  <w:abstractNum w:abstractNumId="10">
    <w:multiLevelType w:val="hybridMultilevel"/>
    <w:lvl w:ilvl="0">
      <w:start w:val="2"/>
      <w:numFmt w:val="decimal"/>
      <w:isLgl w:val="false"/>
      <w:suff w:val="tab"/>
      <w:lvlText w:val="%1."/>
      <w:lvlJc w:val="left"/>
      <w:pPr>
        <w:pStyle w:val="12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0"/>
      <w:numFmt w:val="decimal"/>
      <w:isLgl w:val="false"/>
      <w:suff w:val="nothing"/>
      <w:lvlText w:val="（%1）"/>
      <w:lvlJc w:val="left"/>
      <w:pPr>
        <w:pStyle w:val="12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2"/>
      <w:numFmt w:val="decimal"/>
      <w:isLgl w:val="false"/>
      <w:suff w:val="space"/>
      <w:lvlText w:val="%1."/>
      <w:lvlJc w:val="left"/>
      <w:pPr>
        <w:pStyle w:val="12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8"/>
  </w:num>
  <w:num w:numId="4">
    <w:abstractNumId w:val="7"/>
  </w:num>
  <w:num w:numId="5">
    <w:abstractNumId w:val="5"/>
  </w:num>
  <w:num w:numId="6">
    <w:abstractNumId w:val="4"/>
  </w:num>
  <w:num w:numId="7">
    <w:abstractNumId w:val="9"/>
  </w:num>
  <w:num w:numId="8">
    <w:abstractNumId w:val="1"/>
  </w:num>
  <w:num w:numId="9">
    <w:abstractNumId w:val="2"/>
  </w:num>
  <w:num w:numId="10">
    <w:abstractNumId w:val="10"/>
  </w:num>
  <w:num w:numId="11">
    <w:abstractNumId w:val="11"/>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85">
    <w:name w:val="Heading 1"/>
    <w:basedOn w:val="1263"/>
    <w:next w:val="1263"/>
    <w:link w:val="1086"/>
    <w:uiPriority w:val="9"/>
    <w:qFormat/>
    <w:pPr>
      <w:keepLines/>
      <w:keepNext/>
      <w:spacing w:before="480" w:after="200"/>
      <w:outlineLvl w:val="0"/>
    </w:pPr>
    <w:rPr>
      <w:rFonts w:ascii="Arial" w:hAnsi="Arial" w:eastAsia="Arial" w:cs="Arial"/>
      <w:sz w:val="40"/>
      <w:szCs w:val="40"/>
    </w:rPr>
  </w:style>
  <w:style w:type="character" w:styleId="1086">
    <w:name w:val="Heading 1 Char"/>
    <w:link w:val="1085"/>
    <w:uiPriority w:val="9"/>
    <w:rPr>
      <w:rFonts w:ascii="Arial" w:hAnsi="Arial" w:eastAsia="Arial" w:cs="Arial"/>
      <w:sz w:val="40"/>
      <w:szCs w:val="40"/>
    </w:rPr>
  </w:style>
  <w:style w:type="paragraph" w:styleId="1087">
    <w:name w:val="Heading 2"/>
    <w:basedOn w:val="1263"/>
    <w:next w:val="1263"/>
    <w:link w:val="1088"/>
    <w:uiPriority w:val="9"/>
    <w:unhideWhenUsed/>
    <w:qFormat/>
    <w:pPr>
      <w:keepLines/>
      <w:keepNext/>
      <w:spacing w:before="360" w:after="200"/>
      <w:outlineLvl w:val="1"/>
    </w:pPr>
    <w:rPr>
      <w:rFonts w:ascii="Arial" w:hAnsi="Arial" w:eastAsia="Arial" w:cs="Arial"/>
      <w:sz w:val="34"/>
    </w:rPr>
  </w:style>
  <w:style w:type="character" w:styleId="1088">
    <w:name w:val="Heading 2 Char"/>
    <w:link w:val="1087"/>
    <w:uiPriority w:val="9"/>
    <w:rPr>
      <w:rFonts w:ascii="Arial" w:hAnsi="Arial" w:eastAsia="Arial" w:cs="Arial"/>
      <w:sz w:val="34"/>
    </w:rPr>
  </w:style>
  <w:style w:type="paragraph" w:styleId="1089">
    <w:name w:val="Heading 3"/>
    <w:basedOn w:val="1263"/>
    <w:next w:val="1263"/>
    <w:link w:val="1090"/>
    <w:uiPriority w:val="9"/>
    <w:unhideWhenUsed/>
    <w:qFormat/>
    <w:pPr>
      <w:keepLines/>
      <w:keepNext/>
      <w:spacing w:before="320" w:after="200"/>
      <w:outlineLvl w:val="2"/>
    </w:pPr>
    <w:rPr>
      <w:rFonts w:ascii="Arial" w:hAnsi="Arial" w:eastAsia="Arial" w:cs="Arial"/>
      <w:sz w:val="30"/>
      <w:szCs w:val="30"/>
    </w:rPr>
  </w:style>
  <w:style w:type="character" w:styleId="1090">
    <w:name w:val="Heading 3 Char"/>
    <w:link w:val="1089"/>
    <w:uiPriority w:val="9"/>
    <w:rPr>
      <w:rFonts w:ascii="Arial" w:hAnsi="Arial" w:eastAsia="Arial" w:cs="Arial"/>
      <w:sz w:val="30"/>
      <w:szCs w:val="30"/>
    </w:rPr>
  </w:style>
  <w:style w:type="paragraph" w:styleId="1091">
    <w:name w:val="Heading 4"/>
    <w:basedOn w:val="1263"/>
    <w:next w:val="1263"/>
    <w:link w:val="1092"/>
    <w:uiPriority w:val="9"/>
    <w:unhideWhenUsed/>
    <w:qFormat/>
    <w:pPr>
      <w:keepLines/>
      <w:keepNext/>
      <w:spacing w:before="320" w:after="200"/>
      <w:outlineLvl w:val="3"/>
    </w:pPr>
    <w:rPr>
      <w:rFonts w:ascii="Arial" w:hAnsi="Arial" w:eastAsia="Arial" w:cs="Arial"/>
      <w:b/>
      <w:bCs/>
      <w:sz w:val="26"/>
      <w:szCs w:val="26"/>
    </w:rPr>
  </w:style>
  <w:style w:type="character" w:styleId="1092">
    <w:name w:val="Heading 4 Char"/>
    <w:link w:val="1091"/>
    <w:uiPriority w:val="9"/>
    <w:rPr>
      <w:rFonts w:ascii="Arial" w:hAnsi="Arial" w:eastAsia="Arial" w:cs="Arial"/>
      <w:b/>
      <w:bCs/>
      <w:sz w:val="26"/>
      <w:szCs w:val="26"/>
    </w:rPr>
  </w:style>
  <w:style w:type="paragraph" w:styleId="1093">
    <w:name w:val="Heading 5"/>
    <w:basedOn w:val="1263"/>
    <w:next w:val="1263"/>
    <w:link w:val="1094"/>
    <w:uiPriority w:val="9"/>
    <w:unhideWhenUsed/>
    <w:qFormat/>
    <w:pPr>
      <w:keepLines/>
      <w:keepNext/>
      <w:spacing w:before="320" w:after="200"/>
      <w:outlineLvl w:val="4"/>
    </w:pPr>
    <w:rPr>
      <w:rFonts w:ascii="Arial" w:hAnsi="Arial" w:eastAsia="Arial" w:cs="Arial"/>
      <w:b/>
      <w:bCs/>
      <w:sz w:val="24"/>
      <w:szCs w:val="24"/>
    </w:rPr>
  </w:style>
  <w:style w:type="character" w:styleId="1094">
    <w:name w:val="Heading 5 Char"/>
    <w:link w:val="1093"/>
    <w:uiPriority w:val="9"/>
    <w:rPr>
      <w:rFonts w:ascii="Arial" w:hAnsi="Arial" w:eastAsia="Arial" w:cs="Arial"/>
      <w:b/>
      <w:bCs/>
      <w:sz w:val="24"/>
      <w:szCs w:val="24"/>
    </w:rPr>
  </w:style>
  <w:style w:type="paragraph" w:styleId="1095">
    <w:name w:val="Heading 6"/>
    <w:basedOn w:val="1263"/>
    <w:next w:val="1263"/>
    <w:link w:val="1096"/>
    <w:uiPriority w:val="9"/>
    <w:unhideWhenUsed/>
    <w:qFormat/>
    <w:pPr>
      <w:keepLines/>
      <w:keepNext/>
      <w:spacing w:before="320" w:after="200"/>
      <w:outlineLvl w:val="5"/>
    </w:pPr>
    <w:rPr>
      <w:rFonts w:ascii="Arial" w:hAnsi="Arial" w:eastAsia="Arial" w:cs="Arial"/>
      <w:b/>
      <w:bCs/>
      <w:sz w:val="22"/>
      <w:szCs w:val="22"/>
    </w:rPr>
  </w:style>
  <w:style w:type="character" w:styleId="1096">
    <w:name w:val="Heading 6 Char"/>
    <w:link w:val="1095"/>
    <w:uiPriority w:val="9"/>
    <w:rPr>
      <w:rFonts w:ascii="Arial" w:hAnsi="Arial" w:eastAsia="Arial" w:cs="Arial"/>
      <w:b/>
      <w:bCs/>
      <w:sz w:val="22"/>
      <w:szCs w:val="22"/>
    </w:rPr>
  </w:style>
  <w:style w:type="paragraph" w:styleId="1097">
    <w:name w:val="Heading 7"/>
    <w:basedOn w:val="1263"/>
    <w:next w:val="1263"/>
    <w:link w:val="1098"/>
    <w:uiPriority w:val="9"/>
    <w:unhideWhenUsed/>
    <w:qFormat/>
    <w:pPr>
      <w:keepLines/>
      <w:keepNext/>
      <w:spacing w:before="320" w:after="200"/>
      <w:outlineLvl w:val="6"/>
    </w:pPr>
    <w:rPr>
      <w:rFonts w:ascii="Arial" w:hAnsi="Arial" w:eastAsia="Arial" w:cs="Arial"/>
      <w:b/>
      <w:bCs/>
      <w:i/>
      <w:iCs/>
      <w:sz w:val="22"/>
      <w:szCs w:val="22"/>
    </w:rPr>
  </w:style>
  <w:style w:type="character" w:styleId="1098">
    <w:name w:val="Heading 7 Char"/>
    <w:link w:val="1097"/>
    <w:uiPriority w:val="9"/>
    <w:rPr>
      <w:rFonts w:ascii="Arial" w:hAnsi="Arial" w:eastAsia="Arial" w:cs="Arial"/>
      <w:b/>
      <w:bCs/>
      <w:i/>
      <w:iCs/>
      <w:sz w:val="22"/>
      <w:szCs w:val="22"/>
    </w:rPr>
  </w:style>
  <w:style w:type="paragraph" w:styleId="1099">
    <w:name w:val="Heading 8"/>
    <w:basedOn w:val="1263"/>
    <w:next w:val="1263"/>
    <w:link w:val="1100"/>
    <w:uiPriority w:val="9"/>
    <w:unhideWhenUsed/>
    <w:qFormat/>
    <w:pPr>
      <w:keepLines/>
      <w:keepNext/>
      <w:spacing w:before="320" w:after="200"/>
      <w:outlineLvl w:val="7"/>
    </w:pPr>
    <w:rPr>
      <w:rFonts w:ascii="Arial" w:hAnsi="Arial" w:eastAsia="Arial" w:cs="Arial"/>
      <w:i/>
      <w:iCs/>
      <w:sz w:val="22"/>
      <w:szCs w:val="22"/>
    </w:rPr>
  </w:style>
  <w:style w:type="character" w:styleId="1100">
    <w:name w:val="Heading 8 Char"/>
    <w:link w:val="1099"/>
    <w:uiPriority w:val="9"/>
    <w:rPr>
      <w:rFonts w:ascii="Arial" w:hAnsi="Arial" w:eastAsia="Arial" w:cs="Arial"/>
      <w:i/>
      <w:iCs/>
      <w:sz w:val="22"/>
      <w:szCs w:val="22"/>
    </w:rPr>
  </w:style>
  <w:style w:type="paragraph" w:styleId="1101">
    <w:name w:val="Heading 9"/>
    <w:basedOn w:val="1263"/>
    <w:next w:val="1263"/>
    <w:link w:val="1102"/>
    <w:uiPriority w:val="9"/>
    <w:unhideWhenUsed/>
    <w:qFormat/>
    <w:pPr>
      <w:keepLines/>
      <w:keepNext/>
      <w:spacing w:before="320" w:after="200"/>
      <w:outlineLvl w:val="8"/>
    </w:pPr>
    <w:rPr>
      <w:rFonts w:ascii="Arial" w:hAnsi="Arial" w:eastAsia="Arial" w:cs="Arial"/>
      <w:i/>
      <w:iCs/>
      <w:sz w:val="21"/>
      <w:szCs w:val="21"/>
    </w:rPr>
  </w:style>
  <w:style w:type="character" w:styleId="1102">
    <w:name w:val="Heading 9 Char"/>
    <w:link w:val="1101"/>
    <w:uiPriority w:val="9"/>
    <w:rPr>
      <w:rFonts w:ascii="Arial" w:hAnsi="Arial" w:eastAsia="Arial" w:cs="Arial"/>
      <w:i/>
      <w:iCs/>
      <w:sz w:val="21"/>
      <w:szCs w:val="21"/>
    </w:rPr>
  </w:style>
  <w:style w:type="paragraph" w:styleId="1103">
    <w:name w:val="List Paragraph"/>
    <w:basedOn w:val="1263"/>
    <w:uiPriority w:val="34"/>
    <w:qFormat/>
    <w:pPr>
      <w:contextualSpacing/>
      <w:ind w:left="720"/>
    </w:pPr>
  </w:style>
  <w:style w:type="paragraph" w:styleId="1104">
    <w:name w:val="No Spacing"/>
    <w:uiPriority w:val="1"/>
    <w:qFormat/>
    <w:pPr>
      <w:spacing w:before="0" w:after="0" w:line="240" w:lineRule="auto"/>
    </w:pPr>
  </w:style>
  <w:style w:type="paragraph" w:styleId="1105">
    <w:name w:val="Title"/>
    <w:basedOn w:val="1263"/>
    <w:next w:val="1263"/>
    <w:link w:val="1106"/>
    <w:uiPriority w:val="10"/>
    <w:qFormat/>
    <w:pPr>
      <w:contextualSpacing/>
      <w:spacing w:before="300" w:after="200"/>
    </w:pPr>
    <w:rPr>
      <w:sz w:val="48"/>
      <w:szCs w:val="48"/>
    </w:rPr>
  </w:style>
  <w:style w:type="character" w:styleId="1106">
    <w:name w:val="Title Char"/>
    <w:link w:val="1105"/>
    <w:uiPriority w:val="10"/>
    <w:rPr>
      <w:sz w:val="48"/>
      <w:szCs w:val="48"/>
    </w:rPr>
  </w:style>
  <w:style w:type="paragraph" w:styleId="1107">
    <w:name w:val="Subtitle"/>
    <w:basedOn w:val="1263"/>
    <w:next w:val="1263"/>
    <w:link w:val="1108"/>
    <w:uiPriority w:val="11"/>
    <w:qFormat/>
    <w:pPr>
      <w:spacing w:before="200" w:after="200"/>
    </w:pPr>
    <w:rPr>
      <w:sz w:val="24"/>
      <w:szCs w:val="24"/>
    </w:rPr>
  </w:style>
  <w:style w:type="character" w:styleId="1108">
    <w:name w:val="Subtitle Char"/>
    <w:link w:val="1107"/>
    <w:uiPriority w:val="11"/>
    <w:rPr>
      <w:sz w:val="24"/>
      <w:szCs w:val="24"/>
    </w:rPr>
  </w:style>
  <w:style w:type="paragraph" w:styleId="1109">
    <w:name w:val="Quote"/>
    <w:basedOn w:val="1263"/>
    <w:next w:val="1263"/>
    <w:link w:val="1110"/>
    <w:uiPriority w:val="29"/>
    <w:qFormat/>
    <w:pPr>
      <w:ind w:left="720" w:right="720"/>
    </w:pPr>
    <w:rPr>
      <w:i/>
    </w:rPr>
  </w:style>
  <w:style w:type="character" w:styleId="1110">
    <w:name w:val="Quote Char"/>
    <w:link w:val="1109"/>
    <w:uiPriority w:val="29"/>
    <w:rPr>
      <w:i/>
    </w:rPr>
  </w:style>
  <w:style w:type="paragraph" w:styleId="1111">
    <w:name w:val="Intense Quote"/>
    <w:basedOn w:val="1263"/>
    <w:next w:val="1263"/>
    <w:link w:val="11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2">
    <w:name w:val="Intense Quote Char"/>
    <w:link w:val="1111"/>
    <w:uiPriority w:val="30"/>
    <w:rPr>
      <w:i/>
    </w:rPr>
  </w:style>
  <w:style w:type="paragraph" w:styleId="1113">
    <w:name w:val="Header"/>
    <w:basedOn w:val="1263"/>
    <w:link w:val="1114"/>
    <w:uiPriority w:val="99"/>
    <w:unhideWhenUsed/>
    <w:pPr>
      <w:spacing w:after="0" w:line="240" w:lineRule="auto"/>
      <w:tabs>
        <w:tab w:val="center" w:pos="7143" w:leader="none"/>
        <w:tab w:val="right" w:pos="14287" w:leader="none"/>
      </w:tabs>
    </w:pPr>
  </w:style>
  <w:style w:type="character" w:styleId="1114">
    <w:name w:val="Header Char"/>
    <w:link w:val="1113"/>
    <w:uiPriority w:val="99"/>
  </w:style>
  <w:style w:type="paragraph" w:styleId="1115">
    <w:name w:val="Footer"/>
    <w:basedOn w:val="1263"/>
    <w:link w:val="1118"/>
    <w:uiPriority w:val="99"/>
    <w:unhideWhenUsed/>
    <w:pPr>
      <w:spacing w:after="0" w:line="240" w:lineRule="auto"/>
      <w:tabs>
        <w:tab w:val="center" w:pos="7143" w:leader="none"/>
        <w:tab w:val="right" w:pos="14287" w:leader="none"/>
      </w:tabs>
    </w:pPr>
  </w:style>
  <w:style w:type="character" w:styleId="1116">
    <w:name w:val="Footer Char"/>
    <w:link w:val="1115"/>
    <w:uiPriority w:val="99"/>
  </w:style>
  <w:style w:type="paragraph" w:styleId="1117">
    <w:name w:val="Caption"/>
    <w:basedOn w:val="1263"/>
    <w:next w:val="1263"/>
    <w:uiPriority w:val="35"/>
    <w:semiHidden/>
    <w:unhideWhenUsed/>
    <w:qFormat/>
    <w:pPr>
      <w:spacing w:line="276" w:lineRule="auto"/>
    </w:pPr>
    <w:rPr>
      <w:b/>
      <w:bCs/>
      <w:color w:val="4f81bd" w:themeColor="accent1"/>
      <w:sz w:val="18"/>
      <w:szCs w:val="18"/>
    </w:rPr>
  </w:style>
  <w:style w:type="character" w:styleId="1118">
    <w:name w:val="Caption Char"/>
    <w:basedOn w:val="1117"/>
    <w:link w:val="1115"/>
    <w:uiPriority w:val="99"/>
  </w:style>
  <w:style w:type="table" w:styleId="11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45">
    <w:name w:val="Hyperlink"/>
    <w:uiPriority w:val="99"/>
    <w:unhideWhenUsed/>
    <w:rPr>
      <w:color w:val="0000ff" w:themeColor="hyperlink"/>
      <w:u w:val="single"/>
    </w:rPr>
  </w:style>
  <w:style w:type="paragraph" w:styleId="1246">
    <w:name w:val="footnote text"/>
    <w:basedOn w:val="1263"/>
    <w:link w:val="1247"/>
    <w:uiPriority w:val="99"/>
    <w:semiHidden/>
    <w:unhideWhenUsed/>
    <w:pPr>
      <w:spacing w:after="40" w:line="240" w:lineRule="auto"/>
    </w:pPr>
    <w:rPr>
      <w:sz w:val="18"/>
    </w:rPr>
  </w:style>
  <w:style w:type="character" w:styleId="1247">
    <w:name w:val="Footnote Text Char"/>
    <w:link w:val="1246"/>
    <w:uiPriority w:val="99"/>
    <w:rPr>
      <w:sz w:val="18"/>
    </w:rPr>
  </w:style>
  <w:style w:type="character" w:styleId="1248">
    <w:name w:val="footnote reference"/>
    <w:uiPriority w:val="99"/>
    <w:unhideWhenUsed/>
    <w:rPr>
      <w:vertAlign w:val="superscript"/>
    </w:rPr>
  </w:style>
  <w:style w:type="paragraph" w:styleId="1249">
    <w:name w:val="endnote text"/>
    <w:basedOn w:val="1263"/>
    <w:link w:val="1250"/>
    <w:uiPriority w:val="99"/>
    <w:semiHidden/>
    <w:unhideWhenUsed/>
    <w:pPr>
      <w:spacing w:after="0" w:line="240" w:lineRule="auto"/>
    </w:pPr>
    <w:rPr>
      <w:sz w:val="20"/>
    </w:rPr>
  </w:style>
  <w:style w:type="character" w:styleId="1250">
    <w:name w:val="Endnote Text Char"/>
    <w:link w:val="1249"/>
    <w:uiPriority w:val="99"/>
    <w:rPr>
      <w:sz w:val="20"/>
    </w:rPr>
  </w:style>
  <w:style w:type="character" w:styleId="1251">
    <w:name w:val="endnote reference"/>
    <w:uiPriority w:val="99"/>
    <w:semiHidden/>
    <w:unhideWhenUsed/>
    <w:rPr>
      <w:vertAlign w:val="superscript"/>
    </w:rPr>
  </w:style>
  <w:style w:type="paragraph" w:styleId="1252">
    <w:name w:val="toc 1"/>
    <w:basedOn w:val="1263"/>
    <w:next w:val="1263"/>
    <w:uiPriority w:val="39"/>
    <w:unhideWhenUsed/>
    <w:pPr>
      <w:ind w:left="0" w:right="0" w:firstLine="0"/>
      <w:spacing w:after="57"/>
    </w:pPr>
  </w:style>
  <w:style w:type="paragraph" w:styleId="1253">
    <w:name w:val="toc 2"/>
    <w:basedOn w:val="1263"/>
    <w:next w:val="1263"/>
    <w:uiPriority w:val="39"/>
    <w:unhideWhenUsed/>
    <w:pPr>
      <w:ind w:left="283" w:right="0" w:firstLine="0"/>
      <w:spacing w:after="57"/>
    </w:pPr>
  </w:style>
  <w:style w:type="paragraph" w:styleId="1254">
    <w:name w:val="toc 3"/>
    <w:basedOn w:val="1263"/>
    <w:next w:val="1263"/>
    <w:uiPriority w:val="39"/>
    <w:unhideWhenUsed/>
    <w:pPr>
      <w:ind w:left="567" w:right="0" w:firstLine="0"/>
      <w:spacing w:after="57"/>
    </w:pPr>
  </w:style>
  <w:style w:type="paragraph" w:styleId="1255">
    <w:name w:val="toc 4"/>
    <w:basedOn w:val="1263"/>
    <w:next w:val="1263"/>
    <w:uiPriority w:val="39"/>
    <w:unhideWhenUsed/>
    <w:pPr>
      <w:ind w:left="850" w:right="0" w:firstLine="0"/>
      <w:spacing w:after="57"/>
    </w:pPr>
  </w:style>
  <w:style w:type="paragraph" w:styleId="1256">
    <w:name w:val="toc 5"/>
    <w:basedOn w:val="1263"/>
    <w:next w:val="1263"/>
    <w:uiPriority w:val="39"/>
    <w:unhideWhenUsed/>
    <w:pPr>
      <w:ind w:left="1134" w:right="0" w:firstLine="0"/>
      <w:spacing w:after="57"/>
    </w:pPr>
  </w:style>
  <w:style w:type="paragraph" w:styleId="1257">
    <w:name w:val="toc 6"/>
    <w:basedOn w:val="1263"/>
    <w:next w:val="1263"/>
    <w:uiPriority w:val="39"/>
    <w:unhideWhenUsed/>
    <w:pPr>
      <w:ind w:left="1417" w:right="0" w:firstLine="0"/>
      <w:spacing w:after="57"/>
    </w:pPr>
  </w:style>
  <w:style w:type="paragraph" w:styleId="1258">
    <w:name w:val="toc 7"/>
    <w:basedOn w:val="1263"/>
    <w:next w:val="1263"/>
    <w:uiPriority w:val="39"/>
    <w:unhideWhenUsed/>
    <w:pPr>
      <w:ind w:left="1701" w:right="0" w:firstLine="0"/>
      <w:spacing w:after="57"/>
    </w:pPr>
  </w:style>
  <w:style w:type="paragraph" w:styleId="1259">
    <w:name w:val="toc 8"/>
    <w:basedOn w:val="1263"/>
    <w:next w:val="1263"/>
    <w:uiPriority w:val="39"/>
    <w:unhideWhenUsed/>
    <w:pPr>
      <w:ind w:left="1984" w:right="0" w:firstLine="0"/>
      <w:spacing w:after="57"/>
    </w:pPr>
  </w:style>
  <w:style w:type="paragraph" w:styleId="1260">
    <w:name w:val="toc 9"/>
    <w:basedOn w:val="1263"/>
    <w:next w:val="1263"/>
    <w:uiPriority w:val="39"/>
    <w:unhideWhenUsed/>
    <w:pPr>
      <w:ind w:left="2268" w:right="0" w:firstLine="0"/>
      <w:spacing w:after="57"/>
    </w:pPr>
  </w:style>
  <w:style w:type="paragraph" w:styleId="1261">
    <w:name w:val="TOC Heading"/>
    <w:uiPriority w:val="39"/>
    <w:unhideWhenUsed/>
  </w:style>
  <w:style w:type="paragraph" w:styleId="1262">
    <w:name w:val="table of figures"/>
    <w:basedOn w:val="1263"/>
    <w:next w:val="1263"/>
    <w:uiPriority w:val="99"/>
    <w:unhideWhenUsed/>
    <w:pPr>
      <w:spacing w:after="0" w:afterAutospacing="0"/>
    </w:pPr>
  </w:style>
  <w:style w:type="paragraph" w:styleId="1263" w:default="1">
    <w:name w:val="Normal"/>
    <w:next w:val="1263"/>
    <w:link w:val="1263"/>
    <w:qFormat/>
    <w:pPr>
      <w:jc w:val="both"/>
      <w:widowControl w:val="off"/>
    </w:pPr>
    <w:rPr>
      <w:sz w:val="21"/>
      <w:szCs w:val="24"/>
      <w:lang w:val="en-US" w:eastAsia="zh-CN" w:bidi="ar-SA"/>
    </w:rPr>
  </w:style>
  <w:style w:type="paragraph" w:styleId="1264">
    <w:name w:val="标题 1"/>
    <w:basedOn w:val="1263"/>
    <w:next w:val="1263"/>
    <w:link w:val="1275"/>
    <w:qFormat/>
    <w:pPr>
      <w:jc w:val="center"/>
      <w:keepLines/>
      <w:keepNext/>
      <w:spacing w:before="240" w:after="120" w:line="300" w:lineRule="auto"/>
      <w:outlineLvl w:val="0"/>
    </w:pPr>
    <w:rPr>
      <w:rFonts w:ascii="宋体"/>
      <w:b/>
      <w:sz w:val="32"/>
      <w:szCs w:val="20"/>
    </w:rPr>
  </w:style>
  <w:style w:type="paragraph" w:styleId="1265">
    <w:name w:val="标题 2"/>
    <w:basedOn w:val="1263"/>
    <w:next w:val="1263"/>
    <w:link w:val="1276"/>
    <w:qFormat/>
    <w:pPr>
      <w:jc w:val="center"/>
      <w:keepLines/>
      <w:keepNext/>
      <w:spacing w:before="120" w:line="300" w:lineRule="auto"/>
      <w:outlineLvl w:val="1"/>
    </w:pPr>
    <w:rPr>
      <w:rFonts w:ascii="Arial" w:hAnsi="Arial" w:eastAsia="黑体"/>
      <w:b/>
      <w:sz w:val="30"/>
      <w:szCs w:val="20"/>
    </w:rPr>
  </w:style>
  <w:style w:type="paragraph" w:styleId="1266">
    <w:name w:val="标题 3"/>
    <w:basedOn w:val="1263"/>
    <w:next w:val="1263"/>
    <w:link w:val="1277"/>
    <w:qFormat/>
    <w:pPr>
      <w:jc w:val="left"/>
      <w:keepLines/>
      <w:keepNext/>
      <w:spacing w:before="360" w:after="120"/>
      <w:outlineLvl w:val="2"/>
    </w:pPr>
    <w:rPr>
      <w:rFonts w:ascii="宋体"/>
      <w:b/>
      <w:sz w:val="24"/>
      <w:szCs w:val="20"/>
      <w:u w:val="single"/>
    </w:rPr>
  </w:style>
  <w:style w:type="paragraph" w:styleId="1267">
    <w:name w:val="标题 4"/>
    <w:basedOn w:val="1263"/>
    <w:next w:val="1263"/>
    <w:link w:val="1278"/>
    <w:qFormat/>
    <w:pPr>
      <w:keepLines/>
      <w:keepNext/>
      <w:spacing w:before="280" w:after="290" w:line="376" w:lineRule="atLeast"/>
      <w:outlineLvl w:val="3"/>
    </w:pPr>
    <w:rPr>
      <w:rFonts w:ascii="Arial" w:hAnsi="Arial" w:eastAsia="黑体"/>
      <w:b/>
      <w:sz w:val="28"/>
      <w:szCs w:val="20"/>
    </w:rPr>
  </w:style>
  <w:style w:type="paragraph" w:styleId="1268">
    <w:name w:val="标题 5"/>
    <w:basedOn w:val="1263"/>
    <w:next w:val="1263"/>
    <w:link w:val="1279"/>
    <w:qFormat/>
    <w:pPr>
      <w:keepLines/>
      <w:keepNext/>
      <w:spacing w:before="280" w:after="290" w:line="376" w:lineRule="atLeast"/>
      <w:outlineLvl w:val="4"/>
    </w:pPr>
    <w:rPr>
      <w:b/>
      <w:sz w:val="28"/>
      <w:szCs w:val="20"/>
    </w:rPr>
  </w:style>
  <w:style w:type="paragraph" w:styleId="1269">
    <w:name w:val="标题 6"/>
    <w:basedOn w:val="1263"/>
    <w:next w:val="1263"/>
    <w:link w:val="1280"/>
    <w:qFormat/>
    <w:pPr>
      <w:keepLines/>
      <w:keepNext/>
      <w:spacing w:before="240" w:after="64" w:line="320" w:lineRule="atLeast"/>
      <w:outlineLvl w:val="5"/>
    </w:pPr>
    <w:rPr>
      <w:rFonts w:ascii="Arial" w:hAnsi="Arial" w:eastAsia="黑体"/>
      <w:b/>
      <w:sz w:val="24"/>
      <w:szCs w:val="20"/>
    </w:rPr>
  </w:style>
  <w:style w:type="paragraph" w:styleId="1270">
    <w:name w:val="标题 7"/>
    <w:basedOn w:val="1263"/>
    <w:next w:val="1263"/>
    <w:link w:val="1281"/>
    <w:qFormat/>
    <w:pPr>
      <w:keepLines/>
      <w:keepNext/>
      <w:spacing w:before="240" w:after="64" w:line="320" w:lineRule="atLeast"/>
      <w:outlineLvl w:val="6"/>
    </w:pPr>
    <w:rPr>
      <w:b/>
      <w:sz w:val="24"/>
      <w:szCs w:val="20"/>
    </w:rPr>
  </w:style>
  <w:style w:type="paragraph" w:styleId="1271">
    <w:name w:val="标题 8"/>
    <w:basedOn w:val="1263"/>
    <w:next w:val="1263"/>
    <w:link w:val="1282"/>
    <w:qFormat/>
    <w:pPr>
      <w:keepLines/>
      <w:keepNext/>
      <w:spacing w:before="240" w:after="64" w:line="320" w:lineRule="atLeast"/>
      <w:outlineLvl w:val="7"/>
    </w:pPr>
    <w:rPr>
      <w:rFonts w:ascii="Arial" w:hAnsi="Arial" w:eastAsia="黑体"/>
      <w:sz w:val="24"/>
      <w:szCs w:val="20"/>
    </w:rPr>
  </w:style>
  <w:style w:type="paragraph" w:styleId="1272">
    <w:name w:val="标题 9"/>
    <w:basedOn w:val="1263"/>
    <w:next w:val="1263"/>
    <w:link w:val="1283"/>
    <w:qFormat/>
    <w:pPr>
      <w:keepLines/>
      <w:keepNext/>
      <w:spacing w:before="240" w:after="64" w:line="320" w:lineRule="atLeast"/>
      <w:outlineLvl w:val="8"/>
    </w:pPr>
    <w:rPr>
      <w:rFonts w:ascii="Arial" w:hAnsi="Arial" w:eastAsia="黑体"/>
      <w:szCs w:val="20"/>
    </w:rPr>
  </w:style>
  <w:style w:type="character" w:styleId="1273">
    <w:name w:val="默认段落字体"/>
    <w:next w:val="1273"/>
    <w:link w:val="1263"/>
    <w:uiPriority w:val="1"/>
    <w:unhideWhenUsed/>
    <w:qFormat/>
  </w:style>
  <w:style w:type="table" w:styleId="1274">
    <w:name w:val="普通表格"/>
    <w:next w:val="1274"/>
    <w:link w:val="1263"/>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275">
    <w:name w:val="标题 1 Char"/>
    <w:basedOn w:val="1273"/>
    <w:next w:val="1275"/>
    <w:link w:val="1264"/>
    <w:qFormat/>
    <w:rPr>
      <w:rFonts w:ascii="宋体"/>
      <w:b/>
      <w:sz w:val="32"/>
    </w:rPr>
  </w:style>
  <w:style w:type="character" w:styleId="1276">
    <w:name w:val="标题 2 Char1"/>
    <w:next w:val="1276"/>
    <w:link w:val="1265"/>
    <w:qFormat/>
    <w:rPr>
      <w:rFonts w:ascii="Arial" w:hAnsi="Arial" w:eastAsia="黑体"/>
      <w:b/>
      <w:sz w:val="30"/>
      <w:lang w:val="en-US" w:eastAsia="zh-CN" w:bidi="ar-SA"/>
    </w:rPr>
  </w:style>
  <w:style w:type="character" w:styleId="1277">
    <w:name w:val="标题 3 Char1"/>
    <w:next w:val="1277"/>
    <w:link w:val="1266"/>
    <w:qFormat/>
    <w:rPr>
      <w:rFonts w:ascii="宋体" w:eastAsia="宋体"/>
      <w:b/>
      <w:sz w:val="24"/>
      <w:u w:val="single"/>
      <w:lang w:val="en-US" w:eastAsia="zh-CN" w:bidi="ar-SA"/>
    </w:rPr>
  </w:style>
  <w:style w:type="character" w:styleId="1278">
    <w:name w:val="标题 4 Char"/>
    <w:basedOn w:val="1273"/>
    <w:next w:val="1278"/>
    <w:link w:val="1267"/>
    <w:qFormat/>
    <w:rPr>
      <w:rFonts w:ascii="Arial" w:hAnsi="Arial" w:eastAsia="黑体"/>
      <w:b/>
      <w:sz w:val="28"/>
    </w:rPr>
  </w:style>
  <w:style w:type="character" w:styleId="1279">
    <w:name w:val="标题 5 Char"/>
    <w:basedOn w:val="1273"/>
    <w:next w:val="1279"/>
    <w:link w:val="1268"/>
    <w:qFormat/>
    <w:rPr>
      <w:b/>
      <w:sz w:val="28"/>
    </w:rPr>
  </w:style>
  <w:style w:type="character" w:styleId="1280">
    <w:name w:val="标题 6 Char"/>
    <w:basedOn w:val="1273"/>
    <w:next w:val="1280"/>
    <w:link w:val="1269"/>
    <w:qFormat/>
    <w:rPr>
      <w:rFonts w:ascii="Arial" w:hAnsi="Arial" w:eastAsia="黑体"/>
      <w:b/>
      <w:sz w:val="24"/>
    </w:rPr>
  </w:style>
  <w:style w:type="character" w:styleId="1281">
    <w:name w:val="标题 7 Char"/>
    <w:basedOn w:val="1273"/>
    <w:next w:val="1281"/>
    <w:link w:val="1270"/>
    <w:qFormat/>
    <w:rPr>
      <w:b/>
      <w:sz w:val="24"/>
    </w:rPr>
  </w:style>
  <w:style w:type="character" w:styleId="1282">
    <w:name w:val="标题 8 Char"/>
    <w:basedOn w:val="1273"/>
    <w:next w:val="1282"/>
    <w:link w:val="1271"/>
    <w:qFormat/>
    <w:rPr>
      <w:rFonts w:ascii="Arial" w:hAnsi="Arial" w:eastAsia="黑体"/>
      <w:sz w:val="24"/>
    </w:rPr>
  </w:style>
  <w:style w:type="character" w:styleId="1283">
    <w:name w:val="标题 9 Char"/>
    <w:basedOn w:val="1273"/>
    <w:next w:val="1283"/>
    <w:link w:val="1272"/>
    <w:qFormat/>
    <w:rPr>
      <w:rFonts w:ascii="Arial" w:hAnsi="Arial" w:eastAsia="黑体"/>
      <w:sz w:val="21"/>
    </w:rPr>
  </w:style>
  <w:style w:type="paragraph" w:styleId="1284">
    <w:name w:val="目录 7"/>
    <w:basedOn w:val="1263"/>
    <w:next w:val="1263"/>
    <w:link w:val="1263"/>
    <w:qFormat/>
    <w:pPr>
      <w:ind w:left="2520"/>
    </w:pPr>
  </w:style>
  <w:style w:type="paragraph" w:styleId="1285">
    <w:name w:val="正文缩进"/>
    <w:basedOn w:val="1263"/>
    <w:next w:val="1285"/>
    <w:link w:val="1286"/>
    <w:qFormat/>
    <w:pPr>
      <w:ind w:firstLine="420"/>
      <w:jc w:val="left"/>
    </w:pPr>
    <w:rPr>
      <w:rFonts w:ascii="宋体"/>
      <w:sz w:val="24"/>
    </w:rPr>
  </w:style>
  <w:style w:type="character" w:styleId="1286">
    <w:name w:val="正文缩进 Char1"/>
    <w:next w:val="1286"/>
    <w:link w:val="1285"/>
    <w:qFormat/>
    <w:rPr>
      <w:rFonts w:ascii="宋体" w:eastAsia="宋体"/>
      <w:sz w:val="24"/>
      <w:szCs w:val="24"/>
      <w:lang w:val="en-US" w:eastAsia="zh-CN" w:bidi="ar-SA"/>
    </w:rPr>
  </w:style>
  <w:style w:type="paragraph" w:styleId="1287">
    <w:name w:val="题注"/>
    <w:basedOn w:val="1263"/>
    <w:next w:val="1263"/>
    <w:link w:val="1263"/>
    <w:qFormat/>
    <w:pPr>
      <w:spacing w:line="480" w:lineRule="auto"/>
    </w:pPr>
    <w:rPr>
      <w:rFonts w:ascii="华文中宋" w:hAnsi="华文中宋" w:eastAsia="华文中宋"/>
      <w:sz w:val="36"/>
      <w:szCs w:val="20"/>
    </w:rPr>
  </w:style>
  <w:style w:type="paragraph" w:styleId="1288">
    <w:name w:val="文档结构图"/>
    <w:basedOn w:val="1263"/>
    <w:next w:val="1288"/>
    <w:link w:val="1289"/>
    <w:qFormat/>
    <w:pPr>
      <w:shd w:val="clear" w:color="auto" w:fill="000080"/>
    </w:pPr>
  </w:style>
  <w:style w:type="character" w:styleId="1289">
    <w:name w:val="文档结构图 Char"/>
    <w:basedOn w:val="1273"/>
    <w:next w:val="1289"/>
    <w:link w:val="1288"/>
    <w:qFormat/>
    <w:rPr>
      <w:sz w:val="21"/>
      <w:szCs w:val="24"/>
      <w:shd w:val="clear" w:color="auto" w:fill="000080"/>
    </w:rPr>
  </w:style>
  <w:style w:type="paragraph" w:styleId="1290">
    <w:name w:val="批注文字"/>
    <w:basedOn w:val="1263"/>
    <w:next w:val="1290"/>
    <w:link w:val="1291"/>
    <w:uiPriority w:val="99"/>
    <w:qFormat/>
    <w:pPr>
      <w:jc w:val="left"/>
    </w:pPr>
  </w:style>
  <w:style w:type="character" w:styleId="1291">
    <w:name w:val="批注文字 Char1"/>
    <w:next w:val="1291"/>
    <w:link w:val="1290"/>
    <w:uiPriority w:val="99"/>
    <w:qFormat/>
    <w:rPr>
      <w:sz w:val="21"/>
      <w:szCs w:val="24"/>
    </w:rPr>
  </w:style>
  <w:style w:type="paragraph" w:styleId="1292">
    <w:name w:val="正文文本 3"/>
    <w:basedOn w:val="1263"/>
    <w:next w:val="1292"/>
    <w:link w:val="1293"/>
    <w:qFormat/>
    <w:pPr>
      <w:spacing w:after="120"/>
    </w:pPr>
    <w:rPr>
      <w:sz w:val="16"/>
      <w:szCs w:val="16"/>
    </w:rPr>
  </w:style>
  <w:style w:type="character" w:styleId="1293">
    <w:name w:val="正文文本 3 Char"/>
    <w:basedOn w:val="1273"/>
    <w:next w:val="1293"/>
    <w:link w:val="1292"/>
    <w:qFormat/>
    <w:rPr>
      <w:sz w:val="16"/>
      <w:szCs w:val="16"/>
    </w:rPr>
  </w:style>
  <w:style w:type="paragraph" w:styleId="1294">
    <w:name w:val="正文文本"/>
    <w:basedOn w:val="1263"/>
    <w:next w:val="1294"/>
    <w:link w:val="1295"/>
    <w:qFormat/>
    <w:pPr>
      <w:spacing w:before="120" w:line="22" w:lineRule="atLeast"/>
      <w:tabs>
        <w:tab w:val="left" w:pos="567" w:leader="none"/>
      </w:tabs>
    </w:pPr>
    <w:rPr>
      <w:rFonts w:ascii="宋体" w:hAnsi="宋体"/>
      <w:sz w:val="24"/>
    </w:rPr>
  </w:style>
  <w:style w:type="character" w:styleId="1295">
    <w:name w:val="正文文本 Char"/>
    <w:basedOn w:val="1273"/>
    <w:next w:val="1295"/>
    <w:link w:val="1294"/>
    <w:qFormat/>
    <w:rPr>
      <w:rFonts w:ascii="宋体" w:hAnsi="宋体"/>
      <w:sz w:val="24"/>
      <w:szCs w:val="24"/>
    </w:rPr>
  </w:style>
  <w:style w:type="paragraph" w:styleId="1296">
    <w:name w:val="正文文本缩进"/>
    <w:basedOn w:val="1263"/>
    <w:next w:val="1263"/>
    <w:link w:val="1297"/>
    <w:qFormat/>
    <w:pPr>
      <w:ind w:firstLine="570"/>
      <w:spacing w:line="360" w:lineRule="auto"/>
    </w:pPr>
    <w:rPr>
      <w:sz w:val="24"/>
    </w:rPr>
  </w:style>
  <w:style w:type="character" w:styleId="1297">
    <w:name w:val="正文文本缩进 Char2"/>
    <w:next w:val="1297"/>
    <w:link w:val="1296"/>
    <w:qFormat/>
    <w:rPr>
      <w:rFonts w:eastAsia="宋体"/>
      <w:sz w:val="24"/>
      <w:szCs w:val="24"/>
      <w:lang w:val="en-US" w:eastAsia="zh-CN" w:bidi="ar-SA"/>
    </w:rPr>
  </w:style>
  <w:style w:type="paragraph" w:styleId="1298">
    <w:name w:val="列表 2"/>
    <w:basedOn w:val="1263"/>
    <w:next w:val="1298"/>
    <w:link w:val="1263"/>
    <w:qFormat/>
    <w:pPr>
      <w:ind w:left="100" w:hanging="200"/>
    </w:pPr>
  </w:style>
  <w:style w:type="paragraph" w:styleId="1299">
    <w:name w:val="文本块"/>
    <w:basedOn w:val="1263"/>
    <w:next w:val="1299"/>
    <w:link w:val="1263"/>
    <w:qFormat/>
    <w:pPr>
      <w:ind w:left="480" w:right="-341" w:firstLine="513"/>
      <w:widowControl/>
    </w:pPr>
    <w:rPr>
      <w:sz w:val="24"/>
      <w:szCs w:val="20"/>
    </w:rPr>
  </w:style>
  <w:style w:type="paragraph" w:styleId="1300">
    <w:name w:val="目录 5"/>
    <w:basedOn w:val="1263"/>
    <w:next w:val="1263"/>
    <w:link w:val="1263"/>
    <w:qFormat/>
    <w:pPr>
      <w:ind w:left="1680"/>
    </w:pPr>
  </w:style>
  <w:style w:type="paragraph" w:styleId="1301">
    <w:name w:val="目录 3"/>
    <w:basedOn w:val="1263"/>
    <w:next w:val="1263"/>
    <w:link w:val="1263"/>
    <w:uiPriority w:val="39"/>
    <w:qFormat/>
    <w:pPr>
      <w:ind w:left="840"/>
    </w:pPr>
  </w:style>
  <w:style w:type="paragraph" w:styleId="1302">
    <w:name w:val="纯文本"/>
    <w:basedOn w:val="1263"/>
    <w:next w:val="1302"/>
    <w:link w:val="1303"/>
    <w:qFormat/>
    <w:rPr>
      <w:rFonts w:hint="eastAsia" w:ascii="宋体" w:hAnsi="Courier New"/>
      <w:szCs w:val="20"/>
    </w:rPr>
  </w:style>
  <w:style w:type="character" w:styleId="1303">
    <w:name w:val="纯文本 Char"/>
    <w:basedOn w:val="1273"/>
    <w:next w:val="1303"/>
    <w:link w:val="1302"/>
    <w:qFormat/>
    <w:rPr>
      <w:rFonts w:hint="eastAsia" w:ascii="宋体" w:hAnsi="Courier New" w:eastAsia="宋体" w:cs="宋体"/>
      <w:sz w:val="21"/>
    </w:rPr>
  </w:style>
  <w:style w:type="paragraph" w:styleId="1304">
    <w:name w:val="目录 8"/>
    <w:basedOn w:val="1263"/>
    <w:next w:val="1263"/>
    <w:link w:val="1263"/>
    <w:qFormat/>
    <w:pPr>
      <w:ind w:left="2940"/>
    </w:pPr>
  </w:style>
  <w:style w:type="paragraph" w:styleId="1305">
    <w:name w:val="日期"/>
    <w:basedOn w:val="1263"/>
    <w:next w:val="1263"/>
    <w:link w:val="1306"/>
    <w:qFormat/>
    <w:pPr>
      <w:ind w:left="100"/>
    </w:pPr>
    <w:rPr>
      <w:rFonts w:ascii="仿宋_GB2312" w:hAnsi="宋体" w:eastAsia="仿宋_GB2312"/>
      <w:color w:val="000000"/>
      <w:sz w:val="24"/>
    </w:rPr>
  </w:style>
  <w:style w:type="character" w:styleId="1306">
    <w:name w:val="日期 Char"/>
    <w:basedOn w:val="1273"/>
    <w:next w:val="1306"/>
    <w:link w:val="1305"/>
    <w:qFormat/>
    <w:rPr>
      <w:rFonts w:ascii="仿宋_GB2312" w:hAnsi="宋体" w:eastAsia="仿宋_GB2312"/>
      <w:color w:val="000000"/>
      <w:sz w:val="24"/>
      <w:szCs w:val="24"/>
    </w:rPr>
  </w:style>
  <w:style w:type="paragraph" w:styleId="1307">
    <w:name w:val="正文文本缩进 2"/>
    <w:basedOn w:val="1263"/>
    <w:next w:val="1307"/>
    <w:link w:val="1308"/>
    <w:qFormat/>
    <w:pPr>
      <w:ind w:firstLine="480"/>
    </w:pPr>
    <w:rPr>
      <w:rFonts w:ascii="仿宋_GB2312" w:eastAsia="仿宋_GB2312"/>
      <w:sz w:val="24"/>
    </w:rPr>
  </w:style>
  <w:style w:type="character" w:styleId="1308">
    <w:name w:val="正文文本缩进 2 Char"/>
    <w:basedOn w:val="1273"/>
    <w:next w:val="1308"/>
    <w:link w:val="1307"/>
    <w:qFormat/>
    <w:rPr>
      <w:rFonts w:ascii="仿宋_GB2312" w:eastAsia="仿宋_GB2312"/>
      <w:sz w:val="24"/>
      <w:szCs w:val="24"/>
    </w:rPr>
  </w:style>
  <w:style w:type="paragraph" w:styleId="1309">
    <w:name w:val="批注框文本"/>
    <w:basedOn w:val="1263"/>
    <w:next w:val="1309"/>
    <w:link w:val="1310"/>
    <w:qFormat/>
    <w:rPr>
      <w:sz w:val="18"/>
      <w:szCs w:val="18"/>
    </w:rPr>
  </w:style>
  <w:style w:type="character" w:styleId="1310">
    <w:name w:val="批注框文本 Char"/>
    <w:basedOn w:val="1273"/>
    <w:next w:val="1310"/>
    <w:link w:val="1309"/>
    <w:qFormat/>
    <w:rPr>
      <w:sz w:val="18"/>
      <w:szCs w:val="18"/>
    </w:rPr>
  </w:style>
  <w:style w:type="paragraph" w:styleId="1311">
    <w:name w:val="页脚"/>
    <w:basedOn w:val="1263"/>
    <w:next w:val="1311"/>
    <w:link w:val="1312"/>
    <w:uiPriority w:val="99"/>
    <w:qFormat/>
    <w:pPr>
      <w:jc w:val="left"/>
      <w:tabs>
        <w:tab w:val="center" w:pos="4153" w:leader="none"/>
        <w:tab w:val="right" w:pos="8306" w:leader="none"/>
      </w:tabs>
    </w:pPr>
    <w:rPr>
      <w:rFonts w:ascii="宋体"/>
      <w:sz w:val="18"/>
      <w:szCs w:val="20"/>
    </w:rPr>
  </w:style>
  <w:style w:type="character" w:styleId="1312">
    <w:name w:val="页脚 Char1"/>
    <w:next w:val="1312"/>
    <w:link w:val="1311"/>
    <w:uiPriority w:val="99"/>
    <w:qFormat/>
    <w:rPr>
      <w:rFonts w:ascii="宋体" w:eastAsia="宋体"/>
      <w:sz w:val="18"/>
      <w:lang w:val="en-US" w:eastAsia="zh-CN" w:bidi="ar-SA"/>
    </w:rPr>
  </w:style>
  <w:style w:type="paragraph" w:styleId="1313">
    <w:name w:val="寄信人地址"/>
    <w:basedOn w:val="1263"/>
    <w:next w:val="1313"/>
    <w:link w:val="1263"/>
    <w:qFormat/>
    <w:rPr>
      <w:rFonts w:ascii="Arial" w:hAnsi="Arial"/>
    </w:rPr>
  </w:style>
  <w:style w:type="paragraph" w:styleId="1314">
    <w:name w:val="页眉"/>
    <w:basedOn w:val="1263"/>
    <w:next w:val="1314"/>
    <w:link w:val="1315"/>
    <w:qFormat/>
    <w:pPr>
      <w:jc w:val="center"/>
      <w:tabs>
        <w:tab w:val="center" w:pos="4153" w:leader="none"/>
        <w:tab w:val="right" w:pos="8306" w:leader="none"/>
      </w:tabs>
      <w:pBdr>
        <w:bottom w:val="single" w:color="000000" w:sz="6" w:space="1"/>
      </w:pBdr>
    </w:pPr>
    <w:rPr>
      <w:sz w:val="18"/>
      <w:szCs w:val="18"/>
    </w:rPr>
  </w:style>
  <w:style w:type="character" w:styleId="1315">
    <w:name w:val="页眉 Char1"/>
    <w:next w:val="1315"/>
    <w:link w:val="1314"/>
    <w:qFormat/>
    <w:rPr>
      <w:rFonts w:eastAsia="宋体"/>
      <w:sz w:val="18"/>
      <w:szCs w:val="18"/>
      <w:lang w:val="en-US" w:eastAsia="zh-CN" w:bidi="ar-SA"/>
    </w:rPr>
  </w:style>
  <w:style w:type="paragraph" w:styleId="1316">
    <w:name w:val="目录 1"/>
    <w:basedOn w:val="1263"/>
    <w:next w:val="1263"/>
    <w:link w:val="1263"/>
    <w:uiPriority w:val="39"/>
    <w:qFormat/>
    <w:pPr>
      <w:spacing w:line="300" w:lineRule="auto"/>
      <w:tabs>
        <w:tab w:val="left" w:pos="1050" w:leader="none"/>
        <w:tab w:val="right" w:pos="8937" w:leader="dot"/>
      </w:tabs>
    </w:pPr>
    <w:rPr>
      <w:rFonts w:ascii="宋体" w:hAnsi="宋体"/>
      <w:b/>
      <w:sz w:val="24"/>
    </w:rPr>
  </w:style>
  <w:style w:type="paragraph" w:styleId="1317">
    <w:name w:val="目录 4"/>
    <w:basedOn w:val="1263"/>
    <w:next w:val="1263"/>
    <w:link w:val="1263"/>
    <w:qFormat/>
    <w:pPr>
      <w:ind w:left="1260"/>
    </w:pPr>
  </w:style>
  <w:style w:type="paragraph" w:styleId="1318">
    <w:name w:val="目录 6"/>
    <w:basedOn w:val="1263"/>
    <w:next w:val="1263"/>
    <w:link w:val="1263"/>
    <w:qFormat/>
    <w:pPr>
      <w:ind w:left="2100"/>
    </w:pPr>
  </w:style>
  <w:style w:type="paragraph" w:styleId="1319">
    <w:name w:val="正文文本缩进 3"/>
    <w:basedOn w:val="1263"/>
    <w:next w:val="1319"/>
    <w:link w:val="1320"/>
    <w:qFormat/>
    <w:pPr>
      <w:ind w:left="720" w:firstLine="480"/>
      <w:jc w:val="left"/>
      <w:spacing w:before="120" w:line="22" w:lineRule="atLeast"/>
    </w:pPr>
    <w:rPr>
      <w:rFonts w:ascii="宋体"/>
      <w:sz w:val="24"/>
      <w:szCs w:val="20"/>
    </w:rPr>
  </w:style>
  <w:style w:type="character" w:styleId="1320">
    <w:name w:val="正文文本缩进 3 Char"/>
    <w:basedOn w:val="1273"/>
    <w:next w:val="1320"/>
    <w:link w:val="1319"/>
    <w:qFormat/>
    <w:rPr>
      <w:rFonts w:ascii="宋体"/>
      <w:sz w:val="24"/>
    </w:rPr>
  </w:style>
  <w:style w:type="paragraph" w:styleId="1321">
    <w:name w:val="目录 2"/>
    <w:basedOn w:val="1263"/>
    <w:next w:val="1263"/>
    <w:link w:val="1263"/>
    <w:uiPriority w:val="39"/>
    <w:qFormat/>
    <w:pPr>
      <w:ind w:left="420"/>
      <w:spacing w:line="312" w:lineRule="auto"/>
      <w:tabs>
        <w:tab w:val="right" w:pos="8937" w:leader="dot"/>
      </w:tabs>
    </w:pPr>
  </w:style>
  <w:style w:type="paragraph" w:styleId="1322">
    <w:name w:val="目录 9"/>
    <w:basedOn w:val="1263"/>
    <w:next w:val="1263"/>
    <w:link w:val="1263"/>
    <w:qFormat/>
    <w:pPr>
      <w:ind w:left="3360"/>
    </w:pPr>
  </w:style>
  <w:style w:type="paragraph" w:styleId="1323">
    <w:name w:val="HTML 预设格式"/>
    <w:basedOn w:val="1263"/>
    <w:next w:val="1323"/>
    <w:link w:val="13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324">
    <w:name w:val="HTML 预设格式 Char"/>
    <w:basedOn w:val="1273"/>
    <w:next w:val="1324"/>
    <w:link w:val="1323"/>
    <w:qFormat/>
    <w:rPr>
      <w:rFonts w:ascii="宋体" w:hAnsi="宋体" w:cs="宋体"/>
      <w:sz w:val="24"/>
      <w:szCs w:val="24"/>
    </w:rPr>
  </w:style>
  <w:style w:type="paragraph" w:styleId="1325">
    <w:name w:val="普通(网站)"/>
    <w:basedOn w:val="1263"/>
    <w:next w:val="1325"/>
    <w:link w:val="1263"/>
    <w:uiPriority w:val="99"/>
    <w:unhideWhenUsed/>
    <w:qFormat/>
    <w:pPr>
      <w:jc w:val="left"/>
      <w:spacing w:before="100" w:beforeAutospacing="1" w:after="100" w:afterAutospacing="1"/>
      <w:widowControl/>
    </w:pPr>
    <w:rPr>
      <w:rFonts w:ascii="宋体" w:hAnsi="宋体" w:cs="宋体"/>
      <w:sz w:val="24"/>
    </w:rPr>
  </w:style>
  <w:style w:type="paragraph" w:styleId="1326">
    <w:name w:val="索引 1"/>
    <w:basedOn w:val="1263"/>
    <w:next w:val="1263"/>
    <w:link w:val="1263"/>
    <w:qFormat/>
    <w:rPr>
      <w:szCs w:val="20"/>
    </w:rPr>
  </w:style>
  <w:style w:type="paragraph" w:styleId="1327">
    <w:name w:val="标题"/>
    <w:basedOn w:val="1263"/>
    <w:next w:val="1327"/>
    <w:link w:val="1328"/>
    <w:qFormat/>
    <w:pPr>
      <w:jc w:val="center"/>
      <w:outlineLvl w:val="0"/>
    </w:pPr>
    <w:rPr>
      <w:b/>
      <w:sz w:val="32"/>
      <w:szCs w:val="20"/>
    </w:rPr>
  </w:style>
  <w:style w:type="character" w:styleId="1328">
    <w:name w:val="标题 Char1"/>
    <w:next w:val="1328"/>
    <w:link w:val="1327"/>
    <w:qFormat/>
    <w:rPr>
      <w:b/>
      <w:sz w:val="32"/>
    </w:rPr>
  </w:style>
  <w:style w:type="paragraph" w:styleId="1329">
    <w:name w:val="批注主题"/>
    <w:basedOn w:val="1290"/>
    <w:next w:val="1290"/>
    <w:link w:val="1330"/>
    <w:qFormat/>
    <w:rPr>
      <w:b/>
      <w:bCs/>
    </w:rPr>
  </w:style>
  <w:style w:type="character" w:styleId="1330">
    <w:name w:val="批注主题 Char"/>
    <w:basedOn w:val="1331"/>
    <w:next w:val="1330"/>
    <w:link w:val="1329"/>
    <w:qFormat/>
    <w:rPr>
      <w:rFonts w:ascii="Times New Roman" w:hAnsi="Times New Roman" w:eastAsia="宋体" w:cs="Times New Roman"/>
      <w:b/>
      <w:bCs/>
      <w:sz w:val="21"/>
      <w:szCs w:val="24"/>
      <w:lang w:val="en-US" w:eastAsia="zh-CN" w:bidi="ar-SA"/>
    </w:rPr>
  </w:style>
  <w:style w:type="character" w:styleId="1331">
    <w:name w:val="批注文字 字符"/>
    <w:next w:val="1331"/>
    <w:link w:val="1263"/>
    <w:uiPriority w:val="99"/>
    <w:qFormat/>
    <w:rPr>
      <w:rFonts w:ascii="Times New Roman" w:hAnsi="Times New Roman" w:eastAsia="宋体" w:cs="Times New Roman"/>
      <w:sz w:val="24"/>
      <w:lang w:val="en-US" w:eastAsia="zh-CN" w:bidi="ar-SA"/>
    </w:rPr>
  </w:style>
  <w:style w:type="paragraph" w:styleId="1332">
    <w:name w:val="正文首行缩进 2"/>
    <w:basedOn w:val="1296"/>
    <w:next w:val="1263"/>
    <w:link w:val="1333"/>
    <w:qFormat/>
    <w:pPr>
      <w:ind w:left="420" w:firstLine="420"/>
      <w:spacing w:after="120" w:line="480" w:lineRule="exact"/>
    </w:pPr>
    <w:rPr>
      <w:szCs w:val="20"/>
    </w:rPr>
  </w:style>
  <w:style w:type="character" w:styleId="1333">
    <w:name w:val="正文首行缩进 2 Char"/>
    <w:basedOn w:val="1297"/>
    <w:next w:val="1333"/>
    <w:link w:val="1332"/>
    <w:qFormat/>
    <w:rPr>
      <w:rFonts w:eastAsia="宋体"/>
      <w:sz w:val="24"/>
      <w:szCs w:val="24"/>
      <w:lang w:val="en-US" w:eastAsia="zh-CN" w:bidi="ar-SA"/>
    </w:rPr>
  </w:style>
  <w:style w:type="table" w:styleId="1334">
    <w:name w:val="网格型"/>
    <w:basedOn w:val="1274"/>
    <w:next w:val="1334"/>
    <w:link w:val="1263"/>
    <w:uiPriority w:val="39"/>
    <w:qFormat/>
    <w:tblPr/>
  </w:style>
  <w:style w:type="table" w:styleId="1335">
    <w:name w:val="中等深浅网格 1 - 强调文字颜色 2"/>
    <w:basedOn w:val="1274"/>
    <w:next w:val="1335"/>
    <w:link w:val="1263"/>
    <w:qFormat/>
    <w:rPr>
      <w:sz w:val="21"/>
      <w:szCs w:val="24"/>
    </w:rPr>
    <w:tblPr/>
  </w:style>
  <w:style w:type="character" w:styleId="1336">
    <w:name w:val="要点"/>
    <w:next w:val="1336"/>
    <w:link w:val="1263"/>
    <w:qFormat/>
    <w:rPr>
      <w:b/>
      <w:bCs/>
    </w:rPr>
  </w:style>
  <w:style w:type="character" w:styleId="1337">
    <w:name w:val="页码"/>
    <w:basedOn w:val="1273"/>
    <w:next w:val="1337"/>
    <w:link w:val="1263"/>
    <w:qFormat/>
  </w:style>
  <w:style w:type="character" w:styleId="1338">
    <w:name w:val="已访问的超链接"/>
    <w:basedOn w:val="1273"/>
    <w:next w:val="1338"/>
    <w:link w:val="1263"/>
    <w:qFormat/>
    <w:rPr>
      <w:color w:val="0084ff"/>
      <w:u w:val="none"/>
    </w:rPr>
  </w:style>
  <w:style w:type="character" w:styleId="1339">
    <w:name w:val="强调"/>
    <w:next w:val="1339"/>
    <w:link w:val="1263"/>
    <w:qFormat/>
    <w:rPr>
      <w:color w:val="cc0033"/>
    </w:rPr>
  </w:style>
  <w:style w:type="character" w:styleId="1340">
    <w:name w:val="超链接"/>
    <w:basedOn w:val="1273"/>
    <w:next w:val="1340"/>
    <w:link w:val="1263"/>
    <w:uiPriority w:val="99"/>
    <w:qFormat/>
    <w:rPr>
      <w:color w:val="0084ff"/>
      <w:u w:val="none"/>
    </w:rPr>
  </w:style>
  <w:style w:type="character" w:styleId="1341">
    <w:name w:val="HTML 代码"/>
    <w:basedOn w:val="1273"/>
    <w:next w:val="1341"/>
    <w:link w:val="1263"/>
    <w:rPr>
      <w:rFonts w:ascii="monospace" w:hAnsi="monospace" w:eastAsia="monospace" w:cs="monospace"/>
      <w:sz w:val="21"/>
      <w:szCs w:val="21"/>
    </w:rPr>
  </w:style>
  <w:style w:type="character" w:styleId="1342">
    <w:name w:val="批注引用"/>
    <w:next w:val="1342"/>
    <w:link w:val="1263"/>
    <w:uiPriority w:val="99"/>
    <w:qFormat/>
    <w:rPr>
      <w:sz w:val="21"/>
      <w:szCs w:val="21"/>
    </w:rPr>
  </w:style>
  <w:style w:type="character" w:styleId="1343">
    <w:name w:val="HTML 引文"/>
    <w:next w:val="1343"/>
    <w:link w:val="1263"/>
    <w:qFormat/>
    <w:rPr>
      <w:i/>
      <w:iCs/>
    </w:rPr>
  </w:style>
  <w:style w:type="character" w:styleId="1344">
    <w:name w:val="HTML 键盘"/>
    <w:basedOn w:val="1273"/>
    <w:next w:val="1344"/>
    <w:link w:val="1263"/>
    <w:rPr>
      <w:rFonts w:ascii="monospace" w:hAnsi="monospace" w:eastAsia="monospace" w:cs="monospace"/>
      <w:sz w:val="21"/>
      <w:szCs w:val="21"/>
    </w:rPr>
  </w:style>
  <w:style w:type="character" w:styleId="1345">
    <w:name w:val="HTML 样本"/>
    <w:basedOn w:val="1273"/>
    <w:next w:val="1345"/>
    <w:link w:val="1263"/>
    <w:rPr>
      <w:rFonts w:ascii="monospace" w:hAnsi="monospace" w:eastAsia="monospace" w:cs="monospace"/>
      <w:sz w:val="21"/>
      <w:szCs w:val="21"/>
    </w:rPr>
  </w:style>
  <w:style w:type="paragraph" w:styleId="1346">
    <w:name w:val="段"/>
    <w:next w:val="1263"/>
    <w:link w:val="1263"/>
    <w:qFormat/>
    <w:pPr>
      <w:ind w:firstLine="200"/>
      <w:jc w:val="both"/>
      <w:spacing w:line="360" w:lineRule="auto"/>
    </w:pPr>
    <w:rPr>
      <w:rFonts w:ascii="宋体" w:hAnsi="Times New Roman" w:eastAsia="宋体" w:cs="Times New Roman"/>
      <w:sz w:val="24"/>
      <w:szCs w:val="22"/>
      <w:lang w:val="en-US" w:eastAsia="zh-CN" w:bidi="ar-SA"/>
    </w:rPr>
  </w:style>
  <w:style w:type="character" w:styleId="1347">
    <w:name w:val="c21"/>
    <w:next w:val="1347"/>
    <w:link w:val="1263"/>
    <w:qFormat/>
    <w:rPr>
      <w:rFonts w:ascii="ˎ̥" w:hAnsi="ˎ̥"/>
      <w:color w:val="000000"/>
      <w:sz w:val="20"/>
      <w:szCs w:val="20"/>
      <w:u w:val="none"/>
    </w:rPr>
  </w:style>
  <w:style w:type="character" w:styleId="1348">
    <w:name w:val="title4"/>
    <w:next w:val="1348"/>
    <w:link w:val="1263"/>
    <w:qFormat/>
    <w:rPr>
      <w:b/>
      <w:bCs/>
      <w:color w:val="1d87b3"/>
      <w:sz w:val="15"/>
      <w:szCs w:val="15"/>
    </w:rPr>
  </w:style>
  <w:style w:type="character" w:styleId="1349">
    <w:name w:val="标题 2 Char Char"/>
    <w:next w:val="1349"/>
    <w:link w:val="1263"/>
    <w:qFormat/>
    <w:rPr>
      <w:rFonts w:ascii="Arial" w:hAnsi="Arial" w:eastAsia="黑体"/>
      <w:b/>
      <w:bCs/>
      <w:sz w:val="32"/>
      <w:szCs w:val="32"/>
      <w:lang w:val="en-US" w:eastAsia="zh-CN" w:bidi="ar-SA"/>
    </w:rPr>
  </w:style>
  <w:style w:type="character" w:styleId="1350">
    <w:name w:val="black1"/>
    <w:next w:val="1350"/>
    <w:link w:val="1263"/>
    <w:qFormat/>
    <w:rPr>
      <w:color w:val="000000"/>
    </w:rPr>
  </w:style>
  <w:style w:type="character" w:styleId="1351">
    <w:name w:val="street-address"/>
    <w:basedOn w:val="1273"/>
    <w:next w:val="1351"/>
    <w:link w:val="1263"/>
    <w:qFormat/>
  </w:style>
  <w:style w:type="character" w:styleId="1352">
    <w:name w:val="locality"/>
    <w:basedOn w:val="1273"/>
    <w:next w:val="1352"/>
    <w:link w:val="1263"/>
    <w:qFormat/>
  </w:style>
  <w:style w:type="character" w:styleId="1353">
    <w:name w:val="正文文本缩进 Char1"/>
    <w:next w:val="1353"/>
    <w:link w:val="1354"/>
    <w:qFormat/>
    <w:rPr>
      <w:rFonts w:ascii="宋体" w:hAnsi="宋体" w:eastAsia="宋体"/>
      <w:sz w:val="24"/>
      <w:szCs w:val="24"/>
      <w:lang w:bidi="ar-SA"/>
    </w:rPr>
  </w:style>
  <w:style w:type="paragraph" w:styleId="1354">
    <w:name w:val="正文文本缩进1"/>
    <w:basedOn w:val="1263"/>
    <w:next w:val="1354"/>
    <w:link w:val="1353"/>
    <w:qFormat/>
    <w:pPr>
      <w:ind w:firstLine="480"/>
      <w:spacing w:line="480" w:lineRule="exact"/>
    </w:pPr>
    <w:rPr>
      <w:rFonts w:ascii="宋体" w:hAnsi="宋体"/>
      <w:sz w:val="24"/>
    </w:rPr>
  </w:style>
  <w:style w:type="character" w:styleId="1355">
    <w:name w:val="Char Char11"/>
    <w:next w:val="1355"/>
    <w:link w:val="1263"/>
    <w:qFormat/>
    <w:rPr>
      <w:rFonts w:ascii="宋体" w:eastAsia="宋体"/>
      <w:b/>
      <w:sz w:val="24"/>
      <w:u w:val="single"/>
      <w:lang w:val="en-US" w:eastAsia="zh-CN" w:bidi="ar-SA"/>
    </w:rPr>
  </w:style>
  <w:style w:type="character" w:styleId="1356">
    <w:name w:val="txt"/>
    <w:basedOn w:val="1273"/>
    <w:next w:val="1356"/>
    <w:link w:val="1263"/>
    <w:qFormat/>
  </w:style>
  <w:style w:type="character" w:styleId="1357">
    <w:name w:val="正文缩进 Char Char"/>
    <w:next w:val="1357"/>
    <w:link w:val="1358"/>
    <w:qFormat/>
    <w:rPr>
      <w:rFonts w:ascii="宋体" w:eastAsia="宋体"/>
      <w:color w:val="000000"/>
      <w:sz w:val="28"/>
      <w:lang w:bidi="ar-SA"/>
    </w:rPr>
  </w:style>
  <w:style w:type="paragraph" w:styleId="1358">
    <w:name w:val="正文缩进1"/>
    <w:basedOn w:val="1263"/>
    <w:next w:val="1358"/>
    <w:link w:val="1357"/>
    <w:qFormat/>
    <w:pPr>
      <w:ind w:firstLine="567"/>
      <w:spacing w:line="480" w:lineRule="exact"/>
      <w:widowControl/>
    </w:pPr>
    <w:rPr>
      <w:rFonts w:ascii="宋体"/>
      <w:color w:val="000000"/>
      <w:sz w:val="28"/>
      <w:szCs w:val="20"/>
    </w:rPr>
  </w:style>
  <w:style w:type="character" w:styleId="1359">
    <w:name w:val="普通文字1 Char1"/>
    <w:next w:val="1359"/>
    <w:link w:val="1263"/>
    <w:qFormat/>
    <w:rPr>
      <w:rFonts w:ascii="宋体" w:hAnsi="Courier New" w:eastAsia="宋体"/>
      <w:sz w:val="21"/>
      <w:lang w:val="en-US" w:eastAsia="zh-CN" w:bidi="ar-SA"/>
    </w:rPr>
  </w:style>
  <w:style w:type="character" w:styleId="1360">
    <w:name w:val="chanpin1"/>
    <w:next w:val="1360"/>
    <w:link w:val="1263"/>
    <w:qFormat/>
    <w:rPr>
      <w:rFonts w:ascii="ˎ̥" w:hAnsi="ˎ̥"/>
      <w:color w:val="000000"/>
      <w:sz w:val="20"/>
      <w:szCs w:val="20"/>
      <w:u w:val="none"/>
    </w:rPr>
  </w:style>
  <w:style w:type="character" w:styleId="1361">
    <w:name w:val="列出段落 Char1"/>
    <w:next w:val="1361"/>
    <w:link w:val="1362"/>
    <w:uiPriority w:val="34"/>
    <w:qFormat/>
    <w:rPr>
      <w:rFonts w:ascii="Calibri" w:hAnsi="Calibri" w:eastAsia="宋体"/>
      <w:sz w:val="21"/>
      <w:szCs w:val="22"/>
      <w:lang w:val="en-US" w:eastAsia="zh-CN" w:bidi="ar-SA"/>
    </w:rPr>
  </w:style>
  <w:style w:type="paragraph" w:styleId="1362">
    <w:name w:val="列出段落"/>
    <w:basedOn w:val="1263"/>
    <w:next w:val="1362"/>
    <w:link w:val="1361"/>
    <w:uiPriority w:val="34"/>
    <w:qFormat/>
    <w:pPr>
      <w:ind w:firstLine="420"/>
    </w:pPr>
    <w:rPr>
      <w:rFonts w:ascii="Calibri" w:hAnsi="Calibri"/>
      <w:szCs w:val="22"/>
    </w:rPr>
  </w:style>
  <w:style w:type="character" w:styleId="1363">
    <w:name w:val="标题 3 Char Char"/>
    <w:next w:val="1363"/>
    <w:link w:val="1263"/>
    <w:qFormat/>
    <w:rPr>
      <w:rFonts w:eastAsia="宋体"/>
      <w:b/>
      <w:bCs/>
      <w:sz w:val="32"/>
      <w:szCs w:val="32"/>
      <w:lang w:val="en-US" w:eastAsia="zh-CN" w:bidi="ar-SA"/>
    </w:rPr>
  </w:style>
  <w:style w:type="character" w:styleId="1364">
    <w:name w:val="段1 Char"/>
    <w:next w:val="1364"/>
    <w:link w:val="1263"/>
    <w:qFormat/>
    <w:rPr>
      <w:rFonts w:ascii="宋体" w:eastAsia="宋体"/>
      <w:sz w:val="24"/>
      <w:lang w:val="en-US" w:eastAsia="zh-CN" w:bidi="ar-SA"/>
    </w:rPr>
  </w:style>
  <w:style w:type="character" w:styleId="1365">
    <w:name w:val="chanpin拷贝"/>
    <w:basedOn w:val="1273"/>
    <w:next w:val="1365"/>
    <w:link w:val="1263"/>
    <w:qFormat/>
  </w:style>
  <w:style w:type="character" w:styleId="1366">
    <w:name w:val="纯文本 Char1"/>
    <w:next w:val="1366"/>
    <w:link w:val="1263"/>
    <w:qFormat/>
    <w:rPr>
      <w:rFonts w:ascii="宋体" w:hAnsi="Courier New" w:eastAsia="宋体"/>
      <w:sz w:val="21"/>
      <w:lang w:val="en-US" w:eastAsia="zh-CN" w:bidi="ar-SA"/>
    </w:rPr>
  </w:style>
  <w:style w:type="character" w:styleId="1367">
    <w:name w:val="apple-style-span"/>
    <w:next w:val="1367"/>
    <w:link w:val="1263"/>
    <w:qFormat/>
    <w:rPr>
      <w:rFonts w:cs="Times New Roman"/>
    </w:rPr>
  </w:style>
  <w:style w:type="paragraph" w:styleId="1368">
    <w:name w:val="二级条标题"/>
    <w:basedOn w:val="1369"/>
    <w:next w:val="1263"/>
    <w:link w:val="1263"/>
    <w:qFormat/>
    <w:pPr>
      <w:numPr>
        <w:ilvl w:val="0"/>
        <w:numId w:val="0"/>
      </w:numPr>
      <w:ind w:hanging="840"/>
      <w:tabs>
        <w:tab w:val="left" w:pos="360" w:leader="none"/>
        <w:tab w:val="left" w:pos="840" w:leader="none"/>
      </w:tabs>
      <w:outlineLvl w:val="2"/>
    </w:pPr>
    <w:rPr>
      <w:rFonts w:ascii="宋体" w:eastAsia="宋体"/>
      <w:b w:val="0"/>
    </w:rPr>
  </w:style>
  <w:style w:type="paragraph" w:styleId="1369">
    <w:name w:val="一级条标题"/>
    <w:basedOn w:val="1370"/>
    <w:next w:val="1263"/>
    <w:link w:val="1263"/>
    <w:qFormat/>
    <w:pPr>
      <w:numPr>
        <w:ilvl w:val="1"/>
      </w:numPr>
      <w:ind w:left="0" w:hanging="840"/>
      <w:tabs>
        <w:tab w:val="left" w:pos="360" w:leader="none"/>
        <w:tab w:val="left" w:pos="840" w:leader="none"/>
      </w:tabs>
      <w:outlineLvl w:val="1"/>
    </w:pPr>
  </w:style>
  <w:style w:type="paragraph" w:styleId="1370">
    <w:name w:val="章标题"/>
    <w:next w:val="1263"/>
    <w:link w:val="12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71">
    <w:name w:val="font7"/>
    <w:basedOn w:val="1263"/>
    <w:next w:val="1371"/>
    <w:link w:val="1263"/>
    <w:qFormat/>
    <w:pPr>
      <w:jc w:val="left"/>
      <w:spacing w:before="100" w:beforeAutospacing="1" w:after="100" w:afterAutospacing="1"/>
      <w:widowControl/>
    </w:pPr>
    <w:rPr>
      <w:rFonts w:eastAsia="Arial Unicode MS"/>
      <w:b/>
      <w:bCs/>
      <w:color w:val="000000"/>
      <w:sz w:val="20"/>
      <w:szCs w:val="20"/>
    </w:rPr>
  </w:style>
  <w:style w:type="paragraph" w:styleId="1372">
    <w:name w:val="字元 字元"/>
    <w:basedOn w:val="1263"/>
    <w:next w:val="1372"/>
    <w:link w:val="1263"/>
    <w:qFormat/>
    <w:rPr>
      <w:rFonts w:ascii="Tahoma" w:hAnsi="Tahoma"/>
      <w:sz w:val="24"/>
      <w:szCs w:val="20"/>
    </w:rPr>
  </w:style>
  <w:style w:type="paragraph" w:styleId="1373">
    <w:name w:val="Char3 Char Char Char"/>
    <w:basedOn w:val="1263"/>
    <w:next w:val="1373"/>
    <w:link w:val="1263"/>
    <w:qFormat/>
    <w:rPr>
      <w:rFonts w:ascii="Tahoma" w:hAnsi="Tahoma"/>
      <w:sz w:val="24"/>
      <w:szCs w:val="20"/>
    </w:rPr>
  </w:style>
  <w:style w:type="paragraph" w:styleId="1374">
    <w:name w:val="font6"/>
    <w:basedOn w:val="1263"/>
    <w:next w:val="1374"/>
    <w:link w:val="1263"/>
    <w:qFormat/>
    <w:pPr>
      <w:jc w:val="left"/>
      <w:spacing w:before="100" w:beforeAutospacing="1" w:after="100" w:afterAutospacing="1"/>
      <w:widowControl/>
    </w:pPr>
    <w:rPr>
      <w:rFonts w:ascii="宋体" w:hAnsi="宋体" w:cs="宋体"/>
      <w:sz w:val="20"/>
      <w:szCs w:val="20"/>
    </w:rPr>
  </w:style>
  <w:style w:type="paragraph" w:styleId="1375">
    <w:name w:val="项目编号2"/>
    <w:basedOn w:val="1376"/>
    <w:next w:val="1375"/>
    <w:link w:val="1263"/>
    <w:qFormat/>
    <w:pPr>
      <w:numPr>
        <w:numId w:val="3"/>
      </w:numPr>
    </w:pPr>
  </w:style>
  <w:style w:type="paragraph" w:styleId="1376">
    <w:name w:val="项目编号1"/>
    <w:basedOn w:val="1263"/>
    <w:next w:val="1376"/>
    <w:link w:val="1263"/>
    <w:qFormat/>
    <w:pPr>
      <w:numPr>
        <w:ilvl w:val="0"/>
        <w:numId w:val="2"/>
      </w:numPr>
      <w:spacing w:before="100" w:beforeAutospacing="1" w:after="100" w:afterAutospacing="1" w:line="360" w:lineRule="auto"/>
    </w:pPr>
    <w:rPr>
      <w:sz w:val="24"/>
    </w:rPr>
  </w:style>
  <w:style w:type="paragraph" w:styleId="1377">
    <w:name w:val="图中文字"/>
    <w:basedOn w:val="1263"/>
    <w:next w:val="1377"/>
    <w:link w:val="1263"/>
    <w:qFormat/>
    <w:pPr>
      <w:jc w:val="center"/>
      <w:spacing w:line="0" w:lineRule="atLeast"/>
    </w:pPr>
    <w:rPr>
      <w:sz w:val="24"/>
      <w:szCs w:val="20"/>
    </w:rPr>
  </w:style>
  <w:style w:type="paragraph" w:styleId="1378">
    <w:name w:val="xl46"/>
    <w:basedOn w:val="1263"/>
    <w:next w:val="1378"/>
    <w:link w:val="12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79">
    <w:name w:val="xl25"/>
    <w:basedOn w:val="1263"/>
    <w:next w:val="1379"/>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0">
    <w:name w:val="Char2"/>
    <w:basedOn w:val="1263"/>
    <w:next w:val="1380"/>
    <w:link w:val="1263"/>
    <w:qFormat/>
    <w:rPr>
      <w:rFonts w:ascii="Tahoma" w:hAnsi="Tahoma"/>
      <w:sz w:val="24"/>
      <w:szCs w:val="20"/>
    </w:rPr>
  </w:style>
  <w:style w:type="paragraph" w:styleId="1381">
    <w:name w:val="xl35"/>
    <w:basedOn w:val="1263"/>
    <w:next w:val="1381"/>
    <w:link w:val="12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82">
    <w:name w:val="xl40"/>
    <w:basedOn w:val="1263"/>
    <w:next w:val="1382"/>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3">
    <w:name w:val="xl52"/>
    <w:basedOn w:val="1263"/>
    <w:next w:val="1383"/>
    <w:link w:val="12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84">
    <w:name w:val="xl43"/>
    <w:basedOn w:val="1263"/>
    <w:next w:val="1384"/>
    <w:link w:val="12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85">
    <w:name w:val="background1"/>
    <w:basedOn w:val="1263"/>
    <w:next w:val="1385"/>
    <w:link w:val="1263"/>
    <w:qFormat/>
    <w:pPr>
      <w:jc w:val="left"/>
      <w:spacing w:before="100" w:beforeAutospacing="1" w:after="100" w:afterAutospacing="1"/>
      <w:widowControl/>
    </w:pPr>
    <w:rPr>
      <w:rFonts w:ascii="宋体" w:hAnsi="宋体" w:cs="宋体"/>
      <w:sz w:val="24"/>
    </w:rPr>
  </w:style>
  <w:style w:type="paragraph" w:styleId="1386">
    <w:name w:val="Char Char Char Char Char Char Char"/>
    <w:basedOn w:val="1263"/>
    <w:next w:val="1386"/>
    <w:link w:val="1263"/>
    <w:qFormat/>
    <w:pPr>
      <w:ind w:firstLine="200"/>
      <w:spacing w:line="360" w:lineRule="auto"/>
    </w:pPr>
    <w:rPr>
      <w:rFonts w:eastAsia="仿宋_GB2312"/>
      <w:sz w:val="24"/>
    </w:rPr>
  </w:style>
  <w:style w:type="paragraph" w:styleId="1387">
    <w:name w:val="xl38"/>
    <w:basedOn w:val="1263"/>
    <w:next w:val="1387"/>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88">
    <w:name w:val="xl36"/>
    <w:basedOn w:val="1263"/>
    <w:next w:val="1388"/>
    <w:link w:val="12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89">
    <w:name w:val="正文 + 宋体"/>
    <w:basedOn w:val="1263"/>
    <w:next w:val="1389"/>
    <w:link w:val="1263"/>
    <w:qFormat/>
    <w:pPr>
      <w:ind w:left="360" w:hanging="360"/>
      <w:jc w:val="left"/>
      <w:widowControl/>
    </w:pPr>
    <w:rPr>
      <w:rFonts w:ascii="宋体" w:hAnsi="宋体" w:cs="宋体"/>
      <w:b/>
      <w:bCs/>
      <w:color w:val="000000"/>
      <w:sz w:val="18"/>
      <w:szCs w:val="18"/>
    </w:rPr>
  </w:style>
  <w:style w:type="paragraph" w:styleId="1390">
    <w:name w:val="正文列项_数字"/>
    <w:basedOn w:val="1263"/>
    <w:next w:val="1390"/>
    <w:link w:val="1263"/>
    <w:qFormat/>
    <w:pPr>
      <w:numPr>
        <w:ilvl w:val="7"/>
        <w:numId w:val="1"/>
      </w:numPr>
      <w:ind w:left="680" w:hanging="150"/>
      <w:spacing w:line="460" w:lineRule="exact"/>
      <w:tabs>
        <w:tab w:val="clear" w:pos="860" w:leader="none"/>
      </w:tabs>
      <w:outlineLvl w:val="7"/>
    </w:pPr>
    <w:rPr>
      <w:rFonts w:ascii="宋体"/>
      <w:sz w:val="28"/>
      <w:szCs w:val="20"/>
    </w:rPr>
  </w:style>
  <w:style w:type="paragraph" w:styleId="1391">
    <w:name w:val="xl39"/>
    <w:basedOn w:val="1263"/>
    <w:next w:val="1391"/>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2">
    <w:name w:val="xl37"/>
    <w:basedOn w:val="1263"/>
    <w:next w:val="1392"/>
    <w:link w:val="12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3">
    <w:name w:val="xl32"/>
    <w:basedOn w:val="1263"/>
    <w:next w:val="1393"/>
    <w:link w:val="12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4">
    <w:name w:val="font8"/>
    <w:basedOn w:val="1263"/>
    <w:next w:val="1394"/>
    <w:link w:val="1263"/>
    <w:qFormat/>
    <w:pPr>
      <w:jc w:val="left"/>
      <w:spacing w:before="100" w:beforeAutospacing="1" w:after="100" w:afterAutospacing="1"/>
      <w:widowControl/>
    </w:pPr>
    <w:rPr>
      <w:sz w:val="36"/>
      <w:szCs w:val="36"/>
    </w:rPr>
  </w:style>
  <w:style w:type="paragraph" w:styleId="1395">
    <w:name w:val="Char"/>
    <w:basedOn w:val="1263"/>
    <w:next w:val="1395"/>
    <w:link w:val="1263"/>
    <w:qFormat/>
    <w:pPr>
      <w:tabs>
        <w:tab w:val="left" w:pos="360" w:leader="none"/>
      </w:tabs>
    </w:pPr>
    <w:rPr>
      <w:sz w:val="24"/>
    </w:rPr>
  </w:style>
  <w:style w:type="paragraph" w:styleId="1396">
    <w:name w:val="Char Char Char Char Char Char Char Char Char Char Char Char Char Char Char Char"/>
    <w:basedOn w:val="1263"/>
    <w:next w:val="1396"/>
    <w:link w:val="1263"/>
    <w:qFormat/>
    <w:pPr>
      <w:jc w:val="center"/>
      <w:spacing w:after="160" w:line="240" w:lineRule="exact"/>
      <w:widowControl/>
    </w:pPr>
    <w:rPr>
      <w:rFonts w:ascii="宋体" w:hAnsi="宋体"/>
      <w:b/>
      <w:sz w:val="30"/>
      <w:szCs w:val="30"/>
      <w:lang w:eastAsia="en-US"/>
    </w:rPr>
  </w:style>
  <w:style w:type="paragraph" w:styleId="1397">
    <w:name w:val="xl45"/>
    <w:basedOn w:val="1263"/>
    <w:next w:val="1397"/>
    <w:link w:val="12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98">
    <w:name w:val="Char Char1 Char Char Char Char Char Char"/>
    <w:basedOn w:val="1263"/>
    <w:next w:val="1398"/>
    <w:link w:val="1263"/>
    <w:qFormat/>
    <w:pPr>
      <w:jc w:val="left"/>
      <w:spacing w:after="160" w:line="240" w:lineRule="exact"/>
      <w:widowControl/>
    </w:pPr>
    <w:rPr>
      <w:rFonts w:ascii="Verdana" w:hAnsi="Verdana" w:eastAsia="仿宋_GB2312"/>
      <w:sz w:val="24"/>
      <w:szCs w:val="20"/>
      <w:lang w:eastAsia="en-US"/>
    </w:rPr>
  </w:style>
  <w:style w:type="paragraph" w:styleId="1399">
    <w:name w:val="Char Char1"/>
    <w:basedOn w:val="1288"/>
    <w:next w:val="1399"/>
    <w:link w:val="1263"/>
    <w:qFormat/>
    <w:rPr>
      <w:rFonts w:ascii="Tahoma" w:hAnsi="Tahoma"/>
      <w:sz w:val="24"/>
    </w:rPr>
  </w:style>
  <w:style w:type="paragraph" w:styleId="1400">
    <w:name w:val="xl26"/>
    <w:basedOn w:val="1263"/>
    <w:next w:val="1400"/>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401">
    <w:name w:val="xl30"/>
    <w:basedOn w:val="1263"/>
    <w:next w:val="1401"/>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2">
    <w:name w:val="xl41"/>
    <w:basedOn w:val="1263"/>
    <w:next w:val="1402"/>
    <w:link w:val="12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03">
    <w:name w:val="样式 宋体 五号 行距: 单倍行距"/>
    <w:basedOn w:val="1263"/>
    <w:next w:val="1403"/>
    <w:link w:val="1263"/>
    <w:qFormat/>
    <w:pPr>
      <w:jc w:val="left"/>
    </w:pPr>
    <w:rPr>
      <w:rFonts w:ascii="宋体" w:hAnsi="宋体"/>
      <w:szCs w:val="20"/>
    </w:rPr>
  </w:style>
  <w:style w:type="paragraph" w:styleId="1404">
    <w:name w:val="Char1 Char Char Char1"/>
    <w:basedOn w:val="1263"/>
    <w:next w:val="1404"/>
    <w:link w:val="1263"/>
    <w:qFormat/>
    <w:rPr>
      <w:rFonts w:ascii="Tahoma" w:hAnsi="Tahoma" w:cs="仿宋_GB2312"/>
      <w:sz w:val="24"/>
      <w:szCs w:val="28"/>
    </w:rPr>
  </w:style>
  <w:style w:type="paragraph" w:styleId="1405">
    <w:name w:val="四级条标题"/>
    <w:basedOn w:val="1406"/>
    <w:next w:val="1263"/>
    <w:link w:val="1263"/>
    <w:qFormat/>
    <w:pPr>
      <w:numPr>
        <w:ilvl w:val="4"/>
      </w:numPr>
      <w:ind w:left="0" w:hanging="840"/>
      <w:tabs>
        <w:tab w:val="left" w:pos="360" w:leader="none"/>
        <w:tab w:val="left" w:pos="840" w:leader="none"/>
      </w:tabs>
      <w:outlineLvl w:val="4"/>
    </w:pPr>
  </w:style>
  <w:style w:type="paragraph" w:styleId="1406">
    <w:name w:val="三级条标题"/>
    <w:basedOn w:val="1368"/>
    <w:next w:val="1263"/>
    <w:link w:val="1263"/>
    <w:qFormat/>
    <w:pPr>
      <w:numPr>
        <w:ilvl w:val="3"/>
        <w:numId w:val="1"/>
      </w:numPr>
      <w:ind w:left="0" w:hanging="840"/>
      <w:tabs>
        <w:tab w:val="left" w:pos="360" w:leader="none"/>
        <w:tab w:val="left" w:pos="840" w:leader="none"/>
      </w:tabs>
      <w:outlineLvl w:val="3"/>
    </w:pPr>
  </w:style>
  <w:style w:type="paragraph" w:styleId="1407">
    <w:name w:val="??"/>
    <w:next w:val="1407"/>
    <w:link w:val="1263"/>
    <w:qFormat/>
    <w:pPr>
      <w:jc w:val="both"/>
      <w:widowControl w:val="off"/>
    </w:pPr>
    <w:rPr>
      <w:sz w:val="21"/>
      <w:lang w:val="en-US" w:eastAsia="en-US" w:bidi="ar-SA"/>
    </w:rPr>
  </w:style>
  <w:style w:type="paragraph" w:styleId="1408">
    <w:name w:val="样式 标题 2 + 宋体 五号 行距: 单倍行距"/>
    <w:basedOn w:val="1265"/>
    <w:next w:val="1408"/>
    <w:link w:val="12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409">
    <w:name w:val="List Paragraph1"/>
    <w:basedOn w:val="1263"/>
    <w:next w:val="1409"/>
    <w:link w:val="1263"/>
    <w:qFormat/>
    <w:pPr>
      <w:ind w:firstLine="420"/>
    </w:pPr>
    <w:rPr>
      <w:rFonts w:ascii="Calibri" w:hAnsi="Calibri"/>
      <w:szCs w:val="22"/>
    </w:rPr>
  </w:style>
  <w:style w:type="paragraph" w:styleId="1410">
    <w:name w:val="项目符号1"/>
    <w:basedOn w:val="1411"/>
    <w:next w:val="1410"/>
    <w:link w:val="1263"/>
    <w:qFormat/>
    <w:pPr>
      <w:ind w:left="-25" w:firstLine="0"/>
    </w:pPr>
  </w:style>
  <w:style w:type="paragraph" w:styleId="1411">
    <w:name w:val="正文文本样式"/>
    <w:basedOn w:val="1263"/>
    <w:next w:val="1411"/>
    <w:link w:val="1263"/>
    <w:qFormat/>
    <w:pPr>
      <w:ind w:firstLine="482"/>
      <w:spacing w:line="360" w:lineRule="auto"/>
    </w:pPr>
    <w:rPr>
      <w:rFonts w:cs="宋体"/>
      <w:sz w:val="24"/>
      <w:szCs w:val="20"/>
    </w:rPr>
  </w:style>
  <w:style w:type="paragraph" w:styleId="1412">
    <w:name w:val="xl27"/>
    <w:basedOn w:val="1263"/>
    <w:next w:val="1412"/>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3">
    <w:name w:val="font5"/>
    <w:basedOn w:val="1263"/>
    <w:next w:val="1413"/>
    <w:link w:val="1263"/>
    <w:qFormat/>
    <w:pPr>
      <w:jc w:val="left"/>
      <w:spacing w:before="100" w:beforeAutospacing="1" w:after="100" w:afterAutospacing="1"/>
      <w:widowControl/>
    </w:pPr>
    <w:rPr>
      <w:rFonts w:ascii="宋体" w:hAnsi="宋体" w:cs="宋体"/>
      <w:sz w:val="18"/>
      <w:szCs w:val="18"/>
    </w:rPr>
  </w:style>
  <w:style w:type="paragraph" w:styleId="1414">
    <w:name w:val="五级条标题"/>
    <w:basedOn w:val="1405"/>
    <w:next w:val="1263"/>
    <w:link w:val="1263"/>
    <w:qFormat/>
    <w:pPr>
      <w:numPr>
        <w:ilvl w:val="5"/>
      </w:numPr>
      <w:ind w:left="0" w:hanging="840"/>
      <w:tabs>
        <w:tab w:val="left" w:pos="360" w:leader="none"/>
        <w:tab w:val="left" w:pos="840" w:leader="none"/>
      </w:tabs>
      <w:outlineLvl w:val="5"/>
    </w:pPr>
  </w:style>
  <w:style w:type="paragraph" w:styleId="1415">
    <w:name w:val="xl49"/>
    <w:basedOn w:val="1263"/>
    <w:next w:val="1415"/>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16">
    <w:name w:val="文档正文"/>
    <w:basedOn w:val="1263"/>
    <w:next w:val="1416"/>
    <w:link w:val="1263"/>
    <w:qFormat/>
    <w:pPr>
      <w:spacing w:before="120" w:after="120" w:line="180" w:lineRule="auto"/>
    </w:pPr>
    <w:rPr>
      <w:rFonts w:ascii="Arial" w:hAnsi="Arial"/>
      <w:szCs w:val="20"/>
    </w:rPr>
  </w:style>
  <w:style w:type="paragraph" w:styleId="1417">
    <w:name w:val="xl33"/>
    <w:basedOn w:val="1263"/>
    <w:next w:val="1417"/>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8">
    <w:name w:val="xl42"/>
    <w:basedOn w:val="1263"/>
    <w:next w:val="1418"/>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19">
    <w:name w:val="Char Char Char1 Char"/>
    <w:basedOn w:val="1263"/>
    <w:next w:val="1419"/>
    <w:link w:val="1263"/>
    <w:qFormat/>
    <w:rPr>
      <w:rFonts w:ascii="Tahoma" w:hAnsi="Tahoma"/>
      <w:sz w:val="24"/>
      <w:szCs w:val="20"/>
    </w:rPr>
  </w:style>
  <w:style w:type="paragraph" w:styleId="1420">
    <w:name w:val="xl44"/>
    <w:basedOn w:val="1263"/>
    <w:next w:val="1420"/>
    <w:link w:val="12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21">
    <w:name w:val="1名"/>
    <w:basedOn w:val="1263"/>
    <w:next w:val="1421"/>
    <w:link w:val="1263"/>
    <w:qFormat/>
    <w:pPr>
      <w:numPr>
        <w:ilvl w:val="0"/>
        <w:numId w:val="5"/>
      </w:numPr>
      <w:spacing w:before="120"/>
      <w:tabs>
        <w:tab w:val="left" w:pos="360" w:leader="none"/>
      </w:tabs>
    </w:pPr>
    <w:rPr>
      <w:rFonts w:ascii="宋体"/>
      <w:sz w:val="28"/>
      <w:szCs w:val="20"/>
    </w:rPr>
  </w:style>
  <w:style w:type="paragraph" w:styleId="1422">
    <w:name w:val="font9"/>
    <w:basedOn w:val="1263"/>
    <w:next w:val="1422"/>
    <w:link w:val="1263"/>
    <w:qFormat/>
    <w:pPr>
      <w:jc w:val="left"/>
      <w:spacing w:before="100" w:beforeAutospacing="1" w:after="100" w:afterAutospacing="1"/>
      <w:widowControl/>
    </w:pPr>
    <w:rPr>
      <w:rFonts w:hint="eastAsia" w:ascii="宋体" w:hAnsi="宋体" w:cs="Arial Unicode MS"/>
      <w:color w:val="000000"/>
      <w:sz w:val="20"/>
      <w:szCs w:val="20"/>
    </w:rPr>
  </w:style>
  <w:style w:type="paragraph" w:styleId="1423">
    <w:name w:val="Char Char Char1 Char1"/>
    <w:basedOn w:val="1263"/>
    <w:next w:val="1423"/>
    <w:link w:val="1263"/>
    <w:qFormat/>
    <w:rPr>
      <w:rFonts w:ascii="Tahoma" w:hAnsi="Tahoma"/>
      <w:sz w:val="24"/>
      <w:szCs w:val="20"/>
    </w:rPr>
  </w:style>
  <w:style w:type="paragraph" w:styleId="1424">
    <w:name w:val="Char Char Char Char Char Char Char Char Char Char"/>
    <w:basedOn w:val="1263"/>
    <w:next w:val="1424"/>
    <w:link w:val="1263"/>
    <w:qFormat/>
  </w:style>
  <w:style w:type="paragraph" w:styleId="1425">
    <w:name w:val="Char Char1 Char Char Char Char Char Char Char Char"/>
    <w:basedOn w:val="1263"/>
    <w:next w:val="1425"/>
    <w:link w:val="1263"/>
    <w:qFormat/>
    <w:pPr>
      <w:jc w:val="left"/>
      <w:spacing w:after="160" w:line="240" w:lineRule="exact"/>
      <w:widowControl/>
    </w:pPr>
    <w:rPr>
      <w:rFonts w:ascii="Verdana" w:hAnsi="Verdana"/>
      <w:sz w:val="20"/>
      <w:szCs w:val="20"/>
      <w:lang w:eastAsia="en-US"/>
    </w:rPr>
  </w:style>
  <w:style w:type="paragraph" w:styleId="1426">
    <w:name w:val="Char1"/>
    <w:basedOn w:val="1263"/>
    <w:next w:val="1426"/>
    <w:link w:val="1263"/>
    <w:qFormat/>
    <w:pPr>
      <w:tabs>
        <w:tab w:val="left" w:pos="360" w:leader="none"/>
      </w:tabs>
    </w:pPr>
    <w:rPr>
      <w:sz w:val="24"/>
    </w:rPr>
  </w:style>
  <w:style w:type="paragraph" w:styleId="1427">
    <w:name w:val="正文列项_字母"/>
    <w:basedOn w:val="1263"/>
    <w:next w:val="1427"/>
    <w:link w:val="1263"/>
    <w:qFormat/>
    <w:pPr>
      <w:numPr>
        <w:ilvl w:val="6"/>
        <w:numId w:val="1"/>
      </w:numPr>
      <w:ind w:left="480" w:hanging="180"/>
      <w:spacing w:line="460" w:lineRule="exact"/>
      <w:tabs>
        <w:tab w:val="clear" w:pos="635" w:leader="none"/>
      </w:tabs>
      <w:outlineLvl w:val="6"/>
    </w:pPr>
    <w:rPr>
      <w:rFonts w:ascii="宋体"/>
      <w:sz w:val="28"/>
      <w:szCs w:val="20"/>
    </w:rPr>
  </w:style>
  <w:style w:type="paragraph" w:styleId="1428">
    <w:name w:val="xl28"/>
    <w:basedOn w:val="1263"/>
    <w:next w:val="1428"/>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29">
    <w:name w:val="xl47"/>
    <w:basedOn w:val="1263"/>
    <w:next w:val="1429"/>
    <w:link w:val="12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0">
    <w:name w:val="默认段落字体 Para Char Char Char Char"/>
    <w:basedOn w:val="1263"/>
    <w:next w:val="1430"/>
    <w:link w:val="1263"/>
    <w:qFormat/>
    <w:rPr>
      <w:rFonts w:ascii="Arial" w:hAnsi="Arial" w:cs="Arial"/>
      <w:szCs w:val="21"/>
    </w:rPr>
  </w:style>
  <w:style w:type="paragraph" w:styleId="1431">
    <w:name w:val="xl48"/>
    <w:basedOn w:val="1263"/>
    <w:next w:val="1431"/>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32">
    <w:name w:val="xl31"/>
    <w:basedOn w:val="1263"/>
    <w:next w:val="1432"/>
    <w:link w:val="12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33">
    <w:name w:val="xl53"/>
    <w:basedOn w:val="1263"/>
    <w:next w:val="1433"/>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4">
    <w:name w:val="Char Char Char"/>
    <w:basedOn w:val="1263"/>
    <w:next w:val="1434"/>
    <w:link w:val="1263"/>
    <w:qFormat/>
    <w:rPr>
      <w:rFonts w:ascii="Tahoma" w:hAnsi="Tahoma"/>
      <w:sz w:val="24"/>
      <w:szCs w:val="20"/>
    </w:rPr>
  </w:style>
  <w:style w:type="paragraph" w:styleId="1435">
    <w:name w:val="xl50"/>
    <w:basedOn w:val="1263"/>
    <w:next w:val="1435"/>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36">
    <w:name w:val="缺省文本"/>
    <w:basedOn w:val="1263"/>
    <w:next w:val="1436"/>
    <w:link w:val="1263"/>
    <w:qFormat/>
    <w:pPr>
      <w:jc w:val="left"/>
    </w:pPr>
    <w:rPr>
      <w:sz w:val="24"/>
    </w:rPr>
  </w:style>
  <w:style w:type="paragraph" w:styleId="1437">
    <w:name w:val="Char Char Char1"/>
    <w:basedOn w:val="1263"/>
    <w:next w:val="1437"/>
    <w:link w:val="1263"/>
    <w:qFormat/>
    <w:rPr>
      <w:rFonts w:ascii="Tahoma" w:hAnsi="Tahoma"/>
      <w:sz w:val="24"/>
      <w:szCs w:val="20"/>
    </w:rPr>
  </w:style>
  <w:style w:type="paragraph" w:styleId="1438">
    <w:name w:val="Char Char Char Char Char Char Char1"/>
    <w:basedOn w:val="1263"/>
    <w:next w:val="1438"/>
    <w:link w:val="1263"/>
    <w:qFormat/>
    <w:pPr>
      <w:ind w:firstLine="200"/>
      <w:spacing w:line="360" w:lineRule="auto"/>
    </w:pPr>
    <w:rPr>
      <w:rFonts w:eastAsia="仿宋_GB2312"/>
      <w:sz w:val="24"/>
    </w:rPr>
  </w:style>
  <w:style w:type="paragraph" w:styleId="1439">
    <w:name w:val="xl51"/>
    <w:basedOn w:val="1263"/>
    <w:next w:val="1439"/>
    <w:link w:val="12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40">
    <w:name w:val="样式2"/>
    <w:basedOn w:val="1326"/>
    <w:next w:val="1440"/>
    <w:link w:val="1263"/>
    <w:qFormat/>
    <w:pPr>
      <w:jc w:val="center"/>
      <w:spacing w:line="360" w:lineRule="auto"/>
    </w:pPr>
    <w:rPr>
      <w:sz w:val="24"/>
    </w:rPr>
  </w:style>
  <w:style w:type="paragraph" w:styleId="1441">
    <w:name w:val="xl24"/>
    <w:basedOn w:val="1263"/>
    <w:next w:val="1441"/>
    <w:link w:val="12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42">
    <w:name w:val="xl29"/>
    <w:basedOn w:val="1263"/>
    <w:next w:val="1442"/>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3">
    <w:name w:val="正文 + 楷体_GB2312"/>
    <w:basedOn w:val="1263"/>
    <w:next w:val="1443"/>
    <w:link w:val="1263"/>
    <w:qFormat/>
    <w:pPr>
      <w:jc w:val="left"/>
      <w:widowControl/>
    </w:pPr>
    <w:rPr>
      <w:rFonts w:ascii="楷体_GB2312" w:eastAsia="楷体_GB2312" w:cs="Arial"/>
      <w:sz w:val="24"/>
    </w:rPr>
  </w:style>
  <w:style w:type="paragraph" w:styleId="1444">
    <w:name w:val="xl34"/>
    <w:basedOn w:val="1263"/>
    <w:next w:val="1444"/>
    <w:link w:val="12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45">
    <w:name w:val="1 Char Char Char Char"/>
    <w:basedOn w:val="1263"/>
    <w:next w:val="1445"/>
    <w:link w:val="1263"/>
    <w:qFormat/>
    <w:rPr>
      <w:rFonts w:ascii="Tahoma" w:hAnsi="Tahoma"/>
      <w:sz w:val="24"/>
      <w:szCs w:val="20"/>
    </w:rPr>
  </w:style>
  <w:style w:type="paragraph" w:styleId="1446">
    <w:name w:val="Default"/>
    <w:next w:val="1446"/>
    <w:link w:val="1263"/>
    <w:qFormat/>
    <w:pPr>
      <w:widowControl w:val="off"/>
    </w:pPr>
    <w:rPr>
      <w:rFonts w:ascii="Symbol" w:hAnsi="Symbol" w:cs="Symbol"/>
      <w:color w:val="000000"/>
      <w:sz w:val="24"/>
      <w:szCs w:val="24"/>
      <w:lang w:val="en-US" w:eastAsia="zh-CN" w:bidi="ar-SA"/>
    </w:rPr>
  </w:style>
  <w:style w:type="paragraph" w:styleId="1447">
    <w:name w:val="列出段落1"/>
    <w:basedOn w:val="1263"/>
    <w:next w:val="1447"/>
    <w:link w:val="1263"/>
    <w:qFormat/>
    <w:pPr>
      <w:ind w:firstLine="420"/>
    </w:pPr>
    <w:rPr>
      <w:rFonts w:ascii="Calibri" w:hAnsi="Calibri"/>
      <w:szCs w:val="22"/>
    </w:rPr>
  </w:style>
  <w:style w:type="paragraph" w:styleId="1448">
    <w:name w:val="default"/>
    <w:basedOn w:val="1263"/>
    <w:next w:val="1448"/>
    <w:link w:val="1263"/>
    <w:qFormat/>
    <w:pPr>
      <w:jc w:val="left"/>
      <w:spacing w:before="100" w:beforeAutospacing="1" w:after="100" w:afterAutospacing="1"/>
      <w:widowControl/>
    </w:pPr>
    <w:rPr>
      <w:rFonts w:ascii="宋体" w:hAnsi="宋体" w:cs="宋体"/>
      <w:sz w:val="24"/>
    </w:rPr>
  </w:style>
  <w:style w:type="paragraph" w:styleId="1449">
    <w:name w:val="字元 字元1"/>
    <w:basedOn w:val="1263"/>
    <w:next w:val="1449"/>
    <w:link w:val="1263"/>
    <w:qFormat/>
    <w:rPr>
      <w:rFonts w:ascii="Tahoma" w:hAnsi="Tahoma"/>
      <w:sz w:val="24"/>
      <w:szCs w:val="20"/>
    </w:rPr>
  </w:style>
  <w:style w:type="paragraph" w:styleId="1450">
    <w:name w:val="_Style 160"/>
    <w:next w:val="1450"/>
    <w:link w:val="1263"/>
    <w:qFormat/>
    <w:rPr>
      <w:sz w:val="21"/>
      <w:szCs w:val="24"/>
      <w:lang w:val="en-US" w:eastAsia="zh-CN" w:bidi="ar-SA"/>
    </w:rPr>
  </w:style>
  <w:style w:type="paragraph" w:styleId="1451">
    <w:name w:val="项目编号3"/>
    <w:basedOn w:val="1411"/>
    <w:next w:val="1451"/>
    <w:link w:val="1263"/>
    <w:qFormat/>
    <w:pPr>
      <w:numPr>
        <w:ilvl w:val="0"/>
        <w:numId w:val="6"/>
      </w:numPr>
    </w:pPr>
  </w:style>
  <w:style w:type="paragraph" w:styleId="1452">
    <w:name w:val="Char21"/>
    <w:basedOn w:val="1263"/>
    <w:next w:val="1452"/>
    <w:link w:val="1263"/>
    <w:qFormat/>
    <w:rPr>
      <w:rFonts w:ascii="Tahoma" w:hAnsi="Tahoma"/>
      <w:sz w:val="24"/>
      <w:szCs w:val="20"/>
    </w:rPr>
  </w:style>
  <w:style w:type="paragraph" w:styleId="1453">
    <w:name w:val="表格文字"/>
    <w:basedOn w:val="1296"/>
    <w:next w:val="1453"/>
    <w:link w:val="1263"/>
    <w:qFormat/>
    <w:pPr>
      <w:ind w:firstLine="0"/>
      <w:spacing w:before="20" w:after="20" w:line="240" w:lineRule="auto"/>
    </w:pPr>
    <w:rPr>
      <w:rFonts w:ascii="Century Gothic" w:hAnsi="Century Gothic"/>
      <w:sz w:val="20"/>
      <w:szCs w:val="20"/>
    </w:rPr>
  </w:style>
  <w:style w:type="paragraph" w:styleId="1454">
    <w:name w:val="Char Char Char Char Char Char Char Char Char Char1"/>
    <w:basedOn w:val="1263"/>
    <w:next w:val="1454"/>
    <w:link w:val="1263"/>
    <w:qFormat/>
    <w:rPr>
      <w:rFonts w:ascii="宋体" w:hAnsi="宋体" w:cs="Courier New"/>
      <w:sz w:val="32"/>
      <w:szCs w:val="32"/>
    </w:rPr>
  </w:style>
  <w:style w:type="paragraph" w:styleId="1455">
    <w:name w:val="正文文本样式 加粗"/>
    <w:basedOn w:val="1411"/>
    <w:next w:val="1455"/>
    <w:link w:val="1263"/>
    <w:qFormat/>
    <w:rPr>
      <w:b/>
    </w:rPr>
  </w:style>
  <w:style w:type="paragraph" w:styleId="1456">
    <w:name w:val="Char2 Char Char Char Char Char Char"/>
    <w:basedOn w:val="1263"/>
    <w:next w:val="1456"/>
    <w:link w:val="1263"/>
    <w:qFormat/>
    <w:pPr>
      <w:jc w:val="center"/>
      <w:spacing w:line="400" w:lineRule="exact"/>
      <w:widowControl/>
    </w:pPr>
  </w:style>
  <w:style w:type="paragraph" w:styleId="1457">
    <w:name w:val="Char Char4"/>
    <w:basedOn w:val="1263"/>
    <w:next w:val="1457"/>
    <w:link w:val="1263"/>
    <w:qFormat/>
    <w:pPr>
      <w:jc w:val="center"/>
      <w:spacing w:line="400" w:lineRule="exact"/>
      <w:widowControl/>
    </w:pPr>
  </w:style>
  <w:style w:type="paragraph" w:styleId="1458">
    <w:name w:val="Char3 Char Char Char1"/>
    <w:basedOn w:val="1263"/>
    <w:next w:val="1458"/>
    <w:link w:val="1263"/>
    <w:qFormat/>
    <w:rPr>
      <w:rFonts w:ascii="Tahoma" w:hAnsi="Tahoma"/>
      <w:sz w:val="24"/>
      <w:szCs w:val="20"/>
    </w:rPr>
  </w:style>
  <w:style w:type="paragraph" w:styleId="1459">
    <w:name w:val="无间隔"/>
    <w:next w:val="1459"/>
    <w:link w:val="1263"/>
    <w:qFormat/>
    <w:pPr>
      <w:jc w:val="both"/>
      <w:widowControl w:val="off"/>
    </w:pPr>
    <w:rPr>
      <w:sz w:val="21"/>
      <w:szCs w:val="24"/>
      <w:lang w:val="en-US" w:eastAsia="zh-CN" w:bidi="ar-SA"/>
    </w:rPr>
  </w:style>
  <w:style w:type="paragraph" w:styleId="1460">
    <w:name w:val="22222222222222"/>
    <w:basedOn w:val="1263"/>
    <w:next w:val="1460"/>
    <w:link w:val="1263"/>
    <w:qFormat/>
    <w:pPr>
      <w:ind w:firstLine="480"/>
      <w:jc w:val="left"/>
      <w:spacing w:line="360" w:lineRule="auto"/>
      <w:widowControl/>
    </w:pPr>
    <w:rPr>
      <w:color w:val="ff0000"/>
      <w:sz w:val="24"/>
      <w:szCs w:val="20"/>
    </w:rPr>
  </w:style>
  <w:style w:type="character" w:styleId="1461">
    <w:name w:val="中等深浅网格 1 - 强调文字颜色 2 Char"/>
    <w:next w:val="1461"/>
    <w:link w:val="1462"/>
    <w:qFormat/>
    <w:rPr>
      <w:sz w:val="21"/>
      <w:szCs w:val="24"/>
      <w:lang w:val="zh-CN" w:eastAsia="zh-CN" w:bidi="ar-SA"/>
    </w:rPr>
  </w:style>
  <w:style w:type="paragraph" w:styleId="1462">
    <w:name w:val="1"/>
    <w:next w:val="1462"/>
    <w:link w:val="1461"/>
    <w:qFormat/>
    <w:rPr>
      <w:sz w:val="21"/>
      <w:szCs w:val="24"/>
      <w:lang w:val="zh-CN" w:eastAsia="zh-CN" w:bidi="ar-SA"/>
    </w:rPr>
  </w:style>
  <w:style w:type="paragraph" w:styleId="1463">
    <w:name w:val="图文"/>
    <w:basedOn w:val="1263"/>
    <w:next w:val="1463"/>
    <w:link w:val="1263"/>
    <w:qFormat/>
    <w:pPr>
      <w:spacing w:after="50" w:line="360" w:lineRule="auto"/>
    </w:pPr>
    <w:rPr>
      <w:sz w:val="24"/>
    </w:rPr>
  </w:style>
  <w:style w:type="paragraph" w:styleId="1464">
    <w:name w:val="xl23"/>
    <w:basedOn w:val="1263"/>
    <w:next w:val="1464"/>
    <w:link w:val="1263"/>
    <w:qFormat/>
    <w:pPr>
      <w:spacing w:before="100" w:beforeAutospacing="1" w:after="100" w:afterAutospacing="1" w:line="360" w:lineRule="auto"/>
      <w:widowControl/>
    </w:pPr>
    <w:rPr>
      <w:sz w:val="24"/>
      <w:szCs w:val="20"/>
    </w:rPr>
  </w:style>
  <w:style w:type="paragraph" w:styleId="1465">
    <w:name w:val="正文表格"/>
    <w:basedOn w:val="1263"/>
    <w:next w:val="1465"/>
    <w:link w:val="1466"/>
    <w:qFormat/>
    <w:pPr>
      <w:jc w:val="left"/>
    </w:pPr>
    <w:rPr>
      <w:rFonts w:ascii="宋体" w:hAnsi="宋体"/>
      <w:color w:val="000000"/>
      <w:szCs w:val="21"/>
    </w:rPr>
  </w:style>
  <w:style w:type="character" w:styleId="1466">
    <w:name w:val="正文表格 Char"/>
    <w:next w:val="1466"/>
    <w:link w:val="1465"/>
    <w:qFormat/>
    <w:rPr>
      <w:rFonts w:ascii="宋体" w:hAnsi="宋体"/>
      <w:color w:val="000000"/>
      <w:sz w:val="21"/>
      <w:szCs w:val="21"/>
    </w:rPr>
  </w:style>
  <w:style w:type="paragraph" w:styleId="1467">
    <w:name w:val="正文重点"/>
    <w:basedOn w:val="1263"/>
    <w:next w:val="1467"/>
    <w:link w:val="1468"/>
    <w:qFormat/>
    <w:pPr>
      <w:ind w:firstLine="482"/>
      <w:jc w:val="left"/>
      <w:spacing w:line="360" w:lineRule="auto"/>
    </w:pPr>
    <w:rPr>
      <w:b/>
      <w:sz w:val="24"/>
      <w:szCs w:val="20"/>
    </w:rPr>
  </w:style>
  <w:style w:type="character" w:styleId="1468">
    <w:name w:val="正文重点 Char"/>
    <w:next w:val="1468"/>
    <w:link w:val="1467"/>
    <w:qFormat/>
    <w:rPr>
      <w:b/>
      <w:sz w:val="24"/>
    </w:rPr>
  </w:style>
  <w:style w:type="paragraph" w:styleId="1469">
    <w:name w:val="标题1-附件"/>
    <w:basedOn w:val="1264"/>
    <w:next w:val="1469"/>
    <w:link w:val="1263"/>
    <w:qFormat/>
    <w:pPr>
      <w:jc w:val="left"/>
    </w:pPr>
    <w:rPr>
      <w:sz w:val="24"/>
      <w:szCs w:val="24"/>
    </w:rPr>
  </w:style>
  <w:style w:type="paragraph" w:styleId="1470">
    <w:name w:val="正文小标题"/>
    <w:basedOn w:val="1263"/>
    <w:next w:val="1285"/>
    <w:link w:val="1471"/>
    <w:qFormat/>
    <w:pPr>
      <w:ind w:firstLine="482"/>
      <w:jc w:val="left"/>
      <w:spacing w:before="312" w:after="312"/>
    </w:pPr>
    <w:rPr>
      <w:rFonts w:ascii="宋体" w:hAnsi="宋体"/>
      <w:b/>
      <w:i/>
      <w:color w:val="ff0000"/>
      <w:sz w:val="24"/>
      <w:szCs w:val="20"/>
    </w:rPr>
  </w:style>
  <w:style w:type="character" w:styleId="1471">
    <w:name w:val="正文小标题 Char"/>
    <w:next w:val="1471"/>
    <w:link w:val="1470"/>
    <w:qFormat/>
    <w:rPr>
      <w:rFonts w:ascii="宋体" w:hAnsi="宋体"/>
      <w:b/>
      <w:i/>
      <w:color w:val="ff0000"/>
      <w:sz w:val="24"/>
    </w:rPr>
  </w:style>
  <w:style w:type="paragraph" w:styleId="1472">
    <w:name w:val="正文大标题"/>
    <w:basedOn w:val="1470"/>
    <w:next w:val="1285"/>
    <w:link w:val="1473"/>
    <w:qFormat/>
    <w:pPr>
      <w:jc w:val="center"/>
    </w:pPr>
    <w:rPr>
      <w:i w:val="0"/>
      <w:color w:val="000000"/>
      <w:sz w:val="28"/>
      <w:szCs w:val="21"/>
    </w:rPr>
  </w:style>
  <w:style w:type="character" w:styleId="1473">
    <w:name w:val="正文大标题 Char"/>
    <w:next w:val="1473"/>
    <w:link w:val="1472"/>
    <w:qFormat/>
    <w:rPr>
      <w:rFonts w:ascii="宋体" w:hAnsi="宋体"/>
      <w:b/>
      <w:color w:val="000000"/>
      <w:sz w:val="28"/>
      <w:szCs w:val="21"/>
    </w:rPr>
  </w:style>
  <w:style w:type="paragraph" w:styleId="1474">
    <w:name w:val="注释"/>
    <w:basedOn w:val="1263"/>
    <w:next w:val="1474"/>
    <w:link w:val="1475"/>
    <w:qFormat/>
    <w:pPr>
      <w:ind w:left="420" w:hanging="420"/>
      <w:jc w:val="left"/>
    </w:pPr>
    <w:rPr>
      <w:rFonts w:ascii="宋体" w:hAnsi="宋体"/>
      <w:szCs w:val="21"/>
    </w:rPr>
  </w:style>
  <w:style w:type="character" w:styleId="1475">
    <w:name w:val="注释 Char"/>
    <w:next w:val="1475"/>
    <w:link w:val="1474"/>
    <w:qFormat/>
    <w:rPr>
      <w:rFonts w:ascii="宋体" w:hAnsi="宋体"/>
      <w:sz w:val="21"/>
      <w:szCs w:val="21"/>
    </w:rPr>
  </w:style>
  <w:style w:type="paragraph" w:styleId="1476">
    <w:name w:val="正文须知-1级"/>
    <w:basedOn w:val="1263"/>
    <w:next w:val="1263"/>
    <w:link w:val="1263"/>
    <w:qFormat/>
    <w:pPr>
      <w:numPr>
        <w:ilvl w:val="0"/>
        <w:numId w:val="7"/>
      </w:numPr>
      <w:spacing w:line="300" w:lineRule="auto"/>
    </w:pPr>
    <w:rPr>
      <w:rFonts w:ascii="宋体" w:hAnsi="Calibri"/>
      <w:sz w:val="24"/>
      <w:szCs w:val="21"/>
    </w:rPr>
  </w:style>
  <w:style w:type="paragraph" w:styleId="1477">
    <w:name w:val="正文须知-2级"/>
    <w:basedOn w:val="1263"/>
    <w:next w:val="1477"/>
    <w:link w:val="1263"/>
    <w:qFormat/>
    <w:pPr>
      <w:numPr>
        <w:ilvl w:val="1"/>
        <w:numId w:val="7"/>
      </w:numPr>
      <w:spacing w:line="300" w:lineRule="auto"/>
    </w:pPr>
    <w:rPr>
      <w:rFonts w:ascii="宋体" w:hAnsi="Calibri"/>
      <w:sz w:val="24"/>
      <w:szCs w:val="21"/>
    </w:rPr>
  </w:style>
  <w:style w:type="paragraph" w:styleId="1478">
    <w:name w:val="正文须知-3级"/>
    <w:basedOn w:val="1263"/>
    <w:next w:val="1478"/>
    <w:link w:val="1263"/>
    <w:qFormat/>
    <w:pPr>
      <w:numPr>
        <w:ilvl w:val="2"/>
        <w:numId w:val="7"/>
      </w:numPr>
      <w:ind w:hanging="355"/>
      <w:spacing w:line="300" w:lineRule="auto"/>
    </w:pPr>
    <w:rPr>
      <w:rFonts w:ascii="宋体" w:hAnsi="Calibri"/>
      <w:sz w:val="24"/>
      <w:szCs w:val="21"/>
    </w:rPr>
  </w:style>
  <w:style w:type="character" w:styleId="1479">
    <w:name w:val="纯文本 字符"/>
    <w:next w:val="1479"/>
    <w:link w:val="1263"/>
    <w:uiPriority w:val="99"/>
    <w:qFormat/>
    <w:rPr>
      <w:rFonts w:ascii="宋体" w:hAnsi="Courier New" w:eastAsia="宋体" w:cs="Times New Roman"/>
      <w:sz w:val="21"/>
      <w:szCs w:val="21"/>
      <w:lang w:val="en-US" w:eastAsia="zh-CN" w:bidi="ar-SA"/>
    </w:rPr>
  </w:style>
  <w:style w:type="paragraph" w:styleId="1480">
    <w:name w:val="表格1"/>
    <w:basedOn w:val="1263"/>
    <w:next w:val="1480"/>
    <w:link w:val="1263"/>
    <w:qFormat/>
    <w:pPr>
      <w:ind w:firstLine="480"/>
      <w:jc w:val="center"/>
    </w:pPr>
    <w:rPr>
      <w:sz w:val="24"/>
      <w:szCs w:val="20"/>
    </w:rPr>
  </w:style>
  <w:style w:type="character" w:styleId="1481">
    <w:name w:val="纯文本 字符1"/>
    <w:next w:val="1481"/>
    <w:link w:val="1263"/>
    <w:qFormat/>
    <w:rPr>
      <w:rFonts w:ascii="宋体" w:hAnsi="Courier New"/>
    </w:rPr>
  </w:style>
  <w:style w:type="character" w:styleId="1482">
    <w:name w:val="bjh-p"/>
    <w:next w:val="1482"/>
    <w:link w:val="1263"/>
    <w:qFormat/>
  </w:style>
  <w:style w:type="paragraph" w:styleId="1483">
    <w:name w:val="无标题条"/>
    <w:next w:val="1263"/>
    <w:link w:val="1263"/>
    <w:qFormat/>
    <w:pPr>
      <w:jc w:val="both"/>
    </w:pPr>
    <w:rPr>
      <w:sz w:val="21"/>
      <w:lang w:val="en-US" w:eastAsia="zh-CN" w:bidi="ar-SA"/>
    </w:rPr>
  </w:style>
  <w:style w:type="character" w:styleId="1484">
    <w:name w:val="正文格式 Char"/>
    <w:next w:val="1484"/>
    <w:link w:val="1485"/>
    <w:qFormat/>
    <w:rPr>
      <w:rFonts w:ascii="宋体" w:hAnsi="宋体"/>
      <w:sz w:val="24"/>
      <w:szCs w:val="24"/>
      <w:lang w:val="en-GB"/>
    </w:rPr>
  </w:style>
  <w:style w:type="paragraph" w:styleId="1485">
    <w:name w:val="正文格式"/>
    <w:basedOn w:val="1263"/>
    <w:next w:val="1485"/>
    <w:link w:val="1484"/>
    <w:qFormat/>
    <w:pPr>
      <w:ind w:firstLine="480"/>
      <w:spacing w:line="360" w:lineRule="auto"/>
    </w:pPr>
    <w:rPr>
      <w:rFonts w:ascii="宋体" w:hAnsi="宋体"/>
      <w:sz w:val="24"/>
      <w:lang w:val="en-GB"/>
    </w:rPr>
  </w:style>
  <w:style w:type="character" w:styleId="1486">
    <w:name w:val="标题 3 Char"/>
    <w:next w:val="1486"/>
    <w:link w:val="1263"/>
    <w:qFormat/>
    <w:rPr>
      <w:rFonts w:ascii="宋体" w:eastAsia="宋体"/>
      <w:b/>
      <w:sz w:val="24"/>
      <w:u w:val="single"/>
      <w:lang w:val="en-US" w:eastAsia="zh-CN" w:bidi="ar-SA"/>
    </w:rPr>
  </w:style>
  <w:style w:type="character" w:styleId="1487">
    <w:name w:val="正文缩进 Char"/>
    <w:next w:val="1487"/>
    <w:link w:val="1263"/>
    <w:qFormat/>
    <w:rPr>
      <w:rFonts w:ascii="宋体" w:eastAsia="宋体"/>
      <w:sz w:val="24"/>
      <w:szCs w:val="24"/>
      <w:lang w:val="en-US" w:eastAsia="zh-CN" w:bidi="ar-SA"/>
    </w:rPr>
  </w:style>
  <w:style w:type="character" w:styleId="1488">
    <w:name w:val="Char Char111"/>
    <w:next w:val="1488"/>
    <w:link w:val="1263"/>
    <w:qFormat/>
    <w:rPr>
      <w:rFonts w:ascii="宋体" w:eastAsia="宋体"/>
      <w:b/>
      <w:sz w:val="24"/>
      <w:u w:val="single"/>
      <w:lang w:val="en-US" w:eastAsia="zh-CN" w:bidi="ar-SA"/>
    </w:rPr>
  </w:style>
  <w:style w:type="character" w:styleId="1489">
    <w:name w:val="正文文本缩进 Char"/>
    <w:next w:val="1489"/>
    <w:link w:val="1263"/>
    <w:qFormat/>
    <w:rPr>
      <w:rFonts w:eastAsia="宋体"/>
      <w:sz w:val="24"/>
      <w:szCs w:val="24"/>
      <w:lang w:val="en-US" w:eastAsia="zh-CN" w:bidi="ar-SA"/>
    </w:rPr>
  </w:style>
  <w:style w:type="character" w:styleId="1490">
    <w:name w:val="列出段落 Char"/>
    <w:next w:val="1490"/>
    <w:link w:val="1263"/>
    <w:qFormat/>
    <w:rPr>
      <w:rFonts w:ascii="Calibri" w:hAnsi="Calibri" w:eastAsia="宋体"/>
      <w:sz w:val="21"/>
      <w:szCs w:val="22"/>
      <w:lang w:val="en-US" w:eastAsia="zh-CN" w:bidi="ar-SA"/>
    </w:rPr>
  </w:style>
  <w:style w:type="character" w:styleId="1491">
    <w:name w:val="页眉 Char"/>
    <w:next w:val="1491"/>
    <w:link w:val="1263"/>
    <w:qFormat/>
    <w:rPr>
      <w:rFonts w:eastAsia="宋体"/>
      <w:sz w:val="18"/>
      <w:szCs w:val="18"/>
      <w:lang w:val="en-US" w:eastAsia="zh-CN" w:bidi="ar-SA"/>
    </w:rPr>
  </w:style>
  <w:style w:type="character" w:styleId="1492">
    <w:name w:val="标题 2 Char"/>
    <w:next w:val="1492"/>
    <w:link w:val="1263"/>
    <w:qFormat/>
    <w:rPr>
      <w:rFonts w:ascii="Arial" w:hAnsi="Arial" w:eastAsia="黑体"/>
      <w:b/>
      <w:sz w:val="30"/>
      <w:lang w:val="en-US" w:eastAsia="zh-CN" w:bidi="ar-SA"/>
    </w:rPr>
  </w:style>
  <w:style w:type="paragraph" w:styleId="1493">
    <w:name w:val="字元 字元2"/>
    <w:basedOn w:val="1263"/>
    <w:next w:val="1493"/>
    <w:link w:val="1263"/>
    <w:qFormat/>
    <w:rPr>
      <w:rFonts w:ascii="Tahoma" w:hAnsi="Tahoma"/>
      <w:sz w:val="24"/>
      <w:szCs w:val="20"/>
    </w:rPr>
  </w:style>
  <w:style w:type="paragraph" w:styleId="1494">
    <w:name w:val="Char3 Char Char Char2"/>
    <w:basedOn w:val="1263"/>
    <w:next w:val="1494"/>
    <w:link w:val="1263"/>
    <w:qFormat/>
    <w:rPr>
      <w:rFonts w:ascii="Tahoma" w:hAnsi="Tahoma"/>
      <w:sz w:val="24"/>
      <w:szCs w:val="20"/>
    </w:rPr>
  </w:style>
  <w:style w:type="paragraph" w:styleId="1495">
    <w:name w:val="正文文本缩进2"/>
    <w:basedOn w:val="1263"/>
    <w:next w:val="1495"/>
    <w:link w:val="1263"/>
    <w:qFormat/>
    <w:pPr>
      <w:ind w:firstLine="480"/>
      <w:spacing w:line="480" w:lineRule="exact"/>
    </w:pPr>
    <w:rPr>
      <w:rFonts w:ascii="宋体" w:hAnsi="宋体"/>
      <w:sz w:val="24"/>
      <w:lang w:val="zh-CN" w:eastAsia="zh-CN"/>
    </w:rPr>
  </w:style>
  <w:style w:type="paragraph" w:styleId="1496">
    <w:name w:val="Char3"/>
    <w:basedOn w:val="1263"/>
    <w:next w:val="1496"/>
    <w:link w:val="1263"/>
    <w:qFormat/>
    <w:pPr>
      <w:tabs>
        <w:tab w:val="left" w:pos="360" w:leader="none"/>
      </w:tabs>
    </w:pPr>
    <w:rPr>
      <w:sz w:val="24"/>
    </w:rPr>
  </w:style>
  <w:style w:type="paragraph" w:styleId="1497">
    <w:name w:val="Char Char Char Char Char Char Char Char Char Char Char Char Char Char Char Char1"/>
    <w:basedOn w:val="1263"/>
    <w:next w:val="1497"/>
    <w:link w:val="1263"/>
    <w:qFormat/>
    <w:pPr>
      <w:jc w:val="center"/>
      <w:spacing w:after="160" w:line="240" w:lineRule="exact"/>
      <w:widowControl/>
    </w:pPr>
    <w:rPr>
      <w:rFonts w:ascii="宋体" w:hAnsi="宋体"/>
      <w:b/>
      <w:sz w:val="30"/>
      <w:szCs w:val="30"/>
      <w:lang w:eastAsia="en-US"/>
    </w:rPr>
  </w:style>
  <w:style w:type="paragraph" w:styleId="1498">
    <w:name w:val="Char Char1 Char Char Char Char Char Char1"/>
    <w:basedOn w:val="1263"/>
    <w:next w:val="1498"/>
    <w:link w:val="1263"/>
    <w:qFormat/>
    <w:pPr>
      <w:jc w:val="left"/>
      <w:spacing w:after="160" w:line="240" w:lineRule="exact"/>
      <w:widowControl/>
    </w:pPr>
    <w:rPr>
      <w:rFonts w:ascii="Verdana" w:hAnsi="Verdana" w:eastAsia="仿宋_GB2312"/>
      <w:sz w:val="24"/>
      <w:szCs w:val="20"/>
      <w:lang w:eastAsia="en-US"/>
    </w:rPr>
  </w:style>
  <w:style w:type="paragraph" w:styleId="1499">
    <w:name w:val="列出段落2"/>
    <w:basedOn w:val="1263"/>
    <w:next w:val="1499"/>
    <w:link w:val="1263"/>
    <w:qFormat/>
    <w:pPr>
      <w:ind w:firstLine="420"/>
    </w:pPr>
    <w:rPr>
      <w:rFonts w:ascii="Calibri" w:hAnsi="Calibri"/>
      <w:szCs w:val="22"/>
    </w:rPr>
  </w:style>
  <w:style w:type="paragraph" w:styleId="1500">
    <w:name w:val="Char Char Char1 Char2"/>
    <w:basedOn w:val="1263"/>
    <w:next w:val="1500"/>
    <w:link w:val="1263"/>
    <w:qFormat/>
    <w:rPr>
      <w:rFonts w:ascii="Tahoma" w:hAnsi="Tahoma"/>
      <w:sz w:val="24"/>
      <w:szCs w:val="20"/>
    </w:rPr>
  </w:style>
  <w:style w:type="paragraph" w:styleId="1501">
    <w:name w:val="Char Char Char2"/>
    <w:basedOn w:val="1263"/>
    <w:next w:val="1501"/>
    <w:link w:val="1263"/>
    <w:qFormat/>
    <w:rPr>
      <w:rFonts w:ascii="Tahoma" w:hAnsi="Tahoma"/>
      <w:sz w:val="24"/>
      <w:szCs w:val="20"/>
    </w:rPr>
  </w:style>
  <w:style w:type="paragraph" w:styleId="1502">
    <w:name w:val="Char Char Char Char Char Char Char2"/>
    <w:basedOn w:val="1263"/>
    <w:next w:val="1502"/>
    <w:link w:val="1263"/>
    <w:qFormat/>
    <w:pPr>
      <w:ind w:firstLine="200"/>
      <w:spacing w:line="360" w:lineRule="auto"/>
    </w:pPr>
    <w:rPr>
      <w:rFonts w:eastAsia="仿宋_GB2312"/>
      <w:sz w:val="24"/>
    </w:rPr>
  </w:style>
  <w:style w:type="paragraph" w:styleId="1503">
    <w:name w:val="正文缩进2"/>
    <w:basedOn w:val="1263"/>
    <w:next w:val="1503"/>
    <w:link w:val="1263"/>
    <w:qFormat/>
    <w:pPr>
      <w:ind w:firstLine="567"/>
      <w:spacing w:line="480" w:lineRule="exact"/>
      <w:widowControl/>
    </w:pPr>
    <w:rPr>
      <w:rFonts w:ascii="宋体"/>
      <w:color w:val="000000"/>
      <w:sz w:val="28"/>
      <w:szCs w:val="20"/>
      <w:lang w:val="zh-CN" w:eastAsia="zh-CN"/>
    </w:rPr>
  </w:style>
  <w:style w:type="paragraph" w:styleId="1504">
    <w:name w:val="Revision"/>
    <w:next w:val="1504"/>
    <w:link w:val="1263"/>
    <w:qFormat/>
    <w:rPr>
      <w:sz w:val="21"/>
      <w:szCs w:val="24"/>
      <w:lang w:val="en-US" w:eastAsia="zh-CN" w:bidi="ar-SA"/>
    </w:rPr>
  </w:style>
  <w:style w:type="paragraph" w:styleId="1505">
    <w:name w:val="Char22"/>
    <w:basedOn w:val="1263"/>
    <w:next w:val="1505"/>
    <w:link w:val="1263"/>
    <w:qFormat/>
    <w:rPr>
      <w:rFonts w:ascii="Tahoma" w:hAnsi="Tahoma"/>
      <w:sz w:val="24"/>
      <w:szCs w:val="20"/>
    </w:rPr>
  </w:style>
  <w:style w:type="paragraph" w:styleId="1506">
    <w:name w:val="Char Char Char Char Char Char Char Char Char Char2"/>
    <w:basedOn w:val="1263"/>
    <w:next w:val="1506"/>
    <w:link w:val="1263"/>
    <w:qFormat/>
    <w:rPr>
      <w:rFonts w:ascii="宋体" w:hAnsi="宋体" w:cs="Courier New"/>
      <w:sz w:val="32"/>
      <w:szCs w:val="32"/>
    </w:rPr>
  </w:style>
  <w:style w:type="paragraph" w:styleId="1507">
    <w:name w:val="Char2 Char Char Char Char Char Char1"/>
    <w:basedOn w:val="1263"/>
    <w:next w:val="1507"/>
    <w:link w:val="1263"/>
    <w:qFormat/>
    <w:pPr>
      <w:jc w:val="center"/>
      <w:spacing w:line="400" w:lineRule="exact"/>
      <w:widowControl/>
    </w:pPr>
  </w:style>
  <w:style w:type="character" w:styleId="1508">
    <w:name w:val="页脚 Char"/>
    <w:next w:val="1508"/>
    <w:link w:val="1263"/>
    <w:qFormat/>
    <w:rPr>
      <w:rFonts w:ascii="宋体" w:eastAsia="宋体"/>
      <w:sz w:val="18"/>
      <w:lang w:val="en-US" w:eastAsia="zh-CN" w:bidi="ar-SA"/>
    </w:rPr>
  </w:style>
  <w:style w:type="paragraph" w:styleId="1509">
    <w:name w:val="Char Char41"/>
    <w:basedOn w:val="1263"/>
    <w:next w:val="1509"/>
    <w:link w:val="1263"/>
    <w:qFormat/>
    <w:pPr>
      <w:jc w:val="center"/>
      <w:spacing w:line="400" w:lineRule="exact"/>
      <w:widowControl/>
    </w:pPr>
  </w:style>
  <w:style w:type="character" w:styleId="1510">
    <w:name w:val="批注文字 Char"/>
    <w:next w:val="1510"/>
    <w:link w:val="1263"/>
    <w:uiPriority w:val="99"/>
    <w:qFormat/>
    <w:rPr>
      <w:sz w:val="21"/>
      <w:szCs w:val="24"/>
    </w:rPr>
  </w:style>
  <w:style w:type="character" w:styleId="1511">
    <w:name w:val="标题 Char"/>
    <w:next w:val="1511"/>
    <w:link w:val="1263"/>
    <w:qFormat/>
    <w:rPr>
      <w:b/>
      <w:sz w:val="32"/>
    </w:rPr>
  </w:style>
  <w:style w:type="paragraph" w:styleId="1512">
    <w:name w:val="图例"/>
    <w:basedOn w:val="1263"/>
    <w:next w:val="1512"/>
    <w:link w:val="1263"/>
    <w:qFormat/>
    <w:pPr>
      <w:jc w:val="center"/>
      <w:spacing w:before="120" w:after="120" w:line="360" w:lineRule="auto"/>
    </w:pPr>
    <w:rPr>
      <w:rFonts w:eastAsia="仿宋_GB2312"/>
      <w:b/>
      <w:sz w:val="24"/>
      <w:szCs w:val="20"/>
    </w:rPr>
  </w:style>
  <w:style w:type="paragraph" w:styleId="1513">
    <w:name w:val="Table Paragraph"/>
    <w:basedOn w:val="1263"/>
    <w:next w:val="1513"/>
    <w:link w:val="1263"/>
    <w:uiPriority w:val="1"/>
    <w:qFormat/>
    <w:pPr>
      <w:jc w:val="left"/>
    </w:pPr>
    <w:rPr>
      <w:rFonts w:ascii="宋体" w:hAnsi="宋体" w:cs="宋体"/>
      <w:sz w:val="22"/>
      <w:szCs w:val="22"/>
      <w:lang w:eastAsia="en-US"/>
    </w:rPr>
  </w:style>
  <w:style w:type="table" w:styleId="1514">
    <w:name w:val="Table Normal"/>
    <w:next w:val="1514"/>
    <w:link w:val="1263"/>
    <w:uiPriority w:val="2"/>
    <w:semiHidden/>
    <w:qFormat/>
    <w:pPr>
      <w:widowControl w:val="off"/>
    </w:pPr>
    <w:rPr>
      <w:rFonts w:ascii="Calibri" w:hAnsi="Calibri"/>
      <w:sz w:val="22"/>
      <w:szCs w:val="22"/>
      <w:lang w:val="en-US" w:eastAsia="en-US" w:bidi="ar-SA"/>
    </w:rPr>
    <w:tblPr/>
  </w:style>
  <w:style w:type="paragraph" w:styleId="1515">
    <w:name w:val="成文日期"/>
    <w:basedOn w:val="1263"/>
    <w:next w:val="1515"/>
    <w:link w:val="1516"/>
    <w:qFormat/>
    <w:pPr>
      <w:ind w:right="400" w:firstLine="200"/>
      <w:jc w:val="right"/>
      <w:spacing w:line="570" w:lineRule="exact"/>
    </w:pPr>
    <w:rPr>
      <w:rFonts w:ascii="仿宋_GB2312" w:eastAsia="仿宋_GB2312"/>
      <w:sz w:val="32"/>
      <w:szCs w:val="20"/>
    </w:rPr>
  </w:style>
  <w:style w:type="character" w:styleId="1516">
    <w:name w:val="成文日期 Char"/>
    <w:next w:val="1516"/>
    <w:link w:val="1515"/>
    <w:rPr>
      <w:rFonts w:ascii="仿宋_GB2312" w:eastAsia="仿宋_GB2312"/>
      <w:sz w:val="32"/>
    </w:rPr>
  </w:style>
  <w:style w:type="paragraph" w:styleId="1517">
    <w:name w:val="☆ 正文"/>
    <w:basedOn w:val="1263"/>
    <w:next w:val="1517"/>
    <w:link w:val="1263"/>
    <w:qFormat/>
    <w:rPr>
      <w:szCs w:val="22"/>
    </w:rPr>
  </w:style>
  <w:style w:type="character" w:styleId="1518">
    <w:name w:val="标题 3 字符"/>
    <w:basedOn w:val="1273"/>
    <w:next w:val="1518"/>
    <w:link w:val="1263"/>
    <w:rPr>
      <w:rFonts w:ascii="Times New Roman" w:hAnsi="Times New Roman" w:cs="Times New Roman"/>
      <w:b/>
      <w:bCs/>
      <w:sz w:val="32"/>
      <w:szCs w:val="32"/>
    </w:rPr>
  </w:style>
  <w:style w:type="paragraph" w:styleId="1519">
    <w:name w:val="p"/>
    <w:basedOn w:val="1263"/>
    <w:next w:val="1519"/>
    <w:link w:val="1263"/>
    <w:qFormat/>
    <w:pPr>
      <w:spacing w:before="100" w:beforeAutospacing="1" w:after="100" w:afterAutospacing="1"/>
      <w:widowControl/>
    </w:pPr>
    <w:rPr>
      <w:sz w:val="24"/>
      <w:szCs w:val="24"/>
      <w:lang w:eastAsia="zh-CN"/>
    </w:rPr>
  </w:style>
  <w:style w:type="paragraph" w:styleId="1520">
    <w:name w:val="标题 31"/>
    <w:basedOn w:val="1263"/>
    <w:next w:val="1263"/>
    <w:link w:val="1263"/>
    <w:qFormat/>
    <w:pPr>
      <w:jc w:val="left"/>
      <w:keepLines/>
      <w:keepNext/>
      <w:spacing w:before="360" w:after="120"/>
      <w:outlineLvl w:val="2"/>
    </w:pPr>
    <w:rPr>
      <w:rFonts w:ascii="宋体"/>
      <w:b/>
      <w:sz w:val="24"/>
      <w:szCs w:val="20"/>
      <w:u w:val="single"/>
    </w:rPr>
  </w:style>
  <w:style w:type="paragraph" w:styleId="1521">
    <w:name w:val="标题 21"/>
    <w:next w:val="1263"/>
    <w:link w:val="1263"/>
    <w:qFormat/>
    <w:pPr>
      <w:jc w:val="center"/>
      <w:keepLines/>
      <w:keepNext/>
      <w:spacing w:before="120" w:line="300" w:lineRule="auto"/>
      <w:widowControl w:val="off"/>
      <w:outlineLvl w:val="1"/>
    </w:pPr>
    <w:rPr>
      <w:rFonts w:ascii="Arial" w:hAnsi="Arial" w:eastAsia="黑体" w:cs="Times New Roman"/>
      <w:b/>
      <w:sz w:val="30"/>
      <w:szCs w:val="20"/>
      <w:lang w:val="en-US" w:eastAsia="zh-CN" w:bidi="ar-SA"/>
    </w:rPr>
  </w:style>
  <w:style w:type="character" w:styleId="1522" w:default="1">
    <w:name w:val="Default Paragraph Font"/>
    <w:uiPriority w:val="1"/>
    <w:semiHidden/>
    <w:unhideWhenUsed/>
  </w:style>
  <w:style w:type="numbering" w:styleId="1523" w:default="1">
    <w:name w:val="No List"/>
    <w:uiPriority w:val="99"/>
    <w:semiHidden/>
    <w:unhideWhenUsed/>
  </w:style>
  <w:style w:type="table" w:styleId="15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footer" Target="footer12.xml" /><Relationship Id="rId30" Type="http://schemas.openxmlformats.org/officeDocument/2006/relationships/footer" Target="footer13.xml" /><Relationship Id="rId31" Type="http://schemas.openxmlformats.org/officeDocument/2006/relationships/hyperlink" Target="mailto:4.%E7%94%B1%E4%BA%8E%E7%B3%BB%E7%BB%9F%E5%9B%BA%E5%AE%9A%E6%A8%A1%E6%9D%BF%EF%BC%8C%E5%9B%BE%E7%BA%B8%E6%97%A0%E6%B3%95%E4%B8%8A%E4%BC%A0%EF%BC%8C%E7%BC%96%E5%88%B6%E6%8A%95%E6%A0%87%E6%96%87%E4%BB%B6%E6%97%B6%E5%A6%82%E6%9C%89%E9%9C%80%E8%A6%81%EF%BC%8C%E5%8F%AF%E5%8F%91%E9%80%81%E9%82%AE%E4%BB%B6%E8%87%B31799755685@qq.comhuo"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王蓓蓓</cp:lastModifiedBy>
  <cp:revision>7</cp:revision>
  <dcterms:created xsi:type="dcterms:W3CDTF">2022-05-30T08:03:00Z</dcterms:created>
  <dcterms:modified xsi:type="dcterms:W3CDTF">2026-10-30T01:51:28Z</dcterms:modified>
</cp:coreProperties>
</file>