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7"/>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1285"/>
        <w:spacing w:line="480" w:lineRule="auto"/>
        <w:rPr>
          <w:rFonts w:hint="default" w:ascii="黑体" w:hAnsi="Arial" w:eastAsia="宋体" w:cs="Times New Roman"/>
          <w:b/>
          <w:color w:val="auto"/>
          <w:sz w:val="44"/>
          <w:szCs w:val="21"/>
          <w:highlight w:val="none"/>
          <w:lang w:val="en-US" w:eastAsia="zh-CN"/>
        </w:rPr>
      </w:pPr>
      <w:r>
        <w:rPr>
          <w:rFonts w:hint="eastAsia" w:ascii="Arial" w:hAnsi="Arial" w:eastAsia="宋体" w:cs="Times New Roman"/>
          <w:b/>
          <w:bCs/>
          <w:color w:val="auto"/>
          <w:sz w:val="32"/>
          <w:szCs w:val="24"/>
          <w:highlight w:val="none"/>
        </w:rPr>
        <w:t xml:space="preserve">项目名称：</w:t>
      </w:r>
      <w:r>
        <w:rPr>
          <w:rFonts w:hint="eastAsia" w:ascii="Arial" w:hAnsi="Arial" w:eastAsia="宋体" w:cs="Times New Roman"/>
          <w:b/>
          <w:bCs/>
          <w:color w:val="auto"/>
          <w:sz w:val="32"/>
          <w:szCs w:val="24"/>
          <w:highlight w:val="none"/>
          <w:lang w:val="en-US" w:eastAsia="zh-CN"/>
        </w:rPr>
        <w:t xml:space="preserve">2025年耕地保护基础业务项目</w:t>
      </w:r>
      <w:r/>
    </w:p>
    <w:p>
      <w:pPr>
        <w:jc w:val="center"/>
        <w:spacing w:line="480" w:lineRule="auto"/>
        <w:rPr>
          <w:rFonts w:hint="eastAsia" w:ascii="Arial" w:hAnsi="Arial" w:eastAsia="宋体" w:cs="Times New Roman"/>
          <w:b/>
          <w:bCs/>
          <w:color w:val="auto"/>
          <w:sz w:val="32"/>
          <w:szCs w:val="24"/>
          <w:highlight w:val="none"/>
          <w:lang w:val="en-US" w:eastAsia="zh-CN"/>
        </w:rPr>
      </w:pPr>
      <w:r>
        <w:rPr>
          <w:rFonts w:hint="eastAsia" w:ascii="Arial" w:hAnsi="Arial" w:eastAsia="宋体" w:cs="Times New Roman"/>
          <w:b/>
          <w:bCs/>
          <w:color w:val="auto"/>
          <w:sz w:val="32"/>
          <w:szCs w:val="24"/>
          <w:highlight w:val="none"/>
        </w:rPr>
        <w:t xml:space="preserve">项目编号：</w:t>
      </w:r>
      <w:r>
        <w:rPr>
          <w:rFonts w:hint="eastAsia" w:ascii="Arial" w:hAnsi="Arial" w:eastAsia="宋体" w:cs="Times New Roman"/>
          <w:b/>
          <w:bCs/>
          <w:color w:val="auto"/>
          <w:sz w:val="32"/>
          <w:szCs w:val="24"/>
          <w:highlight w:val="none"/>
          <w:lang w:val="en-US" w:eastAsia="zh-CN"/>
        </w:rPr>
        <w:t xml:space="preserve">JSZC-320724-JSWD-G2026-0052</w:t>
      </w:r>
      <w:r/>
    </w:p>
    <w:p>
      <w:pPr>
        <w:jc w:val="center"/>
        <w:spacing w:line="480" w:lineRule="auto"/>
        <w:rPr>
          <w:rFonts w:ascii="黑体" w:hAnsi="Arial" w:eastAsia="黑体" w:cs="Times New Roman"/>
          <w:b/>
          <w:bCs/>
          <w:color w:val="auto"/>
          <w:sz w:val="44"/>
          <w:szCs w:val="44"/>
          <w:highlight w:val="none"/>
        </w:rPr>
      </w:pPr>
      <w:r>
        <w:rPr>
          <w:rFonts w:ascii="黑体" w:hAnsi="Arial" w:eastAsia="黑体" w:cs="Times New Roman"/>
          <w:b/>
          <w:bCs/>
          <w:color w:val="auto"/>
          <w:sz w:val="44"/>
          <w:szCs w:val="44"/>
          <w:highlight w:val="none"/>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t xml:space="preserve">江苏万达工程造价事务所有限公司</w:t>
      </w:r>
      <w:r/>
    </w:p>
    <w:p>
      <w:pPr>
        <w:jc w:val="center"/>
        <w:spacing w:before="120" w:after="120" w:line="360" w:lineRule="auto"/>
        <w:rPr>
          <w:rFonts w:asciiTheme="minorEastAsia" w:hAnsiTheme="minorEastAsia"/>
          <w:color w:val="auto"/>
          <w:sz w:val="24"/>
          <w:highlight w:val="none"/>
        </w:rPr>
      </w:pPr>
      <w:r>
        <w:rPr>
          <w:rFonts w:hint="eastAsia" w:ascii="Arial" w:hAnsi="Arial" w:eastAsia="宋体" w:cs="Times New Roman"/>
          <w:b/>
          <w:bCs/>
          <w:color w:val="auto"/>
          <w:sz w:val="32"/>
          <w:szCs w:val="24"/>
          <w:highlight w:val="none"/>
        </w:rPr>
        <w:t xml:space="preserve">202</w:t>
      </w:r>
      <w:r>
        <w:rPr>
          <w:rFonts w:hint="eastAsia" w:ascii="Arial" w:hAnsi="Arial" w:eastAsia="宋体" w:cs="Times New Roman"/>
          <w:b/>
          <w:bCs/>
          <w:color w:val="auto"/>
          <w:sz w:val="32"/>
          <w:szCs w:val="24"/>
          <w:highlight w:val="none"/>
          <w:lang w:val="en-US" w:eastAsia="zh-CN"/>
        </w:rPr>
        <w:t xml:space="preserve">6</w:t>
      </w:r>
      <w:r>
        <w:rPr>
          <w:rFonts w:hint="eastAsia" w:ascii="Arial" w:hAnsi="Arial" w:eastAsia="宋体" w:cs="Times New Roman"/>
          <w:b/>
          <w:bCs/>
          <w:color w:val="auto"/>
          <w:sz w:val="32"/>
          <w:szCs w:val="24"/>
          <w:highlight w:val="none"/>
        </w:rPr>
        <w:t xml:space="preserve">年</w:t>
      </w:r>
      <w:r>
        <w:rPr>
          <w:rFonts w:hint="eastAsia" w:ascii="Arial" w:hAnsi="Arial" w:eastAsia="宋体" w:cs="Times New Roman"/>
          <w:b/>
          <w:bCs/>
          <w:color w:val="auto"/>
          <w:sz w:val="32"/>
          <w:szCs w:val="24"/>
          <w:highlight w:val="none"/>
          <w:lang w:val="en-US" w:eastAsia="zh-CN"/>
        </w:rPr>
        <w:t xml:space="preserve">10</w:t>
      </w:r>
      <w:r>
        <w:rPr>
          <w:rFonts w:hint="eastAsia" w:ascii="Arial" w:hAnsi="Arial" w:eastAsia="宋体" w:cs="Times New Roman"/>
          <w:b/>
          <w:bCs/>
          <w:color w:val="auto"/>
          <w:sz w:val="32"/>
          <w:szCs w:val="24"/>
          <w:highlight w:val="none"/>
        </w:rPr>
        <w:t xml:space="preserve">月</w:t>
      </w:r>
      <w:r>
        <w:rPr>
          <w:color w:val="auto"/>
          <w:highlight w:val="none"/>
        </w:rPr>
        <w:br w:type="page" w:clear="all"/>
      </w:r>
      <w:r>
        <w:rPr>
          <w:rFonts w:asciiTheme="minorEastAsia" w:hAnsiTheme="minorEastAsia"/>
          <w:color w:val="auto"/>
          <w:sz w:val="24"/>
          <w:highlight w:val="none"/>
        </w:rPr>
        <w:fldChar w:fldCharType="begin"/>
      </w:r>
      <w:r>
        <w:rPr>
          <w:rFonts w:asciiTheme="minorEastAsia" w:hAnsiTheme="minorEastAsia"/>
          <w:color w:val="auto"/>
          <w:sz w:val="24"/>
          <w:highlight w:val="none"/>
        </w:rPr>
        <w:instrText xml:space="preserve"> TOC \o "1-1" \u </w:instrText>
      </w:r>
      <w:r>
        <w:rPr>
          <w:rFonts w:asciiTheme="minorEastAsia" w:hAnsiTheme="minorEastAsia"/>
          <w:color w:val="auto"/>
          <w:sz w:val="24"/>
          <w:highlight w:val="none"/>
        </w:rPr>
        <w:fldChar w:fldCharType="separate"/>
      </w:r>
      <w:r/>
    </w:p>
    <w:p>
      <w:pPr>
        <w:jc w:val="center"/>
        <w:keepLines/>
        <w:keepNext/>
        <w:spacing w:line="360" w:lineRule="auto"/>
        <w:rPr>
          <w:rFonts w:asciiTheme="minorEastAsia" w:hAnsiTheme="minorEastAsia"/>
          <w:bCs/>
          <w:color w:val="auto"/>
          <w:sz w:val="44"/>
          <w:szCs w:val="44"/>
          <w:highlight w:val="none"/>
        </w:rPr>
        <w:outlineLvl w:val="0"/>
      </w:pPr>
      <w:r>
        <w:rPr>
          <w:rFonts w:hint="eastAsia" w:asciiTheme="minorEastAsia" w:hAnsiTheme="minorEastAsia"/>
          <w:bCs/>
          <w:color w:val="auto"/>
          <w:sz w:val="44"/>
          <w:szCs w:val="44"/>
          <w:highlight w:val="none"/>
        </w:rPr>
        <w:t xml:space="preserve">目  录</w:t>
      </w:r>
      <w:r/>
    </w:p>
    <w:p>
      <w:pPr>
        <w:pStyle w:val="702"/>
        <w:rPr>
          <w:color w:val="auto"/>
          <w:sz w:val="28"/>
          <w:highlight w:val="none"/>
        </w:rPr>
      </w:pPr>
      <w:r>
        <w:rPr>
          <w:color w:val="auto"/>
          <w:sz w:val="28"/>
          <w:highlight w:val="none"/>
        </w:rPr>
      </w:r>
      <w:r/>
    </w:p>
    <w:p>
      <w:pPr>
        <w:pStyle w:val="702"/>
        <w:rPr>
          <w:color w:val="auto"/>
          <w:sz w:val="28"/>
          <w:highlight w:val="none"/>
        </w:rPr>
      </w:pPr>
      <w:r>
        <w:rPr>
          <w:rFonts w:hint="eastAsia"/>
          <w:color w:val="auto"/>
          <w:sz w:val="28"/>
          <w:highlight w:val="none"/>
        </w:rPr>
        <w:t xml:space="preserve">第一章</w:t>
      </w:r>
      <w:r>
        <w:rPr>
          <w:color w:val="auto"/>
          <w:sz w:val="28"/>
          <w:highlight w:val="none"/>
        </w:rPr>
        <w:t xml:space="preserve">  </w:t>
      </w:r>
      <w:r>
        <w:rPr>
          <w:rFonts w:hint="eastAsia"/>
          <w:color w:val="auto"/>
          <w:sz w:val="28"/>
          <w:highlight w:val="none"/>
        </w:rPr>
        <w:t xml:space="preserve">投标邀请</w:t>
      </w:r>
      <w:r>
        <w:rPr>
          <w:rFonts w:hint="eastAsia"/>
          <w:color w:val="auto"/>
          <w:sz w:val="28"/>
          <w:highlight w:val="none"/>
          <w:lang w:val="en-US" w:eastAsia="zh-CN"/>
        </w:rPr>
        <w:t xml:space="preserve">...................................................................................</w:t>
      </w:r>
      <w:r>
        <w:rPr>
          <w:color w:val="auto"/>
          <w:sz w:val="28"/>
          <w:highlight w:val="none"/>
        </w:rPr>
        <w:fldChar w:fldCharType="begin"/>
      </w:r>
      <w:r>
        <w:rPr>
          <w:color w:val="auto"/>
          <w:sz w:val="28"/>
          <w:highlight w:val="none"/>
        </w:rPr>
        <w:instrText xml:space="preserve"> PAGEREF _Toc162361610 \h </w:instrText>
      </w:r>
      <w:r>
        <w:rPr>
          <w:color w:val="auto"/>
          <w:sz w:val="28"/>
          <w:highlight w:val="none"/>
        </w:rPr>
        <w:fldChar w:fldCharType="separate"/>
      </w:r>
      <w:r>
        <w:rPr>
          <w:color w:val="auto"/>
          <w:sz w:val="28"/>
          <w:highlight w:val="none"/>
        </w:rPr>
        <w:t xml:space="preserve">1</w:t>
      </w:r>
      <w:r>
        <w:rPr>
          <w:color w:val="auto"/>
          <w:sz w:val="28"/>
          <w:highlight w:val="none"/>
        </w:rPr>
        <w:fldChar w:fldCharType="end"/>
      </w:r>
      <w:r/>
    </w:p>
    <w:p>
      <w:pPr>
        <w:pStyle w:val="702"/>
        <w:rPr>
          <w:color w:val="auto"/>
          <w:sz w:val="28"/>
          <w:highlight w:val="none"/>
        </w:rPr>
      </w:pPr>
      <w:r>
        <w:rPr>
          <w:rFonts w:hint="eastAsia"/>
          <w:color w:val="auto"/>
          <w:sz w:val="28"/>
          <w:highlight w:val="none"/>
        </w:rPr>
        <w:t xml:space="preserve">第二章</w:t>
      </w:r>
      <w:r>
        <w:rPr>
          <w:color w:val="auto"/>
          <w:sz w:val="28"/>
          <w:highlight w:val="none"/>
        </w:rPr>
        <w:t xml:space="preserve">  </w:t>
      </w:r>
      <w:r>
        <w:rPr>
          <w:rFonts w:hint="eastAsia"/>
          <w:color w:val="auto"/>
          <w:sz w:val="28"/>
          <w:highlight w:val="none"/>
        </w:rPr>
        <w:t xml:space="preserve">投标人须知</w:t>
      </w:r>
      <w:r>
        <w:rPr>
          <w:rFonts w:hint="eastAsia"/>
          <w:color w:val="auto"/>
          <w:sz w:val="28"/>
          <w:highlight w:val="none"/>
          <w:lang w:val="en-US" w:eastAsia="zh-CN"/>
        </w:rPr>
        <w:t xml:space="preserve">...............................................................................</w:t>
      </w:r>
      <w:r>
        <w:rPr>
          <w:color w:val="auto"/>
          <w:sz w:val="28"/>
          <w:highlight w:val="none"/>
        </w:rPr>
        <w:fldChar w:fldCharType="begin"/>
      </w:r>
      <w:r>
        <w:rPr>
          <w:color w:val="auto"/>
          <w:sz w:val="28"/>
          <w:highlight w:val="none"/>
        </w:rPr>
        <w:instrText xml:space="preserve"> PAGEREF _Toc162361611 \h </w:instrText>
      </w:r>
      <w:r>
        <w:rPr>
          <w:color w:val="auto"/>
          <w:sz w:val="28"/>
          <w:highlight w:val="none"/>
        </w:rPr>
        <w:fldChar w:fldCharType="separate"/>
      </w:r>
      <w:r>
        <w:rPr>
          <w:color w:val="auto"/>
          <w:sz w:val="28"/>
          <w:highlight w:val="none"/>
        </w:rPr>
        <w:t xml:space="preserve">5</w:t>
      </w:r>
      <w:r>
        <w:rPr>
          <w:color w:val="auto"/>
          <w:sz w:val="28"/>
          <w:highlight w:val="none"/>
        </w:rPr>
        <w:fldChar w:fldCharType="end"/>
      </w:r>
      <w:r/>
    </w:p>
    <w:p>
      <w:pPr>
        <w:pStyle w:val="702"/>
        <w:rPr>
          <w:color w:val="auto"/>
          <w:sz w:val="28"/>
          <w:highlight w:val="none"/>
        </w:rPr>
      </w:pPr>
      <w:r>
        <w:rPr>
          <w:rFonts w:hint="eastAsia"/>
          <w:color w:val="auto"/>
          <w:sz w:val="28"/>
          <w:highlight w:val="none"/>
        </w:rPr>
        <w:t xml:space="preserve">第三章</w:t>
      </w:r>
      <w:r>
        <w:rPr>
          <w:color w:val="auto"/>
          <w:sz w:val="28"/>
          <w:highlight w:val="none"/>
        </w:rPr>
        <w:t xml:space="preserve">  </w:t>
      </w:r>
      <w:r>
        <w:rPr>
          <w:rFonts w:hint="eastAsia"/>
          <w:color w:val="auto"/>
          <w:sz w:val="28"/>
          <w:highlight w:val="none"/>
        </w:rPr>
        <w:t xml:space="preserve">合同文本</w:t>
      </w:r>
      <w:r>
        <w:rPr>
          <w:rFonts w:hint="eastAsia"/>
          <w:color w:val="auto"/>
          <w:sz w:val="28"/>
          <w:highlight w:val="none"/>
          <w:lang w:val="en-US" w:eastAsia="zh-CN"/>
        </w:rPr>
        <w:t xml:space="preserve">.................................................................................</w:t>
      </w:r>
      <w:r>
        <w:rPr>
          <w:color w:val="auto"/>
          <w:sz w:val="28"/>
          <w:highlight w:val="none"/>
        </w:rPr>
        <w:fldChar w:fldCharType="begin"/>
      </w:r>
      <w:r>
        <w:rPr>
          <w:color w:val="auto"/>
          <w:sz w:val="28"/>
          <w:highlight w:val="none"/>
        </w:rPr>
        <w:instrText xml:space="preserve"> PAGEREF _Toc162361612 \h </w:instrText>
      </w:r>
      <w:r>
        <w:rPr>
          <w:color w:val="auto"/>
          <w:sz w:val="28"/>
          <w:highlight w:val="none"/>
        </w:rPr>
        <w:fldChar w:fldCharType="separate"/>
      </w:r>
      <w:r>
        <w:rPr>
          <w:color w:val="auto"/>
          <w:sz w:val="28"/>
          <w:highlight w:val="none"/>
        </w:rPr>
        <w:t xml:space="preserve">24</w:t>
      </w:r>
      <w:r>
        <w:rPr>
          <w:color w:val="auto"/>
          <w:sz w:val="28"/>
          <w:highlight w:val="none"/>
        </w:rPr>
        <w:fldChar w:fldCharType="end"/>
      </w:r>
      <w:r/>
    </w:p>
    <w:p>
      <w:pPr>
        <w:pStyle w:val="702"/>
        <w:rPr>
          <w:color w:val="auto"/>
          <w:sz w:val="28"/>
          <w:highlight w:val="none"/>
        </w:rPr>
      </w:pPr>
      <w:r>
        <w:rPr>
          <w:rFonts w:hint="eastAsia"/>
          <w:color w:val="auto"/>
          <w:sz w:val="28"/>
          <w:highlight w:val="none"/>
        </w:rPr>
        <w:t xml:space="preserve">第四章</w:t>
      </w:r>
      <w:r>
        <w:rPr>
          <w:color w:val="auto"/>
          <w:sz w:val="28"/>
          <w:highlight w:val="none"/>
        </w:rPr>
        <w:t xml:space="preserve">  </w:t>
      </w:r>
      <w:r>
        <w:rPr>
          <w:rFonts w:hint="eastAsia"/>
          <w:color w:val="auto"/>
          <w:sz w:val="28"/>
          <w:highlight w:val="none"/>
        </w:rPr>
        <w:t xml:space="preserve">采购需求</w:t>
      </w:r>
      <w:r>
        <w:rPr>
          <w:rFonts w:hint="eastAsia"/>
          <w:color w:val="auto"/>
          <w:sz w:val="28"/>
          <w:highlight w:val="none"/>
          <w:lang w:val="en-US" w:eastAsia="zh-CN"/>
        </w:rPr>
        <w:t xml:space="preserve">.................................................................................</w:t>
      </w:r>
      <w:r>
        <w:rPr>
          <w:color w:val="auto"/>
          <w:sz w:val="28"/>
          <w:highlight w:val="none"/>
        </w:rPr>
        <w:fldChar w:fldCharType="begin"/>
      </w:r>
      <w:r>
        <w:rPr>
          <w:color w:val="auto"/>
          <w:sz w:val="28"/>
          <w:highlight w:val="none"/>
        </w:rPr>
        <w:instrText xml:space="preserve"> PAGEREF _Toc162361613 \h </w:instrText>
      </w:r>
      <w:r>
        <w:rPr>
          <w:color w:val="auto"/>
          <w:sz w:val="28"/>
          <w:highlight w:val="none"/>
        </w:rPr>
        <w:fldChar w:fldCharType="separate"/>
      </w:r>
      <w:r>
        <w:rPr>
          <w:color w:val="auto"/>
          <w:sz w:val="28"/>
          <w:highlight w:val="none"/>
        </w:rPr>
        <w:t xml:space="preserve">30</w:t>
      </w:r>
      <w:r>
        <w:rPr>
          <w:color w:val="auto"/>
          <w:sz w:val="28"/>
          <w:highlight w:val="none"/>
        </w:rPr>
        <w:fldChar w:fldCharType="end"/>
      </w:r>
      <w:r/>
    </w:p>
    <w:p>
      <w:pPr>
        <w:pStyle w:val="702"/>
        <w:rPr>
          <w:rFonts w:hint="default" w:eastAsiaTheme="minorEastAsia"/>
          <w:color w:val="auto"/>
          <w:sz w:val="28"/>
          <w:highlight w:val="none"/>
          <w:lang w:val="en-US" w:eastAsia="zh-CN"/>
        </w:rPr>
      </w:pPr>
      <w:r>
        <w:rPr>
          <w:rFonts w:hint="eastAsia"/>
          <w:color w:val="auto"/>
          <w:sz w:val="28"/>
          <w:highlight w:val="none"/>
        </w:rPr>
        <w:t xml:space="preserve">第五章</w:t>
      </w:r>
      <w:r>
        <w:rPr>
          <w:color w:val="auto"/>
          <w:sz w:val="28"/>
          <w:highlight w:val="none"/>
        </w:rPr>
        <w:t xml:space="preserve">  </w:t>
      </w:r>
      <w:r>
        <w:rPr>
          <w:rFonts w:hint="eastAsia"/>
          <w:color w:val="auto"/>
          <w:sz w:val="28"/>
          <w:highlight w:val="none"/>
        </w:rPr>
        <w:t xml:space="preserve">评标方法与评标标准</w:t>
      </w:r>
      <w:r>
        <w:rPr>
          <w:rFonts w:hint="eastAsia"/>
          <w:color w:val="auto"/>
          <w:sz w:val="28"/>
          <w:highlight w:val="none"/>
          <w:lang w:val="en-US" w:eastAsia="zh-CN"/>
        </w:rPr>
        <w:t xml:space="preserve">.............................................................74</w:t>
      </w:r>
      <w:r/>
    </w:p>
    <w:p>
      <w:pPr>
        <w:pStyle w:val="702"/>
        <w:rPr>
          <w:color w:val="auto"/>
          <w:sz w:val="28"/>
          <w:highlight w:val="none"/>
        </w:rPr>
      </w:pPr>
      <w:r>
        <w:rPr>
          <w:rFonts w:hint="eastAsia"/>
          <w:color w:val="auto"/>
          <w:sz w:val="28"/>
          <w:highlight w:val="none"/>
        </w:rPr>
        <w:t xml:space="preserve">第六章</w:t>
      </w:r>
      <w:r>
        <w:rPr>
          <w:color w:val="auto"/>
          <w:sz w:val="28"/>
          <w:highlight w:val="none"/>
        </w:rPr>
        <w:t xml:space="preserve">  </w:t>
      </w:r>
      <w:r>
        <w:rPr>
          <w:rFonts w:hint="eastAsia"/>
          <w:color w:val="auto"/>
          <w:sz w:val="28"/>
          <w:highlight w:val="none"/>
        </w:rPr>
        <w:t xml:space="preserve">投标文件格式</w:t>
      </w:r>
      <w:r>
        <w:rPr>
          <w:rFonts w:hint="eastAsia"/>
          <w:color w:val="auto"/>
          <w:sz w:val="28"/>
          <w:highlight w:val="none"/>
          <w:lang w:val="en-US" w:eastAsia="zh-CN"/>
        </w:rPr>
        <w:t xml:space="preserve">.........................................................................</w:t>
      </w:r>
      <w:r>
        <w:rPr>
          <w:color w:val="auto"/>
          <w:sz w:val="28"/>
          <w:highlight w:val="none"/>
        </w:rPr>
        <w:fldChar w:fldCharType="begin"/>
      </w:r>
      <w:r>
        <w:rPr>
          <w:color w:val="auto"/>
          <w:sz w:val="28"/>
          <w:highlight w:val="none"/>
        </w:rPr>
        <w:instrText xml:space="preserve"> PAGEREF _Toc162361615 \h </w:instrText>
      </w:r>
      <w:r>
        <w:rPr>
          <w:color w:val="auto"/>
          <w:sz w:val="28"/>
          <w:highlight w:val="none"/>
        </w:rPr>
        <w:fldChar w:fldCharType="separate"/>
      </w:r>
      <w:r>
        <w:rPr>
          <w:color w:val="auto"/>
          <w:sz w:val="28"/>
          <w:highlight w:val="none"/>
        </w:rPr>
        <w:t xml:space="preserve">80</w:t>
      </w:r>
      <w:r>
        <w:rPr>
          <w:color w:val="auto"/>
          <w:sz w:val="28"/>
          <w:highlight w:val="none"/>
        </w:rPr>
        <w:fldChar w:fldCharType="end"/>
      </w:r>
      <w:r/>
    </w:p>
    <w:p>
      <w:pPr>
        <w:jc w:val="left"/>
        <w:spacing w:line="360" w:lineRule="auto"/>
        <w:widowControl/>
        <w:rPr>
          <w:rFonts w:asciiTheme="minorEastAsia" w:hAnsiTheme="minorEastAsia"/>
          <w:color w:val="auto"/>
          <w:sz w:val="28"/>
          <w:highlight w:val="none"/>
        </w:rPr>
      </w:pPr>
      <w:r>
        <w:rPr>
          <w:rFonts w:asciiTheme="minorEastAsia" w:hAnsiTheme="minorEastAsia"/>
          <w:color w:val="auto"/>
          <w:sz w:val="24"/>
          <w:highlight w:val="none"/>
        </w:rPr>
        <w:fldChar w:fldCharType="end"/>
      </w:r>
      <w:r>
        <w:rPr>
          <w:rFonts w:asciiTheme="minorEastAsia" w:hAnsiTheme="minorEastAsia"/>
          <w:color w:val="auto"/>
          <w:sz w:val="28"/>
          <w:highlight w:val="none"/>
        </w:rPr>
        <w:br w:type="page" w:clear="all"/>
      </w:r>
      <w:r/>
    </w:p>
    <w:p>
      <w:pPr>
        <w:pStyle w:val="677"/>
        <w:jc w:val="center"/>
        <w:spacing w:line="360" w:lineRule="auto"/>
        <w:rPr>
          <w:rFonts w:ascii="黑体" w:hAnsi="黑体" w:eastAsia="黑体"/>
          <w:b w:val="0"/>
          <w:color w:val="auto"/>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color w:val="auto"/>
          <w:highlight w:val="none"/>
        </w:rPr>
      </w:r>
      <w:r/>
    </w:p>
    <w:p>
      <w:pPr>
        <w:pStyle w:val="677"/>
        <w:jc w:val="center"/>
        <w:spacing w:line="360" w:lineRule="auto"/>
        <w:rPr>
          <w:rFonts w:ascii="黑体" w:hAnsi="黑体" w:eastAsia="黑体"/>
          <w:b w:val="0"/>
          <w:color w:val="auto"/>
          <w:highlight w:val="none"/>
        </w:rPr>
      </w:pPr>
      <w:r/>
      <w:bookmarkStart w:id="0" w:name="_Toc162361610"/>
      <w:r>
        <w:rPr>
          <w:rFonts w:hint="eastAsia" w:ascii="黑体" w:hAnsi="黑体" w:eastAsia="黑体"/>
          <w:b w:val="0"/>
          <w:color w:val="auto"/>
          <w:highlight w:val="none"/>
        </w:rPr>
        <w:t xml:space="preserve">第一章  投标邀请</w:t>
      </w:r>
      <w:bookmarkEnd w:id="0"/>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受</w:t>
      </w:r>
      <w:r>
        <w:rPr>
          <w:rFonts w:hint="eastAsia" w:asciiTheme="minorEastAsia" w:hAnsiTheme="minorEastAsia"/>
          <w:color w:val="auto"/>
          <w:sz w:val="24"/>
          <w:szCs w:val="24"/>
          <w:highlight w:val="none"/>
          <w:lang w:val="en-US" w:eastAsia="zh-CN"/>
        </w:rPr>
        <w:t xml:space="preserve">灌南县自然资源和规划局</w:t>
      </w:r>
      <w:r>
        <w:rPr>
          <w:rFonts w:hint="eastAsia" w:asciiTheme="minorEastAsia" w:hAnsiTheme="minorEastAsia"/>
          <w:color w:val="auto"/>
          <w:sz w:val="24"/>
          <w:szCs w:val="24"/>
          <w:highlight w:val="none"/>
        </w:rPr>
        <w:t xml:space="preserve">的委托，</w:t>
      </w:r>
      <w:r>
        <w:rPr>
          <w:rFonts w:hint="eastAsia" w:eastAsia="宋体" w:asciiTheme="minorEastAsia" w:hAnsiTheme="minorEastAsia"/>
          <w:color w:val="auto"/>
          <w:sz w:val="24"/>
          <w:szCs w:val="24"/>
          <w:highlight w:val="none"/>
          <w:lang w:eastAsia="zh-CN"/>
        </w:rPr>
        <w:t xml:space="preserve">江苏万达工程造价事务所有限公司</w:t>
      </w:r>
      <w:r>
        <w:rPr>
          <w:rFonts w:hint="eastAsia" w:asciiTheme="minorEastAsia" w:hAnsiTheme="minorEastAsia"/>
          <w:color w:val="auto"/>
          <w:sz w:val="24"/>
          <w:szCs w:val="24"/>
          <w:highlight w:val="none"/>
        </w:rPr>
        <w:t xml:space="preserve">就</w:t>
      </w:r>
      <w:r>
        <w:rPr>
          <w:rFonts w:hint="eastAsia" w:eastAsia="宋体" w:asciiTheme="minorEastAsia" w:hAnsiTheme="minorEastAsia"/>
          <w:color w:val="auto"/>
          <w:sz w:val="24"/>
          <w:szCs w:val="24"/>
          <w:highlight w:val="none"/>
          <w:lang w:eastAsia="zh-CN"/>
        </w:rPr>
        <w:t xml:space="preserve">2025年耕地保护基础业务项目</w:t>
      </w:r>
      <w:r>
        <w:rPr>
          <w:rFonts w:hint="eastAsia" w:asciiTheme="minorEastAsia" w:hAnsiTheme="minorEastAsia"/>
          <w:color w:val="auto"/>
          <w:sz w:val="24"/>
          <w:szCs w:val="24"/>
          <w:highlight w:val="none"/>
        </w:rPr>
        <w:t xml:space="preserve">（项目编号</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JSZC-320724-JSWD-G2026-0052</w:t>
      </w:r>
      <w:r>
        <w:rPr>
          <w:rFonts w:hint="eastAsia"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进行公开招标采购，欢迎符合条件的供应商投标。</w:t>
      </w:r>
      <w:r/>
    </w:p>
    <w:tbl>
      <w:tblPr>
        <w:tblStyle w:val="712"/>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项目概况</w:t>
            </w:r>
            <w:r/>
          </w:p>
          <w:p>
            <w:pPr>
              <w:spacing w:line="500" w:lineRule="exact"/>
              <w:rPr>
                <w:rFonts w:asciiTheme="minorEastAsia" w:hAnsiTheme="minorEastAsia"/>
                <w:color w:val="auto"/>
                <w:sz w:val="24"/>
                <w:szCs w:val="24"/>
                <w:highlight w:val="none"/>
              </w:rPr>
            </w:pPr>
            <w:r>
              <w:rPr>
                <w:rFonts w:hint="eastAsia" w:asciiTheme="minorEastAsia" w:hAnsiTheme="minorEastAsia"/>
                <w:b/>
                <w:color w:val="auto"/>
                <w:sz w:val="24"/>
                <w:szCs w:val="24"/>
                <w:highlight w:val="none"/>
                <w:u w:val="single"/>
                <w:lang w:eastAsia="zh-CN"/>
              </w:rPr>
              <w:t xml:space="preserve">2025年耕地保护基础业务项目</w:t>
            </w:r>
            <w:r>
              <w:rPr>
                <w:rFonts w:hint="eastAsia" w:asciiTheme="minorEastAsia" w:hAnsiTheme="minorEastAsia"/>
                <w:color w:val="auto"/>
                <w:sz w:val="24"/>
                <w:szCs w:val="24"/>
                <w:highlight w:val="none"/>
              </w:rPr>
              <w:t xml:space="preserve">招标项目的潜在投标人应在</w:t>
            </w:r>
            <w:r>
              <w:rPr>
                <w:rFonts w:hint="eastAsia" w:asciiTheme="minorEastAsia" w:hAnsiTheme="minorEastAsia"/>
                <w:b/>
                <w:color w:val="auto"/>
                <w:sz w:val="24"/>
                <w:szCs w:val="24"/>
                <w:highlight w:val="none"/>
                <w:u w:val="single"/>
              </w:rPr>
              <w:t xml:space="preserve">江苏政府采购网</w:t>
            </w:r>
            <w:r>
              <w:rPr>
                <w:rFonts w:hint="eastAsia" w:asciiTheme="minorEastAsia" w:hAnsiTheme="minorEastAsia"/>
                <w:color w:val="auto"/>
                <w:sz w:val="24"/>
                <w:szCs w:val="24"/>
                <w:highlight w:val="none"/>
              </w:rPr>
              <w:t xml:space="preserve">自行免费下载招标文件，并于</w:t>
            </w:r>
            <w:r>
              <w:rPr>
                <w:rFonts w:hint="eastAsia" w:asciiTheme="minorEastAsia" w:hAnsiTheme="minorEastAsia"/>
                <w:b/>
                <w:color w:val="auto"/>
                <w:sz w:val="24"/>
                <w:szCs w:val="24"/>
                <w:highlight w:val="none"/>
                <w:u w:val="single"/>
              </w:rPr>
              <w:t xml:space="preserve">202</w:t>
            </w:r>
            <w:r>
              <w:rPr>
                <w:rFonts w:hint="eastAsia" w:asciiTheme="minorEastAsia" w:hAnsiTheme="minorEastAsia"/>
                <w:b/>
                <w:color w:val="auto"/>
                <w:sz w:val="24"/>
                <w:szCs w:val="24"/>
                <w:highlight w:val="none"/>
                <w:u w:val="single"/>
                <w:lang w:val="en-US" w:eastAsia="zh-CN"/>
              </w:rPr>
              <w:t xml:space="preserve">6</w:t>
            </w:r>
            <w:r>
              <w:rPr>
                <w:rFonts w:hint="eastAsia" w:asciiTheme="minorEastAsia" w:hAnsiTheme="minorEastAsia"/>
                <w:b/>
                <w:color w:val="auto"/>
                <w:sz w:val="24"/>
                <w:szCs w:val="24"/>
                <w:highlight w:val="none"/>
                <w:u w:val="single"/>
              </w:rPr>
              <w:t xml:space="preserve">年</w:t>
            </w:r>
            <w:r>
              <w:rPr>
                <w:rFonts w:hint="eastAsia" w:eastAsia="宋体" w:asciiTheme="minorEastAsia" w:hAnsiTheme="minorEastAsia"/>
                <w:b/>
                <w:color w:val="auto"/>
                <w:sz w:val="24"/>
                <w:szCs w:val="24"/>
                <w:highlight w:val="none"/>
                <w:u w:val="single"/>
                <w:lang w:val="en-US" w:eastAsia="zh-CN"/>
              </w:rPr>
              <w:t xml:space="preserve">11</w:t>
            </w:r>
            <w:r>
              <w:rPr>
                <w:rFonts w:hint="eastAsia" w:asciiTheme="minorEastAsia" w:hAnsiTheme="minorEastAsia"/>
                <w:b/>
                <w:color w:val="auto"/>
                <w:sz w:val="24"/>
                <w:szCs w:val="24"/>
                <w:highlight w:val="none"/>
                <w:u w:val="single"/>
              </w:rPr>
              <w:t xml:space="preserve">月</w:t>
            </w:r>
            <w:r>
              <w:rPr>
                <w:rFonts w:hint="eastAsia" w:eastAsia="宋体" w:asciiTheme="minorEastAsia" w:hAnsiTheme="minorEastAsia"/>
                <w:b/>
                <w:color w:val="auto"/>
                <w:sz w:val="24"/>
                <w:szCs w:val="24"/>
                <w:highlight w:val="none"/>
                <w:u w:val="single"/>
                <w:lang w:val="en-US" w:eastAsia="zh-CN"/>
              </w:rPr>
              <w:t xml:space="preserve">17</w:t>
            </w:r>
            <w:r>
              <w:rPr>
                <w:rFonts w:hint="eastAsia" w:asciiTheme="minorEastAsia" w:hAnsiTheme="minorEastAsia"/>
                <w:b/>
                <w:color w:val="auto"/>
                <w:sz w:val="24"/>
                <w:szCs w:val="24"/>
                <w:highlight w:val="none"/>
                <w:u w:val="single"/>
              </w:rPr>
              <w:t xml:space="preserve">日10:00:00</w:t>
            </w:r>
            <w:r>
              <w:rPr>
                <w:rFonts w:hint="eastAsia" w:asciiTheme="minorEastAsia" w:hAnsiTheme="minorEastAsia"/>
                <w:color w:val="auto"/>
                <w:sz w:val="24"/>
                <w:szCs w:val="24"/>
                <w:highlight w:val="none"/>
              </w:rPr>
              <w:t xml:space="preserve">（北京时间）前递交（上传）投标文件。</w:t>
            </w:r>
            <w:r/>
          </w:p>
        </w:tc>
      </w:tr>
    </w:tbl>
    <w:p>
      <w:pPr>
        <w:pStyle w:val="678"/>
        <w:pageBreakBefore w:val="0"/>
        <w:spacing w:before="0" w:after="0" w:line="500" w:lineRule="exact"/>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一、项目基本情况</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项目编号：</w:t>
      </w:r>
      <w:r>
        <w:rPr>
          <w:rFonts w:hint="eastAsia" w:asciiTheme="minorEastAsia" w:hAnsiTheme="minorEastAsia" w:cstheme="minorBidi"/>
          <w:color w:val="auto"/>
          <w:sz w:val="24"/>
          <w:szCs w:val="24"/>
          <w:highlight w:val="none"/>
          <w:lang w:val="en-US" w:eastAsia="zh-CN" w:bidi="ar-SA"/>
        </w:rPr>
        <w:t xml:space="preserve">JSZC-320724-JSWD-G2026-0052</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项目名称：</w:t>
      </w:r>
      <w:r>
        <w:rPr>
          <w:rFonts w:hint="eastAsia" w:asciiTheme="minorEastAsia" w:hAnsiTheme="minorEastAsia" w:cstheme="minorBidi"/>
          <w:color w:val="auto"/>
          <w:sz w:val="24"/>
          <w:szCs w:val="24"/>
          <w:highlight w:val="none"/>
          <w:lang w:val="en-US" w:eastAsia="zh-CN" w:bidi="ar-SA"/>
        </w:rPr>
        <w:t xml:space="preserve">2025年耕地保护基础业务项目</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采购方式：公开招标</w:t>
      </w:r>
      <w:r/>
    </w:p>
    <w:p>
      <w:pPr>
        <w:ind w:firstLine="480"/>
        <w:pageBreakBefore w:val="0"/>
        <w:spacing w:line="500" w:lineRule="exact"/>
        <w:widowControl w:val="off"/>
        <w:rPr>
          <w:rFonts w:cs="Times New Roman"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预算金额：人民币</w:t>
      </w:r>
      <w:r>
        <w:rPr>
          <w:rFonts w:hint="eastAsia" w:asciiTheme="minorEastAsia" w:hAnsiTheme="minorEastAsia"/>
          <w:color w:val="auto"/>
          <w:sz w:val="24"/>
          <w:szCs w:val="24"/>
          <w:highlight w:val="none"/>
          <w:lang w:val="en-US" w:eastAsia="zh-CN"/>
        </w:rPr>
        <w:t xml:space="preserve">115</w:t>
      </w:r>
      <w:r>
        <w:rPr>
          <w:rFonts w:hint="eastAsia" w:asciiTheme="minorEastAsia" w:hAnsiTheme="minorEastAsia"/>
          <w:color w:val="auto"/>
          <w:sz w:val="24"/>
          <w:szCs w:val="24"/>
          <w:highlight w:val="none"/>
        </w:rPr>
        <w:t xml:space="preserve">万元，</w:t>
      </w:r>
      <w:r>
        <w:rPr>
          <w:rFonts w:hint="eastAsia" w:cs="Times New Roman" w:asciiTheme="minorEastAsia" w:hAnsiTheme="minorEastAsia"/>
          <w:color w:val="auto"/>
          <w:sz w:val="24"/>
          <w:szCs w:val="24"/>
          <w:highlight w:val="none"/>
        </w:rPr>
        <w:t xml:space="preserve">投标报价超过</w:t>
      </w:r>
      <w:r>
        <w:rPr>
          <w:rFonts w:hint="eastAsia" w:cs="Times New Roman" w:asciiTheme="minorEastAsia" w:hAnsiTheme="minorEastAsia"/>
          <w:b/>
          <w:color w:val="auto"/>
          <w:sz w:val="24"/>
          <w:szCs w:val="24"/>
          <w:highlight w:val="none"/>
        </w:rPr>
        <w:t xml:space="preserve">预算金额</w:t>
      </w:r>
      <w:r>
        <w:rPr>
          <w:rFonts w:hint="eastAsia" w:cs="Times New Roman" w:asciiTheme="minorEastAsia" w:hAnsiTheme="minorEastAsia"/>
          <w:color w:val="auto"/>
          <w:sz w:val="24"/>
          <w:szCs w:val="24"/>
          <w:highlight w:val="none"/>
        </w:rPr>
        <w:t xml:space="preserve">的投标无效。</w:t>
      </w:r>
      <w:r/>
    </w:p>
    <w:p>
      <w:pPr>
        <w:ind w:firstLine="480"/>
        <w:pageBreakBefore w:val="0"/>
        <w:spacing w:line="500" w:lineRule="exact"/>
        <w:widowControl w:val="off"/>
        <w:rPr>
          <w:color w:val="auto"/>
          <w:highlight w:val="none"/>
        </w:rPr>
      </w:pPr>
      <w:r>
        <w:rPr>
          <w:rFonts w:hint="eastAsia" w:asciiTheme="minorEastAsia" w:hAnsiTheme="minorEastAsia"/>
          <w:color w:val="auto"/>
          <w:sz w:val="24"/>
          <w:szCs w:val="24"/>
          <w:highlight w:val="none"/>
        </w:rPr>
        <w:t xml:space="preserve">采购需求：耕地保护空间和国土绿化空间划定、耕地资源分区分类评价年度更新工作范围为20</w:t>
      </w:r>
      <w:r>
        <w:rPr>
          <w:rFonts w:hint="eastAsia" w:asciiTheme="minorEastAsia" w:hAnsiTheme="minorEastAsia"/>
          <w:color w:val="auto"/>
          <w:sz w:val="24"/>
          <w:szCs w:val="24"/>
          <w:highlight w:val="none"/>
        </w:rPr>
        <w:t xml:space="preserve">24年灌南县国土变更调查成果中的所有耕地（按城镇村不打开）；耕地恢复过渡期方案处置范围包括“三调”前已在耕地上种树种果等，但“三调”时点尚未达到林地或园地等认定标准而被调查为耕地，在后续年份国土变更调查中流向林地、园地等的地块和为巩固拓展脱贫攻坚成果，于2020-2025年间开展农业结构调整，在2025年前或今后某年度变更调查时，耕地流出变为其他农用地的地块；永久基本农田储备区更新工作范围为未划入永久基本农田的现状优质耕地；征地区片综合地价调整工作范围为灌南县行政辖区范围；采矿损毁土地调查以上级下发图斑为准</w:t>
      </w:r>
      <w:r>
        <w:rPr>
          <w:rFonts w:hint="eastAsia" w:asciiTheme="minorEastAsia" w:hAnsiTheme="minorEastAsia" w:eastAsiaTheme="minorEastAsia" w:cstheme="minorBidi"/>
          <w:color w:val="auto"/>
          <w:sz w:val="24"/>
          <w:szCs w:val="24"/>
          <w:highlight w:val="none"/>
          <w:lang w:val="en-US" w:eastAsia="zh-CN" w:bidi="ar-SA"/>
        </w:rPr>
        <w:t xml:space="preserve">，具体服务要求详见第四章采购需求。</w:t>
      </w:r>
      <w:r/>
    </w:p>
    <w:p>
      <w:pPr>
        <w:ind w:firstLine="482"/>
        <w:pageBreakBefore w:val="0"/>
        <w:spacing w:line="500" w:lineRule="exact"/>
        <w:widowControl w:val="off"/>
        <w:rPr>
          <w:color w:val="auto"/>
          <w:highlight w:val="none"/>
        </w:rPr>
      </w:pPr>
      <w:r>
        <w:rPr>
          <w:rFonts w:hint="eastAsia" w:asciiTheme="minorEastAsia" w:hAnsiTheme="minorEastAsia"/>
          <w:b/>
          <w:color w:val="auto"/>
          <w:sz w:val="24"/>
          <w:szCs w:val="24"/>
          <w:highlight w:val="none"/>
        </w:rPr>
        <w:t xml:space="preserve">对本项目资格要求、采购需求、评标方法与评标标准等部分的询问、质疑请与采购人联系，由采购人负责答复。</w:t>
      </w:r>
      <w:r/>
    </w:p>
    <w:p>
      <w:pPr>
        <w:ind w:firstLine="480"/>
        <w:pageBreakBefore w:val="0"/>
        <w:spacing w:line="500" w:lineRule="exact"/>
        <w:widowControl w:val="off"/>
        <w:rPr>
          <w:rFonts w:hint="eastAsia" w:eastAsia="宋体"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 xml:space="preserve">合同履行期限：</w:t>
      </w:r>
      <w:r>
        <w:rPr>
          <w:rFonts w:hint="eastAsia" w:eastAsia="宋体" w:asciiTheme="minorEastAsia" w:hAnsiTheme="minorEastAsia"/>
          <w:color w:val="auto"/>
          <w:sz w:val="24"/>
          <w:szCs w:val="24"/>
          <w:highlight w:val="none"/>
          <w:lang w:eastAsia="zh-CN"/>
        </w:rPr>
        <w:t xml:space="preserve">合同签订后30日内提交初步成果，最终成果提交时间以部、省要求为准。</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本项目不接受联合体投标。</w:t>
      </w:r>
      <w:r/>
    </w:p>
    <w:p>
      <w:pPr>
        <w:pStyle w:val="678"/>
        <w:pageBreakBefore w:val="0"/>
        <w:spacing w:before="0" w:after="0" w:line="500" w:lineRule="exact"/>
        <w:widowControl w:val="o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二、申请人的资格要求</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（一）满足《中华人民共和国政府采购法》第二十二条规定，并提供下列材料：</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1.法人或者其他组织的营业执照等证明文件，自然人的身份证明；</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2.上一年度的财务状况报告（成立不满一年无需提供）；</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pageBreakBefore w:val="0"/>
        <w:spacing w:line="500" w:lineRule="exact"/>
        <w:widowControl w:val="off"/>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根据连财购〔2023〕4号文件精神，2、3项可以提供《财务状况报告及税收、社会保障资金缴纳情况承诺函》，详见投标文件格式。</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4.具备履行合同所必需的设备和专业技术能力的声明及证明材料；</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5.参加政府采购活动前3年内在经营活动中没有重大违法记录的书面声明。</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6.法律、行政法规规定的其他条件。（如有，请按要求提供）</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7.资格审查现场查询信用中国网</w:t>
      </w:r>
      <w:r>
        <w:rPr>
          <w:rFonts w:hint="eastAsia" w:asciiTheme="minorEastAsia" w:hAnsiTheme="minorEastAsia"/>
          <w:color w:val="auto"/>
          <w:sz w:val="24"/>
          <w:szCs w:val="24"/>
          <w:highlight w:val="none"/>
        </w:rPr>
        <w:t xml:space="preserve">，投标人被</w:t>
      </w:r>
      <w:r>
        <w:rPr>
          <w:rFonts w:hint="eastAsia" w:cs="Times New Roman" w:asciiTheme="minorEastAsia" w:hAnsiTheme="minorEastAsia"/>
          <w:color w:val="auto"/>
          <w:sz w:val="24"/>
          <w:szCs w:val="24"/>
          <w:highlight w:val="none"/>
        </w:rPr>
        <w:t xml:space="preserve">列入失信被执行人、</w:t>
      </w:r>
      <w:r>
        <w:rPr>
          <w:rFonts w:cs="Times New Roman" w:asciiTheme="minorEastAsia" w:hAnsiTheme="minorEastAsia"/>
          <w:color w:val="auto"/>
          <w:sz w:val="24"/>
          <w:szCs w:val="24"/>
          <w:highlight w:val="none"/>
        </w:rPr>
        <w:t xml:space="preserve">税收违法黑名单</w:t>
      </w:r>
      <w:r>
        <w:rPr>
          <w:rFonts w:hint="eastAsia" w:cs="Times New Roman" w:asciiTheme="minorEastAsia" w:hAnsiTheme="minorEastAsia"/>
          <w:color w:val="auto"/>
          <w:sz w:val="24"/>
          <w:szCs w:val="24"/>
          <w:highlight w:val="none"/>
        </w:rPr>
        <w:t xml:space="preserve">、政府采购严重违法失信行为记录名单</w:t>
      </w:r>
      <w:r>
        <w:rPr>
          <w:rFonts w:hint="eastAsia" w:asciiTheme="minorEastAsia" w:hAnsiTheme="minorEastAsia"/>
          <w:color w:val="auto"/>
          <w:sz w:val="24"/>
          <w:szCs w:val="24"/>
          <w:highlight w:val="none"/>
        </w:rPr>
        <w:t xml:space="preserve">及具有其他不符合《中华人民共和国政府采购法》第二十二条规定情形</w:t>
      </w:r>
      <w:r>
        <w:rPr>
          <w:rFonts w:hint="eastAsia" w:cs="Times New Roman" w:asciiTheme="minorEastAsia" w:hAnsiTheme="minorEastAsia"/>
          <w:color w:val="auto"/>
          <w:sz w:val="24"/>
          <w:szCs w:val="24"/>
          <w:highlight w:val="none"/>
        </w:rPr>
        <w:t xml:space="preserve">的，拒绝其参与政府采购活动。</w:t>
      </w:r>
      <w:r>
        <w:rPr>
          <w:rFonts w:hint="eastAsia" w:asciiTheme="minorEastAsia" w:hAnsiTheme="minorEastAsia"/>
          <w:color w:val="auto"/>
          <w:sz w:val="24"/>
          <w:szCs w:val="24"/>
          <w:highlight w:val="none"/>
        </w:rPr>
        <w:t xml:space="preserve">（投标文件中无需提供证明材料）</w:t>
      </w:r>
      <w:r/>
    </w:p>
    <w:p>
      <w:pPr>
        <w:ind w:firstLine="480"/>
        <w:pageBreakBefore w:val="0"/>
        <w:spacing w:line="500" w:lineRule="exact"/>
        <w:widowControl w:val="off"/>
        <w:rPr>
          <w:rFonts w:hint="eastAsia" w:eastAsia="宋体"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（二）落实政府采购政策需满足的资格要求：</w:t>
      </w:r>
      <w:r>
        <w:rPr>
          <w:rFonts w:hint="eastAsia" w:asciiTheme="minorEastAsia" w:hAnsiTheme="minorEastAsia"/>
          <w:color w:val="auto"/>
          <w:sz w:val="24"/>
          <w:szCs w:val="24"/>
          <w:highlight w:val="none"/>
        </w:rPr>
        <w:t xml:space="preserve">无。</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（三）本项目的特定资格要求：无。</w:t>
      </w:r>
      <w:r/>
    </w:p>
    <w:p>
      <w:pPr>
        <w:pStyle w:val="678"/>
        <w:pageBreakBefore w:val="0"/>
        <w:spacing w:before="0" w:after="0" w:line="500" w:lineRule="exact"/>
        <w:widowControl w:val="off"/>
        <w:rPr>
          <w:rFonts w:asciiTheme="minorEastAsia" w:hAnsiTheme="minorEastAsia" w:eastAsiaTheme="minorEastAsia" w:cstheme="minorBidi"/>
          <w:bCs w:val="0"/>
          <w:color w:val="auto"/>
          <w:szCs w:val="22"/>
          <w:highlight w:val="none"/>
        </w:rPr>
      </w:pPr>
      <w:r>
        <w:rPr>
          <w:rFonts w:hint="eastAsia" w:asciiTheme="minorEastAsia" w:hAnsiTheme="minorEastAsia" w:eastAsiaTheme="minorEastAsia" w:cstheme="minorBidi"/>
          <w:bCs w:val="0"/>
          <w:color w:val="auto"/>
          <w:szCs w:val="22"/>
          <w:highlight w:val="none"/>
        </w:rPr>
        <w:t xml:space="preserve">三、获取招标文件</w:t>
      </w:r>
      <w:r/>
    </w:p>
    <w:p>
      <w:pPr>
        <w:ind w:firstLine="480"/>
        <w:pageBreakBefore w:val="0"/>
        <w:spacing w:line="500" w:lineRule="exact"/>
        <w:widowControl w:val="off"/>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时间：自招标公告发布之日起五个工作日</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地点：在“江苏政府采购网”自行免费下载招标文件</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方式：投标人办理江苏省政府采购交易系统CA数字证书，登录“苏采云”政府采购交易系统，自行下载。</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售价：0.00元</w:t>
      </w:r>
      <w:r/>
    </w:p>
    <w:p>
      <w:pPr>
        <w:pStyle w:val="678"/>
        <w:pageBreakBefore w:val="0"/>
        <w:spacing w:before="0" w:after="0" w:line="500" w:lineRule="exact"/>
        <w:widowControl w:val="off"/>
        <w:rPr>
          <w:rFonts w:asciiTheme="minorEastAsia" w:hAnsiTheme="minorEastAsia" w:eastAsiaTheme="minorEastAsia" w:cstheme="minorBidi"/>
          <w:bCs w:val="0"/>
          <w:color w:val="auto"/>
          <w:szCs w:val="22"/>
          <w:highlight w:val="none"/>
        </w:rPr>
      </w:pPr>
      <w:r>
        <w:rPr>
          <w:rFonts w:hint="eastAsia" w:asciiTheme="minorEastAsia" w:hAnsiTheme="minorEastAsia" w:eastAsiaTheme="minorEastAsia" w:cstheme="minorBidi"/>
          <w:bCs w:val="0"/>
          <w:color w:val="auto"/>
          <w:szCs w:val="22"/>
          <w:highlight w:val="none"/>
        </w:rPr>
        <w:t xml:space="preserve">四、提交投标文件截止时间、开标时间和地点</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提交投标文件截止时间：202</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color w:val="auto"/>
          <w:sz w:val="24"/>
          <w:szCs w:val="24"/>
          <w:highlight w:val="none"/>
        </w:rPr>
        <w:t xml:space="preserve">年</w:t>
      </w:r>
      <w:r>
        <w:rPr>
          <w:rFonts w:hint="eastAsia" w:eastAsia="宋体" w:asciiTheme="minorEastAsia" w:hAnsiTheme="minorEastAsia"/>
          <w:color w:val="auto"/>
          <w:sz w:val="24"/>
          <w:szCs w:val="24"/>
          <w:highlight w:val="none"/>
          <w:lang w:val="en-US" w:eastAsia="zh-CN"/>
        </w:rPr>
        <w:t xml:space="preserve">11</w:t>
      </w:r>
      <w:r>
        <w:rPr>
          <w:rFonts w:hint="eastAsia" w:asciiTheme="minorEastAsia" w:hAnsiTheme="minorEastAsia"/>
          <w:color w:val="auto"/>
          <w:sz w:val="24"/>
          <w:szCs w:val="24"/>
          <w:highlight w:val="none"/>
        </w:rPr>
        <w:t xml:space="preserve">月</w:t>
      </w:r>
      <w:r>
        <w:rPr>
          <w:rFonts w:hint="eastAsia" w:eastAsia="宋体" w:asciiTheme="minorEastAsia" w:hAnsiTheme="minorEastAsia"/>
          <w:color w:val="auto"/>
          <w:sz w:val="24"/>
          <w:szCs w:val="24"/>
          <w:highlight w:val="none"/>
          <w:lang w:val="en-US" w:eastAsia="zh-CN"/>
        </w:rPr>
        <w:t xml:space="preserve">17</w:t>
      </w:r>
      <w:r>
        <w:rPr>
          <w:rFonts w:hint="eastAsia" w:asciiTheme="minorEastAsia" w:hAnsiTheme="minorEastAsia"/>
          <w:color w:val="auto"/>
          <w:sz w:val="24"/>
          <w:szCs w:val="24"/>
          <w:highlight w:val="none"/>
        </w:rPr>
        <w:t xml:space="preserve">日10:00:00（北京时间）</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开标时间：提交投标文件截止时间</w:t>
      </w:r>
      <w:r/>
    </w:p>
    <w:p>
      <w:pPr>
        <w:ind w:firstLine="480"/>
        <w:pageBreakBefore w:val="0"/>
        <w:spacing w:line="500" w:lineRule="exact"/>
        <w:widowControl w:val="off"/>
        <w:rPr>
          <w:rFonts w:asciiTheme="minorEastAsia" w:hAnsiTheme="minorEastAsia"/>
          <w:color w:val="auto"/>
          <w:highlight w:val="none"/>
        </w:rPr>
      </w:pPr>
      <w:r>
        <w:rPr>
          <w:rFonts w:hint="eastAsia" w:asciiTheme="minorEastAsia" w:hAnsiTheme="minorEastAsia"/>
          <w:color w:val="auto"/>
          <w:sz w:val="24"/>
          <w:szCs w:val="24"/>
          <w:highlight w:val="none"/>
        </w:rPr>
        <w:t xml:space="preserve">开标地点：“苏采云”政府采购交易系统网上开标大厅</w:t>
      </w:r>
      <w:r/>
    </w:p>
    <w:p>
      <w:pPr>
        <w:pStyle w:val="678"/>
        <w:pageBreakBefore w:val="0"/>
        <w:spacing w:before="0" w:after="0" w:line="500" w:lineRule="exact"/>
        <w:widowControl w:val="off"/>
        <w:rPr>
          <w:rFonts w:asciiTheme="minorEastAsia" w:hAnsiTheme="minorEastAsia" w:eastAsiaTheme="minorEastAsia" w:cstheme="minorBidi"/>
          <w:bCs w:val="0"/>
          <w:color w:val="auto"/>
          <w:szCs w:val="22"/>
          <w:highlight w:val="none"/>
        </w:rPr>
      </w:pPr>
      <w:r>
        <w:rPr>
          <w:rFonts w:hint="eastAsia" w:asciiTheme="minorEastAsia" w:hAnsiTheme="minorEastAsia" w:eastAsiaTheme="minorEastAsia" w:cstheme="minorBidi"/>
          <w:bCs w:val="0"/>
          <w:color w:val="auto"/>
          <w:szCs w:val="22"/>
          <w:highlight w:val="none"/>
        </w:rPr>
        <w:t xml:space="preserve">五、公告期限</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自本公告发布之日起5个工作日。</w:t>
      </w:r>
      <w:r/>
    </w:p>
    <w:p>
      <w:pPr>
        <w:pStyle w:val="678"/>
        <w:pageBreakBefore w:val="0"/>
        <w:spacing w:before="0" w:after="0" w:line="500" w:lineRule="exact"/>
        <w:widowControl w:val="off"/>
        <w:rPr>
          <w:rFonts w:asciiTheme="minorEastAsia" w:hAnsiTheme="minorEastAsia" w:eastAsiaTheme="minorEastAsia" w:cstheme="minorBidi"/>
          <w:bCs w:val="0"/>
          <w:color w:val="auto"/>
          <w:szCs w:val="22"/>
          <w:highlight w:val="none"/>
        </w:rPr>
      </w:pPr>
      <w:r>
        <w:rPr>
          <w:rFonts w:hint="eastAsia" w:asciiTheme="minorEastAsia" w:hAnsiTheme="minorEastAsia" w:eastAsiaTheme="minorEastAsia" w:cstheme="minorBidi"/>
          <w:bCs w:val="0"/>
          <w:color w:val="auto"/>
          <w:szCs w:val="22"/>
          <w:highlight w:val="none"/>
        </w:rPr>
        <w:t xml:space="preserve">六、其他补充事宜</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1.本次招标不收取投标保证金。</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2.本招标文件中以“★”标注部分为实质性要求和条件，投标人须逐条做出满足实质性要求和条件的响应，否则将按无效响应处理。</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http://www.ccgp-jiangsu.gov.cn/jiangsu/zlxz/ee/ee3a4bc5a3454aa2b0d9312230633ce9.html</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color w:val="auto"/>
          <w:sz w:val="24"/>
          <w:szCs w:val="24"/>
          <w:highlight w:val="none"/>
        </w:rPr>
        <w:t xml:space="preserve">自行承担一切损失。</w:t>
      </w:r>
      <w:r/>
    </w:p>
    <w:p>
      <w:pPr>
        <w:pStyle w:val="678"/>
        <w:pageBreakBefore w:val="0"/>
        <w:spacing w:before="0" w:after="0" w:line="500" w:lineRule="exact"/>
        <w:widowControl w:val="off"/>
        <w:rPr>
          <w:rFonts w:asciiTheme="minorEastAsia" w:hAnsiTheme="minorEastAsia" w:eastAsiaTheme="minorEastAsia" w:cstheme="minorBidi"/>
          <w:bCs w:val="0"/>
          <w:color w:val="auto"/>
          <w:szCs w:val="22"/>
          <w:highlight w:val="none"/>
        </w:rPr>
      </w:pPr>
      <w:r>
        <w:rPr>
          <w:rFonts w:hint="eastAsia" w:asciiTheme="minorEastAsia" w:hAnsiTheme="minorEastAsia" w:eastAsiaTheme="minorEastAsia" w:cstheme="minorBidi"/>
          <w:bCs w:val="0"/>
          <w:color w:val="auto"/>
          <w:szCs w:val="22"/>
          <w:highlight w:val="none"/>
        </w:rPr>
        <w:t xml:space="preserve">七、对本次招标提出询问，请按以下方式联系</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1.采购人信息</w:t>
      </w:r>
      <w:r/>
    </w:p>
    <w:p>
      <w:pPr>
        <w:ind w:firstLine="480"/>
        <w:pageBreakBefore w:val="0"/>
        <w:spacing w:line="500" w:lineRule="exact"/>
        <w:widowControl w:val="off"/>
        <w:rPr>
          <w:rFonts w:hint="default" w:asciiTheme="minorEastAsia" w:hAnsiTheme="minorEastAsia"/>
          <w:color w:val="auto"/>
          <w:sz w:val="24"/>
          <w:szCs w:val="24"/>
          <w:highlight w:val="none"/>
          <w:lang w:val="en-US"/>
        </w:rPr>
      </w:pPr>
      <w:r>
        <w:rPr>
          <w:rFonts w:hint="eastAsia" w:asciiTheme="minorEastAsia" w:hAnsiTheme="minorEastAsia"/>
          <w:color w:val="auto"/>
          <w:sz w:val="24"/>
          <w:szCs w:val="24"/>
          <w:highlight w:val="none"/>
        </w:rPr>
        <w:t xml:space="preserve">名    称：</w:t>
      </w:r>
      <w:r>
        <w:rPr>
          <w:rFonts w:hint="eastAsia" w:asciiTheme="minorEastAsia" w:hAnsiTheme="minorEastAsia"/>
          <w:color w:val="auto"/>
          <w:sz w:val="24"/>
          <w:szCs w:val="24"/>
          <w:highlight w:val="none"/>
          <w:lang w:val="en-US" w:eastAsia="zh-CN"/>
        </w:rPr>
        <w:t xml:space="preserve">灌南县自然资源和规划局</w:t>
      </w:r>
      <w:bookmarkStart w:id="29" w:name="_GoBack"/>
      <w:r/>
      <w:bookmarkEnd w:id="29"/>
      <w:r/>
      <w:r/>
    </w:p>
    <w:p>
      <w:pPr>
        <w:ind w:firstLine="480"/>
        <w:pageBreakBefore w:val="0"/>
        <w:spacing w:line="500" w:lineRule="exact"/>
        <w:widowControl w:val="off"/>
        <w:rPr>
          <w:rFonts w:hint="default" w:eastAsia="宋体"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地    址：</w:t>
      </w:r>
      <w:r>
        <w:rPr>
          <w:rFonts w:hint="eastAsia" w:eastAsia="宋体" w:asciiTheme="minorEastAsia" w:hAnsiTheme="minorEastAsia"/>
          <w:color w:val="auto"/>
          <w:sz w:val="24"/>
          <w:szCs w:val="24"/>
          <w:highlight w:val="none"/>
          <w:lang w:val="en-US" w:eastAsia="zh-CN"/>
        </w:rPr>
        <w:t xml:space="preserve">灌南县集中办公区</w:t>
      </w:r>
      <w:r/>
    </w:p>
    <w:p>
      <w:pPr>
        <w:ind w:firstLine="480"/>
        <w:pageBreakBefore w:val="0"/>
        <w:spacing w:line="500" w:lineRule="exact"/>
        <w:widowControl w:val="off"/>
        <w:rPr>
          <w:rFonts w:hint="default" w:eastAsia="宋体"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联系方式：</w:t>
      </w:r>
      <w:r>
        <w:rPr>
          <w:rFonts w:hint="eastAsia" w:eastAsia="宋体" w:asciiTheme="minorEastAsia" w:hAnsiTheme="minorEastAsia"/>
          <w:color w:val="auto"/>
          <w:sz w:val="24"/>
          <w:szCs w:val="24"/>
          <w:highlight w:val="none"/>
          <w:lang w:val="en-US" w:eastAsia="zh-CN"/>
        </w:rPr>
        <w:t xml:space="preserve">13675295729</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2.采购代理机构信息</w:t>
      </w:r>
      <w:r/>
    </w:p>
    <w:p>
      <w:pPr>
        <w:ind w:firstLine="480"/>
        <w:pageBreakBefore w:val="0"/>
        <w:spacing w:line="500" w:lineRule="exact"/>
        <w:widowControl w:val="off"/>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名    称：江苏万达工程造价事务所有限公司</w:t>
      </w:r>
      <w:r/>
    </w:p>
    <w:p>
      <w:pPr>
        <w:ind w:firstLine="480"/>
        <w:pageBreakBefore w:val="0"/>
        <w:spacing w:line="500" w:lineRule="exact"/>
        <w:widowControl w:val="off"/>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地    址：连云港市海州区朝阳东路凤凰国际大厦19层</w:t>
      </w:r>
      <w:r/>
    </w:p>
    <w:p>
      <w:pPr>
        <w:ind w:firstLine="480"/>
        <w:pageBreakBefore w:val="0"/>
        <w:spacing w:line="500" w:lineRule="exact"/>
        <w:widowControl w:val="off"/>
        <w:rPr>
          <w:rFonts w:hint="default" w:eastAsia="宋体"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联系方式：</w:t>
      </w:r>
      <w:r>
        <w:rPr>
          <w:rFonts w:hint="eastAsia" w:eastAsia="宋体" w:asciiTheme="minorEastAsia" w:hAnsiTheme="minorEastAsia"/>
          <w:color w:val="auto"/>
          <w:sz w:val="24"/>
          <w:szCs w:val="24"/>
          <w:highlight w:val="none"/>
          <w:lang w:val="en-US" w:eastAsia="zh-CN"/>
        </w:rPr>
        <w:t xml:space="preserve">刘承杰</w:t>
      </w:r>
      <w:r>
        <w:rPr>
          <w:rFonts w:hint="eastAsia" w:asciiTheme="minorEastAsia" w:hAnsiTheme="minorEastAsia"/>
          <w:color w:val="auto"/>
          <w:sz w:val="24"/>
          <w:szCs w:val="24"/>
          <w:highlight w:val="none"/>
        </w:rPr>
        <w:t xml:space="preserve"> </w:t>
      </w:r>
      <w:r>
        <w:rPr>
          <w:rFonts w:hint="eastAsia" w:eastAsia="宋体" w:asciiTheme="minorEastAsia" w:hAnsiTheme="minorEastAsia"/>
          <w:color w:val="auto"/>
          <w:sz w:val="24"/>
          <w:szCs w:val="24"/>
          <w:highlight w:val="none"/>
          <w:lang w:val="en-US" w:eastAsia="zh-CN"/>
        </w:rPr>
        <w:t xml:space="preserve">15061306882</w:t>
      </w:r>
      <w:r/>
    </w:p>
    <w:p>
      <w:pPr>
        <w:ind w:firstLine="480"/>
        <w:pageBreakBefore w:val="0"/>
        <w:spacing w:line="500" w:lineRule="exact"/>
        <w:widowControl w:val="off"/>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3.项目联系方式</w:t>
      </w:r>
      <w:r/>
    </w:p>
    <w:p>
      <w:pPr>
        <w:ind w:firstLine="480"/>
        <w:pageBreakBefore w:val="0"/>
        <w:spacing w:line="500" w:lineRule="exact"/>
        <w:widowControl w:val="off"/>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项目联系人：</w:t>
      </w:r>
      <w:r>
        <w:rPr>
          <w:rFonts w:hint="eastAsia" w:eastAsia="宋体" w:asciiTheme="minorEastAsia" w:hAnsiTheme="minorEastAsia"/>
          <w:color w:val="auto"/>
          <w:sz w:val="24"/>
          <w:szCs w:val="24"/>
          <w:highlight w:val="none"/>
          <w:lang w:val="en-US" w:eastAsia="zh-CN"/>
        </w:rPr>
        <w:t xml:space="preserve">刘承杰</w:t>
      </w:r>
      <w:r/>
    </w:p>
    <w:p>
      <w:pPr>
        <w:ind w:firstLine="480"/>
        <w:pageBreakBefore w:val="0"/>
        <w:spacing w:line="500" w:lineRule="exact"/>
        <w:widowControl w:val="off"/>
        <w:rPr>
          <w:rFonts w:hint="default" w:cs="Times New Roman"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电      话：</w:t>
      </w:r>
      <w:r>
        <w:rPr>
          <w:rFonts w:hint="eastAsia" w:eastAsia="宋体" w:asciiTheme="minorEastAsia" w:hAnsiTheme="minorEastAsia"/>
          <w:color w:val="auto"/>
          <w:sz w:val="24"/>
          <w:szCs w:val="24"/>
          <w:highlight w:val="none"/>
          <w:lang w:val="en-US" w:eastAsia="zh-CN"/>
        </w:rPr>
        <w:t xml:space="preserve">15061306882</w:t>
      </w:r>
      <w:r/>
    </w:p>
    <w:p>
      <w:pPr>
        <w:ind w:firstLine="480"/>
        <w:pageBreakBefore w:val="0"/>
        <w:spacing w:line="500" w:lineRule="exact"/>
        <w:widowControl w:val="off"/>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spacing w:line="500" w:lineRule="exact"/>
        <w:rPr>
          <w:color w:val="auto"/>
          <w:sz w:val="24"/>
          <w:szCs w:val="24"/>
          <w:highlight w:val="none"/>
        </w:rPr>
      </w:pPr>
      <w:r>
        <w:rPr>
          <w:color w:val="auto"/>
          <w:sz w:val="24"/>
          <w:szCs w:val="24"/>
          <w:highlight w:val="none"/>
        </w:rPr>
      </w:r>
      <w:r/>
    </w:p>
    <w:p>
      <w:pPr>
        <w:ind w:firstLine="480"/>
        <w:spacing w:line="500" w:lineRule="exact"/>
        <w:rPr>
          <w:color w:val="auto"/>
          <w:sz w:val="24"/>
          <w:szCs w:val="24"/>
          <w:highlight w:val="none"/>
        </w:rPr>
      </w:pPr>
      <w:r>
        <w:rPr>
          <w:color w:val="auto"/>
          <w:sz w:val="24"/>
          <w:szCs w:val="24"/>
          <w:highlight w:val="none"/>
        </w:rPr>
      </w:r>
      <w:r/>
    </w:p>
    <w:p>
      <w:pPr>
        <w:ind w:firstLine="480"/>
        <w:spacing w:line="500" w:lineRule="exact"/>
        <w:rPr>
          <w:color w:val="auto"/>
          <w:sz w:val="24"/>
          <w:szCs w:val="24"/>
          <w:highlight w:val="none"/>
        </w:rPr>
      </w:pPr>
      <w:r>
        <w:rPr>
          <w:color w:val="auto"/>
          <w:sz w:val="24"/>
          <w:szCs w:val="24"/>
          <w:highlight w:val="none"/>
        </w:rPr>
      </w:r>
      <w:r/>
    </w:p>
    <w:p>
      <w:pPr>
        <w:ind w:firstLine="480"/>
        <w:spacing w:line="500" w:lineRule="exact"/>
        <w:rPr>
          <w:color w:val="auto"/>
          <w:sz w:val="24"/>
          <w:szCs w:val="24"/>
          <w:highlight w:val="none"/>
        </w:rPr>
      </w:pPr>
      <w:r>
        <w:rPr>
          <w:color w:val="auto"/>
          <w:sz w:val="24"/>
          <w:szCs w:val="24"/>
          <w:highlight w:val="none"/>
        </w:rPr>
      </w:r>
      <w:r/>
    </w:p>
    <w:p>
      <w:pPr>
        <w:ind w:firstLine="480"/>
        <w:spacing w:line="500" w:lineRule="exact"/>
        <w:rPr>
          <w:color w:val="auto"/>
          <w:sz w:val="24"/>
          <w:szCs w:val="24"/>
          <w:highlight w:val="none"/>
        </w:rPr>
      </w:pPr>
      <w:r>
        <w:rPr>
          <w:color w:val="auto"/>
          <w:sz w:val="24"/>
          <w:szCs w:val="24"/>
          <w:highlight w:val="none"/>
        </w:rPr>
      </w:r>
      <w:r/>
    </w:p>
    <w:p>
      <w:pPr>
        <w:ind w:firstLine="480"/>
        <w:spacing w:line="500" w:lineRule="exact"/>
        <w:rPr>
          <w:color w:val="auto"/>
          <w:sz w:val="24"/>
          <w:szCs w:val="24"/>
          <w:highlight w:val="none"/>
        </w:rPr>
      </w:pPr>
      <w:r>
        <w:rPr>
          <w:color w:val="auto"/>
          <w:sz w:val="24"/>
          <w:szCs w:val="24"/>
          <w:highlight w:val="none"/>
        </w:rPr>
      </w:r>
      <w:r/>
    </w:p>
    <w:p>
      <w:pPr>
        <w:pStyle w:val="688"/>
        <w:rPr>
          <w:color w:val="auto"/>
          <w:sz w:val="24"/>
          <w:szCs w:val="24"/>
          <w:highlight w:val="none"/>
        </w:rPr>
      </w:pPr>
      <w:r>
        <w:rPr>
          <w:color w:val="auto"/>
          <w:sz w:val="24"/>
          <w:szCs w:val="24"/>
          <w:highlight w:val="none"/>
        </w:rPr>
      </w:r>
      <w:r/>
    </w:p>
    <w:p>
      <w:pPr>
        <w:pStyle w:val="688"/>
        <w:rPr>
          <w:color w:val="auto"/>
          <w:sz w:val="24"/>
          <w:szCs w:val="24"/>
          <w:highlight w:val="none"/>
        </w:rPr>
      </w:pPr>
      <w:r>
        <w:rPr>
          <w:color w:val="auto"/>
          <w:sz w:val="24"/>
          <w:szCs w:val="24"/>
          <w:highlight w:val="none"/>
        </w:rPr>
      </w:r>
      <w:r/>
    </w:p>
    <w:p>
      <w:pPr>
        <w:pStyle w:val="688"/>
        <w:rPr>
          <w:color w:val="auto"/>
          <w:sz w:val="24"/>
          <w:szCs w:val="24"/>
          <w:highlight w:val="none"/>
        </w:rPr>
      </w:pPr>
      <w:r>
        <w:rPr>
          <w:color w:val="auto"/>
          <w:sz w:val="24"/>
          <w:szCs w:val="24"/>
          <w:highlight w:val="none"/>
        </w:rPr>
      </w:r>
      <w:r/>
    </w:p>
    <w:p>
      <w:pPr>
        <w:pStyle w:val="688"/>
        <w:rPr>
          <w:color w:val="auto"/>
          <w:sz w:val="24"/>
          <w:szCs w:val="24"/>
          <w:highlight w:val="none"/>
        </w:rPr>
      </w:pPr>
      <w:r>
        <w:rPr>
          <w:color w:val="auto"/>
          <w:sz w:val="24"/>
          <w:szCs w:val="24"/>
          <w:highlight w:val="none"/>
        </w:rPr>
      </w:r>
      <w:r/>
    </w:p>
    <w:p>
      <w:pPr>
        <w:pStyle w:val="688"/>
        <w:rPr>
          <w:color w:val="auto"/>
          <w:sz w:val="24"/>
          <w:szCs w:val="24"/>
          <w:highlight w:val="none"/>
        </w:rPr>
      </w:pPr>
      <w:r>
        <w:rPr>
          <w:color w:val="auto"/>
          <w:sz w:val="24"/>
          <w:szCs w:val="24"/>
          <w:highlight w:val="none"/>
        </w:rPr>
      </w:r>
      <w:r/>
    </w:p>
    <w:p>
      <w:pPr>
        <w:pStyle w:val="688"/>
        <w:rPr>
          <w:color w:val="auto"/>
          <w:sz w:val="24"/>
          <w:szCs w:val="24"/>
          <w:highlight w:val="none"/>
        </w:rPr>
      </w:pPr>
      <w:r>
        <w:rPr>
          <w:color w:val="auto"/>
          <w:sz w:val="24"/>
          <w:szCs w:val="24"/>
          <w:highlight w:val="none"/>
        </w:rPr>
      </w:r>
      <w:r/>
    </w:p>
    <w:p>
      <w:pPr>
        <w:pStyle w:val="677"/>
        <w:jc w:val="center"/>
        <w:spacing w:line="360" w:lineRule="auto"/>
        <w:rPr>
          <w:rFonts w:hint="eastAsia" w:ascii="黑体" w:hAnsi="黑体" w:eastAsia="黑体"/>
          <w:b w:val="0"/>
          <w:color w:val="auto"/>
          <w:highlight w:val="none"/>
        </w:rPr>
      </w:pPr>
      <w:r/>
      <w:bookmarkStart w:id="1" w:name="_Toc162361611"/>
      <w:r/>
      <w:r/>
    </w:p>
    <w:p>
      <w:pPr>
        <w:pStyle w:val="677"/>
        <w:jc w:val="center"/>
        <w:spacing w:line="360" w:lineRule="auto"/>
        <w:rPr>
          <w:rFonts w:ascii="黑体" w:hAnsi="黑体" w:eastAsia="黑体"/>
          <w:b w:val="0"/>
          <w:color w:val="auto"/>
          <w:highlight w:val="none"/>
        </w:rPr>
      </w:pPr>
      <w:r>
        <w:rPr>
          <w:rFonts w:hint="eastAsia" w:ascii="黑体" w:hAnsi="黑体" w:eastAsia="黑体"/>
          <w:b w:val="0"/>
          <w:color w:val="auto"/>
          <w:highlight w:val="none"/>
        </w:rPr>
        <w:t xml:space="preserve">第二章  投标人须知</w:t>
      </w:r>
      <w:bookmarkEnd w:id="1"/>
      <w:r/>
      <w:r/>
    </w:p>
    <w:p>
      <w:pPr>
        <w:pStyle w:val="678"/>
        <w:spacing w:before="0" w:after="0" w:line="5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一、总则</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1.招标方式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 本次招标采取公开招标方式，本招标文件仅适用于招标公告中所述项目。</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2.合格的投标人</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 满足招标公告中供应商的资格要求的规定。</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2.3 满足本招标文件全部实质性要求和条件的规定。</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2.4 符合上述条件的投标人应承担投标及履约过程应承担的全部责任与义务。</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3.适用法律</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3.1 本次招标及由此产生的合同受中华人民共和国有关的法律法规制约和保护。</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4.投标费用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4.1 投标人应自行承担所有与参加投标有关的费用，无论投标过程中的做法和结果如何，</w:t>
      </w:r>
      <w:r>
        <w:rPr>
          <w:rFonts w:hint="eastAsia" w:eastAsia="宋体" w:asciiTheme="minorEastAsia" w:hAnsiTheme="minorEastAsia"/>
          <w:color w:val="auto"/>
          <w:sz w:val="24"/>
          <w:szCs w:val="24"/>
          <w:highlight w:val="none"/>
          <w:lang w:eastAsia="zh-CN"/>
        </w:rPr>
        <w:t xml:space="preserve">江苏万达工程造价事务所有限公司</w:t>
      </w:r>
      <w:r>
        <w:rPr>
          <w:rFonts w:hint="eastAsia" w:asciiTheme="minorEastAsia" w:hAnsiTheme="minorEastAsia"/>
          <w:color w:val="auto"/>
          <w:sz w:val="24"/>
          <w:szCs w:val="24"/>
          <w:highlight w:val="none"/>
        </w:rPr>
        <w:t xml:space="preserve">（以下简称交易中心）在任何情况下均无义务和责任承担这些费用。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4.2 本次招标代理</w:t>
      </w:r>
      <w:r>
        <w:rPr>
          <w:rFonts w:hint="eastAsia" w:eastAsia="宋体" w:asciiTheme="minorEastAsia" w:hAnsiTheme="minorEastAsia"/>
          <w:color w:val="auto"/>
          <w:sz w:val="24"/>
          <w:szCs w:val="24"/>
          <w:highlight w:val="none"/>
          <w:lang w:val="en-US" w:eastAsia="zh-CN"/>
        </w:rPr>
        <w:t xml:space="preserve">和清单编制费</w:t>
      </w:r>
      <w:r>
        <w:rPr>
          <w:rFonts w:hint="eastAsia" w:asciiTheme="minorEastAsia" w:hAnsiTheme="minorEastAsia"/>
          <w:color w:val="auto"/>
          <w:sz w:val="24"/>
          <w:szCs w:val="24"/>
          <w:highlight w:val="none"/>
        </w:rPr>
        <w:t xml:space="preserve">按计价格【2002】1980号及苏价服【2014】383号文件规定的收费标准的 45%计取，服务不足 2000.00 元，按 2000.00 元计算</w:t>
      </w:r>
      <w:r>
        <w:rPr>
          <w:rFonts w:hint="eastAsia" w:eastAsia="宋体" w:asciiTheme="minorEastAsia" w:hAnsiTheme="minorEastAsia"/>
          <w:color w:val="auto"/>
          <w:sz w:val="24"/>
          <w:szCs w:val="24"/>
          <w:highlight w:val="none"/>
          <w:lang w:eastAsia="zh-CN"/>
        </w:rPr>
        <w:t xml:space="preserve">、</w:t>
      </w:r>
      <w:r>
        <w:rPr>
          <w:rFonts w:hint="eastAsia" w:eastAsia="宋体" w:asciiTheme="minorEastAsia" w:hAnsiTheme="minorEastAsia"/>
          <w:color w:val="auto"/>
          <w:sz w:val="24"/>
          <w:szCs w:val="24"/>
          <w:highlight w:val="none"/>
          <w:lang w:val="en-US" w:eastAsia="zh-CN"/>
        </w:rPr>
        <w:t xml:space="preserve">场地服务费等费用，由中标人在领取中标通知书时一次性支付完成</w:t>
      </w:r>
      <w:r>
        <w:rPr>
          <w:rFonts w:hint="eastAsia" w:asciiTheme="minorEastAsia" w:hAnsiTheme="minorEastAsia"/>
          <w:color w:val="auto"/>
          <w:sz w:val="24"/>
          <w:szCs w:val="24"/>
          <w:highlight w:val="none"/>
        </w:rPr>
        <w:t xml:space="preserve">。</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5.招标文件的约束力</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5.1 投标人一旦参加本项目采购活动，即被认为接受了本招标文件的规定和约束。</w:t>
      </w:r>
      <w:r/>
    </w:p>
    <w:p>
      <w:pPr>
        <w:pStyle w:val="678"/>
        <w:spacing w:before="0" w:after="0" w:line="5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二、招标文件</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6.招标文件构成</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 招标文件由以下部分组成：</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（1）投标邀请</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（2）投标人须知</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（3）合同文本</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（4）采购需求</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（5）评标方法与评标标准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（6）投标文件格式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请仔细检查招标文件是否齐全，如有缺漏请立即与交易中心联系解决。</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7.招标文件的澄清</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8.招标文件的修改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8.1 在投标截止时间前，交易中心可以对招标文件进行修改。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8.2 交易中心有权按照法定的要求推迟投标截止日期和开标日期。</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8.3 招标文件的修改将在江苏政府采购网公布，补充文件将作为招标文件的组成部分，并对投标人具有约束力。</w:t>
      </w:r>
      <w:r/>
    </w:p>
    <w:p>
      <w:pPr>
        <w:pStyle w:val="678"/>
        <w:spacing w:before="0" w:after="0" w:line="5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三、投标文件的编制</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9.投标文件编写注意事项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10.投标文件的语言及度量衡单位</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 除技术性能另有规定外，投标文件所使用的度量衡单位，均须采用国家法定计量单位。</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11.投标文件构成</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12.证明投标人及投标标的符合招标文件规定的文件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12.1 投标人应按照招标文件要求提交证明文件，证明其及投标标的符合招标文件规定。</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12.2 招标文件对证明文件无明确形式要求的，证明文件可以以文字资料、图纸和数据等形式提交。</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13.投标分项报价表</w:t>
      </w:r>
      <w:r/>
    </w:p>
    <w:p>
      <w:pPr>
        <w:ind w:firstLine="480"/>
        <w:spacing w:line="500" w:lineRule="exact"/>
        <w:rPr>
          <w:rFonts w:asciiTheme="minorEastAsia" w:hAnsiTheme="minorEastAsia"/>
          <w:color w:val="auto"/>
          <w:sz w:val="24"/>
          <w:szCs w:val="24"/>
          <w:highlight w:val="none"/>
        </w:rPr>
      </w:pPr>
      <w:r/>
      <w:bookmarkStart w:id="2" w:name="OLE_LINK149"/>
      <w:r>
        <w:rPr>
          <w:rFonts w:hint="eastAsia" w:asciiTheme="minorEastAsia" w:hAnsiTheme="minorEastAsia"/>
          <w:color w:val="auto"/>
          <w:sz w:val="24"/>
          <w:szCs w:val="24"/>
          <w:highlight w:val="none"/>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14.技术要求响应及偏离表、商务要求响应及偏离表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14.2 投标人可在投标文件中提供认为需要的其他技术文件或说明。</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15.服务承诺、培训计划、人员安排及其他</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15.2 投标人需根据招标文件要求提供培训计划、人员安排等。</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16.投标函和开标一览表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16.1 投标人应按照招标文件中提供的格式完整、正确填写投标函、开标一览表。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17.投标有效期</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17.1 投标有效期为交易中心规定的开标之日后六十（60）天。投标有效期比规定短的将被视为未实质性响应招标文件而予以拒绝。</w:t>
      </w:r>
      <w:r/>
    </w:p>
    <w:p>
      <w:pPr>
        <w:ind w:firstLine="480"/>
        <w:jc w:val="left"/>
        <w:spacing w:line="500" w:lineRule="exact"/>
        <w:rPr>
          <w:color w:val="auto"/>
          <w:sz w:val="24"/>
          <w:szCs w:val="24"/>
          <w:highlight w:val="none"/>
        </w:rPr>
      </w:pPr>
      <w:r>
        <w:rPr>
          <w:rFonts w:hint="eastAsia" w:asciiTheme="minorEastAsia" w:hAnsiTheme="minorEastAsia"/>
          <w:color w:val="auto"/>
          <w:sz w:val="24"/>
          <w:szCs w:val="24"/>
          <w:highlight w:val="none"/>
        </w:rPr>
        <w:t xml:space="preserve">17.2</w:t>
      </w:r>
      <w:r>
        <w:rPr>
          <w:rFonts w:hint="eastAsia"/>
          <w:color w:val="auto"/>
          <w:sz w:val="24"/>
          <w:szCs w:val="24"/>
          <w:highlight w:val="none"/>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78"/>
        <w:spacing w:before="0" w:after="0" w:line="5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四、投标文件的递交</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18.电子投标文件的递交</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18.1 投标人应当按照《操作手册》规定，在投标截止时间前制作并递交（上传）电子投标文件。</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19.投标截止时间</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19.1 投标人递交（上传）电子投标文件的时间不得迟于招标公告中规定的投标截止时间。</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20.投标文件的拒收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20.1 交易中心拒绝接收在其规定的投标截止时间后递交（上传）的任何投标文件。</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21.投标文件的撤回和修改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21.1 投标文件的撤回</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21.1.1 投标人可在投标截止时间前，撤回其电子投标文件，具体操作方法见《操作手册》。</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21.1.2 投标人撤回电子投标文件的，则认为其不再参与本项目投标活动。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21.2 投标文件的修改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21.2.1 投标人可在投标截止时间前，对其电子投标文件进行修改，具体操作方法见《操作手册》。</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21.2.2 在投标截止时间之后，投标人不得对其电子投标文件做任何修改。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21.3 在投标截止时间至招标文件中规定的投标有效期满之间的这段时间内，投标人不得撤回其投标。</w:t>
      </w:r>
      <w:r/>
    </w:p>
    <w:p>
      <w:pPr>
        <w:pStyle w:val="678"/>
        <w:spacing w:before="0" w:after="0" w:line="5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五、开标与评标</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22.开标</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22.5 投标人未参加开标的，视同认可开标结果。</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23.评标委员会</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23.1 开标后，交易中心将立即组织评委会进行评标。</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24.评标过程的保密与公正</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24.3 交易中心和评委会不向未中标的投标人解释未中标原因，也不公布评标过程中的相关细节。</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25.投标文件的澄清</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评委会并非对每个投标人都做澄清、说明或者补正要求。</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25.3 接到评委会澄清、说明或者补正要求的投标人如未按规定响应，其风险由投标人自行承担。</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26.对投标文件的审查</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26.1 投标文件审查分为资格审查和符合性审查。</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jc w:val="both"/>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26.1.3政府采购异常低价审查：</w:t>
      </w:r>
      <w:r/>
    </w:p>
    <w:p>
      <w:pPr>
        <w:ind w:firstLine="480"/>
        <w:jc w:val="both"/>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1.投标报价低于全部通过符合性审查供应商投标报价平均值</w:t>
      </w:r>
      <w:r>
        <w:rPr>
          <w:rFonts w:hint="eastAsia" w:ascii="宋体" w:hAnsi="宋体" w:eastAsia="宋体" w:cs="宋体"/>
          <w:b w:val="0"/>
          <w:bCs/>
          <w:color w:val="auto"/>
          <w:sz w:val="24"/>
          <w:szCs w:val="24"/>
          <w:highlight w:val="none"/>
          <w:lang w:val="en-US" w:eastAsia="zh-CN"/>
        </w:rPr>
        <w:t xml:space="preserve">50</w:t>
      </w:r>
      <w:r>
        <w:rPr>
          <w:rFonts w:hint="eastAsia" w:ascii="宋体" w:hAnsi="宋体" w:eastAsia="宋体" w:cs="宋体"/>
          <w:b w:val="0"/>
          <w:bCs/>
          <w:color w:val="auto"/>
          <w:sz w:val="24"/>
          <w:szCs w:val="24"/>
          <w:highlight w:val="none"/>
        </w:rPr>
        <w:t xml:space="preserve">%的，即投标报价&lt;全部通过符合性审查供应商投标报价平均值×</w:t>
      </w:r>
      <w:r>
        <w:rPr>
          <w:rFonts w:hint="eastAsia" w:ascii="宋体" w:hAnsi="宋体" w:eastAsia="宋体" w:cs="宋体"/>
          <w:b w:val="0"/>
          <w:bCs/>
          <w:color w:val="auto"/>
          <w:sz w:val="24"/>
          <w:szCs w:val="24"/>
          <w:highlight w:val="none"/>
          <w:lang w:val="en-US" w:eastAsia="zh-CN"/>
        </w:rPr>
        <w:t xml:space="preserve">50</w:t>
      </w:r>
      <w:r>
        <w:rPr>
          <w:rFonts w:hint="eastAsia" w:ascii="宋体" w:hAnsi="宋体" w:eastAsia="宋体" w:cs="宋体"/>
          <w:b w:val="0"/>
          <w:bCs/>
          <w:color w:val="auto"/>
          <w:sz w:val="24"/>
          <w:szCs w:val="24"/>
          <w:highlight w:val="none"/>
        </w:rPr>
        <w:t xml:space="preserve">%；</w:t>
      </w:r>
      <w:r/>
    </w:p>
    <w:p>
      <w:pPr>
        <w:ind w:firstLine="480"/>
        <w:jc w:val="both"/>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2.投标报价低于通过符合性审查的次低报价供应商投标报价</w:t>
      </w:r>
      <w:r>
        <w:rPr>
          <w:rFonts w:hint="eastAsia" w:ascii="宋体" w:hAnsi="宋体" w:eastAsia="宋体" w:cs="宋体"/>
          <w:b w:val="0"/>
          <w:bCs/>
          <w:color w:val="auto"/>
          <w:sz w:val="24"/>
          <w:szCs w:val="24"/>
          <w:highlight w:val="none"/>
          <w:lang w:val="en-US" w:eastAsia="zh-CN"/>
        </w:rPr>
        <w:t xml:space="preserve">50</w:t>
      </w:r>
      <w:r>
        <w:rPr>
          <w:rFonts w:hint="eastAsia" w:ascii="宋体" w:hAnsi="宋体" w:eastAsia="宋体" w:cs="宋体"/>
          <w:b w:val="0"/>
          <w:bCs/>
          <w:color w:val="auto"/>
          <w:sz w:val="24"/>
          <w:szCs w:val="24"/>
          <w:highlight w:val="none"/>
        </w:rPr>
        <w:t xml:space="preserve">%的，即投标报价&lt;通过符合性审查的次低报价供应商投标报价×</w:t>
      </w:r>
      <w:r>
        <w:rPr>
          <w:rFonts w:hint="eastAsia" w:ascii="宋体" w:hAnsi="宋体" w:eastAsia="宋体" w:cs="宋体"/>
          <w:b w:val="0"/>
          <w:bCs/>
          <w:color w:val="auto"/>
          <w:sz w:val="24"/>
          <w:szCs w:val="24"/>
          <w:highlight w:val="none"/>
          <w:lang w:val="en-US" w:eastAsia="zh-CN"/>
        </w:rPr>
        <w:t xml:space="preserve">50</w:t>
      </w:r>
      <w:r>
        <w:rPr>
          <w:rFonts w:hint="eastAsia" w:ascii="宋体" w:hAnsi="宋体" w:eastAsia="宋体" w:cs="宋体"/>
          <w:b w:val="0"/>
          <w:bCs/>
          <w:color w:val="auto"/>
          <w:sz w:val="24"/>
          <w:szCs w:val="24"/>
          <w:highlight w:val="none"/>
        </w:rPr>
        <w:t xml:space="preserve">%；</w:t>
      </w:r>
      <w:r/>
    </w:p>
    <w:p>
      <w:pPr>
        <w:ind w:firstLine="480"/>
        <w:jc w:val="both"/>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3.投标报价低于采购项目最高限价</w:t>
      </w:r>
      <w:r>
        <w:rPr>
          <w:rFonts w:hint="eastAsia" w:ascii="宋体" w:hAnsi="宋体" w:eastAsia="宋体" w:cs="宋体"/>
          <w:b w:val="0"/>
          <w:bCs/>
          <w:color w:val="auto"/>
          <w:sz w:val="24"/>
          <w:szCs w:val="24"/>
          <w:highlight w:val="none"/>
          <w:lang w:val="en-US" w:eastAsia="zh-CN"/>
        </w:rPr>
        <w:t xml:space="preserve">45</w:t>
      </w:r>
      <w:r>
        <w:rPr>
          <w:rFonts w:hint="eastAsia" w:ascii="宋体" w:hAnsi="宋体" w:eastAsia="宋体" w:cs="宋体"/>
          <w:b w:val="0"/>
          <w:bCs/>
          <w:color w:val="auto"/>
          <w:sz w:val="24"/>
          <w:szCs w:val="24"/>
          <w:highlight w:val="none"/>
        </w:rPr>
        <w:t xml:space="preserve">%的，即投标报价&lt;采购项目最高限价×</w:t>
      </w:r>
      <w:r>
        <w:rPr>
          <w:rFonts w:hint="eastAsia" w:ascii="宋体" w:hAnsi="宋体" w:eastAsia="宋体" w:cs="宋体"/>
          <w:b w:val="0"/>
          <w:bCs/>
          <w:color w:val="auto"/>
          <w:sz w:val="24"/>
          <w:szCs w:val="24"/>
          <w:highlight w:val="none"/>
          <w:lang w:val="en-US" w:eastAsia="zh-CN"/>
        </w:rPr>
        <w:t xml:space="preserve">45</w:t>
      </w:r>
      <w:r>
        <w:rPr>
          <w:rFonts w:hint="eastAsia" w:ascii="宋体" w:hAnsi="宋体" w:eastAsia="宋体" w:cs="宋体"/>
          <w:b w:val="0"/>
          <w:bCs/>
          <w:color w:val="auto"/>
          <w:sz w:val="24"/>
          <w:szCs w:val="24"/>
          <w:highlight w:val="none"/>
        </w:rPr>
        <w:t xml:space="preserve">%；</w:t>
      </w:r>
      <w:r/>
    </w:p>
    <w:p>
      <w:pPr>
        <w:ind w:firstLine="480"/>
        <w:jc w:val="both"/>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26.1.4</w:t>
      </w:r>
      <w:r>
        <w:rPr>
          <w:rFonts w:hint="eastAsia" w:asciiTheme="minorEastAsia" w:hAnsiTheme="minorEastAsia"/>
          <w:color w:val="auto"/>
          <w:sz w:val="24"/>
          <w:szCs w:val="24"/>
          <w:highlight w:val="none"/>
        </w:rPr>
        <w:t xml:space="preserve">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所谓重大偏离或保留是指与招标文件规定的实质性要求存在负偏离，或者在实质上与招标文件不一致，</w:t>
      </w:r>
      <w:r>
        <w:rPr>
          <w:rFonts w:hint="eastAsia" w:ascii="Calibri" w:hAnsi="Calibri" w:eastAsia="宋体" w:cs="Times New Roman"/>
          <w:color w:val="auto"/>
          <w:sz w:val="24"/>
          <w:szCs w:val="24"/>
          <w:highlight w:val="none"/>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color w:val="auto"/>
          <w:sz w:val="24"/>
          <w:szCs w:val="24"/>
          <w:highlight w:val="none"/>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（1）投标文件中开标一览表内容与投标文件中相应内容不一致的，以开标一览表为准。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（2）大写金额和小写金额不一致的，以大写金额为准。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（3）单价金额小数点或者百分比有明显错位的，以开标一览表的总价为准，并修改单价。</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（4）总价金额与按单价汇总金额不一致的，以单价金额计算结果为准。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同时出现两种以上错误的，按照前款规定的顺序修正。</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27.无效投标条款和废标条款</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27.1 无效投标条款</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（1）投标人未按照招标文件要求递交（上传）电子投标文件的。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（2）投标人在“苏采云”系统规定的时间内未成功解密电子投标文件的。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（3）投标人不具备招标文件中规定的资格要求的。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（5）投标人提交两个（含两个）以上不同的投标报价的。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（6）投标人的报价超过了采购预算或者最高限价的。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（8）不符合招标文件中规定的实质性要求和条件的（本招标文件中以“★”标注部分为实质性要求和条件）。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（10）投标人未通过符合性审查的。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（11）投标文件含有采购人不能接受的附加条件的。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（12）投标文件未按照招标文件要求加盖公章（CA电子公章）的。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（13）其他法律、法规及本招标文件规定的属于无效投标的情形。</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27.2 有下列情形之一的，视为投标人串通投标，投标无效：</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（1）不同投标人的投标文件由同一单位或者个人编制。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（2）不同投标人委托同一单位或者个人办理投标事宜。</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（3）不同投标人的投标文件载明的项目管理成员或者联系人员为同一人。</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（4）不同投标人的投标文件异常一致或者投标报价呈规律性差异。</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27.3 废标条款</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（1）因“苏采云”系统系统故障原因造成开标不成功的。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（2）评委会认定招标文件存在歧义、重大缺陷导致评审工作无法进行的。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（3）符合专业条件的供应商或者对招标文件作实质响应的供应商不足三家的。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（4）出现影响采购公正的违法、违规行为的。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（5）因重大变故，采购任务取消的。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678"/>
        <w:spacing w:before="0" w:after="0" w:line="5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六、定标</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28.确定中标单位</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28.1 中标候选人的选取原则和数量详见招标文件第五章规定。 </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28.2 采购人应根据评委会推荐的中标候选人确定中标人。</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28.3 交易中心将在江苏政府采购网发布中标公告，公告期限为1个工作日。</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28.4 若有充分证据证明，中标人存在下列情况之一的，一经查实，将被取消中标资格：</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（1）提供虚假材料谋取中标、成交的。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（2）采取不正当手段诋毁、排挤其他供应商的。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（3）与采购人、其他供应商或者采购代理机构恶意串通的。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（4）向采购人、交易中心行贿或者提供其他不正当利益的。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w:t>
      </w:r>
      <w:r>
        <w:rPr>
          <w:rFonts w:hint="eastAsia" w:asciiTheme="minorEastAsia" w:hAnsiTheme="minorEastAsia"/>
          <w:color w:val="auto"/>
          <w:sz w:val="24"/>
          <w:szCs w:val="24"/>
          <w:highlight w:val="none"/>
        </w:rPr>
        <w:t xml:space="preserve">在招标采购过程中与采购人进行协商谈判的</w:t>
      </w:r>
      <w:r>
        <w:rPr>
          <w:rFonts w:hint="eastAsia" w:asciiTheme="minorEastAsia" w:hAnsiTheme="minorEastAsia"/>
          <w:color w:val="auto"/>
          <w:sz w:val="24"/>
          <w:szCs w:val="24"/>
          <w:highlight w:val="none"/>
        </w:rPr>
        <w:t xml:space="preserve">。</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（6）属于本文件规定的无效条件，但在评标过程中又未被评委会发现的。</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29.中标通知书</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pStyle w:val="678"/>
        <w:spacing w:before="0" w:after="0" w:line="5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七、履约保证金及授予合同</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30.履约保证金</w:t>
      </w:r>
      <w:r/>
    </w:p>
    <w:p>
      <w:pPr>
        <w:ind w:firstLine="480"/>
        <w:spacing w:line="500" w:lineRule="exact"/>
        <w:rPr>
          <w:rFonts w:asciiTheme="minorEastAsia" w:hAnsiTheme="minorEastAsia"/>
          <w:b w:val="0"/>
          <w:bCs/>
          <w:color w:val="auto"/>
          <w:sz w:val="24"/>
          <w:szCs w:val="24"/>
          <w:highlight w:val="none"/>
        </w:rPr>
      </w:pPr>
      <w:r>
        <w:rPr>
          <w:rFonts w:hint="eastAsia" w:asciiTheme="minorEastAsia" w:hAnsiTheme="minorEastAsia"/>
          <w:color w:val="auto"/>
          <w:sz w:val="24"/>
          <w:szCs w:val="24"/>
          <w:highlight w:val="none"/>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 w:val="0"/>
          <w:bCs/>
          <w:color w:val="auto"/>
          <w:sz w:val="24"/>
          <w:szCs w:val="24"/>
          <w:highlight w:val="none"/>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30.5 本项目履约保证金要求详见招标文件第四章 采购需求。</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31.签订合同</w:t>
      </w:r>
      <w:r/>
    </w:p>
    <w:p>
      <w:pPr>
        <w:ind w:firstLine="480"/>
        <w:spacing w:line="50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31.2 招标文件、中标人的投标文件及招标过程中有关澄清、承诺等文件均应作为合同附件。</w:t>
      </w:r>
      <w:r/>
    </w:p>
    <w:p>
      <w:pPr>
        <w:ind w:firstLine="480"/>
        <w:spacing w:line="50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32.合同标的的追加</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32.1 政府采购合同履行中，采购人需追加与合同标的相同的服务（包含与服务相关的货物）的，在不改变合同其他条款的前提下，可以与中标人协商签订补充合同，但所有补充合同的采购金额不超过原合同金额10%。</w:t>
      </w:r>
      <w:bookmarkStart w:id="3" w:name="OLE_LINK150"/>
      <w:r/>
      <w:bookmarkEnd w:id="3"/>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33.政府采购履约资金扶持政策</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33.1 中标人可凭政府采购合同办理融资贷款，详情请见江苏政府采购网“政采贷”专栏。</w:t>
      </w:r>
      <w:r/>
    </w:p>
    <w:p>
      <w:pPr>
        <w:pStyle w:val="678"/>
        <w:spacing w:before="0" w:after="0" w:line="5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八、询问与质疑</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34.询问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35.质疑提出</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35.1 提出质疑的供应商应当是参与所质疑项目采购活动的供应商。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（1）供应商的姓名或者名称、地址、邮编、联系人及联系电话；</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（2）质疑项目的名称、编号；</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（3）具体、明确的质疑事项和与质疑事项相关的请求；</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（4）事实依据；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（5）必要的法律依据；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（6）提出质疑的日期；</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（7）必要的证明材料；</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36.质疑函的受理和答复</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36.4 以下情形的质疑不予受理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（1）内容不符合《政府采购质疑和投诉办法》第十二条规定的质疑。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（2）超出政府采购法定期限的质疑。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（3）以传真、电子邮件等方式递交的非原件形式的质疑。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（4）未参加采购活动的供应商或在采购活动中自身权益未受到损害的供应商所提出的质疑。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（5）供应商组成联合体，联合体中任何一方或多方未按要求签字（盖章）、加盖公章的质疑。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36.5 采购人、交易中心依法受理的质疑，将按照政府采购有关规定，在法定期限内答复。</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37.其他</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37.</w:t>
      </w:r>
      <w:r>
        <w:rPr>
          <w:rFonts w:hint="eastAsia" w:asciiTheme="minorEastAsia" w:hAnsiTheme="minorEastAsia"/>
          <w:color w:val="auto"/>
          <w:sz w:val="24"/>
          <w:szCs w:val="24"/>
          <w:highlight w:val="none"/>
          <w:lang w:val="en-US" w:eastAsia="zh-CN"/>
        </w:rPr>
        <w:t xml:space="preserve">1</w:t>
      </w:r>
      <w:r>
        <w:rPr>
          <w:rFonts w:hint="eastAsia" w:asciiTheme="minorEastAsia" w:hAnsiTheme="minorEastAsia"/>
          <w:color w:val="auto"/>
          <w:sz w:val="24"/>
          <w:szCs w:val="24"/>
          <w:highlight w:val="none"/>
        </w:rPr>
        <w:t xml:space="preserve"> 未尽事宜，依照有关法律、法规执行。</w:t>
      </w:r>
      <w:r/>
    </w:p>
    <w:p>
      <w:pPr>
        <w:pStyle w:val="678"/>
        <w:spacing w:before="0" w:after="0" w:line="5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九、政府采购政策功能</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38.促进中小企业发展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8</w:t>
      </w:r>
      <w:r>
        <w:rPr>
          <w:rFonts w:hint="eastAsia" w:ascii="Calibri" w:hAnsi="Calibri" w:eastAsia="宋体" w:cs="Times New Roman"/>
          <w:color w:val="auto"/>
          <w:sz w:val="24"/>
          <w:szCs w:val="24"/>
          <w:highlight w:val="none"/>
        </w:rPr>
        <w:t xml:space="preserve">.2 投标人提供的</w:t>
      </w:r>
      <w:r>
        <w:rPr>
          <w:rFonts w:hint="eastAsia" w:ascii="Calibri" w:hAnsi="Calibri" w:eastAsia="宋体" w:cs="Times New Roman"/>
          <w:color w:val="auto"/>
          <w:sz w:val="24"/>
          <w:szCs w:val="24"/>
          <w:highlight w:val="none"/>
          <w:lang w:val="en-US" w:eastAsia="zh-CN"/>
        </w:rPr>
        <w:t xml:space="preserve">服务</w:t>
      </w:r>
      <w:r>
        <w:rPr>
          <w:rFonts w:hint="eastAsia" w:ascii="Calibri" w:hAnsi="Calibri" w:eastAsia="宋体" w:cs="Times New Roman"/>
          <w:color w:val="auto"/>
          <w:sz w:val="24"/>
          <w:szCs w:val="24"/>
          <w:highlight w:val="none"/>
        </w:rPr>
        <w:t xml:space="preserve">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8</w:t>
      </w:r>
      <w:r>
        <w:rPr>
          <w:rFonts w:hint="eastAsia" w:ascii="Calibri" w:hAnsi="Calibri" w:eastAsia="宋体" w:cs="Times New Roman"/>
          <w:color w:val="auto"/>
          <w:sz w:val="24"/>
          <w:szCs w:val="24"/>
          <w:highlight w:val="none"/>
        </w:rPr>
        <w:t xml:space="preserve">.3 参加本项目政府采购活动的供应商享受价格评审优惠的应当提供的材料： </w:t>
      </w:r>
      <w:r/>
    </w:p>
    <w:p>
      <w:pPr>
        <w:ind w:firstLine="480"/>
        <w:jc w:val="left"/>
        <w:spacing w:line="500" w:lineRule="exact"/>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（1）投标人提供的货物全部由小型企业、微型企业制造的，提供《中小企业声明函》（第六章 投标文件格式）。</w:t>
      </w:r>
      <w:r/>
    </w:p>
    <w:p>
      <w:pPr>
        <w:ind w:firstLine="480"/>
        <w:jc w:val="left"/>
        <w:spacing w:line="500" w:lineRule="exact"/>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8</w:t>
      </w:r>
      <w:r>
        <w:rPr>
          <w:rFonts w:hint="eastAsia" w:ascii="Calibri" w:hAnsi="Calibri" w:eastAsia="宋体" w:cs="Times New Roman"/>
          <w:color w:val="auto"/>
          <w:sz w:val="24"/>
          <w:szCs w:val="24"/>
          <w:highlight w:val="none"/>
        </w:rPr>
        <w:t xml:space="preserve">.4 残疾人福利单位、监狱企业属于小型、微型企业的，不重复享受政策。</w:t>
      </w:r>
      <w:r/>
    </w:p>
    <w:p>
      <w:pPr>
        <w:ind w:firstLine="480"/>
        <w:spacing w:line="500" w:lineRule="exact"/>
        <w:rPr>
          <w:rFonts w:hint="eastAsia"/>
          <w:color w:val="auto"/>
          <w:sz w:val="24"/>
          <w:szCs w:val="24"/>
          <w:highlight w:val="none"/>
        </w:rP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8</w:t>
      </w:r>
      <w:r>
        <w:rPr>
          <w:rFonts w:hint="eastAsia" w:ascii="Calibri" w:hAnsi="Calibri" w:eastAsia="宋体" w:cs="Times New Roman"/>
          <w:color w:val="auto"/>
          <w:sz w:val="24"/>
          <w:szCs w:val="24"/>
          <w:highlight w:val="none"/>
        </w:rPr>
        <w:t xml:space="preserve">.5 享受扶持政策获得政府采购合同的，小微型企业不得将合同分包给大中型企业，中型企业不得将合同分包给大型企业。</w:t>
      </w:r>
      <w:r/>
    </w:p>
    <w:p>
      <w:pPr>
        <w:ind w:firstLine="482"/>
        <w:spacing w:line="50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3</w:t>
      </w:r>
      <w:r>
        <w:rPr>
          <w:rFonts w:hint="eastAsia" w:asciiTheme="minorEastAsia" w:hAnsiTheme="minorEastAsia"/>
          <w:b/>
          <w:color w:val="auto"/>
          <w:sz w:val="24"/>
          <w:highlight w:val="none"/>
          <w:lang w:val="en-US" w:eastAsia="zh-CN"/>
        </w:rPr>
        <w:t xml:space="preserve">9</w:t>
      </w:r>
      <w:r>
        <w:rPr>
          <w:rFonts w:hint="eastAsia" w:asciiTheme="minorEastAsia" w:hAnsiTheme="minorEastAsia"/>
          <w:b/>
          <w:color w:val="auto"/>
          <w:sz w:val="24"/>
          <w:highlight w:val="none"/>
        </w:rPr>
        <w:t xml:space="preserve">、采购本国产品的支持政策</w:t>
      </w:r>
      <w:r/>
    </w:p>
    <w:p>
      <w:pPr>
        <w:ind w:firstLine="480"/>
        <w:jc w:val="left"/>
        <w:spacing w:line="500" w:lineRule="exact"/>
        <w:rPr>
          <w:rFonts w:hint="eastAsia"/>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3</w:t>
      </w:r>
      <w:r>
        <w:rPr>
          <w:rFonts w:hint="eastAsia"/>
          <w:color w:val="auto"/>
          <w:sz w:val="24"/>
          <w:szCs w:val="24"/>
          <w:highlight w:val="none"/>
          <w:lang w:val="en-US" w:eastAsia="zh-CN"/>
        </w:rPr>
        <w:t xml:space="preserve">9</w:t>
      </w:r>
      <w:r>
        <w:rPr>
          <w:rFonts w:hint="eastAsia"/>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hint="eastAsia"/>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3</w:t>
      </w:r>
      <w:r>
        <w:rPr>
          <w:rFonts w:hint="eastAsia"/>
          <w:color w:val="auto"/>
          <w:sz w:val="24"/>
          <w:szCs w:val="24"/>
          <w:highlight w:val="none"/>
          <w:lang w:val="en-US" w:eastAsia="zh-CN"/>
        </w:rPr>
        <w:t xml:space="preserve">9</w:t>
      </w:r>
      <w:r>
        <w:rPr>
          <w:rFonts w:hint="eastAsia"/>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3</w:t>
      </w:r>
      <w:r>
        <w:rPr>
          <w:rFonts w:hint="eastAsia"/>
          <w:color w:val="auto"/>
          <w:sz w:val="24"/>
          <w:szCs w:val="24"/>
          <w:highlight w:val="none"/>
          <w:lang w:val="en-US" w:eastAsia="zh-CN"/>
        </w:rPr>
        <w:t xml:space="preserve">9</w:t>
      </w:r>
      <w:r>
        <w:rPr>
          <w:rFonts w:hint="eastAsia"/>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spacing w:line="500" w:lineRule="exact"/>
        <w:rPr>
          <w:rFonts w:hint="eastAsia"/>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3</w:t>
      </w:r>
      <w:r>
        <w:rPr>
          <w:rFonts w:hint="eastAsia"/>
          <w:color w:val="auto"/>
          <w:sz w:val="24"/>
          <w:szCs w:val="24"/>
          <w:highlight w:val="none"/>
          <w:lang w:val="en-US" w:eastAsia="zh-CN"/>
        </w:rPr>
        <w:t xml:space="preserve">9</w:t>
      </w:r>
      <w:r>
        <w:rPr>
          <w:rFonts w:hint="eastAsia"/>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3</w:t>
      </w:r>
      <w:r>
        <w:rPr>
          <w:rFonts w:hint="eastAsia"/>
          <w:color w:val="auto"/>
          <w:sz w:val="24"/>
          <w:szCs w:val="24"/>
          <w:highlight w:val="none"/>
          <w:lang w:val="en-US" w:eastAsia="zh-CN"/>
        </w:rPr>
        <w:t xml:space="preserve">9</w:t>
      </w:r>
      <w:r>
        <w:rPr>
          <w:rFonts w:hint="eastAsia"/>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00" w:lineRule="exact"/>
        <w:rPr>
          <w:rFonts w:hint="eastAsia"/>
          <w:color w:val="auto"/>
          <w:sz w:val="24"/>
          <w:szCs w:val="24"/>
          <w:highlight w:val="none"/>
          <w14:ligatures w14: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9</w:t>
      </w:r>
      <w:r>
        <w:rPr>
          <w:rFonts w:hint="eastAsia"/>
          <w:color w:val="auto"/>
          <w:sz w:val="24"/>
          <w:szCs w:val="24"/>
          <w:highlight w:val="none"/>
        </w:rPr>
        <w:t xml:space="preserve">.6 政府采购中的本国产品标准及其他未尽事宜详见《国务院办公厅关于在政府采购中实施本国产品标准及相关政策的通知》（国办发〔2025〕34号）。</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lang w:val="en-US" w:eastAsia="zh-CN"/>
        </w:rPr>
        <w:t xml:space="preserve">40</w:t>
      </w:r>
      <w:r>
        <w:rPr>
          <w:rFonts w:hint="eastAsia" w:asciiTheme="minorEastAsia" w:hAnsiTheme="minorEastAsia"/>
          <w:b/>
          <w:color w:val="auto"/>
          <w:sz w:val="24"/>
          <w:highlight w:val="none"/>
        </w:rPr>
        <w:t xml:space="preserve">.支持绿色发展</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40</w:t>
      </w:r>
      <w:r>
        <w:rPr>
          <w:rFonts w:hint="eastAsia" w:asciiTheme="minorEastAsia" w:hAnsiTheme="minorEastAsia"/>
          <w:color w:val="auto"/>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40</w:t>
      </w:r>
      <w:r>
        <w:rPr>
          <w:rFonts w:hint="eastAsia" w:asciiTheme="minorEastAsia" w:hAnsiTheme="minorEastAsia"/>
          <w:color w:val="auto"/>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color w:val="auto"/>
          <w:sz w:val="24"/>
          <w:highlight w:val="none"/>
        </w:rPr>
      </w:pPr>
      <w:r>
        <w:rPr>
          <w:rFonts w:hint="eastAsia" w:asciiTheme="minorEastAsia" w:hAnsiTheme="minorEastAsia"/>
          <w:color w:val="auto"/>
          <w:sz w:val="24"/>
          <w:highlight w:val="none"/>
          <w:lang w:val="en-US" w:eastAsia="zh-CN"/>
        </w:rPr>
        <w:t xml:space="preserve">40</w:t>
      </w:r>
      <w:r>
        <w:rPr>
          <w:rFonts w:hint="eastAsia" w:asciiTheme="minorEastAsia" w:hAnsiTheme="minorEastAsia"/>
          <w:color w:val="auto"/>
          <w:sz w:val="24"/>
          <w:highlight w:val="none"/>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4</w:t>
      </w:r>
      <w:r>
        <w:rPr>
          <w:rFonts w:hint="eastAsia" w:asciiTheme="minorEastAsia" w:hAnsiTheme="minorEastAsia"/>
          <w:b/>
          <w:color w:val="auto"/>
          <w:sz w:val="24"/>
          <w:highlight w:val="none"/>
          <w:lang w:val="en-US" w:eastAsia="zh-CN"/>
        </w:rPr>
        <w:t xml:space="preserve">1</w:t>
      </w:r>
      <w:r>
        <w:rPr>
          <w:rFonts w:hint="eastAsia" w:asciiTheme="minorEastAsia" w:hAnsiTheme="minorEastAsia"/>
          <w:b/>
          <w:color w:val="auto"/>
          <w:sz w:val="24"/>
          <w:highlight w:val="none"/>
        </w:rPr>
        <w:t xml:space="preserve">.政府采购需求标准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w:t>
      </w:r>
      <w:r>
        <w:rPr>
          <w:rFonts w:hint="eastAsia" w:asciiTheme="minorEastAsia" w:hAnsiTheme="minorEastAsia"/>
          <w:color w:val="auto"/>
          <w:sz w:val="24"/>
          <w:szCs w:val="24"/>
          <w:highlight w:val="none"/>
          <w:lang w:val="en-US" w:eastAsia="zh-CN"/>
        </w:rPr>
        <w:t xml:space="preserve">1</w:t>
      </w:r>
      <w:r>
        <w:rPr>
          <w:rFonts w:hint="eastAsia" w:asciiTheme="minorEastAsia" w:hAnsiTheme="minorEastAsia"/>
          <w:color w:val="auto"/>
          <w:sz w:val="24"/>
          <w:szCs w:val="24"/>
          <w:highlight w:val="none"/>
        </w:rPr>
        <w:t xml:space="preserve">.1 本项目执行《绿色数据中心政府采购需求</w:t>
      </w:r>
      <w:r>
        <w:rPr>
          <w:rFonts w:hint="eastAsia" w:asciiTheme="minorEastAsia" w:hAnsiTheme="minorEastAsia"/>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color w:val="auto"/>
          <w:sz w:val="24"/>
          <w:szCs w:val="24"/>
          <w:highlight w:val="none"/>
        </w:rPr>
      </w:pPr>
      <w:r>
        <w:rPr>
          <w:color w:val="auto"/>
          <w:sz w:val="24"/>
          <w:szCs w:val="24"/>
          <w:highlight w:val="none"/>
        </w:rPr>
        <w:br w:type="page" w:clear="all"/>
      </w:r>
      <w:r/>
    </w:p>
    <w:p>
      <w:pPr>
        <w:pStyle w:val="677"/>
        <w:jc w:val="center"/>
        <w:spacing w:line="360" w:lineRule="auto"/>
        <w:rPr>
          <w:rFonts w:ascii="黑体" w:hAnsi="黑体" w:eastAsia="黑体"/>
          <w:b w:val="0"/>
          <w:color w:val="auto"/>
          <w:highlight w:val="none"/>
        </w:rPr>
      </w:pPr>
      <w:r/>
      <w:bookmarkStart w:id="4" w:name="_Toc162361612"/>
      <w:r>
        <w:rPr>
          <w:rFonts w:hint="eastAsia" w:ascii="黑体" w:hAnsi="黑体" w:eastAsia="黑体"/>
          <w:b w:val="0"/>
          <w:color w:val="auto"/>
          <w:highlight w:val="none"/>
        </w:rPr>
        <w:t xml:space="preserve">第三章  合同文本</w:t>
      </w:r>
      <w:bookmarkEnd w:id="4"/>
      <w:r/>
      <w:r/>
    </w:p>
    <w:p>
      <w:pPr>
        <w:jc w:val="center"/>
        <w:spacing w:line="500" w:lineRule="exact"/>
        <w:rPr>
          <w:rFonts w:ascii="黑体" w:hAnsi="黑体" w:eastAsia="黑体"/>
          <w:color w:val="auto"/>
          <w:sz w:val="32"/>
          <w:szCs w:val="24"/>
          <w:highlight w:val="none"/>
        </w:rPr>
      </w:pPr>
      <w:r/>
      <w:bookmarkStart w:id="5" w:name="OLE_LINK154"/>
      <w:r/>
      <w:bookmarkStart w:id="6" w:name="OLE_LINK155"/>
      <w:r>
        <w:rPr>
          <w:rFonts w:hint="eastAsia" w:ascii="黑体" w:hAnsi="黑体" w:eastAsia="黑体"/>
          <w:color w:val="auto"/>
          <w:sz w:val="32"/>
          <w:szCs w:val="24"/>
          <w:highlight w:val="none"/>
        </w:rPr>
        <w:t xml:space="preserve">连云港市政府采购合同（服务）</w:t>
      </w:r>
      <w:r/>
    </w:p>
    <w:p>
      <w:pPr>
        <w:jc w:val="center"/>
        <w:spacing w:line="500" w:lineRule="exact"/>
        <w:rPr>
          <w:rFonts w:ascii="黑体" w:hAnsi="黑体" w:eastAsia="黑体"/>
          <w:color w:val="auto"/>
          <w:sz w:val="28"/>
          <w:szCs w:val="24"/>
          <w:highlight w:val="none"/>
        </w:rPr>
      </w:pPr>
      <w:r>
        <w:rPr>
          <w:rFonts w:hint="eastAsia" w:ascii="黑体" w:hAnsi="黑体" w:eastAsia="黑体"/>
          <w:color w:val="auto"/>
          <w:sz w:val="28"/>
          <w:szCs w:val="24"/>
          <w:highlight w:val="none"/>
        </w:rPr>
        <w:t xml:space="preserve">（合同编号：***）</w:t>
      </w:r>
      <w:r/>
    </w:p>
    <w:p>
      <w:pPr>
        <w:jc w:val="left"/>
        <w:spacing w:line="500" w:lineRule="exact"/>
        <w:rPr>
          <w:color w:val="auto"/>
          <w:sz w:val="24"/>
          <w:szCs w:val="24"/>
          <w:highlight w:val="none"/>
        </w:rPr>
      </w:pPr>
      <w:r>
        <w:rPr>
          <w:rFonts w:hint="eastAsia"/>
          <w:color w:val="auto"/>
          <w:sz w:val="24"/>
          <w:szCs w:val="24"/>
          <w:highlight w:val="none"/>
        </w:rPr>
        <w:t xml:space="preserve">甲方：（买方）_________</w:t>
      </w:r>
      <w:r/>
    </w:p>
    <w:p>
      <w:pPr>
        <w:jc w:val="left"/>
        <w:spacing w:line="500" w:lineRule="exact"/>
        <w:rPr>
          <w:color w:val="auto"/>
          <w:sz w:val="24"/>
          <w:szCs w:val="24"/>
          <w:highlight w:val="none"/>
        </w:rPr>
      </w:pPr>
      <w:r>
        <w:rPr>
          <w:rFonts w:hint="eastAsia"/>
          <w:color w:val="auto"/>
          <w:sz w:val="24"/>
          <w:szCs w:val="24"/>
          <w:highlight w:val="none"/>
        </w:rPr>
        <w:t xml:space="preserve">乙方：（卖方）_________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甲、乙双方根据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rPr>
          <w:rFonts w:hint="eastAsia"/>
          <w:color w:val="auto"/>
          <w:sz w:val="24"/>
          <w:szCs w:val="24"/>
          <w:highlight w:val="none"/>
          <w:u w:val="single"/>
        </w:rPr>
        <w:t xml:space="preserve">         </w:t>
      </w:r>
      <w:r>
        <w:rPr>
          <w:rFonts w:hint="eastAsia"/>
          <w:color w:val="auto"/>
          <w:sz w:val="24"/>
          <w:szCs w:val="24"/>
          <w:highlight w:val="none"/>
        </w:rPr>
        <w:t xml:space="preserve">项目（项目编号：</w:t>
      </w:r>
      <w:r>
        <w:rPr>
          <w:rFonts w:hint="eastAsia"/>
          <w:color w:val="auto"/>
          <w:sz w:val="24"/>
          <w:szCs w:val="24"/>
          <w:highlight w:val="none"/>
          <w:u w:val="single"/>
        </w:rPr>
        <w:t xml:space="preserve">         </w:t>
      </w:r>
      <w:r>
        <w:rPr>
          <w:rFonts w:hint="eastAsia"/>
          <w:color w:val="auto"/>
          <w:sz w:val="24"/>
          <w:szCs w:val="24"/>
          <w:highlight w:val="none"/>
        </w:rPr>
        <w:t xml:space="preserve">）公开招标的结果，签订本合同。</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一、合同内容</w:t>
      </w:r>
      <w:r/>
    </w:p>
    <w:p>
      <w:pPr>
        <w:ind w:firstLine="480"/>
        <w:jc w:val="left"/>
        <w:spacing w:line="500" w:lineRule="exact"/>
        <w:rPr>
          <w:color w:val="auto"/>
          <w:sz w:val="24"/>
          <w:szCs w:val="24"/>
          <w:highlight w:val="none"/>
        </w:rPr>
      </w:pPr>
      <w:r>
        <w:rPr>
          <w:color w:val="auto"/>
          <w:sz w:val="24"/>
          <w:szCs w:val="24"/>
          <w:highlight w:val="none"/>
        </w:rPr>
        <w:t xml:space="preserve">1.1 服务内容：</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 xml:space="preserve">。</w:t>
      </w:r>
      <w:r/>
    </w:p>
    <w:p>
      <w:pPr>
        <w:ind w:firstLine="480"/>
        <w:jc w:val="left"/>
        <w:spacing w:line="500" w:lineRule="exact"/>
        <w:rPr>
          <w:color w:val="auto"/>
          <w:sz w:val="24"/>
          <w:szCs w:val="24"/>
          <w:highlight w:val="none"/>
        </w:rPr>
      </w:pPr>
      <w:r>
        <w:rPr>
          <w:color w:val="auto"/>
          <w:sz w:val="24"/>
          <w:szCs w:val="24"/>
          <w:highlight w:val="none"/>
        </w:rPr>
        <w:t xml:space="preserve">1.2 服务要求：</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1.3 服务标准：</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 xml:space="preserve">。</w:t>
      </w:r>
      <w:r/>
    </w:p>
    <w:p>
      <w:pPr>
        <w:ind w:firstLine="480"/>
        <w:jc w:val="left"/>
        <w:spacing w:line="50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4</w:t>
      </w:r>
      <w:r>
        <w:rPr>
          <w:color w:val="auto"/>
          <w:sz w:val="24"/>
          <w:szCs w:val="24"/>
          <w:highlight w:val="none"/>
        </w:rPr>
        <w:t xml:space="preserve"> 补充条款：</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 xml:space="preserve">。</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二、合同金额</w:t>
      </w:r>
      <w:r/>
    </w:p>
    <w:p>
      <w:pPr>
        <w:ind w:firstLine="480"/>
        <w:jc w:val="left"/>
        <w:spacing w:line="500" w:lineRule="exact"/>
        <w:rPr>
          <w:color w:val="auto"/>
          <w:sz w:val="24"/>
          <w:szCs w:val="24"/>
          <w:highlight w:val="none"/>
        </w:rPr>
      </w:pPr>
      <w:r>
        <w:rPr>
          <w:rFonts w:hint="eastAsia"/>
          <w:color w:val="auto"/>
          <w:sz w:val="24"/>
          <w:szCs w:val="24"/>
          <w:highlight w:val="none"/>
        </w:rPr>
        <w:t xml:space="preserve">2.1 本合同金额为人民币（大写）：</w:t>
      </w:r>
      <w:r>
        <w:rPr>
          <w:rFonts w:hint="eastAsia"/>
          <w:color w:val="auto"/>
          <w:sz w:val="24"/>
          <w:szCs w:val="24"/>
          <w:highlight w:val="none"/>
          <w:u w:val="single"/>
        </w:rPr>
        <w:t xml:space="preserve">            </w:t>
      </w:r>
      <w:r>
        <w:rPr>
          <w:rFonts w:hint="eastAsia"/>
          <w:color w:val="auto"/>
          <w:sz w:val="24"/>
          <w:szCs w:val="24"/>
          <w:highlight w:val="none"/>
        </w:rPr>
        <w:t xml:space="preserve">元（¥</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三、技术资料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3.1 乙方应按招标文件规定的时间向甲方提供有关技术资料。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四、知识产权</w:t>
      </w:r>
      <w:r/>
    </w:p>
    <w:p>
      <w:pPr>
        <w:ind w:firstLine="480"/>
        <w:jc w:val="left"/>
        <w:spacing w:line="500" w:lineRule="exact"/>
        <w:rPr>
          <w:color w:val="auto"/>
          <w:sz w:val="24"/>
          <w:szCs w:val="24"/>
          <w:highlight w:val="none"/>
        </w:rPr>
      </w:pPr>
      <w:r>
        <w:rPr>
          <w:rFonts w:hint="eastAsia"/>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五、产权担保</w:t>
      </w:r>
      <w:r/>
    </w:p>
    <w:p>
      <w:pPr>
        <w:ind w:firstLine="480"/>
        <w:jc w:val="left"/>
        <w:spacing w:line="500" w:lineRule="exact"/>
        <w:rPr>
          <w:color w:val="auto"/>
          <w:sz w:val="24"/>
          <w:szCs w:val="24"/>
          <w:highlight w:val="none"/>
        </w:rPr>
      </w:pPr>
      <w:r>
        <w:rPr>
          <w:rFonts w:hint="eastAsia"/>
          <w:color w:val="auto"/>
          <w:sz w:val="24"/>
          <w:szCs w:val="24"/>
          <w:highlight w:val="none"/>
        </w:rPr>
        <w:t xml:space="preserve">5.1 乙方保证所交付标的的所有权完全属于乙方且无任何抵押、查封等产权瑕疵。</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六、履约保证金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6.1 乙方交纳</w:t>
      </w:r>
      <w:r>
        <w:rPr>
          <w:rFonts w:hint="eastAsia"/>
          <w:color w:val="auto"/>
          <w:sz w:val="24"/>
          <w:szCs w:val="24"/>
          <w:highlight w:val="none"/>
          <w:u w:val="single"/>
        </w:rPr>
        <w:t xml:space="preserve">     </w:t>
      </w:r>
      <w:r>
        <w:rPr>
          <w:rFonts w:hint="eastAsia"/>
          <w:color w:val="auto"/>
          <w:sz w:val="24"/>
          <w:szCs w:val="24"/>
          <w:highlight w:val="none"/>
        </w:rPr>
        <w:t xml:space="preserve">作为本合同的履约保证金，乙方应当以支票、汇票、本票或者金融机构、担保机构出具的保函等非现金形式提交。</w:t>
      </w:r>
      <w:r/>
    </w:p>
    <w:p>
      <w:pPr>
        <w:ind w:firstLine="480"/>
        <w:jc w:val="left"/>
        <w:spacing w:line="500" w:lineRule="exact"/>
        <w:rPr>
          <w:color w:val="auto"/>
          <w:sz w:val="24"/>
          <w:szCs w:val="24"/>
          <w:highlight w:val="none"/>
        </w:rPr>
      </w:pPr>
      <w:r>
        <w:rPr>
          <w:rFonts w:hint="eastAsia"/>
          <w:color w:val="auto"/>
          <w:sz w:val="24"/>
          <w:szCs w:val="24"/>
          <w:highlight w:val="none"/>
        </w:rPr>
        <w:t xml:space="preserve">6.2 履约保证金在乙方主要合同义务履行完毕后五个工作日内由甲方以非现金形式一次性退还。</w:t>
      </w:r>
      <w:r/>
    </w:p>
    <w:p>
      <w:pPr>
        <w:ind w:firstLine="480"/>
        <w:jc w:val="left"/>
        <w:spacing w:line="500" w:lineRule="exact"/>
        <w:rPr>
          <w:color w:val="auto"/>
          <w:sz w:val="24"/>
          <w:szCs w:val="24"/>
          <w:highlight w:val="none"/>
        </w:rPr>
      </w:pPr>
      <w:r>
        <w:rPr>
          <w:rFonts w:hint="eastAsia"/>
          <w:color w:val="auto"/>
          <w:sz w:val="24"/>
          <w:szCs w:val="24"/>
          <w:highlight w:val="none"/>
        </w:rPr>
        <w:t xml:space="preserve">6.3 乙方违约的，甲方将根据违约责任条款扣除其全部或部分履约保证金。如乙方违约给甲方造成的损失超过履约保证金的，应当依法赔偿超过部分的损失。</w:t>
      </w:r>
      <w:r/>
    </w:p>
    <w:p>
      <w:pPr>
        <w:ind w:firstLine="480"/>
        <w:jc w:val="left"/>
        <w:spacing w:line="500" w:lineRule="exact"/>
        <w:rPr>
          <w:color w:val="auto"/>
          <w:sz w:val="24"/>
          <w:szCs w:val="24"/>
          <w:highlight w:val="none"/>
        </w:rPr>
      </w:pPr>
      <w:r>
        <w:rPr>
          <w:rFonts w:hint="eastAsia"/>
          <w:color w:val="auto"/>
          <w:sz w:val="24"/>
          <w:szCs w:val="24"/>
          <w:highlight w:val="none"/>
        </w:rPr>
        <w:t xml:space="preserve">6.4 逾期退还履约保证金的甲方承担违约责任，按照中国人民银行同期贷款基准利率支付超期资金占用费。</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七、合同转包或分包</w:t>
      </w:r>
      <w:r/>
    </w:p>
    <w:p>
      <w:pPr>
        <w:ind w:firstLine="480"/>
        <w:jc w:val="left"/>
        <w:spacing w:line="500" w:lineRule="exact"/>
        <w:rPr>
          <w:color w:val="auto"/>
          <w:sz w:val="24"/>
          <w:szCs w:val="24"/>
          <w:highlight w:val="none"/>
        </w:rPr>
      </w:pPr>
      <w:r>
        <w:rPr>
          <w:rFonts w:hint="eastAsia"/>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color w:val="auto"/>
          <w:sz w:val="24"/>
          <w:szCs w:val="24"/>
          <w:highlight w:val="none"/>
        </w:rPr>
      </w:pPr>
      <w:r>
        <w:rPr>
          <w:rFonts w:hint="eastAsia"/>
          <w:color w:val="auto"/>
          <w:sz w:val="24"/>
          <w:szCs w:val="24"/>
          <w:highlight w:val="none"/>
        </w:rPr>
        <w:t xml:space="preserve">7.2 如有转让和未经甲方同意的分包行为，甲方有权终止合同。</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八、服务时间</w:t>
      </w:r>
      <w:r/>
    </w:p>
    <w:p>
      <w:pPr>
        <w:ind w:firstLine="480"/>
        <w:jc w:val="left"/>
        <w:spacing w:line="500" w:lineRule="exact"/>
        <w:rPr>
          <w:rFonts w:ascii="黑体" w:hAnsi="黑体" w:eastAsia="黑体"/>
          <w:color w:val="auto"/>
          <w:sz w:val="24"/>
          <w:szCs w:val="24"/>
          <w:highlight w:val="none"/>
        </w:rPr>
      </w:pPr>
      <w:r>
        <w:rPr>
          <w:rFonts w:hint="eastAsia"/>
          <w:color w:val="auto"/>
          <w:sz w:val="24"/>
          <w:szCs w:val="24"/>
          <w:highlight w:val="none"/>
        </w:rPr>
        <w:t xml:space="preserve">8.1 服务时间：</w:t>
      </w:r>
      <w:r>
        <w:rPr>
          <w:rFonts w:hint="eastAsia"/>
          <w:color w:val="auto"/>
          <w:sz w:val="24"/>
          <w:szCs w:val="24"/>
          <w:highlight w:val="none"/>
          <w:u w:val="single"/>
        </w:rPr>
        <w:t xml:space="preserve">           </w:t>
      </w:r>
      <w:r>
        <w:rPr>
          <w:rFonts w:hint="eastAsia" w:ascii="黑体" w:hAnsi="黑体" w:eastAsia="黑体"/>
          <w:color w:val="auto"/>
          <w:sz w:val="24"/>
          <w:szCs w:val="24"/>
          <w:highlight w:val="none"/>
          <w:u w:val="single"/>
        </w:rPr>
        <w:t xml:space="preserve"> </w:t>
      </w:r>
      <w:r>
        <w:rPr>
          <w:rFonts w:hint="eastAsia" w:ascii="黑体" w:hAnsi="黑体" w:eastAsia="黑体"/>
          <w:color w:val="auto"/>
          <w:sz w:val="24"/>
          <w:szCs w:val="24"/>
          <w:highlight w:val="none"/>
        </w:rPr>
        <w:t xml:space="preserve">。</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九、交付期、交付方式及交付地点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9.1 交 付 期：_________。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9.2 交付方式：_________。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9.3 交付地点：_________。</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十、合同款支付</w:t>
      </w:r>
      <w:r/>
    </w:p>
    <w:p>
      <w:pPr>
        <w:ind w:firstLine="480"/>
        <w:jc w:val="left"/>
        <w:spacing w:line="500" w:lineRule="exact"/>
        <w:rPr>
          <w:color w:val="auto"/>
          <w:sz w:val="24"/>
          <w:szCs w:val="24"/>
          <w:highlight w:val="none"/>
        </w:rPr>
      </w:pPr>
      <w:r>
        <w:rPr>
          <w:rFonts w:hint="eastAsia"/>
          <w:color w:val="auto"/>
          <w:sz w:val="24"/>
          <w:szCs w:val="24"/>
          <w:highlight w:val="none"/>
        </w:rPr>
        <w:t xml:space="preserve">10.1 付款方式：_________。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十一、税费</w:t>
      </w:r>
      <w:r/>
    </w:p>
    <w:p>
      <w:pPr>
        <w:ind w:firstLine="480"/>
        <w:jc w:val="left"/>
        <w:spacing w:line="500" w:lineRule="exact"/>
        <w:rPr>
          <w:color w:val="auto"/>
          <w:sz w:val="24"/>
          <w:szCs w:val="24"/>
          <w:highlight w:val="none"/>
        </w:rPr>
      </w:pPr>
      <w:r>
        <w:rPr>
          <w:rFonts w:hint="eastAsia"/>
          <w:color w:val="auto"/>
          <w:sz w:val="24"/>
          <w:szCs w:val="24"/>
          <w:highlight w:val="none"/>
        </w:rPr>
        <w:t xml:space="preserve">11.1 本合同执行中相关的一切税费均由乙方负担。</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十二、质量保证及售后服务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12.1 乙方应按招标文件规定和投标文件承诺的性能、技术要求、质量标准向甲方提供产品或服务。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（1）更换：由乙方承担所产生的全部费用。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12.3 如在使用过程中发生质量问题，乙方在接到甲方通知后在</w:t>
      </w:r>
      <w:r>
        <w:rPr>
          <w:rFonts w:hint="eastAsia"/>
          <w:color w:val="auto"/>
          <w:sz w:val="24"/>
          <w:szCs w:val="24"/>
          <w:highlight w:val="none"/>
          <w:u w:val="single"/>
        </w:rPr>
        <w:t xml:space="preserve">   </w:t>
      </w:r>
      <w:r>
        <w:rPr>
          <w:rFonts w:hint="eastAsia"/>
          <w:color w:val="auto"/>
          <w:sz w:val="24"/>
          <w:szCs w:val="24"/>
          <w:highlight w:val="none"/>
        </w:rPr>
        <w:t xml:space="preserve">小时内到达甲方现场。</w:t>
      </w:r>
      <w:r/>
    </w:p>
    <w:p>
      <w:pPr>
        <w:ind w:firstLine="480"/>
        <w:jc w:val="left"/>
        <w:spacing w:line="500" w:lineRule="exact"/>
        <w:rPr>
          <w:color w:val="auto"/>
          <w:sz w:val="24"/>
          <w:szCs w:val="24"/>
          <w:highlight w:val="none"/>
        </w:rPr>
      </w:pPr>
      <w:r>
        <w:rPr>
          <w:rFonts w:hint="eastAsia"/>
          <w:color w:val="auto"/>
          <w:sz w:val="24"/>
          <w:szCs w:val="24"/>
          <w:highlight w:val="none"/>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十三、项目验收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13.1 甲方依法组织履约验收工作。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13.3 对于实际使用人和甲方分离的项目，甲方邀请实际使用人参与验收。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auto"/>
          <w:sz w:val="24"/>
          <w:szCs w:val="24"/>
          <w:highlight w:val="none"/>
        </w:rPr>
      </w:pPr>
      <w:r>
        <w:rPr>
          <w:rFonts w:hint="eastAsia"/>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十四、合同内容的交付</w:t>
      </w:r>
      <w:r/>
    </w:p>
    <w:p>
      <w:pPr>
        <w:ind w:firstLine="480"/>
        <w:jc w:val="left"/>
        <w:spacing w:line="500" w:lineRule="exact"/>
        <w:rPr>
          <w:color w:val="auto"/>
          <w:sz w:val="24"/>
          <w:szCs w:val="24"/>
          <w:highlight w:val="none"/>
        </w:rPr>
      </w:pPr>
      <w:r>
        <w:rPr>
          <w:rFonts w:hint="eastAsia"/>
          <w:color w:val="auto"/>
          <w:sz w:val="24"/>
          <w:szCs w:val="24"/>
          <w:highlight w:val="none"/>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14.2 使用说明书、质量检验证明书等一并提交甲方。</w:t>
      </w:r>
      <w:r/>
    </w:p>
    <w:p>
      <w:pPr>
        <w:ind w:firstLine="480"/>
        <w:jc w:val="left"/>
        <w:spacing w:line="500" w:lineRule="exact"/>
        <w:rPr>
          <w:color w:val="auto"/>
          <w:sz w:val="24"/>
          <w:szCs w:val="24"/>
          <w:highlight w:val="none"/>
        </w:rPr>
      </w:pPr>
      <w:r>
        <w:rPr>
          <w:rFonts w:hint="eastAsia"/>
          <w:color w:val="auto"/>
          <w:sz w:val="24"/>
          <w:szCs w:val="24"/>
          <w:highlight w:val="none"/>
        </w:rPr>
        <w:t xml:space="preserve">14.3 乙方在合同标的交付甲方48小时前通知甲方准备接收。</w:t>
      </w:r>
      <w:r/>
    </w:p>
    <w:p>
      <w:pPr>
        <w:ind w:firstLine="480"/>
        <w:jc w:val="left"/>
        <w:spacing w:line="500" w:lineRule="exact"/>
        <w:rPr>
          <w:color w:val="auto"/>
          <w:sz w:val="24"/>
          <w:szCs w:val="24"/>
          <w:highlight w:val="none"/>
        </w:rPr>
      </w:pPr>
      <w:r>
        <w:rPr>
          <w:rFonts w:hint="eastAsia"/>
          <w:color w:val="auto"/>
          <w:sz w:val="24"/>
          <w:szCs w:val="24"/>
          <w:highlight w:val="none"/>
        </w:rPr>
        <w:t xml:space="preserve">14.4 合同标的在交付甲方前发生的风险均由乙方负责。</w:t>
      </w:r>
      <w:r/>
    </w:p>
    <w:p>
      <w:pPr>
        <w:ind w:firstLine="480"/>
        <w:jc w:val="left"/>
        <w:spacing w:line="500" w:lineRule="exact"/>
        <w:rPr>
          <w:color w:val="auto"/>
          <w:sz w:val="24"/>
          <w:szCs w:val="24"/>
          <w:highlight w:val="none"/>
        </w:rPr>
      </w:pPr>
      <w:r>
        <w:rPr>
          <w:rFonts w:hint="eastAsia"/>
          <w:color w:val="auto"/>
          <w:sz w:val="24"/>
          <w:szCs w:val="24"/>
          <w:highlight w:val="none"/>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十五、违约责任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15.1 甲方无正当理由拒收的，甲方向乙方偿付拒收标的总值</w:t>
      </w:r>
      <w:r>
        <w:rPr>
          <w:rFonts w:hint="eastAsia"/>
          <w:color w:val="auto"/>
          <w:sz w:val="24"/>
          <w:szCs w:val="24"/>
          <w:highlight w:val="none"/>
          <w:u w:val="single"/>
        </w:rPr>
        <w:t xml:space="preserve">       </w:t>
      </w:r>
      <w:r>
        <w:rPr>
          <w:rFonts w:hint="eastAsia"/>
          <w:color w:val="auto"/>
          <w:sz w:val="24"/>
          <w:szCs w:val="24"/>
          <w:highlight w:val="none"/>
        </w:rPr>
        <w:t xml:space="preserve">的违约金。</w:t>
      </w:r>
      <w:r/>
    </w:p>
    <w:p>
      <w:pPr>
        <w:ind w:firstLine="480"/>
        <w:jc w:val="left"/>
        <w:spacing w:line="500" w:lineRule="exact"/>
        <w:rPr>
          <w:color w:val="auto"/>
          <w:sz w:val="24"/>
          <w:szCs w:val="24"/>
          <w:highlight w:val="none"/>
        </w:rPr>
      </w:pPr>
      <w:r>
        <w:rPr>
          <w:rFonts w:hint="eastAsia"/>
          <w:color w:val="auto"/>
          <w:sz w:val="24"/>
          <w:szCs w:val="24"/>
          <w:highlight w:val="none"/>
        </w:rPr>
        <w:t xml:space="preserve">15.2 甲方无故逾期验收和办理合同款支付手续的，甲方应按逾期付款总额每日</w:t>
      </w:r>
      <w:r>
        <w:rPr>
          <w:rFonts w:hint="eastAsia"/>
          <w:color w:val="auto"/>
          <w:sz w:val="24"/>
          <w:szCs w:val="24"/>
          <w:highlight w:val="none"/>
          <w:u w:val="single"/>
        </w:rPr>
        <w:t xml:space="preserve">       </w:t>
      </w:r>
      <w:r>
        <w:rPr>
          <w:rFonts w:hint="eastAsia"/>
          <w:color w:val="auto"/>
          <w:sz w:val="24"/>
          <w:szCs w:val="24"/>
          <w:highlight w:val="none"/>
        </w:rPr>
        <w:t xml:space="preserve">向乙方支付违约金，</w:t>
      </w:r>
      <w:r>
        <w:rPr>
          <w:rFonts w:hint="eastAsia" w:ascii="Times New Roman" w:hAnsi="Times New Roman"/>
          <w:color w:val="auto"/>
          <w:sz w:val="24"/>
          <w:szCs w:val="24"/>
          <w:highlight w:val="none"/>
        </w:rPr>
        <w:t xml:space="preserve">最高限额为本合同总额的</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color w:val="auto"/>
          <w:sz w:val="24"/>
          <w:szCs w:val="24"/>
          <w:highlight w:val="none"/>
          <w:u w:val="single"/>
        </w:rPr>
        <w:t xml:space="preserve">       </w:t>
      </w:r>
      <w:r>
        <w:rPr>
          <w:rFonts w:hint="eastAsia"/>
          <w:color w:val="auto"/>
          <w:sz w:val="24"/>
          <w:szCs w:val="24"/>
          <w:highlight w:val="none"/>
        </w:rPr>
        <w:t xml:space="preserve">的违约金，如造成甲方损失超过违约金的，超出部分由乙方继续承担赔偿责任。 </w:t>
      </w:r>
      <w:r/>
    </w:p>
    <w:p>
      <w:pPr>
        <w:ind w:firstLine="480"/>
        <w:jc w:val="left"/>
        <w:spacing w:line="500" w:lineRule="exact"/>
        <w:rPr>
          <w:color w:val="auto"/>
          <w:sz w:val="24"/>
          <w:szCs w:val="24"/>
          <w:highlight w:val="none"/>
        </w:rPr>
      </w:pPr>
      <w:r>
        <w:rPr>
          <w:rFonts w:hint="eastAsia"/>
          <w:color w:val="auto"/>
          <w:sz w:val="24"/>
          <w:szCs w:val="24"/>
          <w:highlight w:val="none"/>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十六、不可抗力事件处理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16.1 在合同有效期内，任何一方因不可抗力事件导致不能履行合同，则合同履行期可延长，其延长期与不可抗力影响期相同。</w:t>
      </w:r>
      <w:r/>
    </w:p>
    <w:p>
      <w:pPr>
        <w:ind w:firstLine="480"/>
        <w:jc w:val="left"/>
        <w:spacing w:line="500" w:lineRule="exact"/>
        <w:rPr>
          <w:color w:val="auto"/>
          <w:sz w:val="24"/>
          <w:szCs w:val="24"/>
          <w:highlight w:val="none"/>
        </w:rPr>
      </w:pPr>
      <w:r>
        <w:rPr>
          <w:rFonts w:hint="eastAsia"/>
          <w:color w:val="auto"/>
          <w:sz w:val="24"/>
          <w:szCs w:val="24"/>
          <w:highlight w:val="none"/>
        </w:rPr>
        <w:t xml:space="preserve">16.2 不可抗力事件发生后，应立即通知对方，并寄送有关权威机构出具的证明。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16.3 不可抗力事件延续120天以上，双方应通过友好协商，确定是否继续履行合同。</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十七、解决争议的方法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17.1 甲乙双方因合同签订、履行而发生的一切争议，应通过友好协商解决。如协商不成，按</w:t>
      </w:r>
      <w:r>
        <w:rPr>
          <w:rFonts w:hint="eastAsia"/>
          <w:color w:val="auto"/>
          <w:sz w:val="24"/>
          <w:szCs w:val="24"/>
          <w:highlight w:val="none"/>
        </w:rPr>
        <w:t xml:space="preserve">下列第</w:t>
      </w:r>
      <w:r>
        <w:rPr>
          <w:rFonts w:hint="eastAsia"/>
          <w:color w:val="auto"/>
          <w:sz w:val="24"/>
          <w:szCs w:val="24"/>
          <w:highlight w:val="none"/>
          <w:u w:val="single"/>
        </w:rPr>
        <w:t xml:space="preserve">（1）</w:t>
      </w:r>
      <w:r>
        <w:rPr>
          <w:rFonts w:hint="eastAsia"/>
          <w:color w:val="auto"/>
          <w:sz w:val="24"/>
          <w:szCs w:val="24"/>
          <w:highlight w:val="none"/>
        </w:rPr>
        <w:t xml:space="preserve">种方式解决：</w:t>
      </w:r>
      <w:r/>
    </w:p>
    <w:p>
      <w:pPr>
        <w:ind w:firstLine="480"/>
        <w:jc w:val="left"/>
        <w:spacing w:line="500" w:lineRule="exact"/>
        <w:rPr>
          <w:color w:val="auto"/>
          <w:sz w:val="24"/>
          <w:szCs w:val="24"/>
          <w:highlight w:val="none"/>
        </w:rPr>
      </w:pPr>
      <w:r>
        <w:rPr>
          <w:rFonts w:hint="eastAsia"/>
          <w:color w:val="auto"/>
          <w:sz w:val="24"/>
          <w:szCs w:val="24"/>
          <w:highlight w:val="none"/>
        </w:rPr>
        <w:t xml:space="preserve">（1）向连云港仲裁委员会申请仲裁。</w:t>
      </w:r>
      <w:r/>
    </w:p>
    <w:p>
      <w:pPr>
        <w:ind w:firstLine="480"/>
        <w:jc w:val="left"/>
        <w:spacing w:line="500" w:lineRule="exact"/>
        <w:rPr>
          <w:color w:val="auto"/>
          <w:sz w:val="24"/>
          <w:szCs w:val="24"/>
          <w:highlight w:val="none"/>
        </w:rPr>
      </w:pPr>
      <w:r>
        <w:rPr>
          <w:rFonts w:hint="eastAsia"/>
          <w:color w:val="auto"/>
          <w:sz w:val="24"/>
          <w:szCs w:val="24"/>
          <w:highlight w:val="none"/>
        </w:rPr>
        <w:t xml:space="preserve">（2）向合同签订地法院起诉，合同签订地在此约定为连云港市。</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十八、合同生效及其他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18.1 合同经双方法定代表人或授权代表签字并加盖单位公章后生效。</w:t>
      </w:r>
      <w:r/>
    </w:p>
    <w:p>
      <w:pPr>
        <w:ind w:firstLine="480"/>
        <w:jc w:val="left"/>
        <w:spacing w:line="500" w:lineRule="exact"/>
        <w:rPr>
          <w:color w:val="auto"/>
          <w:sz w:val="24"/>
          <w:szCs w:val="24"/>
          <w:highlight w:val="none"/>
        </w:rPr>
      </w:pPr>
      <w:r>
        <w:rPr>
          <w:rFonts w:hint="eastAsia"/>
          <w:color w:val="auto"/>
          <w:sz w:val="24"/>
          <w:szCs w:val="24"/>
          <w:highlight w:val="none"/>
        </w:rPr>
        <w:t xml:space="preserve">18.2 本合同未尽事宜，遵照</w:t>
      </w:r>
      <w:r>
        <w:rPr>
          <w:rFonts w:hint="eastAsia"/>
          <w:color w:val="auto"/>
          <w:sz w:val="24"/>
          <w:highlight w:val="none"/>
        </w:rPr>
        <w:t xml:space="preserve">《中华人民共和国民法典》</w:t>
      </w:r>
      <w:r>
        <w:rPr>
          <w:rFonts w:hint="eastAsia"/>
          <w:color w:val="auto"/>
          <w:sz w:val="24"/>
          <w:szCs w:val="24"/>
          <w:highlight w:val="none"/>
        </w:rPr>
        <w:t xml:space="preserve">、《</w:t>
      </w:r>
      <w:r>
        <w:rPr>
          <w:rFonts w:hint="eastAsia"/>
          <w:color w:val="auto"/>
          <w:sz w:val="24"/>
          <w:highlight w:val="none"/>
        </w:rPr>
        <w:t xml:space="preserve">中华人民共和国</w:t>
      </w:r>
      <w:r>
        <w:rPr>
          <w:rFonts w:hint="eastAsia"/>
          <w:color w:val="auto"/>
          <w:sz w:val="24"/>
          <w:szCs w:val="24"/>
          <w:highlight w:val="none"/>
        </w:rPr>
        <w:t xml:space="preserve">政府采购法》有关条文执行。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18.3 本合同正本一式两份，具有同等法律效力，甲方、乙方各执一份。</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rPr>
        <w:t xml:space="preserve">甲方：                        乙方： </w:t>
      </w:r>
      <w:r/>
    </w:p>
    <w:p>
      <w:pPr>
        <w:ind w:firstLine="480"/>
        <w:jc w:val="left"/>
        <w:spacing w:line="500" w:lineRule="exact"/>
        <w:rPr>
          <w:color w:val="auto"/>
          <w:sz w:val="24"/>
          <w:szCs w:val="24"/>
          <w:highlight w:val="none"/>
        </w:rPr>
      </w:pPr>
      <w:r>
        <w:rPr>
          <w:rFonts w:hint="eastAsia"/>
          <w:color w:val="auto"/>
          <w:sz w:val="24"/>
          <w:szCs w:val="24"/>
          <w:highlight w:val="none"/>
        </w:rPr>
        <w:t xml:space="preserve">地址：                        地址： </w:t>
      </w:r>
      <w:r/>
    </w:p>
    <w:p>
      <w:pPr>
        <w:ind w:firstLine="480"/>
        <w:jc w:val="left"/>
        <w:spacing w:line="500" w:lineRule="exact"/>
        <w:rPr>
          <w:color w:val="auto"/>
          <w:sz w:val="24"/>
          <w:szCs w:val="24"/>
          <w:highlight w:val="none"/>
        </w:rPr>
      </w:pPr>
      <w:r>
        <w:rPr>
          <w:rFonts w:hint="eastAsia"/>
          <w:color w:val="auto"/>
          <w:sz w:val="24"/>
          <w:szCs w:val="24"/>
          <w:highlight w:val="none"/>
        </w:rPr>
        <w:t xml:space="preserve">法定代表人或授权代表：        法定代表人或授权代表：</w:t>
      </w:r>
      <w:r/>
    </w:p>
    <w:p>
      <w:pPr>
        <w:ind w:firstLine="480"/>
        <w:jc w:val="left"/>
        <w:spacing w:line="500" w:lineRule="exact"/>
        <w:rPr>
          <w:color w:val="auto"/>
          <w:sz w:val="24"/>
          <w:szCs w:val="24"/>
          <w:highlight w:val="none"/>
        </w:rPr>
      </w:pPr>
      <w:r>
        <w:rPr>
          <w:rFonts w:hint="eastAsia"/>
          <w:color w:val="auto"/>
          <w:sz w:val="24"/>
          <w:szCs w:val="24"/>
          <w:highlight w:val="none"/>
        </w:rPr>
        <w:t xml:space="preserve">联系电话：                    联系电话：     </w:t>
      </w:r>
      <w:r/>
    </w:p>
    <w:p>
      <w:pPr>
        <w:ind w:firstLine="480"/>
        <w:jc w:val="left"/>
        <w:spacing w:line="500" w:lineRule="exact"/>
        <w:rPr>
          <w:color w:val="auto"/>
          <w:sz w:val="24"/>
          <w:szCs w:val="24"/>
          <w:highlight w:val="none"/>
        </w:rPr>
      </w:pPr>
      <w:r>
        <w:rPr>
          <w:rFonts w:hint="eastAsia"/>
          <w:color w:val="auto"/>
          <w:sz w:val="24"/>
          <w:szCs w:val="24"/>
          <w:highlight w:val="none"/>
        </w:rPr>
        <w:t xml:space="preserve">                                     </w:t>
      </w:r>
      <w:r/>
    </w:p>
    <w:p>
      <w:pPr>
        <w:ind w:firstLine="480"/>
        <w:jc w:val="right"/>
        <w:spacing w:line="500" w:lineRule="exact"/>
        <w:rPr>
          <w:color w:val="auto"/>
          <w:sz w:val="24"/>
          <w:szCs w:val="24"/>
          <w:highlight w:val="none"/>
        </w:rPr>
      </w:pPr>
      <w:r>
        <w:rPr>
          <w:rFonts w:hint="eastAsia"/>
          <w:color w:val="auto"/>
          <w:sz w:val="24"/>
          <w:szCs w:val="24"/>
          <w:highlight w:val="none"/>
        </w:rPr>
        <w:t xml:space="preserve">签订日期：       年    月    日</w:t>
      </w:r>
      <w:bookmarkEnd w:id="5"/>
      <w:r/>
      <w:bookmarkEnd w:id="6"/>
      <w:r/>
      <w:r/>
    </w:p>
    <w:p>
      <w:pPr>
        <w:jc w:val="left"/>
        <w:widowControl/>
        <w:rPr>
          <w:color w:val="auto"/>
          <w:sz w:val="24"/>
          <w:szCs w:val="24"/>
          <w:highlight w:val="none"/>
        </w:rPr>
      </w:pPr>
      <w:r>
        <w:rPr>
          <w:color w:val="auto"/>
          <w:sz w:val="24"/>
          <w:szCs w:val="24"/>
          <w:highlight w:val="none"/>
        </w:rPr>
        <w:br w:type="page" w:clear="all"/>
      </w:r>
      <w:r/>
    </w:p>
    <w:p>
      <w:pPr>
        <w:pStyle w:val="677"/>
        <w:jc w:val="center"/>
        <w:spacing w:line="360" w:lineRule="auto"/>
        <w:rPr>
          <w:rFonts w:ascii="黑体" w:hAnsi="黑体" w:eastAsia="黑体"/>
          <w:b w:val="0"/>
          <w:color w:val="auto"/>
          <w:highlight w:val="none"/>
        </w:rPr>
      </w:pPr>
      <w:r/>
      <w:bookmarkStart w:id="7" w:name="_Toc162361613"/>
      <w:r>
        <w:rPr>
          <w:rFonts w:hint="eastAsia" w:ascii="黑体" w:hAnsi="黑体" w:eastAsia="黑体"/>
          <w:b w:val="0"/>
          <w:color w:val="auto"/>
          <w:highlight w:val="none"/>
        </w:rPr>
        <w:t xml:space="preserve">第四章  采购需求</w:t>
      </w:r>
      <w:bookmarkEnd w:id="7"/>
      <w:r/>
      <w:r/>
    </w:p>
    <w:p>
      <w:pPr>
        <w:ind w:firstLine="482"/>
        <w:jc w:val="left"/>
        <w:spacing w:line="500" w:lineRule="exact"/>
        <w:rPr>
          <w:b/>
          <w:color w:val="auto"/>
          <w:sz w:val="24"/>
          <w:szCs w:val="24"/>
          <w:highlight w:val="none"/>
        </w:rPr>
      </w:pPr>
      <w:r>
        <w:rPr>
          <w:rFonts w:hint="eastAsia"/>
          <w:b/>
          <w:color w:val="auto"/>
          <w:sz w:val="24"/>
          <w:szCs w:val="24"/>
          <w:highlight w:val="none"/>
        </w:rPr>
        <w:t xml:space="preserve">说明：本项目属性为服务，采购标的对应的中小企业划分标准所属行业为：   其他未列明行业。</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1.根据《政府采购需求管理办法》等有关规定，采购人确定采购需求。</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2.本招标文件中以“★”标注部分为实质性要求和条件，由采购人根据实际情况设置，投标人必须逐条明确作出满足实质性要求和条件的响应，否则将按无效投标处理。</w:t>
      </w:r>
      <w:r/>
    </w:p>
    <w:tbl>
      <w:tblPr>
        <w:tblStyle w:val="68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采购需求中须满足的实质性要求和条件</w:t>
            </w:r>
            <w:r/>
          </w:p>
        </w:tc>
      </w:tr>
      <w:tr>
        <w:trPr>
          <w:jc w:val="center"/>
        </w:trPr>
        <w:tc>
          <w:tcPr>
            <w:tcW w:w="816" w:type="dxa"/>
            <w:vAlign w:val="top"/>
            <w:textDirection w:val="lrTb"/>
            <w:noWrap w:val="false"/>
          </w:tcPr>
          <w:p>
            <w:pPr>
              <w:jc w:val="center"/>
              <w:spacing w:line="500" w:lineRule="exact"/>
              <w:rPr>
                <w:b/>
                <w:color w:val="auto"/>
                <w:sz w:val="24"/>
                <w:szCs w:val="24"/>
                <w:highlight w:val="none"/>
              </w:rPr>
            </w:pPr>
            <w:r>
              <w:rPr>
                <w:b/>
                <w:color w:val="auto"/>
                <w:sz w:val="24"/>
                <w:szCs w:val="24"/>
                <w:highlight w:val="none"/>
              </w:rPr>
              <w:t xml:space="preserve">序号</w:t>
            </w:r>
            <w:r/>
          </w:p>
        </w:tc>
        <w:tc>
          <w:tcPr>
            <w:tcW w:w="7689" w:type="dxa"/>
            <w:vAlign w:val="top"/>
            <w:textDirection w:val="lrTb"/>
            <w:noWrap w:val="false"/>
          </w:tcPr>
          <w:p>
            <w:pPr>
              <w:jc w:val="center"/>
              <w:spacing w:line="500" w:lineRule="exact"/>
              <w:rPr>
                <w:b/>
                <w:color w:val="auto"/>
                <w:sz w:val="24"/>
                <w:szCs w:val="24"/>
                <w:highlight w:val="none"/>
              </w:rPr>
            </w:pPr>
            <w:r>
              <w:rPr>
                <w:b/>
                <w:color w:val="auto"/>
                <w:sz w:val="24"/>
                <w:szCs w:val="24"/>
                <w:highlight w:val="none"/>
              </w:rPr>
              <w:t xml:space="preserve">实质性要求和条件</w:t>
            </w:r>
            <w:r/>
          </w:p>
        </w:tc>
      </w:tr>
      <w:tr>
        <w:trPr>
          <w:jc w:val="center"/>
        </w:trPr>
        <w:tc>
          <w:tcPr>
            <w:tcW w:w="816" w:type="dxa"/>
            <w:vAlign w:val="center"/>
            <w:textDirection w:val="lrTb"/>
            <w:noWrap w:val="false"/>
          </w:tcPr>
          <w:p>
            <w:pPr>
              <w:jc w:val="center"/>
              <w:spacing w:line="500" w:lineRule="exact"/>
              <w:rPr>
                <w:b w:val="0"/>
                <w:bCs w:val="0"/>
                <w:color w:val="auto"/>
                <w:sz w:val="24"/>
                <w:szCs w:val="24"/>
                <w:highlight w:val="none"/>
              </w:rPr>
            </w:pPr>
            <w:r>
              <w:rPr>
                <w:rFonts w:hint="eastAsia"/>
                <w:b w:val="0"/>
                <w:bCs w:val="0"/>
                <w:color w:val="auto"/>
                <w:sz w:val="24"/>
                <w:szCs w:val="24"/>
                <w:highlight w:val="none"/>
              </w:rPr>
              <w:t xml:space="preserve">1</w:t>
            </w:r>
            <w:r/>
          </w:p>
        </w:tc>
        <w:tc>
          <w:tcPr>
            <w:tcW w:w="7689" w:type="dxa"/>
            <w:vAlign w:val="center"/>
            <w:textDirection w:val="lrTb"/>
            <w:noWrap w:val="false"/>
          </w:tcPr>
          <w:p>
            <w:pPr>
              <w:jc w:val="both"/>
              <w:spacing w:after="0" w:line="360" w:lineRule="auto"/>
              <w:rPr>
                <w:b w:val="0"/>
                <w:bCs w:val="0"/>
                <w:color w:val="auto"/>
                <w:sz w:val="24"/>
                <w:szCs w:val="24"/>
                <w:highlight w:val="none"/>
              </w:rPr>
            </w:pPr>
            <w:r>
              <w:rPr>
                <w:rFonts w:hint="eastAsia" w:ascii="Times New Roman" w:hAnsi="Times New Roman" w:eastAsia="宋体" w:cs="Times New Roman"/>
                <w:bCs/>
                <w:color w:val="auto"/>
                <w:sz w:val="24"/>
                <w:szCs w:val="24"/>
                <w:highlight w:val="none"/>
                <w14:ligatures w14:val="none"/>
              </w:rPr>
              <w:t xml:space="preserve">★符合国家、行业相关标准及主管部门要求，并通过部、省审查。</w:t>
            </w:r>
            <w:r/>
          </w:p>
        </w:tc>
      </w:tr>
      <w:tr>
        <w:trPr>
          <w:jc w:val="center"/>
        </w:trPr>
        <w:tc>
          <w:tcPr>
            <w:tcW w:w="816" w:type="dxa"/>
            <w:vAlign w:val="center"/>
            <w:textDirection w:val="lrTb"/>
            <w:noWrap w:val="false"/>
          </w:tcPr>
          <w:p>
            <w:pPr>
              <w:jc w:val="center"/>
              <w:spacing w:line="500" w:lineRule="exact"/>
              <w:rPr>
                <w:b w:val="0"/>
                <w:bCs w:val="0"/>
                <w:color w:val="auto"/>
                <w:sz w:val="24"/>
                <w:szCs w:val="24"/>
                <w:highlight w:val="none"/>
              </w:rPr>
            </w:pPr>
            <w:r>
              <w:rPr>
                <w:rFonts w:hint="eastAsia"/>
                <w:b w:val="0"/>
                <w:bCs w:val="0"/>
                <w:color w:val="auto"/>
                <w:sz w:val="24"/>
                <w:szCs w:val="24"/>
                <w:highlight w:val="none"/>
              </w:rPr>
              <w:t xml:space="preserve">2</w:t>
            </w:r>
            <w:r/>
          </w:p>
        </w:tc>
        <w:tc>
          <w:tcPr>
            <w:tcW w:w="7689" w:type="dxa"/>
            <w:vAlign w:val="center"/>
            <w:textDirection w:val="lrTb"/>
            <w:noWrap w:val="false"/>
          </w:tcPr>
          <w:p>
            <w:pPr>
              <w:jc w:val="both"/>
              <w:spacing w:after="0" w:line="360" w:lineRule="auto"/>
              <w:widowControl w:val="off"/>
              <w:rPr>
                <w:rFonts w:hint="eastAsia" w:ascii="Times New Roman" w:hAnsi="Times New Roman" w:eastAsia="宋体" w:cs="Times New Roman"/>
                <w:bCs/>
                <w:color w:val="auto"/>
                <w:sz w:val="24"/>
                <w:szCs w:val="24"/>
                <w:highlight w:val="none"/>
                <w:lang w:val="en-US" w:eastAsia="zh-CN" w:bidi="ar-SA"/>
                <w14:ligatures w14:val="none"/>
              </w:rPr>
            </w:pPr>
            <w:r>
              <w:rPr>
                <w:rFonts w:hint="eastAsia" w:ascii="Times New Roman" w:hAnsi="Times New Roman" w:eastAsia="宋体" w:cs="Times New Roman"/>
                <w:bCs/>
                <w:color w:val="auto"/>
                <w:sz w:val="24"/>
                <w:szCs w:val="24"/>
                <w:highlight w:val="none"/>
                <w:lang w:val="en-US" w:eastAsia="zh-CN" w:bidi="ar-SA"/>
                <w14:ligatures w14:val="none"/>
              </w:rPr>
              <w:t xml:space="preserve">★服务期：合同签订后30日内提交初步成果，最终成果提交时间以部、省要求为准。</w:t>
            </w:r>
            <w:r/>
          </w:p>
        </w:tc>
      </w:tr>
      <w:tr>
        <w:trPr>
          <w:jc w:val="center"/>
        </w:trPr>
        <w:tc>
          <w:tcPr>
            <w:tcW w:w="816" w:type="dxa"/>
            <w:vAlign w:val="center"/>
            <w:textDirection w:val="lrTb"/>
            <w:noWrap w:val="false"/>
          </w:tcPr>
          <w:p>
            <w:pPr>
              <w:jc w:val="center"/>
              <w:spacing w:line="500" w:lineRule="exact"/>
              <w:rPr>
                <w:b w:val="0"/>
                <w:bCs w:val="0"/>
                <w:color w:val="auto"/>
                <w:sz w:val="24"/>
                <w:szCs w:val="24"/>
                <w:highlight w:val="none"/>
              </w:rPr>
            </w:pPr>
            <w:r>
              <w:rPr>
                <w:rFonts w:hint="eastAsia"/>
                <w:b w:val="0"/>
                <w:bCs w:val="0"/>
                <w:color w:val="auto"/>
                <w:sz w:val="24"/>
                <w:szCs w:val="24"/>
                <w:highlight w:val="none"/>
              </w:rPr>
              <w:t xml:space="preserve">3</w:t>
            </w:r>
            <w:r/>
          </w:p>
        </w:tc>
        <w:tc>
          <w:tcPr>
            <w:tcW w:w="7689" w:type="dxa"/>
            <w:vAlign w:val="center"/>
            <w:textDirection w:val="lrTb"/>
            <w:noWrap w:val="false"/>
          </w:tcPr>
          <w:p>
            <w:pPr>
              <w:jc w:val="both"/>
              <w:spacing w:after="0" w:line="360" w:lineRule="auto"/>
              <w:rPr>
                <w:b w:val="0"/>
                <w:bCs w:val="0"/>
                <w:color w:val="auto"/>
                <w:sz w:val="24"/>
                <w:szCs w:val="24"/>
                <w:highlight w:val="none"/>
              </w:rPr>
            </w:pPr>
            <w:r>
              <w:rPr>
                <w:rFonts w:hint="eastAsia" w:ascii="Times New Roman" w:hAnsi="Times New Roman" w:eastAsia="宋体" w:cs="Times New Roman"/>
                <w:bCs/>
                <w:color w:val="auto"/>
                <w:sz w:val="24"/>
                <w:szCs w:val="24"/>
                <w:highlight w:val="none"/>
                <w14:ligatures w14:val="none"/>
              </w:rPr>
              <w:t xml:space="preserve">★1.付款方式：</w:t>
            </w:r>
            <w:r>
              <w:rPr>
                <w:rFonts w:hint="eastAsia" w:ascii="Times New Roman" w:hAnsi="Times New Roman" w:eastAsia="宋体" w:cs="Times New Roman"/>
                <w:bCs/>
                <w:color w:val="auto"/>
                <w:sz w:val="24"/>
                <w:szCs w:val="24"/>
                <w:highlight w:val="none"/>
                <w:lang w:val="en-US" w:eastAsia="zh-CN"/>
                <w14:ligatures w14:val="none"/>
              </w:rPr>
              <w:t xml:space="preserve">资金视财力状况统筹分批安排</w:t>
            </w:r>
            <w:r>
              <w:rPr>
                <w:rFonts w:hint="eastAsia" w:ascii="Times New Roman" w:hAnsi="Times New Roman" w:eastAsia="宋体" w:cs="Times New Roman"/>
                <w:bCs/>
                <w:color w:val="auto"/>
                <w:sz w:val="24"/>
                <w:szCs w:val="24"/>
                <w:highlight w:val="none"/>
                <w14:ligatures w14:val="none"/>
              </w:rPr>
              <w:t xml:space="preserve">，</w:t>
            </w:r>
            <w:r>
              <w:rPr>
                <w:rFonts w:hint="eastAsia" w:ascii="Times New Roman" w:hAnsi="Times New Roman" w:eastAsia="宋体" w:cs="Times New Roman"/>
                <w:bCs/>
                <w:color w:val="auto"/>
                <w:sz w:val="24"/>
                <w:szCs w:val="24"/>
                <w:highlight w:val="none"/>
                <w:lang w:val="en-US" w:eastAsia="zh-CN"/>
                <w14:ligatures w14:val="none"/>
              </w:rPr>
              <w:t xml:space="preserve">三</w:t>
            </w:r>
            <w:r>
              <w:rPr>
                <w:rFonts w:hint="eastAsia" w:ascii="Times New Roman" w:hAnsi="Times New Roman" w:eastAsia="宋体" w:cs="Times New Roman"/>
                <w:bCs/>
                <w:color w:val="auto"/>
                <w:sz w:val="24"/>
                <w:szCs w:val="24"/>
                <w:highlight w:val="none"/>
                <w14:ligatures w14:val="none"/>
              </w:rPr>
              <w:t xml:space="preserve">年内付清</w:t>
            </w:r>
            <w:r>
              <w:rPr>
                <w:rFonts w:hint="eastAsia" w:ascii="Times New Roman" w:hAnsi="Times New Roman" w:eastAsia="宋体" w:cs="Times New Roman"/>
                <w:bCs/>
                <w:color w:val="auto"/>
                <w:sz w:val="24"/>
                <w:szCs w:val="24"/>
                <w:highlight w:val="none"/>
                <w:lang w:eastAsia="zh-CN"/>
                <w14:ligatures w14:val="none"/>
              </w:rPr>
              <w:t xml:space="preserve">。</w:t>
            </w:r>
            <w:r/>
          </w:p>
        </w:tc>
      </w:tr>
    </w:tbl>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bookmarkStart w:id="8" w:name="_Toc162361614"/>
      <w:r>
        <w:rPr>
          <w:rFonts w:hint="eastAsia" w:ascii="Times New Roman" w:hAnsi="Times New Roman" w:eastAsia="宋体" w:cs="Times New Roman"/>
          <w:bCs/>
          <w:color w:val="auto"/>
          <w:sz w:val="24"/>
          <w:szCs w:val="24"/>
          <w:highlight w:val="none"/>
          <w14:ligatures w14:val="none"/>
        </w:rPr>
        <w:t xml:space="preserve">一、项目名称：灌南县</w:t>
      </w:r>
      <w:r>
        <w:rPr>
          <w:rFonts w:hint="default" w:ascii="Times New Roman" w:hAnsi="Times New Roman" w:eastAsia="宋体" w:cs="Times New Roman"/>
          <w:bCs/>
          <w:color w:val="auto"/>
          <w:sz w:val="24"/>
          <w:szCs w:val="24"/>
          <w:highlight w:val="none"/>
          <w14:ligatures w14:val="none"/>
        </w:rPr>
        <w:t xml:space="preserve">202</w:t>
      </w:r>
      <w:r>
        <w:rPr>
          <w:rFonts w:hint="eastAsia" w:ascii="Times New Roman" w:hAnsi="Times New Roman" w:eastAsia="宋体" w:cs="Times New Roman"/>
          <w:bCs/>
          <w:color w:val="auto"/>
          <w:sz w:val="24"/>
          <w:szCs w:val="24"/>
          <w:highlight w:val="none"/>
          <w14:ligatures w14:val="none"/>
        </w:rPr>
        <w:t xml:space="preserve">5</w:t>
      </w:r>
      <w:r>
        <w:rPr>
          <w:rFonts w:hint="default" w:ascii="Times New Roman" w:hAnsi="Times New Roman" w:eastAsia="宋体" w:cs="Times New Roman"/>
          <w:bCs/>
          <w:color w:val="auto"/>
          <w:sz w:val="24"/>
          <w:szCs w:val="24"/>
          <w:highlight w:val="none"/>
          <w14:ligatures w14:val="none"/>
        </w:rPr>
        <w:t xml:space="preserve">年耕地保护基础业务项目</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二、项目要求：</w:t>
      </w:r>
      <w:r>
        <w:rPr>
          <w:rFonts w:hint="default" w:ascii="Times New Roman" w:hAnsi="Times New Roman" w:eastAsia="宋体" w:cs="Times New Roman"/>
          <w:bCs/>
          <w:color w:val="auto"/>
          <w:sz w:val="24"/>
          <w:szCs w:val="24"/>
          <w:highlight w:val="none"/>
          <w14:ligatures w14:val="none"/>
        </w:rPr>
        <w:t xml:space="preserve">为贯彻落实党中央、国务院和省委、省政府关于耕地保护的决策部署，结合粮食安全责任制考核、占补平衡改革、永久基本农田动态调整等重点工作，系统谋划耕地资源配置，算好耕地保护“长远账”，实现耕地主动保护和系统保护</w:t>
      </w:r>
      <w:r>
        <w:rPr>
          <w:rFonts w:hint="eastAsia" w:ascii="Times New Roman" w:hAnsi="Times New Roman" w:eastAsia="宋体" w:cs="Times New Roman"/>
          <w:bCs/>
          <w:color w:val="auto"/>
          <w:sz w:val="24"/>
          <w:szCs w:val="24"/>
          <w:highlight w:val="none"/>
          <w14:ligatures w14:val="none"/>
        </w:rPr>
        <w:t xml:space="preserve">。</w:t>
      </w:r>
      <w:r>
        <w:rPr>
          <w:rFonts w:hint="default" w:ascii="Times New Roman" w:hAnsi="Times New Roman" w:eastAsia="宋体" w:cs="Times New Roman"/>
          <w:bCs/>
          <w:color w:val="auto"/>
          <w:sz w:val="24"/>
          <w:szCs w:val="24"/>
          <w:highlight w:val="none"/>
          <w14:ligatures w14:val="none"/>
        </w:rPr>
        <w:t xml:space="preserve">根据</w:t>
      </w:r>
      <w:r>
        <w:rPr>
          <w:rFonts w:hint="eastAsia" w:ascii="Times New Roman" w:hAnsi="Times New Roman" w:eastAsia="宋体" w:cs="Times New Roman"/>
          <w:bCs/>
          <w:color w:val="auto"/>
          <w:sz w:val="24"/>
          <w:szCs w:val="24"/>
          <w:highlight w:val="none"/>
          <w14:ligatures w14:val="none"/>
        </w:rPr>
        <w:t xml:space="preserve">《永久基本农田保护红线管理办法》、</w:t>
      </w:r>
      <w:r>
        <w:rPr>
          <w:rFonts w:hint="default" w:ascii="Times New Roman" w:hAnsi="Times New Roman" w:eastAsia="宋体" w:cs="Times New Roman"/>
          <w:bCs/>
          <w:color w:val="auto"/>
          <w:sz w:val="24"/>
          <w:szCs w:val="24"/>
          <w:highlight w:val="none"/>
          <w14:ligatures w14:val="none"/>
        </w:rPr>
        <w:t xml:space="preserve">自然资源部办公厅、国家林业和草原局办公室《关于印发&lt;耕地保护和国土绿化空间专项规划编制工作方案&gt;的函》</w:t>
      </w:r>
      <w:r>
        <w:rPr>
          <w:rFonts w:hint="eastAsia" w:ascii="Times New Roman" w:hAnsi="Times New Roman" w:eastAsia="宋体" w:cs="Times New Roman"/>
          <w:bCs/>
          <w:color w:val="auto"/>
          <w:sz w:val="24"/>
          <w:szCs w:val="24"/>
          <w:highlight w:val="none"/>
          <w14:ligatures w14:val="none"/>
        </w:rPr>
        <w:t xml:space="preserve">、江苏省自然资源厅</w:t>
      </w:r>
      <w:r>
        <w:rPr>
          <w:rFonts w:hint="default" w:ascii="Times New Roman" w:hAnsi="Times New Roman" w:eastAsia="宋体" w:cs="Times New Roman"/>
          <w:bCs/>
          <w:color w:val="auto"/>
          <w:sz w:val="24"/>
          <w:szCs w:val="24"/>
          <w:highlight w:val="none"/>
          <w14:ligatures w14:val="none"/>
        </w:rPr>
        <w:t xml:space="preserve">《关于做好耕地恢复过渡期方案编制工作的通知》</w:t>
      </w:r>
      <w:r>
        <w:rPr>
          <w:rFonts w:hint="eastAsia" w:ascii="Times New Roman" w:hAnsi="Times New Roman" w:eastAsia="宋体" w:cs="Times New Roman"/>
          <w:bCs/>
          <w:color w:val="auto"/>
          <w:sz w:val="24"/>
          <w:szCs w:val="24"/>
          <w:highlight w:val="none"/>
          <w14:ligatures w14:val="none"/>
        </w:rPr>
        <w:t xml:space="preserve">、</w:t>
      </w:r>
      <w:r>
        <w:rPr>
          <w:rFonts w:hint="default" w:ascii="Times New Roman" w:hAnsi="Times New Roman" w:eastAsia="宋体" w:cs="Times New Roman"/>
          <w:bCs/>
          <w:color w:val="auto"/>
          <w:sz w:val="24"/>
          <w:szCs w:val="24"/>
          <w:highlight w:val="none"/>
          <w14:ligatures w14:val="none"/>
        </w:rPr>
        <w:t xml:space="preserve">江苏省自然资源厅《关于开展2025年征地区片综合地价调整工作的通知》等</w:t>
      </w:r>
      <w:r>
        <w:rPr>
          <w:rFonts w:hint="eastAsia" w:ascii="Times New Roman" w:hAnsi="Times New Roman" w:eastAsia="宋体" w:cs="Times New Roman"/>
          <w:bCs/>
          <w:color w:val="auto"/>
          <w:sz w:val="24"/>
          <w:szCs w:val="24"/>
          <w:highlight w:val="none"/>
          <w14:ligatures w14:val="none"/>
        </w:rPr>
        <w:t xml:space="preserve">有关</w:t>
      </w:r>
      <w:r>
        <w:rPr>
          <w:rFonts w:hint="default" w:ascii="Times New Roman" w:hAnsi="Times New Roman" w:eastAsia="宋体" w:cs="Times New Roman"/>
          <w:bCs/>
          <w:color w:val="auto"/>
          <w:sz w:val="24"/>
          <w:szCs w:val="24"/>
          <w:highlight w:val="none"/>
          <w14:ligatures w14:val="none"/>
        </w:rPr>
        <w:t xml:space="preserve">文件要求，开展耕地保护空间和国土绿化空间“四个空间”划定、耕地</w:t>
      </w:r>
      <w:r>
        <w:rPr>
          <w:rFonts w:hint="eastAsia" w:ascii="Times New Roman" w:hAnsi="Times New Roman" w:eastAsia="宋体" w:cs="Times New Roman"/>
          <w:bCs/>
          <w:color w:val="auto"/>
          <w:sz w:val="24"/>
          <w:szCs w:val="24"/>
          <w:highlight w:val="none"/>
          <w14:ligatures w14:val="none"/>
        </w:rPr>
        <w:t xml:space="preserve">恢复</w:t>
      </w:r>
      <w:r>
        <w:rPr>
          <w:rFonts w:hint="default" w:ascii="Times New Roman" w:hAnsi="Times New Roman" w:eastAsia="宋体" w:cs="Times New Roman"/>
          <w:bCs/>
          <w:color w:val="auto"/>
          <w:sz w:val="24"/>
          <w:szCs w:val="24"/>
          <w:highlight w:val="none"/>
          <w14:ligatures w14:val="none"/>
        </w:rPr>
        <w:t xml:space="preserve">过渡期方案编制、2024年度耕地资源分区分类评价年度更新、</w:t>
      </w:r>
      <w:bookmarkStart w:id="9" w:name="OLE_LINK4"/>
      <w:r>
        <w:rPr>
          <w:rFonts w:hint="default" w:ascii="Times New Roman" w:hAnsi="Times New Roman" w:eastAsia="宋体" w:cs="Times New Roman"/>
          <w:bCs/>
          <w:color w:val="auto"/>
          <w:sz w:val="24"/>
          <w:szCs w:val="24"/>
          <w:highlight w:val="none"/>
          <w14:ligatures w14:val="none"/>
        </w:rPr>
        <w:t xml:space="preserve">2025年永久基本农田储备区更新</w:t>
      </w:r>
      <w:bookmarkEnd w:id="9"/>
      <w:r>
        <w:rPr>
          <w:rFonts w:hint="default" w:ascii="Times New Roman" w:hAnsi="Times New Roman" w:eastAsia="宋体" w:cs="Times New Roman"/>
          <w:bCs/>
          <w:color w:val="auto"/>
          <w:sz w:val="24"/>
          <w:szCs w:val="24"/>
          <w:highlight w:val="none"/>
          <w14:ligatures w14:val="none"/>
        </w:rPr>
        <w:t xml:space="preserve">、2025年征地区片综合地价调整、采矿损毁土地调查以及耕地保护基础服务。</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（一）工作范围</w:t>
      </w:r>
      <w:r/>
    </w:p>
    <w:p>
      <w:pPr>
        <w:ind w:firstLine="480"/>
        <w:spacing w:after="0" w:line="360" w:lineRule="auto"/>
        <w:rPr>
          <w:rFonts w:hint="default" w:ascii="宋体" w:hAnsi="Times New Roman" w:eastAsia="宋体" w:cs="宋体"/>
          <w:bCs/>
          <w:color w:val="auto"/>
          <w:sz w:val="24"/>
          <w:szCs w:val="24"/>
          <w:highlight w:val="none"/>
          <w:lang w:val="en-US" w:eastAsia="zh-CN"/>
          <w14:ligatures w14:val="none"/>
        </w:rPr>
      </w:pPr>
      <w:r>
        <w:rPr>
          <w:rFonts w:hint="default" w:ascii="宋体" w:hAnsi="Times New Roman" w:eastAsia="宋体" w:cs="宋体"/>
          <w:bCs/>
          <w:color w:val="auto"/>
          <w:sz w:val="24"/>
          <w:szCs w:val="24"/>
          <w:highlight w:val="none"/>
          <w14:ligatures w14:val="none"/>
        </w:rPr>
        <w:t xml:space="preserve">耕地保护空间和国土绿化空间</w:t>
      </w:r>
      <w:r>
        <w:rPr>
          <w:rFonts w:hint="eastAsia" w:ascii="宋体" w:hAnsi="Times New Roman" w:eastAsia="宋体" w:cs="宋体"/>
          <w:bCs/>
          <w:color w:val="auto"/>
          <w:sz w:val="24"/>
          <w:szCs w:val="24"/>
          <w:highlight w:val="none"/>
          <w14:ligatures w14:val="none"/>
        </w:rPr>
        <w:t xml:space="preserve">划定、</w:t>
      </w:r>
      <w:bookmarkStart w:id="10" w:name="OLE_LINK1"/>
      <w:r/>
      <w:bookmarkStart w:id="11" w:name="OLE_LINK2"/>
      <w:r>
        <w:rPr>
          <w:rFonts w:hint="default" w:ascii="宋体" w:hAnsi="Times New Roman" w:eastAsia="宋体" w:cs="宋体"/>
          <w:bCs/>
          <w:color w:val="auto"/>
          <w:sz w:val="24"/>
          <w:szCs w:val="24"/>
          <w:highlight w:val="none"/>
          <w14:ligatures w14:val="none"/>
        </w:rPr>
        <w:t xml:space="preserve">耕地资源分区分类评价年度更新</w:t>
      </w:r>
      <w:bookmarkEnd w:id="10"/>
      <w:r/>
      <w:bookmarkEnd w:id="11"/>
      <w:r>
        <w:rPr>
          <w:rFonts w:hint="eastAsia" w:ascii="宋体" w:hAnsi="Times New Roman" w:eastAsia="宋体" w:cs="宋体"/>
          <w:bCs/>
          <w:color w:val="auto"/>
          <w:sz w:val="24"/>
          <w:szCs w:val="24"/>
          <w:highlight w:val="none"/>
          <w14:ligatures w14:val="none"/>
        </w:rPr>
        <w:t xml:space="preserve">工作范围为2024年灌南县国土变更调查成果中的所有</w:t>
      </w:r>
      <w:r>
        <w:rPr>
          <w:rFonts w:hint="default" w:ascii="宋体" w:hAnsi="Times New Roman" w:eastAsia="宋体" w:cs="宋体"/>
          <w:bCs/>
          <w:color w:val="auto"/>
          <w:sz w:val="24"/>
          <w:szCs w:val="24"/>
          <w:highlight w:val="none"/>
          <w14:ligatures w14:val="none"/>
        </w:rPr>
        <w:t xml:space="preserve">耕地</w:t>
      </w:r>
      <w:r>
        <w:rPr>
          <w:rFonts w:hint="eastAsia" w:ascii="宋体" w:hAnsi="Times New Roman" w:eastAsia="宋体" w:cs="宋体"/>
          <w:bCs/>
          <w:color w:val="auto"/>
          <w:sz w:val="24"/>
          <w:szCs w:val="24"/>
          <w:highlight w:val="none"/>
          <w14:ligatures w14:val="none"/>
        </w:rPr>
        <w:t xml:space="preserve">（按城镇村不打开）；</w:t>
      </w:r>
      <w:r>
        <w:rPr>
          <w:rFonts w:hint="eastAsia" w:ascii="Times New Roman" w:hAnsi="Times New Roman" w:eastAsia="宋体" w:cs="Times New Roman"/>
          <w:bCs/>
          <w:color w:val="auto"/>
          <w:sz w:val="24"/>
          <w:szCs w:val="24"/>
          <w:highlight w:val="none"/>
          <w14:ligatures w14:val="none"/>
        </w:rPr>
        <w:t xml:space="preserve">耕地恢复</w:t>
      </w:r>
      <w:r>
        <w:rPr>
          <w:rFonts w:hint="default" w:ascii="Times New Roman" w:hAnsi="Times New Roman" w:eastAsia="宋体" w:cs="Times New Roman"/>
          <w:bCs/>
          <w:color w:val="auto"/>
          <w:sz w:val="24"/>
          <w:szCs w:val="24"/>
          <w:highlight w:val="none"/>
          <w14:ligatures w14:val="none"/>
        </w:rPr>
        <w:t xml:space="preserve">过渡期方案处置范围</w:t>
      </w:r>
      <w:r>
        <w:rPr>
          <w:rFonts w:hint="eastAsia" w:ascii="Times New Roman" w:hAnsi="Times New Roman" w:eastAsia="宋体" w:cs="Times New Roman"/>
          <w:bCs/>
          <w:color w:val="auto"/>
          <w:sz w:val="24"/>
          <w:szCs w:val="24"/>
          <w:highlight w:val="none"/>
          <w14:ligatures w14:val="none"/>
        </w:rPr>
        <w:t xml:space="preserve">包括“三调”前已在耕地上种树种果等，但“三调”时点尚未达到林地或园地等认定标准而被调查为耕地，在后续年份国土变更调查中流向林地、园地等的地块和为巩固拓展脱贫攻坚成果，于2020-2025年间开展农业结构调整，在2025年前或今后某年度变更调查时，耕地流出变为其他农用地的地块；</w:t>
      </w:r>
      <w:r>
        <w:rPr>
          <w:rFonts w:hint="default" w:ascii="宋体" w:hAnsi="Times New Roman" w:eastAsia="宋体" w:cs="宋体"/>
          <w:bCs/>
          <w:color w:val="auto"/>
          <w:sz w:val="24"/>
          <w:szCs w:val="24"/>
          <w:highlight w:val="none"/>
          <w14:ligatures w14:val="none"/>
        </w:rPr>
        <w:t xml:space="preserve">永久基本农田储备区更新</w:t>
      </w:r>
      <w:r>
        <w:rPr>
          <w:rFonts w:hint="eastAsia" w:ascii="宋体" w:hAnsi="Times New Roman" w:eastAsia="宋体" w:cs="宋体"/>
          <w:bCs/>
          <w:color w:val="auto"/>
          <w:sz w:val="24"/>
          <w:szCs w:val="24"/>
          <w:highlight w:val="none"/>
          <w14:ligatures w14:val="none"/>
        </w:rPr>
        <w:t xml:space="preserve">工作范围为</w:t>
      </w:r>
      <w:r>
        <w:rPr>
          <w:rFonts w:hint="default" w:ascii="宋体" w:hAnsi="Times New Roman" w:eastAsia="宋体" w:cs="宋体"/>
          <w:bCs/>
          <w:color w:val="auto"/>
          <w:sz w:val="24"/>
          <w:szCs w:val="24"/>
          <w:highlight w:val="none"/>
          <w14:ligatures w14:val="none"/>
        </w:rPr>
        <w:t xml:space="preserve">未划入永久基本农田的现状优质耕地</w:t>
      </w:r>
      <w:r>
        <w:rPr>
          <w:rFonts w:hint="eastAsia" w:ascii="宋体" w:hAnsi="Times New Roman" w:eastAsia="宋体" w:cs="宋体"/>
          <w:bCs/>
          <w:color w:val="auto"/>
          <w:sz w:val="24"/>
          <w:szCs w:val="24"/>
          <w:highlight w:val="none"/>
          <w14:ligatures w14:val="none"/>
        </w:rPr>
        <w:t xml:space="preserve">；</w:t>
      </w:r>
      <w:r>
        <w:rPr>
          <w:rFonts w:hint="default" w:ascii="宋体" w:hAnsi="Times New Roman" w:eastAsia="宋体" w:cs="宋体"/>
          <w:bCs/>
          <w:color w:val="auto"/>
          <w:sz w:val="24"/>
          <w:szCs w:val="24"/>
          <w:highlight w:val="none"/>
          <w14:ligatures w14:val="none"/>
        </w:rPr>
        <w:t xml:space="preserve">征地区片综合地价调整</w:t>
      </w:r>
      <w:r>
        <w:rPr>
          <w:rFonts w:hint="eastAsia" w:ascii="宋体" w:hAnsi="Times New Roman" w:eastAsia="宋体" w:cs="宋体"/>
          <w:bCs/>
          <w:color w:val="auto"/>
          <w:sz w:val="24"/>
          <w:szCs w:val="24"/>
          <w:highlight w:val="none"/>
          <w14:ligatures w14:val="none"/>
        </w:rPr>
        <w:t xml:space="preserve">工作范围为灌南县行政辖区范围；</w:t>
      </w:r>
      <w:r>
        <w:rPr>
          <w:rFonts w:hint="eastAsia" w:ascii="宋体" w:hAnsi="Times New Roman" w:eastAsia="宋体" w:cs="宋体"/>
          <w:bCs/>
          <w:color w:val="auto"/>
          <w:sz w:val="24"/>
          <w:szCs w:val="24"/>
          <w:highlight w:val="none"/>
          <w:lang w:val="en-US" w:eastAsia="zh-CN"/>
          <w14:ligatures w14:val="none"/>
        </w:rPr>
        <w:t xml:space="preserve">采矿损毁土地调查以上级下发图斑为准。</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（二）工作内容</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1、</w:t>
      </w:r>
      <w:r>
        <w:rPr>
          <w:rFonts w:hint="default" w:ascii="Times New Roman" w:hAnsi="Times New Roman" w:eastAsia="宋体" w:cs="Times New Roman"/>
          <w:bCs/>
          <w:color w:val="auto"/>
          <w:sz w:val="24"/>
          <w:szCs w:val="24"/>
          <w:highlight w:val="none"/>
          <w14:ligatures w14:val="none"/>
        </w:rPr>
        <w:t xml:space="preserve">耕地保护空间和国土绿化空间</w:t>
      </w:r>
      <w:r>
        <w:rPr>
          <w:rFonts w:hint="eastAsia" w:ascii="Times New Roman" w:hAnsi="Times New Roman" w:eastAsia="宋体" w:cs="Times New Roman"/>
          <w:bCs/>
          <w:color w:val="auto"/>
          <w:sz w:val="24"/>
          <w:szCs w:val="24"/>
          <w:highlight w:val="none"/>
          <w14:ligatures w14:val="none"/>
        </w:rPr>
        <w:t xml:space="preserve">划定</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1）分析研判。基于相关基础数据，充分运用前期林地落界阶段性成果，结合国土空间规划体检评估，全面梳理耕地、林地等资源保护现状、近年来流向、后备资源等情况，系统分析边界不清、管理交叉、布局不优等问题。</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2）明确目标。以严格落实上级下达的耕地保有量、永久基本农田保护任务为底线，综合考虑近年来耕地流入流出情况、新增建设占用耕地趋势等，对接“十五五”及未来十年经济社会高质量发展用地需求，科学合理、实事求是确定耕地空间、耕地补充空间等划定目标。</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（3）划定耕地保护空间。以2024 年度国土变更调查、林草湿荒普查结果为底图，衔接2025 年度国土变更调查、林草湿荒普查数据，通过内业分析、实地调查等形式，按照“宜耕则耕、宜林则林”的原则，在有效处置耕地、林地空间矛盾的基础上，划定耕地空间和耕地补充空间。</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（4）编制成果。根据部省成果要求，编制空间划定成果数据</w:t>
      </w:r>
      <w:r>
        <w:rPr>
          <w:rFonts w:hint="default" w:ascii="Times New Roman" w:hAnsi="Times New Roman" w:eastAsia="宋体" w:cs="Times New Roman"/>
          <w:bCs/>
          <w:color w:val="auto"/>
          <w:sz w:val="24"/>
          <w:szCs w:val="24"/>
          <w:highlight w:val="none"/>
          <w14:ligatures w14:val="none"/>
        </w:rPr>
        <w:t xml:space="preserve">，并配合完成成果报部汇交</w:t>
      </w:r>
      <w:r>
        <w:rPr>
          <w:rFonts w:hint="eastAsia" w:ascii="Times New Roman" w:hAnsi="Times New Roman" w:eastAsia="宋体" w:cs="Times New Roman"/>
          <w:bCs/>
          <w:color w:val="auto"/>
          <w:sz w:val="24"/>
          <w:szCs w:val="24"/>
          <w:highlight w:val="none"/>
          <w14:ligatures w14:val="none"/>
        </w:rPr>
        <w:t xml:space="preserve">。</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2、耕地恢复过渡期方案</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（1）确定过渡期处置范围。</w:t>
      </w:r>
      <w:r>
        <w:rPr>
          <w:rFonts w:hint="default" w:ascii="Times New Roman" w:hAnsi="Times New Roman" w:eastAsia="宋体" w:cs="Times New Roman"/>
          <w:bCs/>
          <w:color w:val="auto"/>
          <w:sz w:val="24"/>
          <w:szCs w:val="24"/>
          <w:highlight w:val="none"/>
          <w14:ligatures w14:val="none"/>
        </w:rPr>
        <w:t xml:space="preserve">收集第三次全国国土调查（“三调”）及后续年度变更调查数据，提取耕地流出图斑，</w:t>
      </w:r>
      <w:r>
        <w:rPr>
          <w:rFonts w:hint="eastAsia" w:ascii="Times New Roman" w:hAnsi="Times New Roman" w:eastAsia="宋体" w:cs="Times New Roman"/>
          <w:bCs/>
          <w:color w:val="auto"/>
          <w:sz w:val="24"/>
          <w:szCs w:val="24"/>
          <w:highlight w:val="none"/>
          <w14:ligatures w14:val="none"/>
        </w:rPr>
        <w:t xml:space="preserve">筛选</w:t>
      </w:r>
      <w:r>
        <w:rPr>
          <w:rFonts w:hint="default" w:ascii="Times New Roman" w:hAnsi="Times New Roman" w:eastAsia="宋体" w:cs="Times New Roman"/>
          <w:bCs/>
          <w:color w:val="auto"/>
          <w:sz w:val="24"/>
          <w:szCs w:val="24"/>
          <w:highlight w:val="none"/>
          <w14:ligatures w14:val="none"/>
        </w:rPr>
        <w:t xml:space="preserve">因种植树木、果树、茶园等导致的耕地转为园地、林地等情况，以及因巩固脱贫攻坚成果进行的农业结构调整地块。</w:t>
      </w:r>
      <w:r>
        <w:rPr>
          <w:rFonts w:hint="eastAsia" w:ascii="Times New Roman" w:hAnsi="Times New Roman" w:eastAsia="宋体" w:cs="Times New Roman"/>
          <w:bCs/>
          <w:color w:val="auto"/>
          <w:sz w:val="24"/>
          <w:szCs w:val="24"/>
          <w:highlight w:val="none"/>
          <w14:ligatures w14:val="none"/>
        </w:rPr>
        <w:t xml:space="preserve">开展图斑核实与认定，</w:t>
      </w:r>
      <w:r>
        <w:rPr>
          <w:rFonts w:hint="default" w:ascii="Times New Roman" w:hAnsi="Times New Roman" w:eastAsia="宋体" w:cs="Times New Roman"/>
          <w:bCs/>
          <w:color w:val="auto"/>
          <w:sz w:val="24"/>
          <w:szCs w:val="24"/>
          <w:highlight w:val="none"/>
          <w14:ligatures w14:val="none"/>
        </w:rPr>
        <w:t xml:space="preserve">确定纳入过渡期方案的图斑。</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（2</w:t>
      </w:r>
      <w:r>
        <w:rPr>
          <w:rFonts w:hint="default" w:ascii="Times New Roman" w:hAnsi="Times New Roman" w:eastAsia="宋体" w:cs="Times New Roman"/>
          <w:bCs/>
          <w:color w:val="auto"/>
          <w:sz w:val="24"/>
          <w:szCs w:val="24"/>
          <w:highlight w:val="none"/>
          <w14:ligatures w14:val="none"/>
        </w:rPr>
        <w:t xml:space="preserve">）</w:t>
      </w:r>
      <w:r>
        <w:rPr>
          <w:rFonts w:hint="eastAsia" w:ascii="Times New Roman" w:hAnsi="Times New Roman" w:eastAsia="宋体" w:cs="Times New Roman"/>
          <w:bCs/>
          <w:color w:val="auto"/>
          <w:sz w:val="24"/>
          <w:szCs w:val="24"/>
          <w:highlight w:val="none"/>
          <w14:ligatures w14:val="none"/>
        </w:rPr>
        <w:t xml:space="preserve">确定处置方式。</w:t>
      </w:r>
      <w:r>
        <w:rPr>
          <w:rFonts w:hint="default" w:ascii="Times New Roman" w:hAnsi="Times New Roman" w:eastAsia="宋体" w:cs="Times New Roman"/>
          <w:bCs/>
          <w:color w:val="auto"/>
          <w:sz w:val="24"/>
          <w:szCs w:val="24"/>
          <w:highlight w:val="none"/>
          <w14:ligatures w14:val="none"/>
        </w:rPr>
        <w:t xml:space="preserve">根据</w:t>
      </w:r>
      <w:r>
        <w:rPr>
          <w:rFonts w:hint="eastAsia" w:ascii="Times New Roman" w:hAnsi="Times New Roman" w:eastAsia="宋体" w:cs="Times New Roman"/>
          <w:bCs/>
          <w:color w:val="auto"/>
          <w:sz w:val="24"/>
          <w:szCs w:val="24"/>
          <w:highlight w:val="none"/>
          <w14:ligatures w14:val="none"/>
        </w:rPr>
        <w:t xml:space="preserve">图斑核实</w:t>
      </w:r>
      <w:r>
        <w:rPr>
          <w:rFonts w:hint="default" w:ascii="Times New Roman" w:hAnsi="Times New Roman" w:eastAsia="宋体" w:cs="Times New Roman"/>
          <w:bCs/>
          <w:color w:val="auto"/>
          <w:sz w:val="24"/>
          <w:szCs w:val="24"/>
          <w:highlight w:val="none"/>
          <w14:ligatures w14:val="none"/>
        </w:rPr>
        <w:t xml:space="preserve">结果，综合考虑农民意愿、产业发展、作物生产周期等，按照“认定一批、恢复一批、置换一批”的方式，确定可以认定为耕地、适宜就地恢复、需要调整置换的具体地块和面积等情况</w:t>
      </w:r>
      <w:r>
        <w:rPr>
          <w:rFonts w:hint="eastAsia" w:ascii="Times New Roman" w:hAnsi="Times New Roman" w:eastAsia="宋体" w:cs="Times New Roman"/>
          <w:bCs/>
          <w:color w:val="auto"/>
          <w:sz w:val="24"/>
          <w:szCs w:val="24"/>
          <w:highlight w:val="none"/>
          <w14:ligatures w14:val="none"/>
        </w:rPr>
        <w:t xml:space="preserve">。</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（3）制定处置计划。</w:t>
      </w:r>
      <w:r>
        <w:rPr>
          <w:rFonts w:hint="default" w:ascii="Times New Roman" w:hAnsi="Times New Roman" w:eastAsia="宋体" w:cs="Times New Roman"/>
          <w:bCs/>
          <w:color w:val="auto"/>
          <w:sz w:val="24"/>
          <w:szCs w:val="24"/>
          <w:highlight w:val="none"/>
          <w14:ligatures w14:val="none"/>
        </w:rPr>
        <w:t xml:space="preserve">将恢复和置换任务按年度进行分解，明确每年的实施地块、工作节点和预期目标</w:t>
      </w:r>
      <w:r>
        <w:rPr>
          <w:rFonts w:hint="eastAsia" w:ascii="Times New Roman" w:hAnsi="Times New Roman" w:eastAsia="宋体" w:cs="Times New Roman"/>
          <w:bCs/>
          <w:color w:val="auto"/>
          <w:sz w:val="24"/>
          <w:szCs w:val="24"/>
          <w:highlight w:val="none"/>
          <w14:ligatures w14:val="none"/>
        </w:rPr>
        <w:t xml:space="preserve">。</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（4）编制成果并协助开展数据审查。</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3、</w:t>
      </w:r>
      <w:bookmarkStart w:id="12" w:name="OLE_LINK3"/>
      <w:r>
        <w:rPr>
          <w:rFonts w:hint="default" w:ascii="Times New Roman" w:hAnsi="Times New Roman" w:eastAsia="宋体" w:cs="Times New Roman"/>
          <w:bCs/>
          <w:color w:val="auto"/>
          <w:sz w:val="24"/>
          <w:szCs w:val="24"/>
          <w:highlight w:val="none"/>
          <w14:ligatures w14:val="none"/>
        </w:rPr>
        <w:t xml:space="preserve">2024年度耕地资源分区分类评价年度更新</w:t>
      </w:r>
      <w:bookmarkEnd w:id="12"/>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1）资料收集及数据处理。在2023年度耕地资源质量分类成果及2024年度国土变更调查成果基础上，收集年度全域土地综合整治、补充耕地、城乡建设用地增减挂钩拆旧区复垦、高标准农田建设等项目可研、设计和竣工验收等资料，并分析处理各种图斑。</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（2）外业调查。按照耕地资源分区分类评价年度更新技术要求，对耕地质量变化情况开展实地外业调查、拍摄景观照片，另包含样点布设中样点调查等工作。</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（3）土壤检测。对涉及年度更新的地块进行土壤检测，并形成检测报告。</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4）数据库建设。形成耕地和可恢复农用地分区分类评价年度数据，全面掌握年度内耕地资源分区分类评价数据现状及变化情况，编制耕地更新图层、恢复地类更新图层以及各种附属表格，并在“国土调查云”平台填报调查信息，形成2024年度分区分类更新成果数据库等。</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4、</w:t>
      </w:r>
      <w:bookmarkStart w:id="13" w:name="OLE_LINK8"/>
      <w:r>
        <w:rPr>
          <w:rFonts w:hint="eastAsia" w:ascii="Times New Roman" w:hAnsi="Times New Roman" w:eastAsia="宋体" w:cs="Times New Roman"/>
          <w:bCs/>
          <w:color w:val="auto"/>
          <w:sz w:val="24"/>
          <w:szCs w:val="24"/>
          <w:highlight w:val="none"/>
          <w14:ligatures w14:val="none"/>
        </w:rPr>
        <w:t xml:space="preserve">2025年</w:t>
      </w:r>
      <w:bookmarkStart w:id="14" w:name="OLE_LINK5"/>
      <w:r>
        <w:rPr>
          <w:rFonts w:hint="eastAsia" w:ascii="Times New Roman" w:hAnsi="Times New Roman" w:eastAsia="宋体" w:cs="Times New Roman"/>
          <w:bCs/>
          <w:color w:val="auto"/>
          <w:sz w:val="24"/>
          <w:szCs w:val="24"/>
          <w:highlight w:val="none"/>
          <w14:ligatures w14:val="none"/>
        </w:rPr>
        <w:t xml:space="preserve">永久基本农田储备区更新</w:t>
      </w:r>
      <w:bookmarkEnd w:id="13"/>
      <w:r/>
      <w:bookmarkEnd w:id="14"/>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结合2024年变更调查数据和2025年日常变更耕地图斑，通过内业分析处理，将长期稳定耕地纳入永久基本农田储备区（优先将集中连片、粮食生产功能区内、高标准农田内、土地整治项目新增耕地内耕地图斑纳入）；核实不符合图斑，结合永久基本农田核实处置、永久基本农田占用补划、2024年国土变更调查流出耕地等情况，更新上一年度储备区图斑内非耕地图斑，具体包括：</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（1）分析划定潜力。收集各类基础资料并多图套合，内业分析理论划定潜力。</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（2）分析核实。与项目部门、科室、乡镇充分对接，并逐图斑开展内业核实，初步确定永久基本农田储备区划定图斑。</w:t>
      </w:r>
      <w:r/>
    </w:p>
    <w:p>
      <w:pPr>
        <w:ind w:firstLine="480"/>
        <w:spacing w:after="0" w:line="360" w:lineRule="auto"/>
        <w:rPr>
          <w:rFonts w:hint="eastAsia"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（3）整理汇交成果。依据文件要求编制永久基本农田储备区更新成果，并通过省级质检。</w:t>
      </w:r>
      <w:r/>
    </w:p>
    <w:p>
      <w:pPr>
        <w:ind w:firstLine="480"/>
        <w:spacing w:after="0" w:line="360" w:lineRule="auto"/>
        <w:rPr>
          <w:rFonts w:hint="eastAsia" w:ascii="Times New Roman" w:hAnsi="Times New Roman" w:eastAsia="宋体" w:cs="Times New Roman"/>
          <w:bCs/>
          <w:color w:val="auto"/>
          <w:sz w:val="24"/>
          <w:szCs w:val="24"/>
          <w:highlight w:val="none"/>
          <w:lang w:val="en-US" w:eastAsia="zh-CN"/>
          <w14:ligatures w14:val="none"/>
        </w:rPr>
      </w:pPr>
      <w:r>
        <w:rPr>
          <w:rFonts w:hint="eastAsia" w:ascii="Times New Roman" w:hAnsi="Times New Roman" w:eastAsia="宋体" w:cs="Times New Roman"/>
          <w:bCs/>
          <w:color w:val="auto"/>
          <w:sz w:val="24"/>
          <w:szCs w:val="24"/>
          <w:highlight w:val="none"/>
          <w:lang w:val="en-US" w:eastAsia="zh-CN"/>
          <w14:ligatures w14:val="none"/>
        </w:rPr>
        <w:t xml:space="preserve">5、2025年征地区片综合地价调整</w:t>
      </w:r>
      <w:r/>
    </w:p>
    <w:p>
      <w:pPr>
        <w:ind w:firstLine="480"/>
        <w:spacing w:after="0" w:line="360" w:lineRule="auto"/>
        <w:rPr>
          <w:rFonts w:hint="eastAsia" w:ascii="Times New Roman" w:hAnsi="Times New Roman" w:eastAsia="宋体" w:cs="Times New Roman"/>
          <w:bCs/>
          <w:color w:val="auto"/>
          <w:sz w:val="24"/>
          <w:szCs w:val="24"/>
          <w:highlight w:val="none"/>
          <w:lang w:val="en-US" w:eastAsia="zh-CN"/>
          <w14:ligatures w14:val="none"/>
        </w:rPr>
      </w:pPr>
      <w:r>
        <w:rPr>
          <w:rFonts w:hint="eastAsia" w:ascii="Times New Roman" w:hAnsi="Times New Roman" w:eastAsia="宋体" w:cs="Times New Roman"/>
          <w:bCs/>
          <w:color w:val="auto"/>
          <w:sz w:val="24"/>
          <w:szCs w:val="24"/>
          <w:highlight w:val="none"/>
          <w:lang w:val="en-US" w:eastAsia="zh-CN"/>
          <w14:ligatures w14:val="none"/>
        </w:rPr>
        <w:t xml:space="preserve">为全面贯彻新修订的《土地管理法》，认真履行征地补偿工作中部门职责，切实保护被征地农民的合法权益，根据《江苏省自然资源厅关于开展2025年征地区片综合地价调整工作的通知》文件，结合土地原用途、土地资源条件、土地产值、土地区位、土地供求关系、人口以及经济社会发展水平等因素，依照听证、公示、社会稳定性风险评估、省厅技术审查等技术规程，制订2025年征地区片综合地价调整成果，用于今后土地征收补偿的依据。</w:t>
      </w:r>
      <w:r/>
    </w:p>
    <w:p>
      <w:pPr>
        <w:numPr>
          <w:ilvl w:val="0"/>
          <w:numId w:val="1"/>
        </w:numPr>
        <w:ind w:firstLine="480"/>
        <w:spacing w:after="0" w:line="360" w:lineRule="auto"/>
        <w:rPr>
          <w:rFonts w:hint="eastAsia" w:ascii="Times New Roman" w:hAnsi="Times New Roman" w:eastAsia="宋体" w:cs="Times New Roman"/>
          <w:bCs/>
          <w:color w:val="auto"/>
          <w:sz w:val="24"/>
          <w:szCs w:val="24"/>
          <w:highlight w:val="none"/>
          <w:lang w:val="en-US" w:eastAsia="zh-CN"/>
          <w14:ligatures w14:val="none"/>
        </w:rPr>
      </w:pPr>
      <w:r>
        <w:rPr>
          <w:rFonts w:hint="eastAsia" w:ascii="Times New Roman" w:hAnsi="Times New Roman" w:eastAsia="宋体" w:cs="Times New Roman"/>
          <w:bCs/>
          <w:color w:val="auto"/>
          <w:sz w:val="24"/>
          <w:szCs w:val="24"/>
          <w:highlight w:val="none"/>
          <w:lang w:val="en-US" w:eastAsia="zh-CN"/>
          <w14:ligatures w14:val="none"/>
        </w:rPr>
        <w:t xml:space="preserve">区片综合地价测算。按照要求进行基础资料收集和整理分析，并对基础资料的完整性、真实性、合理性进行校验；按照省级技术方案要求，组织开展区片综合地价调整测算工作。对测算结果进行审查和综合平衡，修改完善后上报审核。</w:t>
      </w:r>
      <w:r/>
    </w:p>
    <w:p>
      <w:pPr>
        <w:numPr>
          <w:ilvl w:val="0"/>
          <w:numId w:val="1"/>
        </w:numPr>
        <w:ind w:firstLine="480"/>
        <w:spacing w:after="0" w:line="360" w:lineRule="auto"/>
        <w:rPr>
          <w:rFonts w:hint="eastAsia" w:ascii="Times New Roman" w:hAnsi="Times New Roman" w:eastAsia="宋体" w:cs="Times New Roman"/>
          <w:bCs/>
          <w:color w:val="auto"/>
          <w:sz w:val="24"/>
          <w:szCs w:val="24"/>
          <w:highlight w:val="none"/>
          <w:lang w:val="en-US" w:eastAsia="zh-CN"/>
          <w14:ligatures w14:val="none"/>
        </w:rPr>
      </w:pPr>
      <w:r>
        <w:rPr>
          <w:rFonts w:hint="eastAsia" w:ascii="Times New Roman" w:hAnsi="Times New Roman" w:eastAsia="宋体" w:cs="Times New Roman"/>
          <w:bCs/>
          <w:color w:val="auto"/>
          <w:sz w:val="24"/>
          <w:szCs w:val="24"/>
          <w:highlight w:val="none"/>
          <w:lang w:val="en-US" w:eastAsia="zh-CN"/>
          <w14:ligatures w14:val="none"/>
        </w:rPr>
        <w:t xml:space="preserve">修改完善，组织听证论证。根据省级技术审查意见，结合当地实际，进行调整修改；成果通过省级技术审查后，依法组织开展听证、论证等，广泛听取有关部门、农村集体及组织、农民群众以及社会各方面的意见，并根据听证情况进行修改完善，并将听证后修改情况及时反馈省级技术组。</w:t>
      </w:r>
      <w:r/>
    </w:p>
    <w:p>
      <w:pPr>
        <w:numPr>
          <w:ilvl w:val="0"/>
          <w:numId w:val="1"/>
        </w:numPr>
        <w:ind w:firstLine="480"/>
        <w:spacing w:after="0" w:line="360" w:lineRule="auto"/>
        <w:rPr>
          <w:rFonts w:hint="eastAsia" w:ascii="Times New Roman" w:hAnsi="Times New Roman" w:eastAsia="宋体" w:cs="Times New Roman"/>
          <w:bCs/>
          <w:color w:val="auto"/>
          <w:sz w:val="24"/>
          <w:szCs w:val="24"/>
          <w:highlight w:val="none"/>
          <w:lang w:val="en-US" w:eastAsia="zh-CN"/>
          <w14:ligatures w14:val="none"/>
        </w:rPr>
      </w:pPr>
      <w:r>
        <w:rPr>
          <w:rFonts w:hint="eastAsia" w:ascii="Times New Roman" w:hAnsi="Times New Roman" w:eastAsia="宋体" w:cs="Times New Roman"/>
          <w:bCs/>
          <w:color w:val="auto"/>
          <w:sz w:val="24"/>
          <w:szCs w:val="24"/>
          <w:highlight w:val="none"/>
          <w:lang w:val="en-US" w:eastAsia="zh-CN"/>
          <w14:ligatures w14:val="none"/>
        </w:rPr>
        <w:t xml:space="preserve">成果公布实施。按照重大行政决策程序要求履行相关程序提请市级人民政府公布实施。</w:t>
      </w:r>
      <w:r/>
    </w:p>
    <w:p>
      <w:pPr>
        <w:numPr>
          <w:ilvl w:val="0"/>
          <w:numId w:val="0"/>
        </w:numPr>
        <w:ind w:firstLine="480"/>
        <w:spacing w:after="0" w:line="360" w:lineRule="auto"/>
        <w:rPr>
          <w:rFonts w:hint="eastAsia" w:ascii="Times New Roman" w:hAnsi="Times New Roman" w:eastAsia="宋体" w:cs="Times New Roman"/>
          <w:bCs/>
          <w:color w:val="auto"/>
          <w:sz w:val="24"/>
          <w:szCs w:val="24"/>
          <w:highlight w:val="none"/>
          <w:lang w:val="en-US" w:eastAsia="zh-CN"/>
          <w14:ligatures w14:val="none"/>
        </w:rPr>
      </w:pPr>
      <w:r>
        <w:rPr>
          <w:rFonts w:hint="eastAsia" w:ascii="Times New Roman" w:hAnsi="Times New Roman" w:eastAsia="宋体" w:cs="Times New Roman"/>
          <w:bCs/>
          <w:color w:val="auto"/>
          <w:sz w:val="24"/>
          <w:szCs w:val="24"/>
          <w:highlight w:val="none"/>
          <w:lang w:val="en-US" w:eastAsia="zh-CN"/>
          <w14:ligatures w14:val="none"/>
        </w:rPr>
        <w:t xml:space="preserve">6采矿损毁土地调查</w:t>
      </w:r>
      <w:r/>
    </w:p>
    <w:p>
      <w:pPr>
        <w:numPr>
          <w:ilvl w:val="0"/>
          <w:numId w:val="0"/>
        </w:numPr>
        <w:ind w:firstLine="480"/>
        <w:spacing w:after="0" w:line="360" w:lineRule="auto"/>
        <w:rPr>
          <w:rFonts w:hint="default" w:ascii="Times New Roman" w:hAnsi="Times New Roman" w:eastAsia="宋体" w:cs="Times New Roman"/>
          <w:bCs/>
          <w:color w:val="auto"/>
          <w:sz w:val="24"/>
          <w:szCs w:val="24"/>
          <w:highlight w:val="none"/>
          <w:lang w:val="en-US" w:eastAsia="zh-CN"/>
          <w14:ligatures w14:val="none"/>
        </w:rPr>
      </w:pPr>
      <w:r>
        <w:rPr>
          <w:rFonts w:hint="eastAsia" w:ascii="Times New Roman" w:hAnsi="Times New Roman" w:eastAsia="宋体" w:cs="Times New Roman"/>
          <w:bCs/>
          <w:color w:val="auto"/>
          <w:sz w:val="24"/>
          <w:szCs w:val="24"/>
          <w:highlight w:val="none"/>
          <w:lang w:val="en-US" w:eastAsia="zh-CN"/>
          <w14:ligatures w14:val="none"/>
        </w:rPr>
        <w:t xml:space="preserve">对上级下发的图斑进行核查，填报基础信息、上报佐证材料。</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（三）成果要求</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成果</w:t>
      </w:r>
      <w:r>
        <w:rPr>
          <w:rFonts w:hint="default" w:ascii="Times New Roman" w:hAnsi="Times New Roman" w:eastAsia="宋体" w:cs="Times New Roman"/>
          <w:bCs/>
          <w:color w:val="auto"/>
          <w:sz w:val="24"/>
          <w:szCs w:val="24"/>
          <w:highlight w:val="none"/>
          <w14:ligatures w14:val="none"/>
        </w:rPr>
        <w:t xml:space="preserve">包含方案或报告、图件、表格及矢量数据库在内的全套成果。</w:t>
      </w:r>
      <w:r>
        <w:rPr>
          <w:rFonts w:hint="eastAsia" w:ascii="Times New Roman" w:hAnsi="Times New Roman" w:eastAsia="宋体" w:cs="Times New Roman"/>
          <w:bCs/>
          <w:color w:val="auto"/>
          <w:sz w:val="24"/>
          <w:szCs w:val="24"/>
          <w:highlight w:val="none"/>
          <w14:ligatures w14:val="none"/>
        </w:rPr>
        <w:t xml:space="preserve">具体成果构成以国家、省工作要求为准。</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default" w:ascii="Times New Roman" w:hAnsi="Times New Roman" w:eastAsia="宋体" w:cs="Times New Roman"/>
          <w:bCs/>
          <w:color w:val="auto"/>
          <w:sz w:val="24"/>
          <w:szCs w:val="24"/>
          <w:highlight w:val="none"/>
          <w14:ligatures w14:val="none"/>
        </w:rPr>
        <w:t xml:space="preserve">耕地保护空间和国土绿化空间</w:t>
      </w:r>
      <w:r>
        <w:rPr>
          <w:rFonts w:hint="eastAsia" w:ascii="Times New Roman" w:hAnsi="Times New Roman" w:eastAsia="宋体" w:cs="Times New Roman"/>
          <w:bCs/>
          <w:color w:val="auto"/>
          <w:sz w:val="24"/>
          <w:szCs w:val="24"/>
          <w:highlight w:val="none"/>
          <w14:ligatures w14:val="none"/>
        </w:rPr>
        <w:t xml:space="preserve">划定成果包括空间划定矢量数据和统计表格。</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耕地恢复过渡期方案成果包括工作</w:t>
      </w:r>
      <w:r>
        <w:rPr>
          <w:rFonts w:hint="default" w:ascii="Times New Roman" w:hAnsi="Times New Roman" w:eastAsia="宋体" w:cs="Times New Roman"/>
          <w:bCs/>
          <w:color w:val="auto"/>
          <w:sz w:val="24"/>
          <w:szCs w:val="24"/>
          <w:highlight w:val="none"/>
          <w14:ligatures w14:val="none"/>
        </w:rPr>
        <w:t xml:space="preserve">总结报告、</w:t>
      </w:r>
      <w:r>
        <w:rPr>
          <w:rFonts w:hint="eastAsia" w:ascii="Times New Roman" w:hAnsi="Times New Roman" w:eastAsia="宋体" w:cs="Times New Roman"/>
          <w:bCs/>
          <w:color w:val="auto"/>
          <w:sz w:val="24"/>
          <w:szCs w:val="24"/>
          <w:highlight w:val="none"/>
          <w14:ligatures w14:val="none"/>
        </w:rPr>
        <w:t xml:space="preserve">矢量</w:t>
      </w:r>
      <w:r>
        <w:rPr>
          <w:rFonts w:hint="default" w:ascii="Times New Roman" w:hAnsi="Times New Roman" w:eastAsia="宋体" w:cs="Times New Roman"/>
          <w:bCs/>
          <w:color w:val="auto"/>
          <w:sz w:val="24"/>
          <w:szCs w:val="24"/>
          <w:highlight w:val="none"/>
          <w14:ligatures w14:val="none"/>
        </w:rPr>
        <w:t xml:space="preserve">数据图层和表格</w:t>
      </w:r>
      <w:r>
        <w:rPr>
          <w:rFonts w:hint="eastAsia" w:ascii="Times New Roman" w:hAnsi="Times New Roman" w:eastAsia="宋体" w:cs="Times New Roman"/>
          <w:bCs/>
          <w:color w:val="auto"/>
          <w:sz w:val="24"/>
          <w:szCs w:val="24"/>
          <w:highlight w:val="none"/>
          <w14:ligatures w14:val="none"/>
        </w:rPr>
        <w:t xml:space="preserve">。</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default" w:ascii="Times New Roman" w:hAnsi="Times New Roman" w:eastAsia="宋体" w:cs="Times New Roman"/>
          <w:bCs/>
          <w:color w:val="auto"/>
          <w:sz w:val="24"/>
          <w:szCs w:val="24"/>
          <w:highlight w:val="none"/>
          <w14:ligatures w14:val="none"/>
        </w:rPr>
        <w:t xml:space="preserve">2024年度耕地资源分区分类评价年度更新成果包括矢量数据和统计表格。</w:t>
      </w:r>
      <w:r/>
    </w:p>
    <w:p>
      <w:pPr>
        <w:ind w:firstLine="480"/>
        <w:spacing w:after="0" w:line="360" w:lineRule="auto"/>
        <w:rPr>
          <w:rFonts w:hint="eastAsia"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2025年永久基本农田储备区更新成果包括矢量数据、文档数据、统计表格。</w:t>
      </w:r>
      <w:r/>
    </w:p>
    <w:p>
      <w:pPr>
        <w:ind w:firstLine="480"/>
        <w:spacing w:after="0" w:line="360" w:lineRule="auto"/>
        <w:rPr>
          <w:rFonts w:hint="eastAsia" w:ascii="Times New Roman" w:hAnsi="Times New Roman" w:eastAsia="宋体" w:cs="Times New Roman"/>
          <w:bCs/>
          <w:color w:val="auto"/>
          <w:sz w:val="24"/>
          <w:szCs w:val="24"/>
          <w:highlight w:val="none"/>
          <w:lang w:val="en-US" w:eastAsia="zh-CN"/>
          <w14:ligatures w14:val="none"/>
        </w:rPr>
      </w:pPr>
      <w:r>
        <w:rPr>
          <w:rFonts w:hint="eastAsia" w:ascii="Times New Roman" w:hAnsi="Times New Roman" w:eastAsia="宋体" w:cs="Times New Roman"/>
          <w:bCs/>
          <w:color w:val="auto"/>
          <w:sz w:val="24"/>
          <w:szCs w:val="24"/>
          <w:highlight w:val="none"/>
          <w:lang w:val="en-US" w:eastAsia="zh-CN"/>
          <w14:ligatures w14:val="none"/>
        </w:rPr>
        <w:t xml:space="preserve">2025年征地区片综合地价调整成果包括报告成果、表格成果、图件成果、数据库成果以及附件材料。</w:t>
      </w:r>
      <w:r/>
    </w:p>
    <w:p>
      <w:pPr>
        <w:ind w:firstLine="480"/>
        <w:spacing w:after="0" w:line="360" w:lineRule="auto"/>
        <w:rPr>
          <w:rFonts w:hint="default" w:ascii="Times New Roman" w:hAnsi="Times New Roman" w:eastAsia="宋体" w:cs="Times New Roman"/>
          <w:bCs/>
          <w:color w:val="auto"/>
          <w:sz w:val="24"/>
          <w:szCs w:val="24"/>
          <w:highlight w:val="none"/>
          <w:lang w:val="en-US" w:eastAsia="zh-CN"/>
          <w14:ligatures w14:val="none"/>
        </w:rPr>
      </w:pPr>
      <w:r>
        <w:rPr>
          <w:rFonts w:hint="eastAsia" w:ascii="Times New Roman" w:hAnsi="Times New Roman" w:eastAsia="宋体" w:cs="Times New Roman"/>
          <w:bCs/>
          <w:color w:val="auto"/>
          <w:sz w:val="24"/>
          <w:szCs w:val="24"/>
          <w:highlight w:val="none"/>
          <w:lang w:val="en-US" w:eastAsia="zh-CN"/>
          <w14:ligatures w14:val="none"/>
        </w:rPr>
        <w:t xml:space="preserve">采矿损毁土地调查以通过上级审查为准。</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成果形式包括但不限于打印的纸质文本或电子文件，文本电子文件应包括PDF文件和可编辑的WORD格式文件等；数据库文件应包括ArcGIS矢量文件。</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三、服务标准：</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★符合国家、行业相关标准及主管部门要求，并通过部、省审查。</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四、服务期限：</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★服务期：合同签订后30日内提交初步成果，最终成果提交时间以部、省要求为准。</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五、付款方式与履约保证金：</w:t>
      </w:r>
      <w:r/>
    </w:p>
    <w:p>
      <w:pPr>
        <w:ind w:firstLine="480"/>
        <w:spacing w:after="0" w:line="360" w:lineRule="auto"/>
        <w:rPr>
          <w:rFonts w:hint="eastAsia" w:ascii="Times New Roman" w:hAnsi="Times New Roman" w:eastAsia="宋体" w:cs="Times New Roman"/>
          <w:bCs/>
          <w:color w:val="auto"/>
          <w:sz w:val="24"/>
          <w:szCs w:val="24"/>
          <w:highlight w:val="none"/>
          <w:lang w:eastAsia="zh-CN"/>
          <w14:ligatures w14:val="none"/>
        </w:rPr>
      </w:pPr>
      <w:r>
        <w:rPr>
          <w:rFonts w:hint="eastAsia" w:ascii="Times New Roman" w:hAnsi="Times New Roman" w:eastAsia="宋体" w:cs="Times New Roman"/>
          <w:bCs/>
          <w:color w:val="auto"/>
          <w:sz w:val="24"/>
          <w:szCs w:val="24"/>
          <w:highlight w:val="none"/>
          <w14:ligatures w14:val="none"/>
        </w:rPr>
        <w:t xml:space="preserve">★1.付款方式：</w:t>
      </w:r>
      <w:r>
        <w:rPr>
          <w:rFonts w:hint="eastAsia" w:ascii="Times New Roman" w:hAnsi="Times New Roman" w:eastAsia="宋体" w:cs="Times New Roman"/>
          <w:bCs/>
          <w:color w:val="auto"/>
          <w:sz w:val="24"/>
          <w:szCs w:val="24"/>
          <w:highlight w:val="none"/>
          <w:lang w:val="en-US" w:eastAsia="zh-CN"/>
          <w14:ligatures w14:val="none"/>
        </w:rPr>
        <w:t xml:space="preserve">资金视财力状况统筹分批安排</w:t>
      </w:r>
      <w:r>
        <w:rPr>
          <w:rFonts w:hint="eastAsia" w:ascii="Times New Roman" w:hAnsi="Times New Roman" w:eastAsia="宋体" w:cs="Times New Roman"/>
          <w:bCs/>
          <w:color w:val="auto"/>
          <w:sz w:val="24"/>
          <w:szCs w:val="24"/>
          <w:highlight w:val="none"/>
          <w14:ligatures w14:val="none"/>
        </w:rPr>
        <w:t xml:space="preserve">，</w:t>
      </w:r>
      <w:r>
        <w:rPr>
          <w:rFonts w:hint="eastAsia" w:ascii="Times New Roman" w:hAnsi="Times New Roman" w:eastAsia="宋体" w:cs="Times New Roman"/>
          <w:bCs/>
          <w:color w:val="auto"/>
          <w:sz w:val="24"/>
          <w:szCs w:val="24"/>
          <w:highlight w:val="none"/>
          <w:lang w:val="en-US" w:eastAsia="zh-CN"/>
          <w14:ligatures w14:val="none"/>
        </w:rPr>
        <w:t xml:space="preserve">三</w:t>
      </w:r>
      <w:r>
        <w:rPr>
          <w:rFonts w:hint="eastAsia" w:ascii="Times New Roman" w:hAnsi="Times New Roman" w:eastAsia="宋体" w:cs="Times New Roman"/>
          <w:bCs/>
          <w:color w:val="auto"/>
          <w:sz w:val="24"/>
          <w:szCs w:val="24"/>
          <w:highlight w:val="none"/>
          <w14:ligatures w14:val="none"/>
        </w:rPr>
        <w:t xml:space="preserve">年内付清</w:t>
      </w:r>
      <w:r>
        <w:rPr>
          <w:rFonts w:hint="eastAsia" w:ascii="Times New Roman" w:hAnsi="Times New Roman" w:eastAsia="宋体" w:cs="Times New Roman"/>
          <w:bCs/>
          <w:color w:val="auto"/>
          <w:sz w:val="24"/>
          <w:szCs w:val="24"/>
          <w:highlight w:val="none"/>
          <w:lang w:eastAsia="zh-CN"/>
          <w14:ligatures w14:val="none"/>
        </w:rPr>
        <w:t xml:space="preserve">。</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2.履约保证金：本项目不收取履约保证金。</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六、报价要求：</w:t>
      </w:r>
      <w:r/>
    </w:p>
    <w:p>
      <w:pPr>
        <w:ind w:firstLine="480"/>
        <w:spacing w:after="0" w:line="360" w:lineRule="auto"/>
        <w:rPr>
          <w:rFonts w:hint="default" w:ascii="Times New Roman" w:hAnsi="Times New Roman" w:eastAsia="宋体" w:cs="Times New Roman"/>
          <w:bCs/>
          <w:color w:val="auto"/>
          <w:sz w:val="24"/>
          <w:szCs w:val="24"/>
          <w:highlight w:val="none"/>
          <w14:ligatures w14:val="none"/>
        </w:rPr>
      </w:pPr>
      <w:r>
        <w:rPr>
          <w:rFonts w:hint="eastAsia" w:ascii="Times New Roman" w:hAnsi="Times New Roman" w:eastAsia="宋体" w:cs="Times New Roman"/>
          <w:bCs/>
          <w:color w:val="auto"/>
          <w:sz w:val="24"/>
          <w:szCs w:val="24"/>
          <w:highlight w:val="none"/>
          <w14:ligatures w14:val="none"/>
        </w:rPr>
        <w:t xml:space="preserve">1.本项目报价不得超过预算价。本项目报价应包括供应商为完成本项目规定工作所承担的全部费用，包括审计、人员工资、成本、税金、利润等，所发生的住宿、餐饮、交通费自理，并考虑了应由供应商承担的义务、责任和风险所发生的一切与履行合同有关的一切费用。</w:t>
      </w:r>
      <w:r/>
    </w:p>
    <w:p>
      <w:pPr>
        <w:ind w:firstLine="480"/>
        <w:spacing w:line="360" w:lineRule="auto"/>
        <w:rPr>
          <w:rFonts w:hint="eastAsia"/>
          <w:color w:val="auto"/>
          <w:sz w:val="24"/>
          <w:highlight w:val="none"/>
        </w:rPr>
      </w:pPr>
      <w:r>
        <w:rPr>
          <w:rFonts w:hint="eastAsia" w:ascii="Times New Roman" w:hAnsi="Times New Roman" w:eastAsia="宋体" w:cs="Times New Roman"/>
          <w:bCs/>
          <w:color w:val="auto"/>
          <w:sz w:val="24"/>
          <w:szCs w:val="24"/>
          <w:highlight w:val="none"/>
          <w14:ligatures w14:val="none"/>
        </w:rPr>
        <w:t xml:space="preserve">2.特别提醒供应商：应根据国家收费标准并结合市场实际进行报价，总价包干。工作中涉及的敏感资料、电子数据等相关信息，成交供应商应严格执行保密的相关规定，不得以任何方式向任何第三人披露、泄露或许可第三人使用，否则追究其相应法律责任。</w:t>
      </w:r>
      <w:r/>
    </w:p>
    <w:p>
      <w:pPr>
        <w:pStyle w:val="688"/>
        <w:rPr>
          <w:rFonts w:hint="eastAsia"/>
          <w:color w:val="auto"/>
          <w:sz w:val="24"/>
          <w:highlight w:val="none"/>
        </w:rPr>
      </w:pPr>
      <w:r>
        <w:rPr>
          <w:rFonts w:hint="eastAsia"/>
          <w:color w:val="auto"/>
          <w:sz w:val="24"/>
          <w:highlight w:val="none"/>
        </w:rPr>
      </w:r>
      <w:r/>
    </w:p>
    <w:p>
      <w:pPr>
        <w:pStyle w:val="688"/>
        <w:rPr>
          <w:rFonts w:hint="eastAsia"/>
          <w:color w:val="auto"/>
          <w:sz w:val="24"/>
          <w:highlight w:val="none"/>
        </w:rPr>
      </w:pPr>
      <w:r>
        <w:rPr>
          <w:rFonts w:hint="eastAsia"/>
          <w:color w:val="auto"/>
          <w:sz w:val="24"/>
          <w:highlight w:val="none"/>
        </w:rPr>
      </w:r>
      <w:r/>
    </w:p>
    <w:p>
      <w:pPr>
        <w:pStyle w:val="688"/>
        <w:rPr>
          <w:rFonts w:hint="eastAsia"/>
          <w:color w:val="auto"/>
          <w:sz w:val="24"/>
          <w:highlight w:val="none"/>
        </w:rPr>
      </w:pPr>
      <w:r>
        <w:rPr>
          <w:rFonts w:hint="eastAsia"/>
          <w:color w:val="auto"/>
          <w:sz w:val="24"/>
          <w:highlight w:val="none"/>
        </w:rPr>
      </w:r>
      <w:r/>
    </w:p>
    <w:p>
      <w:pPr>
        <w:pStyle w:val="688"/>
        <w:rPr>
          <w:rFonts w:hint="eastAsia"/>
          <w:color w:val="auto"/>
          <w:sz w:val="24"/>
          <w:highlight w:val="none"/>
        </w:rPr>
      </w:pPr>
      <w:r>
        <w:rPr>
          <w:rFonts w:hint="eastAsia"/>
          <w:color w:val="auto"/>
          <w:sz w:val="24"/>
          <w:highlight w:val="none"/>
        </w:rPr>
      </w:r>
      <w:r/>
    </w:p>
    <w:p>
      <w:pPr>
        <w:pStyle w:val="688"/>
        <w:rPr>
          <w:rFonts w:hint="eastAsia"/>
          <w:color w:val="auto"/>
          <w:sz w:val="24"/>
          <w:highlight w:val="none"/>
        </w:rPr>
      </w:pPr>
      <w:r>
        <w:rPr>
          <w:rFonts w:hint="eastAsia"/>
          <w:color w:val="auto"/>
          <w:sz w:val="24"/>
          <w:highlight w:val="none"/>
        </w:rPr>
      </w:r>
      <w:r/>
    </w:p>
    <w:p>
      <w:pPr>
        <w:pStyle w:val="688"/>
        <w:rPr>
          <w:rFonts w:hint="eastAsia"/>
          <w:color w:val="auto"/>
          <w:sz w:val="24"/>
          <w:highlight w:val="none"/>
        </w:rPr>
      </w:pPr>
      <w:r>
        <w:rPr>
          <w:rFonts w:hint="eastAsia"/>
          <w:color w:val="auto"/>
          <w:sz w:val="24"/>
          <w:highlight w:val="none"/>
        </w:rPr>
      </w:r>
      <w:r/>
    </w:p>
    <w:p>
      <w:pPr>
        <w:pStyle w:val="688"/>
        <w:rPr>
          <w:rFonts w:hint="eastAsia"/>
          <w:color w:val="auto"/>
          <w:sz w:val="24"/>
          <w:highlight w:val="none"/>
        </w:rPr>
      </w:pPr>
      <w:r>
        <w:rPr>
          <w:rFonts w:hint="eastAsia"/>
          <w:color w:val="auto"/>
          <w:sz w:val="24"/>
          <w:highlight w:val="none"/>
        </w:rPr>
      </w:r>
      <w:r/>
    </w:p>
    <w:p>
      <w:pPr>
        <w:rPr>
          <w:rFonts w:ascii="黑体" w:hAnsi="黑体" w:eastAsia="黑体"/>
          <w:b w:val="0"/>
          <w:color w:val="auto"/>
          <w:highlight w:val="none"/>
        </w:rPr>
      </w:pPr>
      <w:r>
        <w:rPr>
          <w:rFonts w:ascii="黑体" w:hAnsi="黑体" w:eastAsia="黑体"/>
          <w:b w:val="0"/>
          <w:color w:val="auto"/>
          <w:highlight w:val="none"/>
        </w:rPr>
        <w:br w:type="page" w:clear="all"/>
      </w:r>
      <w:r/>
    </w:p>
    <w:p>
      <w:pPr>
        <w:pStyle w:val="677"/>
        <w:jc w:val="center"/>
        <w:spacing w:line="360" w:lineRule="auto"/>
        <w:rPr>
          <w:rFonts w:ascii="黑体" w:hAnsi="黑体" w:eastAsia="黑体"/>
          <w:b w:val="0"/>
          <w:color w:val="auto"/>
          <w:highlight w:val="none"/>
        </w:rPr>
      </w:pPr>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8"/>
      <w:r/>
      <w:r/>
    </w:p>
    <w:p>
      <w:pPr>
        <w:ind w:firstLine="482"/>
        <w:jc w:val="left"/>
        <w:spacing w:line="500" w:lineRule="exact"/>
        <w:rPr>
          <w:rFonts w:asciiTheme="minorEastAsia" w:hAnsiTheme="minorEastAsia"/>
          <w:b/>
          <w:color w:val="auto"/>
          <w:sz w:val="24"/>
          <w:szCs w:val="24"/>
          <w:highlight w:val="none"/>
        </w:rPr>
      </w:pPr>
      <w:r>
        <w:rPr>
          <w:rFonts w:asciiTheme="minorEastAsia" w:hAnsiTheme="minorEastAsia"/>
          <w:b/>
          <w:color w:val="auto"/>
          <w:sz w:val="24"/>
          <w:szCs w:val="24"/>
          <w:highlight w:val="none"/>
        </w:rPr>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一、评标方法</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二、评标标准</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（2）本项目评分总分为100分，按四舍五入取至小数点后两位。</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（3）总得分=价格分+技术分+商务分。</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三、中标标准</w:t>
      </w:r>
      <w:r/>
    </w:p>
    <w:p>
      <w:pPr>
        <w:ind w:firstLine="480"/>
        <w:jc w:val="left"/>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评标结果按评审后得分由高到低顺序排列。得分相同的，按投标报价由低到高顺序排列。得分且投标报价相同的并列。评标委员会按照评审得分由高到低顺序推荐3名中标候选人。</w:t>
      </w:r>
      <w:r/>
    </w:p>
    <w:p>
      <w:pPr>
        <w:pStyle w:val="688"/>
        <w:rPr>
          <w:color w:val="auto"/>
          <w:highlight w:val="none"/>
        </w:rPr>
      </w:pPr>
      <w:r>
        <w:rPr>
          <w:color w:val="auto"/>
          <w:highlight w:val="none"/>
        </w:rPr>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482"/>
        <w:jc w:val="left"/>
        <w:spacing w:line="500" w:lineRule="exact"/>
        <w:rPr>
          <w:b/>
          <w:color w:val="auto"/>
          <w:sz w:val="24"/>
          <w:szCs w:val="24"/>
          <w:highlight w:val="none"/>
        </w:rPr>
      </w:pPr>
      <w:r>
        <w:rPr>
          <w:rFonts w:hint="eastAsia" w:asciiTheme="minorEastAsia" w:hAnsiTheme="minorEastAsia"/>
          <w:b/>
          <w:color w:val="auto"/>
          <w:sz w:val="24"/>
          <w:szCs w:val="24"/>
          <w:highlight w:val="none"/>
        </w:rPr>
        <w:t xml:space="preserve">1.价格分（</w:t>
      </w:r>
      <w:r>
        <w:rPr>
          <w:rFonts w:hint="eastAsia" w:eastAsia="宋体" w:asciiTheme="minorEastAsia" w:hAnsiTheme="minorEastAsia"/>
          <w:b/>
          <w:color w:val="auto"/>
          <w:sz w:val="24"/>
          <w:szCs w:val="24"/>
          <w:highlight w:val="none"/>
          <w:lang w:val="en-US" w:eastAsia="zh-CN"/>
        </w:rPr>
        <w:t xml:space="preserve">10</w:t>
      </w:r>
      <w:r>
        <w:rPr>
          <w:rFonts w:hint="eastAsia" w:asciiTheme="minorEastAsia" w:hAnsiTheme="minorEastAsia"/>
          <w:b/>
          <w:color w:val="auto"/>
          <w:sz w:val="24"/>
          <w:szCs w:val="24"/>
          <w:highlight w:val="none"/>
        </w:rPr>
        <w:t xml:space="preserve">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投标报价得分=（评标基准价/投标报价）×</w:t>
      </w:r>
      <w:r>
        <w:rPr>
          <w:rFonts w:hint="eastAsia" w:eastAsia="宋体"/>
          <w:color w:val="auto"/>
          <w:sz w:val="24"/>
          <w:szCs w:val="24"/>
          <w:highlight w:val="none"/>
          <w:lang w:val="en-US" w:eastAsia="zh-CN"/>
        </w:rPr>
        <w:t xml:space="preserve">10</w:t>
      </w:r>
      <w:r>
        <w:rPr>
          <w:rFonts w:hint="eastAsia"/>
          <w:color w:val="auto"/>
          <w:sz w:val="24"/>
          <w:szCs w:val="24"/>
          <w:highlight w:val="none"/>
        </w:rPr>
        <w:t xml:space="preserve">分。</w:t>
      </w:r>
      <w:r/>
    </w:p>
    <w:p>
      <w:pPr>
        <w:numPr>
          <w:ilvl w:val="0"/>
          <w:numId w:val="0"/>
        </w:numPr>
        <w:ind w:firstLine="482"/>
        <w:spacing w:line="360" w:lineRule="auto"/>
        <w:rPr>
          <w:rFonts w:hint="eastAsia" w:asciiTheme="minorEastAsia" w:hAnsiTheme="minorEastAsia"/>
          <w:b/>
          <w:color w:val="auto"/>
          <w:sz w:val="24"/>
          <w:szCs w:val="24"/>
          <w:highlight w:val="none"/>
        </w:rPr>
      </w:pPr>
      <w:r>
        <w:rPr>
          <w:rFonts w:hint="eastAsia" w:asciiTheme="minorEastAsia" w:hAnsiTheme="minorEastAsia" w:eastAsiaTheme="minorEastAsia" w:cstheme="minorBidi"/>
          <w:b/>
          <w:color w:val="auto"/>
          <w:sz w:val="24"/>
          <w:szCs w:val="24"/>
          <w:highlight w:val="none"/>
          <w:lang w:val="en-US" w:eastAsia="zh-CN" w:bidi="ar-SA"/>
        </w:rPr>
        <w:t xml:space="preserve">2.</w:t>
      </w:r>
      <w:r>
        <w:rPr>
          <w:rFonts w:hint="eastAsia" w:asciiTheme="minorEastAsia" w:hAnsiTheme="minorEastAsia"/>
          <w:b/>
          <w:color w:val="auto"/>
          <w:sz w:val="24"/>
          <w:szCs w:val="24"/>
          <w:highlight w:val="none"/>
        </w:rPr>
        <w:t xml:space="preserve">商务分（50分）</w:t>
      </w:r>
      <w:r/>
    </w:p>
    <w:tbl>
      <w:tblPr>
        <w:tblStyle w:val="883"/>
        <w:tblpPr w:horzAnchor="page" w:tblpX="1226" w:vertAnchor="text" w:tblpY="460" w:leftFromText="180" w:topFromText="0" w:rightFromText="180" w:bottomFromText="0"/>
        <w:tblW w:w="95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67"/>
        <w:gridCol w:w="7776"/>
      </w:tblGrid>
      <w:tr>
        <w:trPr>
          <w:trHeight w:val="521"/>
        </w:trPr>
        <w:tc>
          <w:tcPr>
            <w:tcW w:w="1767" w:type="dxa"/>
            <w:vAlign w:val="top"/>
            <w:textDirection w:val="lrTb"/>
            <w:noWrap w:val="false"/>
          </w:tcPr>
          <w:p>
            <w:pPr>
              <w:ind w:firstLine="468"/>
              <w:spacing w:before="139" w:after="0" w:line="222" w:lineRule="auto"/>
              <w:rPr>
                <w:rFonts w:hint="default" w:ascii="黑体" w:hAnsi="黑体" w:eastAsia="黑体" w:cs="黑体"/>
                <w:bCs/>
                <w:color w:val="auto"/>
                <w:sz w:val="24"/>
                <w:szCs w:val="24"/>
                <w:highlight w:val="none"/>
                <w14:ligatures w14:val="none"/>
              </w:rPr>
            </w:pPr>
            <w:r>
              <w:rPr>
                <w:rFonts w:hint="default" w:ascii="黑体" w:hAnsi="黑体" w:eastAsia="黑体" w:cs="黑体"/>
                <w:bCs/>
                <w:color w:val="auto"/>
                <w:spacing w:val="-3"/>
                <w:sz w:val="24"/>
                <w:szCs w:val="24"/>
                <w:highlight w:val="none"/>
                <w14:ligatures w14:val="none"/>
              </w:rPr>
              <w:t xml:space="preserve">评审因素</w:t>
            </w:r>
            <w:r/>
          </w:p>
        </w:tc>
        <w:tc>
          <w:tcPr>
            <w:tcW w:w="7776" w:type="dxa"/>
            <w:vAlign w:val="top"/>
            <w:textDirection w:val="lrTb"/>
            <w:noWrap w:val="false"/>
          </w:tcPr>
          <w:p>
            <w:pPr>
              <w:ind w:left="3411" w:firstLine="468"/>
              <w:spacing w:before="139" w:after="0" w:line="222" w:lineRule="auto"/>
              <w:rPr>
                <w:rFonts w:hint="default" w:ascii="黑体" w:hAnsi="黑体" w:eastAsia="黑体" w:cs="黑体"/>
                <w:bCs/>
                <w:color w:val="auto"/>
                <w:sz w:val="24"/>
                <w:szCs w:val="24"/>
                <w:highlight w:val="none"/>
                <w14:ligatures w14:val="none"/>
              </w:rPr>
            </w:pPr>
            <w:r>
              <w:rPr>
                <w:rFonts w:hint="default" w:ascii="黑体" w:hAnsi="黑体" w:eastAsia="黑体" w:cs="黑体"/>
                <w:bCs/>
                <w:color w:val="auto"/>
                <w:spacing w:val="-3"/>
                <w:sz w:val="24"/>
                <w:szCs w:val="24"/>
                <w:highlight w:val="none"/>
                <w14:ligatures w14:val="none"/>
              </w:rPr>
              <w:t xml:space="preserve">评审标准</w:t>
            </w:r>
            <w:r/>
          </w:p>
        </w:tc>
      </w:tr>
      <w:tr>
        <w:trPr>
          <w:trHeight w:val="3116"/>
        </w:trPr>
        <w:tc>
          <w:tcPr>
            <w:tcW w:w="1767" w:type="dxa"/>
            <w:vAlign w:val="center"/>
            <w:textDirection w:val="lrTb"/>
            <w:noWrap w:val="false"/>
          </w:tcPr>
          <w:p>
            <w:pPr>
              <w:ind w:left="0" w:right="83" w:firstLine="0"/>
              <w:jc w:val="center"/>
              <w:spacing w:before="78" w:after="0" w:line="241" w:lineRule="auto"/>
              <w:widowControl w:val="off"/>
              <w:rPr>
                <w:rFonts w:ascii="宋体" w:hAnsi="宋体" w:eastAsia="宋体" w:cs="宋体"/>
                <w:bCs/>
                <w:color w:val="auto"/>
                <w:spacing w:val="-4"/>
                <w:sz w:val="24"/>
                <w:szCs w:val="24"/>
                <w:highlight w:val="none"/>
                <w:lang w:val="en-US" w:eastAsia="en-US" w:bidi="ar-SA"/>
                <w14:ligatures w14:val="none"/>
              </w:rPr>
            </w:pPr>
            <w:r>
              <w:rPr>
                <w:rFonts w:ascii="宋体" w:hAnsi="宋体" w:eastAsia="宋体" w:cs="宋体"/>
                <w:bCs/>
                <w:color w:val="auto"/>
                <w:spacing w:val="-4"/>
                <w:sz w:val="24"/>
                <w:szCs w:val="24"/>
                <w:highlight w:val="none"/>
                <w:lang w:val="en-US" w:eastAsia="en-US" w:bidi="ar-SA"/>
                <w14:ligatures w14:val="none"/>
              </w:rPr>
              <w:t xml:space="preserve">项目团队</w:t>
            </w:r>
            <w:r/>
          </w:p>
          <w:p>
            <w:pPr>
              <w:ind w:left="0" w:right="392" w:firstLine="0"/>
              <w:jc w:val="center"/>
              <w:spacing w:before="78" w:after="0" w:line="241"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11"/>
                <w:sz w:val="24"/>
                <w:szCs w:val="24"/>
                <w:highlight w:val="none"/>
                <w:lang w:val="en-US" w:eastAsia="en-US" w:bidi="ar-SA"/>
                <w14:ligatures w14:val="none"/>
              </w:rPr>
              <w:t xml:space="preserve">（</w:t>
            </w:r>
            <w:r>
              <w:rPr>
                <w:rFonts w:ascii="Times New Roman" w:hAnsi="Times New Roman" w:eastAsia="Times New Roman" w:cs="Times New Roman"/>
                <w:bCs/>
                <w:color w:val="auto"/>
                <w:spacing w:val="-11"/>
                <w:sz w:val="24"/>
                <w:szCs w:val="24"/>
                <w:highlight w:val="none"/>
                <w:lang w:val="en-US" w:eastAsia="en-US" w:bidi="ar-SA"/>
                <w14:ligatures w14:val="none"/>
              </w:rPr>
              <w:t xml:space="preserve">2</w:t>
            </w:r>
            <w:r>
              <w:rPr>
                <w:rFonts w:hint="eastAsia" w:ascii="Times New Roman" w:hAnsi="Times New Roman" w:eastAsia="宋体" w:cs="Times New Roman"/>
                <w:bCs/>
                <w:color w:val="auto"/>
                <w:spacing w:val="-11"/>
                <w:sz w:val="24"/>
                <w:szCs w:val="24"/>
                <w:highlight w:val="none"/>
                <w:lang w:val="en-US" w:eastAsia="zh-CN" w:bidi="ar-SA"/>
                <w14:ligatures w14:val="none"/>
              </w:rPr>
              <w:t xml:space="preserve">8</w:t>
            </w:r>
            <w:r>
              <w:rPr>
                <w:rFonts w:ascii="Times New Roman" w:hAnsi="Times New Roman" w:eastAsia="Times New Roman" w:cs="Times New Roman"/>
                <w:bCs/>
                <w:color w:val="auto"/>
                <w:spacing w:val="12"/>
                <w:sz w:val="24"/>
                <w:szCs w:val="24"/>
                <w:highlight w:val="none"/>
                <w:lang w:val="en-US" w:eastAsia="en-US" w:bidi="ar-SA"/>
                <w14:ligatures w14:val="none"/>
              </w:rPr>
              <w:t xml:space="preserve"> </w:t>
            </w:r>
            <w:r>
              <w:rPr>
                <w:rFonts w:ascii="宋体" w:hAnsi="宋体" w:eastAsia="宋体" w:cs="宋体"/>
                <w:bCs/>
                <w:color w:val="auto"/>
                <w:spacing w:val="-11"/>
                <w:sz w:val="24"/>
                <w:szCs w:val="24"/>
                <w:highlight w:val="none"/>
                <w:lang w:val="en-US" w:eastAsia="en-US" w:bidi="ar-SA"/>
                <w14:ligatures w14:val="none"/>
              </w:rPr>
              <w:t xml:space="preserve">分）</w:t>
            </w:r>
            <w:r/>
          </w:p>
        </w:tc>
        <w:tc>
          <w:tcPr>
            <w:tcW w:w="7776" w:type="dxa"/>
            <w:vAlign w:val="top"/>
            <w:textDirection w:val="lrTb"/>
            <w:noWrap w:val="false"/>
          </w:tcPr>
          <w:p>
            <w:pPr>
              <w:jc w:val="both"/>
              <w:spacing w:before="35" w:after="0" w:line="240" w:lineRule="auto"/>
              <w:widowControl w:val="off"/>
              <w:rPr>
                <w:rFonts w:ascii="宋体" w:hAnsi="宋体" w:eastAsia="宋体" w:cs="宋体"/>
                <w:bCs/>
                <w:color w:val="auto"/>
                <w:sz w:val="24"/>
                <w:szCs w:val="24"/>
                <w:highlight w:val="none"/>
                <w:lang w:val="en-US" w:eastAsia="en-US" w:bidi="ar-SA"/>
                <w14:ligatures w14:val="none"/>
              </w:rPr>
            </w:pPr>
            <w:r>
              <w:rPr>
                <w:rFonts w:ascii="Times New Roman" w:hAnsi="Times New Roman" w:eastAsia="Times New Roman" w:cs="Times New Roman"/>
                <w:bCs/>
                <w:color w:val="auto"/>
                <w:spacing w:val="-2"/>
                <w:sz w:val="24"/>
                <w:szCs w:val="24"/>
                <w:highlight w:val="none"/>
                <w:lang w:val="en-US" w:eastAsia="en-US" w:bidi="ar-SA"/>
                <w14:ligatures w14:val="none"/>
              </w:rPr>
              <w:t xml:space="preserve">1.</w:t>
            </w:r>
            <w:r>
              <w:rPr>
                <w:rFonts w:ascii="宋体" w:hAnsi="宋体" w:eastAsia="宋体" w:cs="宋体"/>
                <w:bCs/>
                <w:color w:val="auto"/>
                <w:spacing w:val="-2"/>
                <w:sz w:val="24"/>
                <w:szCs w:val="24"/>
                <w:highlight w:val="none"/>
                <w:lang w:val="en-US" w:eastAsia="en-US" w:bidi="ar-SA"/>
                <w14:ligatures w14:val="none"/>
              </w:rPr>
              <w:t xml:space="preserve">拟派项目负责人：具有土地</w:t>
            </w:r>
            <w:r>
              <w:rPr>
                <w:rFonts w:hint="eastAsia" w:ascii="宋体" w:hAnsi="宋体" w:eastAsia="宋体" w:cs="宋体"/>
                <w:bCs/>
                <w:color w:val="auto"/>
                <w:spacing w:val="-2"/>
                <w:sz w:val="24"/>
                <w:szCs w:val="24"/>
                <w:highlight w:val="none"/>
                <w:lang w:val="en-US" w:eastAsia="zh-CN" w:bidi="ar-SA"/>
                <w14:ligatures w14:val="none"/>
              </w:rPr>
              <w:t xml:space="preserve">、测绘、电子信息</w:t>
            </w:r>
            <w:r>
              <w:rPr>
                <w:rFonts w:ascii="宋体" w:hAnsi="宋体" w:eastAsia="宋体" w:cs="宋体"/>
                <w:bCs/>
                <w:color w:val="auto"/>
                <w:spacing w:val="-2"/>
                <w:sz w:val="24"/>
                <w:szCs w:val="24"/>
                <w:highlight w:val="none"/>
                <w:lang w:val="en-US" w:eastAsia="en-US" w:bidi="ar-SA"/>
                <w14:ligatures w14:val="none"/>
              </w:rPr>
              <w:t xml:space="preserve">高级工程师证书的</w:t>
            </w:r>
            <w:r>
              <w:rPr>
                <w:rFonts w:hint="eastAsia" w:ascii="宋体" w:hAnsi="宋体" w:eastAsia="宋体" w:cs="宋体"/>
                <w:bCs/>
                <w:color w:val="auto"/>
                <w:spacing w:val="-2"/>
                <w:sz w:val="24"/>
                <w:szCs w:val="24"/>
                <w:highlight w:val="none"/>
                <w:lang w:val="en-US" w:eastAsia="zh-CN" w:bidi="ar-SA"/>
                <w14:ligatures w14:val="none"/>
              </w:rPr>
              <w:t xml:space="preserve">，每有一个得2分，本项最高</w:t>
            </w:r>
            <w:r>
              <w:rPr>
                <w:rFonts w:ascii="宋体" w:hAnsi="宋体" w:eastAsia="宋体" w:cs="宋体"/>
                <w:bCs/>
                <w:color w:val="auto"/>
                <w:spacing w:val="-2"/>
                <w:sz w:val="24"/>
                <w:szCs w:val="24"/>
                <w:highlight w:val="none"/>
                <w:lang w:val="en-US" w:eastAsia="en-US" w:bidi="ar-SA"/>
                <w14:ligatures w14:val="none"/>
              </w:rPr>
              <w:t xml:space="preserve">得</w:t>
            </w:r>
            <w:r>
              <w:rPr>
                <w:rFonts w:hint="eastAsia" w:ascii="Times New Roman" w:hAnsi="Times New Roman" w:eastAsia="宋体" w:cs="Times New Roman"/>
                <w:bCs/>
                <w:color w:val="auto"/>
                <w:spacing w:val="-2"/>
                <w:sz w:val="24"/>
                <w:szCs w:val="24"/>
                <w:highlight w:val="none"/>
                <w:lang w:val="en-US" w:eastAsia="zh-CN" w:bidi="ar-SA"/>
                <w14:ligatures w14:val="none"/>
              </w:rPr>
              <w:t xml:space="preserve">6</w:t>
            </w:r>
            <w:r>
              <w:rPr>
                <w:rFonts w:ascii="宋体" w:hAnsi="宋体" w:eastAsia="宋体" w:cs="宋体"/>
                <w:bCs/>
                <w:color w:val="auto"/>
                <w:spacing w:val="-2"/>
                <w:sz w:val="24"/>
                <w:szCs w:val="24"/>
                <w:highlight w:val="none"/>
                <w:lang w:val="en-US" w:eastAsia="en-US" w:bidi="ar-SA"/>
                <w14:ligatures w14:val="none"/>
              </w:rPr>
              <w:t xml:space="preserve">分。</w:t>
            </w:r>
            <w:r/>
          </w:p>
          <w:p>
            <w:pPr>
              <w:jc w:val="both"/>
              <w:spacing w:before="27" w:after="0" w:line="240" w:lineRule="auto"/>
              <w:widowControl w:val="off"/>
              <w:rPr>
                <w:rFonts w:ascii="宋体" w:hAnsi="宋体" w:eastAsia="宋体" w:cs="宋体"/>
                <w:bCs/>
                <w:color w:val="auto"/>
                <w:sz w:val="24"/>
                <w:szCs w:val="24"/>
                <w:highlight w:val="none"/>
                <w:lang w:val="en-US" w:eastAsia="en-US" w:bidi="ar-SA"/>
                <w14:ligatures w14:val="none"/>
              </w:rPr>
            </w:pPr>
            <w:r>
              <w:rPr>
                <w:rFonts w:ascii="Times New Roman" w:hAnsi="Times New Roman" w:eastAsia="Times New Roman" w:cs="Times New Roman"/>
                <w:bCs/>
                <w:color w:val="auto"/>
                <w:spacing w:val="-1"/>
                <w:sz w:val="24"/>
                <w:szCs w:val="24"/>
                <w:highlight w:val="none"/>
                <w:lang w:val="en-US" w:eastAsia="en-US" w:bidi="ar-SA"/>
                <w14:ligatures w14:val="none"/>
              </w:rPr>
              <w:t xml:space="preserve">2.</w:t>
            </w:r>
            <w:r>
              <w:rPr>
                <w:rFonts w:ascii="宋体" w:hAnsi="宋体" w:eastAsia="宋体" w:cs="宋体"/>
                <w:bCs/>
                <w:color w:val="auto"/>
                <w:spacing w:val="-1"/>
                <w:sz w:val="24"/>
                <w:szCs w:val="24"/>
                <w:highlight w:val="none"/>
                <w:lang w:val="en-US" w:eastAsia="en-US" w:bidi="ar-SA"/>
                <w14:ligatures w14:val="none"/>
              </w:rPr>
              <w:t xml:space="preserve">拟派技术负责人：具有土地</w:t>
            </w:r>
            <w:r>
              <w:rPr>
                <w:rFonts w:hint="eastAsia" w:ascii="宋体" w:hAnsi="宋体" w:eastAsia="宋体" w:cs="宋体"/>
                <w:bCs/>
                <w:color w:val="auto"/>
                <w:spacing w:val="-1"/>
                <w:sz w:val="24"/>
                <w:szCs w:val="24"/>
                <w:highlight w:val="none"/>
                <w:lang w:val="en-US" w:eastAsia="zh-CN" w:bidi="ar-SA"/>
                <w14:ligatures w14:val="none"/>
              </w:rPr>
              <w:t xml:space="preserve">、测绘、注册测绘师证书的，每有一个得2分，本项最高</w:t>
            </w:r>
            <w:r>
              <w:rPr>
                <w:rFonts w:ascii="宋体" w:hAnsi="宋体" w:eastAsia="宋体" w:cs="宋体"/>
                <w:bCs/>
                <w:color w:val="auto"/>
                <w:spacing w:val="-1"/>
                <w:sz w:val="24"/>
                <w:szCs w:val="24"/>
                <w:highlight w:val="none"/>
                <w:lang w:val="en-US" w:eastAsia="en-US" w:bidi="ar-SA"/>
                <w14:ligatures w14:val="none"/>
              </w:rPr>
              <w:t xml:space="preserve">得</w:t>
            </w:r>
            <w:r>
              <w:rPr>
                <w:rFonts w:hint="eastAsia" w:ascii="宋体" w:hAnsi="宋体" w:eastAsia="宋体" w:cs="宋体"/>
                <w:bCs/>
                <w:color w:val="auto"/>
                <w:spacing w:val="-39"/>
                <w:sz w:val="24"/>
                <w:szCs w:val="24"/>
                <w:highlight w:val="none"/>
                <w:lang w:val="en-US" w:eastAsia="zh-CN" w:bidi="ar-SA"/>
                <w14:ligatures w14:val="none"/>
              </w:rPr>
              <w:t xml:space="preserve">6</w:t>
            </w:r>
            <w:r>
              <w:rPr>
                <w:rFonts w:ascii="宋体" w:hAnsi="宋体" w:eastAsia="宋体" w:cs="宋体"/>
                <w:bCs/>
                <w:color w:val="auto"/>
                <w:spacing w:val="-1"/>
                <w:sz w:val="24"/>
                <w:szCs w:val="24"/>
                <w:highlight w:val="none"/>
                <w:lang w:val="en-US" w:eastAsia="en-US" w:bidi="ar-SA"/>
                <w14:ligatures w14:val="none"/>
              </w:rPr>
              <w:t xml:space="preserve">分。</w:t>
            </w:r>
            <w:r/>
          </w:p>
          <w:p>
            <w:pPr>
              <w:ind w:right="107"/>
              <w:jc w:val="both"/>
              <w:spacing w:before="25" w:after="0" w:line="240" w:lineRule="auto"/>
              <w:widowControl w:val="off"/>
              <w:rPr>
                <w:rFonts w:hint="eastAsia" w:ascii="宋体" w:hAnsi="宋体" w:eastAsia="宋体" w:cs="宋体"/>
                <w:bCs/>
                <w:color w:val="auto"/>
                <w:sz w:val="24"/>
                <w:szCs w:val="24"/>
                <w:highlight w:val="none"/>
                <w:lang w:val="en-US" w:eastAsia="zh-CN" w:bidi="ar-SA"/>
                <w14:ligatures w14:val="none"/>
              </w:rPr>
            </w:pPr>
            <w:r>
              <w:rPr>
                <w:rFonts w:ascii="Times New Roman" w:hAnsi="Times New Roman" w:eastAsia="Times New Roman" w:cs="Times New Roman"/>
                <w:bCs/>
                <w:color w:val="auto"/>
                <w:spacing w:val="5"/>
                <w:sz w:val="24"/>
                <w:szCs w:val="24"/>
                <w:highlight w:val="none"/>
                <w:lang w:val="en-US" w:eastAsia="en-US" w:bidi="ar-SA"/>
                <w14:ligatures w14:val="none"/>
              </w:rPr>
              <w:t xml:space="preserve">3.</w:t>
            </w:r>
            <w:r>
              <w:rPr>
                <w:rFonts w:ascii="宋体" w:hAnsi="宋体" w:eastAsia="宋体" w:cs="宋体"/>
                <w:bCs/>
                <w:color w:val="auto"/>
                <w:spacing w:val="5"/>
                <w:sz w:val="24"/>
                <w:szCs w:val="24"/>
                <w:highlight w:val="none"/>
                <w:lang w:val="en-US" w:eastAsia="en-US" w:bidi="ar-SA"/>
                <w14:ligatures w14:val="none"/>
              </w:rPr>
              <w:t xml:space="preserve">拟派质量负责人：具有测绘、土地高级工程师证书的</w:t>
            </w:r>
            <w:r>
              <w:rPr>
                <w:rFonts w:hint="eastAsia" w:ascii="宋体" w:hAnsi="宋体" w:eastAsia="宋体" w:cs="宋体"/>
                <w:bCs/>
                <w:color w:val="auto"/>
                <w:spacing w:val="5"/>
                <w:sz w:val="24"/>
                <w:szCs w:val="24"/>
                <w:highlight w:val="none"/>
                <w:lang w:val="en-US" w:eastAsia="zh-CN" w:bidi="ar-SA"/>
                <w14:ligatures w14:val="none"/>
              </w:rPr>
              <w:t xml:space="preserve">，每有一个得2分，本项最高</w:t>
            </w:r>
            <w:r>
              <w:rPr>
                <w:rFonts w:ascii="宋体" w:hAnsi="宋体" w:eastAsia="宋体" w:cs="宋体"/>
                <w:bCs/>
                <w:color w:val="auto"/>
                <w:spacing w:val="5"/>
                <w:sz w:val="24"/>
                <w:szCs w:val="24"/>
                <w:highlight w:val="none"/>
                <w:lang w:val="en-US" w:eastAsia="en-US" w:bidi="ar-SA"/>
                <w14:ligatures w14:val="none"/>
              </w:rPr>
              <w:t xml:space="preserve">得</w:t>
            </w:r>
            <w:r>
              <w:rPr>
                <w:rFonts w:hint="eastAsia" w:ascii="宋体" w:hAnsi="宋体" w:eastAsia="宋体" w:cs="宋体"/>
                <w:bCs/>
                <w:color w:val="auto"/>
                <w:spacing w:val="5"/>
                <w:sz w:val="24"/>
                <w:szCs w:val="24"/>
                <w:highlight w:val="none"/>
                <w:lang w:val="en-US" w:eastAsia="zh-CN" w:bidi="ar-SA"/>
                <w14:ligatures w14:val="none"/>
              </w:rPr>
              <w:t xml:space="preserve">4</w:t>
            </w:r>
            <w:r>
              <w:rPr>
                <w:rFonts w:ascii="宋体" w:hAnsi="宋体" w:eastAsia="宋体" w:cs="宋体"/>
                <w:bCs/>
                <w:color w:val="auto"/>
                <w:spacing w:val="5"/>
                <w:sz w:val="24"/>
                <w:szCs w:val="24"/>
                <w:highlight w:val="none"/>
                <w:lang w:val="en-US" w:eastAsia="en-US" w:bidi="ar-SA"/>
                <w14:ligatures w14:val="none"/>
              </w:rPr>
              <w:t xml:space="preserve">分</w:t>
            </w:r>
            <w:r>
              <w:rPr>
                <w:rFonts w:hint="eastAsia" w:ascii="宋体" w:hAnsi="宋体" w:eastAsia="宋体" w:cs="宋体"/>
                <w:bCs/>
                <w:color w:val="auto"/>
                <w:spacing w:val="5"/>
                <w:sz w:val="24"/>
                <w:szCs w:val="24"/>
                <w:highlight w:val="none"/>
                <w:lang w:val="en-US" w:eastAsia="zh-CN" w:bidi="ar-SA"/>
                <w14:ligatures w14:val="none"/>
              </w:rPr>
              <w:t xml:space="preserve">。</w:t>
            </w:r>
            <w:r/>
          </w:p>
          <w:p>
            <w:pPr>
              <w:ind w:right="107"/>
              <w:jc w:val="both"/>
              <w:spacing w:before="1" w:after="0" w:line="240" w:lineRule="auto"/>
              <w:widowControl w:val="off"/>
              <w:rPr>
                <w:rFonts w:ascii="宋体" w:hAnsi="宋体" w:eastAsia="宋体" w:cs="宋体"/>
                <w:bCs/>
                <w:color w:val="auto"/>
                <w:sz w:val="24"/>
                <w:szCs w:val="24"/>
                <w:highlight w:val="none"/>
                <w:lang w:val="en-US" w:eastAsia="en-US" w:bidi="ar-SA"/>
                <w14:ligatures w14:val="none"/>
              </w:rPr>
            </w:pPr>
            <w:r>
              <w:rPr>
                <w:rFonts w:ascii="Times New Roman" w:hAnsi="Times New Roman" w:eastAsia="Times New Roman" w:cs="Times New Roman"/>
                <w:bCs/>
                <w:color w:val="auto"/>
                <w:spacing w:val="5"/>
                <w:sz w:val="24"/>
                <w:szCs w:val="24"/>
                <w:highlight w:val="none"/>
                <w:lang w:val="en-US" w:eastAsia="en-US" w:bidi="ar-SA"/>
                <w14:ligatures w14:val="none"/>
              </w:rPr>
              <w:t xml:space="preserve">4.</w:t>
            </w:r>
            <w:r>
              <w:rPr>
                <w:rFonts w:ascii="宋体" w:hAnsi="宋体" w:eastAsia="宋体" w:cs="宋体"/>
                <w:bCs/>
                <w:color w:val="auto"/>
                <w:spacing w:val="5"/>
                <w:sz w:val="24"/>
                <w:szCs w:val="24"/>
                <w:highlight w:val="none"/>
                <w:lang w:val="en-US" w:eastAsia="en-US" w:bidi="ar-SA"/>
                <w14:ligatures w14:val="none"/>
              </w:rPr>
              <w:t xml:space="preserve">拟派项目组成员（项目负责人和技术负责人除外</w:t>
            </w:r>
            <w:r>
              <w:rPr>
                <w:rFonts w:ascii="宋体" w:hAnsi="宋体" w:eastAsia="宋体" w:cs="宋体"/>
                <w:bCs/>
                <w:color w:val="auto"/>
                <w:spacing w:val="15"/>
                <w:sz w:val="24"/>
                <w:szCs w:val="24"/>
                <w:highlight w:val="none"/>
                <w:lang w:val="en-US" w:eastAsia="en-US" w:bidi="ar-SA"/>
                <w14:ligatures w14:val="none"/>
              </w:rPr>
              <w:t xml:space="preserve">）：</w:t>
            </w:r>
            <w:r>
              <w:rPr>
                <w:rFonts w:ascii="宋体" w:hAnsi="宋体" w:eastAsia="宋体" w:cs="宋体"/>
                <w:bCs/>
                <w:color w:val="auto"/>
                <w:spacing w:val="5"/>
                <w:sz w:val="24"/>
                <w:szCs w:val="24"/>
                <w:highlight w:val="none"/>
                <w:lang w:val="en-US" w:eastAsia="en-US" w:bidi="ar-SA"/>
                <w14:ligatures w14:val="none"/>
              </w:rPr>
              <w:t xml:space="preserve">具</w:t>
            </w:r>
            <w:r>
              <w:rPr>
                <w:rFonts w:ascii="宋体" w:hAnsi="宋体" w:eastAsia="宋体" w:cs="宋体"/>
                <w:bCs/>
                <w:color w:val="auto"/>
                <w:spacing w:val="4"/>
                <w:sz w:val="24"/>
                <w:szCs w:val="24"/>
                <w:highlight w:val="none"/>
                <w:lang w:val="en-US" w:eastAsia="en-US" w:bidi="ar-SA"/>
                <w14:ligatures w14:val="none"/>
              </w:rPr>
              <w:t xml:space="preserve">有测绘或土地</w:t>
            </w:r>
            <w:r>
              <w:rPr>
                <w:rFonts w:hint="eastAsia" w:ascii="宋体" w:hAnsi="宋体" w:eastAsia="宋体" w:cs="宋体"/>
                <w:bCs/>
                <w:color w:val="auto"/>
                <w:spacing w:val="4"/>
                <w:sz w:val="24"/>
                <w:szCs w:val="24"/>
                <w:highlight w:val="none"/>
                <w:lang w:val="en-US" w:eastAsia="zh-CN" w:bidi="ar-SA"/>
                <w14:ligatures w14:val="none"/>
              </w:rPr>
              <w:t xml:space="preserve">或电子信息</w:t>
            </w:r>
            <w:r>
              <w:rPr>
                <w:rFonts w:ascii="宋体" w:hAnsi="宋体" w:eastAsia="宋体" w:cs="宋体"/>
                <w:bCs/>
                <w:color w:val="auto"/>
                <w:sz w:val="24"/>
                <w:szCs w:val="24"/>
                <w:highlight w:val="none"/>
                <w:lang w:val="en-US" w:eastAsia="en-US" w:bidi="ar-SA"/>
                <w14:ligatures w14:val="none"/>
              </w:rPr>
              <w:t xml:space="preserve">高级工程师职称的得</w:t>
            </w:r>
            <w:r>
              <w:rPr>
                <w:rFonts w:hint="eastAsia" w:ascii="Times New Roman" w:hAnsi="Times New Roman" w:eastAsia="宋体" w:cs="Times New Roman"/>
                <w:bCs/>
                <w:color w:val="auto"/>
                <w:sz w:val="24"/>
                <w:szCs w:val="24"/>
                <w:highlight w:val="none"/>
                <w:lang w:val="en-US" w:eastAsia="zh-CN" w:bidi="ar-SA"/>
                <w14:ligatures w14:val="none"/>
              </w:rPr>
              <w:t xml:space="preserve">2</w:t>
            </w:r>
            <w:r>
              <w:rPr>
                <w:rFonts w:ascii="宋体" w:hAnsi="宋体" w:eastAsia="宋体" w:cs="宋体"/>
                <w:bCs/>
                <w:color w:val="auto"/>
                <w:sz w:val="24"/>
                <w:szCs w:val="24"/>
                <w:highlight w:val="none"/>
                <w:lang w:val="en-US" w:eastAsia="en-US" w:bidi="ar-SA"/>
                <w14:ligatures w14:val="none"/>
              </w:rPr>
              <w:t xml:space="preserve">分，中级工程师职称的得</w:t>
            </w:r>
            <w:r>
              <w:rPr>
                <w:rFonts w:hint="eastAsia" w:ascii="宋体" w:hAnsi="宋体" w:eastAsia="宋体" w:cs="宋体"/>
                <w:bCs/>
                <w:color w:val="auto"/>
                <w:spacing w:val="-47"/>
                <w:sz w:val="24"/>
                <w:szCs w:val="24"/>
                <w:highlight w:val="none"/>
                <w:lang w:val="en-US" w:eastAsia="zh-CN" w:bidi="ar-SA"/>
                <w14:ligatures w14:val="none"/>
              </w:rPr>
              <w:t xml:space="preserve">1</w:t>
            </w:r>
            <w:r>
              <w:rPr>
                <w:rFonts w:ascii="宋体" w:hAnsi="宋体" w:eastAsia="宋体" w:cs="宋体"/>
                <w:bCs/>
                <w:color w:val="auto"/>
                <w:sz w:val="24"/>
                <w:szCs w:val="24"/>
                <w:highlight w:val="none"/>
                <w:lang w:val="en-US" w:eastAsia="en-US" w:bidi="ar-SA"/>
                <w14:ligatures w14:val="none"/>
              </w:rPr>
              <w:t xml:space="preserve">分，本项最高得</w:t>
            </w:r>
            <w:r>
              <w:rPr>
                <w:rFonts w:ascii="Times New Roman" w:hAnsi="Times New Roman" w:eastAsia="Times New Roman" w:cs="Times New Roman"/>
                <w:bCs/>
                <w:color w:val="auto"/>
                <w:sz w:val="24"/>
                <w:szCs w:val="24"/>
                <w:highlight w:val="none"/>
                <w:lang w:val="en-US" w:eastAsia="en-US" w:bidi="ar-SA"/>
                <w14:ligatures w14:val="none"/>
              </w:rPr>
              <w:t xml:space="preserve">1</w:t>
            </w:r>
            <w:r>
              <w:rPr>
                <w:rFonts w:hint="eastAsia" w:ascii="Times New Roman" w:hAnsi="Times New Roman" w:eastAsia="宋体" w:cs="Times New Roman"/>
                <w:bCs/>
                <w:color w:val="auto"/>
                <w:sz w:val="24"/>
                <w:szCs w:val="24"/>
                <w:highlight w:val="none"/>
                <w:lang w:val="en-US" w:eastAsia="zh-CN" w:bidi="ar-SA"/>
                <w14:ligatures w14:val="none"/>
              </w:rPr>
              <w:t xml:space="preserve">2</w:t>
            </w:r>
            <w:r>
              <w:rPr>
                <w:rFonts w:ascii="宋体" w:hAnsi="宋体" w:eastAsia="宋体" w:cs="宋体"/>
                <w:bCs/>
                <w:color w:val="auto"/>
                <w:spacing w:val="-7"/>
                <w:sz w:val="24"/>
                <w:szCs w:val="24"/>
                <w:highlight w:val="none"/>
                <w:lang w:val="en-US" w:eastAsia="en-US" w:bidi="ar-SA"/>
                <w14:ligatures w14:val="none"/>
              </w:rPr>
              <w:t xml:space="preserve">分。</w:t>
            </w:r>
            <w:r/>
          </w:p>
          <w:p>
            <w:pPr>
              <w:ind w:right="199"/>
              <w:jc w:val="both"/>
              <w:spacing w:before="1"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
                <w:bCs/>
                <w:color w:val="auto"/>
                <w:spacing w:val="-2"/>
                <w:sz w:val="24"/>
                <w:szCs w:val="24"/>
                <w:highlight w:val="none"/>
                <w:lang w:val="en-US" w:eastAsia="en-US" w:bidi="ar-SA"/>
                <w14:ligatures w14:val="none"/>
              </w:rPr>
              <w:t xml:space="preserve">注：以上人员仅按最高得分计取一次，人员不重复得分。提供人员相关证书及供应商为其缴纳的近三个月内任意一个月社会保险缴纳证明。原件彩色扫描件上传至响应文件中，未提供不得</w:t>
            </w:r>
            <w:r>
              <w:rPr>
                <w:rFonts w:ascii="宋体" w:hAnsi="宋体" w:eastAsia="宋体" w:cs="宋体"/>
                <w:b/>
                <w:bCs/>
                <w:color w:val="auto"/>
                <w:spacing w:val="-3"/>
                <w:sz w:val="24"/>
                <w:szCs w:val="24"/>
                <w:highlight w:val="none"/>
                <w:lang w:val="en-US" w:eastAsia="en-US" w:bidi="ar-SA"/>
                <w14:ligatures w14:val="none"/>
              </w:rPr>
              <w:t xml:space="preserve">分。</w:t>
            </w:r>
            <w:r/>
          </w:p>
        </w:tc>
      </w:tr>
      <w:tr>
        <w:trPr>
          <w:trHeight w:val="1870"/>
        </w:trPr>
        <w:tc>
          <w:tcPr>
            <w:tcW w:w="1767" w:type="dxa"/>
            <w:vAlign w:val="center"/>
            <w:textDirection w:val="lrTb"/>
            <w:noWrap w:val="false"/>
          </w:tcPr>
          <w:p>
            <w:pPr>
              <w:ind w:left="0" w:firstLine="0"/>
              <w:jc w:val="center"/>
              <w:spacing w:before="78" w:after="0" w:line="219" w:lineRule="auto"/>
              <w:widowControl w:val="off"/>
              <w:rPr>
                <w:rFonts w:ascii="宋体" w:hAnsi="宋体" w:eastAsia="宋体" w:cs="宋体"/>
                <w:bCs/>
                <w:color w:val="auto"/>
                <w:spacing w:val="-4"/>
                <w:sz w:val="24"/>
                <w:szCs w:val="24"/>
                <w:highlight w:val="none"/>
                <w:lang w:val="en-US" w:eastAsia="en-US" w:bidi="ar-SA"/>
                <w14:ligatures w14:val="none"/>
              </w:rPr>
            </w:pPr>
            <w:r>
              <w:rPr>
                <w:rFonts w:ascii="宋体" w:hAnsi="宋体" w:eastAsia="宋体" w:cs="宋体"/>
                <w:bCs/>
                <w:color w:val="auto"/>
                <w:spacing w:val="-3"/>
                <w:sz w:val="24"/>
                <w:szCs w:val="24"/>
                <w:highlight w:val="none"/>
                <w:lang w:val="en-US" w:eastAsia="en-US" w:bidi="ar-SA"/>
                <w14:ligatures w14:val="none"/>
              </w:rPr>
              <w:t xml:space="preserve">企业资信及综</w:t>
            </w:r>
            <w:r>
              <w:rPr>
                <w:rFonts w:ascii="宋体" w:hAnsi="宋体" w:eastAsia="宋体" w:cs="宋体"/>
                <w:bCs/>
                <w:color w:val="auto"/>
                <w:spacing w:val="-4"/>
                <w:sz w:val="24"/>
                <w:szCs w:val="24"/>
                <w:highlight w:val="none"/>
                <w:lang w:val="en-US" w:eastAsia="en-US" w:bidi="ar-SA"/>
                <w14:ligatures w14:val="none"/>
              </w:rPr>
              <w:t xml:space="preserve">合实力</w:t>
            </w:r>
            <w:r/>
          </w:p>
          <w:p>
            <w:pPr>
              <w:ind w:left="0" w:firstLine="0"/>
              <w:jc w:val="center"/>
              <w:spacing w:before="78" w:after="0" w:line="219"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7"/>
                <w:sz w:val="24"/>
                <w:szCs w:val="24"/>
                <w:highlight w:val="none"/>
                <w:lang w:val="en-US" w:eastAsia="en-US" w:bidi="ar-SA"/>
                <w14:ligatures w14:val="none"/>
              </w:rPr>
              <w:t xml:space="preserve">（</w:t>
            </w:r>
            <w:r>
              <w:rPr>
                <w:rFonts w:ascii="Times New Roman" w:hAnsi="Times New Roman" w:eastAsia="Times New Roman" w:cs="Times New Roman"/>
                <w:bCs/>
                <w:color w:val="auto"/>
                <w:spacing w:val="-7"/>
                <w:sz w:val="24"/>
                <w:szCs w:val="24"/>
                <w:highlight w:val="none"/>
                <w:lang w:val="en-US" w:eastAsia="en-US" w:bidi="ar-SA"/>
                <w14:ligatures w14:val="none"/>
              </w:rPr>
              <w:t xml:space="preserve">1</w:t>
            </w:r>
            <w:r>
              <w:rPr>
                <w:rFonts w:hint="eastAsia" w:ascii="Times New Roman" w:hAnsi="Times New Roman" w:eastAsia="宋体" w:cs="Times New Roman"/>
                <w:bCs/>
                <w:color w:val="auto"/>
                <w:spacing w:val="-7"/>
                <w:sz w:val="24"/>
                <w:szCs w:val="24"/>
                <w:highlight w:val="none"/>
                <w:lang w:val="en-US" w:eastAsia="zh-CN" w:bidi="ar-SA"/>
                <w14:ligatures w14:val="none"/>
              </w:rPr>
              <w:t xml:space="preserve">0</w:t>
            </w:r>
            <w:r>
              <w:rPr>
                <w:rFonts w:ascii="Times New Roman" w:hAnsi="Times New Roman" w:eastAsia="Times New Roman" w:cs="Times New Roman"/>
                <w:bCs/>
                <w:color w:val="auto"/>
                <w:spacing w:val="13"/>
                <w:sz w:val="24"/>
                <w:szCs w:val="24"/>
                <w:highlight w:val="none"/>
                <w:lang w:val="en-US" w:eastAsia="en-US" w:bidi="ar-SA"/>
                <w14:ligatures w14:val="none"/>
              </w:rPr>
              <w:t xml:space="preserve"> </w:t>
            </w:r>
            <w:r>
              <w:rPr>
                <w:rFonts w:ascii="宋体" w:hAnsi="宋体" w:eastAsia="宋体" w:cs="宋体"/>
                <w:bCs/>
                <w:color w:val="auto"/>
                <w:spacing w:val="-7"/>
                <w:sz w:val="24"/>
                <w:szCs w:val="24"/>
                <w:highlight w:val="none"/>
                <w:lang w:val="en-US" w:eastAsia="en-US" w:bidi="ar-SA"/>
                <w14:ligatures w14:val="none"/>
              </w:rPr>
              <w:t xml:space="preserve">分）</w:t>
            </w:r>
            <w:r/>
          </w:p>
        </w:tc>
        <w:tc>
          <w:tcPr>
            <w:tcW w:w="7776" w:type="dxa"/>
            <w:vAlign w:val="top"/>
            <w:textDirection w:val="lrTb"/>
            <w:noWrap w:val="false"/>
          </w:tcPr>
          <w:p>
            <w:pPr>
              <w:ind w:right="107"/>
              <w:jc w:val="both"/>
              <w:spacing w:before="39" w:after="0" w:line="239"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5"/>
                <w:sz w:val="24"/>
                <w:szCs w:val="24"/>
                <w:highlight w:val="none"/>
                <w:lang w:val="en-US" w:eastAsia="en-US" w:bidi="ar-SA"/>
                <w14:ligatures w14:val="none"/>
              </w:rPr>
              <w:t xml:space="preserve">供应商具有质量管理体系认证、信息安全管理</w:t>
            </w:r>
            <w:r>
              <w:rPr>
                <w:rFonts w:ascii="宋体" w:hAnsi="宋体" w:eastAsia="宋体" w:cs="宋体"/>
                <w:bCs/>
                <w:color w:val="auto"/>
                <w:spacing w:val="4"/>
                <w:sz w:val="24"/>
                <w:szCs w:val="24"/>
                <w:highlight w:val="none"/>
                <w:lang w:val="en-US" w:eastAsia="en-US" w:bidi="ar-SA"/>
                <w14:ligatures w14:val="none"/>
              </w:rPr>
              <w:t xml:space="preserve">体系认证、职业健康安</w:t>
            </w:r>
            <w:r>
              <w:rPr>
                <w:rFonts w:ascii="宋体" w:hAnsi="宋体" w:eastAsia="宋体" w:cs="宋体"/>
                <w:bCs/>
                <w:color w:val="auto"/>
                <w:spacing w:val="3"/>
                <w:sz w:val="24"/>
                <w:szCs w:val="24"/>
                <w:highlight w:val="none"/>
                <w:lang w:val="en-US" w:eastAsia="en-US" w:bidi="ar-SA"/>
                <w14:ligatures w14:val="none"/>
              </w:rPr>
              <w:t xml:space="preserve">全管理体系认证、信息技术服务管理体系认证、环境管理体系认证（有</w:t>
            </w:r>
            <w:r>
              <w:rPr>
                <w:rFonts w:ascii="宋体" w:hAnsi="宋体" w:eastAsia="宋体" w:cs="宋体"/>
                <w:bCs/>
                <w:color w:val="auto"/>
                <w:spacing w:val="-2"/>
                <w:sz w:val="24"/>
                <w:szCs w:val="24"/>
                <w:highlight w:val="none"/>
                <w:lang w:val="en-US" w:eastAsia="en-US" w:bidi="ar-SA"/>
                <w14:ligatures w14:val="none"/>
              </w:rPr>
              <w:t xml:space="preserve">效期内的</w:t>
            </w:r>
            <w:r>
              <w:rPr>
                <w:rFonts w:ascii="宋体" w:hAnsi="宋体" w:eastAsia="宋体" w:cs="宋体"/>
                <w:bCs/>
                <w:color w:val="auto"/>
                <w:spacing w:val="4"/>
                <w:sz w:val="24"/>
                <w:szCs w:val="24"/>
                <w:highlight w:val="none"/>
                <w:lang w:val="en-US" w:eastAsia="en-US" w:bidi="ar-SA"/>
                <w14:ligatures w14:val="none"/>
              </w:rPr>
              <w:t xml:space="preserve">），</w:t>
            </w:r>
            <w:r>
              <w:rPr>
                <w:rFonts w:ascii="宋体" w:hAnsi="宋体" w:eastAsia="宋体" w:cs="宋体"/>
                <w:bCs/>
                <w:color w:val="auto"/>
                <w:spacing w:val="-2"/>
                <w:sz w:val="24"/>
                <w:szCs w:val="24"/>
                <w:highlight w:val="none"/>
                <w:lang w:val="en-US" w:eastAsia="en-US" w:bidi="ar-SA"/>
                <w14:ligatures w14:val="none"/>
              </w:rPr>
              <w:t xml:space="preserve">每提供一个得</w:t>
            </w:r>
            <w:r>
              <w:rPr>
                <w:rFonts w:ascii="宋体" w:hAnsi="宋体" w:eastAsia="宋体" w:cs="宋体"/>
                <w:bCs/>
                <w:color w:val="auto"/>
                <w:spacing w:val="-54"/>
                <w:sz w:val="24"/>
                <w:szCs w:val="24"/>
                <w:highlight w:val="none"/>
                <w:lang w:val="en-US" w:eastAsia="en-US" w:bidi="ar-SA"/>
                <w14:ligatures w14:val="none"/>
              </w:rPr>
              <w:t xml:space="preserve"> </w:t>
            </w:r>
            <w:r>
              <w:rPr>
                <w:rFonts w:ascii="Times New Roman" w:hAnsi="Times New Roman" w:eastAsia="Times New Roman" w:cs="Times New Roman"/>
                <w:bCs/>
                <w:color w:val="auto"/>
                <w:spacing w:val="-2"/>
                <w:sz w:val="24"/>
                <w:szCs w:val="24"/>
                <w:highlight w:val="none"/>
                <w:lang w:val="en-US" w:eastAsia="en-US" w:bidi="ar-SA"/>
                <w14:ligatures w14:val="none"/>
              </w:rPr>
              <w:t xml:space="preserve">2 </w:t>
            </w:r>
            <w:r>
              <w:rPr>
                <w:rFonts w:ascii="宋体" w:hAnsi="宋体" w:eastAsia="宋体" w:cs="宋体"/>
                <w:bCs/>
                <w:color w:val="auto"/>
                <w:spacing w:val="-2"/>
                <w:sz w:val="24"/>
                <w:szCs w:val="24"/>
                <w:highlight w:val="none"/>
                <w:lang w:val="en-US" w:eastAsia="en-US" w:bidi="ar-SA"/>
                <w14:ligatures w14:val="none"/>
              </w:rPr>
              <w:t xml:space="preserve">分，本项最高得</w:t>
            </w:r>
            <w:r>
              <w:rPr>
                <w:rFonts w:ascii="宋体" w:hAnsi="宋体" w:eastAsia="宋体" w:cs="宋体"/>
                <w:bCs/>
                <w:color w:val="auto"/>
                <w:spacing w:val="-32"/>
                <w:sz w:val="24"/>
                <w:szCs w:val="24"/>
                <w:highlight w:val="none"/>
                <w:lang w:val="en-US" w:eastAsia="en-US" w:bidi="ar-SA"/>
                <w14:ligatures w14:val="none"/>
              </w:rPr>
              <w:t xml:space="preserve"> </w:t>
            </w:r>
            <w:r>
              <w:rPr>
                <w:rFonts w:ascii="Times New Roman" w:hAnsi="Times New Roman" w:eastAsia="Times New Roman" w:cs="Times New Roman"/>
                <w:bCs/>
                <w:color w:val="auto"/>
                <w:spacing w:val="-3"/>
                <w:sz w:val="24"/>
                <w:szCs w:val="24"/>
                <w:highlight w:val="none"/>
                <w:lang w:val="en-US" w:eastAsia="en-US" w:bidi="ar-SA"/>
                <w14:ligatures w14:val="none"/>
              </w:rPr>
              <w:t xml:space="preserve">10 </w:t>
            </w:r>
            <w:r>
              <w:rPr>
                <w:rFonts w:ascii="宋体" w:hAnsi="宋体" w:eastAsia="宋体" w:cs="宋体"/>
                <w:bCs/>
                <w:color w:val="auto"/>
                <w:spacing w:val="-3"/>
                <w:sz w:val="24"/>
                <w:szCs w:val="24"/>
                <w:highlight w:val="none"/>
                <w:lang w:val="en-US" w:eastAsia="en-US" w:bidi="ar-SA"/>
                <w14:ligatures w14:val="none"/>
              </w:rPr>
              <w:t xml:space="preserve">分。</w:t>
            </w:r>
            <w:r/>
          </w:p>
          <w:p>
            <w:pPr>
              <w:jc w:val="both"/>
              <w:spacing w:after="0" w:line="205"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
                <w:bCs/>
                <w:color w:val="auto"/>
                <w:spacing w:val="-2"/>
                <w:sz w:val="24"/>
                <w:szCs w:val="24"/>
                <w:highlight w:val="none"/>
                <w:lang w:val="en-US" w:eastAsia="en-US" w:bidi="ar-SA"/>
                <w14:ligatures w14:val="none"/>
              </w:rPr>
              <w:t xml:space="preserve">注：提供相关证书原件彩色扫描件上传至响应文件中，未提供不得分。</w:t>
            </w:r>
            <w:r/>
          </w:p>
        </w:tc>
      </w:tr>
      <w:tr>
        <w:trPr>
          <w:trHeight w:val="1254"/>
        </w:trPr>
        <w:tc>
          <w:tcPr>
            <w:tcW w:w="1767" w:type="dxa"/>
            <w:vAlign w:val="center"/>
            <w:textDirection w:val="lrTb"/>
            <w:noWrap w:val="false"/>
          </w:tcPr>
          <w:p>
            <w:pPr>
              <w:ind w:left="0" w:right="392" w:firstLine="0"/>
              <w:jc w:val="center"/>
              <w:spacing w:before="78" w:after="0" w:line="242" w:lineRule="auto"/>
              <w:widowControl w:val="off"/>
              <w:rPr>
                <w:rFonts w:ascii="宋体" w:hAnsi="宋体" w:eastAsia="宋体" w:cs="宋体"/>
                <w:bCs/>
                <w:color w:val="auto"/>
                <w:spacing w:val="-3"/>
                <w:sz w:val="24"/>
                <w:szCs w:val="24"/>
                <w:highlight w:val="none"/>
                <w:lang w:val="en-US" w:eastAsia="en-US" w:bidi="ar-SA"/>
                <w14:ligatures w14:val="none"/>
              </w:rPr>
            </w:pPr>
            <w:r>
              <w:rPr>
                <w:rFonts w:ascii="宋体" w:hAnsi="宋体" w:eastAsia="宋体" w:cs="宋体"/>
                <w:bCs/>
                <w:color w:val="auto"/>
                <w:spacing w:val="-3"/>
                <w:sz w:val="24"/>
                <w:szCs w:val="24"/>
                <w:highlight w:val="none"/>
                <w:lang w:val="en-US" w:eastAsia="en-US" w:bidi="ar-SA"/>
                <w14:ligatures w14:val="none"/>
              </w:rPr>
              <w:t xml:space="preserve">类似业绩</w:t>
            </w:r>
            <w:r/>
          </w:p>
          <w:p>
            <w:pPr>
              <w:ind w:left="0" w:right="392" w:firstLine="0"/>
              <w:jc w:val="center"/>
              <w:spacing w:before="78" w:after="0" w:line="242"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11"/>
                <w:sz w:val="24"/>
                <w:szCs w:val="24"/>
                <w:highlight w:val="none"/>
                <w:lang w:val="en-US" w:eastAsia="en-US" w:bidi="ar-SA"/>
                <w14:ligatures w14:val="none"/>
              </w:rPr>
              <w:t xml:space="preserve">（</w:t>
            </w:r>
            <w:r>
              <w:rPr>
                <w:rFonts w:ascii="Times New Roman" w:hAnsi="Times New Roman" w:eastAsia="Times New Roman" w:cs="Times New Roman"/>
                <w:bCs/>
                <w:color w:val="auto"/>
                <w:spacing w:val="-11"/>
                <w:sz w:val="24"/>
                <w:szCs w:val="24"/>
                <w:highlight w:val="none"/>
                <w:lang w:val="en-US" w:eastAsia="en-US" w:bidi="ar-SA"/>
                <w14:ligatures w14:val="none"/>
              </w:rPr>
              <w:t xml:space="preserve">1</w:t>
            </w:r>
            <w:r>
              <w:rPr>
                <w:rFonts w:hint="eastAsia" w:ascii="Times New Roman" w:hAnsi="Times New Roman" w:eastAsia="宋体" w:cs="Times New Roman"/>
                <w:bCs/>
                <w:color w:val="auto"/>
                <w:spacing w:val="-11"/>
                <w:sz w:val="24"/>
                <w:szCs w:val="24"/>
                <w:highlight w:val="none"/>
                <w:lang w:val="en-US" w:eastAsia="zh-CN" w:bidi="ar-SA"/>
                <w14:ligatures w14:val="none"/>
              </w:rPr>
              <w:t xml:space="preserve">2</w:t>
            </w:r>
            <w:r>
              <w:rPr>
                <w:rFonts w:ascii="宋体" w:hAnsi="宋体" w:eastAsia="宋体" w:cs="宋体"/>
                <w:bCs/>
                <w:color w:val="auto"/>
                <w:spacing w:val="-11"/>
                <w:sz w:val="24"/>
                <w:szCs w:val="24"/>
                <w:highlight w:val="none"/>
                <w:lang w:val="en-US" w:eastAsia="en-US" w:bidi="ar-SA"/>
                <w14:ligatures w14:val="none"/>
              </w:rPr>
              <w:t xml:space="preserve">分）</w:t>
            </w:r>
            <w:r/>
          </w:p>
        </w:tc>
        <w:tc>
          <w:tcPr>
            <w:tcW w:w="7776" w:type="dxa"/>
            <w:vAlign w:val="top"/>
            <w:textDirection w:val="lrTb"/>
            <w:noWrap w:val="false"/>
          </w:tcPr>
          <w:p>
            <w:pPr>
              <w:pStyle w:val="710"/>
              <w:ind w:left="0" w:right="0"/>
              <w:keepLines w:val="0"/>
              <w:keepNext w:val="0"/>
              <w:spacing w:before="0" w:beforeAutospacing="1" w:after="0" w:afterAutospacing="1"/>
              <w:widowControl/>
              <w:rPr>
                <w:rFonts w:ascii="宋体" w:hAnsi="宋体" w:eastAsia="宋体" w:cs="宋体"/>
                <w:bCs/>
                <w:color w:val="auto"/>
                <w:spacing w:val="-8"/>
                <w:sz w:val="24"/>
                <w:szCs w:val="24"/>
                <w:highlight w:val="none"/>
                <w:lang w:val="en-US" w:eastAsia="en-US" w:bidi="ar-SA"/>
                <w14:ligatures w14:val="none"/>
              </w:rPr>
              <w:suppressLineNumbers w:val="0"/>
            </w:pPr>
            <w:r>
              <w:rPr>
                <w:rFonts w:ascii="宋体" w:hAnsi="宋体" w:eastAsia="宋体" w:cs="宋体"/>
                <w:bCs/>
                <w:color w:val="auto"/>
                <w:spacing w:val="3"/>
                <w:sz w:val="24"/>
                <w:szCs w:val="24"/>
                <w:highlight w:val="none"/>
                <w:lang w:val="en-US" w:eastAsia="en-US" w:bidi="ar-SA"/>
                <w14:ligatures w14:val="none"/>
              </w:rPr>
              <w:t xml:space="preserve">供应商承担过类似项目的（</w:t>
            </w:r>
            <w:r>
              <w:rPr>
                <w:color w:val="auto"/>
                <w:highlight w:val="none"/>
              </w:rPr>
              <w:t xml:space="preserve">类似项目认定标准：合同服务内容中包含以下任意一项工作的，认定为类似项目：耕地保护相关规划或技术服务、耕地恢复相关技术服务、永久基本农田划定或储备区更新、耕地资源调查评价、国土空间规划或相关专项规划、土地整治相关技术服务、征地区片综合地价调整、采矿损毁土地调查等与本项目采购需求相关的技术服务</w:t>
            </w:r>
            <w:r>
              <w:rPr>
                <w:rFonts w:hint="eastAsia" w:eastAsia="宋体"/>
                <w:color w:val="auto"/>
                <w:highlight w:val="none"/>
                <w:lang w:eastAsia="zh-CN"/>
              </w:rPr>
              <w:t xml:space="preserve">。</w:t>
            </w:r>
            <w:r>
              <w:rPr>
                <w:rFonts w:ascii="宋体" w:hAnsi="宋体" w:eastAsia="宋体" w:cs="宋体"/>
                <w:bCs/>
                <w:color w:val="auto"/>
                <w:spacing w:val="10"/>
                <w:sz w:val="24"/>
                <w:szCs w:val="24"/>
                <w:highlight w:val="none"/>
                <w:lang w:val="en-US" w:eastAsia="en-US" w:bidi="ar-SA"/>
                <w14:ligatures w14:val="none"/>
              </w:rPr>
              <w:t xml:space="preserve">），</w:t>
            </w:r>
            <w:r>
              <w:rPr>
                <w:rFonts w:ascii="宋体" w:hAnsi="宋体" w:eastAsia="宋体" w:cs="宋体"/>
                <w:bCs/>
                <w:color w:val="auto"/>
                <w:spacing w:val="2"/>
                <w:sz w:val="24"/>
                <w:szCs w:val="24"/>
                <w:highlight w:val="none"/>
                <w:lang w:val="en-US" w:eastAsia="en-US" w:bidi="ar-SA"/>
                <w14:ligatures w14:val="none"/>
              </w:rPr>
              <w:t xml:space="preserve">每有一个项目得</w:t>
            </w:r>
            <w:r>
              <w:rPr>
                <w:rFonts w:ascii="Times New Roman" w:hAnsi="Times New Roman" w:eastAsia="Times New Roman" w:cs="Times New Roman"/>
                <w:bCs/>
                <w:color w:val="auto"/>
                <w:spacing w:val="1"/>
                <w:sz w:val="24"/>
                <w:szCs w:val="24"/>
                <w:highlight w:val="none"/>
                <w:lang w:val="en-US" w:eastAsia="en-US" w:bidi="ar-SA"/>
                <w14:ligatures w14:val="none"/>
              </w:rPr>
              <w:t xml:space="preserve">3</w:t>
            </w:r>
            <w:r>
              <w:rPr>
                <w:rFonts w:ascii="宋体" w:hAnsi="宋体" w:eastAsia="宋体" w:cs="宋体"/>
                <w:bCs/>
                <w:color w:val="auto"/>
                <w:spacing w:val="1"/>
                <w:sz w:val="24"/>
                <w:szCs w:val="24"/>
                <w:highlight w:val="none"/>
                <w:lang w:val="en-US" w:eastAsia="en-US" w:bidi="ar-SA"/>
                <w14:ligatures w14:val="none"/>
              </w:rPr>
              <w:t xml:space="preserve">分，</w:t>
            </w:r>
            <w:r>
              <w:rPr>
                <w:rFonts w:ascii="宋体" w:hAnsi="宋体" w:eastAsia="宋体" w:cs="宋体"/>
                <w:bCs/>
                <w:color w:val="auto"/>
                <w:spacing w:val="-8"/>
                <w:sz w:val="24"/>
                <w:szCs w:val="24"/>
                <w:highlight w:val="none"/>
                <w:lang w:val="en-US" w:eastAsia="en-US" w:bidi="ar-SA"/>
                <w14:ligatures w14:val="none"/>
              </w:rPr>
              <w:t xml:space="preserve">最高得</w:t>
            </w:r>
            <w:r>
              <w:rPr>
                <w:rFonts w:ascii="Times New Roman" w:hAnsi="Times New Roman" w:eastAsia="Times New Roman" w:cs="Times New Roman"/>
                <w:bCs/>
                <w:color w:val="auto"/>
                <w:spacing w:val="-8"/>
                <w:sz w:val="24"/>
                <w:szCs w:val="24"/>
                <w:highlight w:val="none"/>
                <w:lang w:val="en-US" w:eastAsia="en-US" w:bidi="ar-SA"/>
                <w14:ligatures w14:val="none"/>
              </w:rPr>
              <w:t xml:space="preserve">1</w:t>
            </w:r>
            <w:r>
              <w:rPr>
                <w:rFonts w:hint="eastAsia" w:ascii="Times New Roman" w:hAnsi="Times New Roman" w:eastAsia="宋体" w:cs="Times New Roman"/>
                <w:bCs/>
                <w:color w:val="auto"/>
                <w:spacing w:val="-8"/>
                <w:sz w:val="24"/>
                <w:szCs w:val="24"/>
                <w:highlight w:val="none"/>
                <w:lang w:val="en-US" w:eastAsia="zh-CN" w:bidi="ar-SA"/>
                <w14:ligatures w14:val="none"/>
              </w:rPr>
              <w:t xml:space="preserve">2</w:t>
            </w:r>
            <w:r>
              <w:rPr>
                <w:rFonts w:ascii="宋体" w:hAnsi="宋体" w:eastAsia="宋体" w:cs="宋体"/>
                <w:bCs/>
                <w:color w:val="auto"/>
                <w:spacing w:val="-8"/>
                <w:sz w:val="24"/>
                <w:szCs w:val="24"/>
                <w:highlight w:val="none"/>
                <w:lang w:val="en-US" w:eastAsia="en-US" w:bidi="ar-SA"/>
                <w14:ligatures w14:val="none"/>
              </w:rPr>
              <w:t xml:space="preserve">分。</w:t>
            </w:r>
            <w:r/>
          </w:p>
          <w:p>
            <w:pPr>
              <w:pStyle w:val="710"/>
              <w:ind w:left="0" w:right="0"/>
              <w:keepLines w:val="0"/>
              <w:keepNext w:val="0"/>
              <w:spacing w:before="0" w:beforeAutospacing="1" w:after="0" w:afterAutospacing="1"/>
              <w:widowControl/>
              <w:rPr>
                <w:rFonts w:ascii="宋体" w:hAnsi="宋体" w:eastAsia="宋体" w:cs="宋体"/>
                <w:bCs/>
                <w:color w:val="auto"/>
                <w:sz w:val="24"/>
                <w:szCs w:val="24"/>
                <w:highlight w:val="none"/>
                <w:lang w:val="en-US" w:eastAsia="en-US" w:bidi="ar-SA"/>
                <w14:ligatures w14:val="none"/>
              </w:rPr>
              <w:suppressLineNumbers w:val="0"/>
            </w:pPr>
            <w:r>
              <w:rPr>
                <w:rFonts w:ascii="宋体" w:hAnsi="宋体" w:eastAsia="宋体" w:cs="宋体"/>
                <w:b/>
                <w:bCs/>
                <w:color w:val="auto"/>
                <w:spacing w:val="-2"/>
                <w:sz w:val="24"/>
                <w:szCs w:val="24"/>
                <w:highlight w:val="none"/>
                <w:lang w:val="en-US" w:eastAsia="en-US" w:bidi="ar-SA"/>
                <w14:ligatures w14:val="none"/>
              </w:rPr>
              <w:t xml:space="preserve">注：提供合同原件彩色扫描件上传至电子响应文件中，未提供不得分。</w:t>
            </w:r>
            <w:r/>
          </w:p>
        </w:tc>
      </w:tr>
    </w:tbl>
    <w:p>
      <w:pPr>
        <w:ind w:firstLine="472"/>
        <w:jc w:val="left"/>
        <w:spacing w:line="360" w:lineRule="auto"/>
        <w:widowControl/>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3.技术分（40 分）</w:t>
      </w:r>
      <w:r/>
    </w:p>
    <w:tbl>
      <w:tblPr>
        <w:tblStyle w:val="883"/>
        <w:tblW w:w="9522" w:type="dxa"/>
        <w:tblInd w:w="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65"/>
        <w:gridCol w:w="7757"/>
      </w:tblGrid>
      <w:tr>
        <w:trPr>
          <w:trHeight w:val="502"/>
        </w:trPr>
        <w:tc>
          <w:tcPr>
            <w:tcW w:w="1765" w:type="dxa"/>
            <w:vAlign w:val="top"/>
            <w:textDirection w:val="lrTb"/>
            <w:noWrap w:val="false"/>
          </w:tcPr>
          <w:p>
            <w:pPr>
              <w:ind w:left="0" w:firstLine="0"/>
              <w:jc w:val="center"/>
              <w:spacing w:before="129" w:after="0" w:line="222" w:lineRule="auto"/>
              <w:rPr>
                <w:rFonts w:hint="default" w:ascii="黑体" w:hAnsi="黑体" w:eastAsia="黑体" w:cs="黑体"/>
                <w:bCs/>
                <w:color w:val="auto"/>
                <w:sz w:val="24"/>
                <w:szCs w:val="24"/>
                <w:highlight w:val="none"/>
                <w14:ligatures w14:val="none"/>
              </w:rPr>
            </w:pPr>
            <w:r>
              <w:rPr>
                <w:rFonts w:hint="default" w:ascii="黑体" w:hAnsi="黑体" w:eastAsia="黑体" w:cs="黑体"/>
                <w:bCs/>
                <w:color w:val="auto"/>
                <w:spacing w:val="-3"/>
                <w:sz w:val="24"/>
                <w:szCs w:val="24"/>
                <w:highlight w:val="none"/>
                <w14:ligatures w14:val="none"/>
              </w:rPr>
              <w:t xml:space="preserve">评审因素</w:t>
            </w:r>
            <w:r/>
          </w:p>
        </w:tc>
        <w:tc>
          <w:tcPr>
            <w:tcW w:w="7757" w:type="dxa"/>
            <w:vAlign w:val="top"/>
            <w:textDirection w:val="lrTb"/>
            <w:noWrap w:val="false"/>
          </w:tcPr>
          <w:p>
            <w:pPr>
              <w:ind w:left="3401" w:firstLine="468"/>
              <w:jc w:val="center"/>
              <w:spacing w:before="129" w:after="0" w:line="222" w:lineRule="auto"/>
              <w:rPr>
                <w:rFonts w:hint="default" w:ascii="黑体" w:hAnsi="黑体" w:eastAsia="黑体" w:cs="黑体"/>
                <w:bCs/>
                <w:color w:val="auto"/>
                <w:sz w:val="24"/>
                <w:szCs w:val="24"/>
                <w:highlight w:val="none"/>
                <w14:ligatures w14:val="none"/>
              </w:rPr>
            </w:pPr>
            <w:r>
              <w:rPr>
                <w:rFonts w:hint="default" w:ascii="黑体" w:hAnsi="黑体" w:eastAsia="黑体" w:cs="黑体"/>
                <w:bCs/>
                <w:color w:val="auto"/>
                <w:spacing w:val="-3"/>
                <w:sz w:val="24"/>
                <w:szCs w:val="24"/>
                <w:highlight w:val="none"/>
                <w14:ligatures w14:val="none"/>
              </w:rPr>
              <w:t xml:space="preserve">评审标准</w:t>
            </w:r>
            <w:r/>
          </w:p>
        </w:tc>
      </w:tr>
      <w:tr>
        <w:trPr>
          <w:trHeight w:val="1671"/>
        </w:trPr>
        <w:tc>
          <w:tcPr>
            <w:tcW w:w="1765" w:type="dxa"/>
            <w:vAlign w:val="center"/>
            <w:textDirection w:val="lrTb"/>
            <w:noWrap w:val="false"/>
          </w:tcPr>
          <w:p>
            <w:pPr>
              <w:ind w:left="0" w:right="0" w:firstLine="0"/>
              <w:jc w:val="center"/>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3"/>
                <w:sz w:val="24"/>
                <w:szCs w:val="24"/>
                <w:highlight w:val="none"/>
                <w:lang w:val="en-US" w:eastAsia="en-US" w:bidi="ar-SA"/>
                <w14:ligatures w14:val="none"/>
              </w:rPr>
              <w:t xml:space="preserve">项目理解评价</w:t>
            </w:r>
            <w:r/>
          </w:p>
          <w:p>
            <w:pPr>
              <w:ind w:left="0" w:right="0" w:firstLine="0"/>
              <w:jc w:val="center"/>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9"/>
                <w:sz w:val="24"/>
                <w:szCs w:val="24"/>
                <w:highlight w:val="none"/>
                <w:lang w:val="en-US" w:eastAsia="en-US" w:bidi="ar-SA"/>
                <w14:ligatures w14:val="none"/>
              </w:rPr>
              <w:t xml:space="preserve">（</w:t>
            </w:r>
            <w:r>
              <w:rPr>
                <w:rFonts w:ascii="Times New Roman" w:hAnsi="Times New Roman" w:eastAsia="Times New Roman" w:cs="Times New Roman"/>
                <w:bCs/>
                <w:color w:val="auto"/>
                <w:spacing w:val="9"/>
                <w:sz w:val="24"/>
                <w:szCs w:val="24"/>
                <w:highlight w:val="none"/>
                <w:lang w:val="en-US" w:eastAsia="en-US" w:bidi="ar-SA"/>
                <w14:ligatures w14:val="none"/>
              </w:rPr>
              <w:t xml:space="preserve">8</w:t>
            </w:r>
            <w:r>
              <w:rPr>
                <w:rFonts w:ascii="宋体" w:hAnsi="宋体" w:eastAsia="宋体" w:cs="宋体"/>
                <w:bCs/>
                <w:color w:val="auto"/>
                <w:spacing w:val="9"/>
                <w:sz w:val="24"/>
                <w:szCs w:val="24"/>
                <w:highlight w:val="none"/>
                <w:lang w:val="en-US" w:eastAsia="en-US" w:bidi="ar-SA"/>
                <w14:ligatures w14:val="none"/>
              </w:rPr>
              <w:t xml:space="preserve">分）</w:t>
            </w:r>
            <w:r/>
          </w:p>
        </w:tc>
        <w:tc>
          <w:tcPr>
            <w:tcW w:w="7757" w:type="dxa"/>
            <w:vAlign w:val="center"/>
            <w:textDirection w:val="lrTb"/>
            <w:noWrap w:val="false"/>
          </w:tcPr>
          <w:p>
            <w:pPr>
              <w:ind w:right="0"/>
              <w:jc w:val="both"/>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z w:val="24"/>
                <w:szCs w:val="24"/>
                <w:highlight w:val="none"/>
                <w:lang w:val="en-US" w:eastAsia="en-US" w:bidi="ar-SA"/>
                <w14:ligatures w14:val="none"/>
              </w:rPr>
              <w:t xml:space="preserve">对项目的认知全面准确，规划方案具有全面性，科学性、合理性。按以下标准定额打分：</w:t>
            </w:r>
            <w:r/>
          </w:p>
          <w:p>
            <w:pPr>
              <w:ind w:right="0"/>
              <w:jc w:val="both"/>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1"/>
                <w:sz w:val="24"/>
                <w:szCs w:val="24"/>
                <w:highlight w:val="none"/>
                <w:lang w:val="en-US" w:eastAsia="en-US" w:bidi="ar-SA"/>
                <w14:ligatures w14:val="none"/>
              </w:rPr>
              <w:t xml:space="preserve">认知全面、方案科学、合理的得 8 分；</w:t>
            </w:r>
            <w:r/>
          </w:p>
          <w:p>
            <w:pPr>
              <w:ind w:right="0"/>
              <w:jc w:val="both"/>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1"/>
                <w:sz w:val="24"/>
                <w:szCs w:val="24"/>
                <w:highlight w:val="none"/>
                <w:lang w:val="en-US" w:eastAsia="en-US" w:bidi="ar-SA"/>
                <w14:ligatures w14:val="none"/>
              </w:rPr>
              <w:t xml:space="preserve">认知较全面、方案较科学、合理的得 5 分；</w:t>
            </w:r>
            <w:r/>
          </w:p>
          <w:p>
            <w:pPr>
              <w:ind w:right="0"/>
              <w:jc w:val="both"/>
              <w:keepLines w:val="0"/>
              <w:keepNext w:val="0"/>
              <w:pageBreakBefore w:val="0"/>
              <w:spacing w:after="0" w:line="240" w:lineRule="auto"/>
              <w:widowControl w:val="off"/>
              <w:rPr>
                <w:rFonts w:ascii="宋体" w:hAnsi="宋体" w:eastAsia="宋体" w:cs="宋体"/>
                <w:bCs/>
                <w:color w:val="auto"/>
                <w:spacing w:val="-3"/>
                <w:sz w:val="24"/>
                <w:szCs w:val="24"/>
                <w:highlight w:val="none"/>
                <w:lang w:val="en-US" w:eastAsia="en-US" w:bidi="ar-SA"/>
                <w14:ligatures w14:val="none"/>
              </w:rPr>
            </w:pPr>
            <w:r>
              <w:rPr>
                <w:rFonts w:ascii="宋体" w:hAnsi="宋体" w:eastAsia="宋体" w:cs="宋体"/>
                <w:bCs/>
                <w:color w:val="auto"/>
                <w:spacing w:val="-3"/>
                <w:sz w:val="24"/>
                <w:szCs w:val="24"/>
                <w:highlight w:val="none"/>
                <w:lang w:val="en-US" w:eastAsia="en-US" w:bidi="ar-SA"/>
                <w14:ligatures w14:val="none"/>
              </w:rPr>
              <w:t xml:space="preserve">认知一般、方案一般的得 2 分；</w:t>
            </w:r>
            <w:r/>
          </w:p>
          <w:p>
            <w:pPr>
              <w:ind w:right="0"/>
              <w:jc w:val="both"/>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3"/>
                <w:sz w:val="24"/>
                <w:szCs w:val="24"/>
                <w:highlight w:val="none"/>
                <w:lang w:val="en-US" w:eastAsia="en-US" w:bidi="ar-SA"/>
                <w14:ligatures w14:val="none"/>
              </w:rPr>
              <w:t xml:space="preserve">未提供相关内容的不得分。</w:t>
            </w:r>
            <w:r/>
          </w:p>
        </w:tc>
      </w:tr>
      <w:tr>
        <w:trPr>
          <w:trHeight w:val="1811"/>
        </w:trPr>
        <w:tc>
          <w:tcPr>
            <w:tcW w:w="1765" w:type="dxa"/>
            <w:vAlign w:val="center"/>
            <w:textDirection w:val="lrTb"/>
            <w:noWrap w:val="false"/>
          </w:tcPr>
          <w:p>
            <w:pPr>
              <w:ind w:left="0" w:right="0" w:firstLine="420"/>
              <w:jc w:val="center"/>
              <w:keepLines w:val="0"/>
              <w:keepNext w:val="0"/>
              <w:pageBreakBefore w:val="0"/>
              <w:spacing w:after="0" w:line="240" w:lineRule="auto"/>
              <w:widowControl w:val="off"/>
              <w:rPr>
                <w:rFonts w:hint="default" w:ascii="Arial" w:hAnsi="Times New Roman" w:eastAsia="宋体" w:cs="Times New Roman"/>
                <w:bCs/>
                <w:color w:val="auto"/>
                <w:sz w:val="21"/>
                <w:szCs w:val="24"/>
                <w:highlight w:val="none"/>
                <w14:ligatures w14:val="none"/>
              </w:rPr>
            </w:pPr>
            <w:r>
              <w:rPr>
                <w:rFonts w:hint="default" w:ascii="Arial" w:hAnsi="Times New Roman" w:eastAsia="宋体" w:cs="Times New Roman"/>
                <w:bCs/>
                <w:color w:val="auto"/>
                <w:sz w:val="21"/>
                <w:szCs w:val="24"/>
                <w:highlight w:val="none"/>
                <w14:ligatures w14:val="none"/>
              </w:rPr>
            </w:r>
            <w:r/>
          </w:p>
          <w:p>
            <w:pPr>
              <w:ind w:left="0" w:right="0" w:firstLine="0"/>
              <w:jc w:val="center"/>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3"/>
                <w:sz w:val="24"/>
                <w:szCs w:val="24"/>
                <w:highlight w:val="none"/>
                <w:lang w:val="en-US" w:eastAsia="en-US" w:bidi="ar-SA"/>
                <w14:ligatures w14:val="none"/>
              </w:rPr>
              <w:t xml:space="preserve">工作路线和方</w:t>
            </w:r>
            <w:r>
              <w:rPr>
                <w:rFonts w:ascii="宋体" w:hAnsi="宋体" w:eastAsia="宋体" w:cs="宋体"/>
                <w:bCs/>
                <w:color w:val="auto"/>
                <w:sz w:val="24"/>
                <w:szCs w:val="24"/>
                <w:highlight w:val="none"/>
                <w:lang w:val="en-US" w:eastAsia="en-US" w:bidi="ar-SA"/>
                <w14:ligatures w14:val="none"/>
              </w:rPr>
              <w:t xml:space="preserve">法</w:t>
            </w:r>
            <w:r/>
          </w:p>
          <w:p>
            <w:pPr>
              <w:ind w:left="0" w:right="0" w:firstLine="0"/>
              <w:jc w:val="center"/>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9"/>
                <w:sz w:val="24"/>
                <w:szCs w:val="24"/>
                <w:highlight w:val="none"/>
                <w:lang w:val="en-US" w:eastAsia="en-US" w:bidi="ar-SA"/>
                <w14:ligatures w14:val="none"/>
              </w:rPr>
              <w:t xml:space="preserve">（</w:t>
            </w:r>
            <w:r>
              <w:rPr>
                <w:rFonts w:ascii="Times New Roman" w:hAnsi="Times New Roman" w:eastAsia="Times New Roman" w:cs="Times New Roman"/>
                <w:bCs/>
                <w:color w:val="auto"/>
                <w:spacing w:val="9"/>
                <w:sz w:val="24"/>
                <w:szCs w:val="24"/>
                <w:highlight w:val="none"/>
                <w:lang w:val="en-US" w:eastAsia="en-US" w:bidi="ar-SA"/>
                <w14:ligatures w14:val="none"/>
              </w:rPr>
              <w:t xml:space="preserve">8</w:t>
            </w:r>
            <w:r>
              <w:rPr>
                <w:rFonts w:ascii="宋体" w:hAnsi="宋体" w:eastAsia="宋体" w:cs="宋体"/>
                <w:bCs/>
                <w:color w:val="auto"/>
                <w:spacing w:val="9"/>
                <w:sz w:val="24"/>
                <w:szCs w:val="24"/>
                <w:highlight w:val="none"/>
                <w:lang w:val="en-US" w:eastAsia="en-US" w:bidi="ar-SA"/>
                <w14:ligatures w14:val="none"/>
              </w:rPr>
              <w:t xml:space="preserve">分）</w:t>
            </w:r>
            <w:r/>
          </w:p>
        </w:tc>
        <w:tc>
          <w:tcPr>
            <w:tcW w:w="7757" w:type="dxa"/>
            <w:vAlign w:val="center"/>
            <w:textDirection w:val="lrTb"/>
            <w:noWrap w:val="false"/>
          </w:tcPr>
          <w:p>
            <w:pPr>
              <w:ind w:right="0"/>
              <w:jc w:val="both"/>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z w:val="24"/>
                <w:szCs w:val="24"/>
                <w:highlight w:val="none"/>
                <w:lang w:val="en-US" w:eastAsia="en-US" w:bidi="ar-SA"/>
                <w14:ligatures w14:val="none"/>
              </w:rPr>
              <w:t xml:space="preserve">研究工作开展技术路线是否清晰、研究内容是否全面、研究方法是否可行。按以下标准定额打分：</w:t>
            </w:r>
            <w:r/>
          </w:p>
          <w:p>
            <w:pPr>
              <w:ind w:right="0"/>
              <w:jc w:val="both"/>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1"/>
                <w:sz w:val="24"/>
                <w:szCs w:val="24"/>
                <w:highlight w:val="none"/>
                <w:lang w:val="en-US" w:eastAsia="en-US" w:bidi="ar-SA"/>
                <w14:ligatures w14:val="none"/>
              </w:rPr>
              <w:t xml:space="preserve">技术路线清晰、内容全面、方法可行的得 8 分；</w:t>
            </w:r>
            <w:r/>
          </w:p>
          <w:p>
            <w:pPr>
              <w:ind w:right="0"/>
              <w:jc w:val="both"/>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1"/>
                <w:sz w:val="24"/>
                <w:szCs w:val="24"/>
                <w:highlight w:val="none"/>
                <w:lang w:val="en-US" w:eastAsia="en-US" w:bidi="ar-SA"/>
                <w14:ligatures w14:val="none"/>
              </w:rPr>
              <w:t xml:space="preserve">技术路线较清晰、内容较全面、方法较可行的得 5 分；</w:t>
            </w:r>
            <w:r/>
          </w:p>
          <w:p>
            <w:pPr>
              <w:ind w:right="0"/>
              <w:jc w:val="both"/>
              <w:keepLines w:val="0"/>
              <w:keepNext w:val="0"/>
              <w:pageBreakBefore w:val="0"/>
              <w:spacing w:after="0" w:line="240" w:lineRule="auto"/>
              <w:widowControl w:val="off"/>
              <w:rPr>
                <w:rFonts w:ascii="宋体" w:hAnsi="宋体" w:eastAsia="宋体" w:cs="宋体"/>
                <w:bCs/>
                <w:color w:val="auto"/>
                <w:spacing w:val="-2"/>
                <w:sz w:val="24"/>
                <w:szCs w:val="24"/>
                <w:highlight w:val="none"/>
                <w:lang w:val="en-US" w:eastAsia="en-US" w:bidi="ar-SA"/>
                <w14:ligatures w14:val="none"/>
              </w:rPr>
            </w:pPr>
            <w:r>
              <w:rPr>
                <w:rFonts w:ascii="宋体" w:hAnsi="宋体" w:eastAsia="宋体" w:cs="宋体"/>
                <w:bCs/>
                <w:color w:val="auto"/>
                <w:spacing w:val="-2"/>
                <w:sz w:val="24"/>
                <w:szCs w:val="24"/>
                <w:highlight w:val="none"/>
                <w:lang w:val="en-US" w:eastAsia="en-US" w:bidi="ar-SA"/>
                <w14:ligatures w14:val="none"/>
              </w:rPr>
              <w:t xml:space="preserve">技术路线、内容、方法一般的得 2 分；</w:t>
            </w:r>
            <w:r/>
          </w:p>
          <w:p>
            <w:pPr>
              <w:ind w:right="0"/>
              <w:jc w:val="both"/>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2"/>
                <w:sz w:val="24"/>
                <w:szCs w:val="24"/>
                <w:highlight w:val="none"/>
                <w:lang w:val="en-US" w:eastAsia="en-US" w:bidi="ar-SA"/>
                <w14:ligatures w14:val="none"/>
              </w:rPr>
              <w:t xml:space="preserve">未提供相关内容的不得分。</w:t>
            </w:r>
            <w:r/>
          </w:p>
        </w:tc>
      </w:tr>
      <w:tr>
        <w:trPr>
          <w:trHeight w:val="1695"/>
        </w:trPr>
        <w:tc>
          <w:tcPr>
            <w:tcW w:w="1765" w:type="dxa"/>
            <w:vAlign w:val="center"/>
            <w:textDirection w:val="lrTb"/>
            <w:noWrap w:val="false"/>
          </w:tcPr>
          <w:p>
            <w:pPr>
              <w:ind w:left="0" w:right="0" w:firstLine="420"/>
              <w:jc w:val="center"/>
              <w:keepLines w:val="0"/>
              <w:keepNext w:val="0"/>
              <w:pageBreakBefore w:val="0"/>
              <w:spacing w:after="0" w:line="240" w:lineRule="auto"/>
              <w:widowControl w:val="off"/>
              <w:rPr>
                <w:rFonts w:hint="default" w:ascii="Arial" w:hAnsi="Times New Roman" w:eastAsia="宋体" w:cs="Times New Roman"/>
                <w:bCs/>
                <w:color w:val="auto"/>
                <w:sz w:val="21"/>
                <w:szCs w:val="24"/>
                <w:highlight w:val="none"/>
                <w14:ligatures w14:val="none"/>
              </w:rPr>
            </w:pPr>
            <w:r>
              <w:rPr>
                <w:rFonts w:hint="default" w:ascii="Arial" w:hAnsi="Times New Roman" w:eastAsia="宋体" w:cs="Times New Roman"/>
                <w:bCs/>
                <w:color w:val="auto"/>
                <w:sz w:val="21"/>
                <w:szCs w:val="24"/>
                <w:highlight w:val="none"/>
                <w14:ligatures w14:val="none"/>
              </w:rPr>
            </w:r>
            <w:r/>
          </w:p>
          <w:p>
            <w:pPr>
              <w:ind w:left="0" w:right="0" w:firstLine="0"/>
              <w:jc w:val="center"/>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2"/>
                <w:sz w:val="24"/>
                <w:szCs w:val="24"/>
                <w:highlight w:val="none"/>
                <w:lang w:val="en-US" w:eastAsia="en-US" w:bidi="ar-SA"/>
                <w14:ligatures w14:val="none"/>
              </w:rPr>
              <w:t xml:space="preserve">重点、难点分</w:t>
            </w:r>
            <w:r>
              <w:rPr>
                <w:rFonts w:ascii="宋体" w:hAnsi="宋体" w:eastAsia="宋体" w:cs="宋体"/>
                <w:bCs/>
                <w:color w:val="auto"/>
                <w:sz w:val="24"/>
                <w:szCs w:val="24"/>
                <w:highlight w:val="none"/>
                <w:lang w:val="en-US" w:eastAsia="en-US" w:bidi="ar-SA"/>
                <w14:ligatures w14:val="none"/>
              </w:rPr>
              <w:t xml:space="preserve">析</w:t>
            </w:r>
            <w:r>
              <w:rPr>
                <w:rFonts w:ascii="宋体" w:hAnsi="宋体" w:eastAsia="宋体" w:cs="宋体"/>
                <w:bCs/>
                <w:color w:val="auto"/>
                <w:spacing w:val="9"/>
                <w:sz w:val="24"/>
                <w:szCs w:val="24"/>
                <w:highlight w:val="none"/>
                <w:lang w:val="en-US" w:eastAsia="en-US" w:bidi="ar-SA"/>
                <w14:ligatures w14:val="none"/>
              </w:rPr>
              <w:t xml:space="preserve">（</w:t>
            </w:r>
            <w:r>
              <w:rPr>
                <w:rFonts w:ascii="Times New Roman" w:hAnsi="Times New Roman" w:eastAsia="Times New Roman" w:cs="Times New Roman"/>
                <w:bCs/>
                <w:color w:val="auto"/>
                <w:spacing w:val="9"/>
                <w:sz w:val="24"/>
                <w:szCs w:val="24"/>
                <w:highlight w:val="none"/>
                <w:lang w:val="en-US" w:eastAsia="en-US" w:bidi="ar-SA"/>
                <w14:ligatures w14:val="none"/>
              </w:rPr>
              <w:t xml:space="preserve">8</w:t>
            </w:r>
            <w:r>
              <w:rPr>
                <w:rFonts w:ascii="宋体" w:hAnsi="宋体" w:eastAsia="宋体" w:cs="宋体"/>
                <w:bCs/>
                <w:color w:val="auto"/>
                <w:spacing w:val="9"/>
                <w:sz w:val="24"/>
                <w:szCs w:val="24"/>
                <w:highlight w:val="none"/>
                <w:lang w:val="en-US" w:eastAsia="en-US" w:bidi="ar-SA"/>
                <w14:ligatures w14:val="none"/>
              </w:rPr>
              <w:t xml:space="preserve">分）</w:t>
            </w:r>
            <w:r/>
          </w:p>
        </w:tc>
        <w:tc>
          <w:tcPr>
            <w:tcW w:w="7757" w:type="dxa"/>
            <w:vAlign w:val="center"/>
            <w:textDirection w:val="lrTb"/>
            <w:noWrap w:val="false"/>
          </w:tcPr>
          <w:p>
            <w:pPr>
              <w:ind w:right="0"/>
              <w:jc w:val="both"/>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z w:val="24"/>
                <w:szCs w:val="24"/>
                <w:highlight w:val="none"/>
                <w:lang w:val="en-US" w:eastAsia="en-US" w:bidi="ar-SA"/>
                <w14:ligatures w14:val="none"/>
              </w:rPr>
              <w:t xml:space="preserve">对工作重点是否理解深刻，是否有具体的解决思路，分析可行性。按以下标准定额打分：</w:t>
            </w:r>
            <w:r/>
          </w:p>
          <w:p>
            <w:pPr>
              <w:ind w:right="0"/>
              <w:jc w:val="both"/>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1"/>
                <w:sz w:val="24"/>
                <w:szCs w:val="24"/>
                <w:highlight w:val="none"/>
                <w:lang w:val="en-US" w:eastAsia="en-US" w:bidi="ar-SA"/>
                <w14:ligatures w14:val="none"/>
              </w:rPr>
              <w:t xml:space="preserve">重难点分析透彻、思路清晰、可操作性强的得 8 分；</w:t>
            </w:r>
            <w:r/>
          </w:p>
          <w:p>
            <w:pPr>
              <w:ind w:right="0"/>
              <w:jc w:val="both"/>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1"/>
                <w:sz w:val="24"/>
                <w:szCs w:val="24"/>
                <w:highlight w:val="none"/>
                <w:lang w:val="en-US" w:eastAsia="en-US" w:bidi="ar-SA"/>
                <w14:ligatures w14:val="none"/>
              </w:rPr>
              <w:t xml:space="preserve">重难点分析较透彻、思路较清晰、可操作性较强的得 5 分；</w:t>
            </w:r>
            <w:r/>
          </w:p>
          <w:p>
            <w:pPr>
              <w:ind w:right="0"/>
              <w:jc w:val="both"/>
              <w:keepLines w:val="0"/>
              <w:keepNext w:val="0"/>
              <w:pageBreakBefore w:val="0"/>
              <w:spacing w:after="0" w:line="240" w:lineRule="auto"/>
              <w:widowControl w:val="off"/>
              <w:rPr>
                <w:rFonts w:ascii="宋体" w:hAnsi="宋体" w:eastAsia="宋体" w:cs="宋体"/>
                <w:bCs/>
                <w:color w:val="auto"/>
                <w:spacing w:val="-2"/>
                <w:sz w:val="24"/>
                <w:szCs w:val="24"/>
                <w:highlight w:val="none"/>
                <w:lang w:val="en-US" w:eastAsia="en-US" w:bidi="ar-SA"/>
                <w14:ligatures w14:val="none"/>
              </w:rPr>
            </w:pPr>
            <w:r>
              <w:rPr>
                <w:rFonts w:ascii="宋体" w:hAnsi="宋体" w:eastAsia="宋体" w:cs="宋体"/>
                <w:bCs/>
                <w:color w:val="auto"/>
                <w:spacing w:val="-2"/>
                <w:sz w:val="24"/>
                <w:szCs w:val="24"/>
                <w:highlight w:val="none"/>
                <w:lang w:val="en-US" w:eastAsia="en-US" w:bidi="ar-SA"/>
                <w14:ligatures w14:val="none"/>
              </w:rPr>
              <w:t xml:space="preserve">重难点分析、可操作性一般的得 2 分；</w:t>
            </w:r>
            <w:r/>
          </w:p>
          <w:p>
            <w:pPr>
              <w:ind w:right="0"/>
              <w:jc w:val="both"/>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2"/>
                <w:sz w:val="24"/>
                <w:szCs w:val="24"/>
                <w:highlight w:val="none"/>
                <w:lang w:val="en-US" w:eastAsia="en-US" w:bidi="ar-SA"/>
                <w14:ligatures w14:val="none"/>
              </w:rPr>
              <w:t xml:space="preserve">未提供相关内容的不得分。</w:t>
            </w:r>
            <w:r/>
          </w:p>
        </w:tc>
      </w:tr>
      <w:tr>
        <w:trPr>
          <w:trHeight w:val="1414"/>
        </w:trPr>
        <w:tc>
          <w:tcPr>
            <w:tcW w:w="1765" w:type="dxa"/>
            <w:vAlign w:val="center"/>
            <w:textDirection w:val="lrTb"/>
            <w:noWrap w:val="false"/>
          </w:tcPr>
          <w:p>
            <w:pPr>
              <w:ind w:left="0" w:right="0" w:firstLine="0"/>
              <w:jc w:val="center"/>
              <w:keepLines w:val="0"/>
              <w:keepNext w:val="0"/>
              <w:pageBreakBefore w:val="0"/>
              <w:spacing w:after="0" w:line="240" w:lineRule="auto"/>
              <w:widowControl w:val="off"/>
              <w:rPr>
                <w:rFonts w:ascii="宋体" w:hAnsi="宋体" w:eastAsia="宋体" w:cs="宋体"/>
                <w:bCs/>
                <w:color w:val="auto"/>
                <w:spacing w:val="-3"/>
                <w:sz w:val="24"/>
                <w:szCs w:val="24"/>
                <w:highlight w:val="none"/>
                <w:lang w:val="en-US" w:eastAsia="en-US" w:bidi="ar-SA"/>
                <w14:ligatures w14:val="none"/>
              </w:rPr>
            </w:pPr>
            <w:r>
              <w:rPr>
                <w:rFonts w:ascii="宋体" w:hAnsi="宋体" w:eastAsia="宋体" w:cs="宋体"/>
                <w:bCs/>
                <w:color w:val="auto"/>
                <w:spacing w:val="-3"/>
                <w:sz w:val="24"/>
                <w:szCs w:val="24"/>
                <w:highlight w:val="none"/>
                <w:lang w:val="en-US" w:eastAsia="en-US" w:bidi="ar-SA"/>
                <w14:ligatures w14:val="none"/>
              </w:rPr>
              <w:t xml:space="preserve">项目进度安排</w:t>
            </w:r>
            <w:r/>
          </w:p>
          <w:p>
            <w:pPr>
              <w:ind w:left="0" w:right="0" w:firstLine="0"/>
              <w:jc w:val="center"/>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9"/>
                <w:sz w:val="24"/>
                <w:szCs w:val="24"/>
                <w:highlight w:val="none"/>
                <w:lang w:val="en-US" w:eastAsia="en-US" w:bidi="ar-SA"/>
                <w14:ligatures w14:val="none"/>
              </w:rPr>
              <w:t xml:space="preserve">（</w:t>
            </w:r>
            <w:r>
              <w:rPr>
                <w:rFonts w:ascii="Times New Roman" w:hAnsi="Times New Roman" w:eastAsia="Times New Roman" w:cs="Times New Roman"/>
                <w:bCs/>
                <w:color w:val="auto"/>
                <w:spacing w:val="9"/>
                <w:sz w:val="24"/>
                <w:szCs w:val="24"/>
                <w:highlight w:val="none"/>
                <w:lang w:val="en-US" w:eastAsia="en-US" w:bidi="ar-SA"/>
                <w14:ligatures w14:val="none"/>
              </w:rPr>
              <w:t xml:space="preserve">8</w:t>
            </w:r>
            <w:r>
              <w:rPr>
                <w:rFonts w:ascii="宋体" w:hAnsi="宋体" w:eastAsia="宋体" w:cs="宋体"/>
                <w:bCs/>
                <w:color w:val="auto"/>
                <w:spacing w:val="9"/>
                <w:sz w:val="24"/>
                <w:szCs w:val="24"/>
                <w:highlight w:val="none"/>
                <w:lang w:val="en-US" w:eastAsia="en-US" w:bidi="ar-SA"/>
                <w14:ligatures w14:val="none"/>
              </w:rPr>
              <w:t xml:space="preserve">分）</w:t>
            </w:r>
            <w:r/>
          </w:p>
        </w:tc>
        <w:tc>
          <w:tcPr>
            <w:tcW w:w="7757" w:type="dxa"/>
            <w:vAlign w:val="center"/>
            <w:textDirection w:val="lrTb"/>
            <w:noWrap w:val="false"/>
          </w:tcPr>
          <w:p>
            <w:pPr>
              <w:ind w:right="0"/>
              <w:jc w:val="both"/>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1"/>
                <w:sz w:val="24"/>
                <w:szCs w:val="24"/>
                <w:highlight w:val="none"/>
                <w:lang w:val="en-US" w:eastAsia="en-US" w:bidi="ar-SA"/>
                <w14:ligatures w14:val="none"/>
              </w:rPr>
              <w:t xml:space="preserve">项目完成期限及保证措施。按以下标准定额打分：</w:t>
            </w:r>
            <w:r/>
          </w:p>
          <w:p>
            <w:pPr>
              <w:ind w:right="0"/>
              <w:jc w:val="both"/>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2"/>
                <w:sz w:val="24"/>
                <w:szCs w:val="24"/>
                <w:highlight w:val="none"/>
                <w:lang w:val="en-US" w:eastAsia="en-US" w:bidi="ar-SA"/>
                <w14:ligatures w14:val="none"/>
              </w:rPr>
              <w:t xml:space="preserve">完全响应项目需求的得 8 分；</w:t>
            </w:r>
            <w:r/>
          </w:p>
          <w:p>
            <w:pPr>
              <w:ind w:right="0"/>
              <w:jc w:val="both"/>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2"/>
                <w:sz w:val="24"/>
                <w:szCs w:val="24"/>
                <w:highlight w:val="none"/>
                <w:lang w:val="en-US" w:eastAsia="en-US" w:bidi="ar-SA"/>
                <w14:ligatures w14:val="none"/>
              </w:rPr>
              <w:t xml:space="preserve">基本响应项目需求的得 5 分；</w:t>
            </w:r>
            <w:r/>
          </w:p>
          <w:p>
            <w:pPr>
              <w:ind w:right="0"/>
              <w:jc w:val="both"/>
              <w:keepLines w:val="0"/>
              <w:keepNext w:val="0"/>
              <w:pageBreakBefore w:val="0"/>
              <w:spacing w:after="0" w:line="240" w:lineRule="auto"/>
              <w:widowControl w:val="off"/>
              <w:rPr>
                <w:rFonts w:ascii="宋体" w:hAnsi="宋体" w:eastAsia="宋体" w:cs="宋体"/>
                <w:bCs/>
                <w:color w:val="auto"/>
                <w:spacing w:val="-4"/>
                <w:sz w:val="24"/>
                <w:szCs w:val="24"/>
                <w:highlight w:val="none"/>
                <w:lang w:val="en-US" w:eastAsia="en-US" w:bidi="ar-SA"/>
                <w14:ligatures w14:val="none"/>
              </w:rPr>
            </w:pPr>
            <w:r>
              <w:rPr>
                <w:rFonts w:ascii="宋体" w:hAnsi="宋体" w:eastAsia="宋体" w:cs="宋体"/>
                <w:bCs/>
                <w:color w:val="auto"/>
                <w:spacing w:val="-4"/>
                <w:sz w:val="24"/>
                <w:szCs w:val="24"/>
                <w:highlight w:val="none"/>
                <w:lang w:val="en-US" w:eastAsia="en-US" w:bidi="ar-SA"/>
                <w14:ligatures w14:val="none"/>
              </w:rPr>
              <w:t xml:space="preserve">响应需求一般的得 2 分；</w:t>
            </w:r>
            <w:r/>
          </w:p>
          <w:p>
            <w:pPr>
              <w:ind w:right="0"/>
              <w:jc w:val="both"/>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4"/>
                <w:sz w:val="24"/>
                <w:szCs w:val="24"/>
                <w:highlight w:val="none"/>
                <w:lang w:val="en-US" w:eastAsia="en-US" w:bidi="ar-SA"/>
                <w14:ligatures w14:val="none"/>
              </w:rPr>
              <w:t xml:space="preserve">未提供相关内容的不得分。</w:t>
            </w:r>
            <w:r/>
          </w:p>
        </w:tc>
      </w:tr>
      <w:tr>
        <w:trPr>
          <w:trHeight w:val="1558"/>
        </w:trPr>
        <w:tc>
          <w:tcPr>
            <w:tcW w:w="1765" w:type="dxa"/>
            <w:vAlign w:val="center"/>
            <w:textDirection w:val="lrTb"/>
            <w:noWrap w:val="false"/>
          </w:tcPr>
          <w:p>
            <w:pPr>
              <w:ind w:left="0" w:right="0" w:firstLine="0"/>
              <w:jc w:val="center"/>
              <w:keepLines w:val="0"/>
              <w:keepNext w:val="0"/>
              <w:pageBreakBefore w:val="0"/>
              <w:spacing w:after="0" w:line="240" w:lineRule="auto"/>
              <w:widowControl w:val="off"/>
              <w:rPr>
                <w:rFonts w:ascii="宋体" w:hAnsi="宋体" w:eastAsia="宋体" w:cs="宋体"/>
                <w:bCs/>
                <w:color w:val="auto"/>
                <w:spacing w:val="-3"/>
                <w:sz w:val="24"/>
                <w:szCs w:val="24"/>
                <w:highlight w:val="none"/>
                <w:lang w:val="en-US" w:eastAsia="en-US" w:bidi="ar-SA"/>
                <w14:ligatures w14:val="none"/>
              </w:rPr>
            </w:pPr>
            <w:r>
              <w:rPr>
                <w:rFonts w:ascii="宋体" w:hAnsi="宋体" w:eastAsia="宋体" w:cs="宋体"/>
                <w:bCs/>
                <w:color w:val="auto"/>
                <w:spacing w:val="-3"/>
                <w:sz w:val="24"/>
                <w:szCs w:val="24"/>
                <w:highlight w:val="none"/>
                <w:lang w:val="en-US" w:eastAsia="en-US" w:bidi="ar-SA"/>
                <w14:ligatures w14:val="none"/>
              </w:rPr>
              <w:t xml:space="preserve">服务保障</w:t>
            </w:r>
            <w:r/>
          </w:p>
          <w:p>
            <w:pPr>
              <w:ind w:left="0" w:right="0" w:firstLine="0"/>
              <w:jc w:val="center"/>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9"/>
                <w:sz w:val="24"/>
                <w:szCs w:val="24"/>
                <w:highlight w:val="none"/>
                <w:lang w:val="en-US" w:eastAsia="en-US" w:bidi="ar-SA"/>
                <w14:ligatures w14:val="none"/>
              </w:rPr>
              <w:t xml:space="preserve">（</w:t>
            </w:r>
            <w:r>
              <w:rPr>
                <w:rFonts w:ascii="Times New Roman" w:hAnsi="Times New Roman" w:eastAsia="Times New Roman" w:cs="Times New Roman"/>
                <w:bCs/>
                <w:color w:val="auto"/>
                <w:spacing w:val="9"/>
                <w:sz w:val="24"/>
                <w:szCs w:val="24"/>
                <w:highlight w:val="none"/>
                <w:lang w:val="en-US" w:eastAsia="en-US" w:bidi="ar-SA"/>
                <w14:ligatures w14:val="none"/>
              </w:rPr>
              <w:t xml:space="preserve">8</w:t>
            </w:r>
            <w:r>
              <w:rPr>
                <w:rFonts w:ascii="宋体" w:hAnsi="宋体" w:eastAsia="宋体" w:cs="宋体"/>
                <w:bCs/>
                <w:color w:val="auto"/>
                <w:spacing w:val="9"/>
                <w:sz w:val="24"/>
                <w:szCs w:val="24"/>
                <w:highlight w:val="none"/>
                <w:lang w:val="en-US" w:eastAsia="en-US" w:bidi="ar-SA"/>
                <w14:ligatures w14:val="none"/>
              </w:rPr>
              <w:t xml:space="preserve">分）</w:t>
            </w:r>
            <w:r/>
          </w:p>
        </w:tc>
        <w:tc>
          <w:tcPr>
            <w:tcW w:w="7757" w:type="dxa"/>
            <w:vAlign w:val="center"/>
            <w:textDirection w:val="lrTb"/>
            <w:noWrap w:val="false"/>
          </w:tcPr>
          <w:p>
            <w:pPr>
              <w:ind w:left="0" w:right="0"/>
              <w:jc w:val="both"/>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2"/>
                <w:sz w:val="24"/>
                <w:szCs w:val="24"/>
                <w:highlight w:val="none"/>
                <w:lang w:val="en-US" w:eastAsia="en-US" w:bidi="ar-SA"/>
                <w14:ligatures w14:val="none"/>
              </w:rPr>
              <w:t xml:space="preserve">服务响应速度、各级成果审查的保障措施等。按以下标准定额打分：完全响应项目需求的得 8 分；</w:t>
            </w:r>
            <w:r/>
          </w:p>
          <w:p>
            <w:pPr>
              <w:ind w:left="0" w:right="0"/>
              <w:jc w:val="both"/>
              <w:keepLines w:val="0"/>
              <w:keepNext w:val="0"/>
              <w:pageBreakBefore w:val="0"/>
              <w:spacing w:after="0" w:line="240" w:lineRule="auto"/>
              <w:widowControl w:val="off"/>
              <w:rPr>
                <w:rFonts w:ascii="宋体" w:hAnsi="宋体" w:eastAsia="宋体" w:cs="宋体"/>
                <w:bCs/>
                <w:color w:val="auto"/>
                <w:spacing w:val="-6"/>
                <w:sz w:val="24"/>
                <w:szCs w:val="24"/>
                <w:highlight w:val="none"/>
                <w:lang w:val="en-US" w:eastAsia="en-US" w:bidi="ar-SA"/>
                <w14:ligatures w14:val="none"/>
              </w:rPr>
            </w:pPr>
            <w:r>
              <w:rPr>
                <w:rFonts w:ascii="宋体" w:hAnsi="宋体" w:eastAsia="宋体" w:cs="宋体"/>
                <w:bCs/>
                <w:color w:val="auto"/>
                <w:spacing w:val="-6"/>
                <w:sz w:val="24"/>
                <w:szCs w:val="24"/>
                <w:highlight w:val="none"/>
                <w:lang w:val="en-US" w:eastAsia="en-US" w:bidi="ar-SA"/>
                <w14:ligatures w14:val="none"/>
              </w:rPr>
              <w:t xml:space="preserve">基本响应项目需求的得 5分；</w:t>
            </w:r>
            <w:r/>
          </w:p>
          <w:p>
            <w:pPr>
              <w:ind w:left="0" w:right="0"/>
              <w:jc w:val="both"/>
              <w:keepLines w:val="0"/>
              <w:keepNext w:val="0"/>
              <w:pageBreakBefore w:val="0"/>
              <w:spacing w:after="0" w:line="240" w:lineRule="auto"/>
              <w:widowControl w:val="off"/>
              <w:rPr>
                <w:rFonts w:ascii="宋体" w:hAnsi="宋体" w:eastAsia="宋体" w:cs="宋体"/>
                <w:bCs/>
                <w:color w:val="auto"/>
                <w:spacing w:val="-6"/>
                <w:sz w:val="24"/>
                <w:szCs w:val="24"/>
                <w:highlight w:val="none"/>
                <w:lang w:val="en-US" w:eastAsia="en-US" w:bidi="ar-SA"/>
                <w14:ligatures w14:val="none"/>
              </w:rPr>
            </w:pPr>
            <w:r>
              <w:rPr>
                <w:rFonts w:ascii="宋体" w:hAnsi="宋体" w:eastAsia="宋体" w:cs="宋体"/>
                <w:bCs/>
                <w:color w:val="auto"/>
                <w:spacing w:val="-6"/>
                <w:sz w:val="24"/>
                <w:szCs w:val="24"/>
                <w:highlight w:val="none"/>
                <w:lang w:val="en-US" w:eastAsia="en-US" w:bidi="ar-SA"/>
                <w14:ligatures w14:val="none"/>
              </w:rPr>
              <w:t xml:space="preserve">响应需求一般的得 2 分；</w:t>
            </w:r>
            <w:r/>
          </w:p>
          <w:p>
            <w:pPr>
              <w:ind w:left="0" w:right="0"/>
              <w:jc w:val="both"/>
              <w:keepLines w:val="0"/>
              <w:keepNext w:val="0"/>
              <w:pageBreakBefore w:val="0"/>
              <w:spacing w:after="0" w:line="240" w:lineRule="auto"/>
              <w:widowControl w:val="off"/>
              <w:rPr>
                <w:rFonts w:ascii="宋体" w:hAnsi="宋体" w:eastAsia="宋体" w:cs="宋体"/>
                <w:bCs/>
                <w:color w:val="auto"/>
                <w:sz w:val="24"/>
                <w:szCs w:val="24"/>
                <w:highlight w:val="none"/>
                <w:lang w:val="en-US" w:eastAsia="en-US" w:bidi="ar-SA"/>
                <w14:ligatures w14:val="none"/>
              </w:rPr>
            </w:pPr>
            <w:r>
              <w:rPr>
                <w:rFonts w:ascii="宋体" w:hAnsi="宋体" w:eastAsia="宋体" w:cs="宋体"/>
                <w:bCs/>
                <w:color w:val="auto"/>
                <w:spacing w:val="-6"/>
                <w:sz w:val="24"/>
                <w:szCs w:val="24"/>
                <w:highlight w:val="none"/>
                <w:lang w:val="en-US" w:eastAsia="en-US" w:bidi="ar-SA"/>
                <w14:ligatures w14:val="none"/>
              </w:rPr>
              <w:t xml:space="preserve">未提供相关内容的不得分。</w:t>
            </w:r>
            <w:r/>
          </w:p>
        </w:tc>
      </w:tr>
    </w:tbl>
    <w:p>
      <w:pPr>
        <w:pStyle w:val="688"/>
        <w:rPr>
          <w:color w:val="auto"/>
          <w:highlight w:val="none"/>
        </w:rPr>
      </w:pPr>
      <w:r>
        <w:rPr>
          <w:color w:val="auto"/>
          <w:highlight w:val="none"/>
        </w:rPr>
      </w:r>
      <w:r/>
    </w:p>
    <w:p>
      <w:pPr>
        <w:jc w:val="left"/>
        <w:widowControl/>
        <w:rPr>
          <w:color w:val="auto"/>
          <w:sz w:val="24"/>
          <w:szCs w:val="24"/>
          <w:highlight w:val="none"/>
        </w:rPr>
      </w:pPr>
      <w:r>
        <w:rPr>
          <w:color w:val="auto"/>
          <w:sz w:val="24"/>
          <w:szCs w:val="24"/>
          <w:highlight w:val="none"/>
        </w:rPr>
      </w:r>
      <w:r/>
    </w:p>
    <w:p>
      <w:pPr>
        <w:rPr>
          <w:rFonts w:hint="eastAsia" w:ascii="黑体" w:hAnsi="黑体" w:eastAsia="黑体"/>
          <w:b w:val="0"/>
          <w:color w:val="auto"/>
          <w:highlight w:val="none"/>
        </w:rPr>
      </w:pPr>
      <w:r/>
      <w:bookmarkStart w:id="15" w:name="_Toc162361615"/>
      <w:r>
        <w:rPr>
          <w:rFonts w:hint="eastAsia" w:ascii="黑体" w:hAnsi="黑体" w:eastAsia="黑体"/>
          <w:b w:val="0"/>
          <w:color w:val="auto"/>
          <w:highlight w:val="none"/>
        </w:rPr>
        <w:br w:type="page" w:clear="all"/>
      </w:r>
      <w:r/>
    </w:p>
    <w:p>
      <w:pPr>
        <w:pStyle w:val="688"/>
        <w:rPr>
          <w:rFonts w:hint="eastAsia" w:ascii="黑体" w:hAnsi="黑体" w:eastAsia="黑体"/>
          <w:b w:val="0"/>
          <w:color w:val="auto"/>
          <w:highlight w:val="none"/>
        </w:rPr>
      </w:pPr>
      <w:r>
        <w:rPr>
          <w:rFonts w:hint="eastAsia" w:ascii="黑体" w:hAnsi="黑体" w:eastAsia="黑体"/>
          <w:b w:val="0"/>
          <w:color w:val="auto"/>
          <w:highlight w:val="none"/>
        </w:rPr>
      </w:r>
      <w:r/>
    </w:p>
    <w:p>
      <w:pPr>
        <w:pStyle w:val="688"/>
        <w:rPr>
          <w:rFonts w:hint="eastAsia" w:ascii="黑体" w:hAnsi="黑体" w:eastAsia="黑体"/>
          <w:b w:val="0"/>
          <w:color w:val="auto"/>
          <w:highlight w:val="none"/>
        </w:rPr>
      </w:pPr>
      <w:r>
        <w:rPr>
          <w:rFonts w:hint="eastAsia" w:ascii="黑体" w:hAnsi="黑体" w:eastAsia="黑体"/>
          <w:b w:val="0"/>
          <w:color w:val="auto"/>
          <w:highlight w:val="none"/>
        </w:rPr>
      </w:r>
      <w:r/>
    </w:p>
    <w:p>
      <w:pPr>
        <w:pStyle w:val="688"/>
        <w:rPr>
          <w:rFonts w:hint="eastAsia" w:ascii="黑体" w:hAnsi="黑体" w:eastAsia="黑体"/>
          <w:b w:val="0"/>
          <w:color w:val="auto"/>
          <w:highlight w:val="none"/>
        </w:rPr>
      </w:pPr>
      <w:r>
        <w:rPr>
          <w:rFonts w:hint="eastAsia" w:ascii="黑体" w:hAnsi="黑体" w:eastAsia="黑体"/>
          <w:b w:val="0"/>
          <w:color w:val="auto"/>
          <w:highlight w:val="none"/>
        </w:rPr>
      </w:r>
      <w:r/>
    </w:p>
    <w:p>
      <w:pPr>
        <w:pStyle w:val="688"/>
        <w:rPr>
          <w:rFonts w:hint="eastAsia" w:ascii="黑体" w:hAnsi="黑体" w:eastAsia="黑体"/>
          <w:b w:val="0"/>
          <w:color w:val="auto"/>
          <w:highlight w:val="none"/>
        </w:rPr>
      </w:pPr>
      <w:r>
        <w:rPr>
          <w:rFonts w:hint="eastAsia" w:ascii="黑体" w:hAnsi="黑体" w:eastAsia="黑体"/>
          <w:b w:val="0"/>
          <w:color w:val="auto"/>
          <w:highlight w:val="none"/>
        </w:rPr>
      </w:r>
      <w:r/>
    </w:p>
    <w:p>
      <w:pPr>
        <w:pStyle w:val="677"/>
        <w:jc w:val="center"/>
        <w:spacing w:line="360" w:lineRule="auto"/>
        <w:rPr>
          <w:rFonts w:ascii="黑体" w:hAnsi="黑体" w:eastAsia="黑体"/>
          <w:b w:val="0"/>
          <w:color w:val="auto"/>
          <w:highlight w:val="none"/>
        </w:rPr>
      </w:pPr>
      <w:r>
        <w:rPr>
          <w:rFonts w:hint="eastAsia" w:ascii="黑体" w:hAnsi="黑体" w:eastAsia="黑体"/>
          <w:b w:val="0"/>
          <w:color w:val="auto"/>
          <w:highlight w:val="none"/>
        </w:rPr>
        <w:t xml:space="preserve">第六章  投标文件格式</w:t>
      </w:r>
      <w:bookmarkEnd w:id="15"/>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ascii="宋体" w:hAnsi="宋体" w:eastAsia="宋体" w:cs="宋体"/>
          <w:b/>
          <w:color w:val="auto"/>
          <w:sz w:val="36"/>
          <w:szCs w:val="36"/>
          <w:highlight w:val="none"/>
        </w:rPr>
        <w:outlineLvl w:val="1"/>
      </w:pPr>
      <w:r>
        <w:rPr>
          <w:rFonts w:hint="eastAsia" w:ascii="宋体" w:hAnsi="宋体" w:eastAsia="宋体" w:cs="宋体"/>
          <w:b/>
          <w:color w:val="auto"/>
          <w:sz w:val="36"/>
          <w:szCs w:val="36"/>
          <w:highlight w:val="non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b/>
          <w:color w:val="auto"/>
          <w:sz w:val="36"/>
          <w:szCs w:val="36"/>
          <w:highlight w:val="none"/>
        </w:rPr>
        <w:outlineLvl w:val="1"/>
      </w:pPr>
      <w:r>
        <w:rPr>
          <w:rFonts w:hint="eastAsia" w:ascii="宋体" w:hAnsi="宋体" w:eastAsia="宋体" w:cs="宋体"/>
          <w:b/>
          <w:color w:val="auto"/>
          <w:sz w:val="36"/>
          <w:szCs w:val="36"/>
          <w:highlight w:val="none"/>
        </w:rPr>
        <w:t xml:space="preserve">二、上一年度的财务状况报告（成立不满一年无需提供）</w:t>
      </w:r>
      <w:r/>
    </w:p>
    <w:p>
      <w:pPr>
        <w:rPr>
          <w:color w:val="auto"/>
          <w:highlight w:val="none"/>
        </w:rPr>
      </w:pPr>
      <w:r>
        <w:rPr>
          <w:color w:val="auto"/>
          <w:highlight w:val="none"/>
        </w:rPr>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根据连财购〔2023〕4号文件精神，可以提供《财务状况报告及税收、社会保障资金缴纳情况承诺函》</w:t>
      </w:r>
      <w:r/>
    </w:p>
    <w:p>
      <w:pPr>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三、依法缴纳税收和社会保障资金的相关材料</w:t>
      </w:r>
      <w:r/>
    </w:p>
    <w:p>
      <w:pPr>
        <w:ind w:firstLine="480"/>
        <w:spacing w:line="360" w:lineRule="auto"/>
        <w:rPr>
          <w:rFonts w:asciiTheme="minorEastAsia" w:hAnsiTheme="minorEastAsia"/>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color w:val="auto"/>
          <w:sz w:val="24"/>
          <w:szCs w:val="24"/>
          <w:highlight w:val="none"/>
        </w:rPr>
        <w:t xml:space="preserve">根据连财购〔2023〕4号文件精神，提供《财务状况报告及税收、社会保障资金缴纳情况承诺函》。</w:t>
      </w:r>
      <w:r/>
    </w:p>
    <w:p>
      <w:pPr>
        <w:ind w:firstLine="480"/>
        <w:jc w:val="left"/>
        <w:spacing w:line="500" w:lineRule="exact"/>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rPr>
          <w:b/>
          <w:color w:val="auto"/>
          <w:sz w:val="24"/>
          <w:highlight w:val="none"/>
        </w:rPr>
      </w:pPr>
      <w:r>
        <w:rPr>
          <w:b/>
          <w:color w:val="auto"/>
          <w:sz w:val="24"/>
          <w:highlight w:val="none"/>
        </w:rPr>
      </w:r>
      <w:r/>
    </w:p>
    <w:p>
      <w:pPr>
        <w:jc w:val="left"/>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承诺函：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color w:val="auto"/>
          <w:sz w:val="24"/>
          <w:szCs w:val="24"/>
          <w:highlight w:val="none"/>
          <w:u w:val="single"/>
        </w:rPr>
        <w:t xml:space="preserve">供应商</w:t>
      </w:r>
      <w:r>
        <w:rPr>
          <w:rFonts w:hint="eastAsia"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参加</w:t>
      </w:r>
      <w:r>
        <w:rPr>
          <w:rFonts w:hint="eastAsia" w:ascii="Calibri" w:hAnsi="Calibri" w:eastAsia="宋体" w:cs="Times New Roman"/>
          <w:color w:val="auto"/>
          <w:sz w:val="24"/>
          <w:szCs w:val="24"/>
          <w:highlight w:val="none"/>
          <w:lang w:eastAsia="zh-CN"/>
        </w:rPr>
        <w:t xml:space="preserve">2025年耕地保护基础业务项目</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color w:val="auto"/>
          <w:sz w:val="24"/>
          <w:szCs w:val="24"/>
          <w:highlight w:val="none"/>
          <w:u w:val="single"/>
        </w:rPr>
        <w:t xml:space="preserve">项目编号</w:t>
      </w:r>
      <w:r>
        <w:rPr>
          <w:rFonts w:hint="eastAsia" w:ascii="Calibri" w:hAnsi="Calibri"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投标人（公章）：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四、具备履行合同所必需的设备和专业技术能力的声明及证明材料</w:t>
      </w:r>
      <w:r/>
    </w:p>
    <w:p>
      <w:pPr>
        <w:jc w:val="center"/>
        <w:spacing w:line="460" w:lineRule="exact"/>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jc w:val="center"/>
        <w:spacing w:line="46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Times New Roman" w:hAnsi="Times New Roman"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六、落实政府采购政策需满足的资格要求的证明文件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七、特定资格要求的证明文件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八、法律、行政法规规定的其他条件的证明文件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九、授权委托书与法定代表人（单位负责人）身份证明</w:t>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r>
      <w:r/>
    </w:p>
    <w:p>
      <w:pPr>
        <w:jc w:val="center"/>
        <w:spacing w:line="360" w:lineRule="exact"/>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我方代理人，联系电话：</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授权，以我方名义签署、澄清确认、递交、撤回、修改</w:t>
      </w:r>
      <w:r>
        <w:rPr>
          <w:rFonts w:hint="eastAsia" w:ascii="Calibri" w:hAnsi="Calibri" w:eastAsia="宋体" w:cs="Times New Roman"/>
          <w:color w:val="auto"/>
          <w:sz w:val="24"/>
          <w:szCs w:val="24"/>
          <w:highlight w:val="none"/>
          <w:u w:val="single"/>
        </w:rPr>
        <w:t xml:space="preserve"> （项目名称） </w:t>
      </w:r>
      <w:r>
        <w:rPr>
          <w:rFonts w:hint="eastAsia" w:ascii="Calibri" w:hAnsi="Calibri" w:eastAsia="宋体" w:cs="Times New Roman"/>
          <w:color w:val="auto"/>
          <w:sz w:val="24"/>
          <w:szCs w:val="24"/>
          <w:highlight w:val="none"/>
        </w:rPr>
        <w:t xml:space="preserve">项目（项目编号：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w:t>
      </w:r>
      <w:r>
        <w:rPr>
          <w:rFonts w:hint="eastAsia" w:ascii="Calibri" w:hAnsi="Calibri" w:eastAsia="宋体" w:cs="Times New Roman"/>
          <w:color w:val="auto"/>
          <w:sz w:val="24"/>
          <w:szCs w:val="24"/>
          <w:highlight w:val="none"/>
        </w:rPr>
        <w:t xml:space="preserve">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rPr>
          <w:rFonts w:ascii="Calibri" w:hAnsi="Calibri" w:eastAsia="宋体" w:cs="Times New Roman"/>
          <w:color w:val="auto"/>
          <w:sz w:val="24"/>
          <w:szCs w:val="24"/>
          <w:highlight w:val="none"/>
        </w:rPr>
        <w:b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w:t>
      </w:r>
      <w:r>
        <w:rPr>
          <w:rFonts w:ascii="Calibri" w:hAnsi="Calibri" w:eastAsia="宋体" w:cs="Times New Roman"/>
          <w:color w:val="auto"/>
          <w:sz w:val="24"/>
          <w:szCs w:val="24"/>
          <w:highlight w:val="none"/>
        </w:rPr>
        <w:t xml:space="preserve">名称（加盖公章）：</w:t>
      </w:r>
      <w:r>
        <w:rPr>
          <w:rFonts w:hint="eastAsia" w:ascii="Calibri" w:hAnsi="Calibri" w:eastAsia="宋体" w:cs="Times New Roman"/>
          <w:color w:val="auto"/>
          <w:sz w:val="24"/>
          <w:szCs w:val="24"/>
          <w:highlight w:val="none"/>
          <w:u w:val="single"/>
        </w:rPr>
        <w:t xml:space="preserve">             </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，联系电话：</w:t>
      </w:r>
      <w:r>
        <w:rPr>
          <w:rFonts w:hint="eastAsia" w:ascii="Calibri" w:hAnsi="Calibri" w:eastAsia="宋体" w:cs="Times New Roman"/>
          <w:color w:val="auto"/>
          <w:sz w:val="24"/>
          <w:szCs w:val="24"/>
          <w:highlight w:val="none"/>
          <w:u w:val="single"/>
        </w:rPr>
        <w:t xml:space="preserve">         </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，联系电话：</w:t>
      </w:r>
      <w:r>
        <w:rPr>
          <w:rFonts w:hint="eastAsia" w:ascii="Calibri" w:hAnsi="Calibri" w:eastAsia="宋体" w:cs="Times New Roman"/>
          <w:color w:val="auto"/>
          <w:sz w:val="24"/>
          <w:szCs w:val="24"/>
          <w:highlight w:val="none"/>
          <w:u w:val="single"/>
        </w:rPr>
        <w:t xml:space="preserve">               </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8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8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填报说明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1、若供应商为事业单位或其他组织或分支机构（仅当</w:t>
      </w:r>
      <w:r>
        <w:rPr>
          <w:rFonts w:hint="eastAsia" w:ascii="Calibri" w:hAnsi="Calibri" w:eastAsia="宋体" w:cs="Times New Roman"/>
          <w:color w:val="auto"/>
          <w:sz w:val="24"/>
          <w:szCs w:val="24"/>
          <w:highlight w:val="none"/>
        </w:rPr>
        <w:t xml:space="preserve">招标</w:t>
      </w:r>
      <w:r>
        <w:rPr>
          <w:rFonts w:ascii="Calibri" w:hAnsi="Calibri" w:eastAsia="宋体" w:cs="Times New Roman"/>
          <w:color w:val="auto"/>
          <w:sz w:val="24"/>
          <w:szCs w:val="24"/>
          <w:highlight w:val="none"/>
        </w:rPr>
        <w:t xml:space="preserve">文件注明允许分支机构</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的），则法定代表人（单位负责人）</w:t>
      </w:r>
      <w:r>
        <w:rPr>
          <w:rFonts w:hint="eastAsia" w:ascii="Calibri" w:hAnsi="Calibri" w:eastAsia="宋体" w:cs="Times New Roman"/>
          <w:color w:val="auto"/>
          <w:sz w:val="24"/>
          <w:szCs w:val="24"/>
          <w:highlight w:val="none"/>
        </w:rPr>
        <w:t xml:space="preserve">处</w:t>
      </w:r>
      <w:r>
        <w:rPr>
          <w:rFonts w:ascii="Calibri" w:hAnsi="Calibri" w:eastAsia="宋体" w:cs="Times New Roman"/>
          <w:color w:val="auto"/>
          <w:sz w:val="24"/>
          <w:szCs w:val="24"/>
          <w:highlight w:val="none"/>
        </w:rPr>
        <w:t xml:space="preserve">的签署人可为单位负责人</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若</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文件中全部签字之处均为法定代表人（单位负责人）本人签署，则可不提供本《</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》，但须提供</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法定代表人（单位负责人）身份证</w:t>
      </w:r>
      <w:r>
        <w:rPr>
          <w:rFonts w:hint="eastAsia" w:ascii="Calibri" w:hAnsi="Calibri" w:eastAsia="宋体" w:cs="Times New Roman"/>
          <w:color w:val="auto"/>
          <w:sz w:val="24"/>
          <w:szCs w:val="24"/>
          <w:highlight w:val="none"/>
        </w:rPr>
        <w:t xml:space="preserve">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color w:val="auto"/>
          <w:sz w:val="24"/>
          <w:szCs w:val="24"/>
          <w:highlight w:val="none"/>
        </w:rPr>
      </w:pPr>
      <w:r>
        <w:rPr>
          <w:rFonts w:hint="eastAsia" w:ascii="Calibri" w:hAnsi="Calibri" w:eastAsia="宋体" w:cs="Times New Roman"/>
          <w:color w:val="auto"/>
          <w:sz w:val="24"/>
          <w:szCs w:val="24"/>
          <w:highlight w:val="none"/>
        </w:rPr>
        <w:t xml:space="preserve">4.</w:t>
      </w:r>
      <w:r>
        <w:rPr>
          <w:rFonts w:hint="eastAsia"/>
          <w:color w:val="auto"/>
          <w:sz w:val="24"/>
          <w:szCs w:val="24"/>
          <w:highlight w:val="none"/>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tabs>
          <w:tab w:val="left" w:pos="558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性别：</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年龄：</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职务：</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系</w:t>
      </w:r>
      <w:r>
        <w:rPr>
          <w:rFonts w:hint="eastAsia" w:ascii="宋体" w:hAnsi="宋体"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6"/>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z w:val="24"/>
          <w:szCs w:val="24"/>
          <w:highlight w:val="none"/>
        </w:rPr>
        <w:t xml:space="preserve">附：</w:t>
      </w: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68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rPr>
          <w:rFonts w:hint="eastAsia" w:ascii="Calibri" w:hAnsi="Calibri" w:eastAsia="宋体" w:cs="Times New Roman"/>
          <w:color w:val="auto"/>
          <w:sz w:val="24"/>
          <w:szCs w:val="24"/>
          <w:highlight w:val="none"/>
          <w:u w:val="single"/>
        </w:rPr>
        <w:t xml:space="preserve">             </w:t>
      </w:r>
      <w:r/>
    </w:p>
    <w:p>
      <w:pPr>
        <w:ind w:firstLine="468"/>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，联系电话：</w:t>
      </w:r>
      <w:r>
        <w:rPr>
          <w:rFonts w:hint="eastAsia" w:ascii="Calibri" w:hAnsi="Calibri" w:eastAsia="宋体" w:cs="Times New Roman"/>
          <w:color w:val="auto"/>
          <w:sz w:val="24"/>
          <w:szCs w:val="24"/>
          <w:highlight w:val="none"/>
          <w:u w:val="single"/>
        </w:rPr>
        <w:t xml:space="preserve">         </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ind w:firstLine="480"/>
        <w:jc w:val="left"/>
        <w:spacing w:line="360" w:lineRule="auto"/>
        <w:tabs>
          <w:tab w:val="left" w:pos="5580" w:leader="none"/>
        </w:tabs>
        <w:rPr>
          <w:color w:val="auto"/>
          <w:sz w:val="24"/>
          <w:szCs w:val="24"/>
          <w:highlight w:val="none"/>
        </w:rPr>
      </w:pPr>
      <w:r>
        <w:rPr>
          <w:rFonts w:hint="eastAsia"/>
          <w:color w:val="auto"/>
          <w:sz w:val="24"/>
          <w:szCs w:val="24"/>
          <w:highlight w:val="none"/>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260" w:after="260" w:line="416" w:lineRule="auto"/>
        <w:rPr>
          <w:rFonts w:ascii="黑体" w:hAnsi="黑体" w:eastAsia="黑体" w:cs="Times New Roman"/>
          <w:b/>
          <w:color w:val="auto"/>
          <w:sz w:val="32"/>
          <w:szCs w:val="32"/>
          <w:highlight w:val="none"/>
        </w:rPr>
        <w:outlineLvl w:val="1"/>
      </w:pPr>
      <w:r>
        <w:rPr>
          <w:rFonts w:hint="eastAsia" w:ascii="Arial" w:hAnsi="Arial" w:eastAsia="宋体" w:cs="Arial"/>
          <w:b/>
          <w:iCs/>
          <w:color w:val="auto"/>
          <w:sz w:val="36"/>
          <w:highlight w:val="none"/>
        </w:rPr>
        <w:t xml:space="preserve">十、投标函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致：</w:t>
      </w:r>
      <w:r>
        <w:rPr>
          <w:rFonts w:hint="eastAsia" w:ascii="宋体" w:hAnsi="宋体" w:eastAsia="宋体" w:cs="Times New Roman"/>
          <w:color w:val="auto"/>
          <w:sz w:val="24"/>
          <w:szCs w:val="21"/>
          <w:highlight w:val="none"/>
          <w:lang w:eastAsia="zh-CN"/>
        </w:rPr>
        <w:t xml:space="preserve">江苏万达工程造价事务所有限公司</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投标人开户行：</w:t>
      </w:r>
      <w:r/>
    </w:p>
    <w:p>
      <w:pPr>
        <w:ind w:firstLine="480"/>
        <w:jc w:val="left"/>
        <w:spacing w:line="500" w:lineRule="exact"/>
        <w:rPr>
          <w:color w:val="auto"/>
          <w:highlight w:val="none"/>
        </w:rPr>
      </w:pPr>
      <w:r>
        <w:rPr>
          <w:rFonts w:hint="eastAsia" w:ascii="宋体" w:hAnsi="宋体" w:eastAsia="宋体" w:cs="Times New Roman"/>
          <w:color w:val="auto"/>
          <w:sz w:val="24"/>
          <w:szCs w:val="21"/>
          <w:highlight w:val="none"/>
        </w:rPr>
        <w:t xml:space="preserve">账        号： </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jc w:val="left"/>
        <w:keepLines/>
        <w:keepNext/>
        <w:spacing w:before="360" w:after="200" w:line="360" w:lineRule="auto"/>
        <w:rPr>
          <w:rFonts w:ascii="Arial" w:hAnsi="Arial" w:eastAsia="宋体" w:cs="Arial"/>
          <w:b/>
          <w:color w:val="auto"/>
          <w:sz w:val="36"/>
          <w:highlight w:val="none"/>
        </w:rPr>
        <w:outlineLvl w:val="1"/>
      </w:pPr>
      <w:r>
        <w:rPr>
          <w:rFonts w:hint="eastAsia" w:ascii="Arial" w:hAnsi="Arial" w:eastAsia="宋体" w:cs="Arial"/>
          <w:b/>
          <w:color w:val="auto"/>
          <w:sz w:val="36"/>
          <w:highlight w:val="none"/>
        </w:rPr>
        <w:t xml:space="preserve">十一、中小企业声明函（服务）（分包号：**）</w:t>
      </w:r>
      <w:r/>
    </w:p>
    <w:p>
      <w:pPr>
        <w:jc w:val="center"/>
        <w:spacing w:line="360" w:lineRule="auto"/>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color w:val="auto"/>
          <w:sz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）采购活动，提供的</w:t>
      </w:r>
      <w:r>
        <w:rPr>
          <w:rFonts w:ascii="宋体" w:hAnsi="宋体"/>
          <w:color w:val="auto"/>
          <w:sz w:val="24"/>
          <w:highlight w:val="none"/>
        </w:rPr>
        <w:t xml:space="preserve">服务全部由符合政策要求的中小企业承接。</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w:t>
      </w:r>
      <w:r>
        <w:rPr>
          <w:rFonts w:hint="eastAsia" w:ascii="宋体" w:hAnsi="宋体"/>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w:t>
      </w:r>
      <w:r>
        <w:rPr>
          <w:rFonts w:hint="eastAsia" w:ascii="宋体" w:hAnsi="宋体" w:eastAsia="宋体" w:cs="Times New Roman"/>
          <w:color w:val="auto"/>
          <w:sz w:val="24"/>
          <w:szCs w:val="24"/>
          <w:highlight w:val="none"/>
          <w:lang w:val="en-US" w:eastAsia="zh-CN"/>
        </w:rPr>
        <w:t xml:space="preserve">承担一切不利后果</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b/>
          <w:color w:val="auto"/>
          <w:sz w:val="36"/>
          <w:highlight w:val="none"/>
        </w:rPr>
        <w:outlineLvl w:val="1"/>
      </w:pPr>
      <w:r>
        <w:rPr>
          <w:rFonts w:hint="eastAsia" w:ascii="Arial" w:hAnsi="Arial" w:eastAsia="宋体" w:cs="Arial"/>
          <w:b/>
          <w:color w:val="auto"/>
          <w:sz w:val="36"/>
          <w:highlight w:val="none"/>
        </w:rPr>
        <w:t xml:space="preserve">十二、残疾人福利性单位声明函（分包号：**）</w:t>
      </w:r>
      <w:r/>
    </w:p>
    <w:p>
      <w:pPr>
        <w:jc w:val="center"/>
        <w:spacing w:line="360" w:lineRule="auto"/>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单位的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1"/>
          <w:highlight w:val="none"/>
        </w:rPr>
        <w:t xml:space="preserve">）采购活动由本单位提供全部服务。</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请供应商如实填写，</w:t>
      </w:r>
      <w:r>
        <w:rPr>
          <w:rFonts w:hint="eastAsia" w:ascii="宋体" w:hAnsi="宋体"/>
          <w:bCs/>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w:t>
      </w:r>
      <w:r>
        <w:rPr>
          <w:rFonts w:hint="eastAsia" w:ascii="宋体" w:hAnsi="宋体" w:eastAsia="宋体" w:cs="Times New Roman"/>
          <w:color w:val="auto"/>
          <w:sz w:val="24"/>
          <w:szCs w:val="24"/>
          <w:highlight w:val="none"/>
          <w:lang w:val="en-US" w:eastAsia="zh-CN"/>
        </w:rPr>
        <w:t xml:space="preserve">承担一切不利后果</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Arial" w:hAnsi="Arial" w:cs="Arial"/>
          <w:b/>
          <w:bCs/>
          <w:i/>
          <w:iCs/>
          <w:color w:val="auto"/>
          <w:sz w:val="36"/>
          <w:highlight w:val="none"/>
          <w:u w:val="single"/>
        </w:rPr>
        <w:outlineLvl w:val="1"/>
      </w:pPr>
      <w:r>
        <w:rPr>
          <w:rFonts w:hint="eastAsia" w:ascii="Arial" w:hAnsi="Arial" w:cs="Arial"/>
          <w:b/>
          <w:bCs/>
          <w:color w:val="auto"/>
          <w:sz w:val="36"/>
          <w:highlight w:val="none"/>
        </w:rPr>
        <w:t xml:space="preserve">十</w:t>
      </w:r>
      <w:r>
        <w:rPr>
          <w:rFonts w:hint="eastAsia" w:ascii="Arial" w:hAnsi="Arial" w:cs="Arial"/>
          <w:b/>
          <w:bCs/>
          <w:color w:val="auto"/>
          <w:sz w:val="36"/>
          <w:highlight w:val="none"/>
          <w:lang w:val="en-US" w:eastAsia="zh-CN"/>
        </w:rPr>
        <w:t xml:space="preserve">三</w:t>
      </w:r>
      <w:r>
        <w:rPr>
          <w:rFonts w:hint="eastAsia" w:ascii="Arial" w:hAnsi="Arial" w:cs="Arial"/>
          <w:b/>
          <w:bCs/>
          <w:color w:val="auto"/>
          <w:sz w:val="36"/>
          <w:highlight w:val="none"/>
        </w:rPr>
        <w:t xml:space="preserve">、关于符合本国产品标准的声明函（分包号：**）</w:t>
      </w:r>
      <w:r/>
    </w:p>
    <w:p>
      <w:pPr>
        <w:pStyle w:val="710"/>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10"/>
        <w:ind w:firstLine="420"/>
        <w:spacing w:before="0" w:beforeAutospacing="0" w:after="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0"/>
        <w:numPr>
          <w:ilvl w:val="0"/>
          <w:numId w:val="2"/>
        </w:numPr>
        <w:ind w:firstLine="420"/>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u w:val="single"/>
          <w:lang w:val="en-US" w:eastAsia="zh-CN"/>
        </w:rPr>
        <w:t xml:space="preserve">   </w:t>
      </w:r>
      <w:r>
        <w:rPr>
          <w:rStyle w:val="715"/>
          <w:rFonts w:hint="eastAsia" w:ascii="宋体" w:hAnsi="宋体" w:cs="宋体"/>
          <w:i w:val="0"/>
          <w:color w:val="auto"/>
          <w:szCs w:val="24"/>
          <w:highlight w:val="none"/>
          <w:u w:val="single"/>
          <w:shd w:val="clear" w:color="auto" w:fill="ffffff"/>
          <w:lang w:val="en-US" w:eastAsia="zh-CN"/>
        </w:rPr>
        <w:t xml:space="preserve">      </w:t>
      </w:r>
      <w:r>
        <w:rPr>
          <w:rFonts w:hint="eastAsia" w:ascii="宋体" w:hAnsi="宋体" w:cs="宋体"/>
          <w:color w:val="auto"/>
          <w:szCs w:val="24"/>
          <w:highlight w:val="none"/>
          <w:shd w:val="clear" w:color="auto" w:fill="ffffff"/>
        </w:rPr>
        <w:t xml:space="preserve">，生产厂为</w:t>
      </w:r>
      <w:r>
        <w:rPr>
          <w:rStyle w:val="715"/>
          <w:rFonts w:hint="eastAsia" w:ascii="宋体" w:hAnsi="宋体" w:cs="宋体"/>
          <w:i w:val="0"/>
          <w:color w:val="auto"/>
          <w:szCs w:val="24"/>
          <w:highlight w:val="none"/>
          <w:u w:val="single"/>
          <w:shd w:val="clear" w:color="auto" w:fill="ffffff"/>
          <w:lang w:val="en-US" w:eastAsia="zh-CN"/>
        </w:rPr>
        <w:t xml:space="preserve">         </w:t>
      </w:r>
      <w:r>
        <w:rPr>
          <w:rFonts w:hint="eastAsia" w:ascii="宋体" w:hAnsi="宋体" w:cs="宋体"/>
          <w:color w:val="auto"/>
          <w:szCs w:val="24"/>
          <w:highlight w:val="none"/>
          <w:shd w:val="clear" w:color="auto" w:fill="ffffff"/>
        </w:rPr>
        <w:t xml:space="preserve">，厂址为</w:t>
      </w:r>
      <w:r>
        <w:rPr>
          <w:rStyle w:val="715"/>
          <w:rFonts w:hint="eastAsia" w:ascii="宋体" w:hAnsi="宋体" w:cs="宋体"/>
          <w:i w:val="0"/>
          <w:color w:val="auto"/>
          <w:szCs w:val="24"/>
          <w:highlight w:val="none"/>
          <w:u w:val="single"/>
          <w:shd w:val="clear" w:color="auto" w:fill="ffffff"/>
          <w:lang w:val="en-US" w:eastAsia="zh-CN"/>
        </w:rPr>
        <w:t xml:space="preserve">         </w:t>
      </w:r>
      <w:r>
        <w:rPr>
          <w:rFonts w:hint="eastAsia" w:ascii="宋体" w:hAnsi="宋体" w:cs="宋体"/>
          <w:color w:val="auto"/>
          <w:szCs w:val="24"/>
          <w:highlight w:val="none"/>
          <w:shd w:val="clear" w:color="auto" w:fill="ffffff"/>
        </w:rPr>
        <w:t xml:space="preserve">。</w:t>
      </w:r>
      <w:r>
        <w:rPr>
          <w:rFonts w:hint="eastAsia" w:ascii="宋体" w:hAnsi="宋体" w:cs="宋体"/>
          <w:color w:val="auto"/>
          <w:szCs w:val="24"/>
          <w:highlight w:val="none"/>
          <w:u w:val="single"/>
          <w:shd w:val="clear" w:color="auto" w:fill="ffffff"/>
        </w:rPr>
        <w:t xml:space="preserve"> </w:t>
      </w:r>
      <w:r>
        <w:rPr>
          <w:rStyle w:val="715"/>
          <w:rFonts w:hint="eastAsia" w:ascii="宋体" w:hAnsi="宋体" w:cs="宋体"/>
          <w:i w:val="0"/>
          <w:color w:val="auto"/>
          <w:szCs w:val="24"/>
          <w:highlight w:val="none"/>
          <w:u w:val="single"/>
          <w:shd w:val="clear" w:color="auto" w:fill="ffffff"/>
          <w:lang w:val="en-US" w:eastAsia="zh-CN"/>
        </w:rPr>
        <w:t xml:space="preserve">          </w:t>
      </w:r>
      <w:r>
        <w:rPr>
          <w:rFonts w:hint="eastAsia" w:ascii="宋体" w:hAnsi="宋体" w:cs="宋体"/>
          <w:color w:val="auto"/>
          <w:szCs w:val="24"/>
          <w:highlight w:val="none"/>
          <w:shd w:val="clear" w:color="auto" w:fill="ffffff"/>
        </w:rPr>
        <w:t xml:space="preserve">的中国境内生产的组件成本占比≥</w:t>
      </w:r>
      <w:r>
        <w:rPr>
          <w:rStyle w:val="715"/>
          <w:rFonts w:hint="eastAsia" w:ascii="宋体" w:hAnsi="宋体" w:cs="宋体"/>
          <w:i w:val="0"/>
          <w:color w:val="auto"/>
          <w:szCs w:val="24"/>
          <w:highlight w:val="none"/>
          <w:u w:val="single"/>
          <w:shd w:val="clear" w:color="auto" w:fill="ffffff"/>
          <w:lang w:val="en-US" w:eastAsia="zh-CN"/>
        </w:rPr>
        <w:t xml:space="preserve">            </w:t>
      </w:r>
      <w:r>
        <w:rPr>
          <w:rFonts w:hint="eastAsia" w:ascii="宋体" w:hAnsi="宋体" w:cs="宋体"/>
          <w:color w:val="auto"/>
          <w:szCs w:val="24"/>
          <w:highlight w:val="none"/>
          <w:shd w:val="clear" w:color="auto" w:fill="ffffff"/>
        </w:rPr>
        <w:t xml:space="preserve">。</w:t>
      </w:r>
      <w:r>
        <w:rPr>
          <w:rStyle w:val="715"/>
          <w:rFonts w:hint="eastAsia" w:ascii="宋体" w:hAnsi="宋体" w:cs="宋体"/>
          <w:i w:val="0"/>
          <w:color w:val="auto"/>
          <w:szCs w:val="24"/>
          <w:highlight w:val="none"/>
          <w:u w:val="single"/>
          <w:shd w:val="clear" w:color="auto" w:fill="ffffff"/>
          <w:lang w:val="en-US" w:eastAsia="zh-CN"/>
        </w:rPr>
        <w:t xml:space="preserve">          </w:t>
      </w:r>
      <w:r>
        <w:rPr>
          <w:rFonts w:hint="eastAsia" w:ascii="宋体" w:hAnsi="宋体" w:cs="宋体"/>
          <w:color w:val="auto"/>
          <w:szCs w:val="24"/>
          <w:highlight w:val="none"/>
          <w:shd w:val="clear" w:color="auto" w:fill="ffffff"/>
        </w:rPr>
        <w:t xml:space="preserve">的</w:t>
      </w:r>
      <w:r>
        <w:rPr>
          <w:rStyle w:val="715"/>
          <w:rFonts w:hint="eastAsia" w:ascii="宋体" w:hAnsi="宋体" w:cs="宋体"/>
          <w:i w:val="0"/>
          <w:color w:val="auto"/>
          <w:szCs w:val="24"/>
          <w:highlight w:val="none"/>
          <w:u w:val="single"/>
          <w:shd w:val="clear" w:color="auto" w:fill="ffffff"/>
          <w:lang w:val="en-US" w:eastAsia="zh-CN"/>
        </w:rPr>
        <w:t xml:space="preserve">           </w:t>
      </w:r>
      <w:r>
        <w:rPr>
          <w:rStyle w:val="715"/>
          <w:rFonts w:hint="eastAsia" w:ascii="宋体" w:hAnsi="宋体" w:cs="宋体"/>
          <w:i w:val="0"/>
          <w:color w:val="auto"/>
          <w:szCs w:val="24"/>
          <w:highlight w:val="none"/>
          <w:shd w:val="clear" w:color="auto" w:fill="ffffff"/>
          <w:vertAlign w:val="superscript"/>
        </w:rPr>
        <w:t xml:space="preserve">4</w:t>
      </w:r>
      <w:r>
        <w:rPr>
          <w:rFonts w:hint="eastAsia" w:ascii="宋体" w:hAnsi="宋体" w:cs="宋体"/>
          <w:color w:val="auto"/>
          <w:szCs w:val="24"/>
          <w:highlight w:val="none"/>
          <w:shd w:val="clear" w:color="auto" w:fill="ffffff"/>
        </w:rPr>
        <w:t xml:space="preserve">在中国境内生产。</w:t>
      </w:r>
      <w:r>
        <w:rPr>
          <w:rStyle w:val="715"/>
          <w:rFonts w:hint="eastAsia" w:ascii="宋体" w:hAnsi="宋体" w:cs="宋体"/>
          <w:i w:val="0"/>
          <w:color w:val="auto"/>
          <w:szCs w:val="24"/>
          <w:highlight w:val="none"/>
          <w:u w:val="single"/>
          <w:shd w:val="clear" w:color="auto" w:fill="ffffff"/>
          <w:lang w:val="en-US" w:eastAsia="zh-CN"/>
        </w:rPr>
        <w:t xml:space="preserve">             </w:t>
      </w:r>
      <w:r>
        <w:rPr>
          <w:rFonts w:hint="eastAsia" w:ascii="宋体" w:hAnsi="宋体" w:cs="宋体"/>
          <w:color w:val="auto"/>
          <w:szCs w:val="24"/>
          <w:highlight w:val="none"/>
          <w:shd w:val="clear" w:color="auto" w:fill="ffffff"/>
        </w:rPr>
        <w:t xml:space="preserve">的</w:t>
      </w:r>
      <w:r>
        <w:rPr>
          <w:rStyle w:val="715"/>
          <w:rFonts w:hint="eastAsia" w:ascii="宋体" w:hAnsi="宋体" w:cs="宋体"/>
          <w:i w:val="0"/>
          <w:color w:val="auto"/>
          <w:szCs w:val="24"/>
          <w:highlight w:val="none"/>
          <w:u w:val="single"/>
          <w:shd w:val="clear" w:color="auto" w:fill="ffffff"/>
          <w:lang w:val="en-US" w:eastAsia="zh-CN"/>
        </w:rPr>
        <w:t xml:space="preserve">               </w:t>
      </w:r>
      <w:r>
        <w:rPr>
          <w:rFonts w:hint="eastAsia" w:ascii="宋体" w:hAnsi="宋体" w:cs="宋体"/>
          <w:color w:val="auto"/>
          <w:szCs w:val="24"/>
          <w:highlight w:val="none"/>
          <w:shd w:val="clear" w:color="auto" w:fill="ffffff"/>
        </w:rPr>
        <w:t xml:space="preserve">在中国境内完成。</w:t>
      </w:r>
      <w:r/>
    </w:p>
    <w:p>
      <w:pPr>
        <w:pStyle w:val="710"/>
        <w:numPr>
          <w:ilvl w:val="0"/>
          <w:numId w:val="2"/>
        </w:numPr>
        <w:ind w:left="0" w:firstLine="420"/>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u w:val="single"/>
          <w:shd w:val="clear" w:color="auto" w:fill="ffffff"/>
          <w:lang w:val="en-US" w:eastAsia="zh-CN"/>
        </w:rPr>
        <w:t xml:space="preserve">          </w:t>
      </w:r>
      <w:r>
        <w:rPr>
          <w:rFonts w:hint="eastAsia" w:ascii="宋体" w:hAnsi="宋体" w:cs="宋体"/>
          <w:color w:val="auto"/>
          <w:szCs w:val="24"/>
          <w:highlight w:val="none"/>
          <w:shd w:val="clear" w:color="auto" w:fill="ffffff"/>
        </w:rPr>
        <w:t xml:space="preserve">，生产厂为</w:t>
      </w:r>
      <w:r>
        <w:rPr>
          <w:rStyle w:val="715"/>
          <w:rFonts w:hint="eastAsia" w:ascii="宋体" w:hAnsi="宋体" w:cs="宋体"/>
          <w:i w:val="0"/>
          <w:color w:val="auto"/>
          <w:szCs w:val="24"/>
          <w:highlight w:val="none"/>
          <w:u w:val="single"/>
          <w:shd w:val="clear" w:color="auto" w:fill="ffffff"/>
          <w:lang w:val="en-US" w:eastAsia="zh-CN"/>
        </w:rPr>
        <w:t xml:space="preserve">          </w:t>
      </w:r>
      <w:r>
        <w:rPr>
          <w:rFonts w:hint="eastAsia" w:ascii="宋体" w:hAnsi="宋体" w:cs="宋体"/>
          <w:color w:val="auto"/>
          <w:szCs w:val="24"/>
          <w:highlight w:val="none"/>
          <w:shd w:val="clear" w:color="auto" w:fill="ffffff"/>
        </w:rPr>
        <w:t xml:space="preserve">，厂址为</w:t>
      </w:r>
      <w:r>
        <w:rPr>
          <w:rStyle w:val="715"/>
          <w:rFonts w:hint="eastAsia" w:ascii="宋体" w:hAnsi="宋体" w:cs="宋体"/>
          <w:i w:val="0"/>
          <w:color w:val="auto"/>
          <w:szCs w:val="24"/>
          <w:highlight w:val="none"/>
          <w:u w:val="single"/>
          <w:shd w:val="clear" w:color="auto" w:fill="ffffff"/>
          <w:lang w:val="en-US" w:eastAsia="zh-CN"/>
        </w:rPr>
        <w:t xml:space="preserve">            </w:t>
      </w:r>
      <w:r>
        <w:rPr>
          <w:rFonts w:hint="eastAsia" w:ascii="宋体" w:hAnsi="宋体" w:cs="宋体"/>
          <w:color w:val="auto"/>
          <w:szCs w:val="24"/>
          <w:highlight w:val="none"/>
          <w:shd w:val="clear" w:color="auto" w:fill="ffffff"/>
        </w:rPr>
        <w:t xml:space="preserve">。</w:t>
      </w:r>
      <w:r>
        <w:rPr>
          <w:rStyle w:val="715"/>
          <w:rFonts w:hint="eastAsia" w:ascii="宋体" w:hAnsi="宋体" w:cs="宋体"/>
          <w:i w:val="0"/>
          <w:color w:val="auto"/>
          <w:szCs w:val="24"/>
          <w:highlight w:val="none"/>
          <w:u w:val="single"/>
          <w:shd w:val="clear" w:color="auto" w:fill="ffffff"/>
          <w:lang w:val="en-US" w:eastAsia="zh-CN"/>
        </w:rPr>
        <w:t xml:space="preserve">           </w:t>
      </w:r>
      <w:r>
        <w:rPr>
          <w:rFonts w:hint="eastAsia" w:ascii="宋体" w:hAnsi="宋体" w:cs="宋体"/>
          <w:color w:val="auto"/>
          <w:szCs w:val="24"/>
          <w:highlight w:val="none"/>
          <w:shd w:val="clear" w:color="auto" w:fill="ffffff"/>
        </w:rPr>
        <w:t xml:space="preserve">的中国境内生产的组件成本占比≥</w:t>
      </w:r>
      <w:r>
        <w:rPr>
          <w:rStyle w:val="715"/>
          <w:rFonts w:hint="eastAsia" w:ascii="宋体" w:hAnsi="宋体" w:cs="宋体"/>
          <w:i w:val="0"/>
          <w:color w:val="auto"/>
          <w:szCs w:val="24"/>
          <w:highlight w:val="none"/>
          <w:u w:val="single"/>
          <w:shd w:val="clear" w:color="auto" w:fill="ffffff"/>
          <w:lang w:val="en-US" w:eastAsia="zh-CN"/>
        </w:rPr>
        <w:t xml:space="preserve">          </w:t>
      </w:r>
      <w:r>
        <w:rPr>
          <w:rFonts w:hint="eastAsia" w:ascii="宋体" w:hAnsi="宋体" w:cs="宋体"/>
          <w:color w:val="auto"/>
          <w:szCs w:val="24"/>
          <w:highlight w:val="none"/>
          <w:shd w:val="clear" w:color="auto" w:fill="ffffff"/>
        </w:rPr>
        <w:t xml:space="preserve">。</w:t>
      </w:r>
      <w:r>
        <w:rPr>
          <w:rStyle w:val="715"/>
          <w:rFonts w:hint="eastAsia" w:ascii="宋体" w:hAnsi="宋体" w:cs="宋体"/>
          <w:i w:val="0"/>
          <w:color w:val="auto"/>
          <w:szCs w:val="24"/>
          <w:highlight w:val="none"/>
          <w:u w:val="single"/>
          <w:shd w:val="clear" w:color="auto" w:fill="ffffff"/>
          <w:lang w:val="en-US" w:eastAsia="zh-CN"/>
        </w:rPr>
        <w:t xml:space="preserve">             </w:t>
      </w:r>
      <w:r>
        <w:rPr>
          <w:rFonts w:hint="eastAsia" w:ascii="宋体" w:hAnsi="宋体" w:cs="宋体"/>
          <w:color w:val="auto"/>
          <w:szCs w:val="24"/>
          <w:highlight w:val="none"/>
          <w:shd w:val="clear" w:color="auto" w:fill="ffffff"/>
        </w:rPr>
        <w:t xml:space="preserve">的</w:t>
      </w:r>
      <w:r>
        <w:rPr>
          <w:rStyle w:val="715"/>
          <w:rFonts w:hint="eastAsia" w:ascii="宋体" w:hAnsi="宋体" w:cs="宋体"/>
          <w:i w:val="0"/>
          <w:color w:val="auto"/>
          <w:szCs w:val="24"/>
          <w:highlight w:val="none"/>
          <w:u w:val="single"/>
          <w:shd w:val="clear" w:color="auto" w:fill="ffffff"/>
          <w:lang w:val="en-US" w:eastAsia="zh-CN"/>
        </w:rPr>
        <w:t xml:space="preserve">           </w:t>
      </w:r>
      <w:r>
        <w:rPr>
          <w:rFonts w:hint="eastAsia" w:ascii="宋体" w:hAnsi="宋体" w:cs="宋体"/>
          <w:color w:val="auto"/>
          <w:szCs w:val="24"/>
          <w:highlight w:val="none"/>
          <w:shd w:val="clear" w:color="auto" w:fill="ffffff"/>
        </w:rPr>
        <w:t xml:space="preserve">在中国境内生产。</w:t>
      </w:r>
      <w:r>
        <w:rPr>
          <w:rStyle w:val="715"/>
          <w:rFonts w:hint="eastAsia" w:ascii="宋体" w:hAnsi="宋体" w:cs="宋体"/>
          <w:i w:val="0"/>
          <w:color w:val="auto"/>
          <w:szCs w:val="24"/>
          <w:highlight w:val="none"/>
          <w:u w:val="single"/>
          <w:shd w:val="clear" w:color="auto" w:fill="ffffff"/>
          <w:lang w:val="en-US" w:eastAsia="zh-CN"/>
        </w:rPr>
        <w:t xml:space="preserve">            </w:t>
      </w:r>
      <w:r>
        <w:rPr>
          <w:rFonts w:hint="eastAsia" w:ascii="宋体" w:hAnsi="宋体" w:cs="宋体"/>
          <w:color w:val="auto"/>
          <w:szCs w:val="24"/>
          <w:highlight w:val="none"/>
          <w:shd w:val="clear" w:color="auto" w:fill="ffffff"/>
        </w:rPr>
        <w:t xml:space="preserve">的</w:t>
      </w:r>
      <w:r>
        <w:rPr>
          <w:rStyle w:val="715"/>
          <w:rFonts w:hint="eastAsia" w:ascii="宋体" w:hAnsi="宋体" w:cs="宋体"/>
          <w:i w:val="0"/>
          <w:color w:val="auto"/>
          <w:szCs w:val="24"/>
          <w:highlight w:val="none"/>
          <w:u w:val="single"/>
          <w:shd w:val="clear" w:color="auto" w:fill="ffffff"/>
          <w:lang w:val="en-US" w:eastAsia="zh-CN"/>
        </w:rPr>
        <w:t xml:space="preserve">              </w:t>
      </w:r>
      <w:r>
        <w:rPr>
          <w:rFonts w:hint="eastAsia" w:ascii="宋体" w:hAnsi="宋体" w:cs="宋体"/>
          <w:color w:val="auto"/>
          <w:szCs w:val="24"/>
          <w:highlight w:val="none"/>
          <w:shd w:val="clear" w:color="auto" w:fill="ffffff"/>
        </w:rPr>
        <w:t xml:space="preserve">在中国境内完成。</w:t>
      </w:r>
      <w:r/>
    </w:p>
    <w:p>
      <w:pPr>
        <w:pStyle w:val="710"/>
        <w:ind w:firstLine="420"/>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 xml:space="preserve">……</w:t>
      </w:r>
      <w:r/>
    </w:p>
    <w:p>
      <w:pPr>
        <w:pStyle w:val="710"/>
        <w:ind w:firstLine="420"/>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 xml:space="preserve">本公司（单位）对上述声明内容的真实性负责。如有虚假，愿承担相应法律责任。</w:t>
      </w:r>
      <w:r/>
    </w:p>
    <w:p>
      <w:pPr>
        <w:pStyle w:val="710"/>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710"/>
        <w:ind w:right="480" w:firstLine="3720"/>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 xml:space="preserve">公司（单位）名称（盖章）：　        </w:t>
      </w:r>
      <w:r/>
    </w:p>
    <w:p>
      <w:pPr>
        <w:pStyle w:val="710"/>
        <w:jc w:val="center"/>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 xml:space="preserve">                                日期：　   年　  月　  日         </w:t>
      </w:r>
      <w:r/>
    </w:p>
    <w:p>
      <w:pPr>
        <w:pStyle w:val="710"/>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 xml:space="preserve">__________________</w:t>
      </w:r>
      <w:r/>
    </w:p>
    <w:p>
      <w:pPr>
        <w:pStyle w:val="710"/>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 xml:space="preserve">1.产品如有型号，请在“产品名称”栏一并填写。</w:t>
      </w:r>
      <w:r/>
    </w:p>
    <w:p>
      <w:pPr>
        <w:pStyle w:val="710"/>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 xml:space="preserve">2.生产厂名与厂址应与生产厂营业执照载明的相关信息保持一致。</w:t>
      </w:r>
      <w:r/>
    </w:p>
    <w:p>
      <w:pPr>
        <w:pStyle w:val="710"/>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 xml:space="preserve">3.该产品的中国境内生产的组件成本占比相关要求实施前，“规定比例”栏可不填，下同。</w:t>
      </w:r>
      <w:r/>
    </w:p>
    <w:p>
      <w:pPr>
        <w:pStyle w:val="710"/>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 xml:space="preserve">4.该产品的关键组件要求实施前，“关键组件”栏可不填，下同。</w:t>
      </w:r>
      <w:r/>
    </w:p>
    <w:p>
      <w:pPr>
        <w:pStyle w:val="710"/>
        <w:spacing w:before="30" w:beforeAutospacing="0" w:after="30" w:afterAutospacing="0"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7.请供应商如实填写，如填写有误，将承担一切不利后果。</w:t>
      </w:r>
      <w:r/>
    </w:p>
    <w:p>
      <w:pPr>
        <w:pStyle w:val="710"/>
        <w:spacing w:before="0" w:beforeAutospacing="0" w:after="150" w:afterAutospacing="0" w:line="27" w:lineRule="atLeast"/>
        <w:shd w:val="clear" w:color="auto" w:fill="ffffff"/>
        <w:widowControl/>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8.供应商提供虚假《声明函》、虚假证明文件谋取中标的，依照《中华人民共和国政府采购法》等法律法规规定追究相应责任。</w:t>
      </w:r>
      <w:r/>
    </w:p>
    <w:p>
      <w:pPr>
        <w:pStyle w:val="710"/>
        <w:spacing w:before="0" w:beforeAutospacing="0" w:after="150" w:afterAutospacing="0" w:line="27" w:lineRule="atLeast"/>
        <w:shd w:val="clear" w:color="auto" w:fill="ffffff"/>
        <w:widowControl/>
        <w:rPr>
          <w:rFonts w:hint="eastAsia" w:ascii="宋体" w:hAnsi="宋体"/>
          <w:color w:val="auto"/>
          <w:szCs w:val="24"/>
          <w:highlight w:val="none"/>
        </w:rPr>
      </w:pPr>
      <w:r>
        <w:rPr>
          <w:rFonts w:hint="eastAsia" w:ascii="宋体" w:hAnsi="宋体" w:cs="宋体"/>
          <w:color w:val="auto"/>
          <w:szCs w:val="24"/>
          <w:highlight w:val="none"/>
          <w:shd w:val="clear" w:color="auto" w:fill="ffffff"/>
        </w:rPr>
        <w:t xml:space="preserve">9.</w:t>
      </w:r>
      <w:r>
        <w:rPr>
          <w:rFonts w:hint="eastAsia" w:ascii="宋体" w:hAnsi="宋体"/>
          <w:color w:val="auto"/>
          <w:szCs w:val="24"/>
          <w:highlight w:val="none"/>
        </w:rPr>
        <w:t xml:space="preserve">中标人的</w:t>
      </w:r>
      <w:r>
        <w:rPr>
          <w:rFonts w:hint="eastAsia" w:ascii="宋体" w:hAnsi="宋体" w:cs="宋体"/>
          <w:color w:val="auto"/>
          <w:szCs w:val="24"/>
          <w:highlight w:val="none"/>
          <w:shd w:val="clear" w:color="auto" w:fill="ffffff"/>
        </w:rPr>
        <w:t xml:space="preserve">《声明函》或有关证明文件</w:t>
      </w:r>
      <w:r>
        <w:rPr>
          <w:rFonts w:hint="eastAsia" w:ascii="宋体" w:hAnsi="宋体"/>
          <w:color w:val="auto"/>
          <w:szCs w:val="24"/>
          <w:highlight w:val="none"/>
        </w:rPr>
        <w:t xml:space="preserve">随中标结果公开，接受社会监督。</w:t>
      </w:r>
      <w:r/>
    </w:p>
    <w:p>
      <w:pPr>
        <w:pStyle w:val="710"/>
        <w:spacing w:before="0" w:beforeAutospacing="0" w:after="150" w:afterAutospacing="0" w:line="27" w:lineRule="atLeast"/>
        <w:shd w:val="clear" w:color="auto" w:fill="ffffff"/>
        <w:widowControl/>
        <w:rPr>
          <w:rFonts w:hint="eastAsia" w:ascii="宋体" w:hAnsi="宋体"/>
          <w:color w:val="auto"/>
          <w:szCs w:val="24"/>
          <w:highlight w:val="none"/>
        </w:rPr>
      </w:pPr>
      <w:r>
        <w:rPr>
          <w:rFonts w:hint="eastAsia" w:ascii="宋体" w:hAnsi="宋体"/>
          <w:color w:val="auto"/>
          <w:szCs w:val="24"/>
          <w:highlight w:val="none"/>
        </w:rPr>
      </w:r>
      <w:r/>
    </w:p>
    <w:p>
      <w:pPr>
        <w:pStyle w:val="710"/>
        <w:spacing w:before="0" w:beforeAutospacing="0" w:after="150" w:afterAutospacing="0" w:line="27" w:lineRule="atLeast"/>
        <w:shd w:val="clear" w:color="auto" w:fill="ffffff"/>
        <w:widowControl/>
        <w:rPr>
          <w:rFonts w:hint="eastAsia" w:ascii="宋体" w:hAnsi="宋体"/>
          <w:color w:val="auto"/>
          <w:szCs w:val="24"/>
          <w:highlight w:val="none"/>
        </w:rPr>
      </w:pPr>
      <w:r>
        <w:rPr>
          <w:rFonts w:hint="eastAsia" w:ascii="宋体" w:hAnsi="宋体"/>
          <w:color w:val="auto"/>
          <w:szCs w:val="24"/>
          <w:highlight w:val="none"/>
        </w:rPr>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十四、投标分项报价表（分包号：**）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p>
      <w:pPr>
        <w:jc w:val="righ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单位：元</w:t>
      </w:r>
      <w:r/>
    </w:p>
    <w:tbl>
      <w:tblPr>
        <w:tblStyle w:val="687"/>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序号</w:t>
            </w:r>
            <w:r/>
          </w:p>
        </w:tc>
        <w:tc>
          <w:tcPr>
            <w:tcW w:w="2083"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产品、服务（标的）名称</w:t>
            </w:r>
            <w:r/>
          </w:p>
        </w:tc>
        <w:tc>
          <w:tcPr>
            <w:tcW w:w="1461"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分项单位</w:t>
            </w:r>
            <w:r/>
          </w:p>
        </w:tc>
        <w:tc>
          <w:tcPr>
            <w:tcW w:w="1134"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数量</w:t>
            </w:r>
            <w:r/>
          </w:p>
        </w:tc>
        <w:tc>
          <w:tcPr>
            <w:tcW w:w="1134"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单价</w:t>
            </w:r>
            <w:r/>
          </w:p>
        </w:tc>
        <w:tc>
          <w:tcPr>
            <w:tcW w:w="1491"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单项</w:t>
            </w:r>
            <w:r/>
          </w:p>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208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61"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91"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208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61"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91"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208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61"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91"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总计（元）</w:t>
            </w:r>
            <w:r/>
          </w:p>
        </w:tc>
        <w:tc>
          <w:tcPr>
            <w:tcW w:w="1491"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360" w:lineRule="auto"/>
        <w:rPr>
          <w:rFonts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十五、技术要求响应及偏离表（分包号：**）（如有请提供）</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687"/>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54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26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9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54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26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9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54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26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9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54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26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9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b/>
          <w:iCs/>
          <w:color w:val="auto"/>
          <w:sz w:val="36"/>
          <w:highlight w:val="none"/>
        </w:rPr>
        <w:outlineLvl w:val="1"/>
      </w:pPr>
      <w:r/>
      <w:bookmarkStart w:id="16" w:name="_Hlt26955054"/>
      <w:r/>
      <w:bookmarkEnd w:id="16"/>
      <w:r>
        <w:rPr>
          <w:rFonts w:hint="eastAsia" w:ascii="Arial" w:hAnsi="Arial" w:eastAsia="宋体" w:cs="Arial"/>
          <w:b/>
          <w:iCs/>
          <w:color w:val="auto"/>
          <w:sz w:val="36"/>
          <w:highlight w:val="none"/>
        </w:rPr>
        <w:t xml:space="preserve">十六、商务要求响应及偏离表（分包号：**）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687"/>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auto"/>
                <w:sz w:val="24"/>
                <w:szCs w:val="24"/>
                <w:highlight w:val="none"/>
              </w:rPr>
            </w:pPr>
            <w:r/>
            <w:bookmarkStart w:id="17" w:name="_Hlt26580838"/>
            <w:r/>
            <w:bookmarkEnd w:id="17"/>
            <w:r/>
            <w:bookmarkStart w:id="18" w:name="_Hlt26671372"/>
            <w:r/>
            <w:bookmarkEnd w:id="18"/>
            <w:r/>
            <w:bookmarkStart w:id="19" w:name="_Hlt26671343"/>
            <w:r/>
            <w:bookmarkEnd w:id="19"/>
            <w:r/>
            <w:bookmarkStart w:id="20" w:name="_Hlt26782999"/>
            <w:r/>
            <w:bookmarkEnd w:id="20"/>
            <w:r/>
            <w:bookmarkStart w:id="21" w:name="_Hlt26609391"/>
            <w:r/>
            <w:bookmarkEnd w:id="21"/>
            <w:r/>
            <w:bookmarkStart w:id="22" w:name="_Hlt26955064"/>
            <w:r/>
            <w:bookmarkEnd w:id="22"/>
            <w:r/>
            <w:bookmarkStart w:id="23" w:name="_Hlt24879081"/>
            <w:r/>
            <w:bookmarkEnd w:id="23"/>
            <w:r/>
            <w:bookmarkStart w:id="24" w:name="_Hlt26955056"/>
            <w:r/>
            <w:bookmarkEnd w:id="24"/>
            <w:r>
              <w:rPr>
                <w:rFonts w:hint="eastAsia" w:ascii="宋体" w:hAnsi="宋体" w:eastAsia="宋体" w:cs="Times New Roman"/>
                <w:color w:val="auto"/>
                <w:sz w:val="24"/>
                <w:szCs w:val="24"/>
                <w:highlight w:val="none"/>
              </w:rPr>
              <w:t xml:space="preserve">序号</w:t>
            </w:r>
            <w:r/>
          </w:p>
        </w:tc>
        <w:tc>
          <w:tcPr>
            <w:tcW w:w="2607"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246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208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6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0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1128"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6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0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1128"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6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0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1128"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6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0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bookmarkStart w:id="25" w:name="_Hlt26955066"/>
      <w:r/>
      <w:bookmarkEnd w:id="25"/>
      <w:r/>
      <w:bookmarkStart w:id="26" w:name="_Hlt26671374"/>
      <w:r/>
      <w:bookmarkEnd w:id="26"/>
      <w:r/>
      <w:bookmarkStart w:id="27" w:name="_格式2__法定代表人授权书"/>
      <w:r/>
      <w:bookmarkEnd w:id="27"/>
      <w:r/>
      <w:bookmarkStart w:id="28" w:name="_Hlt26609389"/>
      <w:r/>
      <w:bookmarkEnd w:id="28"/>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ind w:firstLine="240"/>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687"/>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22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9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5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1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22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9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5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1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22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9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5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1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22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9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5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1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eastAsia="宋体" w:cs="Arial"/>
          <w:iCs/>
          <w:color w:val="auto"/>
          <w:sz w:val="36"/>
          <w:highlight w:val="none"/>
        </w:rPr>
      </w:pPr>
      <w:r>
        <w:rPr>
          <w:rFonts w:ascii="Arial" w:hAnsi="Arial" w:eastAsia="宋体" w:cs="Arial"/>
          <w:iCs/>
          <w:color w:val="auto"/>
          <w:sz w:val="36"/>
          <w:highlight w:val="none"/>
        </w:rPr>
      </w:r>
      <w:r/>
    </w:p>
    <w:p>
      <w:pPr>
        <w:rPr>
          <w:rFonts w:ascii="Arial" w:hAnsi="Arial" w:eastAsia="宋体" w:cs="Arial"/>
          <w:iCs/>
          <w:color w:val="auto"/>
          <w:sz w:val="36"/>
          <w:highlight w:val="none"/>
        </w:rPr>
      </w:pPr>
      <w:r>
        <w:rPr>
          <w:rFonts w:ascii="Arial" w:hAnsi="Arial" w:eastAsia="宋体" w:cs="Arial"/>
          <w:iCs/>
          <w:color w:val="auto"/>
          <w:sz w:val="36"/>
          <w:highlight w:val="none"/>
        </w:rPr>
      </w:r>
      <w:r/>
    </w:p>
    <w:p>
      <w:pPr>
        <w:rPr>
          <w:rFonts w:ascii="Arial" w:hAnsi="Arial" w:eastAsia="宋体" w:cs="Arial"/>
          <w:iCs/>
          <w:color w:val="auto"/>
          <w:sz w:val="36"/>
          <w:highlight w:val="none"/>
        </w:rPr>
      </w:pPr>
      <w:r>
        <w:rPr>
          <w:rFonts w:ascii="Arial" w:hAnsi="Arial" w:eastAsia="宋体" w:cs="Arial"/>
          <w:iCs/>
          <w:color w:val="auto"/>
          <w:sz w:val="36"/>
          <w:highlight w:val="none"/>
        </w:rPr>
      </w:r>
      <w:r/>
    </w:p>
    <w:p>
      <w:pPr>
        <w:rPr>
          <w:rFonts w:ascii="Arial" w:hAnsi="Arial" w:eastAsia="宋体" w:cs="Arial"/>
          <w:iCs/>
          <w:color w:val="auto"/>
          <w:sz w:val="36"/>
          <w:highlight w:val="none"/>
        </w:rPr>
      </w:pPr>
      <w:r>
        <w:rPr>
          <w:rFonts w:ascii="Arial" w:hAnsi="Arial" w:eastAsia="宋体" w:cs="Arial"/>
          <w:iCs/>
          <w:color w:val="auto"/>
          <w:sz w:val="36"/>
          <w:highlight w:val="none"/>
        </w:rPr>
      </w:r>
      <w:r/>
    </w:p>
    <w:p>
      <w:pPr>
        <w:rPr>
          <w:rFonts w:ascii="Arial" w:hAnsi="Arial" w:eastAsia="宋体" w:cs="Arial"/>
          <w:iCs/>
          <w:color w:val="auto"/>
          <w:sz w:val="36"/>
          <w:highlight w:val="none"/>
        </w:rPr>
      </w:pPr>
      <w:r>
        <w:rPr>
          <w:rFonts w:ascii="Arial" w:hAnsi="Arial" w:eastAsia="宋体" w:cs="Arial"/>
          <w:iCs/>
          <w:color w:val="auto"/>
          <w:sz w:val="36"/>
          <w:highlight w:val="none"/>
        </w:rPr>
      </w:r>
      <w:r/>
    </w:p>
    <w:p>
      <w:pPr>
        <w:rPr>
          <w:rFonts w:ascii="Arial" w:hAnsi="Arial" w:eastAsia="宋体" w:cs="Arial"/>
          <w:iCs/>
          <w:color w:val="auto"/>
          <w:sz w:val="36"/>
          <w:highlight w:val="none"/>
        </w:rPr>
      </w:pPr>
      <w:r>
        <w:rPr>
          <w:rFonts w:ascii="Arial" w:hAnsi="Arial" w:eastAsia="宋体" w:cs="Arial"/>
          <w:iCs/>
          <w:color w:val="auto"/>
          <w:sz w:val="36"/>
          <w:highlight w:val="none"/>
        </w:rPr>
      </w:r>
      <w:r/>
    </w:p>
    <w:p>
      <w:pPr>
        <w:rPr>
          <w:rFonts w:ascii="Arial" w:hAnsi="Arial" w:eastAsia="宋体" w:cs="Arial"/>
          <w:iCs/>
          <w:color w:val="auto"/>
          <w:sz w:val="36"/>
          <w:highlight w:val="none"/>
        </w:rPr>
      </w:pPr>
      <w:r>
        <w:rPr>
          <w:rFonts w:ascii="Arial" w:hAnsi="Arial" w:eastAsia="宋体" w:cs="Arial"/>
          <w:iCs/>
          <w:color w:val="auto"/>
          <w:sz w:val="36"/>
          <w:highlight w:val="none"/>
        </w:rPr>
      </w:r>
      <w:r/>
    </w:p>
    <w:p>
      <w:pPr>
        <w:rPr>
          <w:rFonts w:ascii="Arial" w:hAnsi="Arial" w:eastAsia="宋体" w:cs="Arial"/>
          <w:iCs/>
          <w:color w:val="auto"/>
          <w:sz w:val="36"/>
          <w:highlight w:val="none"/>
        </w:rPr>
      </w:pPr>
      <w:r>
        <w:rPr>
          <w:rFonts w:ascii="Arial" w:hAnsi="Arial" w:eastAsia="宋体" w:cs="Arial"/>
          <w:iCs/>
          <w:color w:val="auto"/>
          <w:sz w:val="36"/>
          <w:highlight w:val="none"/>
        </w:rPr>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ind w:firstLine="600"/>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687"/>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姓名</w:t>
            </w:r>
            <w:r/>
          </w:p>
        </w:tc>
        <w:tc>
          <w:tcPr>
            <w:tcW w:w="147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本项目拟担任职务</w:t>
            </w:r>
            <w:r/>
          </w:p>
        </w:tc>
        <w:tc>
          <w:tcPr>
            <w:tcW w:w="162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56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学历</w:t>
            </w:r>
            <w:r/>
          </w:p>
        </w:tc>
        <w:tc>
          <w:tcPr>
            <w:tcW w:w="1338"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年龄</w:t>
            </w:r>
            <w:r/>
          </w:p>
        </w:tc>
        <w:tc>
          <w:tcPr>
            <w:tcW w:w="149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26"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6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26"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6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38"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9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26"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6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38"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9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26"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6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38"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9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sz w:val="24"/>
          <w:szCs w:val="24"/>
          <w:highlight w:val="none"/>
        </w:rPr>
      </w:pPr>
      <w:r>
        <w:rPr>
          <w:rFonts w:hint="eastAsia"/>
          <w:color w:val="auto"/>
          <w:sz w:val="24"/>
          <w:szCs w:val="24"/>
          <w:highlight w:val="none"/>
        </w:rPr>
        <w:t xml:space="preserve">    </w:t>
      </w:r>
      <w:r>
        <w:rPr>
          <w:color w:val="auto"/>
          <w:sz w:val="24"/>
          <w:szCs w:val="24"/>
          <w:highlight w:val="none"/>
        </w:rPr>
        <w:t xml:space="preserve">注：表格格式不为固定格式，请各投标人根据招标文件具体内容自行编制。</w:t>
      </w:r>
      <w:r/>
    </w:p>
    <w:p>
      <w:pPr>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b/>
          <w:color w:val="auto"/>
          <w:sz w:val="36"/>
          <w:highlight w:val="none"/>
        </w:rPr>
        <w:outlineLvl w:val="1"/>
      </w:pPr>
      <w:r>
        <w:rPr>
          <w:rFonts w:hint="eastAsia" w:ascii="Arial" w:hAnsi="Arial" w:eastAsia="宋体" w:cs="Arial"/>
          <w:b/>
          <w:color w:val="auto"/>
          <w:sz w:val="36"/>
          <w:highlight w:val="none"/>
        </w:rPr>
        <w:t xml:space="preserve">十九、开标一览表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项目编号：      分包号：</w:t>
      </w:r>
      <w:r>
        <w:rPr>
          <w:rFonts w:ascii="宋体" w:hAnsi="宋体" w:eastAsia="宋体" w:cs="Times New Roman"/>
          <w:bCs/>
          <w:color w:val="auto"/>
          <w:sz w:val="24"/>
          <w:szCs w:val="24"/>
          <w:highlight w:val="none"/>
        </w:rPr>
        <w:t xml:space="preserve"> </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712"/>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w:t>
            </w:r>
            <w:r>
              <w:rPr>
                <w:rFonts w:hint="eastAsia" w:ascii="Times New Roman" w:hAnsi="Times New Roman" w:eastAsia="宋体" w:cs="Times New Roman"/>
                <w:color w:val="auto"/>
                <w:sz w:val="24"/>
                <w:szCs w:val="24"/>
                <w:highlight w:val="none"/>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47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投标人公章：</w:t>
      </w:r>
      <w:r>
        <w:rPr>
          <w:rFonts w:hint="eastAsia" w:ascii="Times New Roman" w:hAnsi="Times New Roman" w:eastAsia="宋体" w:cs="Times New Roman"/>
          <w:color w:val="auto"/>
          <w:sz w:val="24"/>
          <w:szCs w:val="24"/>
          <w:highlight w:val="none"/>
        </w:rPr>
        <w:t xml:space="preserve">             （电子签章）</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pStyle w:val="688"/>
        <w:rPr>
          <w:color w:val="auto"/>
          <w:highlight w:val="none"/>
        </w:rPr>
      </w:pP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致：</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包号：</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color w:val="auto"/>
          <w:sz w:val="24"/>
          <w:szCs w:val="24"/>
          <w:highlight w:val="none"/>
        </w:rPr>
      </w:pPr>
      <w:r>
        <w:rPr>
          <w:rFonts w:hint="eastAsia" w:ascii="宋体" w:hAnsi="宋体" w:eastAsia="宋体" w:cs="Times New Roman"/>
          <w:color w:val="auto"/>
          <w:sz w:val="24"/>
          <w:szCs w:val="24"/>
          <w:highlight w:val="none"/>
        </w:rPr>
        <w:t xml:space="preserve">具体要求详见第二章 投标人须知 八、询问与质疑。</w:t>
      </w:r>
      <w:r/>
    </w:p>
    <w:p>
      <w:pPr>
        <w:pStyle w:val="695"/>
        <w:rPr>
          <w:color w:val="auto"/>
          <w:highlight w:val="none"/>
        </w:rPr>
      </w:pPr>
      <w:r>
        <w:rPr>
          <w:color w:val="auto"/>
          <w:highlight w:val="none"/>
        </w:rPr>
      </w:r>
      <w:r/>
    </w:p>
    <w:p>
      <w:pPr>
        <w:ind w:firstLine="480"/>
        <w:jc w:val="left"/>
        <w:spacing w:line="500" w:lineRule="exact"/>
        <w:widowControl/>
        <w:rPr>
          <w:color w:val="auto"/>
          <w:sz w:val="24"/>
          <w:szCs w:val="24"/>
          <w:highlight w:val="none"/>
        </w:rPr>
      </w:pPr>
      <w:r>
        <w:rPr>
          <w:color w:val="auto"/>
          <w:sz w:val="24"/>
          <w:szCs w:val="24"/>
          <w:highlight w:val="none"/>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方正魏碑_GBK">
    <w:panose1 w:val="020B0503020202020204"/>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MS Mincho">
    <w:panose1 w:val="020206030504050903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center"/>
    </w:pPr>
    <w:r/>
    <w:r/>
  </w:p>
  <w:p>
    <w:pPr>
      <w:pStyle w:val="7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700"/>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7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next w:val="688"/>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77">
    <w:name w:val="Heading 1"/>
    <w:basedOn w:val="676"/>
    <w:next w:val="676"/>
    <w:link w:val="869"/>
    <w:uiPriority w:val="9"/>
    <w:qFormat/>
    <w:pPr>
      <w:keepLines/>
      <w:keepNext/>
      <w:spacing w:before="340" w:after="330" w:line="578" w:lineRule="auto"/>
      <w:outlineLvl w:val="0"/>
    </w:pPr>
    <w:rPr>
      <w:b/>
      <w:bCs/>
      <w:sz w:val="44"/>
      <w:szCs w:val="44"/>
    </w:rPr>
  </w:style>
  <w:style w:type="paragraph" w:styleId="678">
    <w:name w:val="Heading 2"/>
    <w:basedOn w:val="676"/>
    <w:next w:val="676"/>
    <w:link w:val="87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9">
    <w:name w:val="Heading 3"/>
    <w:basedOn w:val="676"/>
    <w:next w:val="676"/>
    <w:link w:val="872"/>
    <w:uiPriority w:val="9"/>
    <w:unhideWhenUsed/>
    <w:qFormat/>
    <w:pPr>
      <w:keepLines/>
      <w:keepNext/>
      <w:spacing w:before="260" w:after="260" w:line="416" w:lineRule="auto"/>
      <w:outlineLvl w:val="2"/>
    </w:pPr>
    <w:rPr>
      <w:b/>
      <w:bCs/>
      <w:sz w:val="32"/>
      <w:szCs w:val="32"/>
    </w:rPr>
  </w:style>
  <w:style w:type="paragraph" w:styleId="680">
    <w:name w:val="Heading 4"/>
    <w:basedOn w:val="676"/>
    <w:next w:val="676"/>
    <w:link w:val="722"/>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23"/>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24"/>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26"/>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27"/>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customStyle="1">
    <w:name w:val="Default"/>
    <w:link w:val="876"/>
    <w:uiPriority w:val="99"/>
    <w:qFormat/>
    <w:pPr>
      <w:widowControl w:val="off"/>
    </w:pPr>
    <w:rPr>
      <w:rFonts w:hint="default" w:ascii="MS Mincho" w:hAnsi="Calibri" w:eastAsia="宋体" w:cs="Times New Roman"/>
      <w:color w:val="000000"/>
      <w:sz w:val="21"/>
      <w:szCs w:val="24"/>
      <w:lang w:val="en-US" w:eastAsia="zh-CN" w:bidi="ar-SA"/>
    </w:rPr>
  </w:style>
  <w:style w:type="paragraph" w:styleId="689">
    <w:name w:val="toc 7"/>
    <w:basedOn w:val="676"/>
    <w:next w:val="676"/>
    <w:uiPriority w:val="39"/>
    <w:unhideWhenUsed/>
    <w:qFormat/>
    <w:pPr>
      <w:ind w:left="1701" w:right="0" w:firstLine="0"/>
      <w:spacing w:after="57"/>
    </w:pPr>
  </w:style>
  <w:style w:type="paragraph" w:styleId="690">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1">
    <w:name w:val="Document Map"/>
    <w:basedOn w:val="676"/>
    <w:link w:val="870"/>
    <w:uiPriority w:val="99"/>
    <w:semiHidden/>
    <w:unhideWhenUsed/>
    <w:qFormat/>
    <w:rPr>
      <w:rFonts w:ascii="宋体" w:eastAsia="宋体"/>
      <w:sz w:val="18"/>
      <w:szCs w:val="18"/>
    </w:rPr>
  </w:style>
  <w:style w:type="paragraph" w:styleId="692">
    <w:name w:val="annotation text"/>
    <w:basedOn w:val="676"/>
    <w:link w:val="874"/>
    <w:uiPriority w:val="0"/>
    <w:qFormat/>
    <w:pPr>
      <w:ind w:firstLine="922"/>
      <w:jc w:val="left"/>
      <w:spacing w:line="360" w:lineRule="auto"/>
    </w:pPr>
    <w:rPr>
      <w:rFonts w:ascii="Times New Roman" w:hAnsi="Times New Roman" w:eastAsia="宋体" w:cs="Times New Roman"/>
      <w:szCs w:val="24"/>
    </w:rPr>
  </w:style>
  <w:style w:type="paragraph" w:styleId="693">
    <w:name w:val="toc 5"/>
    <w:basedOn w:val="676"/>
    <w:next w:val="676"/>
    <w:uiPriority w:val="39"/>
    <w:unhideWhenUsed/>
    <w:qFormat/>
    <w:pPr>
      <w:ind w:left="1134" w:right="0" w:firstLine="0"/>
      <w:spacing w:after="57"/>
    </w:pPr>
  </w:style>
  <w:style w:type="paragraph" w:styleId="694">
    <w:name w:val="toc 3"/>
    <w:basedOn w:val="676"/>
    <w:next w:val="676"/>
    <w:uiPriority w:val="39"/>
    <w:unhideWhenUsed/>
    <w:qFormat/>
    <w:pPr>
      <w:ind w:left="567" w:right="0" w:firstLine="0"/>
      <w:spacing w:after="57"/>
    </w:pPr>
  </w:style>
  <w:style w:type="paragraph" w:styleId="695">
    <w:name w:val="Plain Text"/>
    <w:basedOn w:val="676"/>
    <w:link w:val="877"/>
    <w:uiPriority w:val="0"/>
    <w:qFormat/>
    <w:rPr>
      <w:rFonts w:ascii="宋体" w:hAnsi="Courier New" w:eastAsia="宋体" w:cs="Times New Roman"/>
      <w:szCs w:val="20"/>
    </w:rPr>
  </w:style>
  <w:style w:type="paragraph" w:styleId="696">
    <w:name w:val="toc 8"/>
    <w:basedOn w:val="676"/>
    <w:next w:val="676"/>
    <w:uiPriority w:val="39"/>
    <w:unhideWhenUsed/>
    <w:qFormat/>
    <w:pPr>
      <w:ind w:left="1984" w:right="0" w:firstLine="0"/>
      <w:spacing w:after="57"/>
    </w:pPr>
  </w:style>
  <w:style w:type="paragraph" w:styleId="697">
    <w:name w:val="Date"/>
    <w:basedOn w:val="676"/>
    <w:next w:val="676"/>
    <w:link w:val="873"/>
    <w:uiPriority w:val="99"/>
    <w:semiHidden/>
    <w:unhideWhenUsed/>
    <w:qFormat/>
    <w:pPr>
      <w:ind w:left="100"/>
    </w:pPr>
  </w:style>
  <w:style w:type="paragraph" w:styleId="698">
    <w:name w:val="endnote text"/>
    <w:basedOn w:val="676"/>
    <w:link w:val="865"/>
    <w:uiPriority w:val="99"/>
    <w:semiHidden/>
    <w:unhideWhenUsed/>
    <w:qFormat/>
    <w:pPr>
      <w:spacing w:after="0" w:line="240" w:lineRule="auto"/>
    </w:pPr>
    <w:rPr>
      <w:sz w:val="20"/>
    </w:rPr>
  </w:style>
  <w:style w:type="paragraph" w:styleId="699">
    <w:name w:val="Balloon Text"/>
    <w:basedOn w:val="676"/>
    <w:link w:val="875"/>
    <w:uiPriority w:val="99"/>
    <w:semiHidden/>
    <w:unhideWhenUsed/>
    <w:qFormat/>
    <w:rPr>
      <w:sz w:val="18"/>
      <w:szCs w:val="18"/>
    </w:rPr>
  </w:style>
  <w:style w:type="paragraph" w:styleId="700">
    <w:name w:val="Footer"/>
    <w:basedOn w:val="676"/>
    <w:link w:val="868"/>
    <w:uiPriority w:val="99"/>
    <w:unhideWhenUsed/>
    <w:qFormat/>
    <w:pPr>
      <w:jc w:val="left"/>
      <w:tabs>
        <w:tab w:val="center" w:pos="4153" w:leader="none"/>
        <w:tab w:val="right" w:pos="8306" w:leader="none"/>
      </w:tabs>
    </w:pPr>
    <w:rPr>
      <w:sz w:val="18"/>
      <w:szCs w:val="18"/>
    </w:rPr>
  </w:style>
  <w:style w:type="paragraph" w:styleId="701">
    <w:name w:val="Header"/>
    <w:basedOn w:val="676"/>
    <w:link w:val="86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76"/>
    <w:next w:val="676"/>
    <w:uiPriority w:val="39"/>
    <w:unhideWhenUsed/>
    <w:qFormat/>
    <w:pPr>
      <w:jc w:val="center"/>
      <w:spacing w:line="360" w:lineRule="auto"/>
      <w:tabs>
        <w:tab w:val="right" w:pos="9628" w:leader="dot"/>
      </w:tabs>
    </w:pPr>
    <w:rPr>
      <w:sz w:val="32"/>
    </w:rPr>
  </w:style>
  <w:style w:type="paragraph" w:styleId="703">
    <w:name w:val="toc 4"/>
    <w:basedOn w:val="676"/>
    <w:next w:val="676"/>
    <w:uiPriority w:val="39"/>
    <w:unhideWhenUsed/>
    <w:qFormat/>
    <w:pPr>
      <w:ind w:left="850" w:right="0" w:firstLine="0"/>
      <w:spacing w:after="57"/>
    </w:pPr>
  </w:style>
  <w:style w:type="paragraph" w:styleId="704">
    <w:name w:val="Subtitle"/>
    <w:basedOn w:val="676"/>
    <w:next w:val="676"/>
    <w:link w:val="731"/>
    <w:uiPriority w:val="11"/>
    <w:qFormat/>
    <w:pPr>
      <w:spacing w:before="200" w:after="200"/>
    </w:pPr>
    <w:rPr>
      <w:sz w:val="24"/>
      <w:szCs w:val="24"/>
    </w:rPr>
  </w:style>
  <w:style w:type="paragraph" w:styleId="705">
    <w:name w:val="footnote text"/>
    <w:basedOn w:val="676"/>
    <w:link w:val="864"/>
    <w:uiPriority w:val="99"/>
    <w:semiHidden/>
    <w:unhideWhenUsed/>
    <w:qFormat/>
    <w:pPr>
      <w:spacing w:after="40" w:line="240" w:lineRule="auto"/>
    </w:pPr>
    <w:rPr>
      <w:sz w:val="18"/>
    </w:rPr>
  </w:style>
  <w:style w:type="paragraph" w:styleId="706">
    <w:name w:val="toc 6"/>
    <w:basedOn w:val="676"/>
    <w:next w:val="676"/>
    <w:uiPriority w:val="39"/>
    <w:unhideWhenUsed/>
    <w:qFormat/>
    <w:pPr>
      <w:ind w:left="1417" w:right="0" w:firstLine="0"/>
      <w:spacing w:after="57"/>
    </w:pPr>
  </w:style>
  <w:style w:type="paragraph" w:styleId="707">
    <w:name w:val="table of figures"/>
    <w:basedOn w:val="676"/>
    <w:next w:val="676"/>
    <w:uiPriority w:val="99"/>
    <w:unhideWhenUsed/>
    <w:qFormat/>
    <w:pPr>
      <w:spacing w:after="0" w:afterAutospacing="0"/>
    </w:pPr>
  </w:style>
  <w:style w:type="paragraph" w:styleId="708">
    <w:name w:val="toc 2"/>
    <w:basedOn w:val="676"/>
    <w:next w:val="676"/>
    <w:uiPriority w:val="39"/>
    <w:unhideWhenUsed/>
    <w:qFormat/>
    <w:pPr>
      <w:ind w:left="283" w:right="0" w:firstLine="0"/>
      <w:spacing w:after="57"/>
    </w:pPr>
  </w:style>
  <w:style w:type="paragraph" w:styleId="709">
    <w:name w:val="toc 9"/>
    <w:basedOn w:val="676"/>
    <w:next w:val="676"/>
    <w:uiPriority w:val="39"/>
    <w:unhideWhenUsed/>
    <w:qFormat/>
    <w:pPr>
      <w:ind w:left="2268" w:right="0" w:firstLine="0"/>
      <w:spacing w:after="57"/>
    </w:pPr>
  </w:style>
  <w:style w:type="paragraph" w:styleId="710">
    <w:name w:val="Normal (Web)"/>
    <w:basedOn w:val="676"/>
    <w:uiPriority w:val="99"/>
    <w:semiHidden/>
    <w:unhideWhenUsed/>
    <w:qFormat/>
    <w:pPr>
      <w:ind w:left="0" w:right="0"/>
      <w:jc w:val="left"/>
      <w:spacing w:before="0" w:beforeAutospacing="1" w:after="0" w:afterAutospacing="1"/>
    </w:pPr>
    <w:rPr>
      <w:sz w:val="24"/>
      <w:lang w:val="en-US" w:eastAsia="zh-CN" w:bidi="ar"/>
    </w:rPr>
  </w:style>
  <w:style w:type="paragraph" w:styleId="711">
    <w:name w:val="Title"/>
    <w:basedOn w:val="676"/>
    <w:next w:val="676"/>
    <w:link w:val="730"/>
    <w:uiPriority w:val="10"/>
    <w:qFormat/>
    <w:pPr>
      <w:contextualSpacing/>
      <w:spacing w:before="300" w:after="200"/>
    </w:pPr>
    <w:rPr>
      <w:sz w:val="48"/>
      <w:szCs w:val="48"/>
    </w:rPr>
  </w:style>
  <w:style w:type="table" w:styleId="712">
    <w:name w:val="Table Grid"/>
    <w:basedOn w:val="6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Strong"/>
    <w:basedOn w:val="686"/>
    <w:uiPriority w:val="22"/>
    <w:qFormat/>
    <w:rPr>
      <w:b/>
    </w:rPr>
  </w:style>
  <w:style w:type="character" w:styleId="714">
    <w:name w:val="endnote reference"/>
    <w:basedOn w:val="686"/>
    <w:uiPriority w:val="99"/>
    <w:semiHidden/>
    <w:unhideWhenUsed/>
    <w:qFormat/>
    <w:rPr>
      <w:vertAlign w:val="superscript"/>
    </w:rPr>
  </w:style>
  <w:style w:type="character" w:styleId="715">
    <w:name w:val="Emphasis"/>
    <w:uiPriority w:val="0"/>
    <w:qFormat/>
    <w:rPr>
      <w:i/>
    </w:rPr>
  </w:style>
  <w:style w:type="character" w:styleId="716">
    <w:name w:val="Hyperlink"/>
    <w:basedOn w:val="686"/>
    <w:uiPriority w:val="99"/>
    <w:qFormat/>
    <w:rPr>
      <w:color w:val="0000ff"/>
      <w:u w:val="none"/>
    </w:rPr>
  </w:style>
  <w:style w:type="character" w:styleId="717">
    <w:name w:val="annotation reference"/>
    <w:uiPriority w:val="0"/>
    <w:qFormat/>
    <w:rPr>
      <w:sz w:val="21"/>
      <w:szCs w:val="21"/>
    </w:rPr>
  </w:style>
  <w:style w:type="character" w:styleId="718">
    <w:name w:val="footnote reference"/>
    <w:basedOn w:val="686"/>
    <w:uiPriority w:val="99"/>
    <w:unhideWhenUsed/>
    <w:qFormat/>
    <w:rPr>
      <w:vertAlign w:val="superscript"/>
    </w:rPr>
  </w:style>
  <w:style w:type="character" w:styleId="719" w:customStyle="1">
    <w:name w:val="Heading 1 Char"/>
    <w:basedOn w:val="686"/>
    <w:uiPriority w:val="9"/>
    <w:qFormat/>
    <w:rPr>
      <w:rFonts w:ascii="Arial" w:hAnsi="Arial" w:eastAsia="Arial" w:cs="Arial"/>
      <w:sz w:val="40"/>
      <w:szCs w:val="40"/>
    </w:rPr>
  </w:style>
  <w:style w:type="character" w:styleId="720" w:customStyle="1">
    <w:name w:val="Heading 2 Char"/>
    <w:basedOn w:val="686"/>
    <w:uiPriority w:val="9"/>
    <w:qFormat/>
    <w:rPr>
      <w:rFonts w:ascii="Arial" w:hAnsi="Arial" w:eastAsia="Arial" w:cs="Arial"/>
      <w:sz w:val="34"/>
    </w:rPr>
  </w:style>
  <w:style w:type="character" w:styleId="721" w:customStyle="1">
    <w:name w:val="Heading 3 Char"/>
    <w:basedOn w:val="686"/>
    <w:uiPriority w:val="9"/>
    <w:qFormat/>
    <w:rPr>
      <w:rFonts w:ascii="Arial" w:hAnsi="Arial" w:eastAsia="Arial" w:cs="Arial"/>
      <w:sz w:val="30"/>
      <w:szCs w:val="30"/>
    </w:rPr>
  </w:style>
  <w:style w:type="character" w:styleId="722" w:customStyle="1">
    <w:name w:val="Heading 4 Char"/>
    <w:basedOn w:val="686"/>
    <w:link w:val="680"/>
    <w:uiPriority w:val="9"/>
    <w:qFormat/>
    <w:rPr>
      <w:rFonts w:ascii="Arial" w:hAnsi="Arial" w:eastAsia="Arial" w:cs="Arial"/>
      <w:b/>
      <w:bCs/>
      <w:sz w:val="26"/>
      <w:szCs w:val="26"/>
    </w:rPr>
  </w:style>
  <w:style w:type="character" w:styleId="723" w:customStyle="1">
    <w:name w:val="Heading 5 Char"/>
    <w:basedOn w:val="686"/>
    <w:link w:val="681"/>
    <w:uiPriority w:val="9"/>
    <w:qFormat/>
    <w:rPr>
      <w:rFonts w:ascii="Arial" w:hAnsi="Arial" w:eastAsia="Arial" w:cs="Arial"/>
      <w:b/>
      <w:bCs/>
      <w:sz w:val="24"/>
      <w:szCs w:val="24"/>
    </w:rPr>
  </w:style>
  <w:style w:type="character" w:styleId="724" w:customStyle="1">
    <w:name w:val="Heading 6 Char"/>
    <w:basedOn w:val="686"/>
    <w:link w:val="682"/>
    <w:uiPriority w:val="9"/>
    <w:qFormat/>
    <w:rPr>
      <w:rFonts w:ascii="Arial" w:hAnsi="Arial" w:eastAsia="Arial" w:cs="Arial"/>
      <w:b/>
      <w:bCs/>
      <w:sz w:val="22"/>
      <w:szCs w:val="22"/>
    </w:rPr>
  </w:style>
  <w:style w:type="character" w:styleId="725" w:customStyle="1">
    <w:name w:val="Heading 7 Char"/>
    <w:basedOn w:val="686"/>
    <w:link w:val="683"/>
    <w:uiPriority w:val="9"/>
    <w:qFormat/>
    <w:rPr>
      <w:rFonts w:ascii="Arial" w:hAnsi="Arial" w:eastAsia="Arial" w:cs="Arial"/>
      <w:b/>
      <w:bCs/>
      <w:i/>
      <w:iCs/>
      <w:sz w:val="22"/>
      <w:szCs w:val="22"/>
    </w:rPr>
  </w:style>
  <w:style w:type="character" w:styleId="726" w:customStyle="1">
    <w:name w:val="Heading 8 Char"/>
    <w:basedOn w:val="686"/>
    <w:link w:val="684"/>
    <w:uiPriority w:val="9"/>
    <w:qFormat/>
    <w:rPr>
      <w:rFonts w:ascii="Arial" w:hAnsi="Arial" w:eastAsia="Arial" w:cs="Arial"/>
      <w:i/>
      <w:iCs/>
      <w:sz w:val="22"/>
      <w:szCs w:val="22"/>
    </w:rPr>
  </w:style>
  <w:style w:type="character" w:styleId="727" w:customStyle="1">
    <w:name w:val="Heading 9 Char"/>
    <w:basedOn w:val="686"/>
    <w:link w:val="685"/>
    <w:uiPriority w:val="9"/>
    <w:qFormat/>
    <w:rPr>
      <w:rFonts w:ascii="Arial" w:hAnsi="Arial" w:eastAsia="Arial" w:cs="Arial"/>
      <w:i/>
      <w:iCs/>
      <w:sz w:val="21"/>
      <w:szCs w:val="21"/>
    </w:rPr>
  </w:style>
  <w:style w:type="paragraph" w:styleId="728">
    <w:name w:val="List Paragraph"/>
    <w:basedOn w:val="676"/>
    <w:uiPriority w:val="34"/>
    <w:qFormat/>
    <w:pPr>
      <w:contextualSpacing/>
      <w:ind w:left="720"/>
    </w:pPr>
  </w:style>
  <w:style w:type="paragraph" w:styleId="729">
    <w:name w:val="No Spacing"/>
    <w:uiPriority w:val="1"/>
    <w:qFormat/>
    <w:pPr>
      <w:spacing w:before="0" w:after="0" w:line="240" w:lineRule="auto"/>
    </w:pPr>
    <w:rPr>
      <w:rFonts w:hint="default" w:ascii="Times New Roman" w:hAnsi="Times New Roman" w:eastAsia="宋体" w:cs="Times New Roman"/>
    </w:rPr>
  </w:style>
  <w:style w:type="character" w:styleId="730" w:customStyle="1">
    <w:name w:val="Title Char"/>
    <w:basedOn w:val="686"/>
    <w:link w:val="711"/>
    <w:uiPriority w:val="10"/>
    <w:qFormat/>
    <w:rPr>
      <w:sz w:val="48"/>
      <w:szCs w:val="48"/>
    </w:rPr>
  </w:style>
  <w:style w:type="character" w:styleId="731" w:customStyle="1">
    <w:name w:val="Subtitle Char"/>
    <w:basedOn w:val="686"/>
    <w:link w:val="704"/>
    <w:uiPriority w:val="11"/>
    <w:qFormat/>
    <w:rPr>
      <w:sz w:val="24"/>
      <w:szCs w:val="24"/>
    </w:rPr>
  </w:style>
  <w:style w:type="paragraph" w:styleId="732">
    <w:name w:val="Quote"/>
    <w:basedOn w:val="676"/>
    <w:next w:val="676"/>
    <w:link w:val="733"/>
    <w:uiPriority w:val="29"/>
    <w:qFormat/>
    <w:pPr>
      <w:ind w:left="720" w:right="720"/>
    </w:pPr>
    <w:rPr>
      <w:i/>
    </w:rPr>
  </w:style>
  <w:style w:type="character" w:styleId="733" w:customStyle="1">
    <w:name w:val="Quote Char"/>
    <w:link w:val="732"/>
    <w:uiPriority w:val="29"/>
    <w:qFormat/>
    <w:rPr>
      <w:i/>
    </w:rPr>
  </w:style>
  <w:style w:type="paragraph" w:styleId="734">
    <w:name w:val="Intense Quote"/>
    <w:basedOn w:val="676"/>
    <w:next w:val="67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Intense Quote Char"/>
    <w:link w:val="734"/>
    <w:uiPriority w:val="30"/>
    <w:qFormat/>
    <w:rPr>
      <w:i/>
    </w:rPr>
  </w:style>
  <w:style w:type="character" w:styleId="736" w:customStyle="1">
    <w:name w:val="Header Char"/>
    <w:basedOn w:val="686"/>
    <w:uiPriority w:val="99"/>
    <w:qFormat/>
  </w:style>
  <w:style w:type="character" w:styleId="737" w:customStyle="1">
    <w:name w:val="Footer Char"/>
    <w:basedOn w:val="686"/>
    <w:uiPriority w:val="99"/>
    <w:qFormat/>
  </w:style>
  <w:style w:type="character" w:styleId="738" w:customStyle="1">
    <w:name w:val="Caption Char"/>
    <w:uiPriority w:val="99"/>
    <w:qFormat/>
  </w:style>
  <w:style w:type="table" w:styleId="739" w:customStyle="1">
    <w:name w:val="Table Grid Light"/>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basedOn w:val="6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basedOn w:val="6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basedOn w:val="6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basedOn w:val="6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6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basedOn w:val="68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8" w:customStyle="1">
    <w:name w:val="Grid Table 4 - Accent 2"/>
    <w:basedOn w:val="68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9" w:customStyle="1">
    <w:name w:val="Grid Table 4 - Accent 3"/>
    <w:basedOn w:val="68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0" w:customStyle="1">
    <w:name w:val="Grid Table 4 - Accent 4"/>
    <w:basedOn w:val="68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basedOn w:val="68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basedOn w:val="68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customStyle="1">
    <w:name w:val="Grid Table 5 Dark"/>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basedOn w:val="6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2" w:customStyle="1">
    <w:name w:val="Grid Table 6 Colorful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3" w:customStyle="1">
    <w:name w:val="Grid Table 6 Colorful - Accent 3"/>
    <w:basedOn w:val="6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4" w:customStyle="1">
    <w:name w:val="Grid Table 6 Colorful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5" w:customStyle="1">
    <w:name w:val="Grid Table 6 Colorful - Accent 5"/>
    <w:basedOn w:val="6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6 Colorful - Accent 6"/>
    <w:basedOn w:val="6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basedOn w:val="6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basedOn w:val="6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basedOn w:val="6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basedOn w:val="6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basedOn w:val="6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basedOn w:val="6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basedOn w:val="68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basedOn w:val="68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basedOn w:val="68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basedOn w:val="68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basedOn w:val="68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basedOn w:val="68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basedOn w:val="6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basedOn w:val="6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4" w:customStyle="1">
    <w:name w:val="List Table 2 - Accent 3"/>
    <w:basedOn w:val="6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basedOn w:val="6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basedOn w:val="6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basedOn w:val="6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basedOn w:val="6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1" w:customStyle="1">
    <w:name w:val="List Table 3 - Accent 3"/>
    <w:basedOn w:val="6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2" w:customStyle="1">
    <w:name w:val="List Table 3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basedOn w:val="6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basedOn w:val="6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basedOn w:val="6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basedOn w:val="6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basedOn w:val="6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basedOn w:val="6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basedOn w:val="6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basedOn w:val="6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basedOn w:val="6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basedOn w:val="68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basedOn w:val="68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basedOn w:val="68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basedOn w:val="68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basedOn w:val="68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basedOn w:val="6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basedOn w:val="68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1" w:customStyle="1">
    <w:name w:val="List Table 6 Colorful - Accent 2"/>
    <w:basedOn w:val="68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2" w:customStyle="1">
    <w:name w:val="List Table 6 Colorful - Accent 3"/>
    <w:basedOn w:val="68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3" w:customStyle="1">
    <w:name w:val="List Table 6 Colorful - Accent 4"/>
    <w:basedOn w:val="68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4" w:customStyle="1">
    <w:name w:val="List Table 6 Colorful - Accent 5"/>
    <w:basedOn w:val="68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5" w:customStyle="1">
    <w:name w:val="List Table 6 Colorful - Accent 6"/>
    <w:basedOn w:val="68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6" w:customStyle="1">
    <w:name w:val="List Table 7 Colorful"/>
    <w:basedOn w:val="6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basedOn w:val="68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basedOn w:val="68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basedOn w:val="68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basedOn w:val="68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basedOn w:val="68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basedOn w:val="68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Lined - Accent 2"/>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Lined - Accent 3"/>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Lined - Accent 4"/>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basedOn w:val="6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basedOn w:val="6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Bordered &amp; Lined - Accent 2"/>
    <w:basedOn w:val="68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Bordered &amp; Lined - Accent 3"/>
    <w:basedOn w:val="68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Bordered &amp; Lined - Accent 4"/>
    <w:basedOn w:val="68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basedOn w:val="68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basedOn w:val="68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basedOn w:val="6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basedOn w:val="6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0" w:customStyle="1">
    <w:name w:val="Bordered - Accent 3"/>
    <w:basedOn w:val="6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1" w:customStyle="1">
    <w:name w:val="Bordered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basedOn w:val="6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basedOn w:val="6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4" w:customStyle="1">
    <w:name w:val="Footnote Text Char"/>
    <w:link w:val="705"/>
    <w:uiPriority w:val="99"/>
    <w:qFormat/>
    <w:rPr>
      <w:sz w:val="18"/>
    </w:rPr>
  </w:style>
  <w:style w:type="character" w:styleId="865" w:customStyle="1">
    <w:name w:val="Endnote Text Char"/>
    <w:link w:val="698"/>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character" w:styleId="867" w:customStyle="1">
    <w:name w:val="页眉 Char"/>
    <w:basedOn w:val="686"/>
    <w:link w:val="701"/>
    <w:uiPriority w:val="99"/>
    <w:semiHidden/>
    <w:qFormat/>
    <w:rPr>
      <w:sz w:val="18"/>
      <w:szCs w:val="18"/>
    </w:rPr>
  </w:style>
  <w:style w:type="character" w:styleId="868" w:customStyle="1">
    <w:name w:val="页脚 Char"/>
    <w:basedOn w:val="686"/>
    <w:link w:val="700"/>
    <w:uiPriority w:val="99"/>
    <w:qFormat/>
    <w:rPr>
      <w:sz w:val="18"/>
      <w:szCs w:val="18"/>
    </w:rPr>
  </w:style>
  <w:style w:type="character" w:styleId="869" w:customStyle="1">
    <w:name w:val="标题 1 Char"/>
    <w:basedOn w:val="686"/>
    <w:link w:val="677"/>
    <w:uiPriority w:val="9"/>
    <w:qFormat/>
    <w:rPr>
      <w:b/>
      <w:bCs/>
      <w:sz w:val="44"/>
      <w:szCs w:val="44"/>
    </w:rPr>
  </w:style>
  <w:style w:type="character" w:styleId="870" w:customStyle="1">
    <w:name w:val="文档结构图 Char"/>
    <w:basedOn w:val="686"/>
    <w:link w:val="691"/>
    <w:uiPriority w:val="99"/>
    <w:semiHidden/>
    <w:qFormat/>
    <w:rPr>
      <w:rFonts w:ascii="宋体" w:eastAsia="宋体"/>
      <w:sz w:val="18"/>
      <w:szCs w:val="18"/>
    </w:rPr>
  </w:style>
  <w:style w:type="character" w:styleId="871" w:customStyle="1">
    <w:name w:val="标题 2 Char"/>
    <w:basedOn w:val="686"/>
    <w:link w:val="678"/>
    <w:uiPriority w:val="9"/>
    <w:qFormat/>
    <w:rPr>
      <w:rFonts w:asciiTheme="majorHAnsi" w:hAnsiTheme="majorHAnsi" w:eastAsiaTheme="majorEastAsia" w:cstheme="majorBidi"/>
      <w:b/>
      <w:bCs/>
      <w:sz w:val="32"/>
      <w:szCs w:val="32"/>
    </w:rPr>
  </w:style>
  <w:style w:type="character" w:styleId="872" w:customStyle="1">
    <w:name w:val="标题 3 Char"/>
    <w:basedOn w:val="686"/>
    <w:link w:val="679"/>
    <w:uiPriority w:val="9"/>
    <w:qFormat/>
    <w:rPr>
      <w:b/>
      <w:bCs/>
      <w:sz w:val="32"/>
      <w:szCs w:val="32"/>
    </w:rPr>
  </w:style>
  <w:style w:type="character" w:styleId="873" w:customStyle="1">
    <w:name w:val="日期 Char"/>
    <w:basedOn w:val="686"/>
    <w:link w:val="697"/>
    <w:uiPriority w:val="99"/>
    <w:semiHidden/>
    <w:qFormat/>
  </w:style>
  <w:style w:type="character" w:styleId="874" w:customStyle="1">
    <w:name w:val="批注文字 Char"/>
    <w:basedOn w:val="686"/>
    <w:link w:val="692"/>
    <w:uiPriority w:val="0"/>
    <w:qFormat/>
    <w:rPr>
      <w:rFonts w:ascii="Times New Roman" w:hAnsi="Times New Roman" w:eastAsia="宋体" w:cs="Times New Roman"/>
      <w:szCs w:val="24"/>
    </w:rPr>
  </w:style>
  <w:style w:type="character" w:styleId="875" w:customStyle="1">
    <w:name w:val="批注框文本 Char"/>
    <w:basedOn w:val="686"/>
    <w:link w:val="699"/>
    <w:uiPriority w:val="99"/>
    <w:semiHidden/>
    <w:qFormat/>
    <w:rPr>
      <w:sz w:val="18"/>
      <w:szCs w:val="18"/>
    </w:rPr>
  </w:style>
  <w:style w:type="character" w:styleId="876" w:customStyle="1">
    <w:name w:val="Default Char"/>
    <w:link w:val="688"/>
    <w:uiPriority w:val="99"/>
    <w:qFormat/>
    <w:rPr>
      <w:rFonts w:ascii="MS Mincho" w:hAnsi="Calibri" w:eastAsia="宋体" w:cs="Times New Roman"/>
      <w:color w:val="000000"/>
      <w:szCs w:val="24"/>
    </w:rPr>
  </w:style>
  <w:style w:type="character" w:styleId="877" w:customStyle="1">
    <w:name w:val="纯文本 Char"/>
    <w:basedOn w:val="686"/>
    <w:link w:val="695"/>
    <w:uiPriority w:val="0"/>
    <w:qFormat/>
    <w:rPr>
      <w:rFonts w:ascii="宋体" w:hAnsi="Courier New" w:eastAsia="宋体" w:cs="Times New Roman"/>
      <w:szCs w:val="20"/>
    </w:rPr>
  </w:style>
  <w:style w:type="paragraph" w:styleId="878" w:customStyle="1">
    <w:name w:val="纯文本1"/>
    <w:basedOn w:val="676"/>
    <w:uiPriority w:val="0"/>
    <w:qFormat/>
    <w:rPr>
      <w:rFonts w:ascii="宋体" w:hAnsi="Courier New" w:eastAsia="宋体" w:cs="Times New Roman"/>
      <w:szCs w:val="20"/>
    </w:rPr>
  </w:style>
  <w:style w:type="paragraph" w:styleId="879" w:customStyle="1">
    <w:name w:val="BodyText1I2"/>
    <w:basedOn w:val="676"/>
    <w:uiPriority w:val="0"/>
    <w:qFormat/>
    <w:pPr>
      <w:ind w:left="420" w:firstLine="420"/>
      <w:spacing w:after="120"/>
    </w:pPr>
  </w:style>
  <w:style w:type="character" w:styleId="880" w:customStyle="1">
    <w:name w:val="NormalCharacter"/>
    <w:uiPriority w:val="0"/>
    <w:qFormat/>
  </w:style>
  <w:style w:type="paragraph" w:styleId="881" w:customStyle="1">
    <w:name w:val="普通(网站)1"/>
    <w:basedOn w:val="676"/>
    <w:uiPriority w:val="0"/>
    <w:qFormat/>
    <w:rPr>
      <w:sz w:val="24"/>
    </w:rPr>
  </w:style>
  <w:style w:type="paragraph" w:styleId="882" w:customStyle="1">
    <w:name w:val="标题 31"/>
    <w:basedOn w:val="676"/>
    <w:next w:val="676"/>
    <w:uiPriority w:val="9"/>
    <w:qFormat/>
    <w:pPr>
      <w:keepLines/>
      <w:keepNext/>
      <w:spacing w:before="260" w:after="260" w:line="416" w:lineRule="auto"/>
      <w:outlineLvl w:val="2"/>
    </w:pPr>
    <w:rPr>
      <w:b/>
      <w:bCs/>
      <w:sz w:val="32"/>
      <w:szCs w:val="32"/>
    </w:rPr>
  </w:style>
  <w:style w:type="table" w:styleId="883" w:customStyle="1">
    <w:name w:val="Table Normal"/>
    <w:uiPriority w:val="0"/>
    <w:semiHidden/>
    <w:unhideWhenUsed/>
    <w:qFormat/>
    <w:tblPr>
      <w:tblCellMar>
        <w:left w:w="0" w:type="dxa"/>
        <w:top w:w="0" w:type="dxa"/>
        <w:right w:w="0" w:type="dxa"/>
        <w:bottom w:w="0" w:type="dxa"/>
      </w:tblCellMar>
    </w:tblPr>
  </w:style>
  <w:style w:type="numbering" w:styleId="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刘承杰</cp:lastModifiedBy>
  <cp:revision>69</cp:revision>
  <dcterms:created xsi:type="dcterms:W3CDTF">2024-01-04T03:50:00Z</dcterms:created>
  <dcterms:modified xsi:type="dcterms:W3CDTF">2026-10-26T03:52:02Z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eyJoZGlkIjoiZDJiNTBmMDllNTBkYjVjZjg4ZDEyZmJmY2M0MjNmOWIiLCJ1c2VySWQiOiIzMTk3MzA5ODIifQ==</vt:lpwstr>
  </property>
  <property fmtid="{D5CDD505-2E9C-101B-9397-08002B2CF9AE}" pid="3" name="KSOProductBuildVer">
    <vt:lpwstr>2052-12.1.0.29161</vt:lpwstr>
  </property>
  <property fmtid="{D5CDD505-2E9C-101B-9397-08002B2CF9AE}" pid="4" name="ICV">
    <vt:lpwstr>35352007F79B4CC3A09278D77DC73A2B_13</vt:lpwstr>
  </property>
</Properties>
</file>