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6"/>
        <w:jc w:val="right"/>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736"/>
        <w:jc w:val="right"/>
        <w:rPr>
          <w:rFonts w:hint="eastAsia" w:ascii="宋体" w:hAnsi="宋体" w:eastAsia="宋体" w:cs="宋体"/>
          <w:b/>
          <w:bCs/>
          <w:color w:val="000000"/>
          <w:sz w:val="36"/>
          <w:highlight w:val="none"/>
          <w:lang w:eastAsia="zh-CN"/>
        </w:rPr>
      </w:pPr>
      <w:r>
        <w:rPr>
          <w:rFonts w:hint="eastAsia" w:ascii="宋体" w:hAnsi="宋体" w:eastAsia="宋体" w:cs="宋体"/>
          <w:b/>
          <w:bCs/>
          <w:color w:val="000000"/>
          <w:sz w:val="36"/>
          <w:highlight w:val="none"/>
        </w:rPr>
        <w:t xml:space="preserve">编号：</w:t>
      </w:r>
      <w:r>
        <w:rPr>
          <w:rFonts w:hint="eastAsia" w:ascii="宋体" w:hAnsi="宋体" w:cs="宋体"/>
          <w:b/>
          <w:bCs/>
          <w:color w:val="000000"/>
          <w:sz w:val="36"/>
          <w:highlight w:val="none"/>
          <w:lang w:eastAsia="zh-CN"/>
        </w:rPr>
        <w:t xml:space="preserve">JSZC-321000-WCGC-G2026-0032号</w:t>
      </w:r>
      <w:r>
        <w:rPr>
          <w:rFonts w:hint="eastAsia" w:ascii="宋体" w:hAnsi="宋体" w:eastAsia="宋体" w:cs="宋体"/>
          <w:b/>
          <w:bCs/>
          <w:color w:val="000000"/>
          <w:sz w:val="36"/>
          <w:highlight w:val="none"/>
          <w:lang w:eastAsia="zh-CN"/>
        </w:rPr>
      </w:r>
      <w:r/>
    </w:p>
    <w:p>
      <w:pPr>
        <w:pStyle w:val="736"/>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736"/>
        <w:jc w:val="center"/>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r>
      <w:r/>
    </w:p>
    <w:p>
      <w:pPr>
        <w:pStyle w:val="736"/>
        <w:jc w:val="center"/>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r>
      <w:r/>
    </w:p>
    <w:p>
      <w:pPr>
        <w:pStyle w:val="736"/>
        <w:jc w:val="center"/>
        <w:keepLines w:val="0"/>
        <w:keepNext w:val="0"/>
        <w:pageBreakBefore w:val="0"/>
        <w:spacing w:line="360" w:lineRule="auto"/>
        <w:widowControl w:val="off"/>
        <w:rPr>
          <w:rFonts w:hint="eastAsia" w:ascii="宋体" w:hAnsi="宋体" w:cs="宋体"/>
          <w:b/>
          <w:bCs/>
          <w:color w:val="000000"/>
          <w:sz w:val="36"/>
          <w:highlight w:val="none"/>
          <w:lang w:eastAsia="zh-CN"/>
        </w:rPr>
      </w:pPr>
      <w:r>
        <w:rPr>
          <w:rFonts w:hint="eastAsia" w:ascii="宋体" w:hAnsi="宋体" w:cs="宋体"/>
          <w:b/>
          <w:bCs/>
          <w:color w:val="000000"/>
          <w:sz w:val="36"/>
          <w:highlight w:val="none"/>
          <w:lang w:eastAsia="zh-CN"/>
        </w:rPr>
        <w:t xml:space="preserve">扬州市疾病预防控制中心全自动生化分析仪采购</w:t>
      </w:r>
      <w:r>
        <w:rPr>
          <w:rFonts w:hint="eastAsia" w:ascii="宋体" w:hAnsi="宋体" w:cs="宋体"/>
          <w:b/>
          <w:bCs/>
          <w:color w:val="000000"/>
          <w:sz w:val="36"/>
          <w:highlight w:val="none"/>
          <w:lang w:eastAsia="zh-CN"/>
        </w:rPr>
      </w:r>
      <w:r/>
    </w:p>
    <w:p>
      <w:pPr>
        <w:pStyle w:val="736"/>
        <w:jc w:val="center"/>
        <w:keepLines w:val="0"/>
        <w:keepNext w:val="0"/>
        <w:pageBreakBefore w:val="0"/>
        <w:spacing w:line="360" w:lineRule="auto"/>
        <w:widowControl w:val="off"/>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 xml:space="preserve">公开招标文件</w:t>
      </w:r>
      <w:r>
        <w:rPr>
          <w:rFonts w:hint="eastAsia" w:ascii="宋体" w:hAnsi="宋体" w:eastAsia="宋体" w:cs="宋体"/>
          <w:b/>
          <w:bCs/>
          <w:color w:val="000000"/>
          <w:sz w:val="36"/>
          <w:highlight w:val="none"/>
        </w:rPr>
      </w:r>
      <w:r/>
    </w:p>
    <w:p>
      <w:pPr>
        <w:pStyle w:val="93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6"/>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736"/>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776"/>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736"/>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776"/>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736"/>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776"/>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736"/>
        <w:rPr>
          <w:rFonts w:hint="eastAsia"/>
          <w:highlight w:val="none"/>
        </w:rPr>
      </w:pPr>
      <w:r>
        <w:rPr>
          <w:rFonts w:hint="eastAsia"/>
          <w:highlight w:val="none"/>
        </w:rPr>
      </w:r>
      <w:r/>
    </w:p>
    <w:p>
      <w:pPr>
        <w:pStyle w:val="736"/>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944"/>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736"/>
        <w:rPr>
          <w:rFonts w:hint="eastAsia"/>
          <w:highlight w:val="none"/>
        </w:rPr>
      </w:pPr>
      <w:r>
        <w:rPr>
          <w:rFonts w:hint="eastAsia"/>
          <w:highlight w:val="none"/>
        </w:rPr>
      </w:r>
      <w:r/>
    </w:p>
    <w:p>
      <w:pPr>
        <w:pStyle w:val="736"/>
        <w:jc w:val="center"/>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r>
      <w:r/>
    </w:p>
    <w:p>
      <w:pPr>
        <w:pStyle w:val="736"/>
        <w:jc w:val="center"/>
        <w:rPr>
          <w:rFonts w:hint="eastAsia" w:ascii="宋体" w:hAnsi="宋体" w:eastAsia="宋体" w:cs="宋体"/>
          <w:b/>
          <w:bCs/>
          <w:color w:val="000000"/>
          <w:sz w:val="36"/>
          <w:highlight w:val="none"/>
          <w:lang w:eastAsia="zh-CN"/>
        </w:rPr>
      </w:pPr>
      <w:r>
        <w:rPr>
          <w:rFonts w:hint="eastAsia" w:ascii="宋体" w:hAnsi="宋体" w:eastAsia="宋体" w:cs="宋体"/>
          <w:b/>
          <w:bCs/>
          <w:color w:val="000000"/>
          <w:sz w:val="36"/>
          <w:highlight w:val="none"/>
          <w:lang w:eastAsia="zh-CN"/>
        </w:rPr>
      </w:r>
      <w:r/>
    </w:p>
    <w:p>
      <w:pPr>
        <w:pStyle w:val="736"/>
        <w:jc w:val="both"/>
        <w:spacing w:before="156" w:after="156" w:line="480" w:lineRule="auto"/>
        <w:rPr>
          <w:rFonts w:hint="eastAsia" w:ascii="宋体" w:hAnsi="宋体" w:eastAsia="宋体"/>
          <w:b/>
          <w:bCs/>
          <w:sz w:val="32"/>
          <w:szCs w:val="32"/>
          <w:highlight w:val="none"/>
          <w:lang w:eastAsia="zh-CN"/>
        </w:rPr>
      </w:pPr>
      <w:r>
        <w:rPr>
          <w:rFonts w:hint="eastAsia" w:ascii="宋体" w:hAnsi="宋体"/>
          <w:b/>
          <w:bCs/>
          <w:sz w:val="32"/>
          <w:szCs w:val="32"/>
          <w:highlight w:val="none"/>
        </w:rPr>
        <w:t xml:space="preserve">采购人：</w:t>
      </w:r>
      <w:r>
        <w:rPr>
          <w:rFonts w:hint="eastAsia" w:ascii="宋体" w:hAnsi="宋体"/>
          <w:b/>
          <w:bCs/>
          <w:sz w:val="32"/>
          <w:szCs w:val="32"/>
          <w:highlight w:val="none"/>
          <w:lang w:eastAsia="zh-CN"/>
        </w:rPr>
        <w:t xml:space="preserve">扬州市疾病预防控制中心</w:t>
      </w:r>
      <w:r>
        <w:rPr>
          <w:rFonts w:hint="eastAsia" w:ascii="宋体" w:hAnsi="宋体" w:eastAsia="宋体"/>
          <w:b/>
          <w:bCs/>
          <w:sz w:val="32"/>
          <w:szCs w:val="32"/>
          <w:highlight w:val="none"/>
          <w:lang w:eastAsia="zh-CN"/>
        </w:rPr>
      </w:r>
      <w:r/>
    </w:p>
    <w:p>
      <w:pPr>
        <w:pStyle w:val="736"/>
        <w:jc w:val="both"/>
        <w:spacing w:before="156" w:after="156" w:line="480" w:lineRule="auto"/>
        <w:rPr>
          <w:rFonts w:hint="eastAsia" w:eastAsia="宋体"/>
          <w:sz w:val="32"/>
          <w:szCs w:val="32"/>
          <w:highlight w:val="none"/>
          <w:lang w:eastAsia="zh-CN"/>
        </w:rPr>
      </w:pPr>
      <w:r>
        <w:rPr>
          <w:b/>
          <w:bCs/>
          <w:sz w:val="32"/>
          <w:szCs w:val="32"/>
          <w:highlight w:val="none"/>
        </w:rPr>
        <w:t xml:space="preserve">采购代理机构：</w:t>
      </w:r>
      <w:r>
        <w:rPr>
          <w:rFonts w:hint="eastAsia"/>
          <w:b/>
          <w:bCs/>
          <w:sz w:val="32"/>
          <w:szCs w:val="32"/>
          <w:highlight w:val="none"/>
          <w:lang w:eastAsia="zh-CN"/>
        </w:rPr>
        <w:t xml:space="preserve">江苏唯诚建设咨询有限公司</w:t>
      </w:r>
      <w:r>
        <w:rPr>
          <w:rFonts w:hint="eastAsia" w:eastAsia="宋体"/>
          <w:sz w:val="32"/>
          <w:szCs w:val="32"/>
          <w:highlight w:val="none"/>
          <w:lang w:eastAsia="zh-CN"/>
        </w:rPr>
      </w:r>
      <w:r/>
    </w:p>
    <w:p>
      <w:pPr>
        <w:pStyle w:val="736"/>
        <w:jc w:val="center"/>
        <w:spacing w:before="156" w:after="156" w:line="480" w:lineRule="auto"/>
        <w:rPr>
          <w:rFonts w:hint="eastAsia" w:ascii="宋体" w:hAnsi="宋体" w:eastAsia="宋体" w:cs="宋体"/>
          <w:sz w:val="32"/>
          <w:szCs w:val="32"/>
          <w:highlight w:val="none"/>
          <w:lang w:eastAsia="zh-CN"/>
        </w:rPr>
      </w:pPr>
      <w:r>
        <w:rPr>
          <w:rFonts w:hint="eastAsia" w:ascii="宋体" w:hAnsi="宋体" w:cs="宋体"/>
          <w:b/>
          <w:bCs/>
          <w:sz w:val="32"/>
          <w:szCs w:val="32"/>
          <w:highlight w:val="none"/>
          <w:lang w:eastAsia="zh-CN"/>
        </w:rPr>
        <w:t xml:space="preserve">二零二六年十月</w:t>
      </w:r>
      <w:r>
        <w:rPr>
          <w:rFonts w:hint="eastAsia" w:ascii="宋体" w:hAnsi="宋体" w:eastAsia="宋体" w:cs="宋体"/>
          <w:sz w:val="32"/>
          <w:szCs w:val="32"/>
          <w:highlight w:val="none"/>
          <w:lang w:eastAsia="zh-CN"/>
        </w:rPr>
      </w:r>
      <w:r/>
    </w:p>
    <w:p>
      <w:pPr>
        <w:pStyle w:val="736"/>
        <w:jc w:val="center"/>
        <w:rPr>
          <w:rFonts w:hint="eastAsia" w:ascii="宋体" w:hAnsi="宋体" w:eastAsia="宋体" w:cs="宋体"/>
          <w:b/>
          <w:bCs/>
          <w:color w:val="000000"/>
          <w:sz w:val="36"/>
          <w:highlight w:val="none"/>
          <w:lang w:eastAsia="zh-CN"/>
        </w:rPr>
      </w:pPr>
      <w:r>
        <w:rPr>
          <w:rFonts w:hint="eastAsia" w:ascii="宋体" w:hAnsi="宋体" w:eastAsia="宋体" w:cs="宋体"/>
          <w:b/>
          <w:bCs/>
          <w:color w:val="000000"/>
          <w:sz w:val="36"/>
          <w:highlight w:val="none"/>
          <w:lang w:eastAsia="zh-CN"/>
        </w:rPr>
      </w:r>
      <w:r/>
    </w:p>
    <w:p>
      <w:pPr>
        <w:pStyle w:val="736"/>
        <w:jc w:val="center"/>
        <w:rPr>
          <w:rFonts w:hint="eastAsia" w:ascii="宋体" w:hAnsi="宋体" w:eastAsia="宋体" w:cs="宋体"/>
          <w:color w:val="000000"/>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32"/>
          <w:highlight w:val="none"/>
        </w:rPr>
      </w:r>
      <w:r/>
    </w:p>
    <w:p>
      <w:pPr>
        <w:pStyle w:val="950"/>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6"/>
        <w:jc w:val="center"/>
        <w:spacing w:line="48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36"/>
        <w:jc w:val="center"/>
        <w:spacing w:line="48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目 录</w:t>
      </w:r>
      <w:r>
        <w:rPr>
          <w:rFonts w:hint="eastAsia" w:ascii="宋体" w:hAnsi="宋体" w:eastAsia="宋体" w:cs="宋体"/>
          <w:color w:val="000000"/>
          <w:sz w:val="32"/>
          <w:highlight w:val="none"/>
        </w:rPr>
      </w:r>
      <w:r/>
    </w:p>
    <w:p>
      <w:pPr>
        <w:pStyle w:val="944"/>
        <w:rPr>
          <w:rFonts w:hint="eastAsia"/>
          <w:highlight w:val="none"/>
        </w:rPr>
      </w:pPr>
      <w:r>
        <w:rPr>
          <w:rFonts w:hint="eastAsia"/>
          <w:highlight w:val="none"/>
        </w:rPr>
      </w:r>
      <w:r/>
    </w:p>
    <w:p>
      <w:pPr>
        <w:pStyle w:val="754"/>
        <w:ind w:firstLine="420"/>
        <w:jc w:val="left"/>
        <w:keepLines w:val="0"/>
        <w:keepNext w:val="0"/>
        <w:pageBreakBefore w:val="0"/>
        <w:spacing w:before="120" w:after="120" w:line="360" w:lineRule="auto"/>
        <w:widowControl w:val="off"/>
        <w:tabs>
          <w:tab w:val="right" w:pos="8306" w:leader="dot"/>
        </w:tabs>
        <w:rPr>
          <w:color w:val="000000"/>
          <w:sz w:val="24"/>
          <w:szCs w:val="24"/>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TOC \o "1-3" \f </w:instrText>
      </w:r>
      <w:r>
        <w:rPr>
          <w:rFonts w:hint="eastAsia" w:ascii="宋体" w:hAnsi="宋体" w:eastAsia="宋体" w:cs="宋体"/>
          <w:color w:val="000000"/>
          <w:szCs w:val="21"/>
          <w:highlight w:val="none"/>
        </w:rPr>
        <w:fldChar w:fldCharType="separate"/>
      </w:r>
      <w:r>
        <w:rPr>
          <w:rFonts w:hint="eastAsia"/>
          <w:color w:val="000000"/>
          <w:sz w:val="24"/>
          <w:szCs w:val="24"/>
          <w:highlight w:val="none"/>
          <w:lang w:val="en-US" w:eastAsia="zh-CN"/>
        </w:rPr>
        <w:t xml:space="preserve">第一章 采购公告</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_Toc30208 \h </w:instrText>
      </w:r>
      <w:r>
        <w:rPr>
          <w:color w:val="000000"/>
          <w:sz w:val="24"/>
          <w:szCs w:val="24"/>
          <w:highlight w:val="none"/>
        </w:rPr>
        <w:fldChar w:fldCharType="separate"/>
      </w:r>
      <w:r>
        <w:rPr>
          <w:color w:val="000000"/>
          <w:sz w:val="24"/>
          <w:szCs w:val="24"/>
          <w:highlight w:val="none"/>
        </w:rPr>
        <w:t xml:space="preserve">2</w:t>
      </w:r>
      <w:r>
        <w:rPr>
          <w:color w:val="000000"/>
          <w:sz w:val="24"/>
          <w:szCs w:val="24"/>
          <w:highlight w:val="none"/>
        </w:rPr>
        <w:fldChar w:fldCharType="end"/>
      </w:r>
      <w:r>
        <w:rPr>
          <w:color w:val="000000"/>
          <w:sz w:val="24"/>
          <w:szCs w:val="24"/>
          <w:highlight w:val="none"/>
        </w:rPr>
      </w:r>
      <w:r/>
    </w:p>
    <w:p>
      <w:pPr>
        <w:pStyle w:val="754"/>
        <w:ind w:firstLine="480"/>
        <w:jc w:val="left"/>
        <w:keepLines w:val="0"/>
        <w:keepNext w:val="0"/>
        <w:pageBreakBefore w:val="0"/>
        <w:spacing w:before="120" w:after="120" w:line="360" w:lineRule="auto"/>
        <w:widowControl w:val="off"/>
        <w:tabs>
          <w:tab w:val="right" w:pos="8306" w:leader="dot"/>
        </w:tabs>
        <w:rPr>
          <w:color w:val="000000"/>
          <w:sz w:val="24"/>
          <w:szCs w:val="24"/>
          <w:highlight w:val="none"/>
        </w:rPr>
      </w:pPr>
      <w:r>
        <w:rPr>
          <w:rFonts w:hint="eastAsia"/>
          <w:color w:val="000000"/>
          <w:sz w:val="24"/>
          <w:szCs w:val="24"/>
          <w:highlight w:val="none"/>
        </w:rPr>
        <w:t xml:space="preserve">第二章 投标人须知</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_Toc10032 \h </w:instrText>
      </w:r>
      <w:r>
        <w:rPr>
          <w:color w:val="000000"/>
          <w:sz w:val="24"/>
          <w:szCs w:val="24"/>
          <w:highlight w:val="none"/>
        </w:rPr>
        <w:fldChar w:fldCharType="separate"/>
      </w:r>
      <w:r>
        <w:rPr>
          <w:color w:val="000000"/>
          <w:sz w:val="24"/>
          <w:szCs w:val="24"/>
          <w:highlight w:val="none"/>
        </w:rPr>
        <w:t xml:space="preserve">7</w:t>
      </w:r>
      <w:r>
        <w:rPr>
          <w:color w:val="000000"/>
          <w:sz w:val="24"/>
          <w:szCs w:val="24"/>
          <w:highlight w:val="none"/>
        </w:rPr>
        <w:fldChar w:fldCharType="end"/>
      </w:r>
      <w:r>
        <w:rPr>
          <w:color w:val="000000"/>
          <w:sz w:val="24"/>
          <w:szCs w:val="24"/>
          <w:highlight w:val="none"/>
        </w:rPr>
      </w:r>
      <w:r/>
    </w:p>
    <w:p>
      <w:pPr>
        <w:pStyle w:val="754"/>
        <w:ind w:firstLine="480"/>
        <w:jc w:val="left"/>
        <w:keepLines w:val="0"/>
        <w:keepNext w:val="0"/>
        <w:pageBreakBefore w:val="0"/>
        <w:spacing w:before="120" w:after="120" w:line="360" w:lineRule="auto"/>
        <w:widowControl w:val="off"/>
        <w:tabs>
          <w:tab w:val="right" w:pos="8306" w:leader="dot"/>
        </w:tabs>
        <w:rPr>
          <w:color w:val="000000"/>
          <w:sz w:val="24"/>
          <w:szCs w:val="24"/>
          <w:highlight w:val="none"/>
        </w:rPr>
      </w:pPr>
      <w:r>
        <w:rPr>
          <w:rFonts w:hint="eastAsia"/>
          <w:color w:val="000000"/>
          <w:sz w:val="24"/>
          <w:szCs w:val="24"/>
          <w:highlight w:val="none"/>
        </w:rPr>
        <w:t xml:space="preserve">第三章 合同条款及格式</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_Toc18427 \h </w:instrText>
      </w:r>
      <w:r>
        <w:rPr>
          <w:color w:val="000000"/>
          <w:sz w:val="24"/>
          <w:szCs w:val="24"/>
          <w:highlight w:val="none"/>
        </w:rPr>
        <w:fldChar w:fldCharType="separate"/>
      </w:r>
      <w:r>
        <w:rPr>
          <w:color w:val="000000"/>
          <w:sz w:val="24"/>
          <w:szCs w:val="24"/>
          <w:highlight w:val="none"/>
        </w:rPr>
        <w:t xml:space="preserve">22</w:t>
      </w:r>
      <w:r>
        <w:rPr>
          <w:color w:val="000000"/>
          <w:sz w:val="24"/>
          <w:szCs w:val="24"/>
          <w:highlight w:val="none"/>
        </w:rPr>
        <w:fldChar w:fldCharType="end"/>
      </w:r>
      <w:r>
        <w:rPr>
          <w:color w:val="000000"/>
          <w:sz w:val="24"/>
          <w:szCs w:val="24"/>
          <w:highlight w:val="none"/>
        </w:rPr>
      </w:r>
      <w:r/>
    </w:p>
    <w:p>
      <w:pPr>
        <w:pStyle w:val="754"/>
        <w:ind w:firstLine="480"/>
        <w:jc w:val="left"/>
        <w:keepLines w:val="0"/>
        <w:keepNext w:val="0"/>
        <w:pageBreakBefore w:val="0"/>
        <w:spacing w:before="120" w:after="120" w:line="360" w:lineRule="auto"/>
        <w:widowControl w:val="off"/>
        <w:tabs>
          <w:tab w:val="right" w:pos="8306" w:leader="dot"/>
        </w:tabs>
        <w:rPr>
          <w:color w:val="000000"/>
          <w:sz w:val="24"/>
          <w:szCs w:val="24"/>
          <w:highlight w:val="none"/>
        </w:rPr>
      </w:pPr>
      <w:r>
        <w:rPr>
          <w:rFonts w:hint="eastAsia"/>
          <w:color w:val="000000"/>
          <w:sz w:val="24"/>
          <w:szCs w:val="24"/>
          <w:highlight w:val="none"/>
        </w:rPr>
        <w:t xml:space="preserve">第四章 项目需求</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_Toc12506 \h </w:instrText>
      </w:r>
      <w:r>
        <w:rPr>
          <w:color w:val="000000"/>
          <w:sz w:val="24"/>
          <w:szCs w:val="24"/>
          <w:highlight w:val="none"/>
        </w:rPr>
        <w:fldChar w:fldCharType="separate"/>
      </w:r>
      <w:r>
        <w:rPr>
          <w:color w:val="000000"/>
          <w:sz w:val="24"/>
          <w:szCs w:val="24"/>
          <w:highlight w:val="none"/>
        </w:rPr>
        <w:t xml:space="preserve">29</w:t>
      </w:r>
      <w:r>
        <w:rPr>
          <w:color w:val="000000"/>
          <w:sz w:val="24"/>
          <w:szCs w:val="24"/>
          <w:highlight w:val="none"/>
        </w:rPr>
        <w:fldChar w:fldCharType="end"/>
      </w:r>
      <w:r>
        <w:rPr>
          <w:color w:val="000000"/>
          <w:sz w:val="24"/>
          <w:szCs w:val="24"/>
          <w:highlight w:val="none"/>
        </w:rPr>
      </w:r>
      <w:r/>
    </w:p>
    <w:p>
      <w:pPr>
        <w:pStyle w:val="754"/>
        <w:ind w:firstLine="480"/>
        <w:jc w:val="left"/>
        <w:keepLines w:val="0"/>
        <w:keepNext w:val="0"/>
        <w:pageBreakBefore w:val="0"/>
        <w:spacing w:before="120" w:after="120" w:line="360" w:lineRule="auto"/>
        <w:widowControl w:val="off"/>
        <w:tabs>
          <w:tab w:val="right" w:pos="8306" w:leader="dot"/>
        </w:tabs>
        <w:rPr>
          <w:color w:val="000000"/>
          <w:sz w:val="24"/>
          <w:szCs w:val="24"/>
          <w:highlight w:val="none"/>
        </w:rPr>
      </w:pPr>
      <w:r>
        <w:rPr>
          <w:rFonts w:hint="eastAsia"/>
          <w:color w:val="000000"/>
          <w:sz w:val="24"/>
          <w:szCs w:val="24"/>
          <w:highlight w:val="none"/>
        </w:rPr>
        <w:t xml:space="preserve">第五章 评标方法及评标标准</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_Toc29995 \h </w:instrText>
      </w:r>
      <w:r>
        <w:rPr>
          <w:color w:val="000000"/>
          <w:sz w:val="24"/>
          <w:szCs w:val="24"/>
          <w:highlight w:val="none"/>
        </w:rPr>
        <w:fldChar w:fldCharType="separate"/>
      </w:r>
      <w:r>
        <w:rPr>
          <w:color w:val="000000"/>
          <w:sz w:val="24"/>
          <w:szCs w:val="24"/>
          <w:highlight w:val="none"/>
        </w:rPr>
        <w:t xml:space="preserve">35</w:t>
      </w:r>
      <w:r>
        <w:rPr>
          <w:color w:val="000000"/>
          <w:sz w:val="24"/>
          <w:szCs w:val="24"/>
          <w:highlight w:val="none"/>
        </w:rPr>
        <w:fldChar w:fldCharType="end"/>
      </w:r>
      <w:r>
        <w:rPr>
          <w:color w:val="000000"/>
          <w:sz w:val="24"/>
          <w:szCs w:val="24"/>
          <w:highlight w:val="none"/>
        </w:rPr>
      </w:r>
      <w:r/>
    </w:p>
    <w:p>
      <w:pPr>
        <w:pStyle w:val="754"/>
        <w:ind w:firstLine="480"/>
        <w:jc w:val="left"/>
        <w:keepLines w:val="0"/>
        <w:keepNext w:val="0"/>
        <w:pageBreakBefore w:val="0"/>
        <w:spacing w:before="120" w:after="120" w:line="360" w:lineRule="auto"/>
        <w:widowControl w:val="off"/>
        <w:tabs>
          <w:tab w:val="right" w:pos="8306" w:leader="dot"/>
        </w:tabs>
        <w:rPr>
          <w:color w:val="000000"/>
          <w:highlight w:val="none"/>
        </w:rPr>
      </w:pPr>
      <w:r>
        <w:rPr>
          <w:rFonts w:hint="eastAsia"/>
          <w:color w:val="000000"/>
          <w:sz w:val="24"/>
          <w:szCs w:val="24"/>
          <w:highlight w:val="none"/>
        </w:rPr>
        <w:t xml:space="preserve">第六章 投标文件格式</w:t>
      </w:r>
      <w:r>
        <w:rPr>
          <w:color w:val="000000"/>
          <w:sz w:val="24"/>
          <w:szCs w:val="24"/>
          <w:highlight w:val="none"/>
        </w:rPr>
        <w:tab/>
      </w:r>
      <w:r>
        <w:rPr>
          <w:color w:val="000000"/>
          <w:sz w:val="24"/>
          <w:szCs w:val="24"/>
          <w:highlight w:val="none"/>
        </w:rPr>
        <w:fldChar w:fldCharType="begin"/>
      </w:r>
      <w:r>
        <w:rPr>
          <w:color w:val="000000"/>
          <w:sz w:val="24"/>
          <w:szCs w:val="24"/>
          <w:highlight w:val="none"/>
        </w:rPr>
        <w:instrText xml:space="preserve"> PAGEREF _Toc18779 \h </w:instrText>
      </w:r>
      <w:r>
        <w:rPr>
          <w:color w:val="000000"/>
          <w:sz w:val="24"/>
          <w:szCs w:val="24"/>
          <w:highlight w:val="none"/>
        </w:rPr>
        <w:fldChar w:fldCharType="separate"/>
      </w:r>
      <w:r>
        <w:rPr>
          <w:color w:val="000000"/>
          <w:sz w:val="24"/>
          <w:szCs w:val="24"/>
          <w:highlight w:val="none"/>
        </w:rPr>
        <w:t xml:space="preserve">40</w:t>
      </w:r>
      <w:r>
        <w:rPr>
          <w:color w:val="000000"/>
          <w:sz w:val="24"/>
          <w:szCs w:val="24"/>
          <w:highlight w:val="none"/>
        </w:rPr>
        <w:fldChar w:fldCharType="end"/>
      </w:r>
      <w:r>
        <w:rPr>
          <w:color w:val="000000"/>
          <w:highlight w:val="none"/>
        </w:rPr>
      </w:r>
      <w:r/>
    </w:p>
    <w:p>
      <w:pPr>
        <w:pStyle w:val="762"/>
        <w:tabs>
          <w:tab w:val="right" w:pos="8306" w:leader="dot"/>
        </w:tabs>
        <w:rPr>
          <w:color w:val="000000"/>
          <w:highlight w:val="none"/>
        </w:rPr>
      </w:pPr>
      <w:r>
        <w:rPr>
          <w:color w:val="000000"/>
          <w:highlight w:val="none"/>
        </w:rPr>
      </w:r>
      <w:r/>
    </w:p>
    <w:p>
      <w:pPr>
        <w:pStyle w:val="73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p>
      <w:pPr>
        <w:pStyle w:val="736"/>
        <w:spacing w:line="360" w:lineRule="auto"/>
        <w:rPr>
          <w:rFonts w:hint="eastAsia" w:ascii="宋体" w:hAnsi="宋体" w:eastAsia="宋体" w:cs="宋体"/>
          <w:color w:val="000000"/>
          <w:highlight w:val="none"/>
        </w:rPr>
      </w:pPr>
      <w:r>
        <w:rPr>
          <w:rFonts w:hint="eastAsia" w:ascii="宋体" w:hAnsi="宋体" w:eastAsia="宋体" w:cs="宋体"/>
          <w:color w:val="000000"/>
          <w:sz w:val="28"/>
          <w:highlight w:val="none"/>
        </w:rPr>
        <w:br w:type="page" w:clear="all"/>
      </w:r>
      <w:r>
        <w:rPr>
          <w:rFonts w:hint="eastAsia" w:ascii="宋体" w:hAnsi="宋体" w:eastAsia="宋体" w:cs="宋体"/>
          <w:color w:val="000000"/>
          <w:highlight w:val="none"/>
        </w:rPr>
      </w:r>
      <w:r/>
    </w:p>
    <w:p>
      <w:pPr>
        <w:pStyle w:val="777"/>
        <w:rPr>
          <w:rFonts w:hint="eastAsia"/>
          <w:color w:val="000000"/>
          <w:highlight w:val="none"/>
          <w:lang w:eastAsia="zh-CN"/>
        </w:rPr>
      </w:pPr>
      <w:r/>
      <w:bookmarkStart w:id="0" w:name="_Toc30208"/>
      <w:r/>
      <w:bookmarkStart w:id="1" w:name="_Toc55204177"/>
      <w:r>
        <w:rPr>
          <w:rFonts w:hint="eastAsia"/>
          <w:color w:val="000000"/>
          <w:highlight w:val="none"/>
          <w:lang w:val="en-US" w:eastAsia="zh-CN"/>
        </w:rPr>
        <w:t xml:space="preserve">第一章 </w:t>
      </w:r>
      <w:bookmarkEnd w:id="0"/>
      <w:r>
        <w:rPr>
          <w:rFonts w:hint="eastAsia"/>
          <w:color w:val="000000"/>
          <w:highlight w:val="none"/>
          <w:lang w:eastAsia="zh-CN"/>
        </w:rPr>
        <w:t xml:space="preserve">扬州市疾病预防控制中心全自动生化分析仪采购项目</w:t>
      </w:r>
      <w:r>
        <w:rPr>
          <w:rFonts w:hint="eastAsia"/>
          <w:color w:val="000000"/>
          <w:highlight w:val="none"/>
          <w:lang w:eastAsia="zh-CN"/>
        </w:rPr>
      </w:r>
      <w:r/>
    </w:p>
    <w:p>
      <w:pPr>
        <w:pStyle w:val="777"/>
        <w:rPr>
          <w:rFonts w:hint="eastAsia"/>
          <w:color w:val="000000"/>
          <w:highlight w:val="none"/>
          <w:lang w:eastAsia="zh-CN"/>
        </w:rPr>
      </w:pPr>
      <w:r/>
      <w:bookmarkStart w:id="2" w:name="_Toc27417"/>
      <w:r>
        <w:rPr>
          <w:rFonts w:hint="eastAsia"/>
          <w:color w:val="000000"/>
          <w:highlight w:val="none"/>
          <w:lang w:eastAsia="zh-CN"/>
        </w:rPr>
        <w:t xml:space="preserve">采购公告</w:t>
      </w:r>
      <w:bookmarkEnd w:id="1"/>
      <w:r/>
      <w:bookmarkEnd w:id="2"/>
      <w:r>
        <w:rPr>
          <w:rFonts w:hint="eastAsia"/>
          <w:color w:val="000000"/>
          <w:highlight w:val="none"/>
          <w:lang w:eastAsia="zh-CN"/>
        </w:rPr>
      </w:r>
      <w:r/>
    </w:p>
    <w:p>
      <w:pPr>
        <w:pStyle w:val="736"/>
        <w:ind w:firstLine="420"/>
        <w:jc w:val="left"/>
        <w:keepLines w:val="0"/>
        <w:keepNext w:val="0"/>
        <w:pageBreakBefore w:val="0"/>
        <w:spacing w:line="360" w:lineRule="auto"/>
        <w:tabs>
          <w:tab w:val="left" w:pos="26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cs="宋体"/>
          <w:color w:val="000000"/>
          <w:sz w:val="24"/>
          <w:szCs w:val="24"/>
          <w:highlight w:val="none"/>
          <w:u w:val="single"/>
          <w:lang w:eastAsia="zh-CN"/>
        </w:rPr>
        <w:t xml:space="preserve">扬州市疾病预防控制中心</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u w:val="single"/>
          <w:lang w:eastAsia="zh-CN"/>
        </w:rPr>
        <w:t xml:space="preserve">江苏唯诚建设咨询有限公司</w:t>
      </w:r>
      <w:r>
        <w:rPr>
          <w:rFonts w:hint="eastAsia" w:ascii="宋体" w:hAnsi="宋体" w:eastAsia="宋体" w:cs="宋体"/>
          <w:color w:val="000000"/>
          <w:sz w:val="24"/>
          <w:szCs w:val="24"/>
          <w:highlight w:val="none"/>
        </w:rPr>
        <w:t xml:space="preserve">就</w:t>
      </w:r>
      <w:r>
        <w:rPr>
          <w:rFonts w:hint="eastAsia" w:ascii="宋体" w:hAnsi="宋体" w:cs="宋体"/>
          <w:color w:val="000000"/>
          <w:sz w:val="24"/>
          <w:szCs w:val="24"/>
          <w:highlight w:val="none"/>
          <w:u w:val="single"/>
          <w:lang w:eastAsia="zh-CN"/>
        </w:rPr>
        <w:t xml:space="preserve">扬州市疾病预防控制中心全自动生化分析仪采购项目</w:t>
      </w:r>
      <w:r>
        <w:rPr>
          <w:rFonts w:hint="eastAsia" w:ascii="宋体" w:hAnsi="宋体" w:cs="宋体"/>
          <w:color w:val="000000"/>
          <w:sz w:val="24"/>
          <w:szCs w:val="24"/>
          <w:highlight w:val="none"/>
          <w:lang w:eastAsia="zh-CN"/>
        </w:rPr>
        <w:t xml:space="preserve">（JSZC-321000-WCGC-G2026-0032号）</w:t>
      </w:r>
      <w:r>
        <w:rPr>
          <w:rFonts w:hint="eastAsia" w:ascii="宋体" w:hAnsi="宋体" w:eastAsia="宋体" w:cs="宋体"/>
          <w:color w:val="000000"/>
          <w:sz w:val="24"/>
          <w:szCs w:val="24"/>
          <w:highlight w:val="none"/>
        </w:rPr>
        <w:t xml:space="preserve">进行公开招标采购，欢迎符合条件的供应商投标。</w:t>
      </w:r>
      <w:r>
        <w:rPr>
          <w:rFonts w:hint="eastAsia" w:ascii="宋体" w:hAnsi="宋体" w:eastAsia="宋体" w:cs="宋体"/>
          <w:color w:val="000000"/>
          <w:sz w:val="24"/>
          <w:szCs w:val="24"/>
          <w:highlight w:val="none"/>
        </w:rPr>
      </w:r>
      <w:r/>
    </w:p>
    <w:p>
      <w:pPr>
        <w:pStyle w:val="736"/>
        <w:keepLines w:val="0"/>
        <w:keepNext w:val="0"/>
        <w:pageBreakBefore w:val="0"/>
        <w:spacing w:line="360" w:lineRule="auto"/>
        <w:rPr>
          <w:rFonts w:hint="eastAsia" w:ascii="宋体" w:hAnsi="宋体" w:eastAsia="宋体" w:cs="宋体"/>
          <w:b/>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rPr>
      </w:r>
      <w:r/>
    </w:p>
    <w:p>
      <w:pPr>
        <w:pStyle w:val="736"/>
        <w:ind w:firstLine="420"/>
        <w:keepLines w:val="0"/>
        <w:keepNext w:val="0"/>
        <w:pageBreakBefore w:val="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lang w:eastAsia="zh-CN"/>
        </w:rPr>
        <w:t xml:space="preserve">扬州市疾病预防控制中心全自动生化分析仪采购项目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color w:val="000000"/>
          <w:sz w:val="24"/>
          <w:szCs w:val="24"/>
          <w:highlight w:val="none"/>
          <w:u w:val="single"/>
        </w:rPr>
        <w:t xml:space="preserve">“扬州市政府采购网</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江苏省政府采购网”和“中国政府采购网”自行免费下载</w:t>
      </w:r>
      <w:r>
        <w:rPr>
          <w:rFonts w:hint="eastAsia" w:ascii="宋体" w:hAnsi="宋体" w:eastAsia="宋体" w:cs="宋体"/>
          <w:color w:val="000000"/>
          <w:sz w:val="24"/>
          <w:szCs w:val="24"/>
          <w:highlight w:val="none"/>
        </w:rPr>
        <w:t xml:space="preserve">招标文件，并于</w:t>
      </w:r>
      <w:r>
        <w:rPr>
          <w:rFonts w:hint="eastAsia" w:ascii="宋体" w:hAnsi="宋体" w:eastAsia="宋体" w:cs="宋体"/>
          <w:bCs/>
          <w:color w:val="000000"/>
          <w:sz w:val="24"/>
          <w:szCs w:val="24"/>
          <w:highlight w:val="none"/>
          <w:u w:val="single"/>
        </w:rPr>
        <w:t xml:space="preserve">202</w:t>
      </w:r>
      <w:r>
        <w:rPr>
          <w:rFonts w:hint="eastAsia" w:ascii="宋体" w:hAnsi="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10</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30</w:t>
      </w:r>
      <w:r>
        <w:rPr>
          <w:rFonts w:hint="eastAsia" w:ascii="宋体" w:hAnsi="宋体" w:eastAsia="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9:30</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6"/>
        <w:ind w:firstLine="422"/>
        <w:keepLines w:val="0"/>
        <w:keepNext w:val="0"/>
        <w:pageBreakBefore w:val="0"/>
        <w:spacing w:line="360" w:lineRule="auto"/>
        <w:tabs>
          <w:tab w:val="left" w:pos="266" w:leader="none"/>
        </w:tabs>
        <w:rPr>
          <w:rFonts w:hint="eastAsia" w:ascii="宋体" w:hAnsi="宋体" w:eastAsia="宋体" w:cs="宋体"/>
          <w:b/>
          <w:bCs/>
          <w:color w:val="000000"/>
          <w:sz w:val="24"/>
          <w:szCs w:val="24"/>
          <w:highlight w:val="none"/>
        </w:rPr>
      </w:pPr>
      <w:r/>
      <w:bookmarkStart w:id="3" w:name="_Toc35393790"/>
      <w:r/>
      <w:bookmarkStart w:id="4" w:name="_Toc38985263"/>
      <w:r/>
      <w:bookmarkStart w:id="5" w:name="_Toc28359079"/>
      <w:r/>
      <w:bookmarkStart w:id="6" w:name="_Toc35393621"/>
      <w:r/>
      <w:bookmarkStart w:id="7" w:name="_Toc28359002"/>
      <w:r/>
      <w:bookmarkStart w:id="8" w:name="_Hlk24379207"/>
      <w:r>
        <w:rPr>
          <w:rFonts w:hint="eastAsia" w:ascii="宋体" w:hAnsi="宋体" w:eastAsia="宋体" w:cs="宋体"/>
          <w:b/>
          <w:bCs/>
          <w:color w:val="000000"/>
          <w:sz w:val="24"/>
          <w:szCs w:val="24"/>
          <w:highlight w:val="none"/>
        </w:rPr>
        <w:t xml:space="preserve">一、项目基本情况</w:t>
      </w:r>
      <w:bookmarkEnd w:id="3"/>
      <w:r/>
      <w:bookmarkEnd w:id="4"/>
      <w:r/>
      <w:bookmarkEnd w:id="5"/>
      <w:r/>
      <w:bookmarkEnd w:id="6"/>
      <w:r/>
      <w:bookmarkEnd w:id="7"/>
      <w:r>
        <w:rPr>
          <w:rFonts w:hint="eastAsia" w:ascii="宋体" w:hAnsi="宋体" w:eastAsia="宋体" w:cs="宋体"/>
          <w:b/>
          <w:bCs/>
          <w:color w:val="000000"/>
          <w:sz w:val="24"/>
          <w:szCs w:val="24"/>
          <w:highlight w:val="none"/>
        </w:rPr>
      </w:r>
      <w:r/>
    </w:p>
    <w:p>
      <w:pPr>
        <w:pStyle w:val="736"/>
        <w:ind w:firstLine="42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JSZC-321000-WCGC-G2026-0032号</w:t>
      </w:r>
      <w:r>
        <w:rPr>
          <w:rFonts w:hint="eastAsia" w:ascii="宋体" w:hAnsi="宋体" w:eastAsia="宋体" w:cs="宋体"/>
          <w:color w:val="000000"/>
          <w:sz w:val="24"/>
          <w:szCs w:val="24"/>
          <w:highlight w:val="none"/>
          <w:lang w:eastAsia="zh-CN"/>
        </w:rPr>
      </w:r>
      <w:r/>
    </w:p>
    <w:p>
      <w:pPr>
        <w:pStyle w:val="736"/>
        <w:ind w:firstLine="42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bookmarkEnd w:id="8"/>
      <w:r>
        <w:rPr>
          <w:rFonts w:hint="eastAsia" w:ascii="宋体" w:hAnsi="宋体" w:eastAsia="宋体" w:cs="宋体"/>
          <w:color w:val="000000"/>
          <w:sz w:val="24"/>
          <w:szCs w:val="24"/>
          <w:highlight w:val="none"/>
          <w:lang w:eastAsia="zh-CN"/>
        </w:rPr>
        <w:t xml:space="preserve">扬州市疾病预防控制中心全自动生化分析仪采购项目</w:t>
      </w:r>
      <w:r>
        <w:rPr>
          <w:rFonts w:hint="eastAsia" w:ascii="宋体" w:hAnsi="宋体" w:eastAsia="宋体" w:cs="宋体"/>
          <w:color w:val="000000"/>
          <w:sz w:val="24"/>
          <w:szCs w:val="24"/>
          <w:highlight w:val="none"/>
          <w:lang w:eastAsia="zh-CN"/>
        </w:rPr>
      </w:r>
      <w:r/>
    </w:p>
    <w:p>
      <w:pPr>
        <w:pStyle w:val="736"/>
        <w:ind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3.预算金额：</w:t>
      </w:r>
      <w:r>
        <w:rPr>
          <w:rFonts w:hint="eastAsia" w:ascii="宋体" w:hAnsi="宋体" w:eastAsia="宋体" w:cs="宋体"/>
          <w:color w:val="000000"/>
          <w:sz w:val="24"/>
          <w:szCs w:val="24"/>
          <w:highlight w:val="none"/>
          <w:lang w:val="en-US" w:eastAsia="zh-CN"/>
        </w:rPr>
        <w:t xml:space="preserve">150万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736"/>
        <w:ind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w:t>
      </w:r>
      <w:r>
        <w:rPr>
          <w:rFonts w:hint="eastAsia" w:ascii="宋体" w:hAnsi="宋体" w:eastAsia="宋体" w:cs="宋体"/>
          <w:color w:val="000000"/>
          <w:sz w:val="24"/>
          <w:szCs w:val="24"/>
          <w:highlight w:val="none"/>
          <w:u w:val="none"/>
        </w:rPr>
        <w:t xml:space="preserve">设置</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150</w:t>
      </w:r>
      <w:r>
        <w:rPr>
          <w:rFonts w:hint="eastAsia" w:ascii="宋体" w:hAnsi="宋体" w:eastAsia="宋体" w:cs="宋体"/>
          <w:color w:val="000000"/>
          <w:sz w:val="24"/>
          <w:szCs w:val="24"/>
          <w:highlight w:val="none"/>
          <w:lang w:eastAsia="zh-CN"/>
        </w:rPr>
        <w:t xml:space="preserve">万</w:t>
      </w:r>
      <w:r>
        <w:rPr>
          <w:rFonts w:hint="eastAsia" w:ascii="宋体" w:hAnsi="宋体" w:eastAsia="宋体" w:cs="宋体"/>
          <w:color w:val="000000"/>
          <w:sz w:val="24"/>
          <w:szCs w:val="24"/>
          <w:highlight w:val="none"/>
        </w:rPr>
        <w:t xml:space="preserve">元，超过最高限价作无效投标处理。</w:t>
      </w:r>
      <w:r>
        <w:rPr>
          <w:rFonts w:hint="eastAsia" w:ascii="宋体" w:hAnsi="宋体" w:eastAsia="宋体" w:cs="宋体"/>
          <w:color w:val="000000"/>
          <w:sz w:val="24"/>
          <w:szCs w:val="24"/>
          <w:highlight w:val="none"/>
        </w:rPr>
      </w:r>
      <w:r/>
    </w:p>
    <w:p>
      <w:pPr>
        <w:pStyle w:val="736"/>
        <w:ind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5.采购需求：</w:t>
      </w:r>
      <w:r>
        <w:rPr>
          <w:rFonts w:hint="eastAsia" w:ascii="宋体" w:hAnsi="宋体" w:eastAsia="宋体" w:cs="宋体"/>
          <w:sz w:val="24"/>
          <w:szCs w:val="24"/>
          <w:highlight w:val="none"/>
        </w:rPr>
        <w:t xml:space="preserve">具体详见第四章 项目需求</w:t>
      </w:r>
      <w:r>
        <w:rPr>
          <w:rFonts w:hint="eastAsia" w:ascii="宋体" w:hAnsi="宋体" w:eastAsia="宋体" w:cs="宋体"/>
          <w:sz w:val="24"/>
          <w:szCs w:val="24"/>
          <w:highlight w:val="none"/>
        </w:rPr>
      </w:r>
      <w:r/>
    </w:p>
    <w:p>
      <w:pPr>
        <w:pStyle w:val="736"/>
        <w:ind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6.合同履行期限：</w:t>
      </w:r>
      <w:r>
        <w:rPr>
          <w:rStyle w:val="770"/>
          <w:rFonts w:cs="宋体"/>
          <w:b w:val="0"/>
          <w:bCs/>
          <w:color w:val="000000"/>
          <w:sz w:val="24"/>
          <w:szCs w:val="24"/>
          <w:highlight w:val="none"/>
          <w:lang w:bidi="ar"/>
        </w:rPr>
        <w:t xml:space="preserve">合同签订后</w:t>
      </w:r>
      <w:r>
        <w:rPr>
          <w:rStyle w:val="770"/>
          <w:rFonts w:cs="宋体"/>
          <w:b w:val="0"/>
          <w:bCs/>
          <w:sz w:val="24"/>
          <w:szCs w:val="24"/>
          <w:highlight w:val="none"/>
          <w:u w:val="single"/>
          <w:lang w:bidi="ar"/>
        </w:rPr>
        <w:t xml:space="preserve">30</w:t>
      </w:r>
      <w:r>
        <w:rPr>
          <w:rStyle w:val="770"/>
          <w:rFonts w:cs="宋体"/>
          <w:b w:val="0"/>
          <w:bCs/>
          <w:color w:val="000000"/>
          <w:sz w:val="24"/>
          <w:szCs w:val="24"/>
          <w:highlight w:val="none"/>
          <w:lang w:bidi="ar"/>
        </w:rPr>
        <w:t xml:space="preserve">个工作日内到货并完成安装调试</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r>
      <w:r/>
    </w:p>
    <w:p>
      <w:pPr>
        <w:pStyle w:val="736"/>
        <w:ind w:firstLine="42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质保期限：不少于</w:t>
      </w:r>
      <w:r>
        <w:rPr>
          <w:rFonts w:hint="eastAsia" w:ascii="宋体" w:hAnsi="宋体" w:eastAsia="宋体" w:cs="宋体"/>
          <w:color w:val="000000"/>
          <w:sz w:val="24"/>
          <w:szCs w:val="24"/>
          <w:highlight w:val="none"/>
          <w:lang w:val="en-US" w:eastAsia="zh-CN"/>
        </w:rPr>
        <w:t xml:space="preserve">3年整机免费质保。</w:t>
      </w:r>
      <w:r>
        <w:rPr>
          <w:rFonts w:hint="eastAsia" w:ascii="宋体" w:hAnsi="宋体" w:eastAsia="宋体" w:cs="宋体"/>
          <w:color w:val="000000"/>
          <w:sz w:val="24"/>
          <w:szCs w:val="24"/>
          <w:highlight w:val="none"/>
          <w:lang w:val="en-US" w:eastAsia="zh-CN"/>
        </w:rPr>
      </w:r>
      <w:r/>
    </w:p>
    <w:p>
      <w:pPr>
        <w:pStyle w:val="736"/>
        <w:ind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w:t>
      </w:r>
      <w:r>
        <w:rPr>
          <w:rFonts w:hint="eastAsia" w:ascii="宋体" w:hAnsi="宋体" w:eastAsia="宋体" w:cs="宋体"/>
          <w:i/>
          <w:iCs/>
          <w:color w:val="000000"/>
          <w:sz w:val="24"/>
          <w:szCs w:val="24"/>
          <w:highlight w:val="none"/>
          <w:u w:val="single"/>
        </w:rPr>
        <w:t xml:space="preserve">不接受</w:t>
      </w:r>
      <w:r>
        <w:rPr>
          <w:rFonts w:hint="eastAsia" w:ascii="宋体" w:hAnsi="宋体" w:eastAsia="宋体" w:cs="宋体"/>
          <w:i/>
          <w:i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联合体投标。</w:t>
      </w:r>
      <w:r>
        <w:rPr>
          <w:rFonts w:hint="eastAsia" w:ascii="宋体" w:hAnsi="宋体" w:eastAsia="宋体" w:cs="宋体"/>
          <w:color w:val="000000"/>
          <w:sz w:val="24"/>
          <w:szCs w:val="24"/>
          <w:highlight w:val="none"/>
        </w:rPr>
      </w:r>
      <w:r/>
    </w:p>
    <w:p>
      <w:pPr>
        <w:pStyle w:val="736"/>
        <w:ind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本项目</w:t>
      </w:r>
      <w:r>
        <w:rPr>
          <w:rFonts w:hint="eastAsia" w:ascii="宋体" w:hAnsi="宋体" w:eastAsia="宋体" w:cs="宋体"/>
          <w:i/>
          <w:iCs/>
          <w:color w:val="000000"/>
          <w:sz w:val="24"/>
          <w:szCs w:val="24"/>
          <w:highlight w:val="none"/>
          <w:u w:val="single"/>
          <w:lang w:val="en-US" w:eastAsia="zh-CN"/>
        </w:rPr>
        <w:t xml:space="preserve">不</w:t>
      </w:r>
      <w:r>
        <w:rPr>
          <w:rFonts w:hint="eastAsia" w:ascii="宋体" w:hAnsi="宋体" w:eastAsia="宋体" w:cs="宋体"/>
          <w:i/>
          <w:iCs/>
          <w:color w:val="000000"/>
          <w:sz w:val="24"/>
          <w:szCs w:val="24"/>
          <w:highlight w:val="none"/>
          <w:u w:val="single"/>
        </w:rPr>
        <w:t xml:space="preserve">接受</w:t>
      </w:r>
      <w:r>
        <w:rPr>
          <w:rFonts w:hint="eastAsia" w:ascii="宋体" w:hAnsi="宋体" w:eastAsia="宋体" w:cs="宋体"/>
          <w:b/>
          <w:bCs/>
          <w:i/>
          <w:i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进口产品投标。</w:t>
      </w:r>
      <w:r>
        <w:rPr>
          <w:rFonts w:hint="eastAsia" w:ascii="宋体" w:hAnsi="宋体" w:eastAsia="宋体" w:cs="宋体"/>
          <w:color w:val="000000"/>
          <w:sz w:val="24"/>
          <w:szCs w:val="24"/>
          <w:highlight w:val="none"/>
        </w:rPr>
      </w:r>
      <w:r/>
    </w:p>
    <w:p>
      <w:pPr>
        <w:pStyle w:val="736"/>
        <w:ind w:firstLine="42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  </w:t>
      </w:r>
      <w:bookmarkStart w:id="9" w:name="_Toc38985264"/>
      <w:r/>
      <w:bookmarkStart w:id="10" w:name="_Toc28359080"/>
      <w:r/>
      <w:bookmarkStart w:id="11" w:name="_Toc35393622"/>
      <w:r/>
      <w:bookmarkStart w:id="12" w:name="_Toc28359003"/>
      <w:r/>
      <w:bookmarkStart w:id="13" w:name="_Toc35393791"/>
      <w:r>
        <w:rPr>
          <w:rFonts w:hint="eastAsia" w:ascii="宋体" w:hAnsi="宋体" w:eastAsia="宋体" w:cs="宋体"/>
          <w:b/>
          <w:bCs/>
          <w:color w:val="000000"/>
          <w:sz w:val="24"/>
          <w:szCs w:val="24"/>
          <w:highlight w:val="none"/>
        </w:rPr>
        <w:t xml:space="preserve">二、申请人的资格要求：</w:t>
      </w:r>
      <w:bookmarkEnd w:id="9"/>
      <w:r/>
      <w:bookmarkEnd w:id="10"/>
      <w:r/>
      <w:bookmarkEnd w:id="11"/>
      <w:r/>
      <w:bookmarkEnd w:id="12"/>
      <w:r/>
      <w:bookmarkEnd w:id="13"/>
      <w:r>
        <w:rPr>
          <w:rFonts w:hint="eastAsia" w:ascii="宋体" w:hAnsi="宋体" w:eastAsia="宋体" w:cs="宋体"/>
          <w:b/>
          <w:bCs/>
          <w:color w:val="000000"/>
          <w:sz w:val="24"/>
          <w:szCs w:val="24"/>
          <w:highlight w:val="none"/>
        </w:rPr>
      </w:r>
      <w:r/>
    </w:p>
    <w:p>
      <w:pPr>
        <w:pStyle w:val="73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14" w:name="_Toc38985265"/>
      <w:r/>
      <w:bookmarkStart w:id="15" w:name="_Toc28359004"/>
      <w:r/>
      <w:bookmarkStart w:id="16" w:name="_Toc28359081"/>
      <w:r/>
      <w:bookmarkStart w:id="17" w:name="_Toc35393792"/>
      <w:r/>
      <w:bookmarkStart w:id="18" w:name="_Toc35393623"/>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736"/>
        <w:ind w:firstLine="480"/>
        <w:jc w:val="left"/>
        <w:keepLines w:val="0"/>
        <w:keepNext w:val="0"/>
        <w:pageBreakBefore w:val="0"/>
        <w:spacing w:line="360" w:lineRule="auto"/>
        <w:widowControl w:val="off"/>
        <w:rPr>
          <w:rFonts w:hint="eastAsia" w:ascii="宋体" w:hAnsi="宋体" w:eastAsia="宋体" w:cs="宋体"/>
          <w:i/>
          <w:iCs/>
          <w:color w:val="000000"/>
          <w:sz w:val="24"/>
          <w:szCs w:val="24"/>
          <w:highlight w:val="none"/>
          <w:u w:val="single"/>
          <w:lang w:eastAsia="zh-CN"/>
        </w:rPr>
      </w:pPr>
      <w:r>
        <w:rPr>
          <w:rFonts w:hint="eastAsia" w:ascii="宋体" w:hAnsi="宋体" w:eastAsia="宋体" w:cs="宋体"/>
          <w:i/>
          <w:iCs/>
          <w:color w:val="000000"/>
          <w:sz w:val="24"/>
          <w:szCs w:val="24"/>
          <w:highlight w:val="none"/>
          <w:u w:val="single"/>
        </w:rPr>
        <w:t xml:space="preserve">1.1法人或者其他组织的营业执照等证明文件，自然人的身份证明</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eastAsia="zh-CN"/>
        </w:rPr>
      </w:r>
      <w:r/>
    </w:p>
    <w:p>
      <w:pPr>
        <w:pStyle w:val="736"/>
        <w:ind w:firstLine="480"/>
        <w:jc w:val="left"/>
        <w:keepLines w:val="0"/>
        <w:keepNext w:val="0"/>
        <w:pageBreakBefore w:val="0"/>
        <w:spacing w:line="360" w:lineRule="auto"/>
        <w:widowControl w:val="off"/>
        <w:rPr>
          <w:rFonts w:hint="eastAsia" w:ascii="宋体" w:hAnsi="宋体" w:eastAsia="宋体" w:cs="宋体"/>
          <w:b w:val="0"/>
          <w:bCs w:val="0"/>
          <w:i/>
          <w:iCs/>
          <w:color w:val="000000"/>
          <w:sz w:val="24"/>
          <w:szCs w:val="24"/>
          <w:highlight w:val="none"/>
          <w:u w:val="single"/>
          <w:lang w:eastAsia="zh-CN"/>
        </w:rPr>
      </w:pPr>
      <w:r>
        <w:rPr>
          <w:rFonts w:hint="eastAsia" w:ascii="宋体" w:hAnsi="宋体" w:eastAsia="宋体" w:cs="宋体"/>
          <w:b w:val="0"/>
          <w:bCs w:val="0"/>
          <w:i/>
          <w:iCs/>
          <w:color w:val="000000"/>
          <w:sz w:val="24"/>
          <w:szCs w:val="24"/>
          <w:highlight w:val="none"/>
          <w:u w:val="single"/>
        </w:rPr>
        <w:t xml:space="preserve">1.2 </w:t>
      </w:r>
      <w:r>
        <w:rPr>
          <w:rFonts w:hint="eastAsia" w:ascii="宋体" w:hAnsi="宋体" w:cs="宋体"/>
          <w:b w:val="0"/>
          <w:bCs w:val="0"/>
          <w:i/>
          <w:iCs/>
          <w:color w:val="000000"/>
          <w:sz w:val="24"/>
          <w:szCs w:val="24"/>
          <w:highlight w:val="none"/>
          <w:u w:val="single"/>
          <w:lang w:val="en-US" w:eastAsia="zh-CN"/>
        </w:rPr>
        <w:t xml:space="preserve">上一年度</w:t>
      </w:r>
      <w:r>
        <w:rPr>
          <w:rFonts w:hint="eastAsia" w:ascii="宋体" w:hAnsi="宋体" w:eastAsia="宋体" w:cs="宋体"/>
          <w:b w:val="0"/>
          <w:bCs w:val="0"/>
          <w:i/>
          <w:iCs/>
          <w:color w:val="000000"/>
          <w:sz w:val="24"/>
          <w:szCs w:val="24"/>
          <w:highlight w:val="none"/>
          <w:u w:val="single"/>
        </w:rPr>
        <w:t xml:space="preserve">的财务报告情况</w:t>
      </w:r>
      <w:r>
        <w:rPr>
          <w:rFonts w:hint="eastAsia" w:ascii="宋体" w:hAnsi="宋体" w:eastAsia="宋体" w:cs="宋体"/>
          <w:b/>
          <w:bCs/>
          <w:i/>
          <w:iCs/>
          <w:color w:val="000000"/>
          <w:sz w:val="24"/>
          <w:szCs w:val="24"/>
          <w:highlight w:val="none"/>
          <w:u w:val="single"/>
        </w:rPr>
        <w:t xml:space="preserve">（成立不满一年无需提供）</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eastAsia="zh-CN"/>
        </w:rPr>
      </w:r>
      <w:r/>
    </w:p>
    <w:p>
      <w:pPr>
        <w:pStyle w:val="736"/>
        <w:ind w:firstLine="480"/>
        <w:jc w:val="left"/>
        <w:keepLines w:val="0"/>
        <w:keepNext w:val="0"/>
        <w:pageBreakBefore w:val="0"/>
        <w:spacing w:line="360" w:lineRule="auto"/>
        <w:widowControl w:val="off"/>
        <w:rPr>
          <w:rFonts w:hint="eastAsia" w:ascii="宋体" w:hAnsi="宋体" w:eastAsia="宋体" w:cs="宋体"/>
          <w:b w:val="0"/>
          <w:bCs w:val="0"/>
          <w:i/>
          <w:iCs/>
          <w:color w:val="000000"/>
          <w:sz w:val="24"/>
          <w:szCs w:val="24"/>
          <w:highlight w:val="none"/>
          <w:u w:val="single"/>
        </w:rPr>
      </w:pPr>
      <w:r>
        <w:rPr>
          <w:rFonts w:hint="eastAsia" w:ascii="宋体" w:hAnsi="宋体" w:eastAsia="宋体" w:cs="宋体"/>
          <w:b w:val="0"/>
          <w:bCs w:val="0"/>
          <w:i/>
          <w:iCs/>
          <w:color w:val="000000"/>
          <w:sz w:val="24"/>
          <w:szCs w:val="24"/>
          <w:highlight w:val="none"/>
          <w:u w:val="single"/>
        </w:rPr>
        <w:t xml:space="preserve">1.3 依法缴纳税收和社会保障资金的相关材料</w:t>
      </w:r>
      <w:r>
        <w:rPr>
          <w:rFonts w:hint="eastAsia" w:ascii="宋体" w:hAnsi="宋体" w:eastAsia="宋体" w:cs="宋体"/>
          <w:b/>
          <w:bCs/>
          <w:i/>
          <w:iCs/>
          <w:color w:val="000000"/>
          <w:sz w:val="24"/>
          <w:szCs w:val="24"/>
          <w:highlight w:val="none"/>
          <w:u w:val="single"/>
        </w:rPr>
        <w:t xml:space="preserve">（提供提交</w:t>
      </w:r>
      <w:r>
        <w:rPr>
          <w:rFonts w:hint="eastAsia" w:ascii="宋体" w:hAnsi="宋体" w:cs="宋体"/>
          <w:b/>
          <w:bCs/>
          <w:i/>
          <w:iCs/>
          <w:color w:val="000000"/>
          <w:sz w:val="24"/>
          <w:szCs w:val="24"/>
          <w:highlight w:val="none"/>
          <w:u w:val="single"/>
          <w:lang w:eastAsia="zh-CN"/>
        </w:rPr>
        <w:t xml:space="preserve">投标文件</w:t>
      </w:r>
      <w:r>
        <w:rPr>
          <w:rFonts w:hint="eastAsia" w:ascii="宋体" w:hAnsi="宋体" w:eastAsia="宋体" w:cs="宋体"/>
          <w:b/>
          <w:bCs/>
          <w:i/>
          <w:iCs/>
          <w:color w:val="000000"/>
          <w:sz w:val="24"/>
          <w:szCs w:val="24"/>
          <w:highlight w:val="none"/>
          <w:u w:val="single"/>
        </w:rPr>
        <w:t xml:space="preserve">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rPr>
        <w:t xml:space="preserve">；</w:t>
      </w:r>
      <w:r>
        <w:rPr>
          <w:rFonts w:hint="eastAsia" w:ascii="宋体" w:hAnsi="宋体" w:eastAsia="宋体" w:cs="宋体"/>
          <w:b w:val="0"/>
          <w:bCs w:val="0"/>
          <w:i/>
          <w:iCs/>
          <w:color w:val="000000"/>
          <w:sz w:val="24"/>
          <w:szCs w:val="24"/>
          <w:highlight w:val="none"/>
          <w:u w:val="single"/>
        </w:rPr>
      </w:r>
      <w:r/>
    </w:p>
    <w:p>
      <w:pPr>
        <w:pStyle w:val="736"/>
        <w:ind w:firstLine="480"/>
        <w:jc w:val="left"/>
        <w:keepLines w:val="0"/>
        <w:keepNext w:val="0"/>
        <w:pageBreakBefore w:val="0"/>
        <w:spacing w:line="360" w:lineRule="auto"/>
        <w:widowControl w:val="off"/>
        <w:rPr>
          <w:rFonts w:hint="eastAsia" w:ascii="宋体" w:hAnsi="宋体" w:eastAsia="宋体" w:cs="宋体"/>
          <w:b/>
          <w:bCs/>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1.4 具备履行合同所必需的设备和专业技术能力的书面声明；</w:t>
      </w:r>
      <w:r>
        <w:rPr>
          <w:rFonts w:hint="eastAsia" w:ascii="宋体" w:hAnsi="宋体" w:eastAsia="宋体" w:cs="宋体"/>
          <w:b/>
          <w:bCs/>
          <w:i/>
          <w:iCs/>
          <w:color w:val="000000"/>
          <w:sz w:val="24"/>
          <w:szCs w:val="24"/>
          <w:highlight w:val="none"/>
          <w:u w:val="single"/>
        </w:rPr>
      </w:r>
      <w:r/>
    </w:p>
    <w:p>
      <w:pPr>
        <w:pStyle w:val="736"/>
        <w:ind w:firstLine="480"/>
        <w:jc w:val="left"/>
        <w:keepLines w:val="0"/>
        <w:keepNext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1.5 参加政府采购活动前3年内在经营活动中没有重大违法记录的书面声明；</w:t>
      </w:r>
      <w:r>
        <w:rPr>
          <w:rFonts w:hint="eastAsia" w:ascii="宋体" w:hAnsi="宋体" w:eastAsia="宋体" w:cs="宋体"/>
          <w:i/>
          <w:iCs/>
          <w:color w:val="000000"/>
          <w:sz w:val="24"/>
          <w:szCs w:val="24"/>
          <w:highlight w:val="none"/>
          <w:u w:val="single"/>
        </w:rPr>
      </w:r>
      <w:r/>
    </w:p>
    <w:p>
      <w:pPr>
        <w:pStyle w:val="736"/>
        <w:ind w:firstLine="480"/>
        <w:jc w:val="left"/>
        <w:keepLines w:val="0"/>
        <w:keepNext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1.6 </w:t>
      </w:r>
      <w:r>
        <w:rPr>
          <w:rFonts w:hint="eastAsia" w:ascii="宋体" w:hAnsi="宋体" w:cs="宋体"/>
          <w:i/>
          <w:iCs/>
          <w:color w:val="000000"/>
          <w:sz w:val="24"/>
          <w:szCs w:val="24"/>
          <w:highlight w:val="none"/>
          <w:u w:val="single"/>
          <w:lang w:eastAsia="zh-CN"/>
        </w:rPr>
        <w:t xml:space="preserve">供应商信用承诺书</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rPr>
      </w:r>
      <w:r/>
    </w:p>
    <w:p>
      <w:pPr>
        <w:pStyle w:val="736"/>
        <w:ind w:firstLine="480"/>
        <w:jc w:val="left"/>
        <w:keepLines w:val="0"/>
        <w:keepNext w:val="0"/>
        <w:pageBreakBefore w:val="0"/>
        <w:spacing w:line="360" w:lineRule="auto"/>
        <w:widowControl w:val="off"/>
        <w:rPr>
          <w:rFonts w:hint="eastAsia" w:ascii="宋体" w:hAnsi="宋体" w:eastAsia="宋体" w:cs="宋体"/>
          <w:b/>
          <w:bCs/>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1.7 未被“信用中国”网站（www.creditchina.gov.cn）、“中国政府采购网"(www.ccgp.gov.cn</w:t>
      </w:r>
      <w:r>
        <w:rPr>
          <w:rFonts w:hint="eastAsia" w:ascii="宋体" w:hAnsi="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rPr>
        <w:t xml:space="preserve">列入失信被执行人、重大税收违法案件当事人名单、政府采购严重违法</w:t>
      </w:r>
      <w:r>
        <w:rPr>
          <w:rFonts w:hint="eastAsia" w:ascii="宋体" w:hAnsi="宋体" w:eastAsia="宋体" w:cs="宋体"/>
          <w:b w:val="0"/>
          <w:bCs w:val="0"/>
          <w:i/>
          <w:iCs/>
          <w:color w:val="000000"/>
          <w:sz w:val="24"/>
          <w:szCs w:val="24"/>
          <w:highlight w:val="none"/>
          <w:u w:val="single"/>
        </w:rPr>
        <w:t xml:space="preserve">失信行为记录名单及其他不符合《中华人民共和国政府采购法》第二十二条规定条件的信用记录。（投标文件中无需提供证明材料）</w:t>
      </w:r>
      <w:r>
        <w:rPr>
          <w:rFonts w:hint="eastAsia" w:ascii="宋体" w:hAnsi="宋体" w:eastAsia="宋体" w:cs="宋体"/>
          <w:b/>
          <w:bCs/>
          <w:i/>
          <w:iCs/>
          <w:color w:val="000000"/>
          <w:sz w:val="24"/>
          <w:szCs w:val="24"/>
          <w:highlight w:val="none"/>
          <w:u w:val="single"/>
        </w:rPr>
      </w:r>
      <w:r/>
    </w:p>
    <w:p>
      <w:pPr>
        <w:pStyle w:val="736"/>
        <w:ind w:firstLine="422"/>
        <w:spacing w:line="360" w:lineRule="auto"/>
        <w:rPr>
          <w:rFonts w:ascii="宋体" w:hAnsi="宋体" w:cs="宋体"/>
          <w:b/>
          <w:i/>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4"/>
          <w:szCs w:val="24"/>
          <w:highlight w:val="none"/>
          <w:u w:val="single"/>
          <w:lang w:val="en-US" w:eastAsia="zh-CN"/>
        </w:rPr>
        <w:t xml:space="preserve">2.</w:t>
      </w:r>
      <w:r>
        <w:rPr>
          <w:rFonts w:ascii="宋体" w:hAnsi="宋体" w:cs="宋体"/>
          <w:b/>
          <w:i/>
          <w:sz w:val="24"/>
          <w:szCs w:val="24"/>
          <w:highlight w:val="none"/>
          <w:u w:val="single"/>
        </w:rPr>
        <w:t xml:space="preserve">落实政府采购政策需满足的资格要求：</w:t>
      </w:r>
      <w:r>
        <w:rPr>
          <w:rFonts w:ascii="宋体" w:hAnsi="宋体" w:cs="宋体"/>
          <w:b/>
          <w:i/>
          <w:sz w:val="24"/>
          <w:szCs w:val="24"/>
          <w:highlight w:val="none"/>
          <w:u w:val="single"/>
        </w:rPr>
      </w:r>
      <w:r/>
    </w:p>
    <w:p>
      <w:pPr>
        <w:pStyle w:val="736"/>
        <w:ind w:firstLine="422"/>
        <w:spacing w:line="360" w:lineRule="auto"/>
        <w:rPr>
          <w:rFonts w:hint="eastAsia" w:ascii="宋体" w:hAnsi="宋体" w:cs="宋体"/>
          <w:b w:val="0"/>
          <w:bCs w:val="0"/>
          <w:i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i w:val="0"/>
          <w:iCs w:val="0"/>
          <w:sz w:val="24"/>
          <w:szCs w:val="24"/>
          <w:highlight w:val="none"/>
          <w:u w:val="none"/>
          <w:lang w:val="en-US" w:eastAsia="zh-CN"/>
        </w:rPr>
        <w:t xml:space="preserve">2.1</w:t>
      </w:r>
      <w:r>
        <w:rPr>
          <w:rFonts w:hint="eastAsia" w:ascii="宋体" w:hAnsi="宋体" w:cs="宋体"/>
          <w:b w:val="0"/>
          <w:bCs w:val="0"/>
          <w:i w:val="0"/>
          <w:iCs w:val="0"/>
          <w:sz w:val="24"/>
          <w:szCs w:val="24"/>
          <w:highlight w:val="none"/>
          <w:u w:val="none"/>
        </w:rPr>
        <w:t xml:space="preserve">本项目为非专门面向中小微企业项目</w:t>
      </w:r>
      <w:r>
        <w:rPr>
          <w:b w:val="0"/>
          <w:bCs w:val="0"/>
          <w:i w:val="0"/>
          <w:iCs w:val="0"/>
          <w:u w:val="none"/>
        </w:rPr>
      </w:r>
      <w:r/>
    </w:p>
    <w:p>
      <w:pPr>
        <w:pStyle w:val="736"/>
        <w:ind w:firstLine="422"/>
        <w:spacing w:line="360" w:lineRule="auto"/>
        <w:rPr>
          <w:b w:val="0"/>
          <w:bCs w:val="0"/>
          <w:i w:val="0"/>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i w:val="0"/>
          <w:iCs w:val="0"/>
          <w:sz w:val="24"/>
          <w:szCs w:val="24"/>
          <w:highlight w:val="none"/>
          <w:u w:val="none"/>
          <w:lang w:val="en-US" w:eastAsia="zh-CN"/>
        </w:rPr>
        <w:t xml:space="preserve">2.2</w:t>
      </w:r>
      <w:r>
        <w:rPr>
          <w:rFonts w:ascii="宋体" w:hAnsi="宋体" w:cs="宋体"/>
          <w:b w:val="0"/>
          <w:bCs w:val="0"/>
          <w:i w:val="0"/>
          <w:iCs w:val="0"/>
          <w:sz w:val="24"/>
          <w:szCs w:val="24"/>
          <w:highlight w:val="none"/>
          <w:u w:val="none"/>
        </w:rPr>
        <w:t xml:space="preserve">本项目属于货物类采购。根据《政府采购促进中小企业发展管理办法》（财库〔2020〕46号）、《关于做好政府采购支持企业发展有关事项的通知》(苏财购(2020)52号)的要求，小型、微型企业</w:t>
      </w:r>
      <w:r>
        <w:rPr>
          <w:rFonts w:hint="eastAsia" w:ascii="宋体" w:hAnsi="宋体" w:cs="宋体"/>
          <w:b w:val="0"/>
          <w:bCs w:val="0"/>
          <w:i w:val="0"/>
          <w:iCs w:val="0"/>
          <w:sz w:val="24"/>
          <w:szCs w:val="24"/>
          <w:highlight w:val="none"/>
          <w:u w:val="none"/>
        </w:rPr>
        <w:t xml:space="preserve">在评标时享受扶持政策。</w:t>
      </w:r>
      <w:r>
        <w:rPr>
          <w:rFonts w:ascii="宋体" w:hAnsi="宋体" w:cs="宋体"/>
          <w:b w:val="0"/>
          <w:bCs w:val="0"/>
          <w:i w:val="0"/>
          <w:iCs w:val="0"/>
          <w:sz w:val="24"/>
          <w:szCs w:val="24"/>
          <w:highlight w:val="none"/>
          <w:u w:val="none"/>
        </w:rPr>
        <w:t xml:space="preserve">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rPr>
          <w:b w:val="0"/>
          <w:bCs w:val="0"/>
          <w:i w:val="0"/>
          <w:iCs w:val="0"/>
          <w:u w:val="none"/>
        </w:rPr>
      </w:r>
      <w:r/>
    </w:p>
    <w:p>
      <w:pPr>
        <w:pStyle w:val="736"/>
        <w:ind w:firstLine="422"/>
        <w:spacing w:line="360" w:lineRule="auto"/>
        <w:rPr>
          <w:rFonts w:ascii="宋体" w:hAnsi="宋体" w:cs="宋体"/>
          <w:b/>
          <w:i/>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4"/>
          <w:szCs w:val="24"/>
          <w:highlight w:val="none"/>
          <w:u w:val="single"/>
        </w:rPr>
        <w:t xml:space="preserve">（三）</w:t>
      </w:r>
      <w:r>
        <w:rPr>
          <w:rFonts w:ascii="宋体" w:hAnsi="宋体" w:cs="宋体"/>
          <w:b/>
          <w:i/>
          <w:sz w:val="24"/>
          <w:szCs w:val="24"/>
          <w:highlight w:val="none"/>
          <w:u w:val="single"/>
        </w:rPr>
        <w:t xml:space="preserve">本项目的特定资格要求：</w:t>
      </w:r>
      <w:r>
        <w:rPr>
          <w:rFonts w:ascii="宋体" w:hAnsi="宋体" w:cs="宋体"/>
          <w:b/>
          <w:i/>
          <w:sz w:val="24"/>
          <w:szCs w:val="24"/>
          <w:highlight w:val="none"/>
          <w:u w:val="single"/>
        </w:rPr>
      </w:r>
      <w:r/>
    </w:p>
    <w:p>
      <w:pPr>
        <w:pStyle w:val="736"/>
        <w:ind w:firstLine="420"/>
        <w:jc w:val="left"/>
        <w:spacing w:line="360" w:lineRule="auto"/>
        <w:tabs>
          <w:tab w:val="left" w:pos="900" w:leader="none"/>
        </w:tabs>
        <w:rPr>
          <w:rFonts w:hint="eastAsia"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1.</w:t>
      </w:r>
      <w:r>
        <w:rPr>
          <w:rFonts w:hint="eastAsia" w:ascii="宋体" w:hAnsi="宋体" w:cs="宋体"/>
          <w:b/>
          <w:bCs/>
          <w:i/>
          <w:iCs/>
          <w:sz w:val="24"/>
          <w:szCs w:val="24"/>
          <w:highlight w:val="none"/>
          <w:u w:val="single"/>
          <w:lang w:eastAsia="zh-CN"/>
        </w:rPr>
        <w:t xml:space="preserve">供应商</w:t>
      </w:r>
      <w:r>
        <w:rPr>
          <w:rFonts w:hint="eastAsia" w:ascii="宋体" w:hAnsi="宋体" w:cs="宋体"/>
          <w:b/>
          <w:bCs/>
          <w:i/>
          <w:iCs/>
          <w:sz w:val="24"/>
          <w:szCs w:val="24"/>
          <w:highlight w:val="none"/>
          <w:u w:val="single"/>
        </w:rPr>
        <w:t xml:space="preserve">须提供投标</w:t>
      </w:r>
      <w:r>
        <w:rPr>
          <w:rFonts w:hint="eastAsia" w:ascii="宋体" w:hAnsi="宋体" w:cs="宋体"/>
          <w:b/>
          <w:bCs/>
          <w:i/>
          <w:iCs/>
          <w:sz w:val="24"/>
          <w:szCs w:val="24"/>
          <w:highlight w:val="none"/>
          <w:u w:val="single"/>
          <w:lang w:eastAsia="zh-CN"/>
        </w:rPr>
        <w:t xml:space="preserve">响应</w:t>
      </w:r>
      <w:r>
        <w:rPr>
          <w:rFonts w:hint="eastAsia" w:ascii="宋体" w:hAnsi="宋体" w:cs="宋体"/>
          <w:b/>
          <w:bCs/>
          <w:i/>
          <w:iCs/>
          <w:sz w:val="24"/>
          <w:szCs w:val="24"/>
          <w:highlight w:val="none"/>
          <w:u w:val="single"/>
        </w:rPr>
        <w:t xml:space="preserve">产品的《</w:t>
      </w:r>
      <w:r>
        <w:rPr>
          <w:rFonts w:hint="eastAsia" w:ascii="宋体" w:hAnsi="宋体" w:eastAsia="宋体" w:cs="宋体"/>
          <w:b/>
          <w:bCs/>
          <w:i/>
          <w:iCs/>
          <w:sz w:val="24"/>
          <w:szCs w:val="24"/>
          <w:highlight w:val="none"/>
          <w:u w:val="single"/>
        </w:rPr>
        <w:t xml:space="preserve">中华人民共和国医疗器械注册证》</w:t>
      </w:r>
      <w:r>
        <w:rPr>
          <w:rFonts w:hint="eastAsia" w:ascii="宋体" w:hAnsi="宋体" w:cs="宋体"/>
          <w:b/>
          <w:bCs/>
          <w:i/>
          <w:iCs/>
          <w:color w:val="000000"/>
          <w:sz w:val="24"/>
          <w:szCs w:val="24"/>
          <w:highlight w:val="none"/>
          <w:u w:val="single"/>
          <w:lang w:eastAsia="zh-CN"/>
        </w:rPr>
        <w:t xml:space="preserve">（原件扫描系统上传）</w:t>
      </w:r>
      <w:r>
        <w:rPr>
          <w:rFonts w:hint="eastAsia" w:ascii="宋体" w:hAnsi="宋体" w:cs="宋体"/>
          <w:b/>
          <w:bCs/>
          <w:i/>
          <w:iCs/>
          <w:sz w:val="24"/>
          <w:szCs w:val="24"/>
          <w:highlight w:val="none"/>
          <w:u w:val="single"/>
        </w:rPr>
        <w:t xml:space="preserve">；</w:t>
      </w:r>
      <w:r>
        <w:rPr>
          <w:rFonts w:hint="eastAsia" w:ascii="宋体" w:hAnsi="宋体" w:cs="宋体"/>
          <w:b/>
          <w:bCs/>
          <w:i/>
          <w:iCs/>
          <w:sz w:val="24"/>
          <w:szCs w:val="24"/>
          <w:highlight w:val="none"/>
          <w:u w:val="single"/>
        </w:rPr>
      </w:r>
      <w:r/>
    </w:p>
    <w:p>
      <w:pPr>
        <w:pStyle w:val="736"/>
        <w:ind w:firstLine="420"/>
        <w:jc w:val="left"/>
        <w:spacing w:line="360" w:lineRule="auto"/>
        <w:tabs>
          <w:tab w:val="left" w:pos="900" w:leader="none"/>
        </w:tabs>
        <w:rPr>
          <w:rFonts w:hint="eastAsia" w:ascii="宋体" w:hAnsi="宋体" w:cs="宋体"/>
          <w:b/>
          <w:bCs/>
          <w:i/>
          <w:iCs/>
          <w:sz w:val="24"/>
          <w:szCs w:val="24"/>
          <w:highlight w:val="none"/>
          <w:u w:val="single"/>
        </w:rPr>
      </w:pPr>
      <w:r>
        <w:rPr>
          <w:rFonts w:hint="eastAsia" w:ascii="宋体" w:hAnsi="宋体" w:cs="宋体"/>
          <w:b/>
          <w:bCs/>
          <w:i/>
          <w:iCs/>
          <w:sz w:val="24"/>
          <w:szCs w:val="24"/>
          <w:highlight w:val="none"/>
          <w:u w:val="single"/>
          <w:lang w:val="en-US" w:eastAsia="zh-CN"/>
        </w:rPr>
        <w:t xml:space="preserve">2</w:t>
      </w:r>
      <w:r>
        <w:rPr>
          <w:rFonts w:hint="eastAsia" w:ascii="宋体" w:hAnsi="宋体" w:cs="宋体"/>
          <w:b/>
          <w:bCs/>
          <w:i/>
          <w:iCs/>
          <w:sz w:val="24"/>
          <w:szCs w:val="24"/>
          <w:highlight w:val="none"/>
          <w:u w:val="single"/>
        </w:rPr>
        <w:t xml:space="preserve">.</w:t>
      </w:r>
      <w:r>
        <w:rPr>
          <w:rFonts w:hint="eastAsia" w:ascii="宋体" w:hAnsi="宋体" w:cs="宋体"/>
          <w:b/>
          <w:bCs/>
          <w:i/>
          <w:iCs/>
          <w:sz w:val="24"/>
          <w:szCs w:val="24"/>
          <w:highlight w:val="none"/>
          <w:u w:val="single"/>
          <w:lang w:eastAsia="zh-CN"/>
        </w:rPr>
        <w:t xml:space="preserve">供应商</w:t>
      </w:r>
      <w:r>
        <w:rPr>
          <w:rFonts w:hint="eastAsia" w:ascii="宋体" w:hAnsi="宋体" w:cs="宋体"/>
          <w:b/>
          <w:bCs/>
          <w:i/>
          <w:iCs/>
          <w:sz w:val="24"/>
          <w:szCs w:val="24"/>
          <w:highlight w:val="none"/>
          <w:u w:val="single"/>
        </w:rPr>
        <w:t xml:space="preserve">为医疗器械经营企业的，须提供《医疗器械经营许可证》或者《二类医疗器械经营备案凭证》</w:t>
      </w:r>
      <w:r>
        <w:rPr>
          <w:rFonts w:hint="eastAsia" w:ascii="宋体" w:hAnsi="宋体" w:cs="宋体"/>
          <w:b/>
          <w:bCs/>
          <w:i/>
          <w:iCs/>
          <w:color w:val="000000"/>
          <w:sz w:val="24"/>
          <w:szCs w:val="24"/>
          <w:highlight w:val="none"/>
          <w:u w:val="single"/>
          <w:lang w:eastAsia="zh-CN"/>
        </w:rPr>
        <w:t xml:space="preserve">（原件扫描系统上传）</w:t>
      </w:r>
      <w:r>
        <w:rPr>
          <w:rFonts w:hint="eastAsia" w:ascii="宋体" w:hAnsi="宋体" w:cs="宋体"/>
          <w:b/>
          <w:bCs/>
          <w:i/>
          <w:iCs/>
          <w:sz w:val="24"/>
          <w:szCs w:val="24"/>
          <w:highlight w:val="none"/>
          <w:u w:val="single"/>
        </w:rPr>
        <w:t xml:space="preserve">；</w:t>
      </w:r>
      <w:r>
        <w:rPr>
          <w:rFonts w:hint="eastAsia" w:ascii="宋体" w:hAnsi="宋体" w:cs="宋体"/>
          <w:b/>
          <w:bCs/>
          <w:i/>
          <w:iCs/>
          <w:sz w:val="24"/>
          <w:szCs w:val="24"/>
          <w:highlight w:val="none"/>
          <w:u w:val="single"/>
        </w:rPr>
      </w:r>
      <w:r/>
    </w:p>
    <w:p>
      <w:pPr>
        <w:pStyle w:val="736"/>
        <w:ind w:firstLine="420"/>
        <w:jc w:val="left"/>
        <w:spacing w:line="360" w:lineRule="auto"/>
        <w:tabs>
          <w:tab w:val="left" w:pos="900" w:leader="none"/>
        </w:tabs>
        <w:rPr>
          <w:rFonts w:hint="eastAsia" w:ascii="宋体" w:hAnsi="宋体" w:eastAsia="宋体" w:cs="宋体"/>
          <w:b/>
          <w:bCs/>
          <w:i/>
          <w:iCs/>
          <w:color w:val="000000"/>
          <w:sz w:val="24"/>
          <w:szCs w:val="24"/>
          <w:highlight w:val="none"/>
          <w:u w:val="single"/>
          <w:lang w:eastAsia="zh-CN"/>
        </w:rPr>
      </w:pPr>
      <w:r>
        <w:rPr>
          <w:rFonts w:hint="eastAsia" w:ascii="宋体" w:hAnsi="宋体" w:cs="宋体"/>
          <w:b/>
          <w:bCs/>
          <w:i/>
          <w:iCs/>
          <w:sz w:val="24"/>
          <w:szCs w:val="24"/>
          <w:highlight w:val="none"/>
          <w:u w:val="single"/>
          <w:lang w:val="en-US" w:eastAsia="zh-CN"/>
        </w:rPr>
        <w:t xml:space="preserve">3.供应商为医疗器械生产企业的，</w:t>
      </w:r>
      <w:r>
        <w:rPr>
          <w:rFonts w:hint="eastAsia" w:ascii="宋体" w:hAnsi="宋体" w:cs="宋体"/>
          <w:b/>
          <w:bCs/>
          <w:i/>
          <w:iCs/>
          <w:sz w:val="24"/>
          <w:szCs w:val="24"/>
          <w:highlight w:val="none"/>
          <w:u w:val="single"/>
        </w:rPr>
        <w:t xml:space="preserve">须提供《医疗器械生产许可证》</w:t>
      </w:r>
      <w:r>
        <w:rPr>
          <w:rFonts w:hint="eastAsia" w:ascii="宋体" w:hAnsi="宋体" w:cs="宋体"/>
          <w:b/>
          <w:bCs/>
          <w:i/>
          <w:iCs/>
          <w:color w:val="000000"/>
          <w:sz w:val="24"/>
          <w:szCs w:val="24"/>
          <w:highlight w:val="none"/>
          <w:u w:val="single"/>
          <w:lang w:eastAsia="zh-CN"/>
        </w:rPr>
        <w:t xml:space="preserve">（原件扫描系统上传）。</w:t>
      </w:r>
      <w:r>
        <w:rPr>
          <w:rFonts w:hint="eastAsia" w:ascii="宋体" w:hAnsi="宋体" w:eastAsia="宋体" w:cs="宋体"/>
          <w:b/>
          <w:bCs/>
          <w:i/>
          <w:iCs/>
          <w:color w:val="000000"/>
          <w:sz w:val="24"/>
          <w:szCs w:val="24"/>
          <w:highlight w:val="none"/>
          <w:u w:val="single"/>
          <w:lang w:eastAsia="zh-CN"/>
        </w:rPr>
      </w:r>
      <w:r/>
    </w:p>
    <w:p>
      <w:pPr>
        <w:pStyle w:val="736"/>
        <w:ind w:firstLine="422"/>
        <w:keepLines w:val="0"/>
        <w:keepNext w:val="0"/>
        <w:pageBreakBefore w:val="0"/>
        <w:spacing w:line="360" w:lineRule="auto"/>
        <w:tabs>
          <w:tab w:val="left" w:pos="266"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三、获取招标文件</w:t>
      </w:r>
      <w:bookmarkEnd w:id="14"/>
      <w:r/>
      <w:bookmarkEnd w:id="15"/>
      <w:r/>
      <w:bookmarkEnd w:id="16"/>
      <w:r/>
      <w:bookmarkEnd w:id="17"/>
      <w:r/>
      <w:bookmarkEnd w:id="18"/>
      <w:r>
        <w:rPr>
          <w:rFonts w:hint="eastAsia" w:ascii="宋体" w:hAnsi="宋体" w:eastAsia="宋体" w:cs="宋体"/>
          <w:b/>
          <w:bCs/>
          <w:color w:val="000000"/>
          <w:sz w:val="24"/>
          <w:szCs w:val="24"/>
          <w:highlight w:val="none"/>
        </w:rPr>
      </w:r>
      <w:r/>
    </w:p>
    <w:p>
      <w:pPr>
        <w:pStyle w:val="736"/>
        <w:ind w:firstLine="420"/>
        <w:keepLines w:val="0"/>
        <w:keepNext w:val="0"/>
        <w:pageBreakBefore w:val="0"/>
        <w:spacing w:line="360" w:lineRule="auto"/>
        <w:rPr>
          <w:rFonts w:hint="eastAsia" w:ascii="宋体" w:hAnsi="宋体" w:eastAsia="宋体" w:cs="宋体"/>
          <w:color w:val="000000"/>
          <w:sz w:val="24"/>
          <w:szCs w:val="24"/>
          <w:highlight w:val="none"/>
        </w:rPr>
      </w:pPr>
      <w:r/>
      <w:bookmarkStart w:id="19" w:name="_Toc28359082"/>
      <w:r/>
      <w:bookmarkStart w:id="20" w:name="_Toc28359005"/>
      <w:r/>
      <w:bookmarkStart w:id="21" w:name="_Toc38985266"/>
      <w:r/>
      <w:bookmarkStart w:id="22" w:name="_Toc35393624"/>
      <w:r/>
      <w:bookmarkStart w:id="23" w:name="_Toc35393793"/>
      <w:r>
        <w:rPr>
          <w:rFonts w:hint="eastAsia" w:ascii="宋体" w:hAnsi="宋体" w:eastAsia="宋体" w:cs="宋体"/>
          <w:color w:val="000000"/>
          <w:sz w:val="24"/>
          <w:szCs w:val="24"/>
          <w:highlight w:val="none"/>
        </w:rPr>
        <w:t xml:space="preserve">1.时间：自招标文件公告发布之日起5个工作日。5个工作日后仍可下载招标文件，但不作为供应商权益受到损害的证明材料和依据。</w:t>
      </w:r>
      <w:r>
        <w:rPr>
          <w:rFonts w:hint="eastAsia" w:ascii="宋体" w:hAnsi="宋体" w:eastAsia="宋体" w:cs="宋体"/>
          <w:color w:val="000000"/>
          <w:sz w:val="24"/>
          <w:szCs w:val="24"/>
          <w:highlight w:val="none"/>
        </w:rPr>
      </w:r>
      <w:r/>
    </w:p>
    <w:p>
      <w:pPr>
        <w:pStyle w:val="736"/>
        <w:ind w:firstLine="422"/>
        <w:keepLines w:val="0"/>
        <w:keepNext w:val="0"/>
        <w:pageBreakBefore w:val="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eastAsia="zh-CN"/>
        </w:rPr>
        <w:t xml:space="preserve">地点：</w:t>
      </w:r>
      <w:r>
        <w:rPr>
          <w:rFonts w:hint="eastAsia" w:ascii="宋体" w:hAnsi="宋体" w:cs="宋体"/>
          <w:b w:val="0"/>
          <w:bCs w:val="0"/>
          <w:sz w:val="24"/>
          <w:szCs w:val="24"/>
          <w:highlight w:val="none"/>
        </w:rPr>
        <w:t xml:space="preserve">苏采云系统内免费下载</w:t>
      </w:r>
      <w:r>
        <w:rPr>
          <w:rFonts w:hint="eastAsia" w:ascii="宋体" w:hAnsi="宋体" w:eastAsia="宋体" w:cs="宋体"/>
          <w:b w:val="0"/>
          <w:bCs w:val="0"/>
          <w:color w:val="000000"/>
          <w:sz w:val="24"/>
          <w:szCs w:val="24"/>
          <w:highlight w:val="none"/>
          <w:lang w:eastAsia="zh-CN"/>
        </w:rPr>
      </w:r>
      <w:r/>
    </w:p>
    <w:p>
      <w:pPr>
        <w:pStyle w:val="736"/>
        <w:ind w:firstLine="422"/>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获取方式：</w:t>
      </w:r>
      <w:r>
        <w:rPr>
          <w:rFonts w:hint="eastAsia" w:ascii="宋体" w:hAnsi="宋体" w:cs="宋体"/>
          <w:sz w:val="24"/>
          <w:szCs w:val="24"/>
          <w:highlight w:val="none"/>
        </w:rPr>
        <w:t xml:space="preserve">网上注册登记成功后系统内免费下载</w:t>
      </w:r>
      <w:r>
        <w:rPr>
          <w:rFonts w:hint="eastAsia" w:ascii="宋体" w:hAnsi="宋体" w:cs="宋体"/>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736"/>
        <w:ind w:firstLine="422"/>
        <w:keepLines w:val="0"/>
        <w:keepNext w:val="0"/>
        <w:pageBreakBefore w:val="0"/>
        <w:spacing w:line="360" w:lineRule="auto"/>
        <w:tabs>
          <w:tab w:val="left" w:pos="266"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四、提交投标文件</w:t>
      </w:r>
      <w:bookmarkEnd w:id="19"/>
      <w:r/>
      <w:bookmarkEnd w:id="20"/>
      <w:r>
        <w:rPr>
          <w:rFonts w:hint="eastAsia" w:ascii="宋体" w:hAnsi="宋体" w:eastAsia="宋体" w:cs="宋体"/>
          <w:b/>
          <w:bCs/>
          <w:color w:val="000000"/>
          <w:sz w:val="24"/>
          <w:szCs w:val="24"/>
          <w:highlight w:val="none"/>
        </w:rPr>
        <w:t xml:space="preserve">截止时间、开标时间和地点</w:t>
      </w:r>
      <w:bookmarkEnd w:id="21"/>
      <w:r/>
      <w:bookmarkEnd w:id="22"/>
      <w:r/>
      <w:bookmarkEnd w:id="23"/>
      <w:r>
        <w:rPr>
          <w:rFonts w:hint="eastAsia" w:ascii="宋体" w:hAnsi="宋体" w:eastAsia="宋体" w:cs="宋体"/>
          <w:b/>
          <w:bCs/>
          <w:color w:val="000000"/>
          <w:sz w:val="24"/>
          <w:szCs w:val="24"/>
          <w:highlight w:val="none"/>
        </w:rPr>
      </w:r>
      <w:r/>
    </w:p>
    <w:p>
      <w:pPr>
        <w:pStyle w:val="736"/>
        <w:ind w:firstLine="420"/>
        <w:keepLines w:val="0"/>
        <w:keepNext w:val="0"/>
        <w:pageBreakBefore w:val="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1.时间：</w:t>
      </w:r>
      <w:r>
        <w:rPr>
          <w:rFonts w:hint="eastAsia" w:ascii="宋体" w:hAnsi="宋体" w:eastAsia="宋体" w:cs="宋体"/>
          <w:bCs/>
          <w:color w:val="000000"/>
          <w:sz w:val="24"/>
          <w:szCs w:val="24"/>
          <w:highlight w:val="none"/>
          <w:u w:val="none"/>
          <w:lang w:val="en-US" w:eastAsia="zh-CN"/>
        </w:rPr>
        <w:t xml:space="preserve">2026</w:t>
      </w:r>
      <w:r>
        <w:rPr>
          <w:rFonts w:hint="eastAsia" w:ascii="宋体" w:hAnsi="宋体" w:eastAsia="宋体" w:cs="宋体"/>
          <w:bCs/>
          <w:color w:val="000000"/>
          <w:sz w:val="24"/>
          <w:szCs w:val="24"/>
          <w:highlight w:val="none"/>
          <w:u w:val="none"/>
        </w:rPr>
        <w:t xml:space="preserve">年</w:t>
      </w:r>
      <w:r>
        <w:rPr>
          <w:rFonts w:hint="eastAsia" w:ascii="宋体" w:hAnsi="宋体" w:cs="宋体"/>
          <w:bCs/>
          <w:color w:val="000000"/>
          <w:sz w:val="24"/>
          <w:szCs w:val="24"/>
          <w:highlight w:val="none"/>
          <w:u w:val="none"/>
          <w:lang w:val="en-US" w:eastAsia="zh-CN"/>
        </w:rPr>
        <w:t xml:space="preserve">10</w:t>
      </w:r>
      <w:r>
        <w:rPr>
          <w:rFonts w:hint="eastAsia" w:ascii="宋体" w:hAnsi="宋体" w:eastAsia="宋体" w:cs="宋体"/>
          <w:bCs/>
          <w:color w:val="000000"/>
          <w:sz w:val="24"/>
          <w:szCs w:val="24"/>
          <w:highlight w:val="none"/>
          <w:u w:val="none"/>
        </w:rPr>
        <w:t xml:space="preserve">月</w:t>
      </w:r>
      <w:r>
        <w:rPr>
          <w:rFonts w:hint="eastAsia" w:ascii="宋体" w:hAnsi="宋体" w:cs="宋体"/>
          <w:bCs/>
          <w:color w:val="000000"/>
          <w:sz w:val="24"/>
          <w:szCs w:val="24"/>
          <w:highlight w:val="none"/>
          <w:u w:val="none"/>
          <w:lang w:val="en-US" w:eastAsia="zh-CN"/>
        </w:rPr>
        <w:t xml:space="preserve">30</w:t>
      </w:r>
      <w:r>
        <w:rPr>
          <w:rFonts w:hint="eastAsia" w:ascii="宋体" w:hAnsi="宋体" w:eastAsia="宋体" w:cs="宋体"/>
          <w:bCs/>
          <w:color w:val="000000"/>
          <w:sz w:val="24"/>
          <w:szCs w:val="24"/>
          <w:highlight w:val="none"/>
          <w:u w:val="none"/>
        </w:rPr>
        <w:t xml:space="preserve">日</w:t>
      </w:r>
      <w:r>
        <w:rPr>
          <w:rFonts w:hint="eastAsia" w:ascii="宋体" w:hAnsi="宋体" w:cs="宋体"/>
          <w:bCs/>
          <w:color w:val="000000"/>
          <w:sz w:val="24"/>
          <w:szCs w:val="24"/>
          <w:highlight w:val="none"/>
          <w:u w:val="none"/>
          <w:lang w:val="en-US" w:eastAsia="zh-CN"/>
        </w:rPr>
        <w:t xml:space="preserve">9:30</w:t>
      </w:r>
      <w:r>
        <w:rPr>
          <w:rFonts w:hint="eastAsia" w:ascii="宋体" w:hAnsi="宋体" w:eastAsia="宋体" w:cs="宋体"/>
          <w:bCs/>
          <w:color w:val="000000"/>
          <w:sz w:val="24"/>
          <w:szCs w:val="24"/>
          <w:highlight w:val="none"/>
          <w:u w:val="none"/>
        </w:rPr>
        <w:t xml:space="preserve"> </w:t>
      </w:r>
      <w:r>
        <w:rPr>
          <w:rFonts w:hint="eastAsia" w:ascii="宋体" w:hAnsi="宋体" w:eastAsia="宋体" w:cs="宋体"/>
          <w:color w:val="000000"/>
          <w:sz w:val="24"/>
          <w:szCs w:val="24"/>
          <w:highlight w:val="none"/>
        </w:rPr>
        <w:t xml:space="preserve"> （北京时间）</w:t>
      </w:r>
      <w:r>
        <w:rPr>
          <w:rFonts w:hint="eastAsia" w:ascii="宋体" w:hAnsi="宋体" w:eastAsia="宋体" w:cs="宋体"/>
          <w:bCs/>
          <w:color w:val="000000"/>
          <w:sz w:val="24"/>
          <w:szCs w:val="24"/>
          <w:highlight w:val="none"/>
          <w:u w:val="single"/>
        </w:rPr>
      </w:r>
      <w:r/>
    </w:p>
    <w:p>
      <w:pPr>
        <w:pStyle w:val="736"/>
        <w:ind w:firstLine="42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2.开标地点：</w:t>
      </w:r>
      <w:r>
        <w:rPr>
          <w:rFonts w:hint="eastAsia" w:ascii="宋体" w:hAnsi="宋体"/>
          <w:b w:val="0"/>
          <w:bCs/>
          <w:sz w:val="24"/>
          <w:szCs w:val="24"/>
          <w:highlight w:val="none"/>
        </w:rPr>
        <w:t xml:space="preserve">“苏采云”系统（网址：http://jszfcg.jsczt.cn/）“开标大厅”</w:t>
      </w:r>
      <w:r>
        <w:rPr>
          <w:rFonts w:hint="eastAsia" w:ascii="宋体" w:hAnsi="宋体" w:eastAsia="宋体" w:cs="宋体"/>
          <w:b/>
          <w:color w:val="000000"/>
          <w:sz w:val="24"/>
          <w:szCs w:val="24"/>
          <w:highlight w:val="none"/>
        </w:rPr>
      </w:r>
      <w:r/>
    </w:p>
    <w:p>
      <w:pPr>
        <w:pStyle w:val="736"/>
        <w:ind w:firstLine="422"/>
        <w:keepLines w:val="0"/>
        <w:keepNext w:val="0"/>
        <w:pageBreakBefore w:val="0"/>
        <w:spacing w:line="360" w:lineRule="auto"/>
        <w:tabs>
          <w:tab w:val="left" w:pos="266" w:leader="none"/>
        </w:tabs>
        <w:rPr>
          <w:rFonts w:hint="eastAsia" w:ascii="宋体" w:hAnsi="宋体" w:eastAsia="宋体" w:cs="宋体"/>
          <w:b/>
          <w:bCs/>
          <w:color w:val="000000"/>
          <w:sz w:val="24"/>
          <w:szCs w:val="24"/>
          <w:highlight w:val="none"/>
        </w:rPr>
      </w:pPr>
      <w:r/>
      <w:bookmarkStart w:id="24" w:name="_Toc38985267"/>
      <w:r/>
      <w:bookmarkStart w:id="25" w:name="_Toc28359084"/>
      <w:r/>
      <w:bookmarkStart w:id="26" w:name="_Toc35393794"/>
      <w:r/>
      <w:bookmarkStart w:id="27" w:name="_Toc28359007"/>
      <w:r/>
      <w:bookmarkStart w:id="28" w:name="_Toc35393625"/>
      <w:r>
        <w:rPr>
          <w:rFonts w:hint="eastAsia" w:ascii="宋体" w:hAnsi="宋体" w:eastAsia="宋体" w:cs="宋体"/>
          <w:b/>
          <w:bCs/>
          <w:color w:val="000000"/>
          <w:sz w:val="24"/>
          <w:szCs w:val="24"/>
          <w:highlight w:val="none"/>
        </w:rPr>
        <w:t xml:space="preserve">五、公告期限</w:t>
      </w:r>
      <w:bookmarkEnd w:id="24"/>
      <w:r/>
      <w:bookmarkEnd w:id="25"/>
      <w:r/>
      <w:bookmarkEnd w:id="26"/>
      <w:r/>
      <w:bookmarkEnd w:id="27"/>
      <w:r/>
      <w:bookmarkEnd w:id="28"/>
      <w:r>
        <w:rPr>
          <w:rFonts w:hint="eastAsia" w:ascii="宋体" w:hAnsi="宋体" w:eastAsia="宋体" w:cs="宋体"/>
          <w:b/>
          <w:bCs/>
          <w:color w:val="000000"/>
          <w:sz w:val="24"/>
          <w:szCs w:val="24"/>
          <w:highlight w:val="none"/>
        </w:rPr>
      </w:r>
      <w:r/>
    </w:p>
    <w:p>
      <w:pPr>
        <w:pStyle w:val="736"/>
        <w:ind w:firstLine="420"/>
        <w:keepLines w:val="0"/>
        <w:keepNext w:val="0"/>
        <w:pageBreakBefore w:val="0"/>
        <w:spacing w:line="360" w:lineRule="auto"/>
        <w:rPr>
          <w:rFonts w:hint="eastAsia" w:ascii="宋体" w:hAnsi="宋体" w:eastAsia="宋体" w:cs="宋体"/>
          <w:b w:val="0"/>
          <w:bCs w:val="0"/>
          <w:color w:val="000000"/>
          <w:sz w:val="24"/>
          <w:szCs w:val="24"/>
          <w:highlight w:val="none"/>
        </w:rPr>
      </w:pPr>
      <w:r/>
      <w:bookmarkStart w:id="29" w:name="_Toc35393795"/>
      <w:r/>
      <w:bookmarkStart w:id="30" w:name="_Toc35393626"/>
      <w:r/>
      <w:bookmarkStart w:id="31" w:name="_Toc38985268"/>
      <w:r>
        <w:rPr>
          <w:rFonts w:hint="eastAsia" w:ascii="宋体" w:hAnsi="宋体" w:eastAsia="宋体" w:cs="宋体"/>
          <w:b w:val="0"/>
          <w:bCs w:val="0"/>
          <w:color w:val="000000"/>
          <w:sz w:val="24"/>
          <w:szCs w:val="24"/>
          <w:highlight w:val="none"/>
        </w:rPr>
        <w:t xml:space="preserve">自本公告发布之日起5个工作日。</w:t>
      </w:r>
      <w:r>
        <w:rPr>
          <w:rFonts w:hint="eastAsia" w:ascii="宋体" w:hAnsi="宋体" w:eastAsia="宋体" w:cs="宋体"/>
          <w:b w:val="0"/>
          <w:bCs w:val="0"/>
          <w:color w:val="000000"/>
          <w:sz w:val="24"/>
          <w:szCs w:val="24"/>
          <w:highlight w:val="none"/>
        </w:rPr>
      </w:r>
      <w:r/>
    </w:p>
    <w:p>
      <w:pPr>
        <w:pStyle w:val="736"/>
        <w:ind w:firstLine="422"/>
        <w:keepLines w:val="0"/>
        <w:keepNext w:val="0"/>
        <w:pageBreakBefore w:val="0"/>
        <w:spacing w:line="360" w:lineRule="auto"/>
        <w:tabs>
          <w:tab w:val="left" w:pos="266"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六、其他补充事宜</w:t>
      </w:r>
      <w:bookmarkEnd w:id="29"/>
      <w:r/>
      <w:bookmarkEnd w:id="30"/>
      <w:r/>
      <w:bookmarkEnd w:id="31"/>
      <w:r>
        <w:rPr>
          <w:rFonts w:hint="eastAsia" w:ascii="宋体" w:hAnsi="宋体" w:eastAsia="宋体" w:cs="宋体"/>
          <w:b/>
          <w:bCs/>
          <w:color w:val="000000"/>
          <w:sz w:val="24"/>
          <w:szCs w:val="24"/>
          <w:highlight w:val="none"/>
        </w:rPr>
      </w:r>
      <w:r/>
    </w:p>
    <w:p>
      <w:pPr>
        <w:pStyle w:val="73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bookmarkStart w:id="32" w:name="_Toc38985269"/>
      <w:r/>
      <w:bookmarkStart w:id="33" w:name="_Toc35393796"/>
      <w:r/>
      <w:bookmarkStart w:id="34" w:name="_Toc28359085"/>
      <w:r/>
      <w:bookmarkStart w:id="35" w:name="_Toc35393627"/>
      <w:r/>
      <w:bookmarkStart w:id="36" w:name="_Toc28359008"/>
      <w:r>
        <w:rPr>
          <w:rFonts w:hint="eastAsia" w:ascii="宋体" w:hAnsi="宋体" w:eastAsia="宋体" w:cs="宋体"/>
          <w:b/>
          <w:bCs/>
          <w:color w:val="000000"/>
          <w:sz w:val="24"/>
          <w:szCs w:val="24"/>
          <w:highlight w:val="none"/>
        </w:rPr>
        <w:t xml:space="preserve">1.本次采购采用“政府采购管理交易系统（苏采云）”，招标、投标、评标和中标结果发布全程电子化，开标方式为不见面开标。供应商应当按照《“苏采云”系统供应商操作手册》参加投标活动。</w:t>
      </w:r>
      <w:r>
        <w:rPr>
          <w:rFonts w:hint="eastAsia" w:ascii="宋体" w:hAnsi="宋体" w:eastAsia="宋体" w:cs="宋体"/>
          <w:b/>
          <w:bCs/>
          <w:color w:val="000000"/>
          <w:sz w:val="24"/>
          <w:szCs w:val="24"/>
          <w:highlight w:val="none"/>
        </w:rPr>
      </w:r>
      <w:r/>
    </w:p>
    <w:p>
      <w:pPr>
        <w:pStyle w:val="73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供应商如确定参加投标，可自行下载采购文件及有关资料，按照《操作手册》进行注册，领取CA和办理电子签章，并按《操作手册》要求制作、上传电子投标文件，技术支持联系方式：13813140731。如供应商未按要求操作，由此所产生的风险由供应商自行承担。</w:t>
      </w:r>
      <w:r>
        <w:rPr>
          <w:rFonts w:hint="eastAsia" w:ascii="宋体" w:hAnsi="宋体" w:eastAsia="宋体" w:cs="宋体"/>
          <w:b/>
          <w:bCs/>
          <w:color w:val="000000"/>
          <w:sz w:val="24"/>
          <w:szCs w:val="24"/>
          <w:highlight w:val="none"/>
        </w:rPr>
      </w:r>
      <w:r/>
    </w:p>
    <w:p>
      <w:pPr>
        <w:pStyle w:val="73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潜在供应商访问政府采购管理交易系统（苏采云）的网络地址和方法：</w:t>
      </w:r>
      <w:r>
        <w:rPr>
          <w:rFonts w:hint="eastAsia" w:ascii="宋体" w:hAnsi="宋体" w:eastAsia="宋体" w:cs="宋体"/>
          <w:b/>
          <w:bCs/>
          <w:color w:val="000000"/>
          <w:sz w:val="24"/>
          <w:szCs w:val="24"/>
          <w:highlight w:val="none"/>
        </w:rPr>
      </w:r>
      <w:r/>
    </w:p>
    <w:p>
      <w:pPr>
        <w:pStyle w:val="736"/>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（1）潜在供应商访问政府采购管理交易系统（苏采云）的方法：“苏采云”系统用户注册</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获取“CA数字证书”--CA绑定与登录--网上报名</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
          <w:bCs/>
          <w:color w:val="000000"/>
          <w:sz w:val="24"/>
          <w:szCs w:val="24"/>
          <w:highlight w:val="none"/>
        </w:rPr>
      </w:r>
      <w:r/>
    </w:p>
    <w:p>
      <w:pPr>
        <w:pStyle w:val="736"/>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bCs/>
          <w:color w:val="000000"/>
          <w:sz w:val="24"/>
          <w:szCs w:val="24"/>
          <w:highlight w:val="none"/>
        </w:rPr>
      </w:r>
      <w:r/>
    </w:p>
    <w:p>
      <w:pPr>
        <w:pStyle w:val="736"/>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（3）“CA数字证书”的办理材料以及供应商操作手册详见：http://zfcg.yangzhou.gov.cn/xzzx/art/2023/art_4d7de1f7865f4a2894fc22bc452f94d8.html。</w:t>
      </w:r>
      <w:r>
        <w:rPr>
          <w:rFonts w:hint="eastAsia" w:ascii="宋体" w:hAnsi="宋体" w:eastAsia="宋体" w:cs="宋体"/>
          <w:b/>
          <w:bCs/>
          <w:color w:val="000000"/>
          <w:sz w:val="24"/>
          <w:szCs w:val="24"/>
          <w:highlight w:val="none"/>
        </w:rPr>
      </w:r>
      <w:r/>
    </w:p>
    <w:p>
      <w:pPr>
        <w:pStyle w:val="736"/>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（4）潜在供应商访问“苏采云”系统的网络地址和方法：“苏采云”系统的网址：http</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//jszfcg.jsczt.cn/。</w:t>
      </w:r>
      <w:r>
        <w:rPr>
          <w:rFonts w:hint="eastAsia" w:ascii="宋体" w:hAnsi="宋体" w:eastAsia="宋体" w:cs="宋体"/>
          <w:b/>
          <w:bCs/>
          <w:color w:val="000000"/>
          <w:sz w:val="24"/>
          <w:szCs w:val="24"/>
          <w:highlight w:val="none"/>
        </w:rPr>
      </w:r>
      <w:r/>
    </w:p>
    <w:p>
      <w:pPr>
        <w:pStyle w:val="736"/>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bCs/>
          <w:color w:val="000000"/>
          <w:sz w:val="24"/>
          <w:szCs w:val="24"/>
          <w:highlight w:val="none"/>
        </w:rPr>
      </w:r>
      <w:r/>
    </w:p>
    <w:p>
      <w:pPr>
        <w:pStyle w:val="736"/>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（6）招标代理机构将数据电文形式的采购文件加载至“苏采云”系统，供潜在供应商下载或者查阅。     </w:t>
      </w:r>
      <w:r>
        <w:rPr>
          <w:rFonts w:hint="eastAsia" w:ascii="宋体" w:hAnsi="宋体" w:eastAsia="宋体" w:cs="宋体"/>
          <w:b/>
          <w:bCs/>
          <w:color w:val="000000"/>
          <w:sz w:val="24"/>
          <w:szCs w:val="24"/>
          <w:highlight w:val="none"/>
        </w:rPr>
      </w:r>
      <w:r/>
    </w:p>
    <w:p>
      <w:pPr>
        <w:pStyle w:val="73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sz w:val="24"/>
          <w:szCs w:val="24"/>
          <w:highlight w:val="none"/>
        </w:rPr>
        <w:t xml:space="preserve">如潜在供应商未按上述要求操作，将自行承担所产生的风险。</w:t>
      </w:r>
      <w:r>
        <w:rPr>
          <w:rFonts w:hint="eastAsia" w:ascii="宋体" w:hAnsi="宋体" w:eastAsia="宋体" w:cs="宋体"/>
          <w:b/>
          <w:bCs/>
          <w:color w:val="000000"/>
          <w:sz w:val="24"/>
          <w:szCs w:val="24"/>
          <w:highlight w:val="none"/>
        </w:rPr>
      </w:r>
      <w:r/>
    </w:p>
    <w:p>
      <w:pPr>
        <w:pStyle w:val="736"/>
        <w:ind w:firstLine="42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本次招标</w:t>
      </w:r>
      <w:r>
        <w:rPr>
          <w:rFonts w:hint="eastAsia" w:ascii="宋体" w:hAnsi="宋体" w:eastAsia="宋体" w:cs="宋体"/>
          <w:color w:val="000000"/>
          <w:sz w:val="24"/>
          <w:szCs w:val="24"/>
          <w:highlight w:val="none"/>
          <w:u w:val="single"/>
        </w:rPr>
        <w:t xml:space="preserve">不收取</w:t>
      </w:r>
      <w:r>
        <w:rPr>
          <w:rFonts w:hint="eastAsia" w:ascii="宋体" w:hAnsi="宋体" w:eastAsia="宋体" w:cs="宋体"/>
          <w:color w:val="000000"/>
          <w:sz w:val="24"/>
          <w:szCs w:val="24"/>
          <w:highlight w:val="none"/>
        </w:rPr>
        <w:t xml:space="preserve">投标保证金。</w:t>
      </w:r>
      <w:r>
        <w:rPr>
          <w:rFonts w:hint="eastAsia" w:ascii="宋体" w:hAnsi="宋体" w:eastAsia="宋体" w:cs="宋体"/>
          <w:bCs/>
          <w:color w:val="000000"/>
          <w:sz w:val="24"/>
          <w:szCs w:val="24"/>
          <w:highlight w:val="none"/>
        </w:rPr>
      </w:r>
      <w:r/>
    </w:p>
    <w:p>
      <w:pPr>
        <w:pStyle w:val="736"/>
        <w:ind w:firstLine="42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有关本次招标的事项若存在变动或修改，敬请及时关注“扬州市政府采购网</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江苏省政府采购网”和“中国政府采购网”发布的信息。</w:t>
      </w:r>
      <w:r>
        <w:rPr>
          <w:rFonts w:hint="eastAsia" w:ascii="宋体" w:hAnsi="宋体" w:eastAsia="宋体" w:cs="宋体"/>
          <w:bCs/>
          <w:color w:val="000000"/>
          <w:sz w:val="24"/>
          <w:szCs w:val="24"/>
          <w:highlight w:val="none"/>
        </w:rPr>
      </w:r>
      <w:r/>
    </w:p>
    <w:p>
      <w:pPr>
        <w:pStyle w:val="736"/>
        <w:ind w:firstLine="422"/>
        <w:keepLines w:val="0"/>
        <w:keepNext w:val="0"/>
        <w:pageBreakBefore w:val="0"/>
        <w:spacing w:line="360" w:lineRule="auto"/>
        <w:tabs>
          <w:tab w:val="left" w:pos="266" w:leader="none"/>
        </w:tabs>
        <w:rPr>
          <w:rFonts w:hint="eastAsia" w:ascii="宋体" w:hAnsi="宋体" w:eastAsia="宋体" w:cs="宋体"/>
          <w:b/>
          <w:i/>
          <w:iCs/>
          <w:color w:val="000000"/>
          <w:sz w:val="24"/>
          <w:szCs w:val="24"/>
          <w:highlight w:val="none"/>
          <w:u w:val="single"/>
        </w:rPr>
      </w:pPr>
      <w:r>
        <w:rPr>
          <w:rFonts w:hint="eastAsia" w:ascii="宋体" w:hAnsi="宋体" w:eastAsia="宋体" w:cs="宋体"/>
          <w:b/>
          <w:i/>
          <w:iCs/>
          <w:color w:val="000000"/>
          <w:sz w:val="24"/>
          <w:szCs w:val="24"/>
          <w:highlight w:val="none"/>
          <w:u w:val="single"/>
          <w:lang w:val="en-US" w:eastAsia="zh-CN"/>
        </w:rPr>
        <w:t xml:space="preserve">6</w:t>
      </w:r>
      <w:r>
        <w:rPr>
          <w:rFonts w:hint="eastAsia" w:ascii="宋体" w:hAnsi="宋体" w:eastAsia="宋体" w:cs="宋体"/>
          <w:b/>
          <w:i/>
          <w:iCs/>
          <w:color w:val="000000"/>
          <w:sz w:val="24"/>
          <w:szCs w:val="24"/>
          <w:highlight w:val="none"/>
          <w:u w:val="single"/>
        </w:rPr>
        <w:t xml:space="preserve">.本项目招标文件中所有斜体下划线部分为实质性条款，如不满足，则为无效投标。</w:t>
      </w:r>
      <w:r>
        <w:rPr>
          <w:rFonts w:hint="eastAsia" w:ascii="宋体" w:hAnsi="宋体" w:eastAsia="宋体" w:cs="宋体"/>
          <w:b/>
          <w:i/>
          <w:iCs/>
          <w:color w:val="000000"/>
          <w:sz w:val="24"/>
          <w:szCs w:val="24"/>
          <w:highlight w:val="none"/>
          <w:u w:val="single"/>
        </w:rPr>
      </w:r>
      <w:r/>
    </w:p>
    <w:p>
      <w:pPr>
        <w:pStyle w:val="736"/>
        <w:ind w:firstLine="480"/>
        <w:jc w:val="left"/>
        <w:keepLines w:val="0"/>
        <w:keepNext w:val="0"/>
        <w:pageBreakBefore w:val="0"/>
        <w:spacing w:line="360" w:lineRule="auto"/>
        <w:widowControl w:val="off"/>
        <w:tabs>
          <w:tab w:val="left" w:pos="26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7.为落实好政府采购履约资金扶持政策，中标/成交供应商可凭政府采购合同办理融资贷款，详见江苏政府采购网“政采贷”专栏。</w:t>
      </w:r>
      <w:r>
        <w:rPr>
          <w:rFonts w:hint="eastAsia" w:ascii="宋体" w:hAnsi="宋体" w:eastAsia="宋体" w:cs="宋体"/>
          <w:bCs/>
          <w:color w:val="000000"/>
          <w:sz w:val="24"/>
          <w:szCs w:val="24"/>
          <w:highlight w:val="none"/>
        </w:rPr>
      </w:r>
      <w:r/>
    </w:p>
    <w:p>
      <w:pPr>
        <w:pStyle w:val="736"/>
        <w:ind w:firstLine="480"/>
        <w:jc w:val="left"/>
        <w:keepLines w:val="0"/>
        <w:keepNext w:val="0"/>
        <w:pageBreakBefore w:val="0"/>
        <w:spacing w:line="360" w:lineRule="auto"/>
        <w:widowControl w:val="off"/>
        <w:tabs>
          <w:tab w:val="left" w:pos="266"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由国家确定的认证机构出具的、处于有效期之内的节能产品、环境标志产品认证证书</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eastAsia="宋体" w:cs="宋体"/>
          <w:bCs/>
          <w:color w:val="000000"/>
          <w:sz w:val="24"/>
          <w:szCs w:val="24"/>
          <w:highlight w:val="none"/>
        </w:rPr>
      </w:r>
      <w:r/>
    </w:p>
    <w:p>
      <w:pPr>
        <w:pStyle w:val="944"/>
        <w:ind w:firstLine="480"/>
        <w:jc w:val="left"/>
        <w:keepLines w:val="0"/>
        <w:keepNext w:val="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eastAsia="zh-CN"/>
        </w:rPr>
        <w:t xml:space="preserve">供应商对于所投产品的包装应按照“财办库〔2020〕123号《关于印发《商品包装政府采购需求标准（试行）》《快递包装政府采购需求标准（试行）》的通知》”执行</w:t>
      </w:r>
      <w:r>
        <w:rPr>
          <w:rFonts w:ascii="宋体" w:hAnsi="宋体" w:eastAsia="宋体" w:cs="宋体"/>
          <w:bCs/>
          <w:color w:val="000000"/>
          <w:sz w:val="24"/>
          <w:szCs w:val="24"/>
          <w:highlight w:val="none"/>
          <w:lang w:val="en-US" w:eastAsia="zh-CN"/>
        </w:rPr>
      </w:r>
      <w:r/>
    </w:p>
    <w:p>
      <w:pPr>
        <w:pStyle w:val="736"/>
        <w:ind w:firstLine="420"/>
        <w:spacing w:line="360" w:lineRule="auto"/>
        <w:rPr>
          <w:rFonts w:hint="eastAsia" w:ascii="宋体" w:hAnsi="宋体" w:cs="宋体"/>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w:t>
      </w:r>
      <w:r>
        <w:rPr>
          <w:rFonts w:hint="eastAsia" w:ascii="宋体" w:hAnsi="宋体" w:cs="宋体"/>
          <w:sz w:val="24"/>
          <w:szCs w:val="24"/>
          <w:highlight w:val="none"/>
        </w:rPr>
        <w:t xml:space="preserve">开标当天各供应商及时登录不见面开标大厅，投标文件递交截止时间后，采购人将在系统内公布供应商名单，然后通</w:t>
      </w:r>
      <w:r>
        <w:rPr>
          <w:rFonts w:hint="eastAsia" w:ascii="宋体" w:hAnsi="宋体" w:cs="宋体"/>
          <w:sz w:val="24"/>
          <w:szCs w:val="24"/>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 w:val="24"/>
          <w:szCs w:val="24"/>
          <w:highlight w:val="none"/>
        </w:rPr>
      </w:r>
      <w:r/>
    </w:p>
    <w:p>
      <w:pPr>
        <w:pStyle w:val="736"/>
        <w:ind w:firstLine="422"/>
        <w:keepLines w:val="0"/>
        <w:keepNext w:val="0"/>
        <w:pageBreakBefore w:val="0"/>
        <w:spacing w:line="360" w:lineRule="auto"/>
        <w:tabs>
          <w:tab w:val="left" w:pos="266"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七、本次招标联系方式</w:t>
      </w:r>
      <w:bookmarkEnd w:id="32"/>
      <w:r/>
      <w:bookmarkEnd w:id="33"/>
      <w:r/>
      <w:bookmarkEnd w:id="34"/>
      <w:r/>
      <w:bookmarkEnd w:id="35"/>
      <w:r/>
      <w:bookmarkEnd w:id="36"/>
      <w:r>
        <w:rPr>
          <w:rFonts w:hint="eastAsia" w:ascii="宋体" w:hAnsi="宋体" w:eastAsia="宋体" w:cs="宋体"/>
          <w:b/>
          <w:bCs/>
          <w:color w:val="000000"/>
          <w:sz w:val="24"/>
          <w:szCs w:val="24"/>
          <w:highlight w:val="none"/>
        </w:rPr>
      </w:r>
      <w:r/>
    </w:p>
    <w:p>
      <w:pPr>
        <w:pStyle w:val="736"/>
        <w:ind w:firstLine="420"/>
        <w:jc w:val="left"/>
        <w:keepLines w:val="0"/>
        <w:keepNext w:val="0"/>
        <w:pageBreakBefore w:val="0"/>
        <w:spacing w:line="360" w:lineRule="auto"/>
        <w:widowControl/>
        <w:rPr>
          <w:rFonts w:hint="eastAsia" w:ascii="宋体" w:hAnsi="宋体" w:eastAsia="宋体" w:cs="宋体"/>
          <w:color w:val="000000"/>
          <w:sz w:val="24"/>
          <w:szCs w:val="24"/>
          <w:highlight w:val="none"/>
        </w:rPr>
      </w:pPr>
      <w:r/>
      <w:bookmarkStart w:id="37" w:name="_Toc28359010"/>
      <w:r/>
      <w:bookmarkStart w:id="38" w:name="_Toc28359087"/>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736"/>
        <w:ind w:firstLine="420"/>
        <w:spacing w:line="360" w:lineRule="auto"/>
        <w:rPr>
          <w:rFonts w:hint="eastAsia" w:ascii="宋体" w:hAnsi="宋体" w:eastAsia="宋体" w:cs="宋体"/>
          <w:bCs/>
          <w:color w:val="000000"/>
          <w:sz w:val="24"/>
          <w:szCs w:val="24"/>
          <w:highlight w:val="none"/>
        </w:rPr>
      </w:pPr>
      <w:r/>
      <w:bookmarkStart w:id="39" w:name="_Toc28359009"/>
      <w:r/>
      <w:bookmarkStart w:id="40" w:name="_Toc28359086"/>
      <w:r>
        <w:rPr>
          <w:rFonts w:hint="eastAsia" w:ascii="宋体" w:hAnsi="宋体" w:eastAsia="宋体" w:cs="宋体"/>
          <w:bCs/>
          <w:color w:val="000000"/>
          <w:sz w:val="24"/>
          <w:szCs w:val="24"/>
          <w:highlight w:val="none"/>
        </w:rPr>
        <w:t xml:space="preserve">名    称：扬州市疾病预防控制中心</w:t>
      </w:r>
      <w:r>
        <w:rPr>
          <w:rFonts w:hint="eastAsia" w:ascii="宋体" w:hAnsi="宋体" w:eastAsia="宋体" w:cs="宋体"/>
          <w:bCs/>
          <w:color w:val="000000"/>
          <w:sz w:val="24"/>
          <w:szCs w:val="24"/>
          <w:highlight w:val="none"/>
        </w:rPr>
      </w:r>
      <w:r/>
    </w:p>
    <w:p>
      <w:pPr>
        <w:pStyle w:val="736"/>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    址：扬州市上方寺路52号 　　</w:t>
      </w:r>
      <w:r>
        <w:rPr>
          <w:rFonts w:hint="eastAsia" w:ascii="宋体" w:hAnsi="宋体" w:eastAsia="宋体" w:cs="宋体"/>
          <w:bCs/>
          <w:color w:val="000000"/>
          <w:sz w:val="24"/>
          <w:szCs w:val="24"/>
          <w:highlight w:val="none"/>
        </w:rPr>
      </w:r>
      <w:r/>
    </w:p>
    <w:p>
      <w:pPr>
        <w:pStyle w:val="736"/>
        <w:ind w:firstLine="42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项目联系人：夏主任</w:t>
      </w:r>
      <w:r>
        <w:rPr>
          <w:rFonts w:hint="eastAsia" w:ascii="宋体" w:hAnsi="宋体" w:eastAsia="宋体" w:cs="宋体"/>
          <w:color w:val="000000"/>
          <w:sz w:val="24"/>
          <w:szCs w:val="24"/>
          <w:highlight w:val="none"/>
        </w:rPr>
      </w:r>
      <w:r/>
    </w:p>
    <w:p>
      <w:pPr>
        <w:pStyle w:val="736"/>
        <w:ind w:firstLine="420"/>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联系方式：</w:t>
      </w:r>
      <w:r>
        <w:rPr>
          <w:rFonts w:hint="eastAsia" w:ascii="宋体" w:hAnsi="宋体"/>
          <w:color w:val="000000"/>
          <w:sz w:val="24"/>
          <w:szCs w:val="24"/>
          <w:highlight w:val="none"/>
        </w:rPr>
        <w:t xml:space="preserve">0514-80828933</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736"/>
        <w:ind w:firstLine="42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bookmarkEnd w:id="39"/>
      <w:r/>
      <w:bookmarkEnd w:id="40"/>
      <w:r>
        <w:rPr>
          <w:rFonts w:hint="eastAsia" w:ascii="宋体" w:hAnsi="宋体" w:eastAsia="宋体" w:cs="宋体"/>
          <w:color w:val="000000"/>
          <w:sz w:val="24"/>
          <w:szCs w:val="24"/>
          <w:highlight w:val="none"/>
        </w:rPr>
      </w:r>
      <w:r/>
    </w:p>
    <w:p>
      <w:pPr>
        <w:pStyle w:val="736"/>
        <w:ind w:firstLine="42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江苏唯诚建设咨询有限公司</w:t>
      </w:r>
      <w:r>
        <w:rPr>
          <w:rFonts w:hint="eastAsia" w:ascii="宋体" w:hAnsi="宋体" w:eastAsia="宋体" w:cs="宋体"/>
          <w:color w:val="000000"/>
          <w:sz w:val="24"/>
          <w:szCs w:val="24"/>
          <w:highlight w:val="none"/>
          <w:lang w:eastAsia="zh-CN"/>
        </w:rPr>
      </w:r>
      <w:r/>
    </w:p>
    <w:p>
      <w:pPr>
        <w:pStyle w:val="736"/>
        <w:ind w:firstLine="420"/>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扬州市维扬路</w:t>
      </w:r>
      <w:r>
        <w:rPr>
          <w:rFonts w:hint="eastAsia" w:ascii="宋体" w:hAnsi="宋体" w:eastAsia="宋体" w:cs="宋体"/>
          <w:color w:val="000000"/>
          <w:sz w:val="24"/>
          <w:szCs w:val="24"/>
          <w:highlight w:val="none"/>
          <w:lang w:val="en-US" w:eastAsia="zh-CN"/>
        </w:rPr>
        <w:t xml:space="preserve">106-1，商城国际大厦1910</w:t>
      </w:r>
      <w:r>
        <w:rPr>
          <w:rFonts w:ascii="宋体" w:hAnsi="宋体" w:eastAsia="宋体" w:cs="宋体"/>
          <w:color w:val="000000"/>
          <w:sz w:val="24"/>
          <w:szCs w:val="24"/>
          <w:highlight w:val="none"/>
          <w:lang w:val="en-US" w:eastAsia="zh-CN"/>
        </w:rPr>
      </w:r>
      <w:r/>
    </w:p>
    <w:p>
      <w:pPr>
        <w:pStyle w:val="736"/>
        <w:ind w:firstLine="420"/>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 林祖超</w:t>
      </w:r>
      <w:r>
        <w:rPr>
          <w:rFonts w:ascii="宋体" w:hAnsi="宋体" w:eastAsia="宋体" w:cs="宋体"/>
          <w:color w:val="000000"/>
          <w:sz w:val="24"/>
          <w:szCs w:val="24"/>
          <w:highlight w:val="none"/>
          <w:lang w:val="en-US" w:eastAsia="zh-CN"/>
        </w:rPr>
      </w:r>
      <w:r/>
    </w:p>
    <w:p>
      <w:pPr>
        <w:pStyle w:val="736"/>
        <w:ind w:firstLine="420"/>
        <w:keepLines w:val="0"/>
        <w:keepNext w:val="0"/>
        <w:pageBreakBefore w:val="0"/>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bookmarkEnd w:id="37"/>
      <w:r/>
      <w:bookmarkEnd w:id="38"/>
      <w:r>
        <w:rPr>
          <w:rFonts w:hint="eastAsia" w:ascii="宋体" w:hAnsi="宋体" w:eastAsia="宋体" w:cs="宋体"/>
          <w:color w:val="000000"/>
          <w:sz w:val="24"/>
          <w:szCs w:val="24"/>
          <w:highlight w:val="none"/>
          <w:lang w:eastAsia="zh-CN"/>
        </w:rPr>
        <w:t xml:space="preserve">0514-87880356</w:t>
      </w:r>
      <w:r>
        <w:rPr>
          <w:rFonts w:hint="eastAsia" w:ascii="宋体" w:hAnsi="宋体" w:eastAsia="宋体" w:cs="宋体"/>
          <w:color w:val="000000"/>
          <w:sz w:val="24"/>
          <w:szCs w:val="24"/>
          <w:highlight w:val="none"/>
          <w:u w:val="single"/>
          <w:lang w:val="en-US" w:eastAsia="zh-CN"/>
        </w:rPr>
      </w:r>
      <w:r/>
    </w:p>
    <w:p>
      <w:pPr>
        <w:pStyle w:val="777"/>
        <w:rPr>
          <w:rFonts w:hint="eastAsia"/>
          <w:color w:val="000000"/>
          <w:highlight w:val="none"/>
        </w:rPr>
      </w:pPr>
      <w:r>
        <w:rPr>
          <w:rFonts w:hint="eastAsia"/>
          <w:color w:val="000000"/>
          <w:highlight w:val="none"/>
        </w:rPr>
      </w:r>
      <w:r>
        <w:rPr>
          <w:rFonts w:hint="eastAsia"/>
          <w:color w:val="000000"/>
          <w:highlight w:val="none"/>
        </w:rPr>
      </w:r>
    </w:p>
    <w:p>
      <w:pPr>
        <w:pStyle w:val="777"/>
        <w:rPr>
          <w:rFonts w:hint="eastAsia"/>
          <w:color w:val="000000"/>
          <w:highlight w:val="none"/>
        </w:rPr>
      </w:pPr>
      <w:r>
        <w:rPr>
          <w:rFonts w:hint="eastAsia"/>
          <w:color w:val="000000"/>
          <w:highlight w:val="none"/>
        </w:rPr>
      </w:r>
      <w:r>
        <w:rPr>
          <w:rFonts w:hint="eastAsia"/>
          <w:color w:val="000000"/>
          <w:highlight w:val="none"/>
        </w:rPr>
      </w:r>
    </w:p>
    <w:p>
      <w:pPr>
        <w:pStyle w:val="777"/>
        <w:rPr>
          <w:rFonts w:hint="eastAsia"/>
          <w:color w:val="000000"/>
          <w:highlight w:val="none"/>
        </w:rPr>
      </w:pPr>
      <w:r>
        <w:rPr>
          <w:rFonts w:hint="eastAsia"/>
          <w:color w:val="000000"/>
          <w:highlight w:val="none"/>
        </w:rPr>
      </w:r>
      <w:r>
        <w:rPr>
          <w:rFonts w:hint="eastAsia"/>
          <w:color w:val="000000"/>
          <w:highlight w:val="none"/>
        </w:rPr>
      </w:r>
    </w:p>
    <w:p>
      <w:pPr>
        <w:pStyle w:val="777"/>
        <w:rPr>
          <w:rFonts w:hint="eastAsia"/>
          <w:color w:val="000000"/>
          <w:highlight w:val="none"/>
        </w:rPr>
      </w:pPr>
      <w:r>
        <w:rPr>
          <w:rFonts w:hint="eastAsia"/>
          <w:color w:val="000000"/>
          <w:highlight w:val="none"/>
        </w:rPr>
      </w:r>
      <w:r>
        <w:rPr>
          <w:rFonts w:hint="eastAsia"/>
          <w:color w:val="000000"/>
          <w:highlight w:val="none"/>
        </w:rPr>
      </w:r>
    </w:p>
    <w:p>
      <w:pPr>
        <w:pStyle w:val="777"/>
        <w:rPr>
          <w:rFonts w:hint="eastAsia"/>
          <w:color w:val="000000"/>
          <w:highlight w:val="none"/>
        </w:rPr>
      </w:pPr>
      <w:r>
        <w:rPr>
          <w:rFonts w:hint="eastAsia"/>
          <w:color w:val="000000"/>
          <w:highlight w:val="none"/>
        </w:rPr>
      </w:r>
      <w:r>
        <w:rPr>
          <w:rFonts w:hint="eastAsia"/>
          <w:color w:val="000000"/>
          <w:highlight w:val="none"/>
        </w:rPr>
      </w:r>
    </w:p>
    <w:p>
      <w:pPr>
        <w:pStyle w:val="777"/>
        <w:rPr>
          <w:rFonts w:hint="eastAsia"/>
          <w:color w:val="000000"/>
          <w:highlight w:val="none"/>
        </w:rPr>
      </w:pPr>
      <w:r>
        <w:rPr>
          <w:rFonts w:hint="eastAsia"/>
          <w:color w:val="000000"/>
          <w:highlight w:val="none"/>
        </w:rPr>
      </w:r>
      <w:r>
        <w:rPr>
          <w:rFonts w:hint="eastAsia"/>
          <w:color w:val="000000"/>
          <w:highlight w:val="none"/>
        </w:rPr>
      </w:r>
    </w:p>
    <w:p>
      <w:pPr>
        <w:pStyle w:val="777"/>
        <w:rPr>
          <w:rFonts w:hint="eastAsia"/>
          <w:color w:val="000000"/>
          <w:highlight w:val="none"/>
        </w:rPr>
      </w:pPr>
      <w:r>
        <w:rPr>
          <w:rFonts w:hint="eastAsia"/>
          <w:color w:val="000000"/>
          <w:highlight w:val="none"/>
        </w:rPr>
      </w:r>
      <w:r>
        <w:rPr>
          <w:rFonts w:hint="eastAsia"/>
          <w:color w:val="000000"/>
          <w:highlight w:val="none"/>
        </w:rPr>
      </w:r>
    </w:p>
    <w:p>
      <w:pPr>
        <w:pStyle w:val="777"/>
        <w:rPr>
          <w:rFonts w:hint="eastAsia"/>
          <w:color w:val="000000"/>
          <w:highlight w:val="none"/>
        </w:rPr>
      </w:pPr>
      <w:r>
        <w:rPr>
          <w:rFonts w:hint="eastAsia"/>
          <w:color w:val="000000"/>
          <w:highlight w:val="none"/>
        </w:rPr>
      </w:r>
      <w:r>
        <w:rPr>
          <w:rFonts w:hint="eastAsia"/>
          <w:color w:val="000000"/>
          <w:highlight w:val="none"/>
        </w:rPr>
      </w:r>
    </w:p>
    <w:p>
      <w:pPr>
        <w:pStyle w:val="777"/>
        <w:rPr>
          <w:rFonts w:hint="eastAsia"/>
          <w:color w:val="000000"/>
          <w:highlight w:val="none"/>
        </w:rPr>
      </w:pPr>
      <w:r>
        <w:rPr>
          <w:rFonts w:hint="eastAsia"/>
          <w:color w:val="000000"/>
          <w:highlight w:val="none"/>
        </w:rPr>
      </w:r>
      <w:r>
        <w:rPr>
          <w:rFonts w:hint="eastAsia"/>
          <w:color w:val="000000"/>
          <w:highlight w:val="none"/>
        </w:rPr>
      </w:r>
    </w:p>
    <w:p>
      <w:pPr>
        <w:pStyle w:val="777"/>
        <w:rPr>
          <w:rFonts w:hint="eastAsia"/>
          <w:color w:val="000000"/>
          <w:highlight w:val="none"/>
        </w:rPr>
      </w:pPr>
      <w:r>
        <w:rPr>
          <w:rFonts w:hint="eastAsia"/>
          <w:color w:val="000000"/>
          <w:highlight w:val="none"/>
        </w:rPr>
      </w:r>
      <w:r>
        <w:rPr>
          <w:rFonts w:hint="eastAsia"/>
          <w:color w:val="000000"/>
          <w:highlight w:val="none"/>
        </w:rPr>
      </w:r>
    </w:p>
    <w:p>
      <w:pPr>
        <w:pStyle w:val="777"/>
        <w:rPr>
          <w:rFonts w:hint="eastAsia"/>
          <w:color w:val="000000"/>
          <w:highlight w:val="none"/>
        </w:rPr>
      </w:pPr>
      <w:r>
        <w:rPr>
          <w:rFonts w:hint="eastAsia"/>
          <w:color w:val="000000"/>
          <w:highlight w:val="none"/>
        </w:rPr>
      </w:r>
      <w:r>
        <w:rPr>
          <w:rFonts w:hint="eastAsia"/>
          <w:color w:val="000000"/>
          <w:highlight w:val="none"/>
        </w:rPr>
      </w:r>
    </w:p>
    <w:p>
      <w:pPr>
        <w:pStyle w:val="777"/>
        <w:rPr>
          <w:rFonts w:hint="eastAsia"/>
          <w:color w:val="000000"/>
          <w:highlight w:val="none"/>
        </w:rPr>
      </w:pPr>
      <w:r>
        <w:rPr>
          <w:rFonts w:hint="eastAsia"/>
          <w:color w:val="000000"/>
          <w:highlight w:val="none"/>
        </w:rPr>
      </w:r>
      <w:r>
        <w:rPr>
          <w:rFonts w:hint="eastAsia"/>
          <w:color w:val="000000"/>
          <w:highlight w:val="none"/>
        </w:rPr>
      </w:r>
    </w:p>
    <w:p>
      <w:pPr>
        <w:pStyle w:val="777"/>
        <w:rPr>
          <w:rFonts w:hint="eastAsia"/>
          <w:color w:val="000000"/>
          <w:highlight w:val="none"/>
        </w:rPr>
      </w:pPr>
      <w:r>
        <w:rPr>
          <w:rFonts w:hint="eastAsia"/>
          <w:color w:val="000000"/>
          <w:highlight w:val="none"/>
        </w:rPr>
      </w:r>
      <w:r>
        <w:rPr>
          <w:rFonts w:hint="eastAsia"/>
          <w:color w:val="000000"/>
          <w:highlight w:val="none"/>
        </w:rPr>
      </w:r>
    </w:p>
    <w:p>
      <w:pPr>
        <w:pStyle w:val="777"/>
        <w:rPr>
          <w:rFonts w:hint="eastAsia"/>
          <w:color w:val="000000"/>
          <w:highlight w:val="none"/>
        </w:rPr>
      </w:pPr>
      <w:r>
        <w:rPr>
          <w:rFonts w:hint="eastAsia"/>
          <w:color w:val="000000"/>
          <w:highlight w:val="none"/>
        </w:rPr>
      </w:r>
      <w:r>
        <w:rPr>
          <w:rFonts w:hint="eastAsia"/>
          <w:color w:val="000000"/>
          <w:highlight w:val="none"/>
        </w:rPr>
      </w:r>
    </w:p>
    <w:p>
      <w:pPr>
        <w:pStyle w:val="777"/>
        <w:rPr>
          <w:rFonts w:hint="eastAsia"/>
          <w:color w:val="000000"/>
          <w:highlight w:val="none"/>
        </w:rPr>
      </w:pPr>
      <w:r>
        <w:rPr>
          <w:rFonts w:hint="eastAsia"/>
          <w:color w:val="000000"/>
          <w:highlight w:val="none"/>
        </w:rPr>
      </w:r>
      <w:r>
        <w:rPr>
          <w:rFonts w:hint="eastAsia"/>
          <w:color w:val="000000"/>
          <w:highlight w:val="none"/>
        </w:rPr>
      </w:r>
    </w:p>
    <w:p>
      <w:pPr>
        <w:shd w:val="nil"/>
        <w:rPr>
          <w:rFonts w:hint="eastAsia"/>
          <w:color w:val="000000"/>
          <w:highlight w:val="none"/>
        </w:rPr>
      </w:pPr>
      <w:r>
        <w:rPr>
          <w:rFonts w:hint="eastAsia"/>
          <w:color w:val="000000"/>
          <w:highlight w:val="none"/>
        </w:rPr>
        <w:br w:type="page" w:clear="all"/>
      </w:r>
      <w:r>
        <w:rPr>
          <w:rFonts w:hint="eastAsia"/>
          <w:color w:val="000000"/>
          <w:highlight w:val="none"/>
        </w:rPr>
      </w:r>
    </w:p>
    <w:p>
      <w:pPr>
        <w:pStyle w:val="777"/>
        <w:rPr>
          <w:rFonts w:hint="eastAsia"/>
          <w:color w:val="000000"/>
          <w:highlight w:val="none"/>
        </w:rPr>
      </w:pPr>
      <w:r/>
      <w:bookmarkStart w:id="42" w:name="_Toc10032"/>
      <w:r>
        <w:rPr>
          <w:rFonts w:hint="eastAsia"/>
          <w:color w:val="000000"/>
          <w:highlight w:val="none"/>
        </w:rPr>
        <w:t xml:space="preserve">第二章 投标人须知</w:t>
      </w:r>
      <w:bookmarkEnd w:id="41"/>
      <w:r/>
      <w:bookmarkEnd w:id="42"/>
      <w:r>
        <w:rPr>
          <w:rFonts w:hint="eastAsia"/>
          <w:color w:val="000000"/>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w:t>
      </w:r>
      <w:r>
        <w:rPr>
          <w:rFonts w:hint="eastAsia" w:ascii="宋体" w:hAnsi="宋体" w:eastAsia="宋体" w:cs="宋体"/>
          <w:b/>
          <w:color w:val="000000"/>
          <w:sz w:val="24"/>
          <w:szCs w:val="24"/>
          <w:highlight w:val="none"/>
        </w:rPr>
        <w:t xml:space="preserve">招标方式</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 本次招标采取公开招标方式，本招标文件仅适用于</w:t>
      </w:r>
      <w:r>
        <w:rPr>
          <w:rFonts w:hint="eastAsia" w:ascii="宋体" w:hAnsi="宋体" w:eastAsia="宋体" w:cs="宋体"/>
          <w:bCs/>
          <w:color w:val="000000"/>
          <w:sz w:val="24"/>
          <w:szCs w:val="24"/>
          <w:highlight w:val="none"/>
          <w:lang w:eastAsia="zh-CN"/>
        </w:rPr>
        <w:t xml:space="preserve">JSZC-321000-WCGC-G2026-0032号</w:t>
      </w:r>
      <w:r>
        <w:rPr>
          <w:rFonts w:hint="eastAsia" w:ascii="宋体" w:hAnsi="宋体" w:eastAsia="宋体" w:cs="宋体"/>
          <w:bCs/>
          <w:color w:val="000000"/>
          <w:sz w:val="24"/>
          <w:szCs w:val="24"/>
          <w:highlight w:val="none"/>
        </w:rPr>
        <w:t xml:space="preserve">项目。</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w:t>
      </w:r>
      <w:r>
        <w:rPr>
          <w:rFonts w:hint="eastAsia" w:ascii="宋体" w:hAnsi="宋体" w:eastAsia="宋体" w:cs="宋体"/>
          <w:b/>
          <w:color w:val="000000"/>
          <w:sz w:val="24"/>
          <w:szCs w:val="24"/>
          <w:highlight w:val="none"/>
        </w:rPr>
        <w:t xml:space="preserve">投标人</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 本招标文件中“供应商”，即“投标人”，是指参加投标竞争，并符合招标文件规定资格条件的法人、其他组织或者自然人。</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2.2合格的投标人</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2.2.1 满足招标公告中供应商的资格条件要求的规定。</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2.2.2 满足本文件实质性条款的规定。</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3.</w:t>
      </w:r>
      <w:r>
        <w:rPr>
          <w:rFonts w:hint="eastAsia" w:ascii="宋体" w:hAnsi="宋体" w:eastAsia="宋体" w:cs="宋体"/>
          <w:b/>
          <w:color w:val="000000"/>
          <w:sz w:val="24"/>
          <w:szCs w:val="24"/>
          <w:highlight w:val="none"/>
        </w:rPr>
        <w:t xml:space="preserve">适用法律</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 本次招标及由此产生的合同受中华人民共和国有关的法律法规制约和保护。</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4.</w:t>
      </w:r>
      <w:r>
        <w:rPr>
          <w:rFonts w:hint="eastAsia" w:ascii="宋体" w:hAnsi="宋体" w:eastAsia="宋体" w:cs="宋体"/>
          <w:b/>
          <w:color w:val="000000"/>
          <w:sz w:val="24"/>
          <w:szCs w:val="24"/>
          <w:highlight w:val="none"/>
        </w:rPr>
        <w:t xml:space="preserve">投标费用</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 投标人应自行承担所有与参加投标有关的费用，无论投标过程中的做法和结果如 何，代理机构在任何情况下均无义务和责任承担这些费用。 </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4.2本次采购由中标供应商支付招标代理费用。中标供应商在领取中标通知书前按《招标代理服务收费管理暂行办法》(计价格〔2002〕1980 号)货物类标准，收费基数为单标段中标金额。代理费计算适用差额累进法，最终招标代理服务费=按前述规定标准计算出招标代理服务费原值后*66%</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（1）代理服务费以人民币支付；</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（2）代理服务费支付方式：一次性以电汇或转账形式支付。</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（3）代理服务费不在报价中单列，包含在总价中，由中标供应商支付给代理机构。</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代理服务费开户银行：江苏银行扬州广陵支行</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开户名称：江苏唯诚建设咨询有限公司</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开户帐号：05000140900000685</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4.3专家评审费按</w:t>
      </w:r>
      <w:r>
        <w:rPr>
          <w:rFonts w:hint="eastAsia" w:ascii="宋体" w:hAnsi="宋体" w:eastAsia="宋体" w:cs="宋体"/>
          <w:b/>
          <w:bCs/>
          <w:color w:val="000000"/>
          <w:sz w:val="24"/>
          <w:szCs w:val="24"/>
          <w:highlight w:val="none"/>
          <w:lang w:val="en-US" w:eastAsia="zh-CN"/>
        </w:rPr>
        <w:t xml:space="preserve">照</w:t>
      </w:r>
      <w:r>
        <w:rPr>
          <w:rFonts w:hint="eastAsia" w:ascii="宋体" w:hAnsi="宋体" w:eastAsia="宋体" w:cs="宋体"/>
          <w:b/>
          <w:bCs/>
          <w:color w:val="000000"/>
          <w:sz w:val="24"/>
          <w:szCs w:val="24"/>
          <w:highlight w:val="none"/>
        </w:rPr>
        <w:t xml:space="preserve">《扬州市财政局关于进一步规范扬州市政府采购专家评审费标准的通知》（扬财购〔2020〕40号）执行。</w:t>
      </w:r>
      <w:r>
        <w:rPr>
          <w:rFonts w:hint="eastAsia" w:ascii="宋体" w:hAnsi="宋体" w:eastAsia="宋体" w:cs="宋体"/>
          <w:b/>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5.</w:t>
      </w:r>
      <w:r>
        <w:rPr>
          <w:rFonts w:hint="eastAsia" w:ascii="宋体" w:hAnsi="宋体" w:eastAsia="宋体" w:cs="宋体"/>
          <w:b/>
          <w:color w:val="000000"/>
          <w:sz w:val="24"/>
          <w:szCs w:val="24"/>
          <w:highlight w:val="none"/>
        </w:rPr>
        <w:t xml:space="preserve">招标文件的约束力</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5.1 投标人一旦参加本项目采购活动，即被认为接受了本招标文件的规定和约束。</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6.</w:t>
      </w:r>
      <w:r>
        <w:rPr>
          <w:rFonts w:hint="eastAsia" w:ascii="宋体" w:hAnsi="宋体" w:eastAsia="宋体" w:cs="宋体"/>
          <w:b/>
          <w:color w:val="000000"/>
          <w:sz w:val="24"/>
          <w:szCs w:val="24"/>
          <w:highlight w:val="none"/>
        </w:rPr>
        <w:t xml:space="preserve">招标文件构成</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6.1 招标文件</w:t>
      </w:r>
      <w:r>
        <w:rPr>
          <w:rFonts w:hint="eastAsia" w:ascii="宋体" w:hAnsi="宋体" w:eastAsia="宋体" w:cs="宋体"/>
          <w:bCs/>
          <w:color w:val="000000"/>
          <w:sz w:val="24"/>
          <w:szCs w:val="24"/>
          <w:highlight w:val="none"/>
          <w:lang w:eastAsia="zh-CN"/>
        </w:rPr>
        <w:t xml:space="preserve">由以下部分组成</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（1）招标公告</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（2）投标人须知</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（3）合同条款及格式</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（4）项目需求</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（5）评标方法与评标标准</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（6）投标文件格式</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请仔细检查招标文件是否齐全，如有缺漏请立即与代理机构联系解决。</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6.2 招标的最小单位是包。招标服务数量及技术要求中未分包的，供应商对要求提供的服务不得部分投标；招标服务数量及技术要求中已经分包的，应当以包为单位投标。</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6.3 招标文件如果要求供应商提交备选投标方案的，供应商可以提交备选方案；否则，备选方案将被拒绝。</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7.</w:t>
      </w:r>
      <w:r>
        <w:rPr>
          <w:rFonts w:hint="eastAsia" w:ascii="宋体" w:hAnsi="宋体" w:eastAsia="宋体" w:cs="宋体"/>
          <w:b/>
          <w:color w:val="000000"/>
          <w:sz w:val="24"/>
          <w:szCs w:val="24"/>
          <w:highlight w:val="none"/>
        </w:rPr>
        <w:t xml:space="preserve">招标文件的澄清</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7.1 任何要求对招标文件进行澄清的投标人，应在投标截止日期的十日前按招标公告中的通讯地址，以书面形式通知代理机构。</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8.</w:t>
      </w:r>
      <w:r>
        <w:rPr>
          <w:rFonts w:hint="eastAsia" w:ascii="宋体" w:hAnsi="宋体" w:eastAsia="宋体" w:cs="宋体"/>
          <w:b/>
          <w:color w:val="000000"/>
          <w:sz w:val="24"/>
          <w:szCs w:val="24"/>
          <w:highlight w:val="none"/>
        </w:rPr>
        <w:t xml:space="preserve">招标文件的修改</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8.1 在投标截止时间前，代理机构可以对招标文件进行修改。</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8.2代理机构在招标文件要求提交投标文件截止时间前，有权按照法定要求推迟投标截止时间和开标时间。</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8.3招标文件的修改将在“扬州市政府采购网”、“江苏省政府采购网”和“中国政府采购网”公布，补充文件将作为招标文件的组成部分，并对投标人具有约束力。</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9.</w:t>
      </w:r>
      <w:r>
        <w:rPr>
          <w:rFonts w:hint="eastAsia" w:ascii="宋体" w:hAnsi="宋体" w:eastAsia="宋体" w:cs="宋体"/>
          <w:b/>
          <w:color w:val="000000"/>
          <w:sz w:val="24"/>
          <w:szCs w:val="24"/>
          <w:highlight w:val="none"/>
        </w:rPr>
        <w:t xml:space="preserve">投标文件的语言、度量衡单位、货币</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9.1投标人提交的投标文件以及投标人与代理机构就有关投标的所有来往通知、函件和文件均应使用简体中文。</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9.2 除技术性能另有规定外，投标文件所使用的度量衡单位，均须采用国家法定计量单位。</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9.3投标人应使用人民币报价。</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10.</w:t>
      </w:r>
      <w:r>
        <w:rPr>
          <w:rFonts w:hint="eastAsia" w:ascii="宋体" w:hAnsi="宋体" w:eastAsia="宋体" w:cs="宋体"/>
          <w:b/>
          <w:color w:val="000000"/>
          <w:sz w:val="24"/>
          <w:szCs w:val="24"/>
          <w:highlight w:val="none"/>
        </w:rPr>
        <w:t xml:space="preserve">投标文件构成</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10.1投标文件由以下部分组成</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（1）资格审查响应对照表</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（2）符合性审查响应对照表</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（3）非实质性响应对照表</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（4）开标一览表 </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（5）分项报价表 </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（6）技术参数响应及偏离表 </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（7）商务条款响应及偏离表 </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（8）其他 </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10.2投标人应当根据招标文件要求编制投标文件，投标文件应对招标文件提出的要求和条件作出响应，并在相应的投标文件中逐条标明满足与否。</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11.</w:t>
      </w:r>
      <w:r>
        <w:rPr>
          <w:rFonts w:hint="eastAsia" w:ascii="宋体" w:hAnsi="宋体" w:eastAsia="宋体" w:cs="宋体"/>
          <w:b/>
          <w:color w:val="000000"/>
          <w:sz w:val="24"/>
          <w:szCs w:val="24"/>
          <w:highlight w:val="none"/>
        </w:rPr>
        <w:t xml:space="preserve">证明投标人资格及符合招标文件规定的文件</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11.1投标人应按要求提交资格证明文件及符合招标文件规定的文件。</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11.2投标人应提交证明其有资格参加投标和中标后有能力独立履行合同的文件。</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11.3投标人除必须具有履行合同所需提供的产品或服务的能力外，还必须具备相应的财务、技术方面的能力。</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11.4投标人应提交根据合同要求提供的证明服务质量合格以及符合招标文件规定的证明文件。</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11.5证明投标人所提供服务与招标文件的要求相一致的文件可以是手册、图纸、文字资料和数据。</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12.</w:t>
      </w:r>
      <w:r>
        <w:rPr>
          <w:rFonts w:hint="eastAsia" w:ascii="宋体" w:hAnsi="宋体" w:eastAsia="宋体" w:cs="宋体"/>
          <w:b/>
          <w:color w:val="000000"/>
          <w:sz w:val="24"/>
          <w:szCs w:val="24"/>
          <w:highlight w:val="none"/>
        </w:rPr>
        <w:t xml:space="preserve">投标配置与分项报价表</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如有备选配件，备选配件的报价不属于选择的报价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12.2 标的物</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采购人需求的服务供应、安装，调试及有关技术服务等。</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12.3有关费用处理</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12.4其它费用处理</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招标文件未列明，而投标人认为必需的费用也需列入报价。</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12.5投标货币</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投标文件中的服务单价和总价无特殊规定的采用人民币报价，以元为单位标注。招标文件中另有规定的按规定执行。</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12.6 投标配置与分项报价表上的价格应按下列方式分开填写：</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项目总价：包括采购人需求的产品价格、质量保证费用、培训费用及售后服务费用，项目在指定地点、环境交付、安装、调试、验收所需费用和所有相关税金费用及为完成整个项目所产生的其他所有费用。</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项目单价按投标配置及分项报价表中要求填报。</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eastAsia="zh-CN"/>
        </w:rPr>
        <w:t xml:space="preserve">13.</w:t>
      </w:r>
      <w:r>
        <w:rPr>
          <w:rFonts w:hint="eastAsia" w:ascii="宋体" w:hAnsi="宋体" w:eastAsia="宋体" w:cs="宋体"/>
          <w:b w:val="0"/>
          <w:bCs/>
          <w:color w:val="000000"/>
          <w:sz w:val="24"/>
          <w:szCs w:val="24"/>
          <w:highlight w:val="none"/>
        </w:rPr>
        <w:t xml:space="preserve">技术参数响应及偏离表、商务条款响应及偏离表及投标货物说明</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13.1 对招标文件中的技术与商务条款要求逐项作出响应或偏离，并说明原因；</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13.2 提供参加本项目类似案例简介；</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13.3 培训计划；</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13.4 详细阐述所投货物的主要组成部分、功能设计、实现思路及关键技术；</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13.5 投标人认为需要的其他技术文件或说明。</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14.</w:t>
      </w:r>
      <w:r>
        <w:rPr>
          <w:rFonts w:hint="eastAsia" w:ascii="宋体" w:hAnsi="宋体" w:eastAsia="宋体" w:cs="宋体"/>
          <w:b/>
          <w:color w:val="000000"/>
          <w:sz w:val="24"/>
          <w:szCs w:val="24"/>
          <w:highlight w:val="none"/>
        </w:rPr>
        <w:t xml:space="preserve">服务承诺及售后服务机构、人员的情况介绍</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14.1投标人的服务承诺应按不低于招标文件中商务要求的标准。</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14.2提供投标人有关售后服务的管理制度、售后服务机构的分布情况、售后服务人员的数量、素质、技术水平及售后服务的反应能力。</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15.</w:t>
      </w:r>
      <w:r>
        <w:rPr>
          <w:rFonts w:hint="eastAsia" w:ascii="宋体" w:hAnsi="宋体" w:eastAsia="宋体" w:cs="宋体"/>
          <w:b/>
          <w:color w:val="000000"/>
          <w:sz w:val="24"/>
          <w:szCs w:val="24"/>
          <w:highlight w:val="none"/>
        </w:rPr>
        <w:t xml:space="preserve">投标函和开标一览表</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15.1 投标人应按照招标文件中提供的格式完整、正确填写投标函、开标一览表。</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15.2 开标一览表中的价格应与投标文件中分项报价表中的价格一致，如不一致，不作为无效投标处理，但评标时按开标一览表中价格为准。</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16.</w:t>
      </w:r>
      <w:r>
        <w:rPr>
          <w:rFonts w:hint="eastAsia" w:ascii="宋体" w:hAnsi="宋体" w:eastAsia="宋体" w:cs="宋体"/>
          <w:b/>
          <w:color w:val="000000"/>
          <w:sz w:val="24"/>
          <w:szCs w:val="24"/>
          <w:highlight w:val="none"/>
        </w:rPr>
        <w:t xml:space="preserve">投标有效期</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16.1 投标有效期为开标之日起六十（60）天。投标有效期比规定短的将被视为非响应性投标而予以拒绝。</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43" w:name="_Toc462564084"/>
      <w:r/>
      <w:bookmarkStart w:id="44" w:name="_Toc20823297"/>
      <w:r/>
      <w:bookmarkStart w:id="45" w:name="_Toc16938541"/>
      <w:r/>
      <w:bookmarkStart w:id="46" w:name="_Toc513029225"/>
      <w:r>
        <w:rPr>
          <w:rFonts w:hint="eastAsia" w:ascii="宋体" w:hAnsi="宋体" w:eastAsia="宋体" w:cs="宋体"/>
          <w:b/>
          <w:color w:val="000000"/>
          <w:sz w:val="24"/>
          <w:szCs w:val="24"/>
          <w:highlight w:val="none"/>
          <w:lang w:eastAsia="zh-CN"/>
        </w:rPr>
        <w:t xml:space="preserve">17.</w:t>
      </w:r>
      <w:r>
        <w:rPr>
          <w:rFonts w:hint="eastAsia" w:ascii="宋体" w:hAnsi="宋体" w:eastAsia="宋体" w:cs="宋体"/>
          <w:b/>
          <w:color w:val="000000"/>
          <w:sz w:val="24"/>
          <w:szCs w:val="24"/>
          <w:highlight w:val="none"/>
        </w:rPr>
        <w:t xml:space="preserve">投标文件</w:t>
      </w:r>
      <w:bookmarkEnd w:id="43"/>
      <w:r/>
      <w:bookmarkEnd w:id="44"/>
      <w:r/>
      <w:bookmarkEnd w:id="45"/>
      <w:r/>
      <w:bookmarkEnd w:id="46"/>
      <w:r>
        <w:rPr>
          <w:rFonts w:hint="eastAsia" w:ascii="宋体" w:hAnsi="宋体" w:eastAsia="宋体" w:cs="宋体"/>
          <w:b/>
          <w:color w:val="000000"/>
          <w:sz w:val="24"/>
          <w:szCs w:val="24"/>
          <w:highlight w:val="none"/>
        </w:rPr>
        <w:t xml:space="preserve">的递交</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17.1 电子投标文件的递交投标人应当按照《操作手册》规定，在投标截止时间前制作并上传电子投标文件。</w:t>
      </w:r>
      <w:bookmarkStart w:id="47" w:name="_Toc513029226"/>
      <w:r/>
      <w:bookmarkStart w:id="48" w:name="_Toc16938542"/>
      <w:r/>
      <w:bookmarkStart w:id="49" w:name="_Toc20823298"/>
      <w:r>
        <w:rPr>
          <w:rFonts w:hint="eastAsia" w:ascii="宋体" w:hAnsi="宋体" w:eastAsia="宋体" w:cs="宋体"/>
          <w:b w:val="0"/>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17.2政府采购管理交易系统（苏采云）相关要求是本招标文件的组成部分。</w:t>
      </w:r>
      <w:r>
        <w:rPr>
          <w:rFonts w:hint="eastAsia" w:ascii="宋体" w:hAnsi="宋体" w:eastAsia="宋体" w:cs="宋体"/>
          <w:b w:val="0"/>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17.3投标人应对 CA 证书妥善保管，如被他人盗用投标，因此带来的结果均由投标人自行承担。</w:t>
      </w:r>
      <w:r>
        <w:rPr>
          <w:rFonts w:hint="eastAsia" w:ascii="宋体" w:hAnsi="宋体" w:eastAsia="宋体" w:cs="宋体"/>
          <w:b w:val="0"/>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17.4投标人应当对招标文件提出的要求和条件作出实质性响应，并在电子投标系统逐条应答。</w:t>
      </w:r>
      <w:r>
        <w:rPr>
          <w:rFonts w:hint="eastAsia" w:ascii="宋体" w:hAnsi="宋体" w:eastAsia="宋体" w:cs="宋体"/>
          <w:b w:val="0"/>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17.5投标人应对要求提供的资格证明文件（如资质证书、资格证书）、技术资料（如白皮书、彩页、手册、检测报告等）扫描上传至投标系统。</w:t>
      </w:r>
      <w:r>
        <w:rPr>
          <w:rFonts w:hint="eastAsia" w:ascii="宋体" w:hAnsi="宋体" w:eastAsia="宋体" w:cs="宋体"/>
          <w:b w:val="0"/>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17.6投标人应当在招标文件要求提交投标文件的截止时间前，将投标文件提交至“苏采云”系统，逾期提交的投标文件，“苏采云”系统将自动拒收。</w:t>
      </w:r>
      <w:r>
        <w:rPr>
          <w:rFonts w:hint="eastAsia" w:ascii="宋体" w:hAnsi="宋体" w:eastAsia="宋体" w:cs="宋体"/>
          <w:b w:val="0"/>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17.7各投标人应在规定时间内凭CA证书进行网上解密。</w:t>
      </w:r>
      <w:r>
        <w:rPr>
          <w:rFonts w:hint="eastAsia" w:ascii="宋体" w:hAnsi="宋体" w:eastAsia="宋体" w:cs="宋体"/>
          <w:b w:val="0"/>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18.</w:t>
      </w:r>
      <w:r>
        <w:rPr>
          <w:rFonts w:hint="eastAsia" w:ascii="宋体" w:hAnsi="宋体" w:eastAsia="宋体" w:cs="宋体"/>
          <w:b/>
          <w:color w:val="000000"/>
          <w:sz w:val="24"/>
          <w:szCs w:val="24"/>
          <w:highlight w:val="none"/>
        </w:rPr>
        <w:t xml:space="preserve">投标截止日期</w:t>
      </w:r>
      <w:bookmarkEnd w:id="47"/>
      <w:r/>
      <w:bookmarkEnd w:id="48"/>
      <w:r/>
      <w:bookmarkEnd w:id="49"/>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i/>
          <w:iCs/>
          <w:color w:val="000000"/>
          <w:sz w:val="24"/>
          <w:szCs w:val="24"/>
          <w:highlight w:val="none"/>
          <w:u w:val="single"/>
        </w:rPr>
      </w:pPr>
      <w:r>
        <w:rPr>
          <w:rFonts w:hint="eastAsia" w:ascii="宋体" w:hAnsi="宋体" w:eastAsia="宋体" w:cs="宋体"/>
          <w:bCs/>
          <w:i/>
          <w:iCs/>
          <w:color w:val="000000"/>
          <w:sz w:val="24"/>
          <w:szCs w:val="24"/>
          <w:highlight w:val="none"/>
          <w:u w:val="single"/>
        </w:rPr>
        <w:t xml:space="preserve">18.1 投标人上传电子投标文件的时间不得迟于招标公告中规定的投标截止时间。</w:t>
      </w:r>
      <w:r>
        <w:rPr>
          <w:rFonts w:hint="eastAsia" w:ascii="宋体" w:hAnsi="宋体" w:eastAsia="宋体" w:cs="宋体"/>
          <w:bCs/>
          <w:i/>
          <w:iCs/>
          <w:color w:val="000000"/>
          <w:sz w:val="24"/>
          <w:szCs w:val="24"/>
          <w:highlight w:val="none"/>
          <w:u w:val="singl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投标人应</w:t>
      </w:r>
      <w:r>
        <w:rPr>
          <w:rFonts w:hint="eastAsia" w:ascii="宋体" w:hAnsi="宋体" w:eastAsia="宋体" w:cs="宋体"/>
          <w:bCs/>
          <w:color w:val="000000"/>
          <w:sz w:val="24"/>
          <w:szCs w:val="24"/>
          <w:highlight w:val="none"/>
          <w:lang w:eastAsia="zh-CN"/>
        </w:rPr>
        <w:t xml:space="preserve">充分考虑</w:t>
      </w:r>
      <w:r>
        <w:rPr>
          <w:rFonts w:hint="eastAsia" w:ascii="宋体" w:hAnsi="宋体" w:eastAsia="宋体" w:cs="宋体"/>
          <w:bCs/>
          <w:color w:val="000000"/>
          <w:sz w:val="24"/>
          <w:szCs w:val="24"/>
          <w:highlight w:val="none"/>
        </w:rPr>
        <w:t xml:space="preserve">网络环境、网络带宽等风险因素，如因投标人自身原因造成的电子投标文件上传不成功由投标人自行承担全部责任。</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18.2 代理机构可以按照规定，通过修改招标文件延长投标截止日期，在此情况下，投标人的所有权利和义务以及投标人受制的截止日期均应以延长后新的截止日期为准。</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50" w:name="_Toc513029227"/>
      <w:r/>
      <w:bookmarkStart w:id="51" w:name="_Toc16938543"/>
      <w:r/>
      <w:bookmarkStart w:id="52" w:name="_Toc20823299"/>
      <w:r>
        <w:rPr>
          <w:rFonts w:hint="eastAsia" w:ascii="宋体" w:hAnsi="宋体" w:eastAsia="宋体" w:cs="宋体"/>
          <w:b/>
          <w:color w:val="000000"/>
          <w:sz w:val="24"/>
          <w:szCs w:val="24"/>
          <w:highlight w:val="none"/>
          <w:lang w:eastAsia="zh-CN"/>
        </w:rPr>
        <w:t xml:space="preserve">19.</w:t>
      </w:r>
      <w:r>
        <w:rPr>
          <w:rFonts w:hint="eastAsia" w:ascii="宋体" w:hAnsi="宋体" w:eastAsia="宋体" w:cs="宋体"/>
          <w:b/>
          <w:color w:val="000000"/>
          <w:sz w:val="24"/>
          <w:szCs w:val="24"/>
          <w:highlight w:val="none"/>
        </w:rPr>
        <w:t xml:space="preserve">投标文件</w:t>
      </w:r>
      <w:bookmarkEnd w:id="50"/>
      <w:r/>
      <w:bookmarkEnd w:id="51"/>
      <w:r/>
      <w:bookmarkEnd w:id="52"/>
      <w:r>
        <w:rPr>
          <w:rFonts w:hint="eastAsia" w:ascii="宋体" w:hAnsi="宋体" w:eastAsia="宋体" w:cs="宋体"/>
          <w:b/>
          <w:color w:val="000000"/>
          <w:sz w:val="24"/>
          <w:szCs w:val="24"/>
          <w:highlight w:val="none"/>
        </w:rPr>
        <w:t xml:space="preserve">的拒收</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19.1代理机构拒绝接收在其规定的投标截止时间后上传的任何投标文件。</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53" w:name="_Toc513029228"/>
      <w:r/>
      <w:bookmarkStart w:id="54" w:name="_Toc20823300"/>
      <w:r/>
      <w:bookmarkStart w:id="55" w:name="_Toc16938544"/>
      <w:r>
        <w:rPr>
          <w:rFonts w:hint="eastAsia" w:ascii="宋体" w:hAnsi="宋体" w:eastAsia="宋体" w:cs="宋体"/>
          <w:b/>
          <w:color w:val="000000"/>
          <w:sz w:val="24"/>
          <w:szCs w:val="24"/>
          <w:highlight w:val="none"/>
          <w:lang w:eastAsia="zh-CN"/>
        </w:rPr>
        <w:t xml:space="preserve">20.</w:t>
      </w:r>
      <w:r>
        <w:rPr>
          <w:rFonts w:hint="eastAsia" w:ascii="宋体" w:hAnsi="宋体" w:eastAsia="宋体" w:cs="宋体"/>
          <w:b/>
          <w:color w:val="000000"/>
          <w:sz w:val="24"/>
          <w:szCs w:val="24"/>
          <w:highlight w:val="none"/>
        </w:rPr>
        <w:t xml:space="preserve">投标文件的撤回和修改</w:t>
      </w:r>
      <w:bookmarkEnd w:id="53"/>
      <w:r/>
      <w:bookmarkEnd w:id="54"/>
      <w:r/>
      <w:bookmarkEnd w:id="55"/>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20.1 投标文件的撤回</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20.1.1 电子投标文件的撤回</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投标人可在投标截止时间前，撤回其电子投标文件，具体操作方法见《操作手册》。</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20.1.2 投标人撤回电子投标文件，则认为其不再参与本项目投标活动。</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20.2 投标文件的修改</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投标人可在投标截止时间前，对其电子投标文件进行修改，具体操作方法见《操作手册》。</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20.3 在投标截止时间之后，投标人不得对其电子投标文件作任何修改。</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20.4 在投标截止时间至招标文件中规定的投标有效期满之间的这段时间内，投标人不得撤回其投标。</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21.</w:t>
      </w:r>
      <w:r>
        <w:rPr>
          <w:rFonts w:hint="eastAsia" w:ascii="宋体" w:hAnsi="宋体" w:eastAsia="宋体" w:cs="宋体"/>
          <w:b/>
          <w:color w:val="000000"/>
          <w:sz w:val="24"/>
          <w:szCs w:val="24"/>
          <w:highlight w:val="none"/>
        </w:rPr>
        <w:t xml:space="preserve">开标</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21.1 代理机构将在招标公告中规定的时间和地点组织公开开标。投标人应当按照《操作手册》规定，参加开标活动。投标人未参加开标的，视同认可开标结果。</w:t>
      </w:r>
      <w:r>
        <w:rPr>
          <w:rFonts w:hint="eastAsia" w:ascii="宋体" w:hAnsi="宋体" w:eastAsia="宋体" w:cs="宋体"/>
          <w:b w:val="0"/>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21.2开标仪式由代理机构组织。“政府采购管理交易系统（苏采云）”将自动对项目进行开标，并宣读各投标人的《开标一览表》。</w:t>
      </w:r>
      <w:r>
        <w:rPr>
          <w:rFonts w:hint="eastAsia" w:ascii="宋体" w:hAnsi="宋体" w:eastAsia="宋体" w:cs="宋体"/>
          <w:b w:val="0"/>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21.3投标人在开标过程中涉及到的投标文件解密、开标结果确认等工作，应按照《操作手册》规定执行。</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22.</w:t>
      </w:r>
      <w:r>
        <w:rPr>
          <w:rFonts w:hint="eastAsia" w:ascii="宋体" w:hAnsi="宋体" w:eastAsia="宋体" w:cs="宋体"/>
          <w:b/>
          <w:color w:val="000000"/>
          <w:sz w:val="24"/>
          <w:szCs w:val="24"/>
          <w:highlight w:val="none"/>
        </w:rPr>
        <w:t xml:space="preserve">评标委员会</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22.1 开标后，代理机构将立即组织评标委员会（以下简称评委会）进行评标。</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22.2 评委会由采购人代表和有关技术、经济等方面的专家组成，且人员构成符合政府采购有关规定。</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22.3评委会独立工作，负责评审所有投标文件并确定中标候选人。</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23.</w:t>
      </w:r>
      <w:r>
        <w:rPr>
          <w:rFonts w:hint="eastAsia" w:ascii="宋体" w:hAnsi="宋体" w:eastAsia="宋体" w:cs="宋体"/>
          <w:b/>
          <w:color w:val="000000"/>
          <w:sz w:val="24"/>
          <w:szCs w:val="24"/>
          <w:highlight w:val="none"/>
        </w:rPr>
        <w:t xml:space="preserve">评标过程的保密与公正</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23.2在评标过程中，投标人不得以任何行为影响评标过程，否则其投标文件将被作为无效投标文件。</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23.3 在评标期间，代理机构</w:t>
      </w:r>
      <w:r>
        <w:rPr>
          <w:rFonts w:hint="eastAsia" w:ascii="宋体" w:hAnsi="宋体" w:eastAsia="宋体" w:cs="宋体"/>
          <w:bCs/>
          <w:color w:val="000000"/>
          <w:sz w:val="24"/>
          <w:szCs w:val="24"/>
          <w:highlight w:val="none"/>
          <w:lang w:eastAsia="zh-CN"/>
        </w:rPr>
        <w:t xml:space="preserve">安排</w:t>
      </w:r>
      <w:r>
        <w:rPr>
          <w:rFonts w:hint="eastAsia" w:ascii="宋体" w:hAnsi="宋体" w:eastAsia="宋体" w:cs="宋体"/>
          <w:bCs/>
          <w:color w:val="000000"/>
          <w:sz w:val="24"/>
          <w:szCs w:val="24"/>
          <w:highlight w:val="none"/>
        </w:rPr>
        <w:t xml:space="preserve">专门工作人员与投标人联系。</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23.4 代理机构不对外公开评标过程细节、其他供应商的商业秘密及评标专家个人评审意见，未中标供应商可在法定时限内，按规定程序查询自身得分及未中标原因。</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23.5 采用综合评分法的项目，未中标的投标人可于中标结果公告期限届满之日起通过“政府采购管理交易系统（苏采云）”查看自己的评审得分及排序情况。</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24.</w:t>
      </w:r>
      <w:r>
        <w:rPr>
          <w:rFonts w:hint="eastAsia" w:ascii="宋体" w:hAnsi="宋体" w:eastAsia="宋体" w:cs="宋体"/>
          <w:b/>
          <w:color w:val="000000"/>
          <w:sz w:val="24"/>
          <w:szCs w:val="24"/>
          <w:highlight w:val="none"/>
        </w:rPr>
        <w:t xml:space="preserve">投标的澄清</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24.1评标期间，为有助于对投标文件的审查、评价和比较，评委会有权以电子函件形式要求投标人对其投标文件进行澄清，但并非对每个投标人都作澄清要求。</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24.3 接到评委会澄清要求的投标人如未按规定</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澄清，其风险由投标人自行承担。</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25.</w:t>
      </w:r>
      <w:r>
        <w:rPr>
          <w:rFonts w:hint="eastAsia" w:ascii="宋体" w:hAnsi="宋体" w:eastAsia="宋体" w:cs="宋体"/>
          <w:b/>
          <w:color w:val="000000"/>
          <w:sz w:val="24"/>
          <w:szCs w:val="24"/>
          <w:highlight w:val="none"/>
        </w:rPr>
        <w:t xml:space="preserve">对投标文件的初审</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25.1投标文件初审分为资格审查和符合性审查。</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25.1.1资格审查：依据法律法规和招标文件的规定，由采购人对投标文件中的资格证明文件进行审查。并将审查结论以书面形式向评委会反馈。</w:t>
      </w:r>
      <w:r>
        <w:rPr>
          <w:rFonts w:hint="eastAsia" w:ascii="宋体" w:hAnsi="宋体" w:eastAsia="宋体" w:cs="宋体"/>
          <w:bCs/>
          <w:color w:val="000000"/>
          <w:sz w:val="24"/>
          <w:szCs w:val="24"/>
          <w:highlight w:val="none"/>
        </w:rPr>
      </w:r>
      <w:r/>
    </w:p>
    <w:p>
      <w:pPr>
        <w:pStyle w:val="736"/>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采购人在进行资格性审查的同时，将在“信用中国”网站（www.creditchina.gov.cn）、“中国政府采购网”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若接受联合体投标的项目，两个以上的自然人、法人或者其他组织组成一个联合体，以一个供应商的身份共同参加政府采购活动的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联合体成员存在不良信用记录的，视同联合体存在不良信用记录。</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25.1.2符合性检查：依据招标文件的规定，由评委会从投标文件的有效性、完整性和对招标文件的响应程度进行审查，以确定是否对招标文件的实质性要求作出响应。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bCs/>
          <w:color w:val="000000"/>
          <w:sz w:val="24"/>
          <w:szCs w:val="24"/>
          <w:highlight w:val="none"/>
          <w:lang w:eastAsia="zh-CN"/>
        </w:rPr>
        <w:t xml:space="preserve">不符</w:t>
      </w:r>
      <w:r>
        <w:rPr>
          <w:rFonts w:hint="eastAsia" w:ascii="宋体" w:hAnsi="宋体" w:eastAsia="宋体" w:cs="宋体"/>
          <w:bCs/>
          <w:color w:val="000000"/>
          <w:sz w:val="24"/>
          <w:szCs w:val="24"/>
          <w:highlight w:val="none"/>
        </w:rPr>
        <w:t xml:space="preserve">合要求的偏离或保留而使其投标成为实质性响应的投标。</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25.4评委会将对确定为实质性响应的投标进行进一步审核，看其是否有计算上或累加上的算术错误，修正错误的原则如下：</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（1）投标文件中开标一览表内容与投标文件中相应内容不一致的，以开标一览表为准。</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（2）大写金额与小写金额不一致的，以大写金额为准。</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（4）总价金额与按单价汇总金额不一致的，以单价金额计算结果为准。</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同时出现两种以上错误的，按照前款规定的顺序修正。</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25.6评委会将允许修正投标文件中不构成重大偏离的、微小的、非正规的、不一致的或不规则的地方，但这些修改不能影响任何投标人相应的名次排列。</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25.8 投标人在开、评标全过程中应</w:t>
      </w:r>
      <w:r>
        <w:rPr>
          <w:rFonts w:hint="eastAsia" w:ascii="宋体" w:hAnsi="宋体" w:eastAsia="宋体" w:cs="宋体"/>
          <w:bCs/>
          <w:color w:val="000000"/>
          <w:sz w:val="24"/>
          <w:szCs w:val="24"/>
          <w:highlight w:val="none"/>
          <w:lang w:eastAsia="zh-CN"/>
        </w:rPr>
        <w:t xml:space="preserve">保持通信畅通</w:t>
      </w:r>
      <w:r>
        <w:rPr>
          <w:rFonts w:hint="eastAsia" w:ascii="宋体" w:hAnsi="宋体" w:eastAsia="宋体" w:cs="宋体"/>
          <w:bCs/>
          <w:color w:val="000000"/>
          <w:sz w:val="24"/>
          <w:szCs w:val="24"/>
          <w:highlight w:val="none"/>
        </w:rPr>
        <w:t xml:space="preserve">，并安排专人与代理机构及评委会联系。</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26.</w:t>
      </w:r>
      <w:r>
        <w:rPr>
          <w:rFonts w:hint="eastAsia" w:ascii="宋体" w:hAnsi="宋体" w:eastAsia="宋体" w:cs="宋体"/>
          <w:b/>
          <w:color w:val="000000"/>
          <w:sz w:val="24"/>
          <w:szCs w:val="24"/>
          <w:highlight w:val="none"/>
        </w:rPr>
        <w:t xml:space="preserve">无效投标、废标及投标人不足三家的处理</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26.1无效投标条款</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 投标人未成功解密电子投标文件的。</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26.1.2 投标人未按照招标文件要求上传电子投标文件的。</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26.1.3投标人在报价时采用选择性报价的。</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26.1.4投标人不具备招标文件中规</w:t>
      </w:r>
      <w:r>
        <w:rPr>
          <w:rFonts w:hint="eastAsia" w:ascii="宋体" w:hAnsi="宋体" w:eastAsia="宋体" w:cs="宋体"/>
          <w:bCs/>
          <w:color w:val="000000"/>
          <w:sz w:val="24"/>
          <w:szCs w:val="24"/>
          <w:highlight w:val="none"/>
          <w:lang w:eastAsia="zh-CN"/>
        </w:rPr>
        <w:t xml:space="preserve">定的</w:t>
      </w:r>
      <w:r>
        <w:rPr>
          <w:rFonts w:hint="eastAsia" w:ascii="宋体" w:hAnsi="宋体" w:eastAsia="宋体" w:cs="宋体"/>
          <w:bCs/>
          <w:color w:val="000000"/>
          <w:sz w:val="24"/>
          <w:szCs w:val="24"/>
          <w:highlight w:val="none"/>
        </w:rPr>
        <w:t xml:space="preserve">资格要求的。</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26.1.5投标人的报价超过了采购预算或最高限价的。</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26.1.6未通过符合性审查的。</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26.1.7不符合招标文件中规定的其他实质性要求和条件的（</w:t>
      </w:r>
      <w:r>
        <w:rPr>
          <w:rFonts w:hint="eastAsia" w:ascii="宋体" w:hAnsi="宋体" w:eastAsia="宋体" w:cs="宋体"/>
          <w:bCs/>
          <w:i/>
          <w:iCs/>
          <w:color w:val="000000"/>
          <w:sz w:val="24"/>
          <w:szCs w:val="24"/>
          <w:highlight w:val="none"/>
          <w:u w:val="single"/>
        </w:rPr>
        <w:t xml:space="preserve">本招标文件中斜体且有下划线部分为实质性要求和条件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26.1.8 投标人被 “信用中国”网站（www.creditchina.gov.cn）、“中国政府采购网"(www.ccgp.gov.cn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26.1.9  投标文件含有采购人不能接受的附加条件的。</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26.1.11 本项目采购产品被财政部、</w:t>
      </w:r>
      <w:r>
        <w:rPr>
          <w:rFonts w:hint="eastAsia" w:ascii="宋体" w:hAnsi="宋体" w:eastAsia="宋体" w:cs="宋体"/>
          <w:bCs/>
          <w:color w:val="000000"/>
          <w:sz w:val="24"/>
          <w:szCs w:val="24"/>
          <w:highlight w:val="none"/>
          <w:lang w:eastAsia="zh-CN"/>
        </w:rPr>
        <w:t xml:space="preserve">国家发展改革委</w:t>
      </w:r>
      <w:r>
        <w:rPr>
          <w:rFonts w:hint="eastAsia" w:ascii="宋体" w:hAnsi="宋体" w:eastAsia="宋体" w:cs="宋体"/>
          <w:bCs/>
          <w:color w:val="000000"/>
          <w:sz w:val="24"/>
          <w:szCs w:val="24"/>
          <w:highlight w:val="none"/>
        </w:rPr>
        <w:t xml:space="preserve">、生态环境部等列入“节能产品品目清单”、“环境标志产品品目清单”强制采购范围，而投标人所投标产品不在强制采购范围内的。</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26.1.12 投标文件未按照招标文件要求加盖电子签章。</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26</w:t>
      </w: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13</w:t>
      </w:r>
      <w:r>
        <w:rPr>
          <w:rFonts w:hint="eastAsia" w:ascii="宋体" w:hAnsi="宋体" w:eastAsia="宋体" w:cs="宋体"/>
          <w:b/>
          <w:bCs w:val="0"/>
          <w:color w:val="000000"/>
          <w:sz w:val="24"/>
          <w:szCs w:val="24"/>
          <w:highlight w:val="none"/>
        </w:rPr>
        <w:t xml:space="preserve"> </w:t>
      </w:r>
      <w:r>
        <w:rPr>
          <w:rFonts w:hint="eastAsia" w:ascii="宋体" w:hAnsi="宋体" w:eastAsia="宋体" w:cs="宋体"/>
          <w:b/>
          <w:bCs/>
          <w:color w:val="000000"/>
          <w:sz w:val="24"/>
          <w:szCs w:val="24"/>
          <w:highlight w:val="none"/>
          <w:lang w:val="en-US" w:eastAsia="zh-CN"/>
        </w:rPr>
        <w:t xml:space="preserve">评审过程中出现下列情形之一的，评审委员会应当启动异常低价投标（响应）审查程序：</w:t>
      </w:r>
      <w:r>
        <w:rPr>
          <w:rFonts w:hint="eastAsia" w:ascii="宋体" w:hAnsi="宋体" w:eastAsia="宋体" w:cs="宋体"/>
          <w:b/>
          <w:bCs/>
          <w:color w:val="000000"/>
          <w:sz w:val="24"/>
          <w:szCs w:val="24"/>
          <w:highlight w:val="none"/>
          <w:lang w:val="en-US" w:eastAsia="zh-CN"/>
        </w:rPr>
      </w:r>
      <w:r/>
    </w:p>
    <w:p>
      <w:pPr>
        <w:pStyle w:val="736"/>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4"/>
          <w:szCs w:val="24"/>
          <w:highlight w:val="none"/>
          <w:lang w:val="en-US" w:eastAsia="zh-CN"/>
        </w:rPr>
      </w:r>
      <w:r/>
    </w:p>
    <w:p>
      <w:pPr>
        <w:pStyle w:val="736"/>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4"/>
          <w:szCs w:val="24"/>
          <w:highlight w:val="none"/>
          <w:lang w:val="en-US" w:eastAsia="zh-CN"/>
        </w:rPr>
      </w:r>
      <w:r/>
    </w:p>
    <w:p>
      <w:pPr>
        <w:pStyle w:val="736"/>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（3）投标（响应）报价低于采购项目最高限价50% 的，即投标（响应）报价&lt;采购项目最高限价×50%；</w:t>
      </w:r>
      <w:r>
        <w:rPr>
          <w:rFonts w:hint="eastAsia" w:ascii="宋体" w:hAnsi="宋体" w:eastAsia="宋体" w:cs="宋体"/>
          <w:b/>
          <w:bCs/>
          <w:color w:val="000000"/>
          <w:sz w:val="24"/>
          <w:szCs w:val="24"/>
          <w:highlight w:val="none"/>
          <w:lang w:val="en-US" w:eastAsia="zh-CN"/>
        </w:rPr>
      </w:r>
      <w:r/>
    </w:p>
    <w:p>
      <w:pPr>
        <w:pStyle w:val="736"/>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（4）评审委员会认定的供应商报价过低、有可能影响产品质量或者不能诚信履约的其他情形。</w:t>
      </w:r>
      <w:r>
        <w:rPr>
          <w:rFonts w:hint="eastAsia" w:ascii="宋体" w:hAnsi="宋体" w:eastAsia="宋体" w:cs="宋体"/>
          <w:b/>
          <w:bCs/>
          <w:color w:val="000000"/>
          <w:sz w:val="24"/>
          <w:szCs w:val="24"/>
          <w:highlight w:val="none"/>
          <w:lang w:val="en-US" w:eastAsia="zh-CN"/>
        </w:rPr>
      </w:r>
      <w:r/>
    </w:p>
    <w:p>
      <w:pPr>
        <w:pStyle w:val="736"/>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评审委员会启动异常低价投标（响应）审查后，属于前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30分钟时间。30 分钟为评审系统内线上提交的时限，超时未提交视为无法说明报价合理性 。</w:t>
      </w:r>
      <w:r>
        <w:rPr>
          <w:rFonts w:hint="eastAsia" w:ascii="宋体" w:hAnsi="宋体" w:eastAsia="宋体" w:cs="宋体"/>
          <w:b/>
          <w:bCs/>
          <w:color w:val="000000"/>
          <w:sz w:val="24"/>
          <w:szCs w:val="24"/>
          <w:highlight w:val="none"/>
          <w:lang w:val="en-US" w:eastAsia="zh-CN"/>
        </w:rPr>
      </w:r>
      <w:r/>
    </w:p>
    <w:p>
      <w:pPr>
        <w:pStyle w:val="736"/>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lang w:val="en-US" w:eastAsia="zh-CN"/>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其他法律、法规及本招标文件规定</w:t>
      </w:r>
      <w:r>
        <w:rPr>
          <w:rFonts w:hint="eastAsia" w:ascii="宋体" w:hAnsi="宋体" w:eastAsia="宋体" w:cs="宋体"/>
          <w:bCs/>
          <w:color w:val="000000"/>
          <w:sz w:val="24"/>
          <w:szCs w:val="24"/>
          <w:highlight w:val="none"/>
          <w:lang w:eastAsia="zh-CN"/>
        </w:rPr>
        <w:t xml:space="preserve">的</w:t>
      </w:r>
      <w:r>
        <w:rPr>
          <w:rFonts w:hint="eastAsia" w:ascii="宋体" w:hAnsi="宋体" w:eastAsia="宋体" w:cs="宋体"/>
          <w:bCs/>
          <w:color w:val="000000"/>
          <w:sz w:val="24"/>
          <w:szCs w:val="24"/>
          <w:highlight w:val="none"/>
        </w:rPr>
        <w:t xml:space="preserve">无效投标的情形。</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26.2废标条款：</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26.2.1符合专业条件的供应商或者对招标文件作实质响应的供应商不足三家的。</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26.2.2出现影响采购公正的违法、违规行为的。</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26.2.3因重大变故，采购任务取消的。</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26.2.4评委会认定招标文件存在歧义、重大缺陷导致评审工作无法进行。</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26.3 投标截止时间结束后参加投标的供应商不足三家的处理：</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26.3.1如出现投标截止时间结束后参加投标的供应商或者在评标期间对招标文件做出实质性响应的供应商不足三家情况，按政府采购相关规定执行。</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27.</w:t>
      </w:r>
      <w:r>
        <w:rPr>
          <w:rFonts w:hint="eastAsia" w:ascii="宋体" w:hAnsi="宋体" w:eastAsia="宋体" w:cs="宋体"/>
          <w:b/>
          <w:color w:val="000000"/>
          <w:sz w:val="24"/>
          <w:szCs w:val="24"/>
          <w:highlight w:val="none"/>
        </w:rPr>
        <w:t xml:space="preserve">确定中标单位</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27.1评委会根据本招标文件规</w:t>
      </w:r>
      <w:r>
        <w:rPr>
          <w:rFonts w:hint="eastAsia" w:ascii="宋体" w:hAnsi="宋体" w:eastAsia="宋体" w:cs="宋体"/>
          <w:bCs/>
          <w:color w:val="000000"/>
          <w:sz w:val="24"/>
          <w:szCs w:val="24"/>
          <w:highlight w:val="none"/>
          <w:lang w:eastAsia="zh-CN"/>
        </w:rPr>
        <w:t xml:space="preserve">定的</w:t>
      </w:r>
      <w:r>
        <w:rPr>
          <w:rFonts w:hint="eastAsia" w:ascii="宋体" w:hAnsi="宋体" w:eastAsia="宋体" w:cs="宋体"/>
          <w:bCs/>
          <w:color w:val="000000"/>
          <w:sz w:val="24"/>
          <w:szCs w:val="24"/>
          <w:highlight w:val="none"/>
        </w:rPr>
        <w:t xml:space="preserve">评标方法与评标标准向采购人推荐出中标候选人。</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27.2 采购人应根据评委会推荐的中标候选人确定中标人。</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27.3代理机构将在“扬州市政府采购网”、“江苏省政府采购网”和“中国政府采购网”发布中标公告，公告期限为1个工作日。</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27.4若有充分证据证明，中标人出现下列情况之一的，一经查实，将被取消中标资格：</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27.4.1提供虚假材料谋取中标的；</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27.4.2向采购人、代理机构行贿或者提供其他不正当利益的；</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27.4.3恶意竞争，投标总报价明显低于其自身合理成本且又无法提供证明的；</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27.4.4属于本文件规定的无效条件，但在评标过程中又未被评委会发现的；</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27.4.5与采购人或者其他投标人恶意串通的；</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27.4.6采取不正当手段诋毁、排挤其他供应商的；</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27.4.7不符合</w:t>
      </w:r>
      <w:r>
        <w:rPr>
          <w:rFonts w:hint="eastAsia" w:ascii="宋体" w:hAnsi="宋体" w:eastAsia="宋体" w:cs="宋体"/>
          <w:bCs/>
          <w:color w:val="000000"/>
          <w:sz w:val="24"/>
          <w:szCs w:val="24"/>
          <w:highlight w:val="none"/>
          <w:lang w:eastAsia="zh-CN"/>
        </w:rPr>
        <w:t xml:space="preserve">法律法规</w:t>
      </w:r>
      <w:r>
        <w:rPr>
          <w:rFonts w:hint="eastAsia" w:ascii="宋体" w:hAnsi="宋体" w:eastAsia="宋体" w:cs="宋体"/>
          <w:bCs/>
          <w:color w:val="000000"/>
          <w:sz w:val="24"/>
          <w:szCs w:val="24"/>
          <w:highlight w:val="none"/>
        </w:rPr>
        <w:t xml:space="preserve">的规定的。</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27.5. 有下列情形之一的，视为投标人串通投标，投标无效：</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27.5.1不同投标人的投标文件由同一单位或者个人编制。</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rPr>
          <w:rFonts w:hint="eastAsia" w:ascii="宋体" w:hAnsi="宋体" w:eastAsia="宋体" w:cs="宋体"/>
          <w:b/>
          <w:bCs w:val="0"/>
          <w:color w:val="000000"/>
          <w:sz w:val="24"/>
          <w:szCs w:val="24"/>
          <w:highlight w:val="none"/>
          <w:lang w:val="en-US" w:eastAsia="zh-CN"/>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27.5.2不同投标人委托同一单位或者个人办理投标事宜。</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27.5.3 不同投标人的投标文件载明的项目管理成员或者联系人员为同一人。</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27.5.4不同投标人的投标文件异常一致或者投标报价呈规律性差异。</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27.5.5不同投标人的投标文件相互混装。</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28.</w:t>
      </w:r>
      <w:r>
        <w:rPr>
          <w:rFonts w:hint="eastAsia" w:ascii="宋体" w:hAnsi="宋体" w:eastAsia="宋体" w:cs="宋体"/>
          <w:b/>
          <w:color w:val="000000"/>
          <w:sz w:val="24"/>
          <w:szCs w:val="24"/>
          <w:highlight w:val="none"/>
        </w:rPr>
        <w:t xml:space="preserve">质疑处理</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28.1提出质疑的供应商应当是参与所质疑项目采购活动的供应商。潜在供应商依法获取其可质疑的采购文件的，可以对采购文件提出质疑。</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对项目需求部分的质疑，潜在供应商应向采购人提出，由采购人负责答复。</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28.2.2对采购过程提出质疑的，为各采购程序环节结束之日起7个工作日内提出。</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28.2.3对中标结果提出质疑的，为中标结果公告期限届满之日起7个工作日内提出。</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28.5 代理机构及采购人只接收以纸质原件形式送达的质疑，同时需与采购代理机构经办人确认是否收到《质疑函》，如供应商未按上述要求去做，将自行承担所产生的风险。</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采购人质疑接收人及联系方式见招标文件第一章。</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28.6代理机构收到质疑申请后，将对质疑的形式和内容进行审查，如质疑内容、格式不符合规定，代理机构将告知质疑人进行补正。</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28.7质疑人应当在法定质疑期限内进行补正并重新提交质疑函。</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28.8 以下情形的质疑不予受理</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28.8.1 内容不符合《政府采购质疑和投诉办法》第十二条规定的质疑。</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28.8.2 超出政府采购法定期限的质疑。</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28.8.3 以传真、电子邮件等方式递交的非原件形式的质疑。</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28.8.4 未参加投标活动的供应商或在投标活动中自身权益未受到损害的供应商所提出的质疑。</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28.8.5供应商组成联合体参加投标，联合体中任何一方或多方未按要求签字、盖章、加盖公章的质疑。</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28.10代理机构应当在收到供应商的书面质疑后7个工作日内作出答复，并以书面形式通知质疑供应商和其他有关供应商，但答复的内容不得涉及商业秘密。</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29.</w:t>
      </w:r>
      <w:r>
        <w:rPr>
          <w:rFonts w:hint="eastAsia" w:ascii="宋体" w:hAnsi="宋体" w:eastAsia="宋体" w:cs="宋体"/>
          <w:b/>
          <w:color w:val="000000"/>
          <w:sz w:val="24"/>
          <w:szCs w:val="24"/>
          <w:highlight w:val="none"/>
        </w:rPr>
        <w:t xml:space="preserve">中标通知书</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29.l 中标结果确定后，代理机构将向中标人发出中标通知书。</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29.2 中标人可在“政府采购管理交易系统（苏采云）”中标通知书下载模块中自行下载中标通知书。</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30.</w:t>
      </w:r>
      <w:r>
        <w:rPr>
          <w:rFonts w:hint="eastAsia" w:ascii="宋体" w:hAnsi="宋体" w:eastAsia="宋体" w:cs="宋体"/>
          <w:b/>
          <w:color w:val="000000"/>
          <w:sz w:val="24"/>
          <w:szCs w:val="24"/>
          <w:highlight w:val="none"/>
        </w:rPr>
        <w:t xml:space="preserve"> 签订合同</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30.l中标人应在中标通知书发出之日起三十日内，按照招标文件确定的事项与采购人签订政府采购合同。</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30.2 招标文件、中标人的投标文件及招标过程中有关澄清、承诺文件均应作为合同附件。</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30.3 合同在“政府采购管理交易系统（苏采云）”中签订，签订合同后，</w:t>
      </w:r>
      <w:r>
        <w:rPr>
          <w:rFonts w:hint="eastAsia" w:ascii="宋体" w:hAnsi="宋体" w:eastAsia="宋体" w:cs="宋体"/>
          <w:bCs/>
          <w:i/>
          <w:iCs/>
          <w:color w:val="000000"/>
          <w:sz w:val="24"/>
          <w:szCs w:val="24"/>
          <w:highlight w:val="none"/>
          <w:u w:val="single"/>
        </w:rPr>
        <w:t xml:space="preserve">中标人不得将货物或服务及其他服务进行转包</w:t>
      </w:r>
      <w:r>
        <w:rPr>
          <w:rFonts w:hint="eastAsia" w:ascii="宋体" w:hAnsi="宋体" w:eastAsia="宋体" w:cs="宋体"/>
          <w:bCs/>
          <w:color w:val="000000"/>
          <w:sz w:val="24"/>
          <w:szCs w:val="24"/>
          <w:highlight w:val="none"/>
        </w:rPr>
        <w:t xml:space="preserve">。未经采购人同意，中标人也不得采用分包的形式履行合同，否则采购人有权终止合同，中标人的履约保证金将不予退还。转包或分包造成采购人损失的，中标人应承担赔偿责任。</w:t>
      </w:r>
      <w:r>
        <w:rPr>
          <w:rFonts w:hint="eastAsia" w:ascii="宋体" w:hAnsi="宋体" w:eastAsia="宋体" w:cs="宋体"/>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hint="eastAsia" w:ascii="宋体" w:hAnsi="宋体" w:eastAsia="宋体" w:cs="宋体"/>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31.</w:t>
      </w:r>
      <w:r>
        <w:rPr>
          <w:rFonts w:hint="eastAsia" w:ascii="宋体" w:hAnsi="宋体" w:eastAsia="宋体" w:cs="宋体"/>
          <w:b/>
          <w:color w:val="000000"/>
          <w:sz w:val="24"/>
          <w:szCs w:val="24"/>
          <w:highlight w:val="none"/>
        </w:rPr>
        <w:t xml:space="preserve">电子投标文件要求</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31.1政府采购管理交易系统（苏采云）相关要求是本招标文件的组成部分。</w:t>
      </w:r>
      <w:r>
        <w:rPr>
          <w:rFonts w:hint="eastAsia" w:ascii="宋体" w:hAnsi="宋体" w:eastAsia="宋体" w:cs="宋体"/>
          <w:b w:val="0"/>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31.2投标人应对 CA 证书妥善保管，如被他人盗用投标，因此带来的结果均由投标人自行承担。</w:t>
      </w:r>
      <w:r>
        <w:rPr>
          <w:rFonts w:hint="eastAsia" w:ascii="宋体" w:hAnsi="宋体" w:eastAsia="宋体" w:cs="宋体"/>
          <w:b w:val="0"/>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31.3投标人应当对招标文件提出的要求和条件作出实质性响应，并在电子投标系统逐条应答。</w:t>
      </w:r>
      <w:r>
        <w:rPr>
          <w:rFonts w:hint="eastAsia" w:ascii="宋体" w:hAnsi="宋体" w:eastAsia="宋体" w:cs="宋体"/>
          <w:b w:val="0"/>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31.4投标人应对要求提供的资格证明文件（如资质证书、资格证书）、技术资料（如白皮书、彩页、手册、检测报告等）扫描上传至投标系统。</w:t>
      </w:r>
      <w:r>
        <w:rPr>
          <w:rFonts w:hint="eastAsia" w:ascii="宋体" w:hAnsi="宋体" w:eastAsia="宋体" w:cs="宋体"/>
          <w:b w:val="0"/>
          <w:bCs/>
          <w:color w:val="000000"/>
          <w:sz w:val="24"/>
          <w:szCs w:val="24"/>
          <w:highlight w:val="none"/>
        </w:rPr>
      </w:r>
      <w:r/>
    </w:p>
    <w:p>
      <w:pPr>
        <w:pStyle w:val="736"/>
        <w:numPr>
          <w:ilvl w:val="0"/>
          <w:numId w:val="2"/>
        </w:num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提交投标文件的截止时间（投标截止时间）</w:t>
      </w:r>
      <w:r>
        <w:rPr>
          <w:rFonts w:hint="eastAsia" w:ascii="宋体" w:hAnsi="宋体" w:eastAsia="宋体" w:cs="宋体"/>
          <w:b/>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32.1投标人应当在招标文件要求提交投标文件的截止时间前，将投标文件提交至“苏采云”系统，逾期提交的投标文件，“苏采云”系统将自动拒收。</w:t>
      </w:r>
      <w:r>
        <w:rPr>
          <w:rFonts w:hint="eastAsia" w:ascii="宋体" w:hAnsi="宋体" w:eastAsia="宋体" w:cs="宋体"/>
          <w:b w:val="0"/>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32.2各投标人应在规定时间内凭CA证书进行网上解密。</w:t>
      </w:r>
      <w:r>
        <w:rPr>
          <w:rFonts w:hint="eastAsia" w:ascii="宋体" w:hAnsi="宋体" w:eastAsia="宋体" w:cs="宋体"/>
          <w:b w:val="0"/>
          <w:bCs/>
          <w:color w:val="000000"/>
          <w:sz w:val="24"/>
          <w:szCs w:val="24"/>
          <w:highlight w:val="none"/>
        </w:rPr>
      </w:r>
      <w:r/>
    </w:p>
    <w:p>
      <w:pPr>
        <w:pStyle w:val="736"/>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33.</w:t>
      </w:r>
      <w:r>
        <w:rPr>
          <w:rFonts w:hint="eastAsia" w:ascii="宋体" w:hAnsi="宋体" w:eastAsia="宋体" w:cs="宋体"/>
          <w:b/>
          <w:bCs/>
          <w:color w:val="000000"/>
          <w:sz w:val="24"/>
          <w:szCs w:val="24"/>
          <w:highlight w:val="none"/>
        </w:rPr>
        <w:t xml:space="preserve">其他</w:t>
      </w:r>
      <w:r>
        <w:rPr>
          <w:rFonts w:hint="eastAsia" w:ascii="宋体" w:hAnsi="宋体" w:eastAsia="宋体" w:cs="宋体"/>
          <w:b/>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33.1 依据《政府采购促进中小企业发展管理办法》</w:t>
      </w:r>
      <w:r>
        <w:rPr>
          <w:rFonts w:hint="eastAsia" w:ascii="宋体" w:hAnsi="宋体" w:eastAsia="宋体" w:cs="宋体"/>
          <w:color w:val="000000"/>
          <w:sz w:val="24"/>
          <w:szCs w:val="24"/>
          <w:highlight w:val="none"/>
          <w:lang w:eastAsia="zh-CN"/>
        </w:rPr>
        <w:t xml:space="preserve">享受</w:t>
      </w:r>
      <w:r>
        <w:rPr>
          <w:rFonts w:hint="eastAsia" w:ascii="宋体" w:hAnsi="宋体" w:eastAsia="宋体" w:cs="宋体"/>
          <w:color w:val="000000"/>
          <w:sz w:val="24"/>
          <w:szCs w:val="24"/>
          <w:highlight w:val="none"/>
        </w:rPr>
        <w:t xml:space="preserve">扶持政策获得政府采购合同的，小微企业不得将合同分包给大中型企业，中型企业不得将合同分包给大型企业。</w:t>
      </w:r>
      <w:r>
        <w:rPr>
          <w:rFonts w:hint="eastAsia" w:ascii="宋体" w:hAnsi="宋体" w:eastAsia="宋体" w:cs="宋体"/>
          <w:bCs/>
          <w:color w:val="000000"/>
          <w:sz w:val="24"/>
          <w:szCs w:val="24"/>
          <w:highlight w:val="none"/>
        </w:rPr>
      </w:r>
      <w:r/>
    </w:p>
    <w:p>
      <w:pPr>
        <w:pStyle w:val="736"/>
        <w:ind w:firstLine="420"/>
        <w:spacing w:line="44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br w:type="page" w:clear="all"/>
      </w:r>
      <w:r>
        <w:rPr>
          <w:rFonts w:hint="eastAsia" w:ascii="宋体" w:hAnsi="宋体" w:eastAsia="宋体" w:cs="宋体"/>
          <w:bCs/>
          <w:color w:val="000000"/>
          <w:szCs w:val="21"/>
          <w:highlight w:val="none"/>
        </w:rPr>
      </w:r>
      <w:r/>
    </w:p>
    <w:p>
      <w:pPr>
        <w:pStyle w:val="777"/>
        <w:rPr>
          <w:rFonts w:hint="eastAsia"/>
          <w:color w:val="000000"/>
          <w:highlight w:val="none"/>
        </w:rPr>
      </w:pPr>
      <w:r/>
      <w:bookmarkStart w:id="56" w:name="_Toc55204179"/>
      <w:r/>
      <w:bookmarkStart w:id="57" w:name="_Toc18427"/>
      <w:r/>
      <w:bookmarkStart w:id="58" w:name="_Hlk69392822"/>
      <w:r>
        <w:rPr>
          <w:rFonts w:hint="eastAsia"/>
          <w:color w:val="000000"/>
          <w:highlight w:val="none"/>
        </w:rPr>
        <w:t xml:space="preserve">第三章 合同条款及格式</w:t>
      </w:r>
      <w:bookmarkEnd w:id="56"/>
      <w:r/>
      <w:bookmarkEnd w:id="57"/>
      <w:r>
        <w:rPr>
          <w:rFonts w:hint="eastAsia"/>
          <w:color w:val="000000"/>
          <w:highlight w:val="none"/>
        </w:rPr>
      </w:r>
      <w:r/>
    </w:p>
    <w:p>
      <w:pPr>
        <w:pStyle w:val="946"/>
        <w:ind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4"/>
          <w:szCs w:val="24"/>
          <w:highlight w:val="none"/>
        </w:rPr>
        <w:t xml:space="preserve">以下为中标后</w:t>
      </w:r>
      <w:r>
        <w:rPr>
          <w:rFonts w:hint="eastAsia" w:hAnsi="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本项目合同的通用条款，中标人不得提出实质性的修改，关于专用条款将由采购人与中标人结合本项目具体情况协商后签订。</w:t>
      </w:r>
      <w:r>
        <w:rPr>
          <w:rFonts w:hint="eastAsia" w:ascii="宋体" w:hAnsi="宋体" w:eastAsia="宋体" w:cs="宋体"/>
          <w:color w:val="000000"/>
          <w:sz w:val="21"/>
          <w:szCs w:val="21"/>
          <w:highlight w:val="none"/>
        </w:rPr>
      </w:r>
      <w:r/>
    </w:p>
    <w:p>
      <w:pPr>
        <w:pStyle w:val="946"/>
        <w:ind w:firstLine="482"/>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46"/>
        <w:ind w:firstLine="562"/>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扬州市政府采购合同（货物</w:t>
      </w:r>
      <w:r>
        <w:rPr>
          <w:rFonts w:hint="eastAsia" w:hAnsi="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（合同编号）</w:t>
      </w:r>
      <w:r>
        <w:rPr>
          <w:rFonts w:hint="eastAsia" w:ascii="宋体" w:hAnsi="宋体" w:eastAsia="宋体" w:cs="宋体"/>
          <w:b/>
          <w:bCs/>
          <w:color w:val="000000"/>
          <w:sz w:val="28"/>
          <w:szCs w:val="28"/>
          <w:highlight w:val="none"/>
        </w:rPr>
      </w:r>
      <w:r/>
    </w:p>
    <w:p>
      <w:pPr>
        <w:pStyle w:val="94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hAnsi="宋体" w:cs="宋体"/>
          <w:color w:val="000000"/>
          <w:sz w:val="24"/>
          <w:szCs w:val="24"/>
          <w:highlight w:val="none"/>
          <w:lang w:eastAsia="zh-CN"/>
        </w:rPr>
        <w:t xml:space="preserve">扬州市疾病预防控制中心全自动生化分析仪采购项目</w:t>
      </w:r>
      <w:r>
        <w:rPr>
          <w:rFonts w:hint="eastAsia" w:ascii="宋体" w:hAnsi="宋体" w:eastAsia="宋体" w:cs="宋体"/>
          <w:color w:val="000000"/>
          <w:sz w:val="24"/>
          <w:szCs w:val="24"/>
          <w:highlight w:val="none"/>
          <w:lang w:eastAsia="zh-CN"/>
        </w:rPr>
      </w:r>
      <w:r/>
    </w:p>
    <w:p>
      <w:pPr>
        <w:pStyle w:val="94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w:t>
      </w:r>
      <w:r>
        <w:rPr>
          <w:rFonts w:hint="eastAsia" w:hAnsi="宋体" w:cs="宋体"/>
          <w:color w:val="000000"/>
          <w:sz w:val="24"/>
          <w:szCs w:val="24"/>
          <w:highlight w:val="none"/>
          <w:lang w:eastAsia="zh-CN"/>
        </w:rPr>
        <w:t xml:space="preserve">JSZC-321000-WCGC-G2026-0032号</w:t>
      </w:r>
      <w:r>
        <w:rPr>
          <w:rFonts w:hint="eastAsia" w:ascii="宋体" w:hAnsi="宋体" w:eastAsia="宋体" w:cs="宋体"/>
          <w:color w:val="000000"/>
          <w:sz w:val="24"/>
          <w:szCs w:val="24"/>
          <w:highlight w:val="none"/>
          <w:lang w:eastAsia="zh-CN"/>
        </w:rPr>
      </w:r>
      <w:r/>
    </w:p>
    <w:p>
      <w:pPr>
        <w:pStyle w:val="94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甲方（采购人/买方）：</w:t>
      </w:r>
      <w:r>
        <w:rPr>
          <w:rFonts w:hint="eastAsia" w:ascii="宋体" w:hAnsi="宋体" w:eastAsia="宋体" w:cs="宋体"/>
          <w:color w:val="000000"/>
          <w:sz w:val="24"/>
          <w:szCs w:val="24"/>
          <w:highlight w:val="none"/>
          <w:lang w:eastAsia="zh-CN"/>
        </w:rPr>
        <w:t xml:space="preserve">扬州市疾病预防控制中心</w:t>
      </w:r>
      <w:r>
        <w:rPr>
          <w:rFonts w:hint="eastAsia" w:ascii="宋体" w:hAnsi="宋体" w:eastAsia="宋体" w:cs="宋体"/>
          <w:color w:val="000000"/>
          <w:sz w:val="24"/>
          <w:szCs w:val="24"/>
          <w:highlight w:val="none"/>
          <w:lang w:eastAsia="zh-CN"/>
        </w:rPr>
      </w:r>
      <w:r/>
    </w:p>
    <w:p>
      <w:pPr>
        <w:pStyle w:val="946"/>
        <w:ind w:firstLine="480"/>
        <w:jc w:val="left"/>
        <w:keepLines w:val="0"/>
        <w:keepNext w:val="0"/>
        <w:pageBreakBefore w:val="0"/>
        <w:spacing w:line="360" w:lineRule="auto"/>
        <w:widowControl w:val="off"/>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乙方（供应商/卖方）：</w:t>
      </w:r>
      <w:r>
        <w:rPr>
          <w:rFonts w:hint="eastAsia" w:ascii="宋体" w:hAnsi="宋体" w:eastAsia="宋体" w:cs="宋体"/>
          <w:color w:val="000000"/>
          <w:sz w:val="24"/>
          <w:szCs w:val="24"/>
          <w:highlight w:val="none"/>
          <w:lang w:val="en-US" w:eastAsia="zh-CN"/>
        </w:rPr>
        <w:t xml:space="preserve"> </w:t>
      </w:r>
      <w:r>
        <w:rPr>
          <w:rFonts w:hint="eastAsia"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u w:val="single"/>
          <w:lang w:val="en-US" w:eastAsia="zh-CN"/>
        </w:rPr>
      </w:r>
      <w:r/>
    </w:p>
    <w:p>
      <w:pPr>
        <w:pStyle w:val="94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见证方：</w:t>
      </w:r>
      <w:r>
        <w:rPr>
          <w:rFonts w:hint="eastAsia" w:hAnsi="宋体" w:eastAsia="宋体" w:cs="宋体"/>
          <w:color w:val="000000"/>
          <w:sz w:val="24"/>
          <w:szCs w:val="24"/>
          <w:highlight w:val="none"/>
          <w:lang w:eastAsia="zh-CN"/>
        </w:rPr>
        <w:t xml:space="preserve">江苏唯诚建设咨询有限公司</w:t>
      </w:r>
      <w:r>
        <w:rPr>
          <w:rFonts w:hint="eastAsia" w:ascii="宋体" w:hAnsi="宋体" w:eastAsia="宋体" w:cs="宋体"/>
          <w:color w:val="000000"/>
          <w:sz w:val="24"/>
          <w:szCs w:val="24"/>
          <w:highlight w:val="none"/>
          <w:lang w:eastAsia="zh-CN"/>
        </w:rPr>
      </w:r>
      <w:r/>
    </w:p>
    <w:p>
      <w:pPr>
        <w:pStyle w:val="94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参照《中华人民共和国民法典》等法律法规的规定，甲、乙双方按照</w:t>
      </w:r>
      <w:r>
        <w:rPr>
          <w:rFonts w:hint="eastAsia" w:hAnsi="宋体" w:eastAsia="宋体" w:cs="宋体"/>
          <w:color w:val="000000"/>
          <w:sz w:val="24"/>
          <w:szCs w:val="24"/>
          <w:highlight w:val="none"/>
          <w:lang w:eastAsia="zh-CN"/>
        </w:rPr>
        <w:t xml:space="preserve">江苏唯诚建设咨询有限公司</w:t>
      </w:r>
      <w:r>
        <w:rPr>
          <w:rFonts w:hint="eastAsia" w:ascii="宋体" w:hAnsi="宋体" w:eastAsia="宋体" w:cs="宋体"/>
          <w:color w:val="000000"/>
          <w:sz w:val="24"/>
          <w:szCs w:val="24"/>
          <w:highlight w:val="none"/>
          <w:lang w:eastAsia="zh-CN"/>
        </w:rPr>
        <w:t xml:space="preserve">关于本项目招标结果签订本合同。</w:t>
      </w:r>
      <w:r>
        <w:rPr>
          <w:rFonts w:hint="eastAsia" w:ascii="宋体" w:hAnsi="宋体" w:eastAsia="宋体" w:cs="宋体"/>
          <w:color w:val="000000"/>
          <w:sz w:val="24"/>
          <w:szCs w:val="24"/>
          <w:highlight w:val="none"/>
          <w:lang w:eastAsia="zh-CN"/>
        </w:rPr>
      </w:r>
      <w:r/>
    </w:p>
    <w:p>
      <w:pPr>
        <w:pStyle w:val="946"/>
        <w:numPr>
          <w:ilvl w:val="0"/>
          <w:numId w:val="3"/>
        </w:numPr>
        <w:ind w:firstLine="422"/>
        <w:keepLines w:val="0"/>
        <w:keepNext w:val="0"/>
        <w:pageBreakBefore w:val="0"/>
        <w:spacing w:line="360" w:lineRule="auto"/>
        <w:widowControl w:val="off"/>
        <w:rPr>
          <w:rFonts w:hint="eastAsia" w:hAnsi="宋体" w:eastAsia="宋体" w:cs="宋体"/>
          <w:b/>
          <w:bCs/>
          <w:color w:val="000000"/>
          <w:sz w:val="24"/>
          <w:szCs w:val="24"/>
          <w:highlight w:val="none"/>
          <w:lang w:eastAsia="zh-CN"/>
        </w:rPr>
      </w:pPr>
      <w:r>
        <w:rPr>
          <w:rFonts w:hint="eastAsia" w:hAnsi="宋体" w:eastAsia="宋体" w:cs="宋体"/>
          <w:b/>
          <w:bCs/>
          <w:color w:val="000000"/>
          <w:sz w:val="24"/>
          <w:szCs w:val="24"/>
          <w:highlight w:val="none"/>
          <w:lang w:eastAsia="zh-CN"/>
        </w:rPr>
        <w:t xml:space="preserve">合同标的</w:t>
      </w:r>
      <w:r>
        <w:rPr>
          <w:rFonts w:hint="eastAsia" w:hAnsi="宋体" w:eastAsia="宋体" w:cs="宋体"/>
          <w:b/>
          <w:bCs/>
          <w:color w:val="000000"/>
          <w:sz w:val="24"/>
          <w:szCs w:val="24"/>
          <w:highlight w:val="none"/>
          <w:lang w:eastAsia="zh-CN"/>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乙方根据甲方需求，提供下列货物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货物名称：</w:t>
      </w:r>
      <w:r>
        <w:rPr>
          <w:rFonts w:hint="eastAsia" w:hAnsi="宋体" w:cs="宋体"/>
          <w:color w:val="000000"/>
          <w:sz w:val="24"/>
          <w:szCs w:val="24"/>
          <w:highlight w:val="none"/>
          <w:lang w:eastAsia="zh-CN"/>
        </w:rPr>
        <w:t xml:space="preserve">全自动生化分析仪，</w:t>
      </w:r>
      <w:r>
        <w:rPr>
          <w:rFonts w:hint="eastAsia" w:ascii="宋体" w:hAnsi="宋体" w:eastAsia="宋体" w:cs="宋体"/>
          <w:color w:val="000000"/>
          <w:sz w:val="24"/>
          <w:szCs w:val="24"/>
          <w:highlight w:val="none"/>
          <w:lang w:eastAsia="zh-CN"/>
        </w:rPr>
        <w:t xml:space="preserve">含设备主机、标准配件、专用配套耗材（首次）、配套设备、安装调试、技术培训、售后保障等全部相关服务。</w:t>
      </w:r>
      <w:r>
        <w:rPr>
          <w:rFonts w:hint="eastAsia" w:ascii="宋体" w:hAnsi="宋体" w:eastAsia="宋体" w:cs="宋体"/>
          <w:color w:val="000000"/>
          <w:sz w:val="24"/>
          <w:szCs w:val="24"/>
          <w:highlight w:val="none"/>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型号</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规格：</w:t>
      </w:r>
      <w:r>
        <w:rPr>
          <w:rFonts w:hint="eastAsia" w:ascii="宋体" w:hAnsi="宋体" w:eastAsia="宋体" w:cs="宋体"/>
          <w:color w:val="000000"/>
          <w:sz w:val="24"/>
          <w:szCs w:val="24"/>
          <w:highlight w:val="none"/>
        </w:rPr>
      </w:r>
      <w:r/>
    </w:p>
    <w:p>
      <w:pPr>
        <w:pStyle w:val="946"/>
        <w:ind w:firstLine="42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1.3 数量</w:t>
      </w:r>
      <w:r>
        <w:rPr>
          <w:rFonts w:hint="eastAsia"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1台</w:t>
      </w:r>
      <w:r>
        <w:rPr>
          <w:rFonts w:ascii="宋体" w:hAnsi="宋体" w:eastAsia="宋体" w:cs="宋体"/>
          <w:color w:val="000000"/>
          <w:sz w:val="24"/>
          <w:szCs w:val="24"/>
          <w:highlight w:val="none"/>
          <w:lang w:val="en-US" w:eastAsia="zh-CN"/>
        </w:rPr>
      </w:r>
      <w:r/>
    </w:p>
    <w:p>
      <w:pPr>
        <w:pStyle w:val="94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二、合同</w:t>
      </w:r>
      <w:r>
        <w:rPr>
          <w:rFonts w:hint="eastAsia" w:hAnsi="宋体" w:eastAsia="宋体" w:cs="宋体"/>
          <w:b/>
          <w:bCs/>
          <w:color w:val="000000"/>
          <w:sz w:val="24"/>
          <w:szCs w:val="24"/>
          <w:highlight w:val="none"/>
          <w:lang w:eastAsia="zh-CN"/>
        </w:rPr>
        <w:t xml:space="preserve">总</w:t>
      </w:r>
      <w:r>
        <w:rPr>
          <w:rFonts w:hint="eastAsia" w:ascii="宋体" w:hAnsi="宋体" w:eastAsia="宋体" w:cs="宋体"/>
          <w:b/>
          <w:bCs/>
          <w:color w:val="000000"/>
          <w:sz w:val="24"/>
          <w:szCs w:val="24"/>
          <w:highlight w:val="none"/>
        </w:rPr>
        <w:t xml:space="preserve">金额</w:t>
      </w:r>
      <w:r>
        <w:rPr>
          <w:rFonts w:hint="eastAsia" w:ascii="宋体" w:hAnsi="宋体" w:eastAsia="宋体" w:cs="宋体"/>
          <w:b/>
          <w:bCs/>
          <w:color w:val="000000"/>
          <w:sz w:val="24"/>
          <w:szCs w:val="24"/>
          <w:highlight w:val="none"/>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本合同金额为（大写）：_____________</w:t>
      </w:r>
      <w:r>
        <w:rPr>
          <w:rFonts w:hint="eastAsia" w:hAnsi="宋体" w:cs="宋体"/>
          <w:color w:val="000000"/>
          <w:sz w:val="24"/>
          <w:szCs w:val="24"/>
          <w:highlight w:val="none"/>
          <w:lang w:eastAsia="zh-CN"/>
        </w:rPr>
        <w:t xml:space="preserve">元人民币</w:t>
      </w:r>
      <w:r>
        <w:rPr>
          <w:rFonts w:hint="eastAsia" w:ascii="宋体" w:hAnsi="宋体" w:eastAsia="宋体" w:cs="宋体"/>
          <w:color w:val="000000"/>
          <w:sz w:val="24"/>
          <w:szCs w:val="24"/>
          <w:highlight w:val="none"/>
        </w:rPr>
        <w:t xml:space="preserve">（</w:t>
      </w:r>
      <w:r>
        <w:rPr>
          <w:rFonts w:hint="eastAsia" w:hAnsi="宋体"/>
          <w:sz w:val="21"/>
          <w:highlight w:val="none"/>
        </w:rPr>
        <w:t xml:space="preserve">¥</w:t>
      </w:r>
      <w:r>
        <w:rPr>
          <w:rFonts w:hint="eastAsia" w:ascii="宋体" w:hAnsi="宋体" w:eastAsia="宋体" w:cs="宋体"/>
          <w:color w:val="000000"/>
          <w:sz w:val="24"/>
          <w:szCs w:val="24"/>
          <w:highlight w:val="none"/>
        </w:rPr>
        <w:t xml:space="preserve">___</w:t>
      </w:r>
      <w:r>
        <w:rPr>
          <w:rFonts w:hint="eastAsia"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946"/>
        <w:ind w:firstLine="420"/>
        <w:spacing w:before="120" w:after="120" w:line="360" w:lineRule="auto"/>
        <w:rPr>
          <w:rFonts w:hint="eastAsia" w:hAnsi="宋体"/>
          <w:sz w:val="24"/>
          <w:szCs w:val="24"/>
          <w:highlight w:val="none"/>
        </w:rPr>
      </w:pPr>
      <w:r>
        <w:rPr>
          <w:rFonts w:hint="eastAsia" w:hAnsi="宋体"/>
          <w:sz w:val="24"/>
          <w:szCs w:val="24"/>
          <w:highlight w:val="none"/>
        </w:rPr>
        <w:t xml:space="preserve">2.2 本合同总金额包括所乙方提供货物的产品费用、安装调试费、测试验收费、培训费、 运行维护费用、税金及其他有关的为完成本项目发生的所有费用，招标文件中另有规定的除外。</w:t>
      </w:r>
      <w:r>
        <w:rPr>
          <w:rFonts w:hint="eastAsia" w:hAnsi="宋体"/>
          <w:sz w:val="24"/>
          <w:szCs w:val="24"/>
          <w:highlight w:val="none"/>
        </w:rPr>
      </w:r>
      <w:r/>
    </w:p>
    <w:p>
      <w:pPr>
        <w:pStyle w:val="946"/>
        <w:ind w:firstLine="420"/>
        <w:spacing w:before="120" w:after="120" w:line="360" w:lineRule="auto"/>
        <w:rPr>
          <w:rFonts w:hint="eastAsia" w:hAnsi="宋体"/>
          <w:sz w:val="24"/>
          <w:szCs w:val="24"/>
          <w:highlight w:val="none"/>
        </w:rPr>
      </w:pPr>
      <w:r>
        <w:rPr>
          <w:rFonts w:hint="eastAsia" w:hAnsi="宋体"/>
          <w:sz w:val="24"/>
          <w:szCs w:val="24"/>
          <w:highlight w:val="none"/>
        </w:rPr>
        <w:t xml:space="preserve">2.3 在招标文件未列明，而乙方认为履行本合同必需的费用也包含在合同总金额中。</w:t>
      </w:r>
      <w:r>
        <w:rPr>
          <w:rFonts w:hint="eastAsia" w:hAnsi="宋体"/>
          <w:sz w:val="24"/>
          <w:szCs w:val="24"/>
          <w:highlight w:val="none"/>
        </w:rPr>
      </w:r>
      <w:r/>
    </w:p>
    <w:p>
      <w:pPr>
        <w:pStyle w:val="946"/>
        <w:ind w:firstLine="420"/>
        <w:spacing w:before="120" w:after="120" w:line="360" w:lineRule="auto"/>
        <w:rPr>
          <w:rFonts w:hint="eastAsia" w:hAnsi="宋体"/>
          <w:sz w:val="24"/>
          <w:szCs w:val="24"/>
          <w:highlight w:val="none"/>
        </w:rPr>
      </w:pPr>
      <w:r>
        <w:rPr>
          <w:rFonts w:hint="eastAsia" w:hAnsi="宋体"/>
          <w:sz w:val="24"/>
          <w:szCs w:val="24"/>
          <w:highlight w:val="none"/>
        </w:rPr>
        <w:t xml:space="preserve">2.4 本合同总金额还包含乙方提供的伴随服务/售后服务费用。</w:t>
      </w:r>
      <w:r>
        <w:rPr>
          <w:rFonts w:hint="eastAsia" w:hAnsi="宋体"/>
          <w:sz w:val="24"/>
          <w:szCs w:val="24"/>
          <w:highlight w:val="none"/>
        </w:rPr>
      </w:r>
      <w:r/>
    </w:p>
    <w:p>
      <w:pPr>
        <w:pStyle w:val="946"/>
        <w:ind w:firstLine="420"/>
        <w:spacing w:before="120" w:after="120" w:line="360" w:lineRule="auto"/>
        <w:rPr>
          <w:rFonts w:hint="eastAsia" w:hAnsi="宋体"/>
          <w:sz w:val="21"/>
          <w:highlight w:val="none"/>
        </w:rPr>
      </w:pPr>
      <w:r>
        <w:rPr>
          <w:rFonts w:hint="eastAsia" w:hAnsi="宋体"/>
          <w:sz w:val="24"/>
          <w:szCs w:val="24"/>
          <w:highlight w:val="none"/>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rPr>
          <w:rFonts w:hint="eastAsia" w:hAnsi="宋体"/>
          <w:sz w:val="21"/>
          <w:highlight w:val="none"/>
        </w:rPr>
      </w:r>
      <w:r/>
    </w:p>
    <w:p>
      <w:pPr>
        <w:pStyle w:val="946"/>
        <w:ind w:firstLine="422"/>
        <w:spacing w:before="120" w:after="120" w:line="360" w:lineRule="auto"/>
        <w:rPr>
          <w:rFonts w:hint="eastAsia" w:hAnsi="宋体"/>
          <w:b/>
          <w:bCs/>
          <w:sz w:val="21"/>
          <w:highlight w:val="none"/>
        </w:rPr>
      </w:pPr>
      <w:r>
        <w:rPr>
          <w:rFonts w:hint="eastAsia" w:hAnsi="宋体"/>
          <w:b/>
          <w:bCs/>
          <w:sz w:val="21"/>
          <w:highlight w:val="none"/>
        </w:rPr>
        <w:t xml:space="preserve">3、组成本合同的有关文件</w:t>
      </w:r>
      <w:r>
        <w:rPr>
          <w:rFonts w:hint="eastAsia" w:hAnsi="宋体"/>
          <w:b/>
          <w:bCs/>
          <w:sz w:val="21"/>
          <w:highlight w:val="none"/>
        </w:rPr>
      </w:r>
      <w:r/>
    </w:p>
    <w:p>
      <w:pPr>
        <w:pStyle w:val="946"/>
        <w:ind w:left="0" w:firstLine="480"/>
        <w:jc w:val="left"/>
        <w:keepLines w:val="0"/>
        <w:keepNext w:val="0"/>
        <w:pageBreakBefore w:val="0"/>
        <w:spacing w:line="360" w:lineRule="auto"/>
        <w:widowControl w:val="off"/>
        <w:rPr>
          <w:rFonts w:hint="eastAsia" w:hAnsi="宋体"/>
          <w:sz w:val="24"/>
          <w:szCs w:val="24"/>
          <w:highlight w:val="none"/>
        </w:rPr>
      </w:pPr>
      <w:r>
        <w:rPr>
          <w:rFonts w:hint="eastAsia" w:hAnsi="宋体"/>
          <w:sz w:val="24"/>
          <w:szCs w:val="24"/>
          <w:highlight w:val="none"/>
        </w:rPr>
        <w:t xml:space="preserve">3.1乙方应按招标文件规定的时间向甲方提供使用货物的有关技术资料。</w:t>
      </w:r>
      <w:r>
        <w:rPr>
          <w:rFonts w:hint="eastAsia" w:hAnsi="宋体"/>
          <w:sz w:val="24"/>
          <w:szCs w:val="24"/>
          <w:highlight w:val="none"/>
        </w:rPr>
      </w:r>
      <w:r/>
    </w:p>
    <w:p>
      <w:pPr>
        <w:pStyle w:val="946"/>
        <w:ind w:left="0" w:firstLine="480"/>
        <w:jc w:val="left"/>
        <w:keepLines w:val="0"/>
        <w:keepNext w:val="0"/>
        <w:pageBreakBefore w:val="0"/>
        <w:spacing w:line="360" w:lineRule="auto"/>
        <w:widowControl w:val="off"/>
        <w:rPr>
          <w:rFonts w:hint="eastAsia" w:hAnsi="宋体"/>
          <w:sz w:val="24"/>
          <w:szCs w:val="24"/>
          <w:highlight w:val="none"/>
        </w:rPr>
      </w:pPr>
      <w:r>
        <w:rPr>
          <w:rFonts w:hint="eastAsia" w:hAnsi="宋体"/>
          <w:sz w:val="24"/>
          <w:szCs w:val="24"/>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rPr>
          <w:rFonts w:hint="eastAsia" w:hAnsi="宋体"/>
          <w:sz w:val="24"/>
          <w:szCs w:val="24"/>
          <w:highlight w:val="none"/>
        </w:rPr>
      </w:r>
      <w:r/>
    </w:p>
    <w:p>
      <w:pPr>
        <w:pStyle w:val="946"/>
        <w:ind w:left="0" w:firstLine="480"/>
        <w:jc w:val="left"/>
        <w:keepLines w:val="0"/>
        <w:keepNext w:val="0"/>
        <w:pageBreakBefore w:val="0"/>
        <w:spacing w:line="360" w:lineRule="auto"/>
        <w:widowControl w:val="off"/>
        <w:rPr>
          <w:rFonts w:hint="eastAsia" w:hAnsi="宋体"/>
          <w:sz w:val="24"/>
          <w:szCs w:val="24"/>
          <w:highlight w:val="none"/>
        </w:rPr>
      </w:pPr>
      <w:r>
        <w:rPr>
          <w:rFonts w:hint="eastAsia" w:hAnsi="宋体"/>
          <w:sz w:val="24"/>
          <w:szCs w:val="24"/>
          <w:highlight w:val="none"/>
        </w:rPr>
        <w:t xml:space="preserve">3.3 关于本项目采购的招投标文件或与本次采购活动方式相适应的文件及有关附件是本合同不可分割的组成部分，这些文件包括但不限于：</w:t>
      </w:r>
      <w:r>
        <w:rPr>
          <w:rFonts w:hint="eastAsia" w:hAnsi="宋体"/>
          <w:sz w:val="24"/>
          <w:szCs w:val="24"/>
          <w:highlight w:val="none"/>
        </w:rPr>
      </w:r>
      <w:r/>
    </w:p>
    <w:p>
      <w:pPr>
        <w:pStyle w:val="946"/>
        <w:ind w:left="0" w:firstLine="480"/>
        <w:jc w:val="left"/>
        <w:keepLines w:val="0"/>
        <w:keepNext w:val="0"/>
        <w:pageBreakBefore w:val="0"/>
        <w:spacing w:line="360" w:lineRule="auto"/>
        <w:widowControl w:val="off"/>
        <w:rPr>
          <w:rFonts w:hint="eastAsia" w:hAnsi="宋体"/>
          <w:sz w:val="24"/>
          <w:szCs w:val="24"/>
          <w:highlight w:val="none"/>
        </w:rPr>
      </w:pPr>
      <w:r>
        <w:rPr>
          <w:rFonts w:hint="eastAsia" w:hAnsi="宋体"/>
          <w:sz w:val="24"/>
          <w:szCs w:val="24"/>
          <w:highlight w:val="none"/>
        </w:rPr>
        <w:t xml:space="preserve">  （1）投标响应文件；              （2）投标产品配置与报价文件；</w:t>
      </w:r>
      <w:r>
        <w:rPr>
          <w:rFonts w:hint="eastAsia" w:hAnsi="宋体"/>
          <w:sz w:val="24"/>
          <w:szCs w:val="24"/>
          <w:highlight w:val="none"/>
        </w:rPr>
      </w:r>
      <w:r/>
    </w:p>
    <w:p>
      <w:pPr>
        <w:pStyle w:val="946"/>
        <w:ind w:left="0" w:firstLine="480"/>
        <w:jc w:val="left"/>
        <w:keepLines w:val="0"/>
        <w:keepNext w:val="0"/>
        <w:pageBreakBefore w:val="0"/>
        <w:spacing w:line="360" w:lineRule="auto"/>
        <w:widowControl w:val="off"/>
        <w:rPr>
          <w:rFonts w:hint="eastAsia" w:hAnsi="宋体"/>
          <w:sz w:val="24"/>
          <w:szCs w:val="24"/>
          <w:highlight w:val="none"/>
        </w:rPr>
      </w:pPr>
      <w:r>
        <w:rPr>
          <w:rFonts w:hint="eastAsia" w:hAnsi="宋体"/>
          <w:sz w:val="24"/>
          <w:szCs w:val="24"/>
          <w:highlight w:val="none"/>
        </w:rPr>
        <w:t xml:space="preserve">  （3）供货一览表；                （4）技术参数响应表；</w:t>
      </w:r>
      <w:r>
        <w:rPr>
          <w:rFonts w:hint="eastAsia" w:hAnsi="宋体"/>
          <w:sz w:val="24"/>
          <w:szCs w:val="24"/>
          <w:highlight w:val="none"/>
        </w:rPr>
      </w:r>
      <w:r/>
    </w:p>
    <w:p>
      <w:pPr>
        <w:pStyle w:val="946"/>
        <w:ind w:left="0" w:firstLine="480"/>
        <w:jc w:val="left"/>
        <w:keepLines w:val="0"/>
        <w:keepNext w:val="0"/>
        <w:pageBreakBefore w:val="0"/>
        <w:spacing w:line="360" w:lineRule="auto"/>
        <w:widowControl w:val="off"/>
        <w:rPr>
          <w:rFonts w:hint="eastAsia" w:hAnsi="宋体"/>
          <w:sz w:val="24"/>
          <w:szCs w:val="24"/>
          <w:highlight w:val="none"/>
        </w:rPr>
      </w:pPr>
      <w:r>
        <w:rPr>
          <w:rFonts w:hint="eastAsia" w:hAnsi="宋体"/>
          <w:sz w:val="24"/>
          <w:szCs w:val="24"/>
          <w:highlight w:val="none"/>
        </w:rPr>
        <w:t xml:space="preserve">  （5）项目需求、服务承诺；         （6）中标通知书；</w:t>
      </w:r>
      <w:r>
        <w:rPr>
          <w:rFonts w:hint="eastAsia" w:hAnsi="宋体"/>
          <w:sz w:val="24"/>
          <w:szCs w:val="24"/>
          <w:highlight w:val="none"/>
        </w:rPr>
      </w:r>
      <w:r/>
    </w:p>
    <w:p>
      <w:pPr>
        <w:pStyle w:val="946"/>
        <w:ind w:left="0" w:firstLine="480"/>
        <w:jc w:val="left"/>
        <w:keepLines w:val="0"/>
        <w:keepNext w:val="0"/>
        <w:pageBreakBefore w:val="0"/>
        <w:spacing w:line="360" w:lineRule="auto"/>
        <w:widowControl w:val="off"/>
        <w:rPr>
          <w:rFonts w:hint="eastAsia" w:hAnsi="宋体"/>
          <w:sz w:val="24"/>
          <w:szCs w:val="24"/>
          <w:highlight w:val="none"/>
        </w:rPr>
      </w:pPr>
      <w:r>
        <w:rPr>
          <w:rFonts w:hint="eastAsia" w:hAnsi="宋体"/>
          <w:sz w:val="24"/>
          <w:szCs w:val="24"/>
          <w:highlight w:val="none"/>
        </w:rPr>
        <w:t xml:space="preserve">  （7）甲乙双方补充协议；         （8）乙方投标时提供的响应文件。</w:t>
      </w:r>
      <w:r>
        <w:rPr>
          <w:rFonts w:hint="eastAsia" w:hAnsi="宋体"/>
          <w:sz w:val="24"/>
          <w:szCs w:val="24"/>
          <w:highlight w:val="none"/>
        </w:rPr>
      </w:r>
      <w:r/>
    </w:p>
    <w:p>
      <w:pPr>
        <w:pStyle w:val="94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四、知识产权</w:t>
      </w:r>
      <w:r>
        <w:rPr>
          <w:rFonts w:hint="eastAsia" w:ascii="宋体" w:hAnsi="宋体" w:eastAsia="宋体" w:cs="宋体"/>
          <w:b/>
          <w:bCs/>
          <w:color w:val="000000"/>
          <w:sz w:val="24"/>
          <w:szCs w:val="24"/>
          <w:highlight w:val="none"/>
        </w:rPr>
      </w:r>
      <w:r/>
    </w:p>
    <w:p>
      <w:pPr>
        <w:pStyle w:val="946"/>
        <w:ind w:left="315" w:firstLine="105"/>
        <w:spacing w:before="120" w:after="120"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乙方保证甲方在使用、接受本合同货物和服务或其任何一部分时，不受第三方提出侵犯其专利权、版权、商标权和工业设计权等知识产权的起诉。一旦出现侵权，由乙方负全部责任。</w:t>
      </w:r>
      <w:r>
        <w:rPr>
          <w:rFonts w:hint="eastAsia" w:ascii="宋体" w:hAnsi="宋体" w:eastAsia="宋体" w:cs="Times New Roman"/>
          <w:sz w:val="24"/>
          <w:szCs w:val="24"/>
          <w:highlight w:val="none"/>
        </w:rPr>
      </w:r>
      <w:r/>
    </w:p>
    <w:p>
      <w:pPr>
        <w:pStyle w:val="94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五、产权担保</w:t>
      </w:r>
      <w:r>
        <w:rPr>
          <w:rFonts w:hint="eastAsia" w:ascii="宋体" w:hAnsi="宋体" w:eastAsia="宋体" w:cs="宋体"/>
          <w:b/>
          <w:bCs/>
          <w:color w:val="000000"/>
          <w:sz w:val="24"/>
          <w:szCs w:val="24"/>
          <w:highlight w:val="none"/>
        </w:rPr>
      </w:r>
      <w:r/>
    </w:p>
    <w:p>
      <w:pPr>
        <w:pStyle w:val="946"/>
        <w:ind w:left="315" w:firstLine="105"/>
        <w:spacing w:before="120" w:after="120"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乙方保证所交付的货物的所有权无任何抵押、查封等权利瑕疵。</w:t>
      </w:r>
      <w:r>
        <w:rPr>
          <w:rFonts w:hint="eastAsia" w:ascii="宋体" w:hAnsi="宋体" w:eastAsia="宋体" w:cs="Times New Roman"/>
          <w:sz w:val="24"/>
          <w:szCs w:val="24"/>
          <w:highlight w:val="none"/>
        </w:rPr>
      </w:r>
      <w:r/>
    </w:p>
    <w:p>
      <w:pPr>
        <w:pStyle w:val="94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六、履约保证金</w:t>
      </w:r>
      <w:r>
        <w:rPr>
          <w:rFonts w:hint="eastAsia" w:ascii="宋体" w:hAnsi="宋体" w:eastAsia="宋体" w:cs="宋体"/>
          <w:b/>
          <w:bCs/>
          <w:color w:val="000000"/>
          <w:sz w:val="24"/>
          <w:szCs w:val="24"/>
          <w:highlight w:val="none"/>
        </w:rPr>
      </w:r>
      <w:r/>
    </w:p>
    <w:p>
      <w:pPr>
        <w:pStyle w:val="946"/>
        <w:ind w:firstLine="420"/>
        <w:spacing w:before="120" w:after="120" w:line="360" w:lineRule="auto"/>
        <w:rPr>
          <w:rFonts w:hint="eastAsia" w:hAnsi="宋体"/>
          <w:sz w:val="24"/>
          <w:szCs w:val="24"/>
          <w:highlight w:val="none"/>
        </w:rPr>
      </w:pPr>
      <w:r>
        <w:rPr>
          <w:rFonts w:hint="eastAsia" w:hAnsi="宋体"/>
          <w:sz w:val="24"/>
          <w:szCs w:val="24"/>
          <w:highlight w:val="none"/>
        </w:rPr>
        <w:t xml:space="preserve">6.1履约保证金用以约束乙方在合同履行中的行为，以及弥补合同履行中由于乙方自身行为可能给甲方带来的各种损失；若保证金额不足以弥补乙方违约造成甲方损失的，甲方可继续向乙方主张索赔。</w:t>
      </w:r>
      <w:r>
        <w:rPr>
          <w:rFonts w:hint="eastAsia" w:hAnsi="宋体"/>
          <w:sz w:val="24"/>
          <w:szCs w:val="24"/>
          <w:highlight w:val="none"/>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sz w:val="24"/>
          <w:szCs w:val="24"/>
          <w:highlight w:val="none"/>
        </w:rPr>
        <w:t xml:space="preserve">6.2 履约保证金扣除甲方应得的补偿后的余额，在本合同履行结束验收合格后无息退还。</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履约保证金收取：</w:t>
      </w:r>
      <w:r>
        <w:rPr>
          <w:rFonts w:hint="eastAsia" w:ascii="宋体" w:hAnsi="宋体" w:eastAsia="宋体" w:cs="宋体"/>
          <w:color w:val="000000"/>
          <w:sz w:val="24"/>
          <w:szCs w:val="24"/>
          <w:highlight w:val="none"/>
          <w:u w:val="single"/>
        </w:rPr>
        <w:t xml:space="preserve">无</w:t>
      </w:r>
      <w:r>
        <w:rPr>
          <w:rFonts w:hint="eastAsia"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94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七、转包或分包</w:t>
      </w:r>
      <w:r>
        <w:rPr>
          <w:rFonts w:hint="eastAsia" w:ascii="宋体" w:hAnsi="宋体" w:eastAsia="宋体" w:cs="宋体"/>
          <w:b/>
          <w:bCs/>
          <w:color w:val="000000"/>
          <w:sz w:val="24"/>
          <w:szCs w:val="24"/>
          <w:highlight w:val="none"/>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w:t>
      </w:r>
      <w:r>
        <w:rPr>
          <w:rFonts w:hint="eastAsia" w:hAnsi="宋体"/>
          <w:sz w:val="24"/>
          <w:szCs w:val="24"/>
          <w:highlight w:val="none"/>
        </w:rPr>
        <w:t xml:space="preserve">本合同禁止转包，本合同范围的货物，应由乙方直接供应的，不得转让他人供应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w:t>
      </w:r>
      <w:r>
        <w:rPr>
          <w:rFonts w:hint="eastAsia" w:hAnsi="宋体"/>
          <w:sz w:val="24"/>
          <w:szCs w:val="24"/>
          <w:highlight w:val="none"/>
        </w:rPr>
        <w:t xml:space="preserve">经甲方同意，乙方可以依法采取分包方式履行合同，但是分包方式履行的，乙方应就采购项目向甲方负全责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八、质保期</w:t>
      </w:r>
      <w:r>
        <w:rPr>
          <w:rFonts w:hint="eastAsia" w:ascii="宋体" w:hAnsi="宋体" w:eastAsia="宋体" w:cs="宋体"/>
          <w:b/>
          <w:bCs/>
          <w:color w:val="000000"/>
          <w:sz w:val="24"/>
          <w:szCs w:val="24"/>
          <w:highlight w:val="none"/>
        </w:rPr>
      </w:r>
      <w:r/>
    </w:p>
    <w:p>
      <w:pPr>
        <w:pStyle w:val="94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w:t>
      </w:r>
      <w:r>
        <w:rPr>
          <w:rFonts w:hint="eastAsia" w:hAnsi="宋体" w:eastAsia="宋体" w:cs="宋体"/>
          <w:color w:val="000000"/>
          <w:sz w:val="24"/>
          <w:szCs w:val="24"/>
          <w:highlight w:val="none"/>
          <w:lang w:eastAsia="zh-CN"/>
        </w:rPr>
        <w:t xml:space="preserve">整机免费</w:t>
      </w: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年（自验收合格之日起计）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6"/>
        <w:ind w:firstLine="42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8.2 所有安全责任与赔偿由乙方负责，甲方不负责。</w:t>
      </w:r>
      <w:r>
        <w:rPr>
          <w:rFonts w:hint="eastAsia" w:ascii="宋体" w:hAnsi="宋体" w:eastAsia="宋体" w:cs="Times New Roman"/>
          <w:sz w:val="24"/>
          <w:szCs w:val="24"/>
          <w:highlight w:val="none"/>
        </w:rPr>
      </w:r>
      <w:r/>
    </w:p>
    <w:p>
      <w:pPr>
        <w:pStyle w:val="94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九、交付期、交付方式及交付地点</w:t>
      </w:r>
      <w:r>
        <w:rPr>
          <w:rFonts w:hint="eastAsia" w:ascii="宋体" w:hAnsi="宋体" w:eastAsia="宋体" w:cs="宋体"/>
          <w:b/>
          <w:bCs/>
          <w:color w:val="000000"/>
          <w:sz w:val="24"/>
          <w:szCs w:val="24"/>
          <w:highlight w:val="none"/>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rPr>
        <w:t xml:space="preserve">9.1 交付期</w:t>
      </w:r>
      <w:r>
        <w:rPr>
          <w:rFonts w:hint="eastAsia" w:ascii="宋体" w:hAnsi="宋体" w:eastAsia="宋体" w:cs="宋体"/>
          <w:color w:val="000000"/>
          <w:sz w:val="24"/>
          <w:szCs w:val="24"/>
          <w:highlight w:val="none"/>
          <w:lang w:eastAsia="zh-CN"/>
        </w:rPr>
        <w:t xml:space="preserve">：</w:t>
      </w:r>
      <w:r>
        <w:rPr>
          <w:rStyle w:val="770"/>
          <w:rFonts w:cs="宋体"/>
          <w:b/>
          <w:color w:val="000000"/>
          <w:sz w:val="24"/>
          <w:szCs w:val="24"/>
          <w:highlight w:val="none"/>
          <w:lang w:bidi="ar"/>
        </w:rPr>
        <w:t xml:space="preserve">合同签订后</w:t>
      </w:r>
      <w:r>
        <w:rPr>
          <w:rStyle w:val="770"/>
          <w:rFonts w:cs="宋体"/>
          <w:b w:val="0"/>
          <w:sz w:val="24"/>
          <w:szCs w:val="24"/>
          <w:highlight w:val="none"/>
          <w:u w:val="single"/>
          <w:lang w:bidi="ar"/>
        </w:rPr>
        <w:t xml:space="preserve">30</w:t>
      </w:r>
      <w:r>
        <w:rPr>
          <w:rStyle w:val="770"/>
          <w:rFonts w:cs="宋体"/>
          <w:b/>
          <w:color w:val="000000"/>
          <w:sz w:val="24"/>
          <w:szCs w:val="24"/>
          <w:highlight w:val="none"/>
          <w:lang w:bidi="ar"/>
        </w:rPr>
        <w:t xml:space="preserve">个工作日内到货并完成安装调试</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9.2 交付方式：</w:t>
      </w:r>
      <w:r>
        <w:rPr>
          <w:rFonts w:hint="eastAsia" w:ascii="宋体" w:hAnsi="宋体" w:eastAsia="宋体" w:cs="宋体"/>
          <w:color w:val="000000"/>
          <w:sz w:val="24"/>
          <w:szCs w:val="24"/>
          <w:highlight w:val="none"/>
          <w:u w:val="single"/>
          <w:lang w:val="en-US" w:eastAsia="zh-CN"/>
        </w:rPr>
        <w:t xml:space="preserve">甲方</w:t>
      </w:r>
      <w:r>
        <w:rPr>
          <w:rFonts w:hint="eastAsia" w:ascii="宋体" w:hAnsi="宋体" w:eastAsia="宋体" w:cs="宋体"/>
          <w:color w:val="000000"/>
          <w:sz w:val="24"/>
          <w:szCs w:val="24"/>
          <w:highlight w:val="none"/>
          <w:u w:val="single"/>
        </w:rPr>
        <w:t xml:space="preserve">指定方式</w:t>
      </w:r>
      <w:r>
        <w:rPr>
          <w:rFonts w:hint="eastAsia"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9.3 交付地点：</w:t>
      </w:r>
      <w:r>
        <w:rPr>
          <w:rFonts w:hint="eastAsia" w:ascii="宋体" w:hAnsi="宋体" w:eastAsia="宋体" w:cs="宋体"/>
          <w:color w:val="000000"/>
          <w:sz w:val="24"/>
          <w:szCs w:val="24"/>
          <w:highlight w:val="none"/>
          <w:u w:val="single"/>
          <w:lang w:val="en-US" w:eastAsia="zh-CN"/>
        </w:rPr>
        <w:t xml:space="preserve">甲方</w:t>
      </w:r>
      <w:r>
        <w:rPr>
          <w:rFonts w:hint="eastAsia" w:ascii="宋体" w:hAnsi="宋体" w:eastAsia="宋体" w:cs="宋体"/>
          <w:color w:val="000000"/>
          <w:sz w:val="24"/>
          <w:szCs w:val="24"/>
          <w:highlight w:val="none"/>
          <w:u w:val="single"/>
        </w:rPr>
        <w:t xml:space="preserve">指定地点</w:t>
      </w:r>
      <w:r>
        <w:rPr>
          <w:rFonts w:hint="eastAsia"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94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十、货款支付</w:t>
      </w:r>
      <w:r>
        <w:rPr>
          <w:rFonts w:hint="eastAsia" w:ascii="宋体" w:hAnsi="宋体" w:eastAsia="宋体" w:cs="宋体"/>
          <w:b/>
          <w:bCs/>
          <w:color w:val="000000"/>
          <w:sz w:val="24"/>
          <w:szCs w:val="24"/>
          <w:highlight w:val="none"/>
        </w:rPr>
      </w:r>
      <w:r/>
    </w:p>
    <w:p>
      <w:pPr>
        <w:pStyle w:val="736"/>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本合同项下所有款项均以人民币支付。 </w:t>
      </w:r>
      <w:r>
        <w:rPr>
          <w:rFonts w:hint="eastAsia" w:ascii="宋体" w:hAnsi="宋体" w:eastAsia="宋体" w:cs="宋体"/>
          <w:color w:val="000000"/>
          <w:sz w:val="24"/>
          <w:szCs w:val="24"/>
          <w:highlight w:val="none"/>
        </w:rPr>
      </w:r>
      <w:r/>
    </w:p>
    <w:p>
      <w:pPr>
        <w:pStyle w:val="736"/>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本合同项下的采购资金由甲方支付，付款前乙方向甲方开具发票。</w:t>
      </w:r>
      <w:r>
        <w:rPr>
          <w:rFonts w:hint="eastAsia" w:ascii="宋体" w:hAnsi="宋体" w:eastAsia="宋体" w:cs="宋体"/>
          <w:color w:val="000000"/>
          <w:sz w:val="24"/>
          <w:szCs w:val="24"/>
          <w:highlight w:val="none"/>
        </w:rPr>
      </w:r>
      <w:r/>
    </w:p>
    <w:p>
      <w:pPr>
        <w:pStyle w:val="736"/>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甲方付款方式：</w:t>
      </w:r>
      <w:r>
        <w:rPr>
          <w:rFonts w:hint="eastAsia" w:ascii="宋体" w:hAnsi="宋体" w:eastAsia="宋体" w:cs="宋体"/>
          <w:color w:val="000000"/>
          <w:sz w:val="24"/>
          <w:szCs w:val="24"/>
          <w:highlight w:val="none"/>
        </w:rPr>
      </w:r>
      <w:r/>
    </w:p>
    <w:p>
      <w:pPr>
        <w:pStyle w:val="736"/>
        <w:ind w:firstLine="42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合同签订后，乙方向甲方开具发票，甲方自收到发票之日起</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日内支付合同总价30%的预付款；项目经验收合格后，乙方向甲方开具发票，甲方自收到发票之日起</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rPr>
        <w:t xml:space="preserve">日内支付合同总价的70%。</w:t>
      </w:r>
      <w:r>
        <w:rPr>
          <w:rFonts w:hint="eastAsia" w:ascii="宋体" w:hAnsi="宋体" w:eastAsia="宋体" w:cs="宋体"/>
          <w:color w:val="000000"/>
          <w:sz w:val="24"/>
          <w:szCs w:val="24"/>
          <w:highlight w:val="none"/>
          <w:u w:val="single"/>
        </w:rPr>
      </w:r>
      <w:r/>
    </w:p>
    <w:p>
      <w:pPr>
        <w:pStyle w:val="94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十一、税费</w:t>
      </w:r>
      <w:r>
        <w:rPr>
          <w:rFonts w:hint="eastAsia" w:ascii="宋体" w:hAnsi="宋体" w:eastAsia="宋体" w:cs="宋体"/>
          <w:b/>
          <w:bCs/>
          <w:color w:val="000000"/>
          <w:sz w:val="24"/>
          <w:szCs w:val="24"/>
          <w:highlight w:val="none"/>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11.1本合同执行中相关的一切税费均由乙方负担。</w:t>
      </w:r>
      <w:r>
        <w:rPr>
          <w:rFonts w:hint="eastAsia" w:ascii="宋体" w:hAnsi="宋体" w:eastAsia="宋体" w:cs="宋体"/>
          <w:color w:val="000000"/>
          <w:sz w:val="24"/>
          <w:szCs w:val="24"/>
          <w:highlight w:val="none"/>
        </w:rPr>
      </w:r>
      <w:r/>
    </w:p>
    <w:p>
      <w:pPr>
        <w:pStyle w:val="94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十二、质量保证及售后服务</w:t>
      </w:r>
      <w:r>
        <w:rPr>
          <w:rFonts w:hint="eastAsia" w:ascii="宋体" w:hAnsi="宋体" w:eastAsia="宋体" w:cs="宋体"/>
          <w:b/>
          <w:bCs/>
          <w:color w:val="000000"/>
          <w:sz w:val="24"/>
          <w:szCs w:val="24"/>
          <w:highlight w:val="none"/>
        </w:rPr>
      </w:r>
      <w:r/>
    </w:p>
    <w:p>
      <w:pPr>
        <w:pStyle w:val="736"/>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宋体"/>
          <w:color w:val="000000"/>
          <w:sz w:val="24"/>
          <w:szCs w:val="24"/>
          <w:highlight w:val="none"/>
        </w:rPr>
        <w:t xml:space="preserve">12.1 </w:t>
      </w:r>
      <w:r>
        <w:rPr>
          <w:rFonts w:hint="eastAsia" w:ascii="宋体" w:hAnsi="宋体"/>
          <w:sz w:val="24"/>
          <w:szCs w:val="24"/>
          <w:highlight w:val="none"/>
        </w:rPr>
        <w:t xml:space="preserve">乙方应按招标文件规定及响应文件承诺的货物性能、技术要求、质量标准向甲方提供未经使用的全新产品；若技术性能无特殊说明，则按国家有关部门最新颁布的标准及规范为准。</w:t>
      </w:r>
      <w:r>
        <w:rPr>
          <w:rFonts w:hint="eastAsia" w:ascii="宋体" w:hAnsi="宋体"/>
          <w:sz w:val="24"/>
          <w:szCs w:val="24"/>
          <w:highlight w:val="none"/>
        </w:rPr>
      </w:r>
      <w:r/>
    </w:p>
    <w:p>
      <w:pPr>
        <w:pStyle w:val="94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w:t>
      </w:r>
      <w:r>
        <w:rPr>
          <w:rFonts w:hint="eastAsia" w:ascii="宋体" w:hAnsi="宋体"/>
          <w:sz w:val="24"/>
          <w:szCs w:val="24"/>
          <w:highlight w:val="none"/>
        </w:rPr>
        <w:t xml:space="preserve">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eastAsia="宋体" w:cs="宋体"/>
          <w:color w:val="000000"/>
          <w:sz w:val="24"/>
          <w:szCs w:val="24"/>
          <w:highlight w:val="none"/>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12.3</w:t>
      </w:r>
      <w:r>
        <w:rPr>
          <w:rFonts w:hint="eastAsia" w:ascii="宋体" w:hAnsi="宋体" w:eastAsia="宋体" w:cs="宋体"/>
          <w:color w:val="000000"/>
          <w:sz w:val="24"/>
          <w:szCs w:val="24"/>
          <w:highlight w:val="none"/>
        </w:rPr>
        <w:t xml:space="preserve">乙方提供的货物及服务在质量期内因服务及产品本身的质量问题发生故障，乙方应负责免费更换。对达不到技术要求者，根据实际情况，经双方协商，可按以下办法处理：</w:t>
      </w:r>
      <w:r>
        <w:rPr>
          <w:rFonts w:hint="eastAsia" w:ascii="宋体" w:hAnsi="宋体" w:eastAsia="宋体" w:cs="宋体"/>
          <w:color w:val="000000"/>
          <w:sz w:val="24"/>
          <w:szCs w:val="24"/>
          <w:highlight w:val="none"/>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⑴更换：由乙方承担所发生的全部费用。</w:t>
      </w:r>
      <w:r>
        <w:rPr>
          <w:rFonts w:hint="eastAsia" w:ascii="宋体" w:hAnsi="宋体" w:eastAsia="宋体" w:cs="宋体"/>
          <w:color w:val="000000"/>
          <w:sz w:val="24"/>
          <w:szCs w:val="24"/>
          <w:highlight w:val="none"/>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⑵贬值处理：由甲乙双方合议定价。</w:t>
      </w:r>
      <w:r>
        <w:rPr>
          <w:rFonts w:hint="eastAsia" w:ascii="宋体" w:hAnsi="宋体" w:eastAsia="宋体" w:cs="宋体"/>
          <w:color w:val="000000"/>
          <w:sz w:val="24"/>
          <w:szCs w:val="24"/>
          <w:highlight w:val="none"/>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⑶退还处理：乙方应退还甲方支付的合同款，同时应承担该货物及服务的直接费用（运输、保险、检验、款项利息及银行手续费等）。</w:t>
      </w:r>
      <w:r>
        <w:rPr>
          <w:rFonts w:hint="eastAsia" w:ascii="宋体" w:hAnsi="宋体" w:eastAsia="宋体" w:cs="宋体"/>
          <w:color w:val="000000"/>
          <w:sz w:val="24"/>
          <w:szCs w:val="24"/>
          <w:highlight w:val="none"/>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hAnsi="宋体" w:eastAsia="宋体" w:cs="宋体"/>
          <w:color w:val="000000"/>
          <w:sz w:val="24"/>
          <w:szCs w:val="24"/>
          <w:highlight w:val="none"/>
          <w:lang w:val="en-US" w:eastAsia="zh-CN"/>
        </w:rPr>
        <w:t xml:space="preserve">12.4</w:t>
      </w:r>
      <w:r>
        <w:rPr>
          <w:rFonts w:hint="eastAsia" w:ascii="宋体" w:hAnsi="宋体" w:eastAsia="宋体" w:cs="宋体"/>
          <w:color w:val="000000"/>
          <w:sz w:val="24"/>
          <w:szCs w:val="24"/>
          <w:highlight w:val="none"/>
        </w:rPr>
        <w:t xml:space="preserve">如在使用过程中发生质量问题，乙方在接到甲方通知后在  小时内到达甲方现场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在质保期内，乙方应对货物出现的质量及安全问题负责处理解决并承担一切费用。紧急维修应在24小时内完成。如乙方未能在甲方规定的时间内及时到场完成维修工作，或自接到保修通知之日起3日仍未完成维修，或连续2次维修仍未能修复或消除缺陷的，乙方应无条件予以更换全新设备，由此产生的全部费用均由乙方承担，自收到乙方更换设备验收完毕之日起重新计算质保期。</w:t>
      </w:r>
      <w:r>
        <w:rPr>
          <w:rFonts w:hint="eastAsia" w:ascii="宋体" w:hAnsi="宋体" w:eastAsia="宋体" w:cs="宋体"/>
          <w:color w:val="000000"/>
          <w:sz w:val="24"/>
          <w:szCs w:val="24"/>
          <w:highlight w:val="none"/>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sz w:val="24"/>
          <w:szCs w:val="24"/>
          <w:highlight w:val="none"/>
        </w:rPr>
        <w:t xml:space="preserve">12.6上述的货物免费保修期为</w:t>
      </w:r>
      <w:r>
        <w:rPr>
          <w:rFonts w:hint="eastAsia" w:ascii="宋体" w:hAnsi="宋体"/>
          <w:sz w:val="24"/>
          <w:szCs w:val="24"/>
          <w:highlight w:val="none"/>
          <w:u w:val="single"/>
        </w:rPr>
        <w:t xml:space="preserve">   </w:t>
      </w:r>
      <w:r>
        <w:rPr>
          <w:rFonts w:hint="eastAsia" w:ascii="宋体" w:hAnsi="宋体"/>
          <w:sz w:val="24"/>
          <w:szCs w:val="24"/>
          <w:highlight w:val="none"/>
        </w:rPr>
        <w:t xml:space="preserve">年，因人为因素出现的故障不在免费保修范围内。超过保修期的机器设备，终生维修，维修时只收部件成本费</w:t>
      </w:r>
      <w:r>
        <w:rPr>
          <w:rFonts w:hint="eastAsia" w:hAnsi="宋体"/>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4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十三、调试和验收</w:t>
      </w:r>
      <w:r>
        <w:rPr>
          <w:rFonts w:hint="eastAsia" w:ascii="宋体" w:hAnsi="宋体" w:eastAsia="宋体" w:cs="宋体"/>
          <w:b/>
          <w:bCs/>
          <w:color w:val="000000"/>
          <w:sz w:val="24"/>
          <w:szCs w:val="24"/>
          <w:highlight w:val="none"/>
        </w:rPr>
      </w:r>
      <w:r/>
    </w:p>
    <w:p>
      <w:pPr>
        <w:pStyle w:val="736"/>
        <w:ind w:firstLine="420"/>
        <w:spacing w:line="360" w:lineRule="auto"/>
        <w:rPr>
          <w:rFonts w:hint="eastAsia" w:ascii="宋体" w:hAnsi="宋体"/>
          <w:sz w:val="24"/>
          <w:szCs w:val="24"/>
          <w:highlight w:val="none"/>
        </w:rPr>
      </w:pPr>
      <w:r>
        <w:rPr>
          <w:rFonts w:ascii="宋体" w:hAnsi="宋体"/>
          <w:sz w:val="24"/>
          <w:szCs w:val="24"/>
          <w:highlight w:val="none"/>
        </w:rPr>
        <w:t xml:space="preserve">13.1</w:t>
      </w:r>
      <w:r>
        <w:rPr>
          <w:rFonts w:hint="eastAsia" w:ascii="宋体" w:hAnsi="宋体"/>
          <w:sz w:val="24"/>
          <w:szCs w:val="24"/>
          <w:highlight w:val="none"/>
        </w:rPr>
        <w:t xml:space="preserve">乙方应当在合同生效后</w:t>
      </w:r>
      <w:r>
        <w:rPr>
          <w:rFonts w:hint="eastAsia" w:ascii="宋体" w:hAnsi="宋体"/>
          <w:sz w:val="24"/>
          <w:szCs w:val="24"/>
          <w:highlight w:val="none"/>
          <w:u w:val="single"/>
        </w:rPr>
        <w:t xml:space="preserve">   </w:t>
      </w:r>
      <w:r>
        <w:rPr>
          <w:rFonts w:hint="eastAsia" w:ascii="宋体" w:hAnsi="宋体"/>
          <w:sz w:val="24"/>
          <w:szCs w:val="24"/>
          <w:highlight w:val="none"/>
        </w:rPr>
        <w:t xml:space="preserve">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rPr>
          <w:rFonts w:hint="eastAsia" w:ascii="宋体" w:hAnsi="宋体"/>
          <w:sz w:val="24"/>
          <w:szCs w:val="24"/>
          <w:highlight w:val="none"/>
        </w:rPr>
      </w:r>
      <w:r/>
    </w:p>
    <w:p>
      <w:pPr>
        <w:pStyle w:val="736"/>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13.2 货到甲方后，甲乙双方须在</w:t>
      </w:r>
      <w:r>
        <w:rPr>
          <w:rFonts w:hint="eastAsia" w:ascii="宋体" w:hAnsi="宋体"/>
          <w:sz w:val="24"/>
          <w:szCs w:val="24"/>
          <w:highlight w:val="none"/>
          <w:u w:val="single"/>
        </w:rPr>
        <w:t xml:space="preserve">   </w:t>
      </w:r>
      <w:r>
        <w:rPr>
          <w:rFonts w:hint="eastAsia" w:ascii="宋体" w:hAnsi="宋体"/>
          <w:sz w:val="24"/>
          <w:szCs w:val="24"/>
          <w:highlight w:val="none"/>
        </w:rPr>
        <w:t xml:space="preserve">工作日内初验收，甲方对乙方提交的货物依据招标文件上的技术规格要求和国家有关质量标准进行现场初步验收，外观、说明书、包装符合招标文件技术要求的，给予签收，初步验收不合格的不予签收。甲方的验收不作为乙方所供产品内在质量合格的依据</w:t>
      </w:r>
      <w:r>
        <w:rPr>
          <w:rFonts w:ascii="宋体" w:hAnsi="宋体"/>
          <w:sz w:val="24"/>
          <w:szCs w:val="24"/>
          <w:highlight w:val="none"/>
        </w:rPr>
        <w:t xml:space="preserve">，</w:t>
      </w:r>
      <w:r>
        <w:rPr>
          <w:rFonts w:hint="eastAsia" w:ascii="宋体" w:hAnsi="宋体"/>
          <w:sz w:val="24"/>
          <w:szCs w:val="24"/>
          <w:highlight w:val="none"/>
        </w:rPr>
        <w:t xml:space="preserve">乙方在质保期内仍需对货物的内在质量承担责任</w:t>
      </w:r>
      <w:r>
        <w:rPr>
          <w:rFonts w:ascii="宋体" w:hAnsi="宋体"/>
          <w:sz w:val="24"/>
          <w:szCs w:val="24"/>
          <w:highlight w:val="none"/>
        </w:rPr>
        <w:t xml:space="preserve">。</w:t>
      </w:r>
      <w:r>
        <w:rPr>
          <w:rFonts w:hint="eastAsia" w:ascii="宋体" w:hAnsi="宋体"/>
          <w:sz w:val="24"/>
          <w:szCs w:val="24"/>
          <w:highlight w:val="none"/>
        </w:rPr>
      </w:r>
      <w:r/>
    </w:p>
    <w:p>
      <w:pPr>
        <w:pStyle w:val="946"/>
        <w:ind w:firstLine="420"/>
        <w:spacing w:before="120" w:after="120" w:line="360" w:lineRule="auto"/>
        <w:rPr>
          <w:rFonts w:hint="eastAsia" w:hAnsi="宋体"/>
          <w:sz w:val="24"/>
          <w:szCs w:val="24"/>
          <w:highlight w:val="none"/>
        </w:rPr>
      </w:pPr>
      <w:r>
        <w:rPr>
          <w:rFonts w:hint="eastAsia" w:hAnsi="宋体"/>
          <w:sz w:val="24"/>
          <w:szCs w:val="24"/>
          <w:highlight w:val="none"/>
        </w:rPr>
        <w:t xml:space="preserve">13.3 乙方按照招标文件要求负责产品安装并培训甲方的使用操作人员，乙方在甲方使用前进行调试，调试直到符合技术要求的甲方才做最终验收。</w:t>
      </w:r>
      <w:r>
        <w:rPr>
          <w:rFonts w:hint="eastAsia" w:hAnsi="宋体"/>
          <w:sz w:val="24"/>
          <w:szCs w:val="24"/>
          <w:highlight w:val="none"/>
        </w:rPr>
      </w:r>
      <w:r/>
    </w:p>
    <w:p>
      <w:pPr>
        <w:pStyle w:val="736"/>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13.4 对技术复杂的货物，甲方可请国家认可的专业检测机构参与初步验收及最终验收，并由其出具质量检测报告。验收时乙方必须在现场，验收完毕后作出验收结果报告；若聘请第三方中立机构验收，验收费用由乙方承担。</w:t>
      </w:r>
      <w:r>
        <w:rPr>
          <w:rFonts w:hint="eastAsia" w:ascii="宋体" w:hAnsi="宋体"/>
          <w:sz w:val="24"/>
          <w:szCs w:val="24"/>
          <w:highlight w:val="none"/>
        </w:rPr>
      </w:r>
      <w:r/>
    </w:p>
    <w:p>
      <w:pPr>
        <w:pStyle w:val="736"/>
        <w:ind w:left="420"/>
        <w:spacing w:line="360" w:lineRule="auto"/>
        <w:rPr>
          <w:rFonts w:hint="eastAsia" w:ascii="宋体" w:hAnsi="宋体"/>
          <w:highlight w:val="none"/>
          <w:u w:val="single"/>
        </w:rPr>
      </w:pPr>
      <w:r>
        <w:rPr>
          <w:rFonts w:ascii="宋体" w:hAnsi="宋体"/>
          <w:sz w:val="24"/>
          <w:szCs w:val="24"/>
          <w:highlight w:val="none"/>
        </w:rPr>
        <w:t xml:space="preserve">13.5 </w:t>
      </w:r>
      <w:r>
        <w:rPr>
          <w:rFonts w:hint="eastAsia" w:ascii="宋体" w:hAnsi="宋体"/>
          <w:sz w:val="24"/>
          <w:szCs w:val="24"/>
          <w:highlight w:val="none"/>
        </w:rPr>
        <w:t xml:space="preserve">甲乙双方关于调试和验收的其他约定：</w:t>
      </w:r>
      <w:r>
        <w:rPr>
          <w:rFonts w:ascii="宋体" w:hAnsi="宋体"/>
          <w:sz w:val="24"/>
          <w:szCs w:val="24"/>
          <w:highlight w:val="none"/>
          <w:u w:val="single"/>
        </w:rPr>
        <w:t xml:space="preserve">                 </w:t>
      </w:r>
      <w:r>
        <w:rPr>
          <w:rFonts w:hint="eastAsia" w:ascii="宋体" w:hAnsi="宋体"/>
          <w:sz w:val="24"/>
          <w:szCs w:val="24"/>
          <w:highlight w:val="none"/>
          <w:u w:val="single"/>
        </w:rPr>
        <w:t xml:space="preserve">。</w:t>
      </w:r>
      <w:r>
        <w:rPr>
          <w:rFonts w:hint="eastAsia" w:ascii="宋体" w:hAnsi="宋体"/>
          <w:highlight w:val="none"/>
          <w:u w:val="single"/>
        </w:rPr>
      </w:r>
      <w:r/>
    </w:p>
    <w:p>
      <w:pPr>
        <w:pStyle w:val="94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十四、货物及服务包装、发运及运输</w:t>
      </w:r>
      <w:r>
        <w:rPr>
          <w:rFonts w:hint="eastAsia" w:ascii="宋体" w:hAnsi="宋体" w:eastAsia="宋体" w:cs="宋体"/>
          <w:b/>
          <w:bCs/>
          <w:color w:val="000000"/>
          <w:sz w:val="24"/>
          <w:szCs w:val="24"/>
          <w:highlight w:val="none"/>
        </w:rPr>
      </w:r>
      <w:r/>
    </w:p>
    <w:p>
      <w:pPr>
        <w:pStyle w:val="946"/>
        <w:ind w:firstLine="420"/>
        <w:spacing w:before="120" w:after="120" w:line="360" w:lineRule="auto"/>
        <w:rPr>
          <w:rFonts w:hint="eastAsia" w:hAnsi="宋体"/>
          <w:sz w:val="24"/>
          <w:szCs w:val="24"/>
          <w:highlight w:val="none"/>
        </w:rPr>
      </w:pPr>
      <w:r>
        <w:rPr>
          <w:rFonts w:hint="eastAsia" w:hAnsi="宋体"/>
          <w:sz w:val="24"/>
          <w:szCs w:val="24"/>
          <w:highlight w:val="none"/>
        </w:rPr>
        <w:t xml:space="preserve">14.1 乙方应在货物发运前对其进行满足运输距离、防潮、防震、防锈和防破损装卸等要求包装，以保证货物安全运达甲方指定地点。</w:t>
      </w:r>
      <w:r>
        <w:rPr>
          <w:rFonts w:hint="eastAsia" w:hAnsi="宋体"/>
          <w:sz w:val="24"/>
          <w:szCs w:val="24"/>
          <w:highlight w:val="none"/>
        </w:rPr>
      </w:r>
      <w:r/>
    </w:p>
    <w:p>
      <w:pPr>
        <w:pStyle w:val="736"/>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14.2 乙方发货时，产品使用说明书、检验证明书、随配附件和工具以及清单一并附于货物内。</w:t>
      </w:r>
      <w:r>
        <w:rPr>
          <w:rFonts w:hint="eastAsia" w:ascii="宋体" w:hAnsi="宋体"/>
          <w:sz w:val="24"/>
          <w:szCs w:val="24"/>
          <w:highlight w:val="none"/>
        </w:rPr>
      </w:r>
      <w:r/>
    </w:p>
    <w:p>
      <w:pPr>
        <w:pStyle w:val="736"/>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rPr>
          <w:rFonts w:hint="eastAsia" w:ascii="宋体" w:hAnsi="宋体"/>
          <w:sz w:val="24"/>
          <w:szCs w:val="24"/>
          <w:highlight w:val="none"/>
        </w:rPr>
      </w:r>
      <w:r/>
    </w:p>
    <w:p>
      <w:pPr>
        <w:pStyle w:val="736"/>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14.4 货物在交付甲方前发生的风险均由乙方负责。</w:t>
      </w:r>
      <w:r>
        <w:rPr>
          <w:rFonts w:hint="eastAsia" w:ascii="宋体" w:hAnsi="宋体"/>
          <w:sz w:val="24"/>
          <w:szCs w:val="24"/>
          <w:highlight w:val="none"/>
        </w:rPr>
      </w:r>
      <w:r/>
    </w:p>
    <w:p>
      <w:pPr>
        <w:pStyle w:val="946"/>
        <w:ind w:firstLine="420"/>
        <w:spacing w:before="120" w:after="120" w:line="360" w:lineRule="auto"/>
        <w:rPr>
          <w:rFonts w:hint="eastAsia" w:hAnsi="宋体"/>
          <w:sz w:val="24"/>
          <w:szCs w:val="24"/>
          <w:highlight w:val="none"/>
        </w:rPr>
      </w:pPr>
      <w:r>
        <w:rPr>
          <w:rFonts w:hint="eastAsia" w:hAnsi="宋体"/>
          <w:sz w:val="24"/>
          <w:szCs w:val="24"/>
          <w:highlight w:val="none"/>
        </w:rPr>
        <w:t xml:space="preserve">14.5 货物在规定的交付期限内由乙方送达甲方指定的地点，经初步验收即视为货物交付。</w:t>
      </w:r>
      <w:r>
        <w:rPr>
          <w:rFonts w:hint="eastAsia" w:hAnsi="宋体"/>
          <w:sz w:val="24"/>
          <w:szCs w:val="24"/>
          <w:highlight w:val="none"/>
        </w:rPr>
      </w:r>
      <w:r/>
    </w:p>
    <w:p>
      <w:pPr>
        <w:pStyle w:val="94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十五、违约责任</w:t>
      </w:r>
      <w:r>
        <w:rPr>
          <w:rFonts w:hint="eastAsia" w:ascii="宋体" w:hAnsi="宋体" w:eastAsia="宋体" w:cs="宋体"/>
          <w:b/>
          <w:bCs/>
          <w:color w:val="000000"/>
          <w:sz w:val="24"/>
          <w:szCs w:val="24"/>
          <w:highlight w:val="none"/>
        </w:rPr>
      </w:r>
      <w:r/>
    </w:p>
    <w:p>
      <w:pPr>
        <w:pStyle w:val="736"/>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15.1 甲方无故逾期办理货款支付手续的,甲方应按逾期付款金额每日万分之五向乙方支付违约金。</w:t>
      </w:r>
      <w:r>
        <w:rPr>
          <w:rFonts w:hint="eastAsia" w:ascii="宋体" w:hAnsi="宋体"/>
          <w:sz w:val="24"/>
          <w:szCs w:val="24"/>
          <w:highlight w:val="none"/>
        </w:rPr>
      </w:r>
      <w:r/>
    </w:p>
    <w:p>
      <w:pPr>
        <w:pStyle w:val="736"/>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15.2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rPr>
          <w:rFonts w:hint="eastAsia" w:ascii="宋体" w:hAnsi="宋体"/>
          <w:sz w:val="24"/>
          <w:szCs w:val="24"/>
          <w:highlight w:val="none"/>
        </w:rPr>
      </w:r>
      <w:r/>
    </w:p>
    <w:p>
      <w:pPr>
        <w:pStyle w:val="736"/>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15.3乙方因逾期超过十天交货或因其他违约行为，甲方有权解除合同。</w:t>
      </w:r>
      <w:r>
        <w:rPr>
          <w:rFonts w:hint="eastAsia" w:ascii="宋体" w:hAnsi="宋体"/>
          <w:sz w:val="24"/>
          <w:szCs w:val="24"/>
          <w:highlight w:val="none"/>
        </w:rPr>
      </w:r>
      <w:r/>
    </w:p>
    <w:p>
      <w:pPr>
        <w:pStyle w:val="736"/>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15.4乙方违约，在消除违约情形前，应按货款总额每日万分之五向甲方支付违约金，甲方可以从待付货款中扣除。因乙方违约导致甲方解除合同的，乙方应自合同解除之日起十日内退还预付款并向甲方支付合同总值5%的违约金，如造成甲方损失超过违约金的，超出部分由乙方继续承担赔偿责任。</w:t>
      </w:r>
      <w:r>
        <w:rPr>
          <w:rFonts w:hint="eastAsia" w:ascii="宋体" w:hAnsi="宋体"/>
          <w:sz w:val="24"/>
          <w:szCs w:val="24"/>
          <w:highlight w:val="none"/>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sz w:val="24"/>
          <w:szCs w:val="24"/>
          <w:highlight w:val="none"/>
        </w:rPr>
        <w:t xml:space="preserve">15.5 合同生效后，发现乙方投标属虚假承诺，或经权威部门监测提供的货物不能满足招标文件要求，造成合同无法继续履行的，乙方履约保证金不予退还外，还应向甲方支付不少于合同总价</w:t>
      </w:r>
      <w:r>
        <w:rPr>
          <w:rFonts w:hint="eastAsia" w:ascii="宋体" w:hAnsi="宋体"/>
          <w:sz w:val="24"/>
          <w:szCs w:val="24"/>
          <w:highlight w:val="none"/>
          <w:u w:val="single"/>
        </w:rPr>
        <w:t xml:space="preserve">   %</w:t>
      </w:r>
      <w:r>
        <w:rPr>
          <w:rFonts w:hint="eastAsia" w:ascii="宋体" w:hAnsi="宋体"/>
          <w:sz w:val="24"/>
          <w:szCs w:val="24"/>
          <w:highlight w:val="none"/>
        </w:rPr>
        <w:t xml:space="preserve">赔偿金。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十六、不可抗力事件处理</w:t>
      </w:r>
      <w:r>
        <w:rPr>
          <w:rFonts w:hint="eastAsia" w:ascii="宋体" w:hAnsi="宋体" w:eastAsia="宋体" w:cs="宋体"/>
          <w:b/>
          <w:bCs/>
          <w:color w:val="000000"/>
          <w:sz w:val="24"/>
          <w:szCs w:val="24"/>
          <w:highlight w:val="none"/>
        </w:rPr>
      </w:r>
      <w:r/>
    </w:p>
    <w:p>
      <w:pPr>
        <w:pStyle w:val="946"/>
        <w:ind w:firstLine="420"/>
        <w:spacing w:before="120" w:after="120" w:line="360" w:lineRule="auto"/>
        <w:rPr>
          <w:rFonts w:hint="eastAsia" w:hAnsi="宋体"/>
          <w:sz w:val="24"/>
          <w:szCs w:val="24"/>
          <w:highlight w:val="none"/>
        </w:rPr>
      </w:pPr>
      <w:r>
        <w:rPr>
          <w:rFonts w:hint="eastAsia" w:hAnsi="宋体"/>
          <w:sz w:val="24"/>
          <w:szCs w:val="24"/>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rFonts w:hint="eastAsia" w:hAnsi="宋体"/>
          <w:sz w:val="24"/>
          <w:szCs w:val="24"/>
          <w:highlight w:val="none"/>
        </w:rPr>
      </w:r>
      <w:r/>
    </w:p>
    <w:p>
      <w:pPr>
        <w:pStyle w:val="946"/>
        <w:ind w:firstLine="420"/>
        <w:spacing w:before="120" w:after="120" w:line="360" w:lineRule="auto"/>
        <w:rPr>
          <w:rFonts w:hint="eastAsia" w:hAnsi="宋体"/>
          <w:sz w:val="24"/>
          <w:szCs w:val="24"/>
          <w:highlight w:val="none"/>
        </w:rPr>
      </w:pPr>
      <w:r>
        <w:rPr>
          <w:rFonts w:hint="eastAsia" w:hAnsi="宋体"/>
          <w:sz w:val="24"/>
          <w:szCs w:val="24"/>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rPr>
          <w:rFonts w:hint="eastAsia" w:hAnsi="宋体"/>
          <w:sz w:val="24"/>
          <w:szCs w:val="24"/>
          <w:highlight w:val="none"/>
        </w:rPr>
      </w:r>
      <w:r/>
    </w:p>
    <w:p>
      <w:pPr>
        <w:pStyle w:val="94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十七、诉讼</w:t>
      </w:r>
      <w:r>
        <w:rPr>
          <w:rFonts w:hint="eastAsia" w:ascii="宋体" w:hAnsi="宋体" w:eastAsia="宋体" w:cs="宋体"/>
          <w:b/>
          <w:bCs/>
          <w:color w:val="000000"/>
          <w:sz w:val="24"/>
          <w:szCs w:val="24"/>
          <w:highlight w:val="none"/>
        </w:rPr>
      </w:r>
      <w:r/>
    </w:p>
    <w:p>
      <w:pPr>
        <w:pStyle w:val="946"/>
        <w:ind w:firstLine="420"/>
        <w:spacing w:before="120" w:after="120" w:line="360" w:lineRule="auto"/>
        <w:rPr>
          <w:rFonts w:hint="eastAsia" w:hAnsi="宋体"/>
          <w:sz w:val="24"/>
          <w:szCs w:val="24"/>
          <w:highlight w:val="none"/>
        </w:rPr>
      </w:pPr>
      <w:r>
        <w:rPr>
          <w:rFonts w:hint="eastAsia" w:hAnsi="宋体"/>
          <w:sz w:val="24"/>
          <w:szCs w:val="24"/>
          <w:highlight w:val="none"/>
        </w:rPr>
        <w:t xml:space="preserve">17.1 因货物的质量问题发生争议的，可在国家认可的质量检测机构对货物质量进行鉴定。货物符合标准的，鉴定费由甲方承担；货物不符合质量标准的，鉴定费由乙方承担。</w:t>
      </w:r>
      <w:r>
        <w:rPr>
          <w:rFonts w:hint="eastAsia" w:hAnsi="宋体"/>
          <w:sz w:val="24"/>
          <w:szCs w:val="24"/>
          <w:highlight w:val="none"/>
        </w:rPr>
      </w:r>
      <w:r/>
    </w:p>
    <w:p>
      <w:pPr>
        <w:pStyle w:val="946"/>
        <w:ind w:firstLine="420"/>
        <w:spacing w:before="120" w:after="120" w:line="360" w:lineRule="auto"/>
        <w:rPr>
          <w:rFonts w:hint="eastAsia" w:hAnsi="宋体"/>
          <w:sz w:val="24"/>
          <w:szCs w:val="24"/>
          <w:highlight w:val="none"/>
        </w:rPr>
      </w:pPr>
      <w:r>
        <w:rPr>
          <w:rFonts w:hint="eastAsia" w:hAnsi="宋体"/>
          <w:sz w:val="24"/>
          <w:szCs w:val="24"/>
          <w:highlight w:val="none"/>
        </w:rPr>
        <w:t xml:space="preserve">17.2 因履行本合同引起的或与本合同有关的争议，甲、乙双方应首先通过友好协商解决；如果协商不能解决争议，甲乙双方同意采取下列两种方式的第</w:t>
      </w:r>
      <w:r>
        <w:rPr>
          <w:rFonts w:hint="eastAsia" w:hAnsi="宋体"/>
          <w:sz w:val="24"/>
          <w:szCs w:val="24"/>
          <w:highlight w:val="none"/>
          <w:u w:val="single"/>
        </w:rPr>
        <w:t xml:space="preserve">（ 1 ）</w:t>
      </w:r>
      <w:r>
        <w:rPr>
          <w:rFonts w:hint="eastAsia" w:hAnsi="宋体"/>
          <w:sz w:val="24"/>
          <w:szCs w:val="24"/>
          <w:highlight w:val="none"/>
        </w:rPr>
        <w:t xml:space="preserve">种方式解决争议：</w:t>
      </w:r>
      <w:r>
        <w:rPr>
          <w:rFonts w:hint="eastAsia" w:hAnsi="宋体"/>
          <w:sz w:val="24"/>
          <w:szCs w:val="24"/>
          <w:highlight w:val="none"/>
        </w:rPr>
      </w:r>
      <w:r/>
    </w:p>
    <w:p>
      <w:pPr>
        <w:pStyle w:val="946"/>
        <w:ind w:firstLine="315"/>
        <w:spacing w:before="120" w:after="120" w:line="360" w:lineRule="auto"/>
        <w:rPr>
          <w:rFonts w:hint="eastAsia" w:hAnsi="宋体"/>
          <w:sz w:val="24"/>
          <w:szCs w:val="24"/>
          <w:highlight w:val="none"/>
        </w:rPr>
      </w:pPr>
      <w:r>
        <w:rPr>
          <w:rFonts w:hint="eastAsia" w:hAnsi="宋体"/>
          <w:sz w:val="24"/>
          <w:szCs w:val="24"/>
          <w:highlight w:val="none"/>
        </w:rPr>
        <w:t xml:space="preserve">（1）向甲方所在地有管辖权的人民法院提起诉讼，适用中华人民共和国法律；</w:t>
      </w:r>
      <w:r>
        <w:rPr>
          <w:rFonts w:hint="eastAsia" w:hAnsi="宋体"/>
          <w:sz w:val="24"/>
          <w:szCs w:val="24"/>
          <w:highlight w:val="none"/>
        </w:rPr>
      </w:r>
      <w:r/>
    </w:p>
    <w:p>
      <w:pPr>
        <w:pStyle w:val="946"/>
        <w:ind w:left="420" w:hanging="105"/>
        <w:spacing w:before="120" w:after="120" w:line="360" w:lineRule="auto"/>
        <w:rPr>
          <w:rFonts w:hint="eastAsia" w:hAnsi="宋体"/>
          <w:sz w:val="24"/>
          <w:szCs w:val="24"/>
          <w:highlight w:val="none"/>
        </w:rPr>
      </w:pPr>
      <w:r>
        <w:rPr>
          <w:rFonts w:hint="eastAsia" w:hAnsi="宋体"/>
          <w:sz w:val="24"/>
          <w:szCs w:val="24"/>
          <w:highlight w:val="none"/>
        </w:rPr>
        <w:t xml:space="preserve">（2）向扬州仲裁委员会按其仲裁规则申请仲裁。</w:t>
      </w:r>
      <w:r>
        <w:rPr>
          <w:rFonts w:hint="eastAsia" w:hAnsi="宋体"/>
          <w:sz w:val="24"/>
          <w:szCs w:val="24"/>
          <w:highlight w:val="none"/>
        </w:rPr>
      </w:r>
      <w:r/>
    </w:p>
    <w:p>
      <w:pPr>
        <w:pStyle w:val="946"/>
        <w:ind w:firstLine="420"/>
        <w:spacing w:before="120" w:after="120" w:line="360" w:lineRule="auto"/>
        <w:rPr>
          <w:rFonts w:hint="eastAsia" w:hAnsi="宋体"/>
          <w:sz w:val="24"/>
          <w:szCs w:val="24"/>
          <w:highlight w:val="none"/>
        </w:rPr>
      </w:pPr>
      <w:r>
        <w:rPr>
          <w:rFonts w:hint="eastAsia" w:hAnsi="宋体"/>
          <w:sz w:val="24"/>
          <w:szCs w:val="24"/>
          <w:highlight w:val="none"/>
        </w:rPr>
        <w:t xml:space="preserve">17.3 若甲乙双方任何一方都没有选择解除合同的，为避免扩大损失，在诉讼或仲裁期间，双方应继续履行。</w:t>
      </w:r>
      <w:r>
        <w:rPr>
          <w:rFonts w:hint="eastAsia" w:hAnsi="宋体"/>
          <w:sz w:val="24"/>
          <w:szCs w:val="24"/>
          <w:highlight w:val="none"/>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sz w:val="24"/>
          <w:szCs w:val="24"/>
          <w:highlight w:val="none"/>
        </w:rPr>
        <w:t xml:space="preserve">17.4守约方为维护权益所产生的费用由违约方承担，该费用包括但不限于差旅费、律师费、公证费、鉴定费、保全费和诉讼费。</w:t>
      </w:r>
      <w:r>
        <w:rPr>
          <w:rFonts w:hint="eastAsia" w:ascii="宋体" w:hAnsi="宋体" w:eastAsia="宋体" w:cs="宋体"/>
          <w:color w:val="000000"/>
          <w:sz w:val="24"/>
          <w:szCs w:val="24"/>
          <w:highlight w:val="none"/>
        </w:rPr>
      </w:r>
      <w:r/>
    </w:p>
    <w:p>
      <w:pPr>
        <w:pStyle w:val="736"/>
        <w:ind w:firstLine="422"/>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color w:val="000000"/>
          <w:sz w:val="24"/>
          <w:szCs w:val="24"/>
          <w:highlight w:val="none"/>
        </w:rPr>
        <w:t xml:space="preserve">十八、</w:t>
      </w:r>
      <w:r>
        <w:rPr>
          <w:rFonts w:hint="eastAsia" w:ascii="宋体" w:hAnsi="宋体" w:eastAsia="宋体" w:cs="宋体"/>
          <w:b/>
          <w:bCs w:val="0"/>
          <w:color w:val="000000"/>
          <w:sz w:val="24"/>
          <w:szCs w:val="24"/>
          <w:highlight w:val="none"/>
        </w:rPr>
        <w:t xml:space="preserve">乙方可凭政府采购合同办理融资贷款，详见江苏政府采购网“政采贷”专栏。</w:t>
      </w:r>
      <w:r>
        <w:rPr>
          <w:rFonts w:hint="eastAsia" w:ascii="宋体" w:hAnsi="宋体" w:eastAsia="宋体" w:cs="宋体"/>
          <w:b/>
          <w:bCs w:val="0"/>
          <w:color w:val="000000"/>
          <w:sz w:val="24"/>
          <w:szCs w:val="24"/>
          <w:highlight w:val="none"/>
        </w:rPr>
      </w:r>
      <w:r/>
    </w:p>
    <w:p>
      <w:pPr>
        <w:pStyle w:val="94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十九、合同其它</w:t>
      </w:r>
      <w:r>
        <w:rPr>
          <w:rFonts w:hint="eastAsia" w:ascii="宋体" w:hAnsi="宋体" w:eastAsia="宋体" w:cs="宋体"/>
          <w:b/>
          <w:bCs/>
          <w:color w:val="000000"/>
          <w:sz w:val="24"/>
          <w:szCs w:val="24"/>
          <w:highlight w:val="none"/>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 </w:t>
      </w:r>
      <w:r>
        <w:rPr>
          <w:rFonts w:hint="eastAsia" w:hAnsi="宋体"/>
          <w:sz w:val="21"/>
          <w:highlight w:val="none"/>
        </w:rPr>
        <w:t xml:space="preserve"> </w:t>
      </w:r>
      <w:r>
        <w:rPr>
          <w:rFonts w:hint="eastAsia" w:hAnsi="宋体"/>
          <w:sz w:val="24"/>
          <w:szCs w:val="24"/>
          <w:highlight w:val="none"/>
        </w:rPr>
        <w:t xml:space="preserve">乙方应诚实信用，严格按照招标文件要求和投标承诺履行合同，不向甲方进行商业贿赂或者提供不正当利益</w:t>
      </w:r>
      <w:r>
        <w:rPr>
          <w:rFonts w:hint="eastAsia" w:hAnsi="宋体"/>
          <w:sz w:val="21"/>
          <w:highlight w:val="none"/>
        </w:rPr>
        <w:t xml:space="preserve">。</w:t>
      </w:r>
      <w:r>
        <w:rPr>
          <w:rFonts w:hint="eastAsia" w:ascii="宋体" w:hAnsi="宋体" w:eastAsia="宋体" w:cs="宋体"/>
          <w:color w:val="000000"/>
          <w:sz w:val="24"/>
          <w:szCs w:val="24"/>
          <w:highlight w:val="none"/>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19.2</w:t>
      </w:r>
      <w:r>
        <w:rPr>
          <w:rFonts w:hint="eastAsia" w:ascii="宋体" w:hAnsi="宋体" w:eastAsia="宋体" w:cs="宋体"/>
          <w:color w:val="000000"/>
          <w:sz w:val="24"/>
          <w:szCs w:val="24"/>
          <w:highlight w:val="none"/>
        </w:rPr>
        <w:t xml:space="preserve">合同经双方法定代表人或授权代表签章并加盖单位公章，并经</w:t>
      </w:r>
      <w:r>
        <w:rPr>
          <w:rFonts w:hint="eastAsia" w:hAnsi="宋体" w:eastAsia="宋体" w:cs="宋体"/>
          <w:color w:val="000000"/>
          <w:sz w:val="24"/>
          <w:szCs w:val="24"/>
          <w:highlight w:val="none"/>
          <w:lang w:eastAsia="zh-CN"/>
        </w:rPr>
        <w:t xml:space="preserve">江苏唯诚建设咨询有限公司</w:t>
      </w:r>
      <w:r>
        <w:rPr>
          <w:rFonts w:hint="eastAsia" w:ascii="宋体" w:hAnsi="宋体" w:eastAsia="宋体" w:cs="宋体"/>
          <w:color w:val="000000"/>
          <w:sz w:val="24"/>
          <w:szCs w:val="24"/>
          <w:highlight w:val="none"/>
        </w:rPr>
        <w:t xml:space="preserve">见证盖章后生效。</w:t>
      </w:r>
      <w:r>
        <w:rPr>
          <w:rFonts w:hint="eastAsia" w:ascii="宋体" w:hAnsi="宋体" w:eastAsia="宋体" w:cs="宋体"/>
          <w:color w:val="000000"/>
          <w:sz w:val="24"/>
          <w:szCs w:val="24"/>
          <w:highlight w:val="none"/>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 本合同下款所列双方地址、电话，为本合同项所涉义务（包括但不限于邮寄发票和诉讼等相关法律文书）的送达地址，上述文件送达到上述地址，即视为送达。</w:t>
      </w:r>
      <w:r>
        <w:rPr>
          <w:rFonts w:hint="eastAsia" w:ascii="宋体" w:hAnsi="宋体" w:eastAsia="宋体" w:cs="宋体"/>
          <w:color w:val="000000"/>
          <w:sz w:val="24"/>
          <w:szCs w:val="24"/>
          <w:highlight w:val="none"/>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19.4本合同未尽事宜，遵照《中华人民共和国民法典》有关条文执行。</w:t>
      </w:r>
      <w:r>
        <w:rPr>
          <w:rFonts w:hint="eastAsia" w:ascii="宋体" w:hAnsi="宋体" w:eastAsia="宋体" w:cs="宋体"/>
          <w:color w:val="000000"/>
          <w:sz w:val="24"/>
          <w:szCs w:val="24"/>
          <w:highlight w:val="none"/>
        </w:rPr>
      </w:r>
      <w:r/>
    </w:p>
    <w:p>
      <w:pPr>
        <w:pStyle w:val="946"/>
        <w:ind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19.5 本合同正本一式</w:t>
      </w:r>
      <w:r>
        <w:rPr>
          <w:rFonts w:hint="eastAsia" w:ascii="宋体" w:hAnsi="宋体" w:eastAsia="宋体" w:cs="宋体"/>
          <w:color w:val="000000"/>
          <w:sz w:val="24"/>
          <w:szCs w:val="24"/>
          <w:highlight w:val="none"/>
          <w:lang w:val="en-US" w:eastAsia="zh-CN"/>
        </w:rPr>
        <w:t xml:space="preserve">伍</w:t>
      </w:r>
      <w:r>
        <w:rPr>
          <w:rFonts w:hint="eastAsia" w:ascii="宋体" w:hAnsi="宋体" w:eastAsia="宋体" w:cs="宋体"/>
          <w:color w:val="000000"/>
          <w:sz w:val="24"/>
          <w:szCs w:val="24"/>
          <w:highlight w:val="none"/>
        </w:rPr>
        <w:t xml:space="preserve">份，具有同等法律效力，甲方执</w:t>
      </w:r>
      <w:r>
        <w:rPr>
          <w:rFonts w:hint="eastAsia" w:ascii="宋体" w:hAnsi="宋体" w:eastAsia="宋体" w:cs="宋体"/>
          <w:color w:val="000000"/>
          <w:sz w:val="24"/>
          <w:szCs w:val="24"/>
          <w:highlight w:val="none"/>
          <w:lang w:val="en-US" w:eastAsia="zh-CN"/>
        </w:rPr>
        <w:t xml:space="preserve">叁</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乙方执贰份。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bl>
      <w:tblPr>
        <w:tblW w:w="8379" w:type="dxa"/>
        <w:tblInd w:w="-81"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606"/>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46"/>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甲方：扬州市疾病预防控制中心</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46"/>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 </w:t>
            </w:r>
            <w:r>
              <w:rPr>
                <w:rFonts w:hint="eastAsia" w:ascii="宋体" w:hAnsi="宋体" w:eastAsia="宋体" w:cs="宋体"/>
                <w:color w:val="000000"/>
                <w:sz w:val="24"/>
                <w:szCs w:val="24"/>
                <w:highlight w:val="none"/>
                <w:lang w:val="en-US" w:eastAsia="zh-CN" w:bidi="ar-SA"/>
              </w:rPr>
            </w:r>
            <w:r/>
          </w:p>
        </w:tc>
      </w:tr>
      <w:tr>
        <w:trPr>
          <w:trHeight w:val="581"/>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46"/>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地址：</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46"/>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地址： </w:t>
            </w:r>
            <w:r>
              <w:rPr>
                <w:rFonts w:hint="eastAsia" w:ascii="宋体" w:hAnsi="宋体" w:eastAsia="宋体" w:cs="宋体"/>
                <w:color w:val="000000"/>
                <w:sz w:val="24"/>
                <w:szCs w:val="24"/>
                <w:highlight w:val="none"/>
                <w:lang w:val="en-US" w:eastAsia="zh-CN" w:bidi="ar-SA"/>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46"/>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法定代表人或授权代表：</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46"/>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法定代表人或授权代表：</w:t>
            </w:r>
            <w:r>
              <w:rPr>
                <w:rFonts w:hint="eastAsia" w:ascii="宋体" w:hAnsi="宋体" w:eastAsia="宋体" w:cs="宋体"/>
                <w:color w:val="000000"/>
                <w:sz w:val="24"/>
                <w:szCs w:val="24"/>
                <w:highlight w:val="none"/>
                <w:lang w:val="en-US" w:eastAsia="zh-CN" w:bidi="ar-SA"/>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46"/>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46"/>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w:t>
            </w:r>
            <w:r>
              <w:rPr>
                <w:rFonts w:hint="eastAsia" w:ascii="宋体" w:hAnsi="宋体" w:eastAsia="宋体" w:cs="宋体"/>
                <w:color w:val="000000"/>
                <w:sz w:val="24"/>
                <w:szCs w:val="24"/>
                <w:highlight w:val="none"/>
                <w:lang w:val="en-US" w:eastAsia="zh-CN" w:bidi="ar-SA"/>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46"/>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日期：202</w:t>
            </w:r>
            <w:r>
              <w:rPr>
                <w:rFonts w:hint="eastAsia"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年    月    日  </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46"/>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日期：202</w:t>
            </w:r>
            <w:r>
              <w:rPr>
                <w:rFonts w:hint="eastAsia"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年    月    日</w:t>
            </w:r>
            <w:r>
              <w:rPr>
                <w:rFonts w:hint="eastAsia" w:ascii="宋体" w:hAnsi="宋体" w:eastAsia="宋体" w:cs="宋体"/>
                <w:color w:val="000000"/>
                <w:sz w:val="24"/>
                <w:szCs w:val="24"/>
                <w:highlight w:val="none"/>
                <w:lang w:val="en-US" w:eastAsia="zh-CN" w:bidi="ar-SA"/>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46"/>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46"/>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46"/>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见证方：</w:t>
            </w:r>
            <w:r>
              <w:rPr>
                <w:rFonts w:hint="eastAsia" w:hAnsi="宋体" w:eastAsia="宋体" w:cs="宋体"/>
                <w:color w:val="000000"/>
                <w:sz w:val="24"/>
                <w:szCs w:val="24"/>
                <w:highlight w:val="none"/>
                <w:lang w:val="en-US" w:eastAsia="zh-CN" w:bidi="ar-SA"/>
              </w:rPr>
              <w:t xml:space="preserve">江苏唯诚建设咨询有限公司</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46"/>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46"/>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项目经办人：</w:t>
            </w:r>
            <w:r>
              <w:rPr>
                <w:rFonts w:hint="eastAsia" w:ascii="宋体" w:hAnsi="宋体" w:eastAsia="宋体" w:cs="宋体"/>
                <w:color w:val="000000"/>
                <w:sz w:val="24"/>
                <w:szCs w:val="24"/>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46"/>
              <w:jc w:val="both"/>
              <w:spacing w:before="120"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pStyle w:val="946"/>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日期：202</w:t>
            </w:r>
            <w:r>
              <w:rPr>
                <w:rFonts w:hint="eastAsia"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年    月    日 </w:t>
            </w:r>
            <w:r>
              <w:rPr>
                <w:rFonts w:hint="eastAsia" w:ascii="宋体" w:hAnsi="宋体" w:eastAsia="宋体" w:cs="宋体"/>
                <w:color w:val="000000"/>
                <w:sz w:val="21"/>
                <w:szCs w:val="21"/>
                <w:highlight w:val="none"/>
                <w:lang w:val="en-US" w:eastAsia="zh-CN" w:bidi="ar-SA"/>
              </w:rPr>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pStyle w:val="946"/>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736"/>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bookmarkEnd w:id="58"/>
      <w:r>
        <w:rPr>
          <w:rFonts w:hint="eastAsia" w:ascii="宋体" w:hAnsi="宋体" w:eastAsia="宋体" w:cs="宋体"/>
          <w:color w:val="000000"/>
          <w:highlight w:val="none"/>
        </w:rPr>
      </w:r>
      <w:r/>
    </w:p>
    <w:p>
      <w:pPr>
        <w:pStyle w:val="777"/>
        <w:numPr>
          <w:ilvl w:val="0"/>
          <w:numId w:val="4"/>
        </w:numPr>
        <w:rPr>
          <w:rFonts w:hint="eastAsia"/>
          <w:color w:val="000000"/>
          <w:highlight w:val="none"/>
        </w:rPr>
      </w:pPr>
      <w:r/>
      <w:bookmarkStart w:id="59" w:name="_Toc12506"/>
      <w:r>
        <w:rPr>
          <w:rFonts w:hint="eastAsia"/>
          <w:color w:val="000000"/>
          <w:highlight w:val="none"/>
        </w:rPr>
        <w:t xml:space="preserve">项目需求</w:t>
      </w:r>
      <w:bookmarkEnd w:id="59"/>
      <w:r>
        <w:rPr>
          <w:rFonts w:hint="eastAsia"/>
          <w:color w:val="000000"/>
          <w:highlight w:val="none"/>
        </w:rPr>
      </w:r>
      <w:r/>
    </w:p>
    <w:p>
      <w:pPr>
        <w:pStyle w:val="73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bookmarkStart w:id="60" w:name="_Toc319408306"/>
      <w:r>
        <w:rPr>
          <w:rFonts w:hint="eastAsia" w:ascii="宋体" w:hAnsi="宋体" w:eastAsia="宋体" w:cs="宋体"/>
          <w:b/>
          <w:bCs/>
          <w:color w:val="000000"/>
          <w:sz w:val="24"/>
          <w:szCs w:val="24"/>
          <w:highlight w:val="none"/>
        </w:rPr>
        <w:t xml:space="preserve">注： 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rPr>
          <w:rFonts w:hint="eastAsia" w:ascii="宋体" w:hAnsi="宋体" w:eastAsia="宋体" w:cs="宋体"/>
          <w:b/>
          <w:bCs/>
          <w:color w:val="000000"/>
          <w:sz w:val="24"/>
          <w:szCs w:val="24"/>
          <w:highlight w:val="none"/>
        </w:rPr>
      </w:r>
      <w:r/>
    </w:p>
    <w:p>
      <w:pPr>
        <w:pStyle w:val="736"/>
        <w:ind w:firstLine="420"/>
        <w:keepLines w:val="0"/>
        <w:keepNext w:val="0"/>
        <w:pageBreakBefore w:val="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政府采购中实施本国产品标准及相关政策</w:t>
      </w:r>
      <w:r>
        <w:rPr>
          <w:rFonts w:hint="eastAsia" w:ascii="宋体" w:hAnsi="宋体" w:cs="宋体"/>
          <w:b/>
          <w:bCs/>
          <w:color w:val="000000"/>
          <w:sz w:val="24"/>
          <w:szCs w:val="24"/>
          <w:highlight w:val="none"/>
        </w:rPr>
      </w:r>
      <w:r/>
    </w:p>
    <w:p>
      <w:pPr>
        <w:pStyle w:val="736"/>
        <w:ind w:firstLine="42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1.本项目对采购本国产品给予政策支持，具体内容见招标文件“第五章 评标方法与评标标准”。</w:t>
      </w:r>
      <w:r>
        <w:rPr>
          <w:rFonts w:hint="eastAsia" w:ascii="宋体" w:hAnsi="宋体" w:cs="宋体"/>
          <w:color w:val="000000"/>
          <w:sz w:val="24"/>
          <w:szCs w:val="24"/>
          <w:highlight w:val="none"/>
        </w:rPr>
      </w:r>
      <w:r/>
    </w:p>
    <w:p>
      <w:pPr>
        <w:pStyle w:val="736"/>
        <w:ind w:firstLine="420"/>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szCs w:val="24"/>
          <w:highlight w:val="none"/>
        </w:rPr>
      </w:r>
      <w:r/>
    </w:p>
    <w:p>
      <w:pPr>
        <w:pStyle w:val="736"/>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 w:val="21"/>
          <w:szCs w:val="21"/>
          <w:highlight w:val="none"/>
        </w:rPr>
      </w:r>
      <w:r/>
    </w:p>
    <w:p>
      <w:pPr>
        <w:pStyle w:val="736"/>
        <w:contextualSpacing/>
        <w:ind w:firstLine="422"/>
        <w:keepLines w:val="0"/>
        <w:keepNext w:val="0"/>
        <w:pageBreakBefore w:val="0"/>
        <w:spacing w:beforeAutospacing="0" w:afterAutospacing="0" w:line="360" w:lineRule="auto"/>
        <w:widowControl w:val="off"/>
        <w:rPr>
          <w:rFonts w:hint="eastAsia" w:ascii="宋体" w:hAnsi="宋体" w:eastAsia="宋体" w:cs="宋体"/>
          <w:b/>
          <w:i w:val="0"/>
          <w:iCs w:val="0"/>
          <w:color w:val="000000"/>
          <w:sz w:val="24"/>
          <w:szCs w:val="24"/>
          <w:highlight w:val="none"/>
          <w:u w:val="none"/>
          <w:lang w:val="en-US" w:eastAsia="zh-CN"/>
        </w:rPr>
      </w:pPr>
      <w:r>
        <w:rPr>
          <w:rFonts w:hint="eastAsia" w:ascii="宋体" w:hAnsi="宋体" w:eastAsia="宋体" w:cs="宋体"/>
          <w:b/>
          <w:i w:val="0"/>
          <w:iCs w:val="0"/>
          <w:color w:val="000000"/>
          <w:sz w:val="24"/>
          <w:szCs w:val="24"/>
          <w:highlight w:val="none"/>
          <w:u w:val="none"/>
        </w:rPr>
        <w:t xml:space="preserve">项目属性：</w:t>
      </w:r>
      <w:bookmarkEnd w:id="60"/>
      <w:r>
        <w:rPr>
          <w:rFonts w:hint="eastAsia" w:ascii="宋体" w:hAnsi="宋体" w:eastAsia="宋体" w:cs="宋体"/>
          <w:b/>
          <w:i w:val="0"/>
          <w:iCs w:val="0"/>
          <w:color w:val="000000"/>
          <w:sz w:val="24"/>
          <w:szCs w:val="24"/>
          <w:highlight w:val="none"/>
          <w:u w:val="none"/>
          <w:lang w:eastAsia="zh-CN"/>
        </w:rPr>
        <w:t xml:space="preserve">医疗器械类</w:t>
      </w:r>
      <w:r>
        <w:rPr>
          <w:rFonts w:hint="eastAsia" w:ascii="宋体" w:hAnsi="宋体" w:eastAsia="宋体" w:cs="宋体"/>
          <w:b/>
          <w:i w:val="0"/>
          <w:iCs w:val="0"/>
          <w:color w:val="000000"/>
          <w:sz w:val="24"/>
          <w:szCs w:val="24"/>
          <w:highlight w:val="none"/>
          <w:u w:val="none"/>
          <w:lang w:val="en-US" w:eastAsia="zh-CN"/>
        </w:rPr>
      </w:r>
      <w:r/>
    </w:p>
    <w:p>
      <w:pPr>
        <w:pStyle w:val="736"/>
        <w:numPr>
          <w:ilvl w:val="0"/>
          <w:numId w:val="5"/>
        </w:numPr>
        <w:keepLines w:val="0"/>
        <w:keepNext w:val="0"/>
        <w:pageBreakBefore w:val="0"/>
        <w:spacing w:before="157"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4"/>
          <w:szCs w:val="24"/>
          <w:highlight w:val="none"/>
        </w:rPr>
        <w:t xml:space="preserve">项目</w:t>
      </w:r>
      <w:r>
        <w:rPr>
          <w:rFonts w:hint="eastAsia" w:ascii="宋体" w:hAnsi="宋体" w:eastAsia="宋体" w:cs="宋体"/>
          <w:b/>
          <w:bCs/>
          <w:sz w:val="24"/>
          <w:szCs w:val="24"/>
          <w:highlight w:val="none"/>
          <w:lang w:val="en-US" w:eastAsia="zh-CN"/>
        </w:rPr>
        <w:t xml:space="preserve">背景</w:t>
      </w:r>
      <w:r>
        <w:rPr>
          <w:rFonts w:hint="eastAsia" w:ascii="宋体" w:hAnsi="宋体" w:eastAsia="宋体" w:cs="宋体"/>
          <w:b/>
          <w:bCs/>
          <w:sz w:val="21"/>
          <w:szCs w:val="21"/>
          <w:highlight w:val="none"/>
          <w:lang w:val="en-US" w:eastAsia="zh-CN"/>
        </w:rPr>
      </w:r>
      <w:r/>
    </w:p>
    <w:p>
      <w:pPr>
        <w:pStyle w:val="736"/>
        <w:ind w:firstLine="480"/>
        <w:keepLines w:val="0"/>
        <w:keepNext w:val="0"/>
        <w:pageBreakBefore w:val="0"/>
        <w:spacing w:line="360" w:lineRule="auto"/>
        <w:widowControl w:val="off"/>
        <w:rPr>
          <w:sz w:val="24"/>
          <w:szCs w:val="24"/>
          <w:highlight w:val="none"/>
        </w:rPr>
      </w:pPr>
      <w:r>
        <w:rPr>
          <w:rFonts w:hint="eastAsia"/>
          <w:sz w:val="24"/>
          <w:szCs w:val="24"/>
          <w:highlight w:val="none"/>
        </w:rPr>
        <w:t xml:space="preserve">本次采购1 台高速全自动生化分析仪，单机恒速≥2000 测试/小时，用于稳定开展肝肾功能、血糖血脂、电解质、心肌酶等常规生化项目检测，适配门诊高低峰样本波动场景，提升检验通量、检测精度与自动化水平，满足临床诊疗、健康体检长期业务需求。</w:t>
      </w:r>
      <w:r>
        <w:rPr>
          <w:sz w:val="24"/>
          <w:szCs w:val="24"/>
          <w:highlight w:val="none"/>
        </w:rPr>
      </w:r>
      <w:r/>
    </w:p>
    <w:p>
      <w:pPr>
        <w:pStyle w:val="737"/>
        <w:spacing w:beforeAutospacing="0" w:afterAutospacing="0" w:line="360" w:lineRule="atLeast"/>
        <w:widowControl/>
        <w:rPr>
          <w:color w:val="000000"/>
          <w:sz w:val="24"/>
          <w:szCs w:val="24"/>
          <w:highlight w:val="none"/>
        </w:rPr>
      </w:pPr>
      <w:r/>
      <w:bookmarkStart w:id="61" w:name="_Toc55204181"/>
      <w:r>
        <w:rPr>
          <w:color w:val="000000"/>
          <w:sz w:val="24"/>
          <w:szCs w:val="24"/>
          <w:highlight w:val="none"/>
        </w:rPr>
        <w:t xml:space="preserve">二、采购内容及技术需求</w:t>
      </w:r>
      <w:r>
        <w:rPr>
          <w:color w:val="000000"/>
          <w:sz w:val="24"/>
          <w:szCs w:val="24"/>
          <w:highlight w:val="none"/>
        </w:rPr>
      </w:r>
      <w:r/>
    </w:p>
    <w:p>
      <w:pPr>
        <w:pStyle w:val="738"/>
        <w:ind w:firstLine="482"/>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（一）核心采购内容</w:t>
      </w:r>
      <w:r>
        <w:rPr>
          <w:rFonts w:hint="eastAsia" w:ascii="宋体" w:hAnsi="宋体" w:eastAsia="宋体" w:cs="宋体"/>
          <w:color w:val="000000"/>
          <w:sz w:val="24"/>
          <w:szCs w:val="24"/>
          <w:highlight w:val="none"/>
        </w:rPr>
      </w:r>
      <w:r/>
    </w:p>
    <w:p>
      <w:pPr>
        <w:pStyle w:val="738"/>
        <w:ind w:firstLine="482"/>
        <w:jc w:val="left"/>
        <w:keepLines w:val="0"/>
        <w:keepNext w:val="0"/>
        <w:pageBreakBefore w:val="0"/>
        <w:spacing w:beforeAutospacing="0" w:afterAutospacing="0" w:line="360" w:lineRule="auto"/>
        <w:widowControl/>
        <w:rPr>
          <w:rFonts w:ascii="宋体" w:hAnsi="宋体" w:eastAsia="宋体" w:cs="宋体"/>
          <w:color w:val="000000"/>
          <w:sz w:val="24"/>
          <w:szCs w:val="24"/>
          <w:highlight w:val="none"/>
          <w:lang w:bidi="ar"/>
        </w:rPr>
      </w:pPr>
      <w:r>
        <w:rPr>
          <w:rFonts w:ascii="宋体" w:hAnsi="宋体" w:eastAsia="宋体" w:cs="宋体"/>
          <w:color w:val="000000"/>
          <w:sz w:val="24"/>
          <w:szCs w:val="24"/>
          <w:highlight w:val="none"/>
          <w:lang w:bidi="ar"/>
        </w:rPr>
        <w:t xml:space="preserve">本次采购为 [</w:t>
      </w:r>
      <w:r>
        <w:rPr>
          <w:rFonts w:hint="eastAsia" w:ascii="宋体" w:hAnsi="宋体" w:eastAsia="宋体" w:cs="宋体"/>
          <w:color w:val="000000"/>
          <w:sz w:val="24"/>
          <w:szCs w:val="24"/>
          <w:highlight w:val="none"/>
          <w:lang w:bidi="ar"/>
        </w:rPr>
        <w:t xml:space="preserve">全自动生化分析仪</w:t>
      </w:r>
      <w:r>
        <w:rPr>
          <w:rFonts w:ascii="宋体" w:hAnsi="宋体" w:eastAsia="宋体" w:cs="宋体"/>
          <w:color w:val="000000"/>
          <w:sz w:val="24"/>
          <w:szCs w:val="24"/>
          <w:highlight w:val="none"/>
          <w:lang w:bidi="ar"/>
        </w:rPr>
        <w:t xml:space="preserve">]</w:t>
      </w:r>
      <w:r>
        <w:rPr>
          <w:rFonts w:ascii="宋体" w:hAnsi="宋体" w:eastAsia="宋体" w:cs="宋体"/>
          <w:color w:val="000000"/>
          <w:sz w:val="24"/>
          <w:szCs w:val="24"/>
          <w:highlight w:val="none"/>
          <w:u w:val="single"/>
          <w:lang w:bidi="ar"/>
        </w:rPr>
        <w:t xml:space="preserve">1</w:t>
      </w:r>
      <w:r>
        <w:rPr>
          <w:rFonts w:ascii="宋体" w:hAnsi="宋体" w:eastAsia="宋体" w:cs="宋体"/>
          <w:color w:val="000000"/>
          <w:sz w:val="24"/>
          <w:szCs w:val="24"/>
          <w:highlight w:val="none"/>
          <w:lang w:bidi="ar"/>
        </w:rPr>
        <w:t xml:space="preserve">台 ，含设备主机、标准配件、专用配套耗材（首次）</w:t>
      </w:r>
      <w:r>
        <w:rPr>
          <w:rFonts w:ascii="宋体" w:hAnsi="宋体" w:eastAsia="宋体" w:cs="宋体"/>
          <w:sz w:val="24"/>
          <w:szCs w:val="24"/>
          <w:highlight w:val="none"/>
          <w:lang w:bidi="ar"/>
        </w:rPr>
        <w:t xml:space="preserve">、</w:t>
      </w:r>
      <w:r>
        <w:rPr>
          <w:rFonts w:hint="eastAsia" w:ascii="宋体" w:hAnsi="宋体" w:eastAsia="宋体" w:cs="宋体"/>
          <w:sz w:val="24"/>
          <w:szCs w:val="24"/>
          <w:highlight w:val="none"/>
          <w:lang w:bidi="ar"/>
        </w:rPr>
        <w:t xml:space="preserve">配套设备、</w:t>
      </w:r>
      <w:r>
        <w:rPr>
          <w:rFonts w:ascii="宋体" w:hAnsi="宋体" w:eastAsia="宋体" w:cs="宋体"/>
          <w:color w:val="000000"/>
          <w:sz w:val="24"/>
          <w:szCs w:val="24"/>
          <w:highlight w:val="none"/>
          <w:lang w:bidi="ar"/>
        </w:rPr>
        <w:t xml:space="preserve">安装调试、技术培训、售后保障等全部相关服务，为</w:t>
      </w:r>
      <w:r>
        <w:rPr>
          <w:rStyle w:val="770"/>
          <w:rFonts w:ascii="宋体" w:hAnsi="宋体" w:eastAsia="宋体" w:cs="宋体"/>
          <w:bCs/>
          <w:color w:val="000000"/>
          <w:sz w:val="24"/>
          <w:szCs w:val="24"/>
          <w:highlight w:val="none"/>
          <w:lang w:bidi="ar"/>
        </w:rPr>
        <w:t xml:space="preserve">交钥匙工程</w:t>
      </w:r>
      <w:r>
        <w:rPr>
          <w:rFonts w:ascii="宋体" w:hAnsi="宋体" w:eastAsia="宋体" w:cs="宋体"/>
          <w:color w:val="000000"/>
          <w:sz w:val="24"/>
          <w:szCs w:val="24"/>
          <w:highlight w:val="none"/>
          <w:lang w:bidi="ar"/>
        </w:rPr>
        <w:t xml:space="preserve">，采购人无需额外支付任何费用。</w:t>
      </w:r>
      <w:r>
        <w:rPr>
          <w:rFonts w:ascii="宋体" w:hAnsi="宋体" w:eastAsia="宋体" w:cs="宋体"/>
          <w:color w:val="000000"/>
          <w:sz w:val="24"/>
          <w:szCs w:val="24"/>
          <w:highlight w:val="none"/>
          <w:lang w:bidi="ar"/>
        </w:rPr>
      </w:r>
      <w:r/>
    </w:p>
    <w:p>
      <w:pPr>
        <w:pStyle w:val="738"/>
        <w:ind w:firstLine="482"/>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（二）技术参数要求</w:t>
      </w:r>
      <w:r>
        <w:rPr>
          <w:rFonts w:hint="eastAsia" w:ascii="宋体" w:hAnsi="宋体" w:eastAsia="宋体" w:cs="宋体"/>
          <w:color w:val="000000"/>
          <w:sz w:val="24"/>
          <w:szCs w:val="24"/>
          <w:highlight w:val="none"/>
        </w:rPr>
      </w:r>
      <w:r/>
    </w:p>
    <w:p>
      <w:pPr>
        <w:pStyle w:val="736"/>
        <w:jc w:val="left"/>
        <w:spacing w:line="360" w:lineRule="atLeast"/>
        <w:widowControl/>
        <w:rPr>
          <w:rFonts w:ascii="宋体" w:hAnsi="宋体" w:eastAsia="宋体" w:cs="宋体"/>
          <w:color w:val="000000"/>
          <w:sz w:val="24"/>
          <w:highlight w:val="none"/>
          <w:lang w:bidi="ar"/>
        </w:rPr>
      </w:pPr>
      <w:r>
        <w:rPr>
          <w:rFonts w:ascii="宋体" w:hAnsi="宋体" w:eastAsia="宋体" w:cs="宋体"/>
          <w:color w:val="000000"/>
          <w:sz w:val="24"/>
          <w:highlight w:val="none"/>
          <w:lang w:bidi="ar"/>
        </w:rPr>
        <w:t xml:space="preserve">本项目设备技术参数分为</w:t>
      </w:r>
      <w:r>
        <w:rPr>
          <w:rStyle w:val="770"/>
          <w:rFonts w:ascii="宋体" w:hAnsi="宋体" w:eastAsia="宋体" w:cs="宋体"/>
          <w:bCs/>
          <w:color w:val="000000"/>
          <w:sz w:val="24"/>
          <w:highlight w:val="none"/>
          <w:lang w:bidi="ar"/>
        </w:rPr>
        <w:t xml:space="preserve">必选参数</w:t>
      </w:r>
      <w:r>
        <w:rPr>
          <w:rFonts w:ascii="宋体" w:hAnsi="宋体" w:eastAsia="宋体" w:cs="宋体"/>
          <w:color w:val="000000"/>
          <w:sz w:val="24"/>
          <w:highlight w:val="none"/>
          <w:lang w:bidi="ar"/>
        </w:rPr>
        <w:t xml:space="preserve">（硬性指标，未满足则作无效响应处理</w:t>
      </w:r>
      <w:r>
        <w:rPr>
          <w:rFonts w:hint="eastAsia" w:ascii="宋体" w:hAnsi="宋体" w:eastAsia="宋体" w:cs="宋体"/>
          <w:color w:val="000000"/>
          <w:sz w:val="24"/>
          <w:highlight w:val="none"/>
          <w:lang w:bidi="ar"/>
        </w:rPr>
        <w:t xml:space="preserve">，标★</w:t>
      </w:r>
      <w:r>
        <w:rPr>
          <w:rFonts w:ascii="宋体" w:hAnsi="宋体" w:eastAsia="宋体" w:cs="宋体"/>
          <w:color w:val="000000"/>
          <w:sz w:val="24"/>
          <w:highlight w:val="none"/>
          <w:lang w:bidi="ar"/>
        </w:rPr>
        <w:t xml:space="preserve">）和</w:t>
      </w:r>
      <w:r>
        <w:rPr>
          <w:rStyle w:val="770"/>
          <w:rFonts w:ascii="宋体" w:hAnsi="宋体" w:eastAsia="宋体" w:cs="宋体"/>
          <w:bCs/>
          <w:color w:val="000000"/>
          <w:sz w:val="24"/>
          <w:highlight w:val="none"/>
          <w:lang w:bidi="ar"/>
        </w:rPr>
        <w:t xml:space="preserve">可选参数</w:t>
      </w:r>
      <w:r>
        <w:rPr>
          <w:rFonts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t xml:space="preserve">标▲</w:t>
      </w:r>
      <w:r>
        <w:rPr>
          <w:rFonts w:hint="eastAsia" w:ascii="宋体" w:hAnsi="宋体" w:eastAsia="宋体" w:cs="宋体"/>
          <w:color w:val="000000"/>
          <w:sz w:val="24"/>
          <w:highlight w:val="none"/>
          <w:lang w:eastAsia="zh-CN" w:bidi="ar"/>
        </w:rPr>
        <w:t xml:space="preserve">项</w:t>
      </w:r>
      <w:r>
        <w:rPr>
          <w:rFonts w:ascii="宋体" w:hAnsi="宋体" w:eastAsia="宋体" w:cs="宋体"/>
          <w:color w:val="000000"/>
          <w:sz w:val="24"/>
          <w:highlight w:val="none"/>
          <w:lang w:bidi="ar"/>
        </w:rPr>
        <w:t xml:space="preserve">），所有参数均需</w:t>
      </w:r>
      <w:r>
        <w:rPr>
          <w:rFonts w:hint="eastAsia" w:ascii="宋体" w:hAnsi="宋体" w:eastAsia="宋体" w:cs="宋体"/>
          <w:color w:val="000000"/>
          <w:sz w:val="24"/>
          <w:highlight w:val="none"/>
          <w:lang w:bidi="ar"/>
        </w:rPr>
        <w:t xml:space="preserve">在备注中注明</w:t>
      </w:r>
      <w:r>
        <w:rPr>
          <w:rFonts w:ascii="宋体" w:hAnsi="宋体" w:eastAsia="宋体" w:cs="宋体"/>
          <w:color w:val="000000"/>
          <w:sz w:val="24"/>
          <w:highlight w:val="none"/>
          <w:lang w:bidi="ar"/>
        </w:rPr>
        <w:t xml:space="preserve">提供可验证的证明材料。</w:t>
      </w:r>
      <w:r>
        <w:rPr>
          <w:rFonts w:ascii="宋体" w:hAnsi="宋体" w:eastAsia="宋体" w:cs="宋体"/>
          <w:color w:val="000000"/>
          <w:sz w:val="24"/>
          <w:highlight w:val="none"/>
          <w:lang w:bidi="ar"/>
        </w:rPr>
      </w:r>
      <w:r/>
    </w:p>
    <w:tbl>
      <w:tblPr>
        <w:tblStyle w:val="7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1"/>
        <w:gridCol w:w="1996"/>
        <w:gridCol w:w="2977"/>
        <w:gridCol w:w="2772"/>
      </w:tblGrid>
      <w:tr>
        <w:trPr/>
        <w:tc>
          <w:tcPr>
            <w:tcW w:w="551" w:type="dxa"/>
            <w:vAlign w:val="center"/>
            <w:textDirection w:val="lrTb"/>
            <w:noWrap w:val="false"/>
          </w:tcPr>
          <w:p>
            <w:pPr>
              <w:pStyle w:val="736"/>
              <w:spacing w:line="360" w:lineRule="atLeast"/>
              <w:widowControl/>
              <w:rPr>
                <w:b/>
                <w:bCs/>
                <w:color w:val="000000"/>
                <w:sz w:val="24"/>
                <w:highlight w:val="none"/>
              </w:rPr>
            </w:pPr>
            <w:r>
              <w:rPr>
                <w:rFonts w:ascii="宋体" w:hAnsi="宋体" w:eastAsia="宋体" w:cs="宋体"/>
                <w:b/>
                <w:bCs/>
                <w:color w:val="000000"/>
                <w:sz w:val="24"/>
                <w:highlight w:val="none"/>
                <w:lang w:bidi="ar"/>
              </w:rPr>
              <w:t xml:space="preserve">序号</w:t>
            </w:r>
            <w:r>
              <w:rPr>
                <w:b/>
                <w:bCs/>
                <w:color w:val="000000"/>
                <w:sz w:val="24"/>
                <w:highlight w:val="none"/>
              </w:rPr>
            </w:r>
            <w:r/>
          </w:p>
        </w:tc>
        <w:tc>
          <w:tcPr>
            <w:tcW w:w="1996" w:type="dxa"/>
            <w:vAlign w:val="center"/>
            <w:textDirection w:val="lrTb"/>
            <w:noWrap w:val="false"/>
          </w:tcPr>
          <w:p>
            <w:pPr>
              <w:pStyle w:val="736"/>
              <w:jc w:val="center"/>
              <w:spacing w:line="360" w:lineRule="atLeast"/>
              <w:widowControl/>
              <w:rPr>
                <w:b/>
                <w:bCs/>
                <w:color w:val="000000"/>
                <w:sz w:val="24"/>
                <w:highlight w:val="none"/>
              </w:rPr>
            </w:pPr>
            <w:r>
              <w:rPr>
                <w:rFonts w:ascii="宋体" w:hAnsi="宋体" w:eastAsia="宋体" w:cs="宋体"/>
                <w:b/>
                <w:bCs/>
                <w:color w:val="000000"/>
                <w:sz w:val="24"/>
                <w:highlight w:val="none"/>
                <w:lang w:bidi="ar"/>
              </w:rPr>
              <w:t xml:space="preserve">参数类别</w:t>
            </w:r>
            <w:r>
              <w:rPr>
                <w:b/>
                <w:bCs/>
                <w:color w:val="000000"/>
                <w:sz w:val="24"/>
                <w:highlight w:val="none"/>
              </w:rPr>
            </w:r>
            <w:r/>
          </w:p>
        </w:tc>
        <w:tc>
          <w:tcPr>
            <w:tcW w:w="2977" w:type="dxa"/>
            <w:vAlign w:val="center"/>
            <w:textDirection w:val="lrTb"/>
            <w:noWrap w:val="false"/>
          </w:tcPr>
          <w:p>
            <w:pPr>
              <w:pStyle w:val="736"/>
              <w:jc w:val="center"/>
              <w:spacing w:line="360" w:lineRule="atLeast"/>
              <w:widowControl/>
              <w:rPr>
                <w:b/>
                <w:bCs/>
                <w:color w:val="000000"/>
                <w:sz w:val="24"/>
                <w:highlight w:val="none"/>
              </w:rPr>
            </w:pPr>
            <w:r>
              <w:rPr>
                <w:rFonts w:ascii="宋体" w:hAnsi="宋体" w:eastAsia="宋体" w:cs="宋体"/>
                <w:b/>
                <w:bCs/>
                <w:color w:val="000000"/>
                <w:sz w:val="24"/>
                <w:highlight w:val="none"/>
                <w:lang w:bidi="ar"/>
              </w:rPr>
              <w:t xml:space="preserve">具体技术指标要求</w:t>
            </w:r>
            <w:r>
              <w:rPr>
                <w:b/>
                <w:bCs/>
                <w:color w:val="000000"/>
                <w:sz w:val="24"/>
                <w:highlight w:val="none"/>
              </w:rPr>
            </w:r>
            <w:r/>
          </w:p>
        </w:tc>
        <w:tc>
          <w:tcPr>
            <w:tcW w:w="2772" w:type="dxa"/>
            <w:vAlign w:val="center"/>
            <w:textDirection w:val="lrTb"/>
            <w:noWrap w:val="false"/>
          </w:tcPr>
          <w:p>
            <w:pPr>
              <w:pStyle w:val="736"/>
              <w:jc w:val="center"/>
              <w:spacing w:line="360" w:lineRule="atLeast"/>
              <w:widowControl/>
              <w:rPr>
                <w:b/>
                <w:bCs/>
                <w:color w:val="000000"/>
                <w:sz w:val="24"/>
                <w:highlight w:val="none"/>
              </w:rPr>
            </w:pPr>
            <w:r>
              <w:rPr>
                <w:rFonts w:ascii="宋体" w:hAnsi="宋体" w:eastAsia="宋体" w:cs="宋体"/>
                <w:b/>
                <w:bCs/>
                <w:color w:val="000000"/>
                <w:sz w:val="24"/>
                <w:highlight w:val="none"/>
                <w:lang w:bidi="ar"/>
              </w:rPr>
              <w:t xml:space="preserve">备注</w:t>
            </w:r>
            <w:r>
              <w:rPr>
                <w:b/>
                <w:bCs/>
                <w:color w:val="000000"/>
                <w:sz w:val="24"/>
                <w:highlight w:val="none"/>
              </w:rPr>
            </w:r>
            <w:r/>
          </w:p>
        </w:tc>
      </w:tr>
      <w:tr>
        <w:trPr/>
        <w:tc>
          <w:tcPr>
            <w:tcW w:w="551" w:type="dxa"/>
            <w:vAlign w:val="center"/>
            <w:textDirection w:val="lrTb"/>
            <w:noWrap w:val="false"/>
          </w:tcPr>
          <w:p>
            <w:pPr>
              <w:pStyle w:val="736"/>
              <w:jc w:val="center"/>
              <w:spacing w:line="360" w:lineRule="atLeast"/>
              <w:widowControl/>
              <w:rPr>
                <w:rFonts w:ascii="宋体" w:hAnsi="宋体"/>
                <w:sz w:val="24"/>
                <w:highlight w:val="none"/>
              </w:rPr>
            </w:pPr>
            <w:r>
              <w:rPr>
                <w:rFonts w:hint="eastAsia" w:ascii="宋体" w:hAnsi="宋体" w:cs="宋体"/>
                <w:sz w:val="24"/>
                <w:highlight w:val="none"/>
                <w:lang w:bidi="ar"/>
              </w:rPr>
              <w:t xml:space="preserve">1</w:t>
            </w:r>
            <w:r>
              <w:rPr>
                <w:rFonts w:ascii="宋体" w:hAnsi="宋体"/>
                <w:sz w:val="24"/>
                <w:highlight w:val="none"/>
              </w:rPr>
            </w:r>
            <w:r/>
          </w:p>
        </w:tc>
        <w:tc>
          <w:tcPr>
            <w:tcW w:w="1996" w:type="dxa"/>
            <w:vAlign w:val="center"/>
            <w:textDirection w:val="lrTb"/>
            <w:noWrap w:val="false"/>
          </w:tcPr>
          <w:p>
            <w:pPr>
              <w:pStyle w:val="736"/>
              <w:spacing w:line="360" w:lineRule="atLeast"/>
              <w:widowControl/>
              <w:rPr>
                <w:rFonts w:ascii="宋体" w:hAnsi="宋体"/>
                <w:sz w:val="24"/>
                <w:highlight w:val="none"/>
              </w:rPr>
            </w:pPr>
            <w:r>
              <w:rPr>
                <w:rFonts w:hint="eastAsia" w:ascii="宋体" w:hAnsi="宋体" w:cs="宋体"/>
                <w:sz w:val="24"/>
                <w:highlight w:val="none"/>
                <w:lang w:bidi="ar"/>
              </w:rPr>
              <w:t xml:space="preserve">★分析系统</w:t>
            </w:r>
            <w:r>
              <w:rPr>
                <w:rFonts w:ascii="宋体" w:hAnsi="宋体"/>
                <w:sz w:val="24"/>
                <w:highlight w:val="none"/>
              </w:rPr>
            </w:r>
            <w:r/>
          </w:p>
        </w:tc>
        <w:tc>
          <w:tcPr>
            <w:tcW w:w="2977" w:type="dxa"/>
            <w:vAlign w:val="center"/>
            <w:textDirection w:val="lrTb"/>
            <w:noWrap w:val="false"/>
          </w:tcPr>
          <w:p>
            <w:pPr>
              <w:pStyle w:val="736"/>
              <w:spacing w:line="360" w:lineRule="atLeast"/>
              <w:widowControl/>
              <w:rPr>
                <w:rFonts w:ascii="宋体" w:hAnsi="宋体"/>
                <w:sz w:val="24"/>
                <w:highlight w:val="none"/>
              </w:rPr>
            </w:pPr>
            <w:r>
              <w:rPr>
                <w:rFonts w:hint="eastAsia" w:ascii="宋体" w:hAnsi="宋体" w:cs="宋体"/>
                <w:sz w:val="24"/>
                <w:highlight w:val="none"/>
              </w:rPr>
              <w:t xml:space="preserve">全自动生化分析仪（生化分析仪单机，不接受一体机等联机组合方式）</w:t>
            </w:r>
            <w:r>
              <w:rPr>
                <w:rFonts w:ascii="宋体" w:hAnsi="宋体"/>
                <w:sz w:val="24"/>
                <w:highlight w:val="none"/>
              </w:rPr>
            </w:r>
            <w:r/>
          </w:p>
        </w:tc>
        <w:tc>
          <w:tcPr>
            <w:tcW w:w="2772" w:type="dxa"/>
            <w:vAlign w:val="center"/>
            <w:textDirection w:val="lrTb"/>
            <w:noWrap w:val="false"/>
          </w:tcPr>
          <w:p>
            <w:pPr>
              <w:pStyle w:val="736"/>
              <w:spacing w:line="360" w:lineRule="atLeast"/>
              <w:widowControl/>
              <w:rPr>
                <w:rFonts w:ascii="宋体" w:hAnsi="宋体"/>
                <w:sz w:val="24"/>
                <w:highlight w:val="none"/>
              </w:rPr>
            </w:pPr>
            <w:r>
              <w:rPr>
                <w:rFonts w:hint="eastAsia" w:ascii="宋体" w:hAnsi="宋体" w:cs="宋体"/>
                <w:sz w:val="24"/>
                <w:highlight w:val="none"/>
                <w:lang w:bidi="ar"/>
              </w:rPr>
              <w:t xml:space="preserve">提供产品的配置清单或医疗器械注册证等证明材料</w:t>
            </w:r>
            <w:r>
              <w:rPr>
                <w:rFonts w:ascii="宋体" w:hAnsi="宋体"/>
                <w:sz w:val="24"/>
                <w:highlight w:val="none"/>
              </w:rPr>
            </w:r>
            <w:r/>
          </w:p>
        </w:tc>
      </w:tr>
      <w:tr>
        <w:trPr/>
        <w:tc>
          <w:tcPr>
            <w:tcW w:w="551" w:type="dxa"/>
            <w:vAlign w:val="center"/>
            <w:textDirection w:val="lrTb"/>
            <w:noWrap w:val="false"/>
          </w:tcPr>
          <w:p>
            <w:pPr>
              <w:pStyle w:val="736"/>
              <w:jc w:val="center"/>
              <w:spacing w:line="360" w:lineRule="atLeast"/>
              <w:widowControl/>
              <w:rPr>
                <w:rFonts w:ascii="宋体" w:hAnsi="宋体"/>
                <w:sz w:val="24"/>
                <w:highlight w:val="none"/>
              </w:rPr>
            </w:pPr>
            <w:r>
              <w:rPr>
                <w:rFonts w:hint="eastAsia" w:ascii="宋体" w:hAnsi="宋体"/>
                <w:sz w:val="24"/>
                <w:highlight w:val="none"/>
              </w:rPr>
              <w:t xml:space="preserve">2</w:t>
            </w:r>
            <w:r>
              <w:rPr>
                <w:rFonts w:ascii="宋体" w:hAnsi="宋体"/>
                <w:sz w:val="24"/>
                <w:highlight w:val="none"/>
              </w:rPr>
            </w:r>
            <w:r/>
          </w:p>
        </w:tc>
        <w:tc>
          <w:tcPr>
            <w:tcW w:w="1996" w:type="dxa"/>
            <w:vAlign w:val="center"/>
            <w:textDirection w:val="lrTb"/>
            <w:noWrap w:val="false"/>
          </w:tcPr>
          <w:p>
            <w:pPr>
              <w:pStyle w:val="736"/>
              <w:spacing w:line="360" w:lineRule="atLeast"/>
              <w:widowControl/>
              <w:rPr>
                <w:rFonts w:ascii="宋体" w:hAnsi="宋体"/>
                <w:sz w:val="24"/>
                <w:highlight w:val="none"/>
              </w:rPr>
            </w:pPr>
            <w:r/>
            <w:bookmarkStart w:id="62" w:name="OLE_LINK3"/>
            <w:r/>
            <w:bookmarkStart w:id="63" w:name="OLE_LINK4"/>
            <w:r>
              <w:rPr>
                <w:rFonts w:hint="eastAsia" w:ascii="宋体" w:hAnsi="宋体" w:cs="宋体"/>
                <w:sz w:val="24"/>
                <w:highlight w:val="none"/>
                <w:lang w:bidi="ar"/>
              </w:rPr>
              <w:t xml:space="preserve">★</w:t>
            </w:r>
            <w:bookmarkEnd w:id="62"/>
            <w:r/>
            <w:bookmarkEnd w:id="63"/>
            <w:r>
              <w:rPr>
                <w:rFonts w:hint="eastAsia" w:ascii="宋体" w:hAnsi="宋体"/>
                <w:sz w:val="24"/>
                <w:highlight w:val="none"/>
              </w:rPr>
              <w:t xml:space="preserve">处理能力</w:t>
            </w:r>
            <w:r>
              <w:rPr>
                <w:rFonts w:ascii="宋体" w:hAnsi="宋体"/>
                <w:sz w:val="24"/>
                <w:highlight w:val="none"/>
              </w:rPr>
            </w:r>
            <w:r/>
          </w:p>
        </w:tc>
        <w:tc>
          <w:tcPr>
            <w:tcW w:w="2977" w:type="dxa"/>
            <w:vAlign w:val="center"/>
            <w:textDirection w:val="lrTb"/>
            <w:noWrap w:val="false"/>
          </w:tcPr>
          <w:p>
            <w:pPr>
              <w:pStyle w:val="736"/>
              <w:spacing w:line="360" w:lineRule="atLeast"/>
              <w:widowControl/>
              <w:rPr>
                <w:rFonts w:ascii="宋体" w:hAnsi="宋体"/>
                <w:sz w:val="24"/>
                <w:highlight w:val="none"/>
              </w:rPr>
            </w:pPr>
            <w:r>
              <w:rPr>
                <w:rFonts w:hint="eastAsia" w:ascii="宋体" w:hAnsi="宋体" w:cs="宋体"/>
                <w:sz w:val="24"/>
                <w:highlight w:val="none"/>
              </w:rPr>
              <w:t xml:space="preserve">单模块比色速度≥2000测试/小时；单模块电解质检测速度≥700测试/小时；电解质为独立单元模块，具有单独的加样针；</w:t>
            </w:r>
            <w:r>
              <w:rPr>
                <w:rFonts w:ascii="宋体" w:hAnsi="宋体"/>
                <w:sz w:val="24"/>
                <w:highlight w:val="none"/>
              </w:rPr>
            </w:r>
            <w:r/>
          </w:p>
        </w:tc>
        <w:tc>
          <w:tcPr>
            <w:tcW w:w="2772" w:type="dxa"/>
            <w:vAlign w:val="center"/>
            <w:textDirection w:val="lrTb"/>
            <w:noWrap w:val="false"/>
          </w:tcPr>
          <w:p>
            <w:pPr>
              <w:pStyle w:val="736"/>
              <w:spacing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rPr>
                <w:rFonts w:ascii="宋体" w:hAnsi="宋体"/>
                <w:sz w:val="24"/>
                <w:highlight w:val="none"/>
              </w:rPr>
            </w:r>
            <w:r/>
          </w:p>
        </w:tc>
      </w:tr>
      <w:tr>
        <w:trPr/>
        <w:tc>
          <w:tcPr>
            <w:tcW w:w="551" w:type="dxa"/>
            <w:vAlign w:val="center"/>
            <w:textDirection w:val="lrTb"/>
            <w:noWrap w:val="false"/>
          </w:tcPr>
          <w:p>
            <w:pPr>
              <w:pStyle w:val="736"/>
              <w:jc w:val="center"/>
              <w:spacing w:line="360" w:lineRule="atLeast"/>
              <w:widowControl/>
              <w:rPr>
                <w:rFonts w:ascii="宋体" w:hAnsi="宋体"/>
                <w:sz w:val="24"/>
                <w:highlight w:val="none"/>
              </w:rPr>
            </w:pPr>
            <w:r>
              <w:rPr>
                <w:rFonts w:hint="eastAsia" w:ascii="宋体" w:hAnsi="宋体"/>
                <w:sz w:val="24"/>
                <w:highlight w:val="none"/>
              </w:rPr>
              <w:t xml:space="preserve">3</w:t>
            </w:r>
            <w:r>
              <w:rPr>
                <w:rFonts w:ascii="宋体" w:hAnsi="宋体"/>
                <w:sz w:val="24"/>
                <w:highlight w:val="none"/>
              </w:rPr>
            </w:r>
            <w:r/>
          </w:p>
        </w:tc>
        <w:tc>
          <w:tcPr>
            <w:tcW w:w="1996" w:type="dxa"/>
            <w:vAlign w:val="center"/>
            <w:textDirection w:val="lrTb"/>
            <w:noWrap w:val="false"/>
          </w:tcPr>
          <w:p>
            <w:pPr>
              <w:pStyle w:val="736"/>
              <w:spacing w:line="360" w:lineRule="atLeast"/>
              <w:widowControl/>
              <w:rPr>
                <w:rFonts w:ascii="宋体" w:hAnsi="宋体" w:cs="宋体"/>
                <w:sz w:val="24"/>
                <w:highlight w:val="none"/>
                <w:lang w:bidi="ar"/>
              </w:rPr>
            </w:pPr>
            <w:r>
              <w:rPr>
                <w:rFonts w:hint="eastAsia" w:ascii="宋体" w:hAnsi="宋体" w:cs="宋体"/>
                <w:sz w:val="24"/>
                <w:highlight w:val="none"/>
                <w:lang w:bidi="ar"/>
              </w:rPr>
              <w:t xml:space="preserve">★耗水量</w:t>
            </w:r>
            <w:r>
              <w:rPr>
                <w:rFonts w:ascii="宋体" w:hAnsi="宋体" w:cs="宋体"/>
                <w:sz w:val="24"/>
                <w:highlight w:val="none"/>
                <w:lang w:bidi="ar"/>
              </w:rPr>
            </w:r>
            <w:r/>
          </w:p>
        </w:tc>
        <w:tc>
          <w:tcPr>
            <w:tcW w:w="2977" w:type="dxa"/>
            <w:vAlign w:val="center"/>
            <w:textDirection w:val="lrTb"/>
            <w:noWrap w:val="false"/>
          </w:tcPr>
          <w:p>
            <w:pPr>
              <w:pStyle w:val="736"/>
              <w:spacing w:line="360" w:lineRule="atLeast"/>
              <w:widowControl/>
              <w:rPr>
                <w:rFonts w:ascii="宋体" w:hAnsi="宋体" w:cs="宋体"/>
                <w:sz w:val="24"/>
                <w:highlight w:val="none"/>
              </w:rPr>
            </w:pPr>
            <w:r>
              <w:rPr>
                <w:rFonts w:hint="eastAsia" w:ascii="宋体" w:hAnsi="宋体" w:cs="宋体"/>
                <w:sz w:val="24"/>
                <w:highlight w:val="none"/>
              </w:rPr>
              <w:t xml:space="preserve">耗水量≤65L/小时</w:t>
            </w:r>
            <w:r>
              <w:rPr>
                <w:rFonts w:ascii="宋体" w:hAnsi="宋体" w:cs="宋体"/>
                <w:sz w:val="24"/>
                <w:highlight w:val="none"/>
              </w:rPr>
            </w:r>
            <w:r/>
          </w:p>
        </w:tc>
        <w:tc>
          <w:tcPr>
            <w:tcW w:w="2772" w:type="dxa"/>
            <w:vAlign w:val="center"/>
            <w:textDirection w:val="lrTb"/>
            <w:noWrap w:val="false"/>
          </w:tcPr>
          <w:p>
            <w:pPr>
              <w:pStyle w:val="736"/>
              <w:spacing w:line="360" w:lineRule="atLeast"/>
              <w:widowControl/>
              <w:rPr>
                <w:rFonts w:ascii="宋体" w:hAnsi="宋体" w:cs="宋体"/>
                <w:sz w:val="24"/>
                <w:highlight w:val="none"/>
                <w:lang w:bidi="ar"/>
              </w:rPr>
            </w:pPr>
            <w:r>
              <w:rPr>
                <w:rFonts w:ascii="宋体" w:hAnsi="宋体" w:cs="宋体"/>
                <w:sz w:val="24"/>
                <w:highlight w:val="none"/>
                <w:lang w:bidi="ar"/>
              </w:rPr>
              <w:t xml:space="preserve">需提供产品说明书或技术白皮书或国家认可的第三方检测机构出具的合格检验报告书等</w:t>
            </w:r>
            <w:r>
              <w:rPr>
                <w:rFonts w:ascii="宋体" w:hAnsi="宋体" w:cs="宋体"/>
                <w:sz w:val="24"/>
                <w:highlight w:val="none"/>
                <w:lang w:bidi="ar"/>
              </w:rPr>
            </w:r>
            <w:r/>
          </w:p>
        </w:tc>
      </w:tr>
      <w:tr>
        <w:trPr/>
        <w:tc>
          <w:tcPr>
            <w:tcW w:w="551" w:type="dxa"/>
            <w:vAlign w:val="center"/>
            <w:textDirection w:val="lrTb"/>
            <w:noWrap w:val="false"/>
          </w:tcPr>
          <w:p>
            <w:pPr>
              <w:pStyle w:val="736"/>
              <w:jc w:val="center"/>
              <w:spacing w:line="360" w:lineRule="atLeast"/>
              <w:widowControl/>
              <w:rPr>
                <w:rFonts w:ascii="宋体" w:hAnsi="宋体"/>
                <w:sz w:val="24"/>
                <w:highlight w:val="none"/>
              </w:rPr>
            </w:pPr>
            <w:r>
              <w:rPr>
                <w:rFonts w:ascii="宋体" w:hAnsi="宋体"/>
                <w:sz w:val="24"/>
                <w:highlight w:val="none"/>
              </w:rPr>
              <w:t xml:space="preserve">4</w:t>
            </w:r>
            <w:r>
              <w:rPr>
                <w:rFonts w:ascii="宋体" w:hAnsi="宋体"/>
                <w:sz w:val="24"/>
                <w:highlight w:val="none"/>
              </w:rPr>
            </w:r>
            <w:r/>
          </w:p>
        </w:tc>
        <w:tc>
          <w:tcPr>
            <w:tcW w:w="1996" w:type="dxa"/>
            <w:vAlign w:val="center"/>
            <w:textDirection w:val="lrTb"/>
            <w:noWrap w:val="false"/>
          </w:tcPr>
          <w:p>
            <w:pPr>
              <w:pStyle w:val="736"/>
              <w:spacing w:line="360" w:lineRule="atLeast"/>
              <w:widowControl/>
              <w:rPr>
                <w:rFonts w:ascii="宋体" w:hAnsi="宋体"/>
                <w:sz w:val="24"/>
                <w:highlight w:val="none"/>
              </w:rPr>
            </w:pPr>
            <w:r>
              <w:rPr>
                <w:rFonts w:hint="eastAsia" w:ascii="宋体" w:hAnsi="宋体"/>
                <w:sz w:val="24"/>
                <w:highlight w:val="none"/>
              </w:rPr>
              <w:t xml:space="preserve">分析方法</w:t>
            </w:r>
            <w:r>
              <w:rPr>
                <w:rFonts w:ascii="宋体" w:hAnsi="宋体"/>
                <w:sz w:val="24"/>
                <w:highlight w:val="none"/>
              </w:rPr>
            </w:r>
            <w:r/>
          </w:p>
        </w:tc>
        <w:tc>
          <w:tcPr>
            <w:tcW w:w="2977" w:type="dxa"/>
            <w:vAlign w:val="center"/>
            <w:textDirection w:val="lrTb"/>
            <w:noWrap w:val="false"/>
          </w:tcPr>
          <w:p>
            <w:pPr>
              <w:pStyle w:val="736"/>
              <w:spacing w:line="360" w:lineRule="atLeast"/>
              <w:widowControl/>
              <w:rPr>
                <w:rFonts w:ascii="宋体" w:hAnsi="宋体"/>
                <w:sz w:val="24"/>
                <w:highlight w:val="none"/>
              </w:rPr>
            </w:pPr>
            <w:r>
              <w:rPr>
                <w:rFonts w:hint="eastAsia" w:ascii="宋体" w:hAnsi="宋体" w:cs="宋体"/>
                <w:sz w:val="24"/>
                <w:highlight w:val="none"/>
              </w:rPr>
              <w:t xml:space="preserve">终点法和速率法</w:t>
            </w:r>
            <w:r>
              <w:rPr>
                <w:rFonts w:ascii="宋体" w:hAnsi="宋体"/>
                <w:sz w:val="24"/>
                <w:highlight w:val="none"/>
              </w:rPr>
            </w:r>
            <w:r/>
          </w:p>
        </w:tc>
        <w:tc>
          <w:tcPr>
            <w:tcW w:w="2772" w:type="dxa"/>
            <w:vAlign w:val="center"/>
            <w:textDirection w:val="lrTb"/>
            <w:noWrap w:val="false"/>
          </w:tcPr>
          <w:p>
            <w:pPr>
              <w:pStyle w:val="736"/>
              <w:spacing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rPr>
                <w:rFonts w:ascii="宋体" w:hAnsi="宋体"/>
                <w:sz w:val="24"/>
                <w:highlight w:val="none"/>
              </w:rPr>
            </w:r>
            <w:r/>
          </w:p>
        </w:tc>
      </w:tr>
      <w:tr>
        <w:trPr/>
        <w:tc>
          <w:tcPr>
            <w:tcW w:w="551" w:type="dxa"/>
            <w:vAlign w:val="center"/>
            <w:textDirection w:val="lrTb"/>
            <w:noWrap w:val="false"/>
          </w:tcPr>
          <w:p>
            <w:pPr>
              <w:pStyle w:val="736"/>
              <w:jc w:val="center"/>
              <w:spacing w:line="360" w:lineRule="atLeast"/>
              <w:widowControl/>
              <w:rPr>
                <w:rFonts w:ascii="宋体" w:hAnsi="宋体"/>
                <w:sz w:val="24"/>
                <w:highlight w:val="none"/>
              </w:rPr>
            </w:pPr>
            <w:r>
              <w:rPr>
                <w:rFonts w:ascii="宋体" w:hAnsi="宋体"/>
                <w:sz w:val="24"/>
                <w:highlight w:val="none"/>
              </w:rPr>
              <w:t xml:space="preserve">5</w:t>
            </w:r>
            <w:r>
              <w:rPr>
                <w:rFonts w:ascii="宋体" w:hAnsi="宋体"/>
                <w:sz w:val="24"/>
                <w:highlight w:val="none"/>
              </w:rPr>
            </w:r>
            <w:r/>
          </w:p>
        </w:tc>
        <w:tc>
          <w:tcPr>
            <w:tcW w:w="1996" w:type="dxa"/>
            <w:vAlign w:val="center"/>
            <w:textDirection w:val="lrTb"/>
            <w:noWrap w:val="false"/>
          </w:tcPr>
          <w:p>
            <w:pPr>
              <w:pStyle w:val="736"/>
              <w:spacing w:line="360" w:lineRule="atLeast"/>
              <w:widowControl/>
              <w:rPr>
                <w:rFonts w:ascii="宋体" w:hAnsi="宋体"/>
                <w:sz w:val="24"/>
                <w:highlight w:val="none"/>
              </w:rPr>
            </w:pPr>
            <w:r>
              <w:rPr>
                <w:rFonts w:hint="eastAsia" w:ascii="宋体" w:hAnsi="宋体"/>
                <w:sz w:val="24"/>
                <w:highlight w:val="none"/>
              </w:rPr>
              <w:t xml:space="preserve">同时分析项目数</w:t>
            </w:r>
            <w:r>
              <w:rPr>
                <w:rFonts w:ascii="宋体" w:hAnsi="宋体"/>
                <w:sz w:val="24"/>
                <w:highlight w:val="none"/>
              </w:rPr>
            </w:r>
            <w:r/>
          </w:p>
        </w:tc>
        <w:tc>
          <w:tcPr>
            <w:tcW w:w="2977" w:type="dxa"/>
            <w:vAlign w:val="center"/>
            <w:textDirection w:val="lrTb"/>
            <w:noWrap w:val="false"/>
          </w:tcPr>
          <w:p>
            <w:pPr>
              <w:pStyle w:val="736"/>
              <w:spacing w:line="360" w:lineRule="atLeast"/>
              <w:widowControl/>
              <w:rPr>
                <w:rFonts w:ascii="宋体" w:hAnsi="宋体"/>
                <w:sz w:val="24"/>
                <w:highlight w:val="none"/>
              </w:rPr>
            </w:pPr>
            <w:r>
              <w:rPr>
                <w:rFonts w:hint="eastAsia" w:ascii="宋体" w:hAnsi="宋体" w:cs="宋体"/>
                <w:sz w:val="24"/>
                <w:highlight w:val="none"/>
              </w:rPr>
              <w:t xml:space="preserve">同时比色分析项目≥</w:t>
            </w:r>
            <w:r>
              <w:rPr>
                <w:rFonts w:ascii="宋体" w:hAnsi="宋体" w:cs="宋体"/>
                <w:sz w:val="24"/>
                <w:highlight w:val="none"/>
              </w:rPr>
              <w:t xml:space="preserve">50</w:t>
            </w:r>
            <w:r>
              <w:rPr>
                <w:rFonts w:hint="eastAsia" w:ascii="宋体" w:hAnsi="宋体" w:cs="宋体"/>
                <w:sz w:val="24"/>
                <w:highlight w:val="none"/>
              </w:rPr>
              <w:t xml:space="preserve">项/单模块</w:t>
            </w:r>
            <w:r>
              <w:rPr>
                <w:rFonts w:ascii="宋体" w:hAnsi="宋体"/>
                <w:sz w:val="24"/>
                <w:highlight w:val="none"/>
              </w:rPr>
            </w:r>
            <w:r/>
          </w:p>
        </w:tc>
        <w:tc>
          <w:tcPr>
            <w:tcW w:w="2772" w:type="dxa"/>
            <w:vAlign w:val="center"/>
            <w:textDirection w:val="lrTb"/>
            <w:noWrap w:val="false"/>
          </w:tcPr>
          <w:p>
            <w:pPr>
              <w:pStyle w:val="736"/>
              <w:spacing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rPr>
                <w:rFonts w:ascii="宋体" w:hAnsi="宋体"/>
                <w:sz w:val="24"/>
                <w:highlight w:val="none"/>
              </w:rPr>
            </w:r>
            <w:r/>
          </w:p>
        </w:tc>
      </w:tr>
      <w:tr>
        <w:trPr/>
        <w:tc>
          <w:tcPr>
            <w:tcW w:w="551" w:type="dxa"/>
            <w:vAlign w:val="center"/>
            <w:textDirection w:val="lrTb"/>
            <w:noWrap w:val="false"/>
          </w:tcPr>
          <w:p>
            <w:pPr>
              <w:pStyle w:val="736"/>
              <w:jc w:val="center"/>
              <w:spacing w:line="360" w:lineRule="atLeast"/>
              <w:widowControl/>
              <w:rPr>
                <w:rFonts w:ascii="宋体" w:hAnsi="宋体" w:cs="宋体"/>
                <w:sz w:val="24"/>
                <w:highlight w:val="none"/>
                <w:lang w:bidi="ar"/>
              </w:rPr>
            </w:pPr>
            <w:r>
              <w:rPr>
                <w:rFonts w:ascii="宋体" w:hAnsi="宋体"/>
                <w:sz w:val="24"/>
                <w:highlight w:val="none"/>
              </w:rPr>
              <w:t xml:space="preserve">6</w:t>
            </w:r>
            <w:r>
              <w:rPr>
                <w:rFonts w:ascii="宋体" w:hAnsi="宋体" w:cs="宋体"/>
                <w:sz w:val="24"/>
                <w:highlight w:val="none"/>
                <w:lang w:bidi="ar"/>
              </w:rPr>
            </w:r>
            <w:r/>
          </w:p>
        </w:tc>
        <w:tc>
          <w:tcPr>
            <w:tcW w:w="1996" w:type="dxa"/>
            <w:vAlign w:val="center"/>
            <w:textDirection w:val="lrTb"/>
            <w:noWrap w:val="false"/>
          </w:tcPr>
          <w:p>
            <w:pPr>
              <w:pStyle w:val="736"/>
              <w:spacing w:line="360" w:lineRule="atLeast"/>
              <w:widowControl/>
              <w:rPr>
                <w:rFonts w:ascii="宋体" w:hAnsi="宋体" w:cs="宋体"/>
                <w:sz w:val="24"/>
                <w:highlight w:val="none"/>
                <w:lang w:bidi="ar"/>
              </w:rPr>
            </w:pPr>
            <w:r>
              <w:rPr>
                <w:rFonts w:hint="eastAsia" w:ascii="宋体" w:hAnsi="宋体" w:cs="宋体"/>
                <w:sz w:val="24"/>
                <w:highlight w:val="none"/>
                <w:lang w:bidi="ar"/>
              </w:rPr>
              <w:t xml:space="preserve">进样方式</w:t>
            </w:r>
            <w:r>
              <w:rPr>
                <w:rFonts w:ascii="宋体" w:hAnsi="宋体" w:cs="宋体"/>
                <w:sz w:val="24"/>
                <w:highlight w:val="none"/>
                <w:lang w:bidi="ar"/>
              </w:rPr>
            </w:r>
            <w:r/>
          </w:p>
        </w:tc>
        <w:tc>
          <w:tcPr>
            <w:tcW w:w="2977" w:type="dxa"/>
            <w:vAlign w:val="center"/>
            <w:textDirection w:val="lrTb"/>
            <w:noWrap w:val="false"/>
          </w:tcPr>
          <w:p>
            <w:pPr>
              <w:pStyle w:val="736"/>
              <w:spacing w:line="360" w:lineRule="atLeast"/>
              <w:widowControl/>
              <w:rPr>
                <w:rFonts w:ascii="宋体" w:hAnsi="宋体" w:cs="宋体"/>
                <w:sz w:val="24"/>
                <w:highlight w:val="none"/>
                <w:lang w:bidi="ar"/>
              </w:rPr>
            </w:pPr>
            <w:r>
              <w:rPr>
                <w:rFonts w:hint="eastAsia" w:ascii="宋体" w:hAnsi="宋体" w:cs="宋体"/>
                <w:sz w:val="24"/>
                <w:highlight w:val="none"/>
              </w:rPr>
              <w:t xml:space="preserve">轨道进样，一次装载样本≥300样本，可持续追加样本</w:t>
            </w:r>
            <w:r>
              <w:rPr>
                <w:rFonts w:ascii="宋体" w:hAnsi="宋体" w:cs="宋体"/>
                <w:sz w:val="24"/>
                <w:highlight w:val="none"/>
                <w:lang w:bidi="ar"/>
              </w:rPr>
            </w:r>
            <w:r/>
          </w:p>
        </w:tc>
        <w:tc>
          <w:tcPr>
            <w:tcW w:w="2772" w:type="dxa"/>
            <w:vAlign w:val="center"/>
            <w:textDirection w:val="lrTb"/>
            <w:noWrap w:val="false"/>
          </w:tcPr>
          <w:p>
            <w:pPr>
              <w:pStyle w:val="736"/>
              <w:spacing w:line="360" w:lineRule="atLeast"/>
              <w:widowControl/>
              <w:rPr>
                <w:rFonts w:ascii="宋体" w:hAnsi="宋体" w:cs="宋体"/>
                <w:sz w:val="24"/>
                <w:highlight w:val="none"/>
                <w:lang w:bidi="ar"/>
              </w:rPr>
            </w:pPr>
            <w:r>
              <w:rPr>
                <w:rFonts w:ascii="宋体" w:hAnsi="宋体" w:cs="宋体"/>
                <w:sz w:val="24"/>
                <w:highlight w:val="none"/>
                <w:lang w:bidi="ar"/>
              </w:rPr>
              <w:t xml:space="preserve">需提供产品说明书或技术白皮书或国家认可的第三方检测机构出具的合格检验报告书等</w:t>
            </w:r>
            <w:r>
              <w:rPr>
                <w:rFonts w:ascii="宋体" w:hAnsi="宋体" w:cs="宋体"/>
                <w:sz w:val="24"/>
                <w:highlight w:val="none"/>
                <w:lang w:bidi="ar"/>
              </w:rPr>
            </w:r>
            <w:r/>
          </w:p>
        </w:tc>
      </w:tr>
      <w:tr>
        <w:trPr/>
        <w:tc>
          <w:tcPr>
            <w:tcW w:w="551" w:type="dxa"/>
            <w:vAlign w:val="center"/>
            <w:textDirection w:val="lrTb"/>
            <w:noWrap w:val="false"/>
          </w:tcPr>
          <w:p>
            <w:pPr>
              <w:pStyle w:val="736"/>
              <w:jc w:val="center"/>
              <w:spacing w:line="360" w:lineRule="atLeast"/>
              <w:widowControl/>
              <w:rPr>
                <w:rFonts w:ascii="宋体" w:hAnsi="宋体"/>
                <w:sz w:val="24"/>
                <w:highlight w:val="none"/>
              </w:rPr>
            </w:pPr>
            <w:r>
              <w:rPr>
                <w:rFonts w:ascii="宋体" w:hAnsi="宋体"/>
                <w:sz w:val="24"/>
                <w:highlight w:val="none"/>
              </w:rPr>
              <w:t xml:space="preserve">7</w:t>
            </w:r>
            <w:r>
              <w:rPr>
                <w:rFonts w:ascii="宋体" w:hAnsi="宋体"/>
                <w:sz w:val="24"/>
                <w:highlight w:val="none"/>
              </w:rPr>
            </w:r>
            <w:r/>
          </w:p>
        </w:tc>
        <w:tc>
          <w:tcPr>
            <w:tcW w:w="1996" w:type="dxa"/>
            <w:vAlign w:val="center"/>
            <w:textDirection w:val="lrTb"/>
            <w:noWrap w:val="false"/>
          </w:tcPr>
          <w:p>
            <w:pPr>
              <w:pStyle w:val="736"/>
              <w:spacing w:line="360" w:lineRule="atLeast"/>
              <w:widowControl/>
              <w:rPr>
                <w:rFonts w:ascii="宋体" w:hAnsi="宋体"/>
                <w:sz w:val="24"/>
                <w:highlight w:val="none"/>
              </w:rPr>
            </w:pPr>
            <w:r/>
            <w:bookmarkStart w:id="64" w:name="OLE_LINK9"/>
            <w:r>
              <w:rPr>
                <w:rFonts w:hint="eastAsia" w:ascii="宋体" w:hAnsi="宋体"/>
                <w:sz w:val="24"/>
                <w:highlight w:val="none"/>
              </w:rPr>
              <w:t xml:space="preserve">▲</w:t>
            </w:r>
            <w:r>
              <w:rPr>
                <w:rFonts w:hint="eastAsia" w:ascii="宋体" w:hAnsi="宋体" w:cs="宋体"/>
                <w:sz w:val="24"/>
                <w:highlight w:val="none"/>
                <w:lang w:bidi="ar"/>
              </w:rPr>
              <w:t xml:space="preserve">最小样本量</w:t>
            </w:r>
            <w:bookmarkEnd w:id="64"/>
            <w:r>
              <w:rPr>
                <w:rFonts w:ascii="宋体" w:hAnsi="宋体"/>
                <w:sz w:val="24"/>
                <w:highlight w:val="none"/>
              </w:rPr>
            </w:r>
            <w:r/>
          </w:p>
        </w:tc>
        <w:tc>
          <w:tcPr>
            <w:tcW w:w="2977" w:type="dxa"/>
            <w:vAlign w:val="center"/>
            <w:textDirection w:val="lrTb"/>
            <w:noWrap w:val="false"/>
          </w:tcPr>
          <w:p>
            <w:pPr>
              <w:pStyle w:val="736"/>
              <w:spacing w:line="360" w:lineRule="atLeast"/>
              <w:widowControl/>
              <w:rPr>
                <w:rFonts w:ascii="宋体" w:hAnsi="宋体"/>
                <w:sz w:val="24"/>
                <w:highlight w:val="none"/>
              </w:rPr>
            </w:pPr>
            <w:r>
              <w:rPr>
                <w:rFonts w:hint="eastAsia" w:ascii="宋体" w:hAnsi="宋体" w:cs="宋体"/>
                <w:sz w:val="24"/>
                <w:highlight w:val="none"/>
              </w:rPr>
              <w:t xml:space="preserve">≤1.2</w:t>
            </w:r>
            <w:r>
              <w:rPr>
                <w:rFonts w:ascii="Times New Roman" w:hAnsi="Times New Roman" w:cs="Times New Roman"/>
                <w:sz w:val="24"/>
                <w:highlight w:val="none"/>
              </w:rPr>
              <w:t xml:space="preserve">μL</w:t>
            </w:r>
            <w:r>
              <w:rPr>
                <w:rFonts w:hint="eastAsia" w:ascii="宋体" w:hAnsi="宋体" w:cs="宋体"/>
                <w:sz w:val="24"/>
                <w:highlight w:val="none"/>
              </w:rPr>
              <w:t xml:space="preserve">/测试（0.1</w:t>
            </w:r>
            <w:r>
              <w:rPr>
                <w:rFonts w:ascii="Times New Roman" w:hAnsi="Times New Roman" w:cs="Times New Roman"/>
                <w:sz w:val="24"/>
                <w:highlight w:val="none"/>
              </w:rPr>
              <w:t xml:space="preserve">μL</w:t>
            </w:r>
            <w:r>
              <w:rPr>
                <w:rFonts w:hint="eastAsia" w:ascii="宋体" w:hAnsi="宋体" w:cs="宋体"/>
                <w:sz w:val="24"/>
                <w:highlight w:val="none"/>
              </w:rPr>
              <w:t xml:space="preserve">步进)</w:t>
            </w:r>
            <w:r>
              <w:rPr>
                <w:rFonts w:ascii="宋体" w:hAnsi="宋体"/>
                <w:sz w:val="24"/>
                <w:highlight w:val="none"/>
              </w:rPr>
            </w:r>
            <w:r/>
          </w:p>
        </w:tc>
        <w:tc>
          <w:tcPr>
            <w:tcW w:w="2772" w:type="dxa"/>
            <w:vAlign w:val="center"/>
            <w:textDirection w:val="lrTb"/>
            <w:noWrap w:val="false"/>
          </w:tcPr>
          <w:p>
            <w:pPr>
              <w:pStyle w:val="736"/>
              <w:spacing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rPr>
                <w:rFonts w:ascii="宋体" w:hAnsi="宋体"/>
                <w:sz w:val="24"/>
                <w:highlight w:val="none"/>
              </w:rPr>
            </w:r>
            <w:r/>
          </w:p>
        </w:tc>
      </w:tr>
      <w:tr>
        <w:trPr/>
        <w:tc>
          <w:tcPr>
            <w:tcW w:w="551" w:type="dxa"/>
            <w:vAlign w:val="top"/>
            <w:textDirection w:val="lrTb"/>
            <w:noWrap w:val="false"/>
          </w:tcPr>
          <w:p>
            <w:pPr>
              <w:pStyle w:val="736"/>
              <w:jc w:val="center"/>
              <w:spacing w:line="360" w:lineRule="atLeast"/>
              <w:widowControl/>
              <w:rPr>
                <w:rFonts w:ascii="宋体" w:hAnsi="宋体"/>
                <w:highlight w:val="none"/>
              </w:rPr>
            </w:pPr>
            <w:r>
              <w:rPr>
                <w:rFonts w:ascii="宋体" w:hAnsi="宋体"/>
                <w:highlight w:val="none"/>
              </w:rPr>
              <w:t xml:space="preserve">8</w:t>
            </w:r>
            <w:r>
              <w:rPr>
                <w:rFonts w:ascii="宋体" w:hAnsi="宋体"/>
                <w:highlight w:val="none"/>
              </w:rPr>
            </w:r>
            <w:r/>
          </w:p>
        </w:tc>
        <w:tc>
          <w:tcPr>
            <w:tcW w:w="1996" w:type="dxa"/>
            <w:vAlign w:val="top"/>
            <w:textDirection w:val="lrTb"/>
            <w:noWrap w:val="false"/>
          </w:tcPr>
          <w:p>
            <w:pPr>
              <w:pStyle w:val="736"/>
              <w:spacing w:line="360" w:lineRule="atLeast"/>
              <w:widowControl/>
              <w:rPr>
                <w:rFonts w:ascii="宋体" w:hAnsi="宋体"/>
                <w:sz w:val="24"/>
                <w:highlight w:val="none"/>
              </w:rPr>
            </w:pPr>
            <w:r>
              <w:rPr>
                <w:rFonts w:hint="eastAsia" w:ascii="宋体" w:hAnsi="宋体"/>
                <w:sz w:val="24"/>
                <w:highlight w:val="none"/>
              </w:rPr>
              <w:t xml:space="preserve">▲最小反应体积</w:t>
            </w:r>
            <w:r>
              <w:rPr>
                <w:rFonts w:ascii="宋体" w:hAnsi="宋体"/>
                <w:sz w:val="24"/>
                <w:highlight w:val="none"/>
              </w:rPr>
            </w:r>
            <w:r/>
          </w:p>
        </w:tc>
        <w:tc>
          <w:tcPr>
            <w:tcW w:w="2977" w:type="dxa"/>
            <w:vAlign w:val="top"/>
            <w:textDirection w:val="lrTb"/>
            <w:noWrap w:val="false"/>
          </w:tcPr>
          <w:p>
            <w:pPr>
              <w:pStyle w:val="736"/>
              <w:spacing w:line="360" w:lineRule="atLeast"/>
              <w:widowControl/>
              <w:rPr>
                <w:rFonts w:ascii="宋体" w:hAnsi="宋体"/>
                <w:sz w:val="24"/>
                <w:highlight w:val="none"/>
              </w:rPr>
            </w:pPr>
            <w:r/>
            <w:bookmarkStart w:id="65" w:name="OLE_LINK14"/>
            <w:r>
              <w:rPr>
                <w:rFonts w:hint="eastAsia" w:ascii="宋体" w:hAnsi="宋体"/>
                <w:sz w:val="24"/>
                <w:highlight w:val="none"/>
              </w:rPr>
              <w:t xml:space="preserve">最小总反应体积≤80</w:t>
            </w:r>
            <w:r>
              <w:rPr>
                <w:rFonts w:ascii="Times New Roman" w:hAnsi="Times New Roman" w:cs="Times New Roman"/>
                <w:sz w:val="24"/>
                <w:highlight w:val="none"/>
              </w:rPr>
              <w:t xml:space="preserve">μL</w:t>
            </w:r>
            <w:bookmarkEnd w:id="65"/>
            <w:r>
              <w:rPr>
                <w:rFonts w:ascii="宋体" w:hAnsi="宋体"/>
                <w:sz w:val="24"/>
                <w:highlight w:val="none"/>
              </w:rPr>
            </w:r>
            <w:r/>
          </w:p>
        </w:tc>
        <w:tc>
          <w:tcPr>
            <w:tcW w:w="2772" w:type="dxa"/>
            <w:vAlign w:val="top"/>
            <w:textDirection w:val="lrTb"/>
            <w:noWrap w:val="false"/>
          </w:tcPr>
          <w:p>
            <w:pPr>
              <w:pStyle w:val="736"/>
              <w:spacing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rPr>
                <w:rFonts w:ascii="宋体" w:hAnsi="宋体"/>
                <w:sz w:val="24"/>
                <w:highlight w:val="none"/>
              </w:rPr>
            </w:r>
            <w:r/>
          </w:p>
        </w:tc>
      </w:tr>
      <w:tr>
        <w:trPr/>
        <w:tc>
          <w:tcPr>
            <w:tcW w:w="551" w:type="dxa"/>
            <w:vAlign w:val="top"/>
            <w:textDirection w:val="lrTb"/>
            <w:noWrap w:val="false"/>
          </w:tcPr>
          <w:p>
            <w:pPr>
              <w:pStyle w:val="736"/>
              <w:jc w:val="center"/>
              <w:spacing w:line="360" w:lineRule="atLeast"/>
              <w:widowControl/>
              <w:rPr>
                <w:rFonts w:ascii="宋体" w:hAnsi="宋体"/>
                <w:highlight w:val="none"/>
              </w:rPr>
            </w:pPr>
            <w:r>
              <w:rPr>
                <w:rFonts w:ascii="宋体" w:hAnsi="宋体"/>
                <w:highlight w:val="none"/>
              </w:rPr>
              <w:t xml:space="preserve">9</w:t>
            </w:r>
            <w:r>
              <w:rPr>
                <w:rFonts w:ascii="宋体" w:hAnsi="宋体"/>
                <w:highlight w:val="none"/>
              </w:rPr>
            </w:r>
            <w:r/>
          </w:p>
        </w:tc>
        <w:tc>
          <w:tcPr>
            <w:tcW w:w="1996" w:type="dxa"/>
            <w:vAlign w:val="top"/>
            <w:textDirection w:val="lrTb"/>
            <w:noWrap w:val="false"/>
          </w:tcPr>
          <w:p>
            <w:pPr>
              <w:pStyle w:val="736"/>
              <w:spacing w:line="360" w:lineRule="atLeast"/>
              <w:widowControl/>
              <w:rPr>
                <w:rFonts w:ascii="宋体" w:hAnsi="宋体"/>
                <w:sz w:val="24"/>
                <w:highlight w:val="none"/>
              </w:rPr>
            </w:pPr>
            <w:r>
              <w:rPr>
                <w:rFonts w:hint="eastAsia" w:ascii="宋体" w:hAnsi="宋体"/>
                <w:sz w:val="24"/>
                <w:highlight w:val="none"/>
              </w:rPr>
              <w:t xml:space="preserve">恒温系统</w:t>
            </w:r>
            <w:r>
              <w:rPr>
                <w:rFonts w:ascii="宋体" w:hAnsi="宋体"/>
                <w:sz w:val="24"/>
                <w:highlight w:val="none"/>
              </w:rPr>
            </w:r>
            <w:r/>
          </w:p>
        </w:tc>
        <w:tc>
          <w:tcPr>
            <w:tcW w:w="2977" w:type="dxa"/>
            <w:vAlign w:val="top"/>
            <w:textDirection w:val="lrTb"/>
            <w:noWrap w:val="false"/>
          </w:tcPr>
          <w:p>
            <w:pPr>
              <w:pStyle w:val="736"/>
              <w:spacing w:line="360" w:lineRule="atLeast"/>
              <w:widowControl/>
              <w:rPr>
                <w:rFonts w:ascii="宋体" w:hAnsi="宋体"/>
                <w:sz w:val="24"/>
                <w:highlight w:val="none"/>
              </w:rPr>
            </w:pPr>
            <w:r/>
            <w:bookmarkStart w:id="66" w:name="OLE_LINK13"/>
            <w:r>
              <w:rPr>
                <w:rFonts w:hint="eastAsia" w:ascii="宋体" w:hAnsi="宋体"/>
                <w:sz w:val="24"/>
                <w:highlight w:val="none"/>
              </w:rPr>
              <w:t xml:space="preserve">循环水浴恒温或干式孵育，控温精度37℃±0.1℃</w:t>
            </w:r>
            <w:bookmarkEnd w:id="66"/>
            <w:r>
              <w:rPr>
                <w:rFonts w:ascii="宋体" w:hAnsi="宋体"/>
                <w:sz w:val="24"/>
                <w:highlight w:val="none"/>
              </w:rPr>
            </w:r>
            <w:r/>
          </w:p>
        </w:tc>
        <w:tc>
          <w:tcPr>
            <w:tcW w:w="2772" w:type="dxa"/>
            <w:vAlign w:val="top"/>
            <w:textDirection w:val="lrTb"/>
            <w:noWrap w:val="false"/>
          </w:tcPr>
          <w:p>
            <w:pPr>
              <w:pStyle w:val="736"/>
              <w:spacing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rPr>
                <w:rFonts w:ascii="宋体" w:hAnsi="宋体"/>
                <w:sz w:val="24"/>
                <w:highlight w:val="none"/>
              </w:rPr>
            </w:r>
            <w:r/>
          </w:p>
        </w:tc>
      </w:tr>
      <w:tr>
        <w:trPr/>
        <w:tc>
          <w:tcPr>
            <w:tcW w:w="551" w:type="dxa"/>
            <w:vAlign w:val="top"/>
            <w:textDirection w:val="lrTb"/>
            <w:noWrap w:val="false"/>
          </w:tcPr>
          <w:p>
            <w:pPr>
              <w:pStyle w:val="736"/>
              <w:jc w:val="center"/>
              <w:spacing w:line="360" w:lineRule="atLeast"/>
              <w:widowControl/>
              <w:rPr>
                <w:rFonts w:ascii="宋体" w:hAnsi="宋体"/>
                <w:highlight w:val="none"/>
              </w:rPr>
            </w:pPr>
            <w:r>
              <w:rPr>
                <w:rFonts w:ascii="宋体" w:hAnsi="宋体"/>
                <w:highlight w:val="none"/>
              </w:rPr>
              <w:t xml:space="preserve">10</w:t>
            </w:r>
            <w:r>
              <w:rPr>
                <w:rFonts w:ascii="宋体" w:hAnsi="宋体"/>
                <w:highlight w:val="none"/>
              </w:rPr>
            </w:r>
            <w:r/>
          </w:p>
        </w:tc>
        <w:tc>
          <w:tcPr>
            <w:tcW w:w="1996" w:type="dxa"/>
            <w:vAlign w:val="top"/>
            <w:textDirection w:val="lrTb"/>
            <w:noWrap w:val="false"/>
          </w:tcPr>
          <w:p>
            <w:pPr>
              <w:pStyle w:val="736"/>
              <w:spacing w:line="360" w:lineRule="atLeast"/>
              <w:widowControl/>
              <w:rPr>
                <w:rFonts w:ascii="宋体" w:hAnsi="宋体"/>
                <w:sz w:val="24"/>
                <w:highlight w:val="none"/>
              </w:rPr>
            </w:pPr>
            <w:r>
              <w:rPr>
                <w:rFonts w:hint="eastAsia" w:ascii="宋体" w:hAnsi="宋体"/>
                <w:sz w:val="24"/>
                <w:highlight w:val="none"/>
              </w:rPr>
              <w:t xml:space="preserve">反应时间</w:t>
            </w:r>
            <w:r>
              <w:rPr>
                <w:rFonts w:ascii="宋体" w:hAnsi="宋体"/>
                <w:sz w:val="24"/>
                <w:highlight w:val="none"/>
              </w:rPr>
            </w:r>
            <w:r/>
          </w:p>
        </w:tc>
        <w:tc>
          <w:tcPr>
            <w:tcW w:w="2977" w:type="dxa"/>
            <w:vAlign w:val="top"/>
            <w:textDirection w:val="lrTb"/>
            <w:noWrap w:val="false"/>
          </w:tcPr>
          <w:p>
            <w:pPr>
              <w:pStyle w:val="736"/>
              <w:spacing w:line="360" w:lineRule="atLeast"/>
              <w:widowControl/>
              <w:rPr>
                <w:rFonts w:ascii="宋体" w:hAnsi="宋体"/>
                <w:sz w:val="24"/>
                <w:highlight w:val="none"/>
              </w:rPr>
            </w:pPr>
            <w:r>
              <w:rPr>
                <w:rFonts w:hint="eastAsia" w:ascii="宋体" w:hAnsi="宋体"/>
                <w:sz w:val="24"/>
                <w:highlight w:val="none"/>
              </w:rPr>
              <w:t xml:space="preserve">≤10分钟</w:t>
            </w:r>
            <w:r>
              <w:rPr>
                <w:rFonts w:ascii="宋体" w:hAnsi="宋体"/>
                <w:sz w:val="24"/>
                <w:highlight w:val="none"/>
              </w:rPr>
            </w:r>
            <w:r/>
          </w:p>
        </w:tc>
        <w:tc>
          <w:tcPr>
            <w:tcW w:w="2772" w:type="dxa"/>
            <w:vAlign w:val="top"/>
            <w:textDirection w:val="lrTb"/>
            <w:noWrap w:val="false"/>
          </w:tcPr>
          <w:p>
            <w:pPr>
              <w:pStyle w:val="736"/>
              <w:spacing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rPr>
                <w:rFonts w:ascii="宋体" w:hAnsi="宋体"/>
                <w:sz w:val="24"/>
                <w:highlight w:val="none"/>
              </w:rPr>
            </w:r>
            <w:r/>
          </w:p>
        </w:tc>
      </w:tr>
      <w:tr>
        <w:trPr/>
        <w:tc>
          <w:tcPr>
            <w:tcW w:w="551" w:type="dxa"/>
            <w:vAlign w:val="top"/>
            <w:textDirection w:val="lrTb"/>
            <w:noWrap w:val="false"/>
          </w:tcPr>
          <w:p>
            <w:pPr>
              <w:pStyle w:val="736"/>
              <w:jc w:val="center"/>
              <w:spacing w:line="360" w:lineRule="atLeast"/>
              <w:widowControl/>
              <w:rPr>
                <w:rFonts w:ascii="宋体" w:hAnsi="宋体"/>
                <w:highlight w:val="none"/>
              </w:rPr>
            </w:pPr>
            <w:r>
              <w:rPr>
                <w:rFonts w:ascii="宋体" w:hAnsi="宋体"/>
                <w:highlight w:val="none"/>
              </w:rPr>
              <w:t xml:space="preserve">11</w:t>
            </w:r>
            <w:r>
              <w:rPr>
                <w:rFonts w:ascii="宋体" w:hAnsi="宋体"/>
                <w:highlight w:val="none"/>
              </w:rPr>
            </w:r>
            <w:r/>
          </w:p>
        </w:tc>
        <w:tc>
          <w:tcPr>
            <w:tcW w:w="1996" w:type="dxa"/>
            <w:vAlign w:val="top"/>
            <w:textDirection w:val="lrTb"/>
            <w:noWrap w:val="false"/>
          </w:tcPr>
          <w:p>
            <w:pPr>
              <w:pStyle w:val="736"/>
              <w:spacing w:line="360" w:lineRule="atLeast"/>
              <w:widowControl/>
              <w:rPr>
                <w:rFonts w:ascii="宋体" w:hAnsi="宋体"/>
                <w:sz w:val="24"/>
                <w:highlight w:val="none"/>
              </w:rPr>
            </w:pPr>
            <w:r>
              <w:rPr>
                <w:rFonts w:hint="eastAsia" w:ascii="宋体" w:hAnsi="宋体"/>
                <w:sz w:val="24"/>
                <w:highlight w:val="none"/>
              </w:rPr>
              <w:t xml:space="preserve">▲测试波长</w:t>
            </w:r>
            <w:r>
              <w:rPr>
                <w:rFonts w:ascii="宋体" w:hAnsi="宋体"/>
                <w:sz w:val="24"/>
                <w:highlight w:val="none"/>
              </w:rPr>
            </w:r>
            <w:r/>
          </w:p>
        </w:tc>
        <w:tc>
          <w:tcPr>
            <w:tcW w:w="2977" w:type="dxa"/>
            <w:vAlign w:val="top"/>
            <w:textDirection w:val="lrTb"/>
            <w:noWrap w:val="false"/>
          </w:tcPr>
          <w:p>
            <w:pPr>
              <w:pStyle w:val="736"/>
              <w:spacing w:line="360" w:lineRule="atLeast"/>
              <w:widowControl/>
              <w:rPr>
                <w:rFonts w:ascii="宋体" w:hAnsi="宋体"/>
                <w:sz w:val="24"/>
                <w:highlight w:val="none"/>
              </w:rPr>
            </w:pPr>
            <w:r>
              <w:rPr>
                <w:rFonts w:hint="eastAsia" w:ascii="宋体" w:hAnsi="宋体"/>
                <w:sz w:val="24"/>
                <w:highlight w:val="none"/>
              </w:rPr>
              <w:t xml:space="preserve">≥12种波长，可进行单/双波长测试</w:t>
            </w:r>
            <w:r>
              <w:rPr>
                <w:rFonts w:ascii="宋体" w:hAnsi="宋体"/>
                <w:sz w:val="24"/>
                <w:highlight w:val="none"/>
              </w:rPr>
            </w:r>
            <w:r/>
          </w:p>
        </w:tc>
        <w:tc>
          <w:tcPr>
            <w:tcW w:w="2772" w:type="dxa"/>
            <w:vAlign w:val="top"/>
            <w:textDirection w:val="lrTb"/>
            <w:noWrap w:val="false"/>
          </w:tcPr>
          <w:p>
            <w:pPr>
              <w:pStyle w:val="736"/>
              <w:spacing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rPr>
                <w:rFonts w:ascii="宋体" w:hAnsi="宋体"/>
                <w:sz w:val="24"/>
                <w:highlight w:val="none"/>
              </w:rPr>
            </w:r>
            <w:r/>
          </w:p>
        </w:tc>
      </w:tr>
      <w:tr>
        <w:trPr/>
        <w:tc>
          <w:tcPr>
            <w:tcW w:w="551" w:type="dxa"/>
            <w:vAlign w:val="top"/>
            <w:textDirection w:val="lrTb"/>
            <w:noWrap w:val="false"/>
          </w:tcPr>
          <w:p>
            <w:pPr>
              <w:pStyle w:val="736"/>
              <w:jc w:val="center"/>
              <w:spacing w:line="360" w:lineRule="atLeast"/>
              <w:widowControl/>
              <w:rPr>
                <w:rFonts w:ascii="宋体" w:hAnsi="宋体"/>
                <w:highlight w:val="none"/>
              </w:rPr>
            </w:pPr>
            <w:r>
              <w:rPr>
                <w:rFonts w:ascii="宋体" w:hAnsi="宋体"/>
                <w:highlight w:val="none"/>
              </w:rPr>
              <w:t xml:space="preserve">12</w:t>
            </w:r>
            <w:r>
              <w:rPr>
                <w:rFonts w:ascii="宋体" w:hAnsi="宋体"/>
                <w:highlight w:val="none"/>
              </w:rPr>
            </w:r>
            <w:r/>
          </w:p>
        </w:tc>
        <w:tc>
          <w:tcPr>
            <w:tcW w:w="1996" w:type="dxa"/>
            <w:vAlign w:val="top"/>
            <w:textDirection w:val="lrTb"/>
            <w:noWrap w:val="false"/>
          </w:tcPr>
          <w:p>
            <w:pPr>
              <w:pStyle w:val="736"/>
              <w:spacing w:line="360" w:lineRule="atLeast"/>
              <w:widowControl/>
              <w:rPr>
                <w:rFonts w:ascii="宋体" w:hAnsi="宋体"/>
                <w:sz w:val="24"/>
                <w:highlight w:val="none"/>
              </w:rPr>
            </w:pPr>
            <w:r/>
            <w:bookmarkStart w:id="67" w:name="OLE_LINK16"/>
            <w:r/>
            <w:bookmarkStart w:id="68" w:name="OLE_LINK15"/>
            <w:r>
              <w:rPr>
                <w:rFonts w:hint="eastAsia" w:ascii="宋体" w:hAnsi="宋体"/>
                <w:sz w:val="24"/>
                <w:highlight w:val="none"/>
              </w:rPr>
              <w:t xml:space="preserve">搅拌方式</w:t>
            </w:r>
            <w:bookmarkEnd w:id="67"/>
            <w:r/>
            <w:bookmarkEnd w:id="68"/>
            <w:r>
              <w:rPr>
                <w:rFonts w:ascii="宋体" w:hAnsi="宋体"/>
                <w:sz w:val="24"/>
                <w:highlight w:val="none"/>
              </w:rPr>
            </w:r>
            <w:r/>
          </w:p>
        </w:tc>
        <w:tc>
          <w:tcPr>
            <w:tcW w:w="2977" w:type="dxa"/>
            <w:vAlign w:val="top"/>
            <w:textDirection w:val="lrTb"/>
            <w:noWrap w:val="false"/>
          </w:tcPr>
          <w:p>
            <w:pPr>
              <w:pStyle w:val="736"/>
              <w:spacing w:line="360" w:lineRule="atLeast"/>
              <w:widowControl/>
              <w:rPr>
                <w:rFonts w:ascii="宋体" w:hAnsi="宋体"/>
                <w:sz w:val="24"/>
                <w:highlight w:val="none"/>
              </w:rPr>
            </w:pPr>
            <w:r/>
            <w:bookmarkStart w:id="69" w:name="OLE_LINK17"/>
            <w:r>
              <w:rPr>
                <w:rFonts w:hint="eastAsia" w:ascii="宋体" w:hAnsi="宋体"/>
                <w:sz w:val="24"/>
                <w:highlight w:val="none"/>
              </w:rPr>
              <w:t xml:space="preserve">非接触式超声波搅拌</w:t>
            </w:r>
            <w:bookmarkEnd w:id="69"/>
            <w:r>
              <w:rPr>
                <w:rFonts w:hint="eastAsia" w:ascii="宋体" w:hAnsi="宋体"/>
                <w:sz w:val="24"/>
                <w:highlight w:val="none"/>
              </w:rPr>
              <w:t xml:space="preserve">或搅拌棒</w:t>
            </w:r>
            <w:r>
              <w:rPr>
                <w:rFonts w:ascii="宋体" w:hAnsi="宋体"/>
                <w:sz w:val="24"/>
                <w:highlight w:val="none"/>
              </w:rPr>
            </w:r>
            <w:r/>
          </w:p>
        </w:tc>
        <w:tc>
          <w:tcPr>
            <w:tcW w:w="2772" w:type="dxa"/>
            <w:vAlign w:val="top"/>
            <w:textDirection w:val="lrTb"/>
            <w:noWrap w:val="false"/>
          </w:tcPr>
          <w:p>
            <w:pPr>
              <w:pStyle w:val="736"/>
              <w:spacing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rPr>
                <w:rFonts w:ascii="宋体" w:hAnsi="宋体"/>
                <w:sz w:val="24"/>
                <w:highlight w:val="none"/>
              </w:rPr>
            </w:r>
            <w:r/>
          </w:p>
        </w:tc>
      </w:tr>
      <w:tr>
        <w:trPr/>
        <w:tc>
          <w:tcPr>
            <w:tcW w:w="551" w:type="dxa"/>
            <w:vAlign w:val="top"/>
            <w:textDirection w:val="lrTb"/>
            <w:noWrap w:val="false"/>
          </w:tcPr>
          <w:p>
            <w:pPr>
              <w:pStyle w:val="736"/>
              <w:jc w:val="center"/>
              <w:spacing w:line="360" w:lineRule="atLeast"/>
              <w:widowControl/>
              <w:rPr>
                <w:rFonts w:ascii="宋体" w:hAnsi="宋体"/>
                <w:highlight w:val="none"/>
              </w:rPr>
            </w:pPr>
            <w:r>
              <w:rPr>
                <w:rFonts w:ascii="宋体" w:hAnsi="宋体"/>
                <w:highlight w:val="none"/>
              </w:rPr>
              <w:t xml:space="preserve">13</w:t>
            </w:r>
            <w:r>
              <w:rPr>
                <w:rFonts w:ascii="宋体" w:hAnsi="宋体"/>
                <w:highlight w:val="none"/>
              </w:rPr>
            </w:r>
            <w:r/>
          </w:p>
        </w:tc>
        <w:tc>
          <w:tcPr>
            <w:tcW w:w="1996" w:type="dxa"/>
            <w:vAlign w:val="top"/>
            <w:textDirection w:val="lrTb"/>
            <w:noWrap w:val="false"/>
          </w:tcPr>
          <w:p>
            <w:pPr>
              <w:pStyle w:val="736"/>
              <w:spacing w:line="360" w:lineRule="atLeast"/>
              <w:widowControl/>
              <w:rPr>
                <w:rFonts w:ascii="宋体" w:hAnsi="宋体"/>
                <w:sz w:val="24"/>
                <w:highlight w:val="none"/>
              </w:rPr>
            </w:pPr>
            <w:r>
              <w:rPr>
                <w:rFonts w:hint="eastAsia" w:ascii="宋体" w:hAnsi="宋体"/>
                <w:sz w:val="24"/>
                <w:highlight w:val="none"/>
              </w:rPr>
              <w:t xml:space="preserve">反应杯</w:t>
            </w:r>
            <w:r>
              <w:rPr>
                <w:rFonts w:ascii="宋体" w:hAnsi="宋体"/>
                <w:sz w:val="24"/>
                <w:highlight w:val="none"/>
              </w:rPr>
            </w:r>
            <w:r/>
          </w:p>
        </w:tc>
        <w:tc>
          <w:tcPr>
            <w:tcW w:w="2977" w:type="dxa"/>
            <w:vAlign w:val="top"/>
            <w:textDirection w:val="lrTb"/>
            <w:noWrap w:val="false"/>
          </w:tcPr>
          <w:p>
            <w:pPr>
              <w:pStyle w:val="736"/>
              <w:spacing w:line="360" w:lineRule="atLeast"/>
              <w:widowControl/>
              <w:rPr>
                <w:rFonts w:ascii="宋体" w:hAnsi="宋体"/>
                <w:sz w:val="24"/>
                <w:highlight w:val="none"/>
              </w:rPr>
            </w:pPr>
            <w:r>
              <w:rPr>
                <w:rFonts w:hint="eastAsia" w:ascii="宋体" w:hAnsi="宋体"/>
                <w:sz w:val="24"/>
                <w:highlight w:val="none"/>
              </w:rPr>
              <w:t xml:space="preserve">UV塑料杯或石英玻璃反应杯</w:t>
            </w:r>
            <w:r>
              <w:rPr>
                <w:rFonts w:ascii="宋体" w:hAnsi="宋体"/>
                <w:sz w:val="24"/>
                <w:highlight w:val="none"/>
              </w:rPr>
            </w:r>
            <w:r/>
          </w:p>
        </w:tc>
        <w:tc>
          <w:tcPr>
            <w:tcW w:w="2772" w:type="dxa"/>
            <w:vAlign w:val="top"/>
            <w:textDirection w:val="lrTb"/>
            <w:noWrap w:val="false"/>
          </w:tcPr>
          <w:p>
            <w:pPr>
              <w:pStyle w:val="736"/>
              <w:spacing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rPr>
                <w:rFonts w:ascii="宋体" w:hAnsi="宋体"/>
                <w:sz w:val="24"/>
                <w:highlight w:val="none"/>
              </w:rPr>
            </w:r>
            <w:r/>
          </w:p>
        </w:tc>
      </w:tr>
      <w:tr>
        <w:trPr/>
        <w:tc>
          <w:tcPr>
            <w:tcW w:w="551" w:type="dxa"/>
            <w:vAlign w:val="top"/>
            <w:textDirection w:val="lrTb"/>
            <w:noWrap w:val="false"/>
          </w:tcPr>
          <w:p>
            <w:pPr>
              <w:pStyle w:val="736"/>
              <w:jc w:val="center"/>
              <w:spacing w:line="360" w:lineRule="atLeast"/>
              <w:widowControl/>
              <w:rPr>
                <w:rFonts w:ascii="宋体" w:hAnsi="宋体"/>
                <w:highlight w:val="none"/>
              </w:rPr>
            </w:pPr>
            <w:r>
              <w:rPr>
                <w:rFonts w:ascii="宋体" w:hAnsi="宋体"/>
                <w:highlight w:val="none"/>
              </w:rPr>
              <w:t xml:space="preserve">14</w:t>
            </w:r>
            <w:r>
              <w:rPr>
                <w:rFonts w:ascii="宋体" w:hAnsi="宋体"/>
                <w:highlight w:val="none"/>
              </w:rPr>
            </w:r>
            <w:r/>
          </w:p>
        </w:tc>
        <w:tc>
          <w:tcPr>
            <w:tcW w:w="1996" w:type="dxa"/>
            <w:vAlign w:val="top"/>
            <w:textDirection w:val="lrTb"/>
            <w:noWrap w:val="false"/>
          </w:tcPr>
          <w:p>
            <w:pPr>
              <w:pStyle w:val="736"/>
              <w:spacing w:line="360" w:lineRule="atLeast"/>
              <w:widowControl/>
              <w:rPr>
                <w:rFonts w:ascii="宋体" w:hAnsi="宋体"/>
                <w:sz w:val="24"/>
                <w:highlight w:val="none"/>
              </w:rPr>
            </w:pPr>
            <w:r>
              <w:rPr>
                <w:rFonts w:hint="eastAsia" w:ascii="宋体" w:hAnsi="宋体"/>
                <w:sz w:val="24"/>
                <w:highlight w:val="none"/>
              </w:rPr>
              <w:t xml:space="preserve">▲检堵功能</w:t>
            </w:r>
            <w:r>
              <w:rPr>
                <w:rFonts w:ascii="宋体" w:hAnsi="宋体"/>
                <w:sz w:val="24"/>
                <w:highlight w:val="none"/>
              </w:rPr>
            </w:r>
            <w:r/>
          </w:p>
        </w:tc>
        <w:tc>
          <w:tcPr>
            <w:tcW w:w="2977" w:type="dxa"/>
            <w:vAlign w:val="top"/>
            <w:textDirection w:val="lrTb"/>
            <w:noWrap w:val="false"/>
          </w:tcPr>
          <w:p>
            <w:pPr>
              <w:pStyle w:val="736"/>
              <w:spacing w:line="360" w:lineRule="atLeast"/>
              <w:widowControl/>
              <w:rPr>
                <w:rFonts w:ascii="宋体" w:hAnsi="宋体"/>
                <w:sz w:val="24"/>
                <w:highlight w:val="none"/>
              </w:rPr>
            </w:pPr>
            <w:r>
              <w:rPr>
                <w:rFonts w:hint="eastAsia" w:ascii="宋体" w:hAnsi="宋体"/>
                <w:sz w:val="24"/>
                <w:highlight w:val="none"/>
              </w:rPr>
              <w:t xml:space="preserve">自动检测吸样时的异常并发出警报，全程检测气泡、堵塞、空吸等功能</w:t>
            </w:r>
            <w:r>
              <w:rPr>
                <w:rFonts w:ascii="宋体" w:hAnsi="宋体"/>
                <w:sz w:val="24"/>
                <w:highlight w:val="none"/>
              </w:rPr>
            </w:r>
            <w:r/>
          </w:p>
        </w:tc>
        <w:tc>
          <w:tcPr>
            <w:tcW w:w="2772" w:type="dxa"/>
            <w:vAlign w:val="top"/>
            <w:textDirection w:val="lrTb"/>
            <w:noWrap w:val="false"/>
          </w:tcPr>
          <w:p>
            <w:pPr>
              <w:pStyle w:val="736"/>
              <w:spacing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rPr>
                <w:rFonts w:ascii="宋体" w:hAnsi="宋体"/>
                <w:sz w:val="24"/>
                <w:highlight w:val="none"/>
              </w:rPr>
            </w:r>
            <w:r/>
          </w:p>
        </w:tc>
      </w:tr>
      <w:tr>
        <w:trPr/>
        <w:tc>
          <w:tcPr>
            <w:tcW w:w="551" w:type="dxa"/>
            <w:vAlign w:val="top"/>
            <w:textDirection w:val="lrTb"/>
            <w:noWrap w:val="false"/>
          </w:tcPr>
          <w:p>
            <w:pPr>
              <w:pStyle w:val="736"/>
              <w:jc w:val="center"/>
              <w:spacing w:line="360" w:lineRule="atLeast"/>
              <w:widowControl/>
              <w:rPr>
                <w:rFonts w:ascii="宋体" w:hAnsi="宋体"/>
                <w:highlight w:val="none"/>
              </w:rPr>
            </w:pPr>
            <w:r>
              <w:rPr>
                <w:rFonts w:ascii="宋体" w:hAnsi="宋体"/>
                <w:highlight w:val="none"/>
              </w:rPr>
              <w:t xml:space="preserve">15</w:t>
            </w:r>
            <w:r>
              <w:rPr>
                <w:rFonts w:ascii="宋体" w:hAnsi="宋体"/>
                <w:highlight w:val="none"/>
              </w:rPr>
            </w:r>
            <w:r/>
          </w:p>
        </w:tc>
        <w:tc>
          <w:tcPr>
            <w:tcW w:w="1996" w:type="dxa"/>
            <w:vAlign w:val="top"/>
            <w:textDirection w:val="lrTb"/>
            <w:noWrap w:val="false"/>
          </w:tcPr>
          <w:p>
            <w:pPr>
              <w:pStyle w:val="736"/>
              <w:spacing w:line="360" w:lineRule="atLeast"/>
              <w:widowControl/>
              <w:rPr>
                <w:rFonts w:ascii="宋体" w:hAnsi="宋体"/>
                <w:sz w:val="24"/>
                <w:highlight w:val="none"/>
              </w:rPr>
            </w:pPr>
            <w:r>
              <w:rPr>
                <w:rFonts w:hint="eastAsia" w:ascii="宋体" w:hAnsi="宋体"/>
                <w:sz w:val="24"/>
                <w:highlight w:val="none"/>
              </w:rPr>
              <w:t xml:space="preserve">▲检测功能</w:t>
            </w:r>
            <w:r>
              <w:rPr>
                <w:rFonts w:ascii="宋体" w:hAnsi="宋体"/>
                <w:sz w:val="24"/>
                <w:highlight w:val="none"/>
              </w:rPr>
            </w:r>
            <w:r/>
          </w:p>
        </w:tc>
        <w:tc>
          <w:tcPr>
            <w:tcW w:w="2977" w:type="dxa"/>
            <w:vAlign w:val="top"/>
            <w:textDirection w:val="lrTb"/>
            <w:noWrap w:val="false"/>
          </w:tcPr>
          <w:p>
            <w:pPr>
              <w:pStyle w:val="736"/>
              <w:spacing w:line="360" w:lineRule="atLeast"/>
              <w:widowControl/>
              <w:rPr>
                <w:rFonts w:ascii="宋体" w:hAnsi="宋体"/>
                <w:sz w:val="24"/>
                <w:highlight w:val="none"/>
              </w:rPr>
            </w:pPr>
            <w:r>
              <w:rPr>
                <w:rFonts w:hint="eastAsia" w:ascii="宋体" w:hAnsi="宋体"/>
                <w:sz w:val="24"/>
                <w:highlight w:val="none"/>
              </w:rPr>
              <w:t xml:space="preserve">全反应过程监测、可同一画面显示多标本反应曲线，便于异常结果分析，校准结果追踪功能</w:t>
            </w:r>
            <w:r>
              <w:rPr>
                <w:rFonts w:ascii="宋体" w:hAnsi="宋体"/>
                <w:sz w:val="24"/>
                <w:highlight w:val="none"/>
              </w:rPr>
            </w:r>
            <w:r/>
          </w:p>
        </w:tc>
        <w:tc>
          <w:tcPr>
            <w:tcW w:w="2772" w:type="dxa"/>
            <w:vAlign w:val="top"/>
            <w:textDirection w:val="lrTb"/>
            <w:noWrap w:val="false"/>
          </w:tcPr>
          <w:p>
            <w:pPr>
              <w:pStyle w:val="736"/>
              <w:spacing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rPr>
                <w:rFonts w:ascii="宋体" w:hAnsi="宋体"/>
                <w:sz w:val="24"/>
                <w:highlight w:val="none"/>
              </w:rPr>
            </w:r>
            <w:r/>
          </w:p>
        </w:tc>
      </w:tr>
      <w:tr>
        <w:trPr/>
        <w:tc>
          <w:tcPr>
            <w:tcW w:w="551" w:type="dxa"/>
            <w:vAlign w:val="top"/>
            <w:textDirection w:val="lrTb"/>
            <w:noWrap w:val="false"/>
          </w:tcPr>
          <w:p>
            <w:pPr>
              <w:pStyle w:val="736"/>
              <w:jc w:val="center"/>
              <w:spacing w:line="360" w:lineRule="atLeast"/>
              <w:widowControl/>
              <w:rPr>
                <w:rFonts w:ascii="宋体" w:hAnsi="宋体"/>
                <w:highlight w:val="none"/>
              </w:rPr>
            </w:pPr>
            <w:r>
              <w:rPr>
                <w:rFonts w:ascii="宋体" w:hAnsi="宋体"/>
                <w:highlight w:val="none"/>
              </w:rPr>
              <w:t xml:space="preserve">16</w:t>
            </w:r>
            <w:r>
              <w:rPr>
                <w:rFonts w:ascii="宋体" w:hAnsi="宋体"/>
                <w:highlight w:val="none"/>
              </w:rPr>
            </w:r>
            <w:r/>
          </w:p>
        </w:tc>
        <w:tc>
          <w:tcPr>
            <w:tcW w:w="1996" w:type="dxa"/>
            <w:vAlign w:val="top"/>
            <w:textDirection w:val="lrTb"/>
            <w:noWrap w:val="false"/>
          </w:tcPr>
          <w:p>
            <w:pPr>
              <w:pStyle w:val="736"/>
              <w:spacing w:line="360" w:lineRule="atLeast"/>
              <w:widowControl/>
              <w:rPr>
                <w:rFonts w:ascii="宋体" w:hAnsi="宋体"/>
                <w:sz w:val="24"/>
                <w:highlight w:val="none"/>
              </w:rPr>
            </w:pPr>
            <w:r>
              <w:rPr>
                <w:rFonts w:hint="eastAsia" w:ascii="宋体" w:hAnsi="宋体"/>
                <w:sz w:val="24"/>
                <w:highlight w:val="none"/>
              </w:rPr>
              <w:t xml:space="preserve">校准功能</w:t>
            </w:r>
            <w:r>
              <w:rPr>
                <w:rFonts w:ascii="宋体" w:hAnsi="宋体"/>
                <w:sz w:val="24"/>
                <w:highlight w:val="none"/>
              </w:rPr>
            </w:r>
            <w:r/>
          </w:p>
        </w:tc>
        <w:tc>
          <w:tcPr>
            <w:tcW w:w="2977" w:type="dxa"/>
            <w:vAlign w:val="top"/>
            <w:textDirection w:val="lrTb"/>
            <w:noWrap w:val="false"/>
          </w:tcPr>
          <w:p>
            <w:pPr>
              <w:pStyle w:val="736"/>
              <w:spacing w:line="360" w:lineRule="atLeast"/>
              <w:widowControl/>
              <w:rPr>
                <w:rFonts w:ascii="宋体" w:hAnsi="宋体"/>
                <w:sz w:val="24"/>
                <w:highlight w:val="none"/>
              </w:rPr>
            </w:pPr>
            <w:r>
              <w:rPr>
                <w:rFonts w:hint="eastAsia" w:ascii="宋体" w:hAnsi="宋体"/>
                <w:sz w:val="24"/>
                <w:highlight w:val="none"/>
              </w:rPr>
              <w:t xml:space="preserve">线性和多种非线性校准方式可选</w:t>
            </w:r>
            <w:r>
              <w:rPr>
                <w:rFonts w:ascii="宋体" w:hAnsi="宋体"/>
                <w:sz w:val="24"/>
                <w:highlight w:val="none"/>
              </w:rPr>
            </w:r>
            <w:r/>
          </w:p>
        </w:tc>
        <w:tc>
          <w:tcPr>
            <w:tcW w:w="2772" w:type="dxa"/>
            <w:vAlign w:val="top"/>
            <w:textDirection w:val="lrTb"/>
            <w:noWrap w:val="false"/>
          </w:tcPr>
          <w:p>
            <w:pPr>
              <w:pStyle w:val="736"/>
              <w:spacing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rPr>
                <w:rFonts w:ascii="宋体" w:hAnsi="宋体"/>
                <w:sz w:val="24"/>
                <w:highlight w:val="none"/>
              </w:rPr>
            </w:r>
            <w:r/>
          </w:p>
        </w:tc>
      </w:tr>
      <w:tr>
        <w:trPr/>
        <w:tc>
          <w:tcPr>
            <w:tcW w:w="551" w:type="dxa"/>
            <w:vAlign w:val="top"/>
            <w:textDirection w:val="lrTb"/>
            <w:noWrap w:val="false"/>
          </w:tcPr>
          <w:p>
            <w:pPr>
              <w:pStyle w:val="736"/>
              <w:jc w:val="center"/>
              <w:spacing w:line="360" w:lineRule="atLeast"/>
              <w:widowControl/>
              <w:rPr>
                <w:rFonts w:ascii="宋体" w:hAnsi="宋体"/>
                <w:highlight w:val="none"/>
              </w:rPr>
            </w:pPr>
            <w:r>
              <w:rPr>
                <w:rFonts w:ascii="宋体" w:hAnsi="宋体"/>
                <w:highlight w:val="none"/>
              </w:rPr>
              <w:t xml:space="preserve">17</w:t>
            </w:r>
            <w:r>
              <w:rPr>
                <w:rFonts w:ascii="宋体" w:hAnsi="宋体"/>
                <w:highlight w:val="none"/>
              </w:rPr>
            </w:r>
            <w:r/>
          </w:p>
        </w:tc>
        <w:tc>
          <w:tcPr>
            <w:tcW w:w="1996" w:type="dxa"/>
            <w:vAlign w:val="top"/>
            <w:textDirection w:val="lrTb"/>
            <w:noWrap w:val="false"/>
          </w:tcPr>
          <w:p>
            <w:pPr>
              <w:pStyle w:val="736"/>
              <w:spacing w:line="360" w:lineRule="atLeast"/>
              <w:widowControl/>
              <w:rPr>
                <w:rFonts w:ascii="宋体" w:hAnsi="宋体"/>
                <w:sz w:val="24"/>
                <w:highlight w:val="none"/>
              </w:rPr>
            </w:pPr>
            <w:r>
              <w:rPr>
                <w:rFonts w:hint="eastAsia" w:ascii="宋体" w:hAnsi="宋体"/>
                <w:sz w:val="24"/>
                <w:highlight w:val="none"/>
              </w:rPr>
              <w:t xml:space="preserve">安全保证</w:t>
            </w:r>
            <w:r>
              <w:rPr>
                <w:rFonts w:ascii="宋体" w:hAnsi="宋体"/>
                <w:sz w:val="24"/>
                <w:highlight w:val="none"/>
              </w:rPr>
            </w:r>
            <w:r/>
          </w:p>
        </w:tc>
        <w:tc>
          <w:tcPr>
            <w:tcW w:w="2977" w:type="dxa"/>
            <w:vAlign w:val="top"/>
            <w:textDirection w:val="lrTb"/>
            <w:noWrap w:val="false"/>
          </w:tcPr>
          <w:p>
            <w:pPr>
              <w:pStyle w:val="736"/>
              <w:spacing w:line="360" w:lineRule="atLeast"/>
              <w:widowControl/>
              <w:rPr>
                <w:rFonts w:ascii="宋体" w:hAnsi="宋体"/>
                <w:sz w:val="24"/>
                <w:highlight w:val="none"/>
              </w:rPr>
            </w:pPr>
            <w:r>
              <w:rPr>
                <w:rFonts w:hint="eastAsia" w:ascii="宋体" w:hAnsi="宋体"/>
                <w:sz w:val="24"/>
                <w:highlight w:val="none"/>
              </w:rPr>
              <w:t xml:space="preserve">全过程凝块检测功能，针碰撞保护功能等</w:t>
            </w:r>
            <w:r>
              <w:rPr>
                <w:rFonts w:ascii="宋体" w:hAnsi="宋体"/>
                <w:sz w:val="24"/>
                <w:highlight w:val="none"/>
              </w:rPr>
            </w:r>
            <w:r/>
          </w:p>
        </w:tc>
        <w:tc>
          <w:tcPr>
            <w:tcW w:w="2772" w:type="dxa"/>
            <w:vAlign w:val="top"/>
            <w:textDirection w:val="lrTb"/>
            <w:noWrap w:val="false"/>
          </w:tcPr>
          <w:p>
            <w:pPr>
              <w:pStyle w:val="736"/>
              <w:spacing w:line="360" w:lineRule="atLeast"/>
              <w:widowControl/>
              <w:rPr>
                <w:rFonts w:ascii="宋体" w:hAnsi="宋体"/>
                <w:sz w:val="24"/>
                <w:highlight w:val="none"/>
              </w:rPr>
            </w:pPr>
            <w:r>
              <w:rPr>
                <w:rFonts w:ascii="宋体" w:hAnsi="宋体" w:cs="宋体"/>
                <w:sz w:val="24"/>
                <w:highlight w:val="none"/>
                <w:lang w:bidi="ar"/>
              </w:rPr>
              <w:t xml:space="preserve">需提供产品说明书或技术白皮书或国家认可的第三方检测机构出具的合格检验报告书等</w:t>
            </w:r>
            <w:r>
              <w:rPr>
                <w:rFonts w:ascii="宋体" w:hAnsi="宋体"/>
                <w:sz w:val="24"/>
                <w:highlight w:val="none"/>
              </w:rPr>
            </w:r>
            <w:r/>
          </w:p>
        </w:tc>
      </w:tr>
      <w:tr>
        <w:trPr/>
        <w:tc>
          <w:tcPr>
            <w:tcW w:w="551" w:type="dxa"/>
            <w:vAlign w:val="top"/>
            <w:textDirection w:val="lrTb"/>
            <w:noWrap w:val="false"/>
          </w:tcPr>
          <w:p>
            <w:pPr>
              <w:pStyle w:val="736"/>
              <w:jc w:val="center"/>
              <w:spacing w:line="360" w:lineRule="atLeast"/>
              <w:widowControl/>
              <w:rPr>
                <w:rFonts w:ascii="宋体" w:hAnsi="宋体"/>
                <w:highlight w:val="none"/>
              </w:rPr>
            </w:pPr>
            <w:r>
              <w:rPr>
                <w:rFonts w:ascii="宋体" w:hAnsi="宋体"/>
                <w:highlight w:val="none"/>
              </w:rPr>
              <w:t xml:space="preserve">18</w:t>
            </w:r>
            <w:r>
              <w:rPr>
                <w:rFonts w:ascii="宋体" w:hAnsi="宋体"/>
                <w:highlight w:val="none"/>
              </w:rPr>
            </w:r>
            <w:r/>
          </w:p>
        </w:tc>
        <w:tc>
          <w:tcPr>
            <w:tcW w:w="1996" w:type="dxa"/>
            <w:vAlign w:val="top"/>
            <w:textDirection w:val="lrTb"/>
            <w:noWrap w:val="false"/>
          </w:tcPr>
          <w:p>
            <w:pPr>
              <w:pStyle w:val="736"/>
              <w:spacing w:line="360" w:lineRule="atLeast"/>
              <w:widowControl/>
              <w:rPr>
                <w:rFonts w:ascii="宋体" w:hAnsi="宋体"/>
                <w:sz w:val="24"/>
                <w:highlight w:val="none"/>
              </w:rPr>
            </w:pPr>
            <w:r>
              <w:rPr>
                <w:rFonts w:hint="eastAsia" w:ascii="宋体" w:hAnsi="宋体"/>
                <w:sz w:val="24"/>
                <w:highlight w:val="none"/>
              </w:rPr>
              <w:t xml:space="preserve">工作条件</w:t>
            </w:r>
            <w:r>
              <w:rPr>
                <w:rFonts w:ascii="宋体" w:hAnsi="宋体"/>
                <w:sz w:val="24"/>
                <w:highlight w:val="none"/>
              </w:rPr>
            </w:r>
            <w:r/>
          </w:p>
        </w:tc>
        <w:tc>
          <w:tcPr>
            <w:tcW w:w="2977" w:type="dxa"/>
            <w:vAlign w:val="top"/>
            <w:textDirection w:val="lrTb"/>
            <w:noWrap w:val="false"/>
          </w:tcPr>
          <w:p>
            <w:pPr>
              <w:pStyle w:val="736"/>
              <w:spacing w:line="360" w:lineRule="atLeast"/>
              <w:widowControl/>
              <w:rPr>
                <w:rFonts w:ascii="宋体" w:hAnsi="宋体"/>
                <w:color w:val="ff0000"/>
                <w:sz w:val="24"/>
                <w:highlight w:val="none"/>
              </w:rPr>
            </w:pPr>
            <w:r>
              <w:rPr>
                <w:rFonts w:hint="eastAsia" w:ascii="宋体" w:hAnsi="宋体"/>
                <w:sz w:val="24"/>
                <w:highlight w:val="none"/>
              </w:rPr>
              <w:t xml:space="preserve">温度18-32°C，湿度35%-8</w:t>
            </w:r>
            <w:r>
              <w:rPr>
                <w:rFonts w:ascii="宋体" w:hAnsi="宋体"/>
                <w:sz w:val="24"/>
                <w:highlight w:val="none"/>
              </w:rPr>
              <w:t xml:space="preserve">0</w:t>
            </w:r>
            <w:r>
              <w:rPr>
                <w:rFonts w:hint="eastAsia" w:ascii="宋体" w:hAnsi="宋体"/>
                <w:sz w:val="24"/>
                <w:highlight w:val="none"/>
              </w:rPr>
              <w:t xml:space="preserve">%</w:t>
            </w:r>
            <w:r>
              <w:rPr>
                <w:rFonts w:ascii="宋体" w:hAnsi="宋体"/>
                <w:color w:val="ff0000"/>
                <w:sz w:val="24"/>
                <w:highlight w:val="none"/>
              </w:rPr>
            </w:r>
            <w:r/>
          </w:p>
        </w:tc>
        <w:tc>
          <w:tcPr>
            <w:tcW w:w="2772" w:type="dxa"/>
            <w:vAlign w:val="top"/>
            <w:textDirection w:val="lrTb"/>
            <w:noWrap w:val="false"/>
          </w:tcPr>
          <w:p>
            <w:pPr>
              <w:pStyle w:val="736"/>
              <w:spacing w:line="360" w:lineRule="atLeast"/>
              <w:widowControl/>
              <w:rPr>
                <w:rFonts w:ascii="宋体" w:hAnsi="宋体"/>
                <w:sz w:val="24"/>
                <w:highlight w:val="none"/>
              </w:rPr>
            </w:pPr>
            <w:r>
              <w:rPr>
                <w:rFonts w:hint="eastAsia" w:ascii="宋体" w:hAnsi="宋体"/>
                <w:sz w:val="24"/>
                <w:highlight w:val="none"/>
              </w:rPr>
              <w:t xml:space="preserve">适配中心诊室现有环境</w:t>
            </w:r>
            <w:r>
              <w:rPr>
                <w:rFonts w:ascii="宋体" w:hAnsi="宋体"/>
                <w:sz w:val="24"/>
                <w:highlight w:val="none"/>
              </w:rPr>
            </w:r>
            <w:r/>
          </w:p>
        </w:tc>
      </w:tr>
      <w:tr>
        <w:trPr/>
        <w:tc>
          <w:tcPr>
            <w:tcW w:w="551" w:type="dxa"/>
            <w:vAlign w:val="top"/>
            <w:textDirection w:val="lrTb"/>
            <w:noWrap w:val="false"/>
          </w:tcPr>
          <w:p>
            <w:pPr>
              <w:pStyle w:val="736"/>
              <w:jc w:val="center"/>
              <w:spacing w:line="360" w:lineRule="atLeast"/>
              <w:widowControl/>
              <w:rPr>
                <w:rFonts w:ascii="宋体" w:hAnsi="宋体"/>
                <w:highlight w:val="none"/>
              </w:rPr>
            </w:pPr>
            <w:r>
              <w:rPr>
                <w:rFonts w:ascii="宋体" w:hAnsi="宋体"/>
                <w:highlight w:val="none"/>
              </w:rPr>
              <w:t xml:space="preserve">19</w:t>
            </w:r>
            <w:r>
              <w:rPr>
                <w:rFonts w:ascii="宋体" w:hAnsi="宋体"/>
                <w:highlight w:val="none"/>
              </w:rPr>
            </w:r>
            <w:r/>
          </w:p>
        </w:tc>
        <w:tc>
          <w:tcPr>
            <w:tcW w:w="1996" w:type="dxa"/>
            <w:vAlign w:val="top"/>
            <w:textDirection w:val="lrTb"/>
            <w:noWrap w:val="false"/>
          </w:tcPr>
          <w:p>
            <w:pPr>
              <w:pStyle w:val="736"/>
              <w:spacing w:line="360" w:lineRule="atLeast"/>
              <w:widowControl/>
              <w:rPr>
                <w:rFonts w:ascii="宋体" w:hAnsi="宋体"/>
                <w:sz w:val="24"/>
                <w:highlight w:val="none"/>
              </w:rPr>
            </w:pPr>
            <w:r>
              <w:rPr>
                <w:rFonts w:hint="eastAsia" w:ascii="宋体" w:hAnsi="宋体"/>
                <w:sz w:val="24"/>
                <w:highlight w:val="none"/>
              </w:rPr>
              <w:t xml:space="preserve">试剂系统</w:t>
            </w:r>
            <w:r>
              <w:rPr>
                <w:rFonts w:ascii="宋体" w:hAnsi="宋体"/>
                <w:sz w:val="24"/>
                <w:highlight w:val="none"/>
              </w:rPr>
            </w:r>
            <w:r/>
          </w:p>
        </w:tc>
        <w:tc>
          <w:tcPr>
            <w:tcW w:w="2977" w:type="dxa"/>
            <w:vAlign w:val="top"/>
            <w:textDirection w:val="lrTb"/>
            <w:noWrap w:val="false"/>
          </w:tcPr>
          <w:p>
            <w:pPr>
              <w:pStyle w:val="736"/>
              <w:spacing w:line="360" w:lineRule="atLeast"/>
              <w:widowControl/>
              <w:rPr>
                <w:rFonts w:ascii="宋体" w:hAnsi="宋体"/>
                <w:sz w:val="24"/>
                <w:highlight w:val="none"/>
              </w:rPr>
            </w:pPr>
            <w:r>
              <w:rPr>
                <w:rFonts w:hint="eastAsia" w:ascii="宋体" w:hAnsi="宋体"/>
                <w:sz w:val="24"/>
                <w:highlight w:val="none"/>
              </w:rPr>
              <w:t xml:space="preserve">试剂支持全开放</w:t>
            </w:r>
            <w:r>
              <w:rPr>
                <w:rFonts w:ascii="宋体" w:hAnsi="宋体"/>
                <w:sz w:val="24"/>
                <w:highlight w:val="none"/>
              </w:rPr>
            </w:r>
            <w:r/>
          </w:p>
        </w:tc>
        <w:tc>
          <w:tcPr>
            <w:tcW w:w="2772" w:type="dxa"/>
            <w:vAlign w:val="top"/>
            <w:textDirection w:val="lrTb"/>
            <w:noWrap w:val="false"/>
          </w:tcPr>
          <w:p>
            <w:pPr>
              <w:pStyle w:val="736"/>
              <w:spacing w:line="360" w:lineRule="atLeast"/>
              <w:widowControl/>
              <w:rPr>
                <w:rFonts w:ascii="宋体" w:hAnsi="宋体"/>
                <w:sz w:val="24"/>
                <w:highlight w:val="none"/>
              </w:rPr>
            </w:pPr>
            <w:r>
              <w:rPr>
                <w:rFonts w:hint="eastAsia" w:ascii="宋体" w:hAnsi="宋体"/>
                <w:sz w:val="24"/>
                <w:highlight w:val="none"/>
              </w:rPr>
              <w:t xml:space="preserve">提供承诺函</w:t>
            </w:r>
            <w:r>
              <w:rPr>
                <w:rFonts w:ascii="宋体" w:hAnsi="宋体"/>
                <w:sz w:val="24"/>
                <w:highlight w:val="none"/>
              </w:rPr>
            </w:r>
            <w:r/>
          </w:p>
        </w:tc>
      </w:tr>
    </w:tbl>
    <w:p>
      <w:pPr>
        <w:pStyle w:val="738"/>
        <w:ind w:firstLine="482"/>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（三）设备配套要求</w:t>
      </w:r>
      <w:r>
        <w:rPr>
          <w:rFonts w:hint="eastAsia" w:ascii="宋体" w:hAnsi="宋体" w:eastAsia="宋体" w:cs="宋体"/>
          <w:color w:val="000000"/>
          <w:sz w:val="24"/>
          <w:szCs w:val="24"/>
          <w:highlight w:val="none"/>
        </w:rPr>
      </w:r>
      <w:r/>
    </w:p>
    <w:p>
      <w:pPr>
        <w:pStyle w:val="738"/>
        <w:ind w:firstLine="480"/>
        <w:jc w:val="left"/>
        <w:keepLines w:val="0"/>
        <w:keepNext w:val="0"/>
        <w:pageBreakBefore w:val="0"/>
        <w:spacing w:beforeAutospacing="0" w:afterAutospacing="0" w:line="360" w:lineRule="auto"/>
        <w:widowControl/>
        <w:rPr>
          <w:b w:val="0"/>
          <w:sz w:val="24"/>
          <w:szCs w:val="24"/>
          <w:highlight w:val="none"/>
        </w:rPr>
      </w:pPr>
      <w:r>
        <w:rPr>
          <w:b w:val="0"/>
          <w:sz w:val="24"/>
          <w:highlight w:val="none"/>
        </w:rPr>
        <w:t xml:space="preserve">1.标准配件：需随设备提供全套原厂标准配件（</w:t>
      </w:r>
      <w:bookmarkStart w:id="70" w:name="OLE_LINK1"/>
      <w:r>
        <w:rPr>
          <w:b w:val="0"/>
          <w:sz w:val="24"/>
          <w:highlight w:val="none"/>
        </w:rPr>
        <w:t xml:space="preserve">包括但不限于</w:t>
      </w:r>
      <w:bookmarkEnd w:id="70"/>
      <w:r>
        <w:rPr>
          <w:b w:val="0"/>
          <w:sz w:val="24"/>
          <w:highlight w:val="none"/>
        </w:rPr>
        <w:t xml:space="preserve">样本针、试剂针、比色杯、冲洗管路等），配件为全新原厂正品，与主机完全匹配；</w:t>
      </w:r>
      <w:r>
        <w:rPr>
          <w:b w:val="0"/>
          <w:sz w:val="24"/>
          <w:szCs w:val="24"/>
          <w:highlight w:val="none"/>
        </w:rPr>
      </w:r>
      <w:r/>
    </w:p>
    <w:p>
      <w:pPr>
        <w:pStyle w:val="736"/>
        <w:ind w:firstLine="480"/>
        <w:jc w:val="left"/>
        <w:keepLines w:val="0"/>
        <w:keepNext w:val="0"/>
        <w:pageBreakBefore w:val="0"/>
        <w:spacing w:line="360" w:lineRule="auto"/>
        <w:widowControl/>
        <w:tabs>
          <w:tab w:val="left" w:pos="720" w:leader="none"/>
        </w:tabs>
        <w:rPr>
          <w:sz w:val="24"/>
          <w:highlight w:val="none"/>
        </w:rPr>
      </w:pPr>
      <w:r>
        <w:rPr>
          <w:rFonts w:hint="eastAsia"/>
          <w:sz w:val="24"/>
          <w:highlight w:val="none"/>
        </w:rPr>
        <w:t xml:space="preserve">2</w:t>
      </w:r>
      <w:r>
        <w:rPr>
          <w:sz w:val="24"/>
          <w:highlight w:val="none"/>
        </w:rPr>
        <w:t xml:space="preserve">.首次耗材：免费提供满足设备正常运行 3 个月的专用配套耗材</w:t>
      </w:r>
      <w:r>
        <w:rPr>
          <w:rFonts w:hint="eastAsia"/>
          <w:sz w:val="24"/>
          <w:highlight w:val="none"/>
        </w:rPr>
        <w:t xml:space="preserve">（</w:t>
      </w:r>
      <w:r>
        <w:rPr>
          <w:sz w:val="24"/>
          <w:highlight w:val="none"/>
        </w:rPr>
        <w:t xml:space="preserve">包括但不限于</w:t>
      </w:r>
      <w:r>
        <w:rPr>
          <w:rFonts w:hint="eastAsia"/>
          <w:sz w:val="24"/>
          <w:highlight w:val="none"/>
        </w:rPr>
        <w:t xml:space="preserve">灯泡、比色杯和清洗液等</w:t>
      </w:r>
      <w:r>
        <w:rPr>
          <w:sz w:val="24"/>
          <w:highlight w:val="none"/>
        </w:rPr>
        <w:t xml:space="preserve">），耗材符合国家相关质量标准；</w:t>
      </w:r>
      <w:r>
        <w:rPr>
          <w:sz w:val="24"/>
          <w:highlight w:val="none"/>
        </w:rPr>
      </w:r>
      <w:r/>
    </w:p>
    <w:p>
      <w:pPr>
        <w:pStyle w:val="736"/>
        <w:ind w:firstLine="480"/>
        <w:jc w:val="left"/>
        <w:keepLines w:val="0"/>
        <w:keepNext w:val="0"/>
        <w:pageBreakBefore w:val="0"/>
        <w:spacing w:line="360" w:lineRule="auto"/>
        <w:widowControl/>
        <w:tabs>
          <w:tab w:val="left" w:pos="720" w:leader="none"/>
        </w:tabs>
        <w:rPr>
          <w:sz w:val="24"/>
          <w:highlight w:val="none"/>
        </w:rPr>
      </w:pPr>
      <w:r>
        <w:rPr>
          <w:rFonts w:hint="eastAsia"/>
          <w:sz w:val="24"/>
          <w:highlight w:val="none"/>
        </w:rPr>
        <w:t xml:space="preserve">3</w:t>
      </w:r>
      <w:r>
        <w:rPr>
          <w:sz w:val="24"/>
          <w:highlight w:val="none"/>
        </w:rPr>
        <w:t xml:space="preserve">.技术资料：每套设备需提供完整的技术资料，包括但不限于：原厂产品说明书、操作手册、维修手册、校准规范、产品合格证、检测报告、保修卡等（纸质版≥</w:t>
      </w:r>
      <w:r>
        <w:rPr>
          <w:rFonts w:hint="eastAsia"/>
          <w:sz w:val="24"/>
          <w:highlight w:val="none"/>
        </w:rPr>
        <w:t xml:space="preserve">1</w:t>
      </w:r>
      <w:r>
        <w:rPr>
          <w:sz w:val="24"/>
          <w:highlight w:val="none"/>
        </w:rPr>
        <w:t xml:space="preserve"> 套，电子版 1 套）。</w:t>
      </w:r>
      <w:r>
        <w:rPr>
          <w:sz w:val="24"/>
          <w:highlight w:val="none"/>
        </w:rPr>
      </w:r>
      <w:r/>
    </w:p>
    <w:p>
      <w:pPr>
        <w:pStyle w:val="736"/>
        <w:ind w:firstLine="480"/>
        <w:jc w:val="left"/>
        <w:keepLines w:val="0"/>
        <w:keepNext w:val="0"/>
        <w:pageBreakBefore w:val="0"/>
        <w:spacing w:line="360" w:lineRule="auto"/>
        <w:widowControl/>
        <w:tabs>
          <w:tab w:val="left" w:pos="720" w:leader="none"/>
        </w:tabs>
        <w:rPr>
          <w:rFonts w:hint="eastAsia" w:ascii="宋体" w:hAnsi="宋体" w:eastAsia="宋体" w:cs="宋体"/>
          <w:color w:val="000000"/>
          <w:sz w:val="24"/>
          <w:szCs w:val="24"/>
          <w:highlight w:val="none"/>
        </w:rPr>
      </w:pPr>
      <w:r>
        <w:rPr>
          <w:rFonts w:hint="eastAsia"/>
          <w:sz w:val="24"/>
          <w:highlight w:val="none"/>
        </w:rPr>
        <w:t xml:space="preserve">4</w:t>
      </w:r>
      <w:r>
        <w:rPr>
          <w:sz w:val="24"/>
          <w:highlight w:val="none"/>
        </w:rPr>
        <w:t xml:space="preserve">.</w:t>
      </w:r>
      <w:r>
        <w:rPr>
          <w:rFonts w:hint="eastAsia"/>
          <w:sz w:val="24"/>
          <w:highlight w:val="none"/>
        </w:rPr>
        <w:t xml:space="preserve">配套设备：提供适配单机生化仪器的</w:t>
      </w:r>
      <w:r>
        <w:rPr>
          <w:sz w:val="24"/>
          <w:highlight w:val="none"/>
        </w:rPr>
        <w:t xml:space="preserve">100L</w:t>
      </w:r>
      <w:r>
        <w:rPr>
          <w:rFonts w:hint="eastAsia"/>
          <w:sz w:val="24"/>
          <w:highlight w:val="none"/>
        </w:rPr>
        <w:t xml:space="preserve">纯水机、工频6KV稳压电源（UPS）和中文工作站各一台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7"/>
        <w:ind w:firstLine="482"/>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三、供货及安装调试要求</w:t>
      </w:r>
      <w:r>
        <w:rPr>
          <w:rFonts w:hint="eastAsia" w:ascii="宋体" w:hAnsi="宋体" w:eastAsia="宋体" w:cs="宋体"/>
          <w:color w:val="000000"/>
          <w:sz w:val="24"/>
          <w:szCs w:val="24"/>
          <w:highlight w:val="none"/>
        </w:rPr>
      </w:r>
      <w:r/>
    </w:p>
    <w:p>
      <w:pPr>
        <w:pStyle w:val="736"/>
        <w:ind w:firstLine="480"/>
        <w:jc w:val="left"/>
        <w:keepLines w:val="0"/>
        <w:keepNext w:val="0"/>
        <w:pageBreakBefore w:val="0"/>
        <w:spacing w:line="360" w:lineRule="auto"/>
        <w:widowControl/>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1.供货要求：① 设备为</w:t>
      </w:r>
      <w:r>
        <w:rPr>
          <w:rStyle w:val="770"/>
          <w:rFonts w:hint="eastAsia" w:ascii="宋体" w:hAnsi="宋体" w:eastAsia="宋体" w:cs="宋体"/>
          <w:bCs/>
          <w:color w:val="000000"/>
          <w:sz w:val="24"/>
          <w:szCs w:val="24"/>
          <w:highlight w:val="none"/>
        </w:rPr>
        <w:t xml:space="preserve">全新未拆封原厂正品</w:t>
      </w:r>
      <w:r>
        <w:rPr>
          <w:rFonts w:hint="eastAsia" w:ascii="宋体" w:hAnsi="宋体" w:eastAsia="宋体" w:cs="宋体"/>
          <w:color w:val="000000"/>
          <w:sz w:val="24"/>
          <w:szCs w:val="24"/>
          <w:highlight w:val="none"/>
        </w:rPr>
        <w:t xml:space="preserve">，无翻新、组装、贴牌情况，需提供厂家原厂供货证明及产品合格证；② 供货周期为合同签订后</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个工作日内，送货至采购人指定地点（</w:t>
      </w:r>
      <w:bookmarkStart w:id="71" w:name="OLE_LINK68"/>
      <w:r>
        <w:rPr>
          <w:rFonts w:hint="eastAsia" w:ascii="宋体" w:hAnsi="宋体" w:eastAsia="宋体" w:cs="宋体"/>
          <w:color w:val="000000"/>
          <w:sz w:val="24"/>
          <w:szCs w:val="24"/>
          <w:highlight w:val="none"/>
          <w:u w:val="single"/>
        </w:rPr>
        <w:t xml:space="preserve">预防医学健康服务科</w:t>
      </w:r>
      <w:bookmarkEnd w:id="71"/>
      <w:r>
        <w:rPr>
          <w:rFonts w:hint="eastAsia" w:ascii="宋体" w:hAnsi="宋体" w:eastAsia="宋体" w:cs="宋体"/>
          <w:color w:val="000000"/>
          <w:sz w:val="24"/>
          <w:szCs w:val="24"/>
          <w:highlight w:val="none"/>
        </w:rPr>
        <w:t xml:space="preserve">）；③ 运输过程中需做好防震、防潮、防损防护，若出现设备损坏、配件缺失，由供应商无条件更换并承担全部费用。</w:t>
      </w:r>
      <w:r>
        <w:rPr>
          <w:rFonts w:hint="eastAsia" w:ascii="宋体" w:hAnsi="宋体" w:eastAsia="宋体" w:cs="宋体"/>
          <w:color w:val="000000"/>
          <w:sz w:val="24"/>
          <w:szCs w:val="24"/>
          <w:highlight w:val="none"/>
        </w:rPr>
      </w:r>
      <w:r/>
    </w:p>
    <w:p>
      <w:pPr>
        <w:pStyle w:val="736"/>
        <w:ind w:firstLine="480"/>
        <w:jc w:val="left"/>
        <w:keepLines w:val="0"/>
        <w:keepNext w:val="0"/>
        <w:pageBreakBefore w:val="0"/>
        <w:spacing w:line="360" w:lineRule="auto"/>
        <w:widowControl/>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2.安装调试：① 供应商需安排具备相应资质的专业技术人员上门安装调试，在设备到货后_</w:t>
      </w:r>
      <w:r>
        <w:rPr>
          <w:rFonts w:hint="eastAsia" w:ascii="宋体" w:hAnsi="宋体" w:eastAsia="宋体" w:cs="宋体"/>
          <w:color w:val="000000"/>
          <w:sz w:val="24"/>
          <w:szCs w:val="24"/>
          <w:highlight w:val="none"/>
          <w:u w:val="single"/>
        </w:rPr>
        <w:t xml:space="preserve">5</w:t>
      </w:r>
      <w:r>
        <w:rPr>
          <w:rFonts w:hint="eastAsia" w:ascii="宋体" w:hAnsi="宋体" w:eastAsia="宋体" w:cs="宋体"/>
          <w:color w:val="000000"/>
          <w:sz w:val="24"/>
          <w:szCs w:val="24"/>
          <w:highlight w:val="none"/>
        </w:rPr>
        <w:t xml:space="preserve">个工作日内完成安装、调试、校准工作，确保设备各项指标达到本需求书约定标准；② 安装调试过程中需遵守采购人实验室管理规定，做好现场防护，避免对现有设备</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环境造成损坏；③ 设备安装调试完成后，需向采购人提供安装调试报告，明确设备运行指标及校准结果。</w:t>
      </w:r>
      <w:r>
        <w:rPr>
          <w:rFonts w:hint="eastAsia" w:ascii="宋体" w:hAnsi="宋体" w:eastAsia="宋体" w:cs="宋体"/>
          <w:color w:val="000000"/>
          <w:sz w:val="24"/>
          <w:szCs w:val="24"/>
          <w:highlight w:val="none"/>
        </w:rPr>
      </w:r>
      <w:r/>
    </w:p>
    <w:p>
      <w:pPr>
        <w:pStyle w:val="737"/>
        <w:ind w:firstLine="482"/>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四、技术培训要求</w:t>
      </w:r>
      <w:r>
        <w:rPr>
          <w:rFonts w:hint="eastAsia" w:ascii="宋体" w:hAnsi="宋体" w:eastAsia="宋体" w:cs="宋体"/>
          <w:color w:val="000000"/>
          <w:sz w:val="24"/>
          <w:szCs w:val="24"/>
          <w:highlight w:val="none"/>
        </w:rPr>
      </w:r>
      <w:r/>
    </w:p>
    <w:p>
      <w:pPr>
        <w:pStyle w:val="736"/>
        <w:ind w:firstLine="480"/>
        <w:jc w:val="left"/>
        <w:keepLines w:val="0"/>
        <w:keepNext w:val="0"/>
        <w:pageBreakBefore w:val="0"/>
        <w:spacing w:line="360" w:lineRule="auto"/>
        <w:widowControl/>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1.培训目标：确保采购人操作及维护人员能够熟练掌握设备的基本操作、日常维护、数据处理、简单故障排查及应急处理技能，能独立完成设备正常运行及日常管理。</w:t>
      </w:r>
      <w:r>
        <w:rPr>
          <w:rFonts w:hint="eastAsia" w:ascii="宋体" w:hAnsi="宋体" w:eastAsia="宋体" w:cs="宋体"/>
          <w:color w:val="000000"/>
          <w:sz w:val="24"/>
          <w:szCs w:val="24"/>
          <w:highlight w:val="none"/>
        </w:rPr>
      </w:r>
      <w:r/>
    </w:p>
    <w:p>
      <w:pPr>
        <w:pStyle w:val="736"/>
        <w:ind w:firstLine="480"/>
        <w:jc w:val="left"/>
        <w:keepLines w:val="0"/>
        <w:keepNext w:val="0"/>
        <w:pageBreakBefore w:val="0"/>
        <w:spacing w:line="360" w:lineRule="auto"/>
        <w:widowControl/>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2.培训安排：① 培训方式：</w:t>
      </w:r>
      <w:r>
        <w:rPr>
          <w:rStyle w:val="770"/>
          <w:rFonts w:hint="eastAsia" w:ascii="宋体" w:hAnsi="宋体" w:eastAsia="宋体" w:cs="宋体"/>
          <w:bCs/>
          <w:color w:val="000000"/>
          <w:sz w:val="24"/>
          <w:szCs w:val="24"/>
          <w:highlight w:val="none"/>
        </w:rPr>
        <w:t xml:space="preserve">现场实操培训</w:t>
      </w:r>
      <w:r>
        <w:rPr>
          <w:rFonts w:hint="eastAsia" w:ascii="宋体" w:hAnsi="宋体" w:eastAsia="宋体" w:cs="宋体"/>
          <w:color w:val="000000"/>
          <w:sz w:val="24"/>
          <w:szCs w:val="24"/>
          <w:highlight w:val="none"/>
        </w:rPr>
        <w:t xml:space="preserve">，结合设备实际操作场景开展，不采用线上远程培训；② 培训人员：供应商需安排原厂资深技术人员担任讲师，具备至少 3 年以上同类设备培训经验；③ 培训对象：采购人指定的</w:t>
      </w:r>
      <w:r>
        <w:rPr>
          <w:rFonts w:hint="eastAsia" w:ascii="宋体" w:hAnsi="宋体" w:eastAsia="宋体" w:cs="宋体"/>
          <w:color w:val="000000"/>
          <w:sz w:val="24"/>
          <w:szCs w:val="24"/>
          <w:highlight w:val="none"/>
          <w:u w:val="single"/>
        </w:rPr>
        <w:t xml:space="preserve">5</w:t>
      </w:r>
      <w:r>
        <w:rPr>
          <w:rFonts w:hint="eastAsia" w:ascii="宋体" w:hAnsi="宋体" w:eastAsia="宋体" w:cs="宋体"/>
          <w:color w:val="000000"/>
          <w:sz w:val="24"/>
          <w:szCs w:val="24"/>
          <w:highlight w:val="none"/>
        </w:rPr>
        <w:t xml:space="preserve">名操作人员及</w:t>
      </w: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rPr>
        <w:t xml:space="preserve">名维护人员；④ 培训时长：不少于</w:t>
      </w: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rPr>
        <w:t xml:space="preserve">个工作日，可根据学员掌握情况适当延长，直至全部学员考核合格；⑤ 培训考核：培训结束后组织现场考核，考核不合格的，供应商需免费提供二次培训，直至考核合格。</w:t>
      </w:r>
      <w:r>
        <w:rPr>
          <w:rFonts w:hint="eastAsia" w:ascii="宋体" w:hAnsi="宋体" w:eastAsia="宋体" w:cs="宋体"/>
          <w:color w:val="000000"/>
          <w:sz w:val="24"/>
          <w:szCs w:val="24"/>
          <w:highlight w:val="none"/>
        </w:rPr>
      </w:r>
      <w:r/>
    </w:p>
    <w:p>
      <w:pPr>
        <w:pStyle w:val="736"/>
        <w:ind w:firstLine="480"/>
        <w:jc w:val="left"/>
        <w:keepLines w:val="0"/>
        <w:keepNext w:val="0"/>
        <w:pageBreakBefore w:val="0"/>
        <w:spacing w:line="360" w:lineRule="auto"/>
        <w:widowControl/>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3.培训资料：免费提供培训教材（纸质版≥5套，电子版1套），教材内容需贴合疾控工作实际，包含操作步骤、维护要点、故障排查手册等。</w:t>
      </w:r>
      <w:r>
        <w:rPr>
          <w:rFonts w:hint="eastAsia" w:ascii="宋体" w:hAnsi="宋体" w:eastAsia="宋体" w:cs="宋体"/>
          <w:color w:val="000000"/>
          <w:sz w:val="24"/>
          <w:szCs w:val="24"/>
          <w:highlight w:val="none"/>
        </w:rPr>
      </w:r>
      <w:r/>
    </w:p>
    <w:p>
      <w:pPr>
        <w:pStyle w:val="737"/>
        <w:ind w:firstLine="482"/>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五、售后服务要求</w:t>
      </w:r>
      <w:r>
        <w:rPr>
          <w:rFonts w:hint="eastAsia" w:ascii="宋体" w:hAnsi="宋体" w:eastAsia="宋体" w:cs="宋体"/>
          <w:color w:val="000000"/>
          <w:sz w:val="24"/>
          <w:szCs w:val="24"/>
          <w:highlight w:val="none"/>
        </w:rPr>
      </w:r>
      <w:r/>
    </w:p>
    <w:p>
      <w:pPr>
        <w:pStyle w:val="738"/>
        <w:ind w:firstLine="482"/>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（一）质保服务</w:t>
      </w:r>
      <w:r>
        <w:rPr>
          <w:rFonts w:hint="eastAsia" w:ascii="宋体" w:hAnsi="宋体" w:eastAsia="宋体" w:cs="宋体"/>
          <w:color w:val="000000"/>
          <w:sz w:val="24"/>
          <w:szCs w:val="24"/>
          <w:highlight w:val="none"/>
        </w:rPr>
      </w:r>
      <w:r/>
    </w:p>
    <w:p>
      <w:pPr>
        <w:pStyle w:val="736"/>
        <w:ind w:firstLine="480"/>
        <w:jc w:val="left"/>
        <w:keepLines w:val="0"/>
        <w:keepNext w:val="0"/>
        <w:pageBreakBefore w:val="0"/>
        <w:spacing w:line="360" w:lineRule="auto"/>
        <w:widowControl/>
        <w:tabs>
          <w:tab w:val="left" w:pos="720" w:leader="none"/>
        </w:tabs>
        <w:rPr>
          <w:color w:val="000000"/>
          <w:sz w:val="24"/>
          <w:highlight w:val="none"/>
        </w:rPr>
      </w:pPr>
      <w:r>
        <w:rPr>
          <w:rFonts w:hint="eastAsia"/>
          <w:color w:val="000000"/>
          <w:sz w:val="24"/>
          <w:highlight w:val="none"/>
        </w:rPr>
        <w:t xml:space="preserve">1</w:t>
      </w:r>
      <w:r>
        <w:rPr>
          <w:color w:val="000000"/>
          <w:sz w:val="24"/>
          <w:highlight w:val="none"/>
        </w:rPr>
        <w:t xml:space="preserve">.质保期限：设备整机免费质保期不少于</w:t>
      </w:r>
      <w:r>
        <w:rPr>
          <w:color w:val="000000"/>
          <w:sz w:val="24"/>
          <w:highlight w:val="none"/>
          <w:u w:val="single"/>
        </w:rPr>
        <w:t xml:space="preserve">3</w:t>
      </w:r>
      <w:r>
        <w:rPr>
          <w:color w:val="000000"/>
          <w:sz w:val="24"/>
          <w:highlight w:val="none"/>
        </w:rPr>
        <w:t xml:space="preserve">年，自设备安装调试完成并验收合格之日起计算；质保期内，所有配件的维修、更换均为免费，无任何隐形收费。</w:t>
      </w:r>
      <w:r>
        <w:rPr>
          <w:color w:val="000000"/>
          <w:sz w:val="24"/>
          <w:highlight w:val="none"/>
        </w:rPr>
      </w:r>
      <w:r/>
    </w:p>
    <w:p>
      <w:pPr>
        <w:pStyle w:val="736"/>
        <w:ind w:firstLine="480"/>
        <w:keepLines w:val="0"/>
        <w:keepNext w:val="0"/>
        <w:pageBreakBefore w:val="0"/>
        <w:spacing w:line="360" w:lineRule="auto"/>
        <w:widowControl/>
        <w:tabs>
          <w:tab w:val="left" w:pos="720" w:leader="none"/>
        </w:tabs>
        <w:rPr>
          <w:color w:val="000000"/>
          <w:sz w:val="24"/>
          <w:highlight w:val="none"/>
        </w:rPr>
      </w:pPr>
      <w:r>
        <w:rPr>
          <w:rFonts w:hint="eastAsia"/>
          <w:color w:val="000000"/>
          <w:sz w:val="24"/>
          <w:highlight w:val="none"/>
        </w:rPr>
        <w:t xml:space="preserve">2</w:t>
      </w:r>
      <w:r>
        <w:rPr>
          <w:color w:val="000000"/>
          <w:sz w:val="24"/>
          <w:highlight w:val="none"/>
        </w:rPr>
        <w:t xml:space="preserve">.质保范围：涵盖设备主机、标准配件、软件系统的所有质量问题，因供应商设备质量、安装调试不当导致的设备故障，由供应商无条件维修</w:t>
      </w:r>
      <w:r>
        <w:rPr>
          <w:rFonts w:hint="eastAsia"/>
          <w:color w:val="000000"/>
          <w:sz w:val="24"/>
          <w:highlight w:val="none"/>
          <w:lang w:val="en-US" w:eastAsia="zh-CN"/>
        </w:rPr>
        <w:t xml:space="preserve">/</w:t>
      </w:r>
      <w:r>
        <w:rPr>
          <w:color w:val="000000"/>
          <w:sz w:val="24"/>
          <w:highlight w:val="none"/>
        </w:rPr>
        <w:t xml:space="preserve">更换，并承担由此给采购人造成的损失。</w:t>
      </w:r>
      <w:r>
        <w:rPr>
          <w:color w:val="000000"/>
          <w:sz w:val="24"/>
          <w:highlight w:val="none"/>
        </w:rPr>
      </w:r>
      <w:r/>
    </w:p>
    <w:p>
      <w:pPr>
        <w:pStyle w:val="738"/>
        <w:ind w:firstLine="482"/>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（二）售后响应</w:t>
      </w:r>
      <w:r>
        <w:rPr>
          <w:rFonts w:hint="eastAsia" w:ascii="宋体" w:hAnsi="宋体" w:eastAsia="宋体" w:cs="宋体"/>
          <w:color w:val="000000"/>
          <w:sz w:val="24"/>
          <w:szCs w:val="24"/>
          <w:highlight w:val="none"/>
        </w:rPr>
      </w:r>
      <w:r/>
    </w:p>
    <w:p>
      <w:pPr>
        <w:pStyle w:val="736"/>
        <w:ind w:firstLine="480"/>
        <w:jc w:val="left"/>
        <w:keepLines w:val="0"/>
        <w:keepNext w:val="0"/>
        <w:pageBreakBefore w:val="0"/>
        <w:spacing w:line="360" w:lineRule="auto"/>
        <w:widowControl/>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1.响应时效：提供 7×24 小时全天候售后服务，接到采购人故障报修后，</w:t>
      </w:r>
      <w:r>
        <w:rPr>
          <w:rStyle w:val="770"/>
          <w:rFonts w:hint="eastAsia" w:ascii="宋体" w:hAnsi="宋体" w:eastAsia="宋体" w:cs="宋体"/>
          <w:bCs/>
          <w:color w:val="000000"/>
          <w:sz w:val="24"/>
          <w:szCs w:val="24"/>
          <w:highlight w:val="none"/>
        </w:rPr>
        <w:t xml:space="preserve">本地供应商</w:t>
      </w:r>
      <w:r>
        <w:rPr>
          <w:rFonts w:hint="eastAsia" w:ascii="宋体" w:hAnsi="宋体" w:eastAsia="宋体" w:cs="宋体"/>
          <w:color w:val="000000"/>
          <w:sz w:val="24"/>
          <w:szCs w:val="24"/>
          <w:highlight w:val="none"/>
        </w:rPr>
        <w:t xml:space="preserve">需在</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小时内到达现场处理；</w:t>
      </w:r>
      <w:r>
        <w:rPr>
          <w:rStyle w:val="770"/>
          <w:rFonts w:hint="eastAsia" w:ascii="宋体" w:hAnsi="宋体" w:eastAsia="宋体" w:cs="宋体"/>
          <w:bCs/>
          <w:color w:val="000000"/>
          <w:sz w:val="24"/>
          <w:szCs w:val="24"/>
          <w:highlight w:val="none"/>
        </w:rPr>
        <w:t xml:space="preserve">异地供应商</w:t>
      </w:r>
      <w:r>
        <w:rPr>
          <w:rFonts w:hint="eastAsia" w:ascii="宋体" w:hAnsi="宋体" w:eastAsia="宋体" w:cs="宋体"/>
          <w:color w:val="000000"/>
          <w:sz w:val="24"/>
          <w:szCs w:val="24"/>
          <w:highlight w:val="none"/>
        </w:rPr>
        <w:t xml:space="preserve">需在</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小时内做出响应，</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小时内到达现场处理。</w:t>
      </w:r>
      <w:r>
        <w:rPr>
          <w:rFonts w:hint="eastAsia" w:ascii="宋体" w:hAnsi="宋体" w:eastAsia="宋体" w:cs="宋体"/>
          <w:color w:val="000000"/>
          <w:sz w:val="24"/>
          <w:szCs w:val="24"/>
          <w:highlight w:val="none"/>
        </w:rPr>
      </w:r>
      <w:r/>
    </w:p>
    <w:p>
      <w:pPr>
        <w:pStyle w:val="736"/>
        <w:ind w:firstLine="480"/>
        <w:jc w:val="left"/>
        <w:keepLines w:val="0"/>
        <w:keepNext w:val="0"/>
        <w:pageBreakBefore w:val="0"/>
        <w:spacing w:line="360" w:lineRule="auto"/>
        <w:widowControl/>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2.故障处理：一般故障需在</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小时内解决，重大故障需在</w:t>
      </w: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000000"/>
          <w:sz w:val="24"/>
          <w:szCs w:val="24"/>
          <w:highlight w:val="none"/>
        </w:rPr>
        <w:t xml:space="preserve">小时内提出解决方案，若设备无法在规定时间内修复，供应商需提供同等规格的备用设备供采购人临时使用，直至故障设备修复完成。</w:t>
      </w:r>
      <w:r>
        <w:rPr>
          <w:rFonts w:hint="eastAsia" w:ascii="宋体" w:hAnsi="宋体" w:eastAsia="宋体" w:cs="宋体"/>
          <w:color w:val="000000"/>
          <w:sz w:val="24"/>
          <w:szCs w:val="24"/>
          <w:highlight w:val="none"/>
        </w:rPr>
      </w:r>
      <w:r/>
    </w:p>
    <w:p>
      <w:pPr>
        <w:pStyle w:val="738"/>
        <w:ind w:firstLine="482"/>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（三）后续服务</w:t>
      </w:r>
      <w:r>
        <w:rPr>
          <w:rFonts w:hint="eastAsia" w:ascii="宋体" w:hAnsi="宋体" w:eastAsia="宋体" w:cs="宋体"/>
          <w:color w:val="000000"/>
          <w:sz w:val="24"/>
          <w:szCs w:val="24"/>
          <w:highlight w:val="none"/>
        </w:rPr>
      </w:r>
      <w:r/>
    </w:p>
    <w:p>
      <w:pPr>
        <w:pStyle w:val="736"/>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质保期后提供成本价配件与维修；每年至少2次免费上门整机巡检、性能校准、管路深度维护；长期免费技术支持与软件升级，永久提供技术咨询、检测项目优化指导。</w:t>
      </w:r>
      <w:r>
        <w:rPr>
          <w:rFonts w:hint="eastAsia" w:ascii="宋体" w:hAnsi="宋体" w:eastAsia="宋体" w:cs="宋体"/>
          <w:sz w:val="24"/>
          <w:szCs w:val="24"/>
          <w:highlight w:val="none"/>
        </w:rPr>
      </w:r>
      <w:r/>
    </w:p>
    <w:p>
      <w:pPr>
        <w:pStyle w:val="737"/>
        <w:ind w:firstLine="482"/>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六、验收要求</w:t>
      </w:r>
      <w:r>
        <w:rPr>
          <w:rFonts w:hint="eastAsia" w:ascii="宋体" w:hAnsi="宋体" w:eastAsia="宋体" w:cs="宋体"/>
          <w:color w:val="000000"/>
          <w:sz w:val="24"/>
          <w:szCs w:val="24"/>
          <w:highlight w:val="none"/>
        </w:rPr>
      </w:r>
      <w:r/>
    </w:p>
    <w:p>
      <w:pPr>
        <w:pStyle w:val="737"/>
        <w:ind w:firstLine="480"/>
        <w:jc w:val="left"/>
        <w:keepLines w:val="0"/>
        <w:keepNext w:val="0"/>
        <w:pageBreakBefore w:val="0"/>
        <w:spacing w:beforeAutospacing="0" w:afterAutospacing="0" w:line="360" w:lineRule="auto"/>
        <w:widowControl/>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到货核对设备机身序列号、原厂合格证、配件、耗材、技术资料完整性；安装校准完成后，依据招标文件技术参数逐项检测速度、精度、污染率、线性范围等指标，出具验收记录；全体操作人员考核合格，签署培训验收确认单；终验合格签署验收报告，质保期正式起算，验收不合格供应商限期整改直至达标。</w:t>
      </w:r>
      <w:r>
        <w:rPr>
          <w:rFonts w:hint="eastAsia" w:ascii="宋体" w:hAnsi="宋体" w:eastAsia="宋体" w:cs="宋体"/>
          <w:b w:val="0"/>
          <w:color w:val="000000"/>
          <w:sz w:val="24"/>
          <w:szCs w:val="24"/>
          <w:highlight w:val="none"/>
        </w:rPr>
      </w:r>
      <w:r/>
    </w:p>
    <w:p>
      <w:pPr>
        <w:pStyle w:val="737"/>
        <w:ind w:firstLine="482"/>
        <w:keepLines w:val="0"/>
        <w:keepNext w:val="0"/>
        <w:pageBreakBefore w:val="0"/>
        <w:spacing w:beforeAutospacing="0" w:afterAutospacing="0" w:line="360" w:lineRule="auto"/>
        <w:widowControl/>
        <w:rPr>
          <w:color w:val="000000"/>
          <w:sz w:val="24"/>
          <w:szCs w:val="24"/>
          <w:highlight w:val="none"/>
        </w:rPr>
      </w:pPr>
      <w:r>
        <w:rPr>
          <w:color w:val="000000"/>
          <w:sz w:val="24"/>
          <w:szCs w:val="24"/>
          <w:highlight w:val="none"/>
        </w:rPr>
        <w:t xml:space="preserve">七、</w:t>
      </w:r>
      <w:r>
        <w:rPr>
          <w:rFonts w:hint="eastAsia"/>
          <w:color w:val="000000"/>
          <w:sz w:val="24"/>
          <w:szCs w:val="24"/>
          <w:highlight w:val="none"/>
          <w:lang w:eastAsia="zh-CN"/>
        </w:rPr>
        <w:t xml:space="preserve">商务</w:t>
      </w:r>
      <w:r>
        <w:rPr>
          <w:color w:val="000000"/>
          <w:sz w:val="24"/>
          <w:szCs w:val="24"/>
          <w:highlight w:val="none"/>
        </w:rPr>
        <w:t xml:space="preserve">要求</w:t>
      </w:r>
      <w:r>
        <w:rPr>
          <w:color w:val="000000"/>
          <w:sz w:val="24"/>
          <w:szCs w:val="24"/>
          <w:highlight w:val="none"/>
        </w:rPr>
      </w:r>
      <w:r/>
    </w:p>
    <w:p>
      <w:pPr>
        <w:pStyle w:val="736"/>
        <w:ind w:firstLine="480"/>
        <w:jc w:val="left"/>
        <w:keepLines w:val="0"/>
        <w:keepNext w:val="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.项目工期：</w:t>
      </w:r>
      <w:r>
        <w:rPr>
          <w:rFonts w:hint="eastAsia" w:ascii="宋体" w:hAnsi="宋体"/>
          <w:color w:val="000000"/>
          <w:sz w:val="24"/>
          <w:szCs w:val="24"/>
          <w:highlight w:val="none"/>
        </w:rPr>
        <w:t xml:space="preserve">合同签订后</w:t>
      </w:r>
      <w:r>
        <w:rPr>
          <w:rFonts w:ascii="宋体" w:hAnsi="宋体"/>
          <w:color w:val="000000"/>
          <w:sz w:val="24"/>
          <w:szCs w:val="24"/>
          <w:highlight w:val="none"/>
        </w:rPr>
        <w:t xml:space="preserve">30</w:t>
      </w:r>
      <w:r>
        <w:rPr>
          <w:rFonts w:hint="eastAsia" w:ascii="宋体" w:hAnsi="宋体"/>
          <w:color w:val="000000"/>
          <w:sz w:val="24"/>
          <w:szCs w:val="24"/>
          <w:highlight w:val="none"/>
          <w:lang w:eastAsia="zh-CN"/>
        </w:rPr>
        <w:t xml:space="preserve">工作日</w:t>
      </w:r>
      <w:r>
        <w:rPr>
          <w:rFonts w:hint="eastAsia" w:ascii="宋体" w:hAnsi="宋体"/>
          <w:color w:val="000000"/>
          <w:sz w:val="24"/>
          <w:szCs w:val="24"/>
          <w:highlight w:val="none"/>
        </w:rPr>
        <w:t xml:space="preserve">内完成供货、安装、培训、全部验收工作。</w:t>
      </w:r>
      <w:r>
        <w:rPr>
          <w:rFonts w:ascii="宋体" w:hAnsi="宋体"/>
          <w:color w:val="000000"/>
          <w:sz w:val="24"/>
          <w:szCs w:val="24"/>
          <w:highlight w:val="none"/>
        </w:rPr>
      </w:r>
      <w:r/>
    </w:p>
    <w:p>
      <w:pPr>
        <w:pStyle w:val="736"/>
        <w:ind w:firstLine="480"/>
        <w:jc w:val="left"/>
        <w:keepLines w:val="0"/>
        <w:keepNext w:val="0"/>
        <w:pageBreakBefore w:val="0"/>
        <w:spacing w:line="360" w:lineRule="auto"/>
        <w:widowControl/>
        <w:tabs>
          <w:tab w:val="left" w:pos="720" w:leader="none"/>
        </w:tabs>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现场管理：</w:t>
      </w:r>
      <w:r>
        <w:rPr>
          <w:rFonts w:hint="eastAsia" w:ascii="宋体" w:hAnsi="宋体"/>
          <w:color w:val="000000"/>
          <w:sz w:val="24"/>
          <w:szCs w:val="24"/>
          <w:highlight w:val="none"/>
        </w:rPr>
        <w:t xml:space="preserve">供应商工作人员进入实验室须遵守院感、生物安全管理制度。</w:t>
      </w:r>
      <w:r>
        <w:rPr>
          <w:rFonts w:ascii="宋体" w:hAnsi="宋体"/>
          <w:color w:val="000000"/>
          <w:sz w:val="24"/>
          <w:szCs w:val="24"/>
          <w:highlight w:val="none"/>
        </w:rPr>
      </w:r>
      <w:r/>
    </w:p>
    <w:p>
      <w:pPr>
        <w:pStyle w:val="736"/>
        <w:ind w:firstLine="480"/>
        <w:jc w:val="left"/>
        <w:keepLines w:val="0"/>
        <w:keepNext w:val="0"/>
        <w:pageBreakBefore w:val="0"/>
        <w:spacing w:line="360" w:lineRule="auto"/>
        <w:widowControl/>
        <w:tabs>
          <w:tab w:val="left" w:pos="720" w:leader="none"/>
        </w:tabs>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.保密要求：</w:t>
      </w:r>
      <w:r>
        <w:rPr>
          <w:rFonts w:hint="eastAsia" w:ascii="宋体" w:hAnsi="宋体"/>
          <w:color w:val="000000"/>
          <w:sz w:val="24"/>
          <w:szCs w:val="24"/>
          <w:highlight w:val="none"/>
        </w:rPr>
        <w:t xml:space="preserve">供应商不得泄露患者检验数据、科室运营相关内部信息。</w:t>
      </w:r>
      <w:r>
        <w:rPr>
          <w:rFonts w:ascii="宋体" w:hAnsi="宋体"/>
          <w:color w:val="000000"/>
          <w:sz w:val="24"/>
          <w:szCs w:val="24"/>
          <w:highlight w:val="none"/>
        </w:rPr>
      </w:r>
      <w:r/>
    </w:p>
    <w:p>
      <w:pPr>
        <w:pStyle w:val="736"/>
        <w:ind w:firstLine="480"/>
        <w:jc w:val="left"/>
        <w:keepLines w:val="0"/>
        <w:keepNext w:val="0"/>
        <w:pageBreakBefore w:val="0"/>
        <w:spacing w:line="360" w:lineRule="auto"/>
        <w:widowControl/>
        <w:rPr>
          <w:rFonts w:ascii="宋体" w:hAnsi="宋体" w:cs="宋体"/>
          <w:color w:val="000000"/>
          <w:sz w:val="21"/>
          <w:szCs w:val="21"/>
          <w:highlight w:val="none"/>
          <w:lang w:bidi="ar"/>
        </w:rPr>
      </w:pPr>
      <w:r>
        <w:rPr>
          <w:rFonts w:hint="eastAsia" w:ascii="宋体" w:hAnsi="宋体" w:cs="宋体"/>
          <w:color w:val="000000"/>
          <w:sz w:val="24"/>
          <w:szCs w:val="24"/>
          <w:highlight w:val="none"/>
          <w:lang w:bidi="ar"/>
        </w:rPr>
        <w:t xml:space="preserve">4</w:t>
      </w:r>
      <w:r>
        <w:rPr>
          <w:rFonts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t xml:space="preserve">付款要求：合同签订后，供应商向采购人开具发票，采购人自收到发票之日起</w:t>
      </w:r>
      <w:r>
        <w:rPr>
          <w:rFonts w:ascii="宋体" w:hAnsi="宋体" w:cs="宋体"/>
          <w:color w:val="000000"/>
          <w:sz w:val="24"/>
          <w:szCs w:val="24"/>
          <w:highlight w:val="none"/>
          <w:lang w:bidi="ar"/>
        </w:rPr>
        <w:t xml:space="preserve">30</w:t>
      </w:r>
      <w:r>
        <w:rPr>
          <w:rFonts w:hint="eastAsia" w:ascii="宋体" w:hAnsi="宋体" w:cs="宋体"/>
          <w:color w:val="000000"/>
          <w:sz w:val="24"/>
          <w:szCs w:val="24"/>
          <w:highlight w:val="none"/>
          <w:lang w:bidi="ar"/>
        </w:rPr>
        <w:t xml:space="preserve">日内支付合同总价30%的预付款；项目经验收合格后，供应商向采购人开具发票，采购人自收到发票之日起</w:t>
      </w:r>
      <w:r>
        <w:rPr>
          <w:rFonts w:ascii="宋体" w:hAnsi="宋体" w:cs="宋体"/>
          <w:color w:val="000000"/>
          <w:sz w:val="24"/>
          <w:szCs w:val="24"/>
          <w:highlight w:val="none"/>
          <w:lang w:bidi="ar"/>
        </w:rPr>
        <w:t xml:space="preserve">30</w:t>
      </w:r>
      <w:r>
        <w:rPr>
          <w:rFonts w:hint="eastAsia" w:ascii="宋体" w:hAnsi="宋体" w:cs="宋体"/>
          <w:color w:val="000000"/>
          <w:sz w:val="24"/>
          <w:szCs w:val="24"/>
          <w:highlight w:val="none"/>
          <w:lang w:bidi="ar"/>
        </w:rPr>
        <w:t xml:space="preserve">日内支付合同总价的70%。</w:t>
      </w:r>
      <w:r>
        <w:rPr>
          <w:rFonts w:ascii="宋体" w:hAnsi="宋体" w:cs="宋体"/>
          <w:color w:val="000000"/>
          <w:sz w:val="21"/>
          <w:szCs w:val="21"/>
          <w:highlight w:val="none"/>
          <w:lang w:bidi="ar"/>
        </w:rPr>
      </w:r>
      <w:r/>
    </w:p>
    <w:p>
      <w:pPr>
        <w:pStyle w:val="736"/>
        <w:rPr>
          <w:rFonts w:hint="eastAsia"/>
          <w:highlight w:val="none"/>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highlight w:val="none"/>
        </w:rPr>
      </w:r>
      <w:r/>
    </w:p>
    <w:p>
      <w:pPr>
        <w:pStyle w:val="777"/>
        <w:rPr>
          <w:rFonts w:hint="eastAsia"/>
          <w:color w:val="000000"/>
          <w:highlight w:val="none"/>
        </w:rPr>
      </w:pPr>
      <w:r/>
      <w:bookmarkStart w:id="72" w:name="_Toc29995"/>
      <w:r>
        <w:rPr>
          <w:rFonts w:hint="eastAsia"/>
          <w:color w:val="000000"/>
          <w:highlight w:val="none"/>
        </w:rPr>
        <w:t xml:space="preserve">第五章 评标方法及评标标准</w:t>
      </w:r>
      <w:bookmarkEnd w:id="61"/>
      <w:r/>
      <w:bookmarkEnd w:id="72"/>
      <w:r>
        <w:rPr>
          <w:rFonts w:hint="eastAsia"/>
          <w:color w:val="000000"/>
          <w:highlight w:val="none"/>
        </w:rPr>
      </w:r>
      <w:r/>
    </w:p>
    <w:p>
      <w:pPr>
        <w:pStyle w:val="977"/>
        <w:ind w:firstLine="422"/>
        <w:keepLines w:val="0"/>
        <w:keepNext w:val="0"/>
        <w:pageBreakBefore w:val="0"/>
        <w:spacing w:before="0" w:after="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一、评标方法</w:t>
      </w:r>
      <w:r>
        <w:rPr>
          <w:rFonts w:hint="eastAsia" w:ascii="宋体" w:hAnsi="宋体" w:eastAsia="宋体" w:cs="宋体"/>
          <w:b/>
          <w:color w:val="000000"/>
          <w:sz w:val="24"/>
          <w:szCs w:val="24"/>
          <w:highlight w:val="none"/>
        </w:rPr>
      </w:r>
      <w:r/>
    </w:p>
    <w:p>
      <w:pPr>
        <w:pStyle w:val="977"/>
        <w:ind w:firstLine="420"/>
        <w:keepLines w:val="0"/>
        <w:keepNext w:val="0"/>
        <w:pageBreakBefore w:val="0"/>
        <w:spacing w:before="0" w:after="0"/>
        <w:widowControl w:val="off"/>
        <w:rPr>
          <w:rFonts w:hint="eastAsia" w:ascii="宋体" w:hAnsi="宋体" w:eastAsia="宋体" w:cs="宋体"/>
          <w:color w:val="000000"/>
          <w:sz w:val="24"/>
          <w:szCs w:val="24"/>
          <w:highlight w:val="none"/>
        </w:rPr>
      </w:pPr>
      <w:r/>
      <w:bookmarkStart w:id="73" w:name="_Toc449017024"/>
      <w:r/>
      <w:bookmarkStart w:id="74" w:name="_Toc449016388"/>
      <w:r>
        <w:rPr>
          <w:rFonts w:hint="eastAsia" w:ascii="宋体" w:hAnsi="宋体" w:eastAsia="宋体" w:cs="宋体"/>
          <w:color w:val="000000"/>
          <w:sz w:val="24"/>
          <w:szCs w:val="24"/>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000000"/>
          <w:sz w:val="24"/>
          <w:szCs w:val="24"/>
          <w:highlight w:val="none"/>
        </w:rPr>
      </w:r>
      <w:r/>
    </w:p>
    <w:p>
      <w:pPr>
        <w:pStyle w:val="736"/>
        <w:ind w:firstLine="42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二、政府采购政策功能落实</w:t>
      </w:r>
      <w:bookmarkEnd w:id="73"/>
      <w:r/>
      <w:bookmarkEnd w:id="74"/>
      <w:r>
        <w:rPr>
          <w:rFonts w:hint="eastAsia" w:ascii="宋体" w:hAnsi="宋体" w:eastAsia="宋体" w:cs="宋体"/>
          <w:b/>
          <w:color w:val="000000"/>
          <w:sz w:val="24"/>
          <w:szCs w:val="24"/>
          <w:highlight w:val="none"/>
        </w:rPr>
      </w:r>
      <w:r/>
    </w:p>
    <w:p>
      <w:pPr>
        <w:pStyle w:val="736"/>
        <w:ind w:firstLine="42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eastAsia="宋体" w:cs="宋体"/>
          <w:b/>
          <w:color w:val="000000"/>
          <w:sz w:val="24"/>
          <w:szCs w:val="24"/>
          <w:highlight w:val="none"/>
        </w:rPr>
      </w:r>
      <w:r/>
    </w:p>
    <w:p>
      <w:pPr>
        <w:pStyle w:val="977"/>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小微型企业价格扣除</w:t>
      </w:r>
      <w:r>
        <w:rPr>
          <w:rFonts w:hint="eastAsia" w:ascii="宋体" w:hAnsi="宋体" w:eastAsia="宋体" w:cs="宋体"/>
          <w:color w:val="000000"/>
          <w:sz w:val="24"/>
          <w:szCs w:val="24"/>
          <w:highlight w:val="none"/>
        </w:rPr>
      </w:r>
      <w:r/>
    </w:p>
    <w:p>
      <w:pPr>
        <w:pStyle w:val="977"/>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（1）本项目对小型和微型企业产品给予20%的扣除价格，用扣除后的价格参与评审。</w:t>
      </w:r>
      <w:r>
        <w:rPr>
          <w:rFonts w:hint="eastAsia" w:ascii="宋体" w:hAnsi="宋体" w:eastAsia="宋体" w:cs="宋体"/>
          <w:color w:val="000000"/>
          <w:sz w:val="24"/>
          <w:szCs w:val="24"/>
          <w:highlight w:val="none"/>
        </w:rPr>
      </w:r>
      <w:r/>
    </w:p>
    <w:p>
      <w:pPr>
        <w:pStyle w:val="977"/>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（2）供应商需按照采购文件的要求提供相应的《中小企业声明函》。</w:t>
      </w:r>
      <w:r>
        <w:rPr>
          <w:rFonts w:hint="eastAsia" w:ascii="宋体" w:hAnsi="宋体" w:eastAsia="宋体" w:cs="宋体"/>
          <w:color w:val="000000"/>
          <w:sz w:val="24"/>
          <w:szCs w:val="24"/>
          <w:highlight w:val="none"/>
        </w:rPr>
      </w:r>
      <w:r/>
    </w:p>
    <w:p>
      <w:pPr>
        <w:pStyle w:val="977"/>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残疾人福利单位价格扣除</w:t>
      </w:r>
      <w:r>
        <w:rPr>
          <w:rFonts w:hint="eastAsia" w:ascii="宋体" w:hAnsi="宋体" w:eastAsia="宋体" w:cs="宋体"/>
          <w:color w:val="000000"/>
          <w:sz w:val="24"/>
          <w:szCs w:val="24"/>
          <w:highlight w:val="none"/>
        </w:rPr>
      </w:r>
      <w:r/>
    </w:p>
    <w:p>
      <w:pPr>
        <w:pStyle w:val="977"/>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（1）本项目对残疾人福利性单位视同小型、微型企业，给予20%的价格扣除，用扣除后的价格参与评审。</w:t>
      </w:r>
      <w:r>
        <w:rPr>
          <w:rFonts w:hint="eastAsia" w:ascii="宋体" w:hAnsi="宋体" w:eastAsia="宋体" w:cs="宋体"/>
          <w:color w:val="000000"/>
          <w:sz w:val="24"/>
          <w:szCs w:val="24"/>
          <w:highlight w:val="none"/>
        </w:rPr>
      </w:r>
      <w:r/>
    </w:p>
    <w:p>
      <w:pPr>
        <w:pStyle w:val="977"/>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color w:val="000000"/>
          <w:sz w:val="24"/>
          <w:szCs w:val="24"/>
          <w:highlight w:val="none"/>
        </w:rPr>
      </w:r>
      <w:r/>
    </w:p>
    <w:p>
      <w:pPr>
        <w:pStyle w:val="977"/>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977"/>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监狱和戒毒企业价格扣除</w:t>
      </w:r>
      <w:r>
        <w:rPr>
          <w:rFonts w:hint="eastAsia" w:ascii="宋体" w:hAnsi="宋体" w:eastAsia="宋体" w:cs="宋体"/>
          <w:color w:val="000000"/>
          <w:sz w:val="24"/>
          <w:szCs w:val="24"/>
          <w:highlight w:val="none"/>
        </w:rPr>
      </w:r>
      <w:r/>
    </w:p>
    <w:p>
      <w:pPr>
        <w:pStyle w:val="977"/>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（1）本项目对监狱和戒毒企业（简称监狱企业）视同小型、微型企业，给予20%的价格扣除，用扣除后的价格参与评审。</w:t>
      </w:r>
      <w:r>
        <w:rPr>
          <w:rFonts w:hint="eastAsia" w:ascii="宋体" w:hAnsi="宋体" w:eastAsia="宋体" w:cs="宋体"/>
          <w:color w:val="000000"/>
          <w:sz w:val="24"/>
          <w:szCs w:val="24"/>
          <w:highlight w:val="none"/>
        </w:rPr>
      </w:r>
      <w:r/>
    </w:p>
    <w:p>
      <w:pPr>
        <w:pStyle w:val="977"/>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含新疆生产建设兵团</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出具的属于监狱企业的证明文件。供应商如不提供上述证明文件，价格将不做相应扣除。</w:t>
      </w:r>
      <w:r>
        <w:rPr>
          <w:rFonts w:hint="eastAsia" w:ascii="宋体" w:hAnsi="宋体" w:eastAsia="宋体" w:cs="宋体"/>
          <w:color w:val="000000"/>
          <w:sz w:val="24"/>
          <w:szCs w:val="24"/>
          <w:highlight w:val="none"/>
        </w:rPr>
      </w:r>
      <w:r/>
    </w:p>
    <w:p>
      <w:pPr>
        <w:pStyle w:val="977"/>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7"/>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残疾人福利单位、监狱企业属于小型、微型企业的，不重复享受政策。</w:t>
      </w:r>
      <w:r>
        <w:rPr>
          <w:rFonts w:hint="eastAsia" w:ascii="宋体" w:hAnsi="宋体" w:eastAsia="宋体" w:cs="宋体"/>
          <w:color w:val="000000"/>
          <w:sz w:val="24"/>
          <w:szCs w:val="24"/>
          <w:highlight w:val="none"/>
        </w:rPr>
      </w:r>
      <w:r/>
    </w:p>
    <w:p>
      <w:pPr>
        <w:pStyle w:val="977"/>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hint="eastAsia" w:ascii="宋体" w:hAnsi="宋体" w:eastAsia="宋体" w:cs="宋体"/>
          <w:color w:val="000000"/>
          <w:sz w:val="24"/>
          <w:szCs w:val="24"/>
          <w:highlight w:val="none"/>
        </w:rPr>
      </w:r>
      <w:r/>
    </w:p>
    <w:p>
      <w:pPr>
        <w:pStyle w:val="977"/>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联合体各方均为小型、微型企业（残疾人福利单位、监狱企业）的，联合体享受20%价格扣除，用扣除后的价格参与评审。</w:t>
      </w:r>
      <w:r>
        <w:rPr>
          <w:rFonts w:hint="eastAsia" w:ascii="宋体" w:hAnsi="宋体" w:eastAsia="宋体" w:cs="宋体"/>
          <w:color w:val="000000"/>
          <w:sz w:val="24"/>
          <w:szCs w:val="24"/>
          <w:highlight w:val="none"/>
        </w:rPr>
      </w:r>
      <w:r/>
    </w:p>
    <w:p>
      <w:pPr>
        <w:pStyle w:val="977"/>
        <w:ind w:firstLine="420"/>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大中型企业向小型、微型企业分包的，分包意向协议约定小型、微型企业合同份额占到合同总金额</w:t>
      </w:r>
      <w:r>
        <w:rPr>
          <w:rFonts w:hint="eastAsia" w:ascii="宋体" w:hAnsi="宋体" w:cs="宋体"/>
          <w:color w:val="000000"/>
          <w:sz w:val="24"/>
          <w:szCs w:val="24"/>
          <w:highlight w:val="none"/>
          <w:lang w:val="en-US" w:eastAsia="zh-CN"/>
        </w:rPr>
        <w:t xml:space="preserve">3</w:t>
      </w:r>
      <w:bookmarkStart w:id="75" w:name="_GoBack"/>
      <w:r/>
      <w:bookmarkEnd w:id="75"/>
      <w:r>
        <w:rPr>
          <w:rFonts w:hint="eastAsia" w:ascii="宋体" w:hAnsi="宋体" w:eastAsia="宋体" w:cs="宋体"/>
          <w:color w:val="000000"/>
          <w:sz w:val="24"/>
          <w:szCs w:val="24"/>
          <w:highlight w:val="none"/>
        </w:rPr>
        <w:t xml:space="preserve">0%以上的，给予6%的价格扣除，用扣除后的价格参与评审。</w:t>
      </w:r>
      <w:r>
        <w:rPr>
          <w:rFonts w:hint="eastAsia" w:ascii="宋体" w:hAnsi="宋体" w:eastAsia="宋体" w:cs="宋体"/>
          <w:color w:val="000000"/>
          <w:sz w:val="24"/>
          <w:szCs w:val="24"/>
          <w:highlight w:val="none"/>
        </w:rPr>
      </w:r>
      <w:r/>
    </w:p>
    <w:p>
      <w:pPr>
        <w:pStyle w:val="977"/>
        <w:ind w:firstLine="420"/>
        <w:spacing w:before="0" w:after="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三</w:t>
      </w:r>
      <w:r>
        <w:rPr>
          <w:rFonts w:hint="eastAsia" w:ascii="宋体" w:hAnsi="宋体" w:cs="宋体"/>
          <w:b/>
          <w:bCs/>
          <w:color w:val="000000"/>
          <w:sz w:val="24"/>
          <w:szCs w:val="24"/>
          <w:highlight w:val="none"/>
        </w:rPr>
        <w:t xml:space="preserve">、采购本国产品的支持政策</w:t>
      </w:r>
      <w:r>
        <w:rPr>
          <w:rFonts w:hint="eastAsia" w:ascii="宋体" w:hAnsi="宋体" w:cs="宋体"/>
          <w:b/>
          <w:bCs/>
          <w:color w:val="000000"/>
          <w:sz w:val="24"/>
          <w:szCs w:val="24"/>
          <w:highlight w:val="none"/>
        </w:rPr>
      </w:r>
      <w:r/>
    </w:p>
    <w:p>
      <w:pPr>
        <w:pStyle w:val="977"/>
        <w:ind w:firstLine="420"/>
        <w:spacing w:before="0" w:after="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 本项目政府采购活动中既有本国产品又有非本国产品参与竞争的，依法对本国产品给予价格评审优惠，对本国产品的报价给予 20%的价格扣除，用扣除后的价格参与评审。</w:t>
      </w:r>
      <w:r>
        <w:rPr>
          <w:rFonts w:hint="eastAsia" w:ascii="宋体" w:hAnsi="宋体" w:cs="宋体"/>
          <w:color w:val="000000"/>
          <w:sz w:val="24"/>
          <w:szCs w:val="24"/>
          <w:highlight w:val="none"/>
        </w:rPr>
      </w:r>
      <w:r/>
    </w:p>
    <w:p>
      <w:pPr>
        <w:pStyle w:val="977"/>
        <w:ind w:firstLine="420"/>
        <w:spacing w:before="0" w:after="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 w:val="24"/>
          <w:szCs w:val="24"/>
          <w:highlight w:val="none"/>
        </w:rPr>
      </w:r>
      <w:r/>
    </w:p>
    <w:p>
      <w:pPr>
        <w:pStyle w:val="977"/>
        <w:ind w:firstLine="420"/>
        <w:spacing w:before="0" w:after="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 供应商需按照招标文件的要求提供《关于符合本国产品标准的声明函》（以下简称《声明函》），如不提供将不享受本国产品价格评审优惠。</w:t>
      </w:r>
      <w:r>
        <w:rPr>
          <w:rFonts w:hint="eastAsia" w:ascii="宋体" w:hAnsi="宋体" w:cs="宋体"/>
          <w:color w:val="000000"/>
          <w:sz w:val="24"/>
          <w:szCs w:val="24"/>
          <w:highlight w:val="none"/>
        </w:rPr>
      </w:r>
      <w:r/>
    </w:p>
    <w:p>
      <w:pPr>
        <w:pStyle w:val="977"/>
        <w:ind w:firstLine="420"/>
        <w:spacing w:before="0" w:after="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 w:val="24"/>
          <w:szCs w:val="24"/>
          <w:highlight w:val="none"/>
        </w:rPr>
      </w:r>
      <w:r/>
    </w:p>
    <w:p>
      <w:pPr>
        <w:pStyle w:val="977"/>
        <w:ind w:firstLine="420"/>
        <w:spacing w:before="0" w:after="0"/>
        <w:rPr>
          <w:rFonts w:ascii="宋体" w:hAnsi="宋体"/>
          <w:b/>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b/>
          <w:color w:val="000000"/>
          <w:sz w:val="24"/>
          <w:szCs w:val="24"/>
          <w:highlight w:val="none"/>
        </w:rPr>
      </w:r>
      <w:r/>
    </w:p>
    <w:p>
      <w:pPr>
        <w:pStyle w:val="977"/>
        <w:ind w:firstLine="422"/>
        <w:keepLines w:val="0"/>
        <w:keepNext w:val="0"/>
        <w:pageBreakBefore w:val="0"/>
        <w:spacing w:before="0" w:after="0" w:line="360" w:lineRule="auto"/>
        <w:widowControl w:val="off"/>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、评标标准</w:t>
      </w:r>
      <w:r>
        <w:rPr>
          <w:rFonts w:hint="eastAsia" w:ascii="宋体" w:hAnsi="宋体" w:eastAsia="宋体" w:cs="宋体"/>
          <w:b/>
          <w:color w:val="000000"/>
          <w:sz w:val="24"/>
          <w:szCs w:val="24"/>
          <w:highlight w:val="none"/>
        </w:rPr>
      </w:r>
      <w:r/>
    </w:p>
    <w:tbl>
      <w:tblPr>
        <w:tblStyle w:val="769"/>
        <w:tblW w:w="8662" w:type="dxa"/>
        <w:jc w:val="center"/>
        <w:tblInd w:w="-17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7"/>
        <w:gridCol w:w="7395"/>
      </w:tblGrid>
      <w:tr>
        <w:trPr>
          <w:trHeight w:val="590"/>
        </w:trPr>
        <w:tc>
          <w:tcPr>
            <w:tcW w:w="1267" w:type="dxa"/>
            <w:vAlign w:val="center"/>
            <w:textDirection w:val="lrTb"/>
            <w:noWrap w:val="false"/>
          </w:tcPr>
          <w:p>
            <w:pPr>
              <w:pStyle w:val="736"/>
              <w:jc w:val="center"/>
              <w:keepLines w:val="0"/>
              <w:keepNext w:val="0"/>
              <w:pageBreakBefore w:val="0"/>
              <w:spacing w:line="288"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评分因素</w:t>
            </w:r>
            <w:r>
              <w:rPr>
                <w:rFonts w:hint="eastAsia" w:ascii="宋体" w:hAnsi="宋体" w:eastAsia="宋体" w:cs="宋体"/>
                <w:sz w:val="24"/>
                <w:szCs w:val="24"/>
                <w:highlight w:val="none"/>
                <w:lang w:val="en-US" w:eastAsia="zh-CN" w:bidi="ar-SA"/>
              </w:rPr>
            </w:r>
            <w:r/>
          </w:p>
        </w:tc>
        <w:tc>
          <w:tcPr>
            <w:tcW w:w="7395" w:type="dxa"/>
            <w:vAlign w:val="center"/>
            <w:textDirection w:val="lrTb"/>
            <w:noWrap w:val="false"/>
          </w:tcPr>
          <w:p>
            <w:pPr>
              <w:pStyle w:val="736"/>
              <w:jc w:val="left"/>
              <w:keepLines w:val="0"/>
              <w:keepNext w:val="0"/>
              <w:pageBreakBefore w:val="0"/>
              <w:spacing w:line="288"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评审标准分值</w:t>
            </w:r>
            <w:r>
              <w:rPr>
                <w:rFonts w:hint="eastAsia" w:ascii="宋体" w:hAnsi="宋体" w:eastAsia="宋体" w:cs="宋体"/>
                <w:sz w:val="24"/>
                <w:szCs w:val="24"/>
                <w:highlight w:val="none"/>
                <w:lang w:val="en-US" w:eastAsia="zh-CN" w:bidi="ar-SA"/>
              </w:rPr>
            </w:r>
            <w:r/>
          </w:p>
        </w:tc>
      </w:tr>
      <w:tr>
        <w:trPr>
          <w:trHeight w:val="90"/>
        </w:trPr>
        <w:tc>
          <w:tcPr>
            <w:tcW w:w="1267" w:type="dxa"/>
            <w:vAlign w:val="center"/>
            <w:textDirection w:val="lrTb"/>
            <w:noWrap w:val="false"/>
          </w:tcPr>
          <w:p>
            <w:pPr>
              <w:pStyle w:val="736"/>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投标报价</w:t>
            </w:r>
            <w:r>
              <w:rPr>
                <w:rFonts w:hint="eastAsia" w:ascii="宋体" w:hAnsi="宋体" w:eastAsia="宋体" w:cs="宋体"/>
                <w:sz w:val="24"/>
                <w:szCs w:val="24"/>
                <w:highlight w:val="none"/>
                <w:lang w:val="en-US" w:eastAsia="zh-CN" w:bidi="ar-SA"/>
              </w:rPr>
            </w:r>
            <w:r/>
          </w:p>
          <w:p>
            <w:pPr>
              <w:pStyle w:val="736"/>
              <w:jc w:val="center"/>
              <w:keepLines w:val="0"/>
              <w:keepNext w:val="0"/>
              <w:pageBreakBefore w:val="0"/>
              <w:spacing w:line="288"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（30分）</w:t>
            </w:r>
            <w:r>
              <w:rPr>
                <w:rFonts w:hint="eastAsia" w:ascii="宋体" w:hAnsi="宋体" w:eastAsia="宋体" w:cs="宋体"/>
                <w:sz w:val="24"/>
                <w:szCs w:val="24"/>
                <w:highlight w:val="none"/>
                <w:lang w:val="en-US" w:eastAsia="zh-CN" w:bidi="ar-SA"/>
              </w:rPr>
            </w:r>
            <w:r/>
          </w:p>
        </w:tc>
        <w:tc>
          <w:tcPr>
            <w:tcW w:w="7395" w:type="dxa"/>
            <w:vAlign w:val="center"/>
            <w:textDirection w:val="lrTb"/>
            <w:noWrap w:val="false"/>
          </w:tcPr>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价格分采用低价优先法计算，</w:t>
            </w:r>
            <w:r>
              <w:rPr>
                <w:rFonts w:hint="eastAsia" w:ascii="宋体" w:hAnsi="宋体" w:eastAsia="宋体" w:cs="宋体"/>
                <w:sz w:val="24"/>
                <w:szCs w:val="24"/>
                <w:highlight w:val="none"/>
                <w:lang w:val="en-US" w:eastAsia="zh-CN" w:bidi="ar-SA"/>
              </w:rPr>
            </w:r>
            <w:r/>
          </w:p>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即满足招标文件要求且报价最低的供应商报价为评标基准价，其价格分为满分30分，其它投标人的价格分统一按照以下公式计算：</w:t>
            </w:r>
            <w:r>
              <w:rPr>
                <w:rFonts w:hint="eastAsia" w:ascii="宋体" w:hAnsi="宋体" w:eastAsia="宋体" w:cs="宋体"/>
                <w:sz w:val="24"/>
                <w:szCs w:val="24"/>
                <w:highlight w:val="none"/>
                <w:lang w:val="en-US" w:eastAsia="zh-CN" w:bidi="ar-SA"/>
              </w:rPr>
            </w:r>
            <w:r/>
          </w:p>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投标报价得分=(最低报价/该投标单位的投标报价)*30</w:t>
            </w:r>
            <w:r>
              <w:rPr>
                <w:rFonts w:hint="eastAsia" w:ascii="宋体" w:hAnsi="宋体" w:eastAsia="宋体" w:cs="宋体"/>
                <w:color w:val="000000"/>
                <w:sz w:val="24"/>
                <w:szCs w:val="24"/>
                <w:highlight w:val="none"/>
                <w:lang w:val="zh-CN" w:eastAsia="zh-CN" w:bidi="ar-SA"/>
              </w:rPr>
              <w:t xml:space="preserve">×100%</w:t>
            </w:r>
            <w:r>
              <w:rPr>
                <w:rFonts w:hint="eastAsia" w:ascii="宋体" w:hAnsi="宋体" w:eastAsia="宋体" w:cs="宋体"/>
                <w:b/>
                <w:bCs/>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tc>
      </w:tr>
      <w:tr>
        <w:trPr>
          <w:trHeight w:val="1873"/>
        </w:trPr>
        <w:tc>
          <w:tcPr>
            <w:tcW w:w="1267" w:type="dxa"/>
            <w:vAlign w:val="center"/>
            <w:textDirection w:val="lrTb"/>
            <w:noWrap w:val="false"/>
          </w:tcPr>
          <w:p>
            <w:pPr>
              <w:pStyle w:val="736"/>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技术指标响应</w:t>
            </w:r>
            <w:r>
              <w:rPr>
                <w:rFonts w:hint="eastAsia" w:ascii="宋体" w:hAnsi="宋体" w:eastAsia="宋体" w:cs="宋体"/>
                <w:sz w:val="24"/>
                <w:szCs w:val="24"/>
                <w:highlight w:val="none"/>
                <w:lang w:val="en-US" w:eastAsia="zh-CN" w:bidi="ar-SA"/>
              </w:rPr>
            </w:r>
            <w:r/>
          </w:p>
          <w:p>
            <w:pPr>
              <w:pStyle w:val="736"/>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（31分）</w:t>
            </w:r>
            <w:r>
              <w:rPr>
                <w:rFonts w:hint="eastAsia" w:ascii="宋体" w:hAnsi="宋体" w:eastAsia="宋体" w:cs="宋体"/>
                <w:sz w:val="24"/>
                <w:szCs w:val="24"/>
                <w:highlight w:val="none"/>
                <w:lang w:val="en-US" w:eastAsia="zh-CN" w:bidi="ar-SA"/>
              </w:rPr>
            </w:r>
            <w:r/>
          </w:p>
        </w:tc>
        <w:tc>
          <w:tcPr>
            <w:tcW w:w="7395" w:type="dxa"/>
            <w:vAlign w:val="center"/>
            <w:textDirection w:val="lrTb"/>
            <w:noWrap w:val="false"/>
          </w:tcPr>
          <w:p>
            <w:pPr>
              <w:pStyle w:val="736"/>
              <w:jc w:val="left"/>
              <w:keepLines w:val="0"/>
              <w:keepNext w:val="0"/>
              <w:pageBreakBefore w:val="0"/>
              <w:spacing w:line="288"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投标人所投产品的技术指标若全部满足采购文件要求的，得31分；</w:t>
            </w:r>
            <w:r>
              <w:rPr>
                <w:rFonts w:hint="eastAsia" w:ascii="宋体" w:hAnsi="宋体" w:eastAsia="宋体" w:cs="宋体"/>
                <w:sz w:val="24"/>
                <w:szCs w:val="24"/>
                <w:highlight w:val="none"/>
                <w:lang w:val="en-US" w:eastAsia="zh-CN" w:bidi="ar-SA"/>
              </w:rPr>
            </w:r>
            <w:r/>
          </w:p>
          <w:p>
            <w:pPr>
              <w:pStyle w:val="736"/>
              <w:jc w:val="left"/>
              <w:keepLines w:val="0"/>
              <w:keepNext w:val="0"/>
              <w:pageBreakBefore w:val="0"/>
              <w:spacing w:line="288" w:lineRule="auto"/>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1、项目需求中标注带“</w:t>
            </w:r>
            <w:r>
              <w:rPr>
                <w:rFonts w:hint="eastAsia" w:ascii="宋体" w:hAnsi="宋体" w:cs="宋体"/>
                <w:sz w:val="24"/>
                <w:highlight w:val="none"/>
                <w:lang w:bidi="ar"/>
              </w:rPr>
              <w:t xml:space="preserve">★</w:t>
            </w:r>
            <w:r>
              <w:rPr>
                <w:rFonts w:hint="eastAsia" w:ascii="宋体" w:hAnsi="宋体" w:eastAsia="宋体" w:cs="宋体"/>
                <w:sz w:val="24"/>
                <w:szCs w:val="24"/>
                <w:highlight w:val="none"/>
                <w:lang w:val="en-US" w:eastAsia="zh-CN" w:bidi="ar-SA"/>
              </w:rPr>
              <w:t xml:space="preserve">”的为关键参数，有一项负偏离即判定为无效投标；</w:t>
            </w:r>
            <w:r>
              <w:rPr>
                <w:rFonts w:ascii="宋体" w:hAnsi="宋体" w:eastAsia="宋体" w:cs="宋体"/>
                <w:sz w:val="24"/>
                <w:szCs w:val="24"/>
                <w:highlight w:val="none"/>
                <w:lang w:val="en-US" w:eastAsia="zh-CN" w:bidi="ar-SA"/>
              </w:rPr>
            </w:r>
            <w:r/>
          </w:p>
          <w:p>
            <w:pPr>
              <w:pStyle w:val="736"/>
              <w:jc w:val="left"/>
              <w:keepLines w:val="0"/>
              <w:keepNext w:val="0"/>
              <w:pageBreakBefore w:val="0"/>
              <w:spacing w:line="288"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2、标注带“▲”的为重要参数，每负偏离1项扣4分，扣完为止；</w:t>
            </w:r>
            <w:r>
              <w:rPr>
                <w:rFonts w:hint="eastAsia" w:ascii="宋体" w:hAnsi="宋体" w:eastAsia="宋体" w:cs="宋体"/>
                <w:sz w:val="24"/>
                <w:szCs w:val="24"/>
                <w:highlight w:val="none"/>
                <w:lang w:val="en-US" w:eastAsia="zh-CN" w:bidi="ar-SA"/>
              </w:rPr>
            </w:r>
            <w:r/>
          </w:p>
          <w:p>
            <w:pPr>
              <w:pStyle w:val="736"/>
              <w:jc w:val="left"/>
              <w:keepLines w:val="0"/>
              <w:keepNext w:val="0"/>
              <w:pageBreakBefore w:val="0"/>
              <w:spacing w:line="288"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3、未标注带</w:t>
            </w:r>
            <w:r>
              <w:rPr>
                <w:rFonts w:hint="eastAsia" w:ascii="宋体" w:hAnsi="宋体" w:eastAsia="宋体" w:cs="宋体"/>
                <w:sz w:val="24"/>
                <w:szCs w:val="24"/>
                <w:highlight w:val="none"/>
                <w:lang w:val="en-US" w:eastAsia="zh-CN" w:bidi="ar-SA"/>
              </w:rPr>
              <w:t xml:space="preserve">“</w:t>
            </w:r>
            <w:r>
              <w:rPr>
                <w:rFonts w:hint="eastAsia" w:ascii="宋体" w:hAnsi="宋体" w:cs="宋体"/>
                <w:sz w:val="24"/>
                <w:highlight w:val="none"/>
                <w:lang w:bidi="ar"/>
              </w:rPr>
              <w:t xml:space="preserve">★</w:t>
            </w:r>
            <w:r>
              <w:rPr>
                <w:rFonts w:hint="eastAsia" w:ascii="宋体" w:hAnsi="宋体" w:eastAsia="宋体" w:cs="宋体"/>
                <w:sz w:val="24"/>
                <w:szCs w:val="24"/>
                <w:highlight w:val="none"/>
                <w:lang w:val="en-US" w:eastAsia="zh-CN" w:bidi="ar-SA"/>
              </w:rPr>
              <w:t xml:space="preserve">”和“▲”的为一般参数，</w:t>
            </w:r>
            <w:r>
              <w:rPr>
                <w:rFonts w:hint="eastAsia" w:ascii="宋体" w:hAnsi="宋体" w:eastAsia="宋体" w:cs="宋体"/>
                <w:sz w:val="24"/>
                <w:szCs w:val="24"/>
                <w:highlight w:val="none"/>
                <w:lang w:val="en-US" w:eastAsia="zh-CN" w:bidi="ar-SA"/>
              </w:rPr>
              <w:t xml:space="preserve">每负偏离1项扣1分，扣完为止。</w:t>
            </w:r>
            <w:r>
              <w:rPr>
                <w:rFonts w:hint="eastAsia" w:ascii="宋体" w:hAnsi="宋体" w:eastAsia="宋体" w:cs="宋体"/>
                <w:sz w:val="24"/>
                <w:szCs w:val="24"/>
                <w:highlight w:val="none"/>
                <w:lang w:val="en-US" w:eastAsia="zh-CN" w:bidi="ar-SA"/>
              </w:rPr>
            </w:r>
            <w:r/>
          </w:p>
          <w:p>
            <w:pPr>
              <w:pStyle w:val="736"/>
              <w:jc w:val="left"/>
              <w:keepLines w:val="0"/>
              <w:keepNext w:val="0"/>
              <w:pageBreakBefore w:val="0"/>
              <w:spacing w:after="0" w:line="288"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投标人应根据所投产品技术参数性能对采购文件技术需求进行逐条响应，并按要求提供相关材料，如未作具体要求的参数请提供相关证明材料</w:t>
            </w:r>
            <w:r>
              <w:rPr>
                <w:rFonts w:hint="eastAsia" w:ascii="宋体" w:hAnsi="宋体" w:eastAsia="宋体" w:cs="宋体"/>
                <w:b/>
                <w:bCs/>
                <w:color w:val="000000"/>
                <w:sz w:val="24"/>
                <w:szCs w:val="24"/>
                <w:highlight w:val="none"/>
                <w:lang w:val="en-US" w:eastAsia="zh-CN" w:bidi="ar-SA"/>
              </w:rPr>
              <w:t xml:space="preserve">（相关证明材料可以为明确说明该技术内容的公开发行的宣传材料、官网截图、仪器运行界面截图、有效的相关检测报告等经评议认可的证明材料）</w:t>
            </w:r>
            <w:r>
              <w:rPr>
                <w:rFonts w:hint="eastAsia" w:ascii="宋体" w:hAnsi="宋体" w:eastAsia="宋体" w:cs="宋体"/>
                <w:b/>
                <w:bCs/>
                <w:color w:val="000000"/>
                <w:sz w:val="24"/>
                <w:szCs w:val="24"/>
                <w:highlight w:val="none"/>
                <w:lang w:val="en-US" w:eastAsia="zh-CN" w:bidi="ar-SA"/>
              </w:rPr>
            </w:r>
            <w:r/>
          </w:p>
          <w:p>
            <w:pPr>
              <w:pStyle w:val="736"/>
              <w:jc w:val="left"/>
              <w:keepLines w:val="0"/>
              <w:keepNext w:val="0"/>
              <w:pageBreakBefore w:val="0"/>
              <w:spacing w:after="0" w:line="288"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1）投标人应准确标示所有相关证明材料所在页码，并在相关证明材料上明确标示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rPr>
                <w:rFonts w:hint="eastAsia" w:ascii="宋体" w:hAnsi="宋体" w:eastAsia="宋体" w:cs="宋体"/>
                <w:b/>
                <w:bCs/>
                <w:color w:val="000000"/>
                <w:sz w:val="24"/>
                <w:szCs w:val="24"/>
                <w:highlight w:val="none"/>
                <w:lang w:val="en-US" w:eastAsia="zh-CN" w:bidi="ar-SA"/>
              </w:rPr>
            </w:r>
            <w:r/>
          </w:p>
          <w:p>
            <w:pPr>
              <w:pStyle w:val="736"/>
              <w:jc w:val="left"/>
              <w:keepLines w:val="0"/>
              <w:keepNext w:val="0"/>
              <w:pageBreakBefore w:val="0"/>
              <w:spacing w:line="288"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（2）若发现提供虚假的证明材料或虚假应答的，视为无效投标，并追究相关责任。</w:t>
            </w:r>
            <w:r>
              <w:rPr>
                <w:rFonts w:hint="eastAsia" w:ascii="宋体" w:hAnsi="宋体" w:eastAsia="宋体" w:cs="宋体"/>
                <w:sz w:val="24"/>
                <w:szCs w:val="24"/>
                <w:highlight w:val="none"/>
                <w:lang w:val="en-US" w:eastAsia="zh-CN" w:bidi="ar-SA"/>
              </w:rPr>
            </w:r>
            <w:r/>
          </w:p>
        </w:tc>
      </w:tr>
      <w:tr>
        <w:trPr>
          <w:trHeight w:val="6102"/>
        </w:trPr>
        <w:tc>
          <w:tcPr>
            <w:tcW w:w="1267" w:type="dxa"/>
            <w:vAlign w:val="center"/>
            <w:textDirection w:val="lrTb"/>
            <w:noWrap w:val="false"/>
          </w:tcPr>
          <w:p>
            <w:pPr>
              <w:pStyle w:val="736"/>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项目实施方案</w:t>
            </w:r>
            <w:r>
              <w:rPr>
                <w:rFonts w:hint="eastAsia" w:ascii="宋体" w:hAnsi="宋体" w:eastAsia="宋体" w:cs="宋体"/>
                <w:sz w:val="24"/>
                <w:szCs w:val="24"/>
                <w:highlight w:val="none"/>
                <w:lang w:val="en-US" w:eastAsia="zh-CN" w:bidi="zh-CN"/>
              </w:rPr>
            </w:r>
            <w:r/>
          </w:p>
          <w:p>
            <w:pPr>
              <w:pStyle w:val="736"/>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（28分）</w:t>
            </w:r>
            <w:r>
              <w:rPr>
                <w:rFonts w:hint="eastAsia" w:ascii="宋体" w:hAnsi="宋体" w:eastAsia="宋体" w:cs="宋体"/>
                <w:sz w:val="24"/>
                <w:szCs w:val="24"/>
                <w:highlight w:val="none"/>
                <w:lang w:val="en-US" w:eastAsia="zh-CN" w:bidi="zh-CN"/>
              </w:rPr>
            </w:r>
            <w:r/>
          </w:p>
        </w:tc>
        <w:tc>
          <w:tcPr>
            <w:tcW w:w="7395" w:type="dxa"/>
            <w:vAlign w:val="center"/>
            <w:textDirection w:val="lrTb"/>
            <w:noWrap w:val="false"/>
          </w:tcPr>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1、根据投标人提供的针对本项目安装调试方案进行打分。</w:t>
            </w:r>
            <w:r>
              <w:rPr>
                <w:rFonts w:hint="eastAsia" w:ascii="宋体" w:hAnsi="宋体" w:eastAsia="宋体" w:cs="宋体"/>
                <w:b/>
                <w:bCs/>
                <w:sz w:val="24"/>
                <w:szCs w:val="24"/>
                <w:highlight w:val="none"/>
                <w:lang w:val="en-US" w:eastAsia="zh-CN" w:bidi="zh-CN"/>
              </w:rPr>
              <w:t xml:space="preserve">满分7分</w:t>
            </w:r>
            <w:r>
              <w:rPr>
                <w:rFonts w:hint="eastAsia" w:ascii="宋体" w:hAnsi="宋体" w:eastAsia="宋体" w:cs="宋体"/>
                <w:sz w:val="24"/>
                <w:szCs w:val="24"/>
                <w:highlight w:val="none"/>
                <w:lang w:val="en-US" w:eastAsia="zh-CN" w:bidi="zh-CN"/>
              </w:rPr>
            </w:r>
            <w:r/>
          </w:p>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方案科学、严密、合理，描述详细且具有针对性的得7分；</w:t>
            </w:r>
            <w:r>
              <w:rPr>
                <w:rFonts w:hint="eastAsia" w:ascii="宋体" w:hAnsi="宋体" w:eastAsia="宋体" w:cs="宋体"/>
                <w:sz w:val="24"/>
                <w:szCs w:val="24"/>
                <w:highlight w:val="none"/>
                <w:lang w:val="en-US" w:eastAsia="zh-CN" w:bidi="zh-CN"/>
              </w:rPr>
            </w:r>
            <w:r/>
          </w:p>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方案较合理、严密、描述较为详细，具有一定的针对性的得4分；</w:t>
            </w:r>
            <w:r>
              <w:rPr>
                <w:rFonts w:hint="eastAsia" w:ascii="宋体" w:hAnsi="宋体" w:eastAsia="宋体" w:cs="宋体"/>
                <w:sz w:val="24"/>
                <w:szCs w:val="24"/>
                <w:highlight w:val="none"/>
                <w:lang w:val="en-US" w:eastAsia="zh-CN" w:bidi="zh-CN"/>
              </w:rPr>
            </w:r>
            <w:r/>
          </w:p>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方案具有不合理项、描述略欠缺的得1分；</w:t>
            </w:r>
            <w:r>
              <w:rPr>
                <w:rFonts w:hint="eastAsia" w:ascii="宋体" w:hAnsi="宋体" w:eastAsia="宋体" w:cs="宋体"/>
                <w:sz w:val="24"/>
                <w:szCs w:val="24"/>
                <w:highlight w:val="none"/>
                <w:lang w:val="en-US" w:eastAsia="zh-CN" w:bidi="zh-CN"/>
              </w:rPr>
            </w:r>
            <w:r/>
          </w:p>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未提供，其余不得分。</w:t>
            </w:r>
            <w:r>
              <w:rPr>
                <w:rFonts w:hint="eastAsia" w:ascii="宋体" w:hAnsi="宋体" w:eastAsia="宋体" w:cs="宋体"/>
                <w:sz w:val="24"/>
                <w:szCs w:val="24"/>
                <w:highlight w:val="none"/>
                <w:lang w:val="en-US" w:eastAsia="zh-CN" w:bidi="zh-CN"/>
              </w:rPr>
            </w:r>
            <w:r/>
          </w:p>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2、根据投标人提供的针对本项目验收方案进行评分。</w:t>
            </w:r>
            <w:r>
              <w:rPr>
                <w:rFonts w:hint="eastAsia" w:ascii="宋体" w:hAnsi="宋体" w:eastAsia="宋体" w:cs="宋体"/>
                <w:b/>
                <w:bCs/>
                <w:sz w:val="24"/>
                <w:szCs w:val="24"/>
                <w:highlight w:val="none"/>
                <w:lang w:val="en-US" w:eastAsia="zh-CN" w:bidi="zh-CN"/>
              </w:rPr>
              <w:t xml:space="preserve">满分7分</w:t>
            </w:r>
            <w:r>
              <w:rPr>
                <w:rFonts w:hint="eastAsia" w:ascii="宋体" w:hAnsi="宋体" w:eastAsia="宋体" w:cs="宋体"/>
                <w:sz w:val="24"/>
                <w:szCs w:val="24"/>
                <w:highlight w:val="none"/>
                <w:lang w:val="en-US" w:eastAsia="zh-CN" w:bidi="zh-CN"/>
              </w:rPr>
            </w:r>
            <w:r/>
          </w:p>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方案科学、严密、合理，描述详细且具有针对性的得7分；</w:t>
            </w:r>
            <w:r>
              <w:rPr>
                <w:rFonts w:hint="eastAsia" w:ascii="宋体" w:hAnsi="宋体" w:eastAsia="宋体" w:cs="宋体"/>
                <w:sz w:val="24"/>
                <w:szCs w:val="24"/>
                <w:highlight w:val="none"/>
                <w:lang w:val="en-US" w:eastAsia="zh-CN" w:bidi="zh-CN"/>
              </w:rPr>
            </w:r>
            <w:r/>
          </w:p>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方案较合理、严密、描述较为详细，具有一定的针对性的得4分；</w:t>
            </w:r>
            <w:r>
              <w:rPr>
                <w:rFonts w:hint="eastAsia" w:ascii="宋体" w:hAnsi="宋体" w:eastAsia="宋体" w:cs="宋体"/>
                <w:sz w:val="24"/>
                <w:szCs w:val="24"/>
                <w:highlight w:val="none"/>
                <w:lang w:val="en-US" w:eastAsia="zh-CN" w:bidi="zh-CN"/>
              </w:rPr>
            </w:r>
            <w:r/>
          </w:p>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方案具有不合理项、描述略欠缺的得1分；</w:t>
            </w:r>
            <w:r>
              <w:rPr>
                <w:rFonts w:hint="eastAsia" w:ascii="宋体" w:hAnsi="宋体" w:eastAsia="宋体" w:cs="宋体"/>
                <w:sz w:val="24"/>
                <w:szCs w:val="24"/>
                <w:highlight w:val="none"/>
                <w:lang w:val="en-US" w:eastAsia="zh-CN" w:bidi="zh-CN"/>
              </w:rPr>
            </w:r>
            <w:r/>
          </w:p>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未提供，其余不得分。</w:t>
            </w:r>
            <w:r>
              <w:rPr>
                <w:rFonts w:hint="eastAsia" w:ascii="宋体" w:hAnsi="宋体" w:eastAsia="宋体" w:cs="宋体"/>
                <w:sz w:val="24"/>
                <w:szCs w:val="24"/>
                <w:highlight w:val="none"/>
                <w:lang w:val="en-US" w:eastAsia="zh-CN" w:bidi="zh-CN"/>
              </w:rPr>
            </w:r>
            <w:r/>
          </w:p>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3、投标人提供完整的、可行的培训方案（方案内容需包含训目标、培训计划、培训方式、培训课程安排、技术培训等）</w:t>
            </w:r>
            <w:r>
              <w:rPr>
                <w:rFonts w:hint="eastAsia" w:ascii="宋体" w:hAnsi="宋体" w:eastAsia="宋体" w:cs="宋体"/>
                <w:b/>
                <w:bCs/>
                <w:sz w:val="24"/>
                <w:szCs w:val="24"/>
                <w:highlight w:val="none"/>
                <w:lang w:val="en-US" w:eastAsia="zh-CN" w:bidi="zh-CN"/>
              </w:rPr>
              <w:t xml:space="preserve">满分7分</w:t>
            </w:r>
            <w:r>
              <w:rPr>
                <w:rFonts w:hint="eastAsia" w:ascii="宋体" w:hAnsi="宋体" w:eastAsia="宋体" w:cs="宋体"/>
                <w:sz w:val="24"/>
                <w:szCs w:val="24"/>
                <w:highlight w:val="none"/>
                <w:lang w:val="en-US" w:eastAsia="zh-CN" w:bidi="zh-CN"/>
              </w:rPr>
            </w:r>
            <w:r/>
          </w:p>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方案科学、严密、合理，描述详细且具有针对性的得7分；</w:t>
            </w:r>
            <w:r>
              <w:rPr>
                <w:rFonts w:hint="eastAsia" w:ascii="宋体" w:hAnsi="宋体" w:eastAsia="宋体" w:cs="宋体"/>
                <w:sz w:val="24"/>
                <w:szCs w:val="24"/>
                <w:highlight w:val="none"/>
                <w:lang w:val="en-US" w:eastAsia="zh-CN" w:bidi="zh-CN"/>
              </w:rPr>
            </w:r>
            <w:r/>
          </w:p>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方案较合理、严密、描述较为详细，具有一定的针对性的得4分；</w:t>
            </w:r>
            <w:r>
              <w:rPr>
                <w:rFonts w:hint="eastAsia" w:ascii="宋体" w:hAnsi="宋体" w:eastAsia="宋体" w:cs="宋体"/>
                <w:sz w:val="24"/>
                <w:szCs w:val="24"/>
                <w:highlight w:val="none"/>
                <w:lang w:val="en-US" w:eastAsia="zh-CN" w:bidi="zh-CN"/>
              </w:rPr>
            </w:r>
            <w:r/>
          </w:p>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方案具有不合理项、描述略欠缺的得1分；</w:t>
            </w:r>
            <w:r>
              <w:rPr>
                <w:rFonts w:hint="eastAsia" w:ascii="宋体" w:hAnsi="宋体" w:eastAsia="宋体" w:cs="宋体"/>
                <w:sz w:val="24"/>
                <w:szCs w:val="24"/>
                <w:highlight w:val="none"/>
                <w:lang w:val="en-US" w:eastAsia="zh-CN" w:bidi="zh-CN"/>
              </w:rPr>
            </w:r>
            <w:r/>
          </w:p>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未提供，其余不得分。</w:t>
            </w:r>
            <w:r>
              <w:rPr>
                <w:rFonts w:hint="eastAsia" w:ascii="宋体" w:hAnsi="宋体" w:eastAsia="宋体" w:cs="宋体"/>
                <w:sz w:val="24"/>
                <w:szCs w:val="24"/>
                <w:highlight w:val="none"/>
                <w:lang w:val="en-US" w:eastAsia="zh-CN" w:bidi="zh-CN"/>
              </w:rPr>
            </w:r>
            <w:r/>
          </w:p>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4、</w:t>
            </w:r>
            <w:r>
              <w:rPr>
                <w:rFonts w:hint="eastAsia" w:ascii="宋体" w:hAnsi="宋体" w:eastAsia="宋体" w:cs="宋体"/>
                <w:sz w:val="24"/>
                <w:szCs w:val="24"/>
                <w:highlight w:val="none"/>
                <w:lang w:val="en-US" w:eastAsia="zh-CN" w:bidi="zh-CN"/>
              </w:rPr>
              <w:t xml:space="preserve">投标人针对本项目制定详尽、完善的售后服务承诺，提供完整方案（方案内容需包含故障解决方案、专业技术人员、服务保障等内容）</w:t>
            </w:r>
            <w:r>
              <w:rPr>
                <w:rFonts w:hint="eastAsia" w:ascii="宋体" w:hAnsi="宋体" w:eastAsia="宋体" w:cs="宋体"/>
                <w:b/>
                <w:bCs/>
                <w:sz w:val="24"/>
                <w:szCs w:val="24"/>
                <w:highlight w:val="none"/>
                <w:lang w:val="en-US" w:eastAsia="zh-CN" w:bidi="zh-CN"/>
              </w:rPr>
              <w:t xml:space="preserve">满分7分</w:t>
            </w:r>
            <w:r>
              <w:rPr>
                <w:rFonts w:hint="eastAsia" w:ascii="宋体" w:hAnsi="宋体" w:eastAsia="宋体" w:cs="宋体"/>
                <w:sz w:val="24"/>
                <w:szCs w:val="24"/>
                <w:highlight w:val="none"/>
                <w:lang w:val="en-US" w:eastAsia="zh-CN" w:bidi="zh-CN"/>
              </w:rPr>
            </w:r>
            <w:r/>
          </w:p>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方案科学、严密、合理，描述详细且具有针对性的得7分；</w:t>
            </w:r>
            <w:r>
              <w:rPr>
                <w:rFonts w:hint="eastAsia" w:ascii="宋体" w:hAnsi="宋体" w:eastAsia="宋体" w:cs="宋体"/>
                <w:sz w:val="24"/>
                <w:szCs w:val="24"/>
                <w:highlight w:val="none"/>
                <w:lang w:val="en-US" w:eastAsia="zh-CN" w:bidi="zh-CN"/>
              </w:rPr>
            </w:r>
            <w:r/>
          </w:p>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方案较合理、严密、描述较为详细，具有一定的针对性的得4分；</w:t>
            </w:r>
            <w:r>
              <w:rPr>
                <w:rFonts w:hint="eastAsia" w:ascii="宋体" w:hAnsi="宋体" w:eastAsia="宋体" w:cs="宋体"/>
                <w:sz w:val="24"/>
                <w:szCs w:val="24"/>
                <w:highlight w:val="none"/>
                <w:lang w:val="en-US" w:eastAsia="zh-CN" w:bidi="zh-CN"/>
              </w:rPr>
            </w:r>
            <w:r/>
          </w:p>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方案具有不合理项、描述略欠缺的得1分；</w:t>
            </w:r>
            <w:r>
              <w:rPr>
                <w:rFonts w:hint="eastAsia" w:ascii="宋体" w:hAnsi="宋体" w:eastAsia="宋体" w:cs="宋体"/>
                <w:sz w:val="24"/>
                <w:szCs w:val="24"/>
                <w:highlight w:val="none"/>
                <w:lang w:val="en-US" w:eastAsia="zh-CN" w:bidi="zh-CN"/>
              </w:rPr>
            </w:r>
            <w:r/>
          </w:p>
          <w:p>
            <w:pPr>
              <w:pStyle w:val="736"/>
              <w:jc w:val="left"/>
              <w:keepLines w:val="0"/>
              <w:keepNext w:val="0"/>
              <w:pageBreakBefore w:val="0"/>
              <w:spacing w:line="288" w:lineRule="auto"/>
              <w:widowControl w:val="off"/>
              <w:rPr>
                <w:rFonts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未提供，其余不得分。</w:t>
            </w:r>
            <w:r>
              <w:rPr>
                <w:rFonts w:ascii="宋体" w:hAnsi="宋体" w:eastAsia="宋体" w:cs="宋体"/>
                <w:sz w:val="24"/>
                <w:szCs w:val="24"/>
                <w:highlight w:val="none"/>
                <w:lang w:val="en-US" w:eastAsia="zh-CN" w:bidi="zh-CN"/>
              </w:rPr>
            </w:r>
            <w:r/>
          </w:p>
        </w:tc>
      </w:tr>
      <w:tr>
        <w:trPr>
          <w:trHeight w:val="2805"/>
        </w:trPr>
        <w:tc>
          <w:tcPr>
            <w:tcW w:w="1267" w:type="dxa"/>
            <w:vAlign w:val="center"/>
            <w:textDirection w:val="lrTb"/>
            <w:noWrap w:val="false"/>
          </w:tcPr>
          <w:p>
            <w:pPr>
              <w:pStyle w:val="736"/>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备品备件</w:t>
            </w:r>
            <w:r>
              <w:rPr>
                <w:rFonts w:hint="eastAsia" w:ascii="宋体" w:hAnsi="宋体" w:eastAsia="宋体" w:cs="宋体"/>
                <w:sz w:val="24"/>
                <w:szCs w:val="24"/>
                <w:highlight w:val="none"/>
                <w:lang w:val="en-US" w:eastAsia="zh-CN" w:bidi="ar-SA"/>
              </w:rPr>
            </w:r>
            <w:r/>
          </w:p>
          <w:p>
            <w:pPr>
              <w:pStyle w:val="736"/>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（4分）</w:t>
            </w:r>
            <w:r>
              <w:rPr>
                <w:rFonts w:hint="eastAsia" w:ascii="宋体" w:hAnsi="宋体" w:eastAsia="宋体" w:cs="宋体"/>
                <w:sz w:val="24"/>
                <w:szCs w:val="24"/>
                <w:highlight w:val="none"/>
                <w:lang w:val="en-US" w:eastAsia="zh-CN" w:bidi="ar-SA"/>
              </w:rPr>
            </w:r>
            <w:r/>
          </w:p>
        </w:tc>
        <w:tc>
          <w:tcPr>
            <w:tcW w:w="7395" w:type="dxa"/>
            <w:vAlign w:val="center"/>
            <w:textDirection w:val="lrTb"/>
            <w:noWrap w:val="false"/>
          </w:tcPr>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根据投标人在质保期内可提供的易损件、备件数量以及质保期外维修性价比进行评审：</w:t>
            </w:r>
            <w:r>
              <w:rPr>
                <w:rFonts w:hint="eastAsia" w:ascii="宋体" w:hAnsi="宋体" w:eastAsia="宋体" w:cs="宋体"/>
                <w:sz w:val="24"/>
                <w:szCs w:val="24"/>
                <w:highlight w:val="none"/>
                <w:lang w:val="en-US" w:eastAsia="zh-CN" w:bidi="ar-SA"/>
              </w:rPr>
            </w:r>
            <w:r/>
          </w:p>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质保期内易损件、备件储备清单完整，保外维修报价明细齐全，性价比高的，得4分；</w:t>
            </w:r>
            <w:r>
              <w:rPr>
                <w:rFonts w:hint="eastAsia" w:ascii="宋体" w:hAnsi="宋体" w:eastAsia="宋体" w:cs="宋体"/>
                <w:sz w:val="24"/>
                <w:szCs w:val="24"/>
                <w:highlight w:val="none"/>
                <w:lang w:val="en-US" w:eastAsia="zh-CN" w:bidi="ar-SA"/>
              </w:rPr>
            </w:r>
            <w:r/>
          </w:p>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提供主要易损件、备件清单，保外维修有报价，性价比一般，得2 分；</w:t>
            </w:r>
            <w:r>
              <w:rPr>
                <w:rFonts w:hint="eastAsia" w:ascii="宋体" w:hAnsi="宋体" w:eastAsia="宋体" w:cs="宋体"/>
                <w:sz w:val="24"/>
                <w:szCs w:val="24"/>
                <w:highlight w:val="none"/>
                <w:lang w:val="en-US" w:eastAsia="zh-CN" w:bidi="ar-SA"/>
              </w:rPr>
            </w:r>
            <w:r/>
          </w:p>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仅提供部分易损件、 备件清单，未提供保外维修价格，得 1 分；</w:t>
            </w:r>
            <w:r>
              <w:rPr>
                <w:rFonts w:hint="eastAsia" w:ascii="宋体" w:hAnsi="宋体" w:eastAsia="宋体" w:cs="宋体"/>
                <w:sz w:val="24"/>
                <w:szCs w:val="24"/>
                <w:highlight w:val="none"/>
                <w:lang w:val="en-US" w:eastAsia="zh-CN" w:bidi="ar-SA"/>
              </w:rPr>
            </w:r>
            <w:r/>
          </w:p>
          <w:p>
            <w:pPr>
              <w:pStyle w:val="736"/>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未提供的，不得分。</w:t>
            </w:r>
            <w:r>
              <w:rPr>
                <w:rFonts w:hint="eastAsia" w:ascii="宋体" w:hAnsi="宋体" w:eastAsia="宋体" w:cs="宋体"/>
                <w:sz w:val="24"/>
                <w:szCs w:val="24"/>
                <w:highlight w:val="none"/>
                <w:lang w:val="en-US" w:eastAsia="zh-CN" w:bidi="ar-SA"/>
              </w:rPr>
            </w:r>
            <w:r/>
          </w:p>
        </w:tc>
      </w:tr>
      <w:tr>
        <w:trPr>
          <w:trHeight w:val="2034"/>
        </w:trPr>
        <w:tc>
          <w:tcPr>
            <w:tcW w:w="1267" w:type="dxa"/>
            <w:vAlign w:val="center"/>
            <w:textDirection w:val="lrTb"/>
            <w:noWrap w:val="false"/>
          </w:tcPr>
          <w:p>
            <w:pPr>
              <w:pStyle w:val="736"/>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免费质保</w:t>
            </w:r>
            <w:r>
              <w:rPr>
                <w:rFonts w:hint="eastAsia" w:ascii="宋体" w:hAnsi="宋体" w:eastAsia="宋体" w:cs="宋体"/>
                <w:sz w:val="24"/>
                <w:szCs w:val="24"/>
                <w:highlight w:val="none"/>
                <w:lang w:val="en-US" w:eastAsia="zh-CN" w:bidi="ar-SA"/>
              </w:rPr>
            </w:r>
            <w:r/>
          </w:p>
          <w:p>
            <w:pPr>
              <w:pStyle w:val="736"/>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（5分）</w:t>
            </w:r>
            <w:r>
              <w:rPr>
                <w:rFonts w:hint="eastAsia" w:ascii="宋体" w:hAnsi="宋体" w:eastAsia="宋体" w:cs="宋体"/>
                <w:sz w:val="24"/>
                <w:szCs w:val="24"/>
                <w:highlight w:val="none"/>
                <w:lang w:val="en-US" w:eastAsia="zh-CN" w:bidi="ar-SA"/>
              </w:rPr>
            </w:r>
            <w:r/>
          </w:p>
        </w:tc>
        <w:tc>
          <w:tcPr>
            <w:tcW w:w="7395" w:type="dxa"/>
            <w:vAlign w:val="center"/>
            <w:textDirection w:val="lrTb"/>
            <w:noWrap w:val="false"/>
          </w:tcPr>
          <w:p>
            <w:pPr>
              <w:pStyle w:val="736"/>
              <w:numPr>
                <w:ilvl w:val="0"/>
                <w:numId w:val="6"/>
              </w:numPr>
              <w:jc w:val="left"/>
              <w:keepLines w:val="0"/>
              <w:keepNext w:val="0"/>
              <w:pageBreakBefore w:val="0"/>
              <w:spacing w:line="288"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投标人提供设备制造商出具的原厂质保承诺的，得1分（原件扫描上传系统），无有效证明材料不得分；</w:t>
            </w:r>
            <w:r>
              <w:rPr>
                <w:rFonts w:hint="eastAsia" w:ascii="宋体" w:hAnsi="宋体" w:eastAsia="宋体" w:cs="宋体"/>
                <w:b w:val="0"/>
                <w:bCs w:val="0"/>
                <w:sz w:val="24"/>
                <w:szCs w:val="24"/>
                <w:highlight w:val="none"/>
                <w:lang w:val="en-US" w:eastAsia="zh-CN" w:bidi="ar-SA"/>
              </w:rPr>
            </w:r>
            <w:r/>
          </w:p>
          <w:p>
            <w:pPr>
              <w:pStyle w:val="736"/>
              <w:numPr>
                <w:ilvl w:val="0"/>
                <w:numId w:val="6"/>
              </w:numPr>
              <w:jc w:val="left"/>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满足招标文件基本质保期要求的，不得分，在3年的基础上每延长一年加2分，最多加至4分（提供承诺函加盖投标人公章，原件扫描上传系统）</w:t>
            </w:r>
            <w:r>
              <w:rPr>
                <w:rFonts w:hint="eastAsia" w:ascii="宋体" w:hAnsi="宋体" w:eastAsia="宋体" w:cs="宋体"/>
                <w:sz w:val="24"/>
                <w:szCs w:val="24"/>
                <w:highlight w:val="none"/>
                <w:lang w:val="en-US" w:eastAsia="zh-CN" w:bidi="ar-SA"/>
              </w:rPr>
            </w:r>
            <w:r/>
          </w:p>
        </w:tc>
      </w:tr>
      <w:tr>
        <w:trPr>
          <w:trHeight w:val="1903"/>
        </w:trPr>
        <w:tc>
          <w:tcPr>
            <w:tcW w:w="1267" w:type="dxa"/>
            <w:vAlign w:val="center"/>
            <w:textDirection w:val="lrTb"/>
            <w:noWrap w:val="false"/>
          </w:tcPr>
          <w:p>
            <w:pPr>
              <w:pStyle w:val="736"/>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业绩</w:t>
            </w:r>
            <w:r>
              <w:rPr>
                <w:rFonts w:hint="eastAsia" w:ascii="宋体" w:hAnsi="宋体" w:eastAsia="宋体" w:cs="宋体"/>
                <w:sz w:val="24"/>
                <w:szCs w:val="24"/>
                <w:highlight w:val="none"/>
                <w:lang w:val="en-US" w:eastAsia="zh-CN" w:bidi="zh-CN"/>
              </w:rPr>
            </w:r>
            <w:r/>
          </w:p>
          <w:p>
            <w:pPr>
              <w:pStyle w:val="736"/>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zh-CN"/>
              </w:rPr>
            </w:pPr>
            <w:r>
              <w:rPr>
                <w:rFonts w:hint="eastAsia" w:ascii="宋体" w:hAnsi="宋体" w:eastAsia="宋体" w:cs="宋体"/>
                <w:sz w:val="24"/>
                <w:szCs w:val="24"/>
                <w:highlight w:val="none"/>
                <w:lang w:val="en-US" w:eastAsia="zh-CN" w:bidi="zh-CN"/>
              </w:rPr>
              <w:t xml:space="preserve">（2分）</w:t>
            </w:r>
            <w:r>
              <w:rPr>
                <w:rFonts w:hint="eastAsia" w:ascii="宋体" w:hAnsi="宋体" w:eastAsia="宋体" w:cs="宋体"/>
                <w:sz w:val="24"/>
                <w:szCs w:val="24"/>
                <w:highlight w:val="none"/>
                <w:lang w:val="en-US" w:eastAsia="zh-CN" w:bidi="zh-CN"/>
              </w:rPr>
            </w:r>
            <w:r/>
          </w:p>
        </w:tc>
        <w:tc>
          <w:tcPr>
            <w:tcW w:w="7395" w:type="dxa"/>
            <w:vAlign w:val="center"/>
            <w:textDirection w:val="lrTb"/>
            <w:noWrap w:val="false"/>
          </w:tcPr>
          <w:p>
            <w:pPr>
              <w:pStyle w:val="736"/>
              <w:jc w:val="left"/>
              <w:keepLines w:val="0"/>
              <w:keepNext w:val="0"/>
              <w:pageBreakBefore w:val="0"/>
              <w:spacing w:line="288"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自2023年1月1日以来（以合同签订时间为准），投标人具有所投产品设备案例，每提供一个得1分，最高得2分。</w:t>
            </w:r>
            <w:r>
              <w:rPr>
                <w:rFonts w:hint="eastAsia" w:ascii="宋体" w:hAnsi="宋体" w:eastAsia="宋体" w:cs="宋体"/>
                <w:b w:val="0"/>
                <w:bCs w:val="0"/>
                <w:sz w:val="24"/>
                <w:szCs w:val="24"/>
                <w:highlight w:val="none"/>
                <w:lang w:val="en-US" w:eastAsia="zh-CN" w:bidi="ar-SA"/>
              </w:rPr>
              <w:t xml:space="preserve">（提供项目合同及合同对应发票原件扫描上传系统，未提供或提供不全不得分</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tc>
      </w:tr>
    </w:tbl>
    <w:p>
      <w:pPr>
        <w:pStyle w:val="73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val="en-US" w:eastAsia="zh-CN"/>
        </w:rPr>
        <w:t xml:space="preserve">评审过程中出现下列情形之一的，评审委员会应当启动异常低价投标（响应）审查程序：</w:t>
      </w:r>
      <w:r>
        <w:rPr>
          <w:rFonts w:hint="eastAsia" w:ascii="宋体" w:hAnsi="宋体" w:eastAsia="宋体" w:cs="宋体"/>
          <w:b/>
          <w:bCs/>
          <w:color w:val="000000"/>
          <w:sz w:val="24"/>
          <w:szCs w:val="24"/>
          <w:highlight w:val="none"/>
          <w:lang w:val="en-US" w:eastAsia="zh-CN"/>
        </w:rPr>
      </w:r>
      <w:r/>
    </w:p>
    <w:p>
      <w:pPr>
        <w:pStyle w:val="73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4"/>
          <w:szCs w:val="24"/>
          <w:highlight w:val="none"/>
          <w:lang w:val="en-US" w:eastAsia="zh-CN"/>
        </w:rPr>
      </w:r>
      <w:r/>
    </w:p>
    <w:p>
      <w:pPr>
        <w:pStyle w:val="73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4"/>
          <w:szCs w:val="24"/>
          <w:highlight w:val="none"/>
          <w:lang w:val="en-US" w:eastAsia="zh-CN"/>
        </w:rPr>
      </w:r>
      <w:r/>
    </w:p>
    <w:p>
      <w:pPr>
        <w:pStyle w:val="73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（3）投标（响应）报价低于采购项目最高限价50% 的，即投标（响应）报价&lt;采购项目最高限价×50%；</w:t>
      </w:r>
      <w:r>
        <w:rPr>
          <w:rFonts w:hint="eastAsia" w:ascii="宋体" w:hAnsi="宋体" w:eastAsia="宋体" w:cs="宋体"/>
          <w:b/>
          <w:bCs/>
          <w:color w:val="000000"/>
          <w:sz w:val="24"/>
          <w:szCs w:val="24"/>
          <w:highlight w:val="none"/>
          <w:lang w:val="en-US" w:eastAsia="zh-CN"/>
        </w:rPr>
      </w:r>
      <w:r/>
    </w:p>
    <w:p>
      <w:pPr>
        <w:pStyle w:val="73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（4）评审委员会认定的供应商报价过低、有可能影响产品质量或者不能诚信履约的其他情形。</w:t>
      </w:r>
      <w:r>
        <w:rPr>
          <w:rFonts w:hint="eastAsia" w:ascii="宋体" w:hAnsi="宋体" w:eastAsia="宋体" w:cs="宋体"/>
          <w:b/>
          <w:bCs/>
          <w:color w:val="000000"/>
          <w:sz w:val="24"/>
          <w:szCs w:val="24"/>
          <w:highlight w:val="none"/>
          <w:lang w:val="en-US" w:eastAsia="zh-CN"/>
        </w:rPr>
      </w:r>
      <w:r/>
    </w:p>
    <w:p>
      <w:pPr>
        <w:pStyle w:val="73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评审委员会启动异常低价投标（响应）审查后，属于前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时间提交证明材料。30 分钟为评审系统内线上提交的时限，超时未提交视为无法说明报价合理性 </w:t>
      </w:r>
      <w:r>
        <w:rPr>
          <w:rFonts w:hint="eastAsia" w:ascii="宋体" w:hAnsi="宋体" w:eastAsia="宋体" w:cs="宋体"/>
          <w:b/>
          <w:bCs/>
          <w:color w:val="000000"/>
          <w:sz w:val="24"/>
          <w:szCs w:val="24"/>
          <w:highlight w:val="none"/>
          <w:lang w:val="en-US" w:eastAsia="zh-CN"/>
        </w:rPr>
      </w:r>
      <w:r/>
    </w:p>
    <w:p>
      <w:pPr>
        <w:pStyle w:val="736"/>
        <w:ind w:firstLine="42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lang w:val="en-US" w:eastAsia="zh-CN"/>
        </w:rPr>
      </w:r>
      <w:r/>
    </w:p>
    <w:p>
      <w:pPr>
        <w:pStyle w:val="736"/>
        <w:numPr>
          <w:ilvl w:val="0"/>
          <w:numId w:val="0"/>
        </w:numPr>
        <w:ind w:firstLine="422"/>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6"/>
        <w:ind w:firstLine="422"/>
        <w:keepLines w:val="0"/>
        <w:keepNext w:val="0"/>
        <w:pageBreakBefore w:val="0"/>
        <w:spacing w:line="360" w:lineRule="auto"/>
        <w:widowControl w:val="off"/>
        <w:rPr>
          <w:rFonts w:hint="eastAsia" w:ascii="宋体" w:hAnsi="宋体" w:eastAsia="宋体" w:cs="宋体"/>
          <w:b/>
          <w:bCs w:val="0"/>
          <w:color w:val="000000"/>
          <w:szCs w:val="21"/>
          <w:highlight w:val="none"/>
        </w:rPr>
      </w:pPr>
      <w:r>
        <w:rPr>
          <w:rFonts w:hint="eastAsia" w:ascii="宋体" w:hAnsi="宋体" w:eastAsia="宋体" w:cs="宋体"/>
          <w:b/>
          <w:bCs w:val="0"/>
          <w:color w:val="000000"/>
          <w:szCs w:val="21"/>
          <w:highlight w:val="none"/>
        </w:rPr>
      </w:r>
      <w:r/>
    </w:p>
    <w:p>
      <w:pPr>
        <w:pStyle w:val="736"/>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r>
      <w:r/>
    </w:p>
    <w:p>
      <w:pPr>
        <w:pStyle w:val="777"/>
        <w:rPr>
          <w:rFonts w:hint="eastAsia"/>
          <w:color w:val="000000"/>
          <w:sz w:val="44"/>
          <w:szCs w:val="44"/>
          <w:highlight w:val="none"/>
        </w:rPr>
      </w:pPr>
      <w:r/>
      <w:bookmarkStart w:id="76" w:name="_Toc18779"/>
      <w:r>
        <w:rPr>
          <w:rFonts w:hint="eastAsia"/>
          <w:color w:val="000000"/>
          <w:sz w:val="44"/>
          <w:szCs w:val="44"/>
          <w:highlight w:val="none"/>
        </w:rPr>
      </w:r>
      <w:r/>
    </w:p>
    <w:p>
      <w:pPr>
        <w:pStyle w:val="777"/>
        <w:rPr>
          <w:rFonts w:hint="eastAsia"/>
          <w:color w:val="000000"/>
          <w:highlight w:val="none"/>
        </w:rPr>
      </w:pPr>
      <w:r>
        <w:rPr>
          <w:rFonts w:hint="eastAsia"/>
          <w:color w:val="000000"/>
          <w:sz w:val="44"/>
          <w:szCs w:val="44"/>
          <w:highlight w:val="none"/>
        </w:rPr>
        <w:t xml:space="preserve">第六章 投标文件格式</w:t>
      </w:r>
      <w:bookmarkEnd w:id="76"/>
      <w:r>
        <w:rPr>
          <w:rFonts w:hint="eastAsia"/>
          <w:color w:val="000000"/>
          <w:highlight w:val="none"/>
        </w:rPr>
        <w:t xml:space="preserve"> </w:t>
      </w:r>
      <w:r>
        <w:rPr>
          <w:rFonts w:hint="eastAsia"/>
          <w:color w:val="000000"/>
          <w:highlight w:val="none"/>
        </w:rPr>
      </w:r>
      <w:r/>
    </w:p>
    <w:p>
      <w:pPr>
        <w:pStyle w:val="736"/>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46"/>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36"/>
        <w:rPr>
          <w:rFonts w:hint="eastAsia"/>
          <w:color w:val="000000"/>
          <w:highlight w:val="none"/>
        </w:rPr>
      </w:pPr>
      <w:r>
        <w:rPr>
          <w:rFonts w:hint="eastAsia"/>
          <w:color w:val="000000"/>
          <w:highlight w:val="none"/>
        </w:rPr>
      </w:r>
      <w:r/>
    </w:p>
    <w:p>
      <w:pPr>
        <w:pStyle w:val="73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投  标  文  件</w:t>
      </w:r>
      <w:r>
        <w:rPr>
          <w:rFonts w:hint="eastAsia" w:ascii="宋体" w:hAnsi="宋体" w:eastAsia="宋体" w:cs="宋体"/>
          <w:b/>
          <w:color w:val="000000"/>
          <w:sz w:val="72"/>
          <w:highlight w:val="none"/>
        </w:rPr>
      </w:r>
      <w:r/>
    </w:p>
    <w:p>
      <w:pPr>
        <w:pStyle w:val="73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73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73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rPr>
      </w:r>
      <w:r/>
    </w:p>
    <w:p>
      <w:pPr>
        <w:pStyle w:val="736"/>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招 标 编 号：</w:t>
      </w:r>
      <w:r>
        <w:rPr>
          <w:rFonts w:hint="eastAsia" w:ascii="宋体" w:hAnsi="宋体" w:eastAsia="宋体" w:cs="宋体"/>
          <w:b/>
          <w:color w:val="000000"/>
          <w:sz w:val="36"/>
          <w:highlight w:val="none"/>
          <w:u w:val="single"/>
        </w:rPr>
      </w:r>
      <w:r/>
    </w:p>
    <w:p>
      <w:pPr>
        <w:pStyle w:val="736"/>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r>
      <w:r/>
    </w:p>
    <w:p>
      <w:pPr>
        <w:pStyle w:val="736"/>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r>
      <w:r/>
    </w:p>
    <w:p>
      <w:pPr>
        <w:pStyle w:val="73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投  标  人：（电子签章）</w:t>
      </w:r>
      <w:r>
        <w:rPr>
          <w:rFonts w:hint="eastAsia" w:ascii="宋体" w:hAnsi="宋体" w:eastAsia="宋体" w:cs="宋体"/>
          <w:b/>
          <w:color w:val="000000"/>
          <w:sz w:val="36"/>
          <w:highlight w:val="none"/>
        </w:rPr>
      </w:r>
      <w:r/>
    </w:p>
    <w:p>
      <w:pPr>
        <w:pStyle w:val="736"/>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6"/>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6"/>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6"/>
        <w:jc w:val="center"/>
        <w:spacing w:line="440" w:lineRule="exact"/>
        <w:rPr>
          <w:rFonts w:hint="eastAsia" w:ascii="宋体" w:hAnsi="宋体" w:eastAsia="宋体" w:cs="宋体"/>
          <w:b/>
          <w:bCs/>
          <w:color w:val="000000"/>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32"/>
          <w:szCs w:val="32"/>
          <w:highlight w:val="none"/>
        </w:rPr>
      </w:r>
      <w:r/>
    </w:p>
    <w:p>
      <w:pPr>
        <w:pStyle w:val="736"/>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投标主要文件目录</w:t>
      </w:r>
      <w:r>
        <w:rPr>
          <w:rFonts w:hint="eastAsia" w:ascii="宋体" w:hAnsi="宋体" w:eastAsia="宋体" w:cs="宋体"/>
          <w:b/>
          <w:bCs/>
          <w:color w:val="000000"/>
          <w:sz w:val="32"/>
          <w:szCs w:val="32"/>
          <w:highlight w:val="none"/>
        </w:rPr>
      </w:r>
      <w:r/>
    </w:p>
    <w:p>
      <w:pPr>
        <w:pStyle w:val="736"/>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一、资格审查响应对照表</w:t>
      </w:r>
      <w:r>
        <w:rPr>
          <w:rFonts w:hint="eastAsia" w:ascii="宋体" w:hAnsi="宋体" w:eastAsia="宋体" w:cs="宋体"/>
          <w:color w:val="000000"/>
          <w:sz w:val="24"/>
          <w:highlight w:val="none"/>
        </w:rPr>
      </w:r>
      <w:r/>
    </w:p>
    <w:p>
      <w:pPr>
        <w:pStyle w:val="736"/>
        <w:ind w:left="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二、符合性审查响应对照表</w:t>
      </w:r>
      <w:r>
        <w:rPr>
          <w:rFonts w:hint="eastAsia" w:ascii="宋体" w:hAnsi="宋体" w:eastAsia="宋体" w:cs="宋体"/>
          <w:color w:val="000000"/>
          <w:sz w:val="24"/>
          <w:highlight w:val="none"/>
        </w:rPr>
      </w:r>
      <w:r/>
    </w:p>
    <w:p>
      <w:pPr>
        <w:pStyle w:val="736"/>
        <w:ind w:left="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三、非实质性响应对照表</w:t>
      </w:r>
      <w:r>
        <w:rPr>
          <w:rFonts w:hint="eastAsia" w:ascii="宋体" w:hAnsi="宋体" w:eastAsia="宋体" w:cs="宋体"/>
          <w:color w:val="000000"/>
          <w:sz w:val="24"/>
          <w:highlight w:val="none"/>
        </w:rPr>
      </w:r>
      <w:r/>
    </w:p>
    <w:p>
      <w:pPr>
        <w:pStyle w:val="736"/>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四</w:t>
      </w:r>
      <w:r>
        <w:rPr>
          <w:rFonts w:hint="eastAsia" w:ascii="宋体" w:hAnsi="宋体" w:eastAsia="宋体" w:cs="宋体"/>
          <w:b/>
          <w:bCs/>
          <w:color w:val="000000"/>
          <w:sz w:val="24"/>
          <w:highlight w:val="none"/>
        </w:rPr>
        <w:t xml:space="preserve">、</w:t>
      </w:r>
      <w:r>
        <w:rPr>
          <w:rFonts w:hint="eastAsia" w:ascii="宋体" w:hAnsi="宋体" w:eastAsia="宋体" w:cs="宋体"/>
          <w:i/>
          <w:color w:val="000000"/>
          <w:sz w:val="24"/>
          <w:highlight w:val="none"/>
          <w:u w:val="single"/>
        </w:rPr>
        <w:t xml:space="preserve">开标一览表</w:t>
      </w:r>
      <w:r>
        <w:rPr>
          <w:rFonts w:hint="eastAsia" w:ascii="宋体" w:hAnsi="宋体" w:eastAsia="宋体" w:cs="宋体"/>
          <w:b/>
          <w:bCs/>
          <w:color w:val="000000"/>
          <w:sz w:val="24"/>
          <w:highlight w:val="none"/>
        </w:rPr>
      </w:r>
      <w:r/>
    </w:p>
    <w:p>
      <w:pPr>
        <w:pStyle w:val="7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五、投标配置与分项报价表</w:t>
      </w:r>
      <w:r>
        <w:rPr>
          <w:rFonts w:hint="eastAsia" w:ascii="宋体" w:hAnsi="宋体" w:eastAsia="宋体" w:cs="宋体"/>
          <w:color w:val="000000"/>
          <w:sz w:val="24"/>
          <w:highlight w:val="none"/>
        </w:rPr>
      </w:r>
      <w:r/>
    </w:p>
    <w:p>
      <w:pPr>
        <w:pStyle w:val="7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w:t>
      </w:r>
      <w:r>
        <w:rPr>
          <w:rFonts w:hint="eastAsia" w:ascii="宋体" w:hAnsi="宋体" w:eastAsia="宋体" w:cs="宋体"/>
          <w:color w:val="000000"/>
          <w:sz w:val="24"/>
          <w:szCs w:val="24"/>
          <w:highlight w:val="none"/>
        </w:rPr>
        <w:t xml:space="preserve">、技术参数响应及偏离表</w:t>
      </w:r>
      <w:r>
        <w:rPr>
          <w:rFonts w:hint="eastAsia" w:ascii="宋体" w:hAnsi="宋体" w:eastAsia="宋体" w:cs="宋体"/>
          <w:color w:val="000000"/>
          <w:sz w:val="24"/>
          <w:highlight w:val="none"/>
        </w:rPr>
      </w:r>
      <w:r/>
    </w:p>
    <w:p>
      <w:pPr>
        <w:pStyle w:val="7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七、商务条款响应及偏离表</w:t>
      </w:r>
      <w:r>
        <w:rPr>
          <w:rFonts w:hint="eastAsia" w:ascii="宋体" w:hAnsi="宋体" w:eastAsia="宋体" w:cs="宋体"/>
          <w:color w:val="000000"/>
          <w:sz w:val="24"/>
          <w:highlight w:val="none"/>
        </w:rPr>
      </w:r>
      <w:r/>
    </w:p>
    <w:p>
      <w:pPr>
        <w:pStyle w:val="73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八、主要标的信息（中标后将公示）</w:t>
      </w:r>
      <w:r>
        <w:rPr>
          <w:rFonts w:hint="eastAsia" w:ascii="宋体" w:hAnsi="宋体" w:eastAsia="宋体" w:cs="宋体"/>
          <w:color w:val="000000"/>
          <w:sz w:val="24"/>
          <w:highlight w:val="none"/>
        </w:rPr>
      </w:r>
      <w:r/>
    </w:p>
    <w:p>
      <w:pPr>
        <w:pStyle w:val="736"/>
        <w:ind w:firstLine="480"/>
        <w:spacing w:line="360" w:lineRule="auto"/>
        <w:rPr>
          <w:rFonts w:hint="eastAsia" w:ascii="宋体" w:hAnsi="宋体" w:eastAsia="宋体" w:cs="宋体"/>
          <w:color w:val="000000"/>
          <w:sz w:val="36"/>
          <w:szCs w:val="36"/>
          <w:highlight w:val="none"/>
        </w:rPr>
      </w:pPr>
      <w:r>
        <w:rPr>
          <w:rFonts w:hint="eastAsia" w:ascii="宋体" w:hAnsi="宋体" w:cs="宋体"/>
          <w:color w:val="000000"/>
          <w:sz w:val="24"/>
          <w:highlight w:val="none"/>
          <w:lang w:val="en-US" w:eastAsia="zh-CN"/>
        </w:rPr>
        <w:t xml:space="preserve">九、</w:t>
      </w:r>
      <w:r>
        <w:rPr>
          <w:rFonts w:hint="eastAsia" w:ascii="宋体" w:hAnsi="宋体" w:eastAsia="宋体" w:cs="宋体"/>
          <w:color w:val="000000"/>
          <w:sz w:val="24"/>
          <w:highlight w:val="none"/>
        </w:rPr>
        <w:t xml:space="preserve">其他 （投标人认为有必要提供的声明和文件，如有自拟并自行添加）</w:t>
      </w:r>
      <w:r>
        <w:rPr>
          <w:rFonts w:hint="eastAsia" w:ascii="宋体" w:hAnsi="宋体" w:eastAsia="宋体" w:cs="宋体"/>
          <w:color w:val="000000"/>
          <w:sz w:val="36"/>
          <w:szCs w:val="36"/>
          <w:highlight w:val="none"/>
        </w:rPr>
      </w:r>
      <w:r/>
    </w:p>
    <w:p>
      <w:pPr>
        <w:pStyle w:val="736"/>
        <w:contextualSpacing/>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736"/>
        <w:contextualSpacing/>
        <w:jc w:val="center"/>
        <w:spacing w:line="600" w:lineRule="exact"/>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736"/>
        <w:contextualSpacing/>
        <w:jc w:val="center"/>
        <w:spacing w:line="600" w:lineRule="exact"/>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736"/>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35"/>
        <w:rPr>
          <w:rFonts w:hint="eastAsia" w:ascii="宋体" w:hAnsi="宋体" w:eastAsia="宋体" w:cs="宋体"/>
          <w:b w:val="0"/>
          <w:color w:val="000000"/>
          <w:sz w:val="32"/>
          <w:szCs w:val="32"/>
          <w:highlight w:val="none"/>
        </w:rPr>
      </w:pPr>
      <w:r>
        <w:rPr>
          <w:rFonts w:hint="eastAsia" w:ascii="宋体" w:hAnsi="宋体" w:eastAsia="宋体" w:cs="宋体"/>
          <w:color w:val="000000"/>
          <w:sz w:val="32"/>
          <w:szCs w:val="32"/>
          <w:highlight w:val="none"/>
        </w:rPr>
        <w:br w:type="page" w:clear="all"/>
      </w:r>
      <w:bookmarkStart w:id="77" w:name="_Toc20369"/>
      <w:r/>
      <w:bookmarkStart w:id="78" w:name="_Toc5792"/>
      <w:r/>
      <w:bookmarkStart w:id="79" w:name="_Toc7268"/>
      <w:r>
        <w:rPr>
          <w:rFonts w:hint="eastAsia" w:ascii="宋体" w:hAnsi="宋体" w:eastAsia="宋体" w:cs="宋体"/>
          <w:color w:val="000000"/>
          <w:sz w:val="32"/>
          <w:highlight w:val="none"/>
        </w:rPr>
        <w:t xml:space="preserve">一、资格审查响应对照表</w:t>
      </w:r>
      <w:bookmarkEnd w:id="77"/>
      <w:r/>
      <w:bookmarkEnd w:id="78"/>
      <w:r/>
      <w:bookmarkEnd w:id="79"/>
      <w:r>
        <w:rPr>
          <w:rFonts w:hint="eastAsia" w:ascii="宋体" w:hAnsi="宋体" w:eastAsia="宋体" w:cs="宋体"/>
          <w:b w:val="0"/>
          <w:color w:val="000000"/>
          <w:sz w:val="32"/>
          <w:szCs w:val="32"/>
          <w:highlight w:val="none"/>
        </w:rPr>
      </w:r>
      <w:r/>
    </w:p>
    <w:tbl>
      <w:tblPr>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5801"/>
        <w:gridCol w:w="2030"/>
      </w:tblGrid>
      <w:tr>
        <w:trPr>
          <w:trHeight w:val="647"/>
        </w:trPr>
        <w:tc>
          <w:tcPr>
            <w:tcW w:w="688" w:type="dxa"/>
            <w:vAlign w:val="center"/>
            <w:textDirection w:val="lrTb"/>
            <w:noWrap w:val="false"/>
          </w:tcPr>
          <w:p>
            <w:pPr>
              <w:pStyle w:val="736"/>
              <w:jc w:val="center"/>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序号</w:t>
            </w:r>
            <w:r>
              <w:rPr>
                <w:rFonts w:hint="eastAsia" w:ascii="宋体" w:hAnsi="宋体" w:eastAsia="宋体" w:cs="宋体"/>
                <w:b/>
                <w:color w:val="000000"/>
                <w:sz w:val="21"/>
                <w:szCs w:val="21"/>
                <w:highlight w:val="none"/>
                <w:lang w:val="en-US" w:eastAsia="zh-CN" w:bidi="ar-SA"/>
              </w:rPr>
            </w:r>
            <w:r/>
          </w:p>
        </w:tc>
        <w:tc>
          <w:tcPr>
            <w:tcW w:w="5801" w:type="dxa"/>
            <w:vAlign w:val="center"/>
            <w:textDirection w:val="lrTb"/>
            <w:noWrap w:val="false"/>
          </w:tcPr>
          <w:p>
            <w:pPr>
              <w:pStyle w:val="736"/>
              <w:jc w:val="center"/>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资格审查响应内容</w:t>
            </w:r>
            <w:r>
              <w:rPr>
                <w:rFonts w:hint="eastAsia" w:ascii="宋体" w:hAnsi="宋体" w:eastAsia="宋体" w:cs="宋体"/>
                <w:b/>
                <w:color w:val="000000"/>
                <w:sz w:val="21"/>
                <w:szCs w:val="21"/>
                <w:highlight w:val="none"/>
                <w:lang w:val="en-US" w:eastAsia="zh-CN" w:bidi="ar-SA"/>
              </w:rPr>
            </w:r>
            <w:r/>
          </w:p>
        </w:tc>
        <w:tc>
          <w:tcPr>
            <w:tcW w:w="2030" w:type="dxa"/>
            <w:vAlign w:val="center"/>
            <w:textDirection w:val="lrTb"/>
            <w:noWrap w:val="false"/>
          </w:tcPr>
          <w:p>
            <w:pPr>
              <w:pStyle w:val="736"/>
              <w:jc w:val="center"/>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是否响应</w:t>
            </w:r>
            <w:r>
              <w:rPr>
                <w:rFonts w:hint="eastAsia" w:ascii="宋体" w:hAnsi="宋体" w:eastAsia="宋体" w:cs="宋体"/>
                <w:b/>
                <w:color w:val="000000"/>
                <w:sz w:val="21"/>
                <w:szCs w:val="21"/>
                <w:highlight w:val="none"/>
                <w:lang w:val="en-US" w:eastAsia="zh-CN" w:bidi="ar-SA"/>
              </w:rPr>
            </w:r>
            <w:r/>
          </w:p>
          <w:p>
            <w:pPr>
              <w:pStyle w:val="736"/>
              <w:jc w:val="center"/>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（填是或者否）</w:t>
            </w:r>
            <w:r>
              <w:rPr>
                <w:rFonts w:hint="eastAsia" w:ascii="宋体" w:hAnsi="宋体" w:eastAsia="宋体" w:cs="宋体"/>
                <w:b/>
                <w:color w:val="000000"/>
                <w:sz w:val="21"/>
                <w:szCs w:val="21"/>
                <w:highlight w:val="none"/>
                <w:lang w:val="en-US" w:eastAsia="zh-CN" w:bidi="ar-SA"/>
              </w:rPr>
            </w:r>
            <w:r/>
          </w:p>
        </w:tc>
      </w:tr>
      <w:tr>
        <w:trPr>
          <w:trHeight w:val="524"/>
        </w:trPr>
        <w:tc>
          <w:tcPr>
            <w:gridSpan w:val="3"/>
            <w:tcW w:w="8519" w:type="dxa"/>
            <w:vAlign w:val="center"/>
            <w:textDirection w:val="lrTb"/>
            <w:noWrap w:val="false"/>
          </w:tcPr>
          <w:p>
            <w:pPr>
              <w:pStyle w:val="736"/>
              <w:jc w:val="both"/>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通用资格条件</w:t>
            </w:r>
            <w:r>
              <w:rPr>
                <w:rFonts w:hint="eastAsia" w:ascii="宋体" w:hAnsi="宋体" w:eastAsia="宋体" w:cs="宋体"/>
                <w:b/>
                <w:color w:val="000000"/>
                <w:sz w:val="21"/>
                <w:szCs w:val="21"/>
                <w:highlight w:val="none"/>
                <w:lang w:val="en-US" w:eastAsia="zh-CN" w:bidi="ar-SA"/>
              </w:rPr>
            </w:r>
            <w:r/>
          </w:p>
        </w:tc>
      </w:tr>
      <w:tr>
        <w:trPr>
          <w:trHeight w:val="761"/>
        </w:trPr>
        <w:tc>
          <w:tcPr>
            <w:tcW w:w="688" w:type="dxa"/>
            <w:vAlign w:val="center"/>
            <w:textDirection w:val="lrTb"/>
            <w:noWrap w:val="false"/>
          </w:tcPr>
          <w:p>
            <w:pPr>
              <w:pStyle w:val="736"/>
              <w:jc w:val="center"/>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b/>
                <w:color w:val="000000"/>
                <w:sz w:val="21"/>
                <w:szCs w:val="21"/>
                <w:highlight w:val="none"/>
                <w:lang w:val="en-US" w:eastAsia="zh-CN" w:bidi="ar-SA"/>
              </w:rPr>
            </w:r>
            <w:r/>
          </w:p>
        </w:tc>
        <w:tc>
          <w:tcPr>
            <w:tcW w:w="5801" w:type="dxa"/>
            <w:vAlign w:val="center"/>
            <w:textDirection w:val="lrTb"/>
            <w:noWrap w:val="false"/>
          </w:tcPr>
          <w:p>
            <w:pPr>
              <w:pStyle w:val="736"/>
              <w:jc w:val="both"/>
              <w:keepLines w:val="0"/>
              <w:keepNext w:val="0"/>
              <w:pageBreakBefore w:val="0"/>
              <w:spacing w:line="440" w:lineRule="exac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法人或者其他组织的营业执照等证明文件，自然人的身份证明</w:t>
            </w:r>
            <w:r>
              <w:rPr>
                <w:rFonts w:hint="eastAsia" w:ascii="宋体" w:hAnsi="宋体" w:eastAsia="宋体" w:cs="宋体"/>
                <w:iCs/>
                <w:color w:val="000000"/>
                <w:sz w:val="21"/>
                <w:szCs w:val="21"/>
                <w:highlight w:val="none"/>
                <w:lang w:val="en-US" w:eastAsia="zh-CN" w:bidi="ar-SA"/>
              </w:rPr>
            </w:r>
            <w:r/>
          </w:p>
        </w:tc>
        <w:tc>
          <w:tcPr>
            <w:tcW w:w="2030" w:type="dxa"/>
            <w:vAlign w:val="center"/>
            <w:textDirection w:val="lrTb"/>
            <w:noWrap w:val="false"/>
          </w:tcPr>
          <w:p>
            <w:pPr>
              <w:pStyle w:val="736"/>
              <w:jc w:val="both"/>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tc>
      </w:tr>
      <w:tr>
        <w:trPr>
          <w:trHeight w:val="585"/>
        </w:trPr>
        <w:tc>
          <w:tcPr>
            <w:tcW w:w="688" w:type="dxa"/>
            <w:vAlign w:val="center"/>
            <w:textDirection w:val="lrTb"/>
            <w:noWrap w:val="false"/>
          </w:tcPr>
          <w:p>
            <w:pPr>
              <w:pStyle w:val="736"/>
              <w:jc w:val="center"/>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5801" w:type="dxa"/>
            <w:vAlign w:val="center"/>
            <w:textDirection w:val="lrTb"/>
            <w:noWrap w:val="false"/>
          </w:tcPr>
          <w:p>
            <w:pPr>
              <w:pStyle w:val="736"/>
              <w:jc w:val="both"/>
              <w:keepLines w:val="0"/>
              <w:keepNext w:val="0"/>
              <w:pageBreakBefore w:val="0"/>
              <w:spacing w:line="440" w:lineRule="exac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上一年度的财务报告情况（成立不满一年无需提供）</w:t>
            </w:r>
            <w:r>
              <w:rPr>
                <w:rFonts w:hint="eastAsia" w:ascii="宋体" w:hAnsi="宋体" w:eastAsia="宋体" w:cs="宋体"/>
                <w:iCs/>
                <w:color w:val="000000"/>
                <w:sz w:val="21"/>
                <w:szCs w:val="21"/>
                <w:highlight w:val="none"/>
                <w:lang w:val="en-US" w:eastAsia="zh-CN" w:bidi="ar-SA"/>
              </w:rPr>
            </w:r>
            <w:r/>
          </w:p>
        </w:tc>
        <w:tc>
          <w:tcPr>
            <w:tcW w:w="2030" w:type="dxa"/>
            <w:vAlign w:val="center"/>
            <w:textDirection w:val="lrTb"/>
            <w:noWrap w:val="false"/>
          </w:tcPr>
          <w:p>
            <w:pPr>
              <w:pStyle w:val="736"/>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85"/>
        </w:trPr>
        <w:tc>
          <w:tcPr>
            <w:tcW w:w="688" w:type="dxa"/>
            <w:vAlign w:val="center"/>
            <w:textDirection w:val="lrTb"/>
            <w:noWrap w:val="false"/>
          </w:tcPr>
          <w:p>
            <w:pPr>
              <w:pStyle w:val="736"/>
              <w:jc w:val="center"/>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W w:w="5801" w:type="dxa"/>
            <w:vAlign w:val="center"/>
            <w:textDirection w:val="lrTb"/>
            <w:noWrap w:val="false"/>
          </w:tcPr>
          <w:p>
            <w:pPr>
              <w:pStyle w:val="736"/>
              <w:jc w:val="both"/>
              <w:keepLines w:val="0"/>
              <w:keepNext w:val="0"/>
              <w:pageBreakBefore w:val="0"/>
              <w:spacing w:line="440" w:lineRule="exac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rFonts w:hint="eastAsia" w:ascii="宋体" w:hAnsi="宋体" w:eastAsia="宋体" w:cs="宋体"/>
                <w:iCs/>
                <w:color w:val="000000"/>
                <w:sz w:val="21"/>
                <w:szCs w:val="21"/>
                <w:highlight w:val="none"/>
                <w:lang w:val="en-US" w:eastAsia="zh-CN" w:bidi="ar-SA"/>
              </w:rPr>
            </w:r>
            <w:r/>
          </w:p>
        </w:tc>
        <w:tc>
          <w:tcPr>
            <w:tcW w:w="2030" w:type="dxa"/>
            <w:vAlign w:val="center"/>
            <w:textDirection w:val="lrTb"/>
            <w:noWrap w:val="false"/>
          </w:tcPr>
          <w:p>
            <w:pPr>
              <w:pStyle w:val="736"/>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417"/>
        </w:trPr>
        <w:tc>
          <w:tcPr>
            <w:tcW w:w="688" w:type="dxa"/>
            <w:vAlign w:val="center"/>
            <w:textDirection w:val="lrTb"/>
            <w:noWrap w:val="false"/>
          </w:tcPr>
          <w:p>
            <w:pPr>
              <w:pStyle w:val="736"/>
              <w:jc w:val="center"/>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5801" w:type="dxa"/>
            <w:vAlign w:val="center"/>
            <w:textDirection w:val="lrTb"/>
            <w:noWrap w:val="false"/>
          </w:tcPr>
          <w:p>
            <w:pPr>
              <w:pStyle w:val="736"/>
              <w:jc w:val="both"/>
              <w:keepLines w:val="0"/>
              <w:keepNext w:val="0"/>
              <w:pageBreakBefore w:val="0"/>
              <w:spacing w:line="440" w:lineRule="exac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具备履行合同所必需的设备和专业技术能力的书面声明；</w:t>
            </w:r>
            <w:r>
              <w:rPr>
                <w:rFonts w:hint="eastAsia" w:ascii="宋体" w:hAnsi="宋体" w:eastAsia="宋体" w:cs="宋体"/>
                <w:iCs/>
                <w:color w:val="000000"/>
                <w:sz w:val="21"/>
                <w:szCs w:val="21"/>
                <w:highlight w:val="none"/>
                <w:lang w:val="en-US" w:eastAsia="zh-CN" w:bidi="ar-SA"/>
              </w:rPr>
            </w:r>
            <w:r/>
          </w:p>
        </w:tc>
        <w:tc>
          <w:tcPr>
            <w:tcW w:w="2030" w:type="dxa"/>
            <w:vAlign w:val="center"/>
            <w:textDirection w:val="lrTb"/>
            <w:noWrap w:val="false"/>
          </w:tcPr>
          <w:p>
            <w:pPr>
              <w:pStyle w:val="736"/>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780"/>
        </w:trPr>
        <w:tc>
          <w:tcPr>
            <w:tcW w:w="688" w:type="dxa"/>
            <w:vAlign w:val="center"/>
            <w:textDirection w:val="lrTb"/>
            <w:noWrap w:val="false"/>
          </w:tcPr>
          <w:p>
            <w:pPr>
              <w:pStyle w:val="736"/>
              <w:jc w:val="center"/>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r>
            <w:r/>
          </w:p>
        </w:tc>
        <w:tc>
          <w:tcPr>
            <w:tcW w:w="5801" w:type="dxa"/>
            <w:vAlign w:val="center"/>
            <w:textDirection w:val="lrTb"/>
            <w:noWrap w:val="false"/>
          </w:tcPr>
          <w:p>
            <w:pPr>
              <w:pStyle w:val="736"/>
              <w:jc w:val="both"/>
              <w:keepLines w:val="0"/>
              <w:keepNext w:val="0"/>
              <w:pageBreakBefore w:val="0"/>
              <w:spacing w:line="440" w:lineRule="exac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参加政府采购活动前3年内在经营活动中没有重大违法记录的书面声明；</w:t>
            </w:r>
            <w:r>
              <w:rPr>
                <w:rFonts w:hint="eastAsia" w:ascii="宋体" w:hAnsi="宋体" w:eastAsia="宋体" w:cs="宋体"/>
                <w:iCs/>
                <w:color w:val="000000"/>
                <w:sz w:val="21"/>
                <w:szCs w:val="21"/>
                <w:highlight w:val="none"/>
                <w:lang w:val="en-US" w:eastAsia="zh-CN" w:bidi="ar-SA"/>
              </w:rPr>
            </w:r>
            <w:r/>
          </w:p>
        </w:tc>
        <w:tc>
          <w:tcPr>
            <w:tcW w:w="2030" w:type="dxa"/>
            <w:vAlign w:val="center"/>
            <w:textDirection w:val="lrTb"/>
            <w:noWrap w:val="false"/>
          </w:tcPr>
          <w:p>
            <w:pPr>
              <w:pStyle w:val="736"/>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780"/>
        </w:trPr>
        <w:tc>
          <w:tcPr>
            <w:tcW w:w="688" w:type="dxa"/>
            <w:vAlign w:val="center"/>
            <w:textDirection w:val="lrTb"/>
            <w:noWrap w:val="false"/>
          </w:tcPr>
          <w:p>
            <w:pPr>
              <w:pStyle w:val="736"/>
              <w:jc w:val="center"/>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r>
            <w:r/>
          </w:p>
        </w:tc>
        <w:tc>
          <w:tcPr>
            <w:tcW w:w="5801" w:type="dxa"/>
            <w:vAlign w:val="center"/>
            <w:textDirection w:val="lrTb"/>
            <w:noWrap w:val="false"/>
          </w:tcPr>
          <w:p>
            <w:pPr>
              <w:pStyle w:val="736"/>
              <w:jc w:val="both"/>
              <w:keepLines w:val="0"/>
              <w:keepNext w:val="0"/>
              <w:pageBreakBefore w:val="0"/>
              <w:spacing w:line="440" w:lineRule="exac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供应商信用承诺书；</w:t>
            </w:r>
            <w:r>
              <w:rPr>
                <w:rFonts w:hint="eastAsia" w:ascii="宋体" w:hAnsi="宋体" w:eastAsia="宋体" w:cs="宋体"/>
                <w:iCs/>
                <w:color w:val="000000"/>
                <w:sz w:val="21"/>
                <w:szCs w:val="21"/>
                <w:highlight w:val="none"/>
                <w:lang w:val="en-US" w:eastAsia="zh-CN" w:bidi="ar-SA"/>
              </w:rPr>
            </w:r>
            <w:r/>
          </w:p>
        </w:tc>
        <w:tc>
          <w:tcPr>
            <w:tcW w:w="2030" w:type="dxa"/>
            <w:vAlign w:val="center"/>
            <w:textDirection w:val="lrTb"/>
            <w:noWrap w:val="false"/>
          </w:tcPr>
          <w:p>
            <w:pPr>
              <w:pStyle w:val="736"/>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780"/>
        </w:trPr>
        <w:tc>
          <w:tcPr>
            <w:tcW w:w="688" w:type="dxa"/>
            <w:vAlign w:val="center"/>
            <w:textDirection w:val="lrTb"/>
            <w:noWrap w:val="false"/>
          </w:tcPr>
          <w:p>
            <w:pPr>
              <w:pStyle w:val="736"/>
              <w:jc w:val="center"/>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zh-CN" w:bidi="ar-SA"/>
              </w:rPr>
            </w:r>
            <w:r/>
          </w:p>
        </w:tc>
        <w:tc>
          <w:tcPr>
            <w:tcW w:w="5801" w:type="dxa"/>
            <w:vAlign w:val="center"/>
            <w:textDirection w:val="lrTb"/>
            <w:noWrap w:val="false"/>
          </w:tcPr>
          <w:p>
            <w:pPr>
              <w:pStyle w:val="736"/>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eastAsia="宋体" w:cs="宋体"/>
                <w:color w:val="000000"/>
                <w:sz w:val="21"/>
                <w:szCs w:val="21"/>
                <w:highlight w:val="none"/>
                <w:lang w:val="en-US" w:eastAsia="zh-CN" w:bidi="ar-SA"/>
              </w:rPr>
            </w:r>
            <w:r/>
          </w:p>
        </w:tc>
        <w:tc>
          <w:tcPr>
            <w:tcW w:w="2030" w:type="dxa"/>
            <w:vAlign w:val="center"/>
            <w:textDirection w:val="lrTb"/>
            <w:noWrap w:val="false"/>
          </w:tcPr>
          <w:p>
            <w:pPr>
              <w:pStyle w:val="736"/>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28"/>
        </w:trPr>
        <w:tc>
          <w:tcPr>
            <w:gridSpan w:val="3"/>
            <w:tcW w:w="8519" w:type="dxa"/>
            <w:vAlign w:val="center"/>
            <w:textDirection w:val="lrTb"/>
            <w:noWrap w:val="false"/>
          </w:tcPr>
          <w:p>
            <w:pPr>
              <w:pStyle w:val="736"/>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落实政府采购政策需满足的资格要求：</w:t>
            </w:r>
            <w:r>
              <w:rPr>
                <w:rFonts w:hint="eastAsia" w:ascii="宋体" w:hAnsi="宋体" w:eastAsia="宋体" w:cs="宋体"/>
                <w:b/>
                <w:bCs/>
                <w:color w:val="000000"/>
                <w:sz w:val="21"/>
                <w:szCs w:val="21"/>
                <w:highlight w:val="none"/>
                <w:lang w:val="en-US" w:eastAsia="zh-CN" w:bidi="ar-SA"/>
              </w:rPr>
              <w:t xml:space="preserve">本项目为非专门面向中小微企业项目</w:t>
            </w:r>
            <w:r>
              <w:rPr>
                <w:rFonts w:hint="eastAsia" w:ascii="宋体" w:hAnsi="宋体" w:eastAsia="宋体" w:cs="宋体"/>
                <w:color w:val="000000"/>
                <w:sz w:val="21"/>
                <w:szCs w:val="21"/>
                <w:highlight w:val="none"/>
                <w:lang w:val="en-US" w:eastAsia="zh-CN" w:bidi="ar-SA"/>
              </w:rPr>
            </w:r>
            <w:r/>
          </w:p>
        </w:tc>
      </w:tr>
      <w:tr>
        <w:trPr>
          <w:trHeight w:val="452"/>
        </w:trPr>
        <w:tc>
          <w:tcPr>
            <w:gridSpan w:val="3"/>
            <w:tcW w:w="8519" w:type="dxa"/>
            <w:vAlign w:val="center"/>
            <w:textDirection w:val="lrTb"/>
            <w:noWrap w:val="false"/>
          </w:tcPr>
          <w:p>
            <w:pPr>
              <w:pStyle w:val="736"/>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本项目的特定资格要求</w:t>
            </w:r>
            <w:r>
              <w:rPr>
                <w:rFonts w:hint="eastAsia" w:ascii="宋体" w:hAnsi="宋体" w:eastAsia="宋体" w:cs="宋体"/>
                <w:color w:val="000000"/>
                <w:sz w:val="21"/>
                <w:szCs w:val="21"/>
                <w:highlight w:val="none"/>
                <w:lang w:val="en-US" w:eastAsia="zh-CN" w:bidi="ar-SA"/>
              </w:rPr>
            </w:r>
            <w:r/>
          </w:p>
        </w:tc>
      </w:tr>
      <w:tr>
        <w:trPr>
          <w:trHeight w:val="780"/>
        </w:trPr>
        <w:tc>
          <w:tcPr>
            <w:tcW w:w="688" w:type="dxa"/>
            <w:vAlign w:val="center"/>
            <w:textDirection w:val="lrTb"/>
            <w:noWrap w:val="false"/>
          </w:tcPr>
          <w:p>
            <w:pPr>
              <w:pStyle w:val="736"/>
              <w:jc w:val="center"/>
              <w:keepLines w:val="0"/>
              <w:keepNext w:val="0"/>
              <w:pageBreakBefore w:val="0"/>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ascii="宋体" w:hAnsi="宋体" w:eastAsia="宋体" w:cs="宋体"/>
                <w:color w:val="000000"/>
                <w:sz w:val="21"/>
                <w:szCs w:val="21"/>
                <w:highlight w:val="none"/>
                <w:lang w:val="en-US" w:eastAsia="zh-CN" w:bidi="ar-SA"/>
              </w:rPr>
            </w:r>
            <w:r/>
          </w:p>
        </w:tc>
        <w:tc>
          <w:tcPr>
            <w:tcW w:w="5801" w:type="dxa"/>
            <w:vAlign w:val="center"/>
            <w:textDirection w:val="lrTb"/>
            <w:noWrap w:val="false"/>
          </w:tcPr>
          <w:p>
            <w:pPr>
              <w:pStyle w:val="736"/>
              <w:ind w:firstLine="420"/>
              <w:jc w:val="left"/>
              <w:spacing w:line="360" w:lineRule="auto"/>
              <w:tabs>
                <w:tab w:val="left" w:pos="900" w:leader="none"/>
              </w:tabs>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rPr>
              <w:t xml:space="preserve">1.</w:t>
            </w:r>
            <w:r>
              <w:rPr>
                <w:rFonts w:hint="eastAsia" w:ascii="宋体" w:hAnsi="宋体" w:eastAsia="宋体" w:cs="宋体"/>
                <w:b/>
                <w:bCs/>
                <w:i/>
                <w:iCs/>
                <w:sz w:val="21"/>
                <w:szCs w:val="21"/>
                <w:highlight w:val="none"/>
                <w:u w:val="single"/>
                <w:lang w:eastAsia="zh-CN"/>
              </w:rPr>
              <w:t xml:space="preserve">供应商</w:t>
            </w:r>
            <w:r>
              <w:rPr>
                <w:rFonts w:hint="eastAsia" w:ascii="宋体" w:hAnsi="宋体" w:eastAsia="宋体" w:cs="宋体"/>
                <w:b/>
                <w:bCs/>
                <w:i/>
                <w:iCs/>
                <w:sz w:val="21"/>
                <w:szCs w:val="21"/>
                <w:highlight w:val="none"/>
                <w:u w:val="single"/>
              </w:rPr>
              <w:t xml:space="preserve">须提供投标</w:t>
            </w:r>
            <w:r>
              <w:rPr>
                <w:rFonts w:hint="eastAsia" w:ascii="宋体" w:hAnsi="宋体" w:eastAsia="宋体" w:cs="宋体"/>
                <w:b/>
                <w:bCs/>
                <w:i/>
                <w:iCs/>
                <w:sz w:val="21"/>
                <w:szCs w:val="21"/>
                <w:highlight w:val="none"/>
                <w:u w:val="single"/>
                <w:lang w:eastAsia="zh-CN"/>
              </w:rPr>
              <w:t xml:space="preserve">响应</w:t>
            </w:r>
            <w:r>
              <w:rPr>
                <w:rFonts w:hint="eastAsia" w:ascii="宋体" w:hAnsi="宋体" w:eastAsia="宋体" w:cs="宋体"/>
                <w:b/>
                <w:bCs/>
                <w:i/>
                <w:iCs/>
                <w:sz w:val="21"/>
                <w:szCs w:val="21"/>
                <w:highlight w:val="none"/>
                <w:u w:val="single"/>
              </w:rPr>
              <w:t xml:space="preserve">产品的《中华人民共和国医疗器械注册证》</w:t>
            </w:r>
            <w:r>
              <w:rPr>
                <w:rFonts w:hint="eastAsia" w:ascii="宋体" w:hAnsi="宋体" w:eastAsia="宋体" w:cs="宋体"/>
                <w:b/>
                <w:bCs/>
                <w:i/>
                <w:iCs/>
                <w:color w:val="000000"/>
                <w:sz w:val="21"/>
                <w:szCs w:val="21"/>
                <w:highlight w:val="none"/>
                <w:u w:val="single"/>
                <w:lang w:eastAsia="zh-CN"/>
              </w:rPr>
              <w:t xml:space="preserve">（原件扫描系统上传）</w:t>
            </w:r>
            <w:r>
              <w:rPr>
                <w:rFonts w:hint="eastAsia" w:ascii="宋体" w:hAnsi="宋体" w:eastAsia="宋体" w:cs="宋体"/>
                <w:b/>
                <w:bCs/>
                <w:i/>
                <w:iCs/>
                <w:sz w:val="21"/>
                <w:szCs w:val="21"/>
                <w:highlight w:val="none"/>
                <w:u w:val="single"/>
              </w:rPr>
              <w:t xml:space="preserve">；</w:t>
            </w:r>
            <w:r>
              <w:rPr>
                <w:rFonts w:hint="eastAsia" w:ascii="宋体" w:hAnsi="宋体" w:eastAsia="宋体" w:cs="宋体"/>
                <w:b/>
                <w:bCs/>
                <w:i/>
                <w:iCs/>
                <w:sz w:val="21"/>
                <w:szCs w:val="21"/>
                <w:highlight w:val="none"/>
                <w:u w:val="single"/>
              </w:rPr>
            </w:r>
            <w:r/>
          </w:p>
          <w:p>
            <w:pPr>
              <w:pStyle w:val="736"/>
              <w:ind w:firstLine="420"/>
              <w:jc w:val="left"/>
              <w:spacing w:line="360" w:lineRule="auto"/>
              <w:tabs>
                <w:tab w:val="left" w:pos="900" w:leader="none"/>
              </w:tabs>
              <w:rPr>
                <w:rFonts w:hint="eastAsia" w:ascii="宋体" w:hAnsi="宋体" w:eastAsia="宋体" w:cs="宋体"/>
                <w:b/>
                <w:bCs/>
                <w:i/>
                <w:iCs/>
                <w:sz w:val="21"/>
                <w:szCs w:val="21"/>
                <w:highlight w:val="none"/>
                <w:u w:val="single"/>
              </w:rPr>
            </w:pPr>
            <w:r>
              <w:rPr>
                <w:rFonts w:hint="eastAsia" w:ascii="宋体" w:hAnsi="宋体" w:eastAsia="宋体" w:cs="宋体"/>
                <w:b/>
                <w:bCs/>
                <w:i/>
                <w:iCs/>
                <w:sz w:val="21"/>
                <w:szCs w:val="21"/>
                <w:highlight w:val="none"/>
                <w:u w:val="single"/>
                <w:lang w:val="en-US" w:eastAsia="zh-CN"/>
              </w:rPr>
              <w:t xml:space="preserve">2</w:t>
            </w:r>
            <w:r>
              <w:rPr>
                <w:rFonts w:hint="eastAsia" w:ascii="宋体" w:hAnsi="宋体" w:eastAsia="宋体" w:cs="宋体"/>
                <w:b/>
                <w:bCs/>
                <w:i/>
                <w:iCs/>
                <w:sz w:val="21"/>
                <w:szCs w:val="21"/>
                <w:highlight w:val="none"/>
                <w:u w:val="single"/>
              </w:rPr>
              <w:t xml:space="preserve">.</w:t>
            </w:r>
            <w:r>
              <w:rPr>
                <w:rFonts w:hint="eastAsia" w:ascii="宋体" w:hAnsi="宋体" w:eastAsia="宋体" w:cs="宋体"/>
                <w:b/>
                <w:bCs/>
                <w:i/>
                <w:iCs/>
                <w:sz w:val="21"/>
                <w:szCs w:val="21"/>
                <w:highlight w:val="none"/>
                <w:u w:val="single"/>
                <w:lang w:eastAsia="zh-CN"/>
              </w:rPr>
              <w:t xml:space="preserve">供应商</w:t>
            </w:r>
            <w:r>
              <w:rPr>
                <w:rFonts w:hint="eastAsia" w:ascii="宋体" w:hAnsi="宋体" w:eastAsia="宋体" w:cs="宋体"/>
                <w:b/>
                <w:bCs/>
                <w:i/>
                <w:iCs/>
                <w:sz w:val="21"/>
                <w:szCs w:val="21"/>
                <w:highlight w:val="none"/>
                <w:u w:val="single"/>
              </w:rPr>
              <w:t xml:space="preserve">为医疗器械经营企业的，须提供《医疗器械经营许可证》或者《二类医疗器械经营备案凭证》</w:t>
            </w:r>
            <w:r>
              <w:rPr>
                <w:rFonts w:hint="eastAsia" w:ascii="宋体" w:hAnsi="宋体" w:eastAsia="宋体" w:cs="宋体"/>
                <w:b/>
                <w:bCs/>
                <w:i/>
                <w:iCs/>
                <w:color w:val="000000"/>
                <w:sz w:val="21"/>
                <w:szCs w:val="21"/>
                <w:highlight w:val="none"/>
                <w:u w:val="single"/>
                <w:lang w:eastAsia="zh-CN"/>
              </w:rPr>
              <w:t xml:space="preserve">（原件扫描系统上传）</w:t>
            </w:r>
            <w:r>
              <w:rPr>
                <w:rFonts w:hint="eastAsia" w:ascii="宋体" w:hAnsi="宋体" w:eastAsia="宋体" w:cs="宋体"/>
                <w:b/>
                <w:bCs/>
                <w:i/>
                <w:iCs/>
                <w:sz w:val="21"/>
                <w:szCs w:val="21"/>
                <w:highlight w:val="none"/>
                <w:u w:val="single"/>
              </w:rPr>
              <w:t xml:space="preserve">；</w:t>
            </w:r>
            <w:r>
              <w:rPr>
                <w:rFonts w:hint="eastAsia" w:ascii="宋体" w:hAnsi="宋体" w:eastAsia="宋体" w:cs="宋体"/>
                <w:b/>
                <w:bCs/>
                <w:i/>
                <w:iCs/>
                <w:sz w:val="21"/>
                <w:szCs w:val="21"/>
                <w:highlight w:val="none"/>
                <w:u w:val="single"/>
              </w:rPr>
            </w:r>
            <w:r/>
          </w:p>
          <w:p>
            <w:pPr>
              <w:pStyle w:val="736"/>
              <w:ind w:firstLine="420"/>
              <w:jc w:val="left"/>
              <w:spacing w:line="360" w:lineRule="auto"/>
              <w:tabs>
                <w:tab w:val="left" w:pos="90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i/>
                <w:iCs/>
                <w:sz w:val="21"/>
                <w:szCs w:val="21"/>
                <w:highlight w:val="none"/>
                <w:u w:val="single"/>
                <w:lang w:val="en-US" w:eastAsia="zh-CN"/>
              </w:rPr>
              <w:t xml:space="preserve">3.供应商为医疗器械生产企业的，</w:t>
            </w:r>
            <w:r>
              <w:rPr>
                <w:rFonts w:hint="eastAsia" w:ascii="宋体" w:hAnsi="宋体" w:eastAsia="宋体" w:cs="宋体"/>
                <w:b/>
                <w:bCs/>
                <w:i/>
                <w:iCs/>
                <w:sz w:val="21"/>
                <w:szCs w:val="21"/>
                <w:highlight w:val="none"/>
                <w:u w:val="single"/>
              </w:rPr>
              <w:t xml:space="preserve">须提供《医疗器械生产许可证》</w:t>
            </w:r>
            <w:r>
              <w:rPr>
                <w:rFonts w:hint="eastAsia" w:ascii="宋体" w:hAnsi="宋体" w:eastAsia="宋体" w:cs="宋体"/>
                <w:b/>
                <w:bCs/>
                <w:i/>
                <w:iCs/>
                <w:color w:val="000000"/>
                <w:sz w:val="21"/>
                <w:szCs w:val="21"/>
                <w:highlight w:val="none"/>
                <w:u w:val="single"/>
                <w:lang w:eastAsia="zh-CN"/>
              </w:rPr>
              <w:t xml:space="preserve">（原件扫描系统上传）。</w:t>
            </w:r>
            <w:r>
              <w:rPr>
                <w:rFonts w:hint="eastAsia" w:ascii="宋体" w:hAnsi="宋体" w:eastAsia="宋体" w:cs="宋体"/>
                <w:color w:val="000000"/>
                <w:sz w:val="21"/>
                <w:szCs w:val="21"/>
                <w:highlight w:val="none"/>
                <w:lang w:val="en-US" w:eastAsia="zh-CN" w:bidi="ar-SA"/>
              </w:rPr>
            </w:r>
            <w:r/>
          </w:p>
        </w:tc>
        <w:tc>
          <w:tcPr>
            <w:tcW w:w="2030" w:type="dxa"/>
            <w:vAlign w:val="center"/>
            <w:textDirection w:val="lrTb"/>
            <w:noWrap w:val="false"/>
          </w:tcPr>
          <w:p>
            <w:pPr>
              <w:pStyle w:val="736"/>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400"/>
        </w:trPr>
        <w:tc>
          <w:tcPr>
            <w:gridSpan w:val="3"/>
            <w:tcW w:w="8519" w:type="dxa"/>
            <w:vAlign w:val="center"/>
            <w:textDirection w:val="lrTb"/>
            <w:noWrap w:val="false"/>
          </w:tcPr>
          <w:p>
            <w:pPr>
              <w:pStyle w:val="736"/>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其他资格条件</w:t>
            </w:r>
            <w:r>
              <w:rPr>
                <w:rFonts w:hint="eastAsia" w:ascii="宋体" w:hAnsi="宋体" w:eastAsia="宋体" w:cs="宋体"/>
                <w:color w:val="000000"/>
                <w:sz w:val="21"/>
                <w:szCs w:val="21"/>
                <w:highlight w:val="none"/>
                <w:lang w:val="en-US" w:eastAsia="zh-CN" w:bidi="ar-SA"/>
              </w:rPr>
            </w:r>
            <w:r/>
          </w:p>
        </w:tc>
      </w:tr>
      <w:tr>
        <w:trPr>
          <w:trHeight w:val="400"/>
        </w:trPr>
        <w:tc>
          <w:tcPr>
            <w:tcW w:w="688" w:type="dxa"/>
            <w:vAlign w:val="center"/>
            <w:textDirection w:val="lrTb"/>
            <w:noWrap w:val="false"/>
          </w:tcPr>
          <w:p>
            <w:pPr>
              <w:pStyle w:val="736"/>
              <w:jc w:val="center"/>
              <w:keepLines w:val="0"/>
              <w:keepNext w:val="0"/>
              <w:pageBreakBefore w:val="0"/>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Fonts w:ascii="宋体" w:hAnsi="宋体" w:eastAsia="宋体" w:cs="宋体"/>
                <w:color w:val="000000"/>
                <w:sz w:val="21"/>
                <w:szCs w:val="21"/>
                <w:highlight w:val="none"/>
                <w:lang w:val="en-US" w:eastAsia="zh-CN" w:bidi="ar-SA"/>
              </w:rPr>
            </w:r>
            <w:r/>
          </w:p>
        </w:tc>
        <w:tc>
          <w:tcPr>
            <w:tcW w:w="5801" w:type="dxa"/>
            <w:vAlign w:val="center"/>
            <w:textDirection w:val="lrTb"/>
            <w:noWrap w:val="false"/>
          </w:tcPr>
          <w:p>
            <w:pPr>
              <w:pStyle w:val="736"/>
              <w:jc w:val="left"/>
              <w:keepLines w:val="0"/>
              <w:keepNext w:val="0"/>
              <w:pageBreakBefore w:val="0"/>
              <w:spacing w:line="440" w:lineRule="exac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投标函</w:t>
            </w:r>
            <w:r>
              <w:rPr>
                <w:rFonts w:hint="eastAsia" w:ascii="宋体" w:hAnsi="宋体" w:eastAsia="宋体" w:cs="宋体"/>
                <w:iCs/>
                <w:color w:val="000000"/>
                <w:sz w:val="21"/>
                <w:szCs w:val="21"/>
                <w:highlight w:val="none"/>
                <w:lang w:val="en-US" w:eastAsia="zh-CN" w:bidi="ar-SA"/>
              </w:rPr>
            </w:r>
            <w:r/>
          </w:p>
        </w:tc>
        <w:tc>
          <w:tcPr>
            <w:tcW w:w="2030" w:type="dxa"/>
            <w:vAlign w:val="center"/>
            <w:textDirection w:val="lrTb"/>
            <w:noWrap w:val="false"/>
          </w:tcPr>
          <w:p>
            <w:pPr>
              <w:pStyle w:val="736"/>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462"/>
        </w:trPr>
        <w:tc>
          <w:tcPr>
            <w:tcW w:w="688" w:type="dxa"/>
            <w:vAlign w:val="center"/>
            <w:textDirection w:val="lrTb"/>
            <w:noWrap w:val="false"/>
          </w:tcPr>
          <w:p>
            <w:pPr>
              <w:pStyle w:val="736"/>
              <w:jc w:val="center"/>
              <w:keepLines w:val="0"/>
              <w:keepNext w:val="0"/>
              <w:pageBreakBefore w:val="0"/>
              <w:spacing w:line="44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rPr>
                <w:rFonts w:ascii="宋体" w:hAnsi="宋体" w:eastAsia="宋体" w:cs="宋体"/>
                <w:color w:val="000000"/>
                <w:sz w:val="21"/>
                <w:szCs w:val="21"/>
                <w:highlight w:val="none"/>
                <w:lang w:val="en-US" w:eastAsia="zh-CN" w:bidi="ar-SA"/>
              </w:rPr>
            </w:r>
            <w:r/>
          </w:p>
        </w:tc>
        <w:tc>
          <w:tcPr>
            <w:tcW w:w="5801" w:type="dxa"/>
            <w:vAlign w:val="center"/>
            <w:textDirection w:val="lrTb"/>
            <w:noWrap w:val="false"/>
          </w:tcPr>
          <w:p>
            <w:pPr>
              <w:pStyle w:val="736"/>
              <w:jc w:val="left"/>
              <w:keepLines w:val="0"/>
              <w:keepNext w:val="0"/>
              <w:pageBreakBefore w:val="0"/>
              <w:spacing w:line="440" w:lineRule="exac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法人授权书</w:t>
            </w:r>
            <w:r>
              <w:rPr>
                <w:rFonts w:hint="eastAsia" w:ascii="宋体" w:hAnsi="宋体" w:eastAsia="宋体" w:cs="宋体"/>
                <w:iCs/>
                <w:color w:val="000000"/>
                <w:sz w:val="21"/>
                <w:szCs w:val="21"/>
                <w:highlight w:val="none"/>
                <w:lang w:val="en-US" w:eastAsia="zh-CN" w:bidi="ar-SA"/>
              </w:rPr>
            </w:r>
            <w:r/>
          </w:p>
        </w:tc>
        <w:tc>
          <w:tcPr>
            <w:tcW w:w="2030" w:type="dxa"/>
            <w:vAlign w:val="center"/>
            <w:textDirection w:val="lrTb"/>
            <w:noWrap w:val="false"/>
          </w:tcPr>
          <w:p>
            <w:pPr>
              <w:pStyle w:val="736"/>
              <w:jc w:val="both"/>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736"/>
        <w:ind w:firstLine="1476"/>
        <w:spacing w:before="156" w:after="156" w:line="360" w:lineRule="auto"/>
        <w:rPr>
          <w:rFonts w:hint="eastAsia" w:ascii="宋体" w:hAnsi="宋体" w:eastAsia="宋体" w:cs="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highlight w:val="none"/>
        </w:rPr>
      </w:r>
      <w:r/>
    </w:p>
    <w:p>
      <w:pPr>
        <w:pStyle w:val="736"/>
        <w:ind w:firstLine="1476"/>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ind w:firstLine="1476"/>
        <w:spacing w:before="156" w:after="156"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具备履行合同所必需的设备和专业技术能力的书面声明</w:t>
      </w:r>
      <w:r>
        <w:rPr>
          <w:rFonts w:hint="eastAsia" w:ascii="宋体" w:hAnsi="宋体" w:eastAsia="宋体" w:cs="宋体"/>
          <w:b/>
          <w:bCs/>
          <w:color w:val="000000"/>
          <w:sz w:val="24"/>
          <w:szCs w:val="24"/>
          <w:highlight w:val="none"/>
        </w:rPr>
      </w:r>
      <w:r/>
    </w:p>
    <w:p>
      <w:pPr>
        <w:pStyle w:val="736"/>
        <w:ind w:firstLine="492"/>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36"/>
        <w:ind w:firstLine="560"/>
        <w:keepLines w:val="0"/>
        <w:keepNext w:val="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sz w:val="28"/>
          <w:szCs w:val="28"/>
          <w:highlight w:val="none"/>
        </w:rPr>
      </w:r>
      <w:r/>
    </w:p>
    <w:p>
      <w:pPr>
        <w:pStyle w:val="736"/>
        <w:ind w:firstLine="560"/>
        <w:keepLines w:val="0"/>
        <w:keepNext w:val="0"/>
        <w:pageBreakBefore w:val="0"/>
        <w:spacing w:line="360" w:lineRule="auto"/>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主要设备有：</w:t>
      </w:r>
      <w:r>
        <w:rPr>
          <w:rFonts w:hint="eastAsia" w:ascii="宋体" w:hAnsi="宋体" w:eastAsia="宋体" w:cs="宋体"/>
          <w:bCs/>
          <w:color w:val="000000"/>
          <w:sz w:val="28"/>
          <w:szCs w:val="28"/>
          <w:highlight w:val="none"/>
        </w:rPr>
      </w:r>
      <w:r/>
    </w:p>
    <w:p>
      <w:pPr>
        <w:pStyle w:val="736"/>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主要专业技术能力有：</w:t>
      </w:r>
      <w:r>
        <w:rPr>
          <w:rFonts w:hint="eastAsia" w:ascii="宋体" w:hAnsi="宋体" w:eastAsia="宋体" w:cs="宋体"/>
          <w:bCs/>
          <w:color w:val="000000"/>
          <w:sz w:val="24"/>
          <w:szCs w:val="24"/>
          <w:highlight w:val="none"/>
        </w:rPr>
      </w:r>
      <w:r/>
    </w:p>
    <w:p>
      <w:pPr>
        <w:pStyle w:val="736"/>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contextualSpacing/>
        <w:spacing w:line="6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br w:type="page" w:clear="all"/>
      </w:r>
      <w:r>
        <w:rPr>
          <w:rFonts w:hint="eastAsia" w:ascii="宋体" w:hAnsi="宋体" w:eastAsia="宋体" w:cs="宋体"/>
          <w:b/>
          <w:color w:val="000000"/>
          <w:sz w:val="36"/>
          <w:highlight w:val="none"/>
        </w:rPr>
      </w:r>
      <w:r/>
    </w:p>
    <w:p>
      <w:pPr>
        <w:pStyle w:val="736"/>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参加本次政府采购活动前 3 年内在经营活动中没有重大违法记录的书面声明</w:t>
      </w:r>
      <w:r>
        <w:rPr>
          <w:rFonts w:hint="eastAsia" w:ascii="宋体" w:hAnsi="宋体" w:eastAsia="宋体" w:cs="宋体"/>
          <w:b/>
          <w:bCs/>
          <w:color w:val="000000"/>
          <w:sz w:val="24"/>
          <w:szCs w:val="24"/>
          <w:highlight w:val="none"/>
        </w:rPr>
      </w:r>
      <w:r/>
    </w:p>
    <w:p>
      <w:pPr>
        <w:pStyle w:val="73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6"/>
        <w:jc w:val="center"/>
        <w:spacing w:after="312"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声  明</w:t>
      </w:r>
      <w:r>
        <w:rPr>
          <w:rFonts w:hint="eastAsia" w:ascii="宋体" w:hAnsi="宋体" w:eastAsia="宋体" w:cs="宋体"/>
          <w:b/>
          <w:bCs/>
          <w:color w:val="000000"/>
          <w:sz w:val="24"/>
          <w:szCs w:val="24"/>
          <w:highlight w:val="none"/>
        </w:rPr>
      </w:r>
      <w:r/>
    </w:p>
    <w:p>
      <w:pPr>
        <w:pStyle w:val="73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bCs/>
          <w:color w:val="000000"/>
          <w:sz w:val="24"/>
          <w:szCs w:val="24"/>
          <w:highlight w:val="none"/>
        </w:rPr>
      </w:r>
      <w:r/>
    </w:p>
    <w:p>
      <w:pPr>
        <w:pStyle w:val="73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供应商名称（公章）：</w:t>
      </w:r>
      <w:r>
        <w:rPr>
          <w:rFonts w:hint="eastAsia" w:ascii="宋体" w:hAnsi="宋体" w:eastAsia="宋体" w:cs="宋体"/>
          <w:bCs/>
          <w:color w:val="000000"/>
          <w:sz w:val="24"/>
          <w:szCs w:val="24"/>
          <w:highlight w:val="none"/>
        </w:rPr>
      </w:r>
      <w:r/>
    </w:p>
    <w:p>
      <w:pPr>
        <w:pStyle w:val="73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法定代表人签章：</w:t>
      </w:r>
      <w:r>
        <w:rPr>
          <w:rFonts w:hint="eastAsia" w:ascii="宋体" w:hAnsi="宋体" w:eastAsia="宋体" w:cs="宋体"/>
          <w:bCs/>
          <w:color w:val="000000"/>
          <w:sz w:val="24"/>
          <w:szCs w:val="24"/>
          <w:highlight w:val="none"/>
          <w:u w:val="single"/>
        </w:rPr>
        <w:t xml:space="preserve">_______________________</w:t>
      </w:r>
      <w:r>
        <w:rPr>
          <w:rFonts w:hint="eastAsia" w:ascii="宋体" w:hAnsi="宋体" w:eastAsia="宋体" w:cs="宋体"/>
          <w:bCs/>
          <w:color w:val="000000"/>
          <w:sz w:val="24"/>
          <w:szCs w:val="24"/>
          <w:highlight w:val="none"/>
        </w:rPr>
      </w:r>
      <w:r/>
    </w:p>
    <w:p>
      <w:pPr>
        <w:pStyle w:val="73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  年  月  日</w:t>
      </w:r>
      <w:r>
        <w:rPr>
          <w:rFonts w:hint="eastAsia" w:ascii="宋体" w:hAnsi="宋体" w:eastAsia="宋体" w:cs="宋体"/>
          <w:bCs/>
          <w:color w:val="000000"/>
          <w:sz w:val="24"/>
          <w:szCs w:val="24"/>
          <w:highlight w:val="none"/>
        </w:rPr>
      </w:r>
      <w:r/>
    </w:p>
    <w:p>
      <w:pPr>
        <w:pStyle w:val="736"/>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center"/>
        <w:spacing w:line="500" w:lineRule="exact"/>
        <w:rPr>
          <w:rFonts w:hint="eastAsia" w:ascii="宋体" w:hAnsi="宋体" w:eastAsia="宋体" w:cs="宋体"/>
          <w:b/>
          <w:color w:val="000000"/>
          <w:szCs w:val="21"/>
          <w:highlight w:val="none"/>
        </w:rPr>
      </w:pPr>
      <w:r>
        <w:rPr>
          <w:rFonts w:hint="eastAsia" w:ascii="宋体" w:hAnsi="宋体" w:eastAsia="宋体" w:cs="宋体"/>
          <w:b/>
          <w:bCs/>
          <w:color w:val="000000"/>
          <w:highlight w:val="none"/>
        </w:rPr>
        <w:br w:type="page" w:clear="all"/>
      </w:r>
      <w:r>
        <w:rPr>
          <w:rFonts w:hint="eastAsia" w:ascii="宋体" w:hAnsi="宋体" w:eastAsia="宋体" w:cs="宋体"/>
          <w:b/>
          <w:color w:val="000000"/>
          <w:szCs w:val="21"/>
          <w:highlight w:val="none"/>
        </w:rPr>
        <w:t xml:space="preserve">供应商信用承诺书</w:t>
      </w:r>
      <w:r>
        <w:rPr>
          <w:rFonts w:hint="eastAsia" w:ascii="宋体" w:hAnsi="宋体" w:eastAsia="宋体" w:cs="宋体"/>
          <w:b/>
          <w:color w:val="000000"/>
          <w:szCs w:val="21"/>
          <w:highlight w:val="none"/>
        </w:rPr>
      </w:r>
      <w:r/>
    </w:p>
    <w:p>
      <w:pPr>
        <w:pStyle w:val="73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承诺主体名称：</w:t>
      </w:r>
      <w:r>
        <w:rPr>
          <w:rFonts w:hint="eastAsia" w:ascii="宋体" w:hAnsi="宋体" w:eastAsia="宋体" w:cs="宋体"/>
          <w:color w:val="000000"/>
          <w:szCs w:val="21"/>
          <w:highlight w:val="none"/>
        </w:rPr>
      </w:r>
      <w:r/>
    </w:p>
    <w:p>
      <w:pPr>
        <w:pStyle w:val="73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统一社会信用代码：</w:t>
      </w:r>
      <w:r>
        <w:rPr>
          <w:rFonts w:hint="eastAsia" w:ascii="宋体" w:hAnsi="宋体" w:eastAsia="宋体" w:cs="宋体"/>
          <w:color w:val="000000"/>
          <w:szCs w:val="21"/>
          <w:highlight w:val="none"/>
        </w:rPr>
      </w:r>
      <w:r/>
    </w:p>
    <w:p>
      <w:pPr>
        <w:pStyle w:val="73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eastAsia="宋体" w:cs="宋体"/>
          <w:color w:val="000000"/>
          <w:szCs w:val="21"/>
          <w:highlight w:val="none"/>
        </w:rPr>
      </w:r>
      <w:r/>
    </w:p>
    <w:p>
      <w:pPr>
        <w:pStyle w:val="73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一、对提供给注册登记部门、行业管理部门、司法部门、行业组织以及在政府采购活动中提交的所有资料的合法性、真实性、准确性和有效性负责；</w:t>
      </w:r>
      <w:r>
        <w:rPr>
          <w:rFonts w:hint="eastAsia" w:ascii="宋体" w:hAnsi="宋体" w:eastAsia="宋体" w:cs="宋体"/>
          <w:color w:val="000000"/>
          <w:szCs w:val="21"/>
          <w:highlight w:val="none"/>
        </w:rPr>
      </w:r>
      <w:r/>
    </w:p>
    <w:p>
      <w:pPr>
        <w:pStyle w:val="73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color w:val="000000"/>
          <w:szCs w:val="21"/>
          <w:highlight w:val="none"/>
        </w:rPr>
      </w:r>
      <w:r/>
    </w:p>
    <w:p>
      <w:pPr>
        <w:pStyle w:val="73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Cs w:val="21"/>
          <w:highlight w:val="none"/>
        </w:rPr>
      </w:r>
      <w:r/>
    </w:p>
    <w:p>
      <w:pPr>
        <w:pStyle w:val="73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四、自觉接受行政管理部门、行业组织、社会公众、新闻舆论的监督；</w:t>
      </w:r>
      <w:r>
        <w:rPr>
          <w:rFonts w:hint="eastAsia" w:ascii="宋体" w:hAnsi="宋体" w:eastAsia="宋体" w:cs="宋体"/>
          <w:color w:val="000000"/>
          <w:szCs w:val="21"/>
          <w:highlight w:val="none"/>
        </w:rPr>
      </w:r>
      <w:r/>
    </w:p>
    <w:p>
      <w:pPr>
        <w:pStyle w:val="73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eastAsia="宋体" w:cs="宋体"/>
          <w:color w:val="000000"/>
          <w:szCs w:val="21"/>
          <w:highlight w:val="none"/>
        </w:rPr>
      </w:r>
      <w:r/>
    </w:p>
    <w:p>
      <w:pPr>
        <w:pStyle w:val="73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六、提出政府采购质疑和投诉坚持依法依规、诚实信用原则，在全国范围12个月内没有三次以上查无实据的政府采购投诉；</w:t>
      </w:r>
      <w:r>
        <w:rPr>
          <w:rFonts w:hint="eastAsia" w:ascii="宋体" w:hAnsi="宋体" w:eastAsia="宋体" w:cs="宋体"/>
          <w:color w:val="000000"/>
          <w:szCs w:val="21"/>
          <w:highlight w:val="none"/>
        </w:rPr>
      </w:r>
      <w:r/>
    </w:p>
    <w:p>
      <w:pPr>
        <w:pStyle w:val="73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七、严格遵守信用信息公示相关规定，向社会公示信用信息；</w:t>
      </w:r>
      <w:r>
        <w:rPr>
          <w:rFonts w:hint="eastAsia" w:ascii="宋体" w:hAnsi="宋体" w:eastAsia="宋体" w:cs="宋体"/>
          <w:color w:val="000000"/>
          <w:szCs w:val="21"/>
          <w:highlight w:val="none"/>
        </w:rPr>
      </w:r>
      <w:r/>
    </w:p>
    <w:p>
      <w:pPr>
        <w:pStyle w:val="73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八、在“信用中国”和“中国政府采购网”网站中无违法违规、较重或严重失信记录；</w:t>
      </w:r>
      <w:r>
        <w:rPr>
          <w:rFonts w:hint="eastAsia" w:ascii="宋体" w:hAnsi="宋体" w:eastAsia="宋体" w:cs="宋体"/>
          <w:color w:val="000000"/>
          <w:szCs w:val="21"/>
          <w:highlight w:val="none"/>
        </w:rPr>
      </w:r>
      <w:r/>
    </w:p>
    <w:p>
      <w:pPr>
        <w:pStyle w:val="73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eastAsia="宋体" w:cs="宋体"/>
          <w:color w:val="000000"/>
          <w:szCs w:val="21"/>
          <w:highlight w:val="none"/>
        </w:rPr>
      </w:r>
      <w:r/>
    </w:p>
    <w:p>
      <w:pPr>
        <w:pStyle w:val="73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十、本承诺书自签订之日起生效。</w:t>
      </w:r>
      <w:r>
        <w:rPr>
          <w:rFonts w:hint="eastAsia" w:ascii="宋体" w:hAnsi="宋体" w:eastAsia="宋体" w:cs="宋体"/>
          <w:color w:val="000000"/>
          <w:szCs w:val="21"/>
          <w:highlight w:val="none"/>
        </w:rPr>
      </w:r>
      <w:r/>
    </w:p>
    <w:p>
      <w:pPr>
        <w:pStyle w:val="736"/>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（注：法定代表人或负责人、主体名称发生变更的应当重新</w:t>
      </w:r>
      <w:r>
        <w:rPr>
          <w:rFonts w:hint="eastAsia" w:ascii="宋体" w:hAnsi="宋体" w:cs="宋体"/>
          <w:color w:val="000000"/>
          <w:szCs w:val="21"/>
          <w:highlight w:val="none"/>
          <w:lang w:eastAsia="zh-CN"/>
        </w:rPr>
        <w:t xml:space="preserve">作出</w:t>
      </w:r>
      <w:r>
        <w:rPr>
          <w:rFonts w:hint="eastAsia" w:ascii="宋体" w:hAnsi="宋体" w:eastAsia="宋体" w:cs="宋体"/>
          <w:color w:val="000000"/>
          <w:szCs w:val="21"/>
          <w:highlight w:val="none"/>
        </w:rPr>
        <w:t xml:space="preserve">承诺。）</w:t>
      </w:r>
      <w:r>
        <w:rPr>
          <w:rFonts w:hint="eastAsia" w:ascii="宋体" w:hAnsi="宋体" w:eastAsia="宋体" w:cs="宋体"/>
          <w:color w:val="000000"/>
          <w:szCs w:val="21"/>
          <w:highlight w:val="none"/>
        </w:rPr>
      </w:r>
      <w:r/>
    </w:p>
    <w:p>
      <w:pPr>
        <w:pStyle w:val="73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承诺单位（签章）：           </w:t>
      </w:r>
      <w:r>
        <w:rPr>
          <w:rFonts w:hint="eastAsia" w:ascii="宋体" w:hAnsi="宋体" w:eastAsia="宋体" w:cs="宋体"/>
          <w:color w:val="000000"/>
          <w:szCs w:val="21"/>
          <w:highlight w:val="none"/>
        </w:rPr>
      </w:r>
      <w:r/>
    </w:p>
    <w:p>
      <w:pPr>
        <w:pStyle w:val="73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法定代表人（负责人）：</w:t>
      </w:r>
      <w:r>
        <w:rPr>
          <w:rFonts w:hint="eastAsia" w:ascii="宋体" w:hAnsi="宋体" w:eastAsia="宋体" w:cs="宋体"/>
          <w:color w:val="000000"/>
          <w:szCs w:val="21"/>
          <w:highlight w:val="none"/>
        </w:rPr>
      </w:r>
      <w:r/>
    </w:p>
    <w:p>
      <w:pPr>
        <w:pStyle w:val="736"/>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年    月    日</w:t>
      </w:r>
      <w:r>
        <w:rPr>
          <w:rFonts w:hint="eastAsia" w:ascii="宋体" w:hAnsi="宋体" w:eastAsia="宋体" w:cs="宋体"/>
          <w:color w:val="000000"/>
          <w:szCs w:val="21"/>
          <w:highlight w:val="none"/>
        </w:rPr>
      </w:r>
      <w:r/>
    </w:p>
    <w:p>
      <w:pPr>
        <w:pStyle w:val="736"/>
        <w:jc w:val="center"/>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6"/>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6"/>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6"/>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t xml:space="preserve">投标函格式</w:t>
      </w:r>
      <w:r>
        <w:rPr>
          <w:rFonts w:hint="eastAsia" w:ascii="宋体" w:hAnsi="宋体" w:eastAsia="宋体" w:cs="宋体"/>
          <w:b/>
          <w:bCs/>
          <w:color w:val="000000"/>
          <w:highlight w:val="none"/>
        </w:rPr>
      </w:r>
      <w:r/>
    </w:p>
    <w:p>
      <w:pPr>
        <w:pStyle w:val="977"/>
        <w:ind w:firstLine="0"/>
        <w:spacing w:before="0" w:after="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highlight w:val="none"/>
          <w:lang w:eastAsia="zh-CN"/>
        </w:rPr>
        <w:t xml:space="preserve">江苏唯诚建设咨询有限公司</w:t>
      </w:r>
      <w:r>
        <w:rPr>
          <w:rFonts w:hint="eastAsia" w:ascii="宋体" w:hAnsi="宋体" w:eastAsia="宋体" w:cs="宋体"/>
          <w:color w:val="000000"/>
          <w:sz w:val="21"/>
          <w:szCs w:val="21"/>
          <w:highlight w:val="none"/>
          <w:lang w:eastAsia="zh-CN"/>
        </w:rPr>
      </w:r>
      <w:r/>
    </w:p>
    <w:p>
      <w:pPr>
        <w:pStyle w:val="977"/>
        <w:ind w:firstLine="42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根据贵方的（）号招标文件，正式授权下述签字人_________________</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姓名</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代表我方______________（投标人的名称），全权处理本次项目投标的有关事宜。</w:t>
      </w:r>
      <w:r>
        <w:rPr>
          <w:rFonts w:hint="eastAsia" w:ascii="宋体" w:hAnsi="宋体" w:eastAsia="宋体" w:cs="宋体"/>
          <w:color w:val="000000"/>
          <w:sz w:val="21"/>
          <w:szCs w:val="21"/>
          <w:highlight w:val="none"/>
        </w:rPr>
      </w:r>
      <w:r/>
    </w:p>
    <w:p>
      <w:pPr>
        <w:pStyle w:val="977"/>
        <w:ind w:firstLine="42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据此函，__________签字人（姓名）兹宣布同意如下：</w:t>
      </w:r>
      <w:r>
        <w:rPr>
          <w:rFonts w:hint="eastAsia" w:ascii="宋体" w:hAnsi="宋体" w:eastAsia="宋体" w:cs="宋体"/>
          <w:color w:val="000000"/>
          <w:sz w:val="21"/>
          <w:szCs w:val="21"/>
          <w:highlight w:val="none"/>
        </w:rPr>
      </w:r>
      <w:r/>
    </w:p>
    <w:p>
      <w:pPr>
        <w:pStyle w:val="977"/>
        <w:ind w:firstLine="42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eastAsia="zh-CN"/>
        </w:rPr>
        <w:t xml:space="preserve">按照</w:t>
      </w:r>
      <w:r>
        <w:rPr>
          <w:rFonts w:hint="eastAsia" w:ascii="宋体" w:hAnsi="宋体" w:eastAsia="宋体" w:cs="宋体"/>
          <w:color w:val="000000"/>
          <w:sz w:val="21"/>
          <w:szCs w:val="21"/>
          <w:highlight w:val="none"/>
        </w:rPr>
        <w:t xml:space="preserve">招标文件规定的各项要求，向买方提供所需货物与服务。</w:t>
      </w:r>
      <w:r>
        <w:rPr>
          <w:rFonts w:hint="eastAsia" w:ascii="宋体" w:hAnsi="宋体" w:eastAsia="宋体" w:cs="宋体"/>
          <w:color w:val="000000"/>
          <w:sz w:val="21"/>
          <w:szCs w:val="21"/>
          <w:highlight w:val="none"/>
        </w:rPr>
      </w:r>
      <w:r/>
    </w:p>
    <w:p>
      <w:pPr>
        <w:pStyle w:val="977"/>
        <w:ind w:firstLine="42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2.我们完全理解贵方不一定将合同授予最低报价的投标人。</w:t>
      </w:r>
      <w:r>
        <w:rPr>
          <w:rFonts w:hint="eastAsia" w:ascii="宋体" w:hAnsi="宋体" w:eastAsia="宋体" w:cs="宋体"/>
          <w:color w:val="000000"/>
          <w:sz w:val="21"/>
          <w:szCs w:val="21"/>
          <w:highlight w:val="none"/>
        </w:rPr>
      </w:r>
      <w:r/>
    </w:p>
    <w:p>
      <w:pPr>
        <w:pStyle w:val="977"/>
        <w:ind w:firstLine="42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3.我们已详细审核全部招标文件及其有效补充文件，我们知道必须放弃提出含糊不清或误解问题的权利。</w:t>
      </w:r>
      <w:r>
        <w:rPr>
          <w:rFonts w:hint="eastAsia" w:ascii="宋体" w:hAnsi="宋体" w:eastAsia="宋体" w:cs="宋体"/>
          <w:color w:val="000000"/>
          <w:sz w:val="21"/>
          <w:szCs w:val="21"/>
          <w:highlight w:val="none"/>
        </w:rPr>
      </w:r>
      <w:r/>
    </w:p>
    <w:p>
      <w:pPr>
        <w:pStyle w:val="977"/>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4.我们同意从规定的开标日期起遵循本投标文件，并在规定的投标有效期期满之前均具有约束力。</w:t>
      </w:r>
      <w:r>
        <w:rPr>
          <w:rFonts w:hint="eastAsia" w:ascii="宋体" w:hAnsi="宋体" w:eastAsia="宋体" w:cs="宋体"/>
          <w:color w:val="000000"/>
          <w:sz w:val="21"/>
          <w:szCs w:val="21"/>
          <w:highlight w:val="none"/>
        </w:rPr>
      </w:r>
      <w:r/>
    </w:p>
    <w:p>
      <w:pPr>
        <w:pStyle w:val="977"/>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1"/>
          <w:szCs w:val="21"/>
          <w:highlight w:val="none"/>
        </w:rPr>
      </w:r>
      <w:r/>
    </w:p>
    <w:p>
      <w:pPr>
        <w:pStyle w:val="977"/>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6.一旦我方中标</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我方将根据招标文件的规定，严格履行合同的责任和义务</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并保证在招标文件规定的时间完成项目，交付买方验收、使用。</w:t>
      </w:r>
      <w:r>
        <w:rPr>
          <w:rFonts w:hint="eastAsia" w:ascii="宋体" w:hAnsi="宋体" w:eastAsia="宋体" w:cs="宋体"/>
          <w:color w:val="000000"/>
          <w:sz w:val="21"/>
          <w:szCs w:val="21"/>
          <w:highlight w:val="none"/>
        </w:rPr>
      </w:r>
      <w:r/>
    </w:p>
    <w:p>
      <w:pPr>
        <w:pStyle w:val="977"/>
        <w:ind w:left="425" w:firstLine="105"/>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7.与本投标有关的正式通讯地址为：</w:t>
      </w:r>
      <w:r>
        <w:rPr>
          <w:rFonts w:hint="eastAsia" w:ascii="宋体" w:hAnsi="宋体" w:eastAsia="宋体" w:cs="宋体"/>
          <w:color w:val="000000"/>
          <w:sz w:val="21"/>
          <w:szCs w:val="21"/>
          <w:highlight w:val="none"/>
        </w:rPr>
      </w:r>
      <w:r/>
    </w:p>
    <w:p>
      <w:pPr>
        <w:pStyle w:val="977"/>
        <w:ind w:firstLine="478"/>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rPr>
      </w:r>
      <w:r/>
    </w:p>
    <w:p>
      <w:pPr>
        <w:pStyle w:val="977"/>
        <w:ind w:firstLine="478"/>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 编：</w:t>
      </w:r>
      <w:r>
        <w:rPr>
          <w:rFonts w:hint="eastAsia" w:ascii="宋体" w:hAnsi="宋体" w:eastAsia="宋体" w:cs="宋体"/>
          <w:color w:val="000000"/>
          <w:sz w:val="21"/>
          <w:szCs w:val="21"/>
          <w:highlight w:val="none"/>
        </w:rPr>
      </w:r>
      <w:r/>
    </w:p>
    <w:p>
      <w:pPr>
        <w:pStyle w:val="977"/>
        <w:ind w:firstLine="478"/>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 </w:t>
      </w:r>
      <w:r>
        <w:rPr>
          <w:rFonts w:hint="eastAsia" w:ascii="宋体" w:hAnsi="宋体" w:eastAsia="宋体" w:cs="宋体"/>
          <w:color w:val="000000"/>
          <w:sz w:val="21"/>
          <w:szCs w:val="21"/>
          <w:highlight w:val="none"/>
        </w:rPr>
      </w:r>
      <w:r/>
    </w:p>
    <w:p>
      <w:pPr>
        <w:pStyle w:val="977"/>
        <w:ind w:firstLine="478"/>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 </w:t>
      </w:r>
      <w:r>
        <w:rPr>
          <w:rFonts w:hint="eastAsia" w:ascii="宋体" w:hAnsi="宋体" w:eastAsia="宋体" w:cs="宋体"/>
          <w:color w:val="000000"/>
          <w:sz w:val="21"/>
          <w:szCs w:val="21"/>
          <w:highlight w:val="none"/>
        </w:rPr>
      </w:r>
      <w:r/>
    </w:p>
    <w:p>
      <w:pPr>
        <w:pStyle w:val="977"/>
        <w:ind w:firstLine="478"/>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投标人开户行：</w:t>
      </w:r>
      <w:r>
        <w:rPr>
          <w:rFonts w:hint="eastAsia" w:ascii="宋体" w:hAnsi="宋体" w:eastAsia="宋体" w:cs="宋体"/>
          <w:color w:val="000000"/>
          <w:sz w:val="21"/>
          <w:szCs w:val="21"/>
          <w:highlight w:val="none"/>
        </w:rPr>
      </w:r>
      <w:r/>
    </w:p>
    <w:p>
      <w:pPr>
        <w:pStyle w:val="977"/>
        <w:ind w:firstLine="478"/>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户： </w:t>
      </w:r>
      <w:r>
        <w:rPr>
          <w:rFonts w:hint="eastAsia" w:ascii="宋体" w:hAnsi="宋体" w:eastAsia="宋体" w:cs="宋体"/>
          <w:color w:val="000000"/>
          <w:sz w:val="21"/>
          <w:szCs w:val="21"/>
          <w:highlight w:val="none"/>
        </w:rPr>
      </w:r>
      <w:r/>
    </w:p>
    <w:p>
      <w:pPr>
        <w:pStyle w:val="977"/>
        <w:ind w:firstLine="478"/>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行 号：</w:t>
      </w:r>
      <w:r>
        <w:rPr>
          <w:rFonts w:hint="eastAsia" w:ascii="宋体" w:hAnsi="宋体" w:eastAsia="宋体" w:cs="宋体"/>
          <w:color w:val="000000"/>
          <w:sz w:val="21"/>
          <w:szCs w:val="21"/>
          <w:highlight w:val="none"/>
        </w:rPr>
      </w:r>
      <w:r/>
    </w:p>
    <w:p>
      <w:pPr>
        <w:pStyle w:val="977"/>
        <w:ind w:firstLine="478"/>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期：________年____月____日</w:t>
      </w:r>
      <w:r>
        <w:rPr>
          <w:rFonts w:hint="eastAsia" w:ascii="宋体" w:hAnsi="宋体" w:eastAsia="宋体" w:cs="宋体"/>
          <w:color w:val="000000"/>
          <w:sz w:val="21"/>
          <w:szCs w:val="21"/>
          <w:highlight w:val="none"/>
        </w:rPr>
      </w:r>
      <w:r/>
    </w:p>
    <w:p>
      <w:pPr>
        <w:pStyle w:val="736"/>
        <w:contextualSpacing/>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6"/>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21"/>
          <w:szCs w:val="21"/>
          <w:highlight w:val="none"/>
        </w:rPr>
        <w:t xml:space="preserve">法人授权书</w:t>
      </w:r>
      <w:r>
        <w:rPr>
          <w:rFonts w:hint="eastAsia" w:ascii="宋体" w:hAnsi="宋体" w:eastAsia="宋体" w:cs="宋体"/>
          <w:b/>
          <w:color w:val="000000"/>
          <w:sz w:val="21"/>
          <w:szCs w:val="21"/>
          <w:highlight w:val="none"/>
        </w:rPr>
      </w:r>
      <w:r/>
    </w:p>
    <w:p>
      <w:pPr>
        <w:pStyle w:val="978"/>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8"/>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rPr>
          <w:rFonts w:hint="eastAsia" w:ascii="宋体" w:hAnsi="宋体" w:eastAsia="宋体" w:cs="宋体"/>
          <w:color w:val="000000"/>
          <w:sz w:val="21"/>
          <w:szCs w:val="21"/>
          <w:highlight w:val="none"/>
        </w:rPr>
      </w:r>
      <w:r/>
    </w:p>
    <w:p>
      <w:pPr>
        <w:pStyle w:val="978"/>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本授权书于______年____月____日起生效，特此声明。</w:t>
      </w:r>
      <w:r>
        <w:rPr>
          <w:rFonts w:hint="eastAsia" w:ascii="宋体" w:hAnsi="宋体" w:eastAsia="宋体" w:cs="宋体"/>
          <w:color w:val="000000"/>
          <w:sz w:val="21"/>
          <w:szCs w:val="21"/>
          <w:highlight w:val="none"/>
        </w:rPr>
      </w:r>
      <w:r/>
    </w:p>
    <w:p>
      <w:pPr>
        <w:pStyle w:val="978"/>
        <w:ind w:firstLine="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8"/>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被授权人姓名： </w:t>
      </w:r>
      <w:r>
        <w:rPr>
          <w:rFonts w:hint="eastAsia" w:ascii="宋体" w:hAnsi="宋体" w:eastAsia="宋体" w:cs="宋体"/>
          <w:color w:val="000000"/>
          <w:sz w:val="21"/>
          <w:szCs w:val="21"/>
          <w:highlight w:val="none"/>
        </w:rPr>
      </w:r>
      <w:r/>
    </w:p>
    <w:p>
      <w:pPr>
        <w:pStyle w:val="978"/>
        <w:ind w:firstLine="42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联系电话（手机）：</w:t>
      </w:r>
      <w:r>
        <w:rPr>
          <w:rFonts w:hint="eastAsia" w:ascii="宋体" w:hAnsi="宋体" w:eastAsia="宋体" w:cs="宋体"/>
          <w:color w:val="000000"/>
          <w:sz w:val="21"/>
          <w:szCs w:val="21"/>
          <w:highlight w:val="none"/>
          <w:u w:val="single"/>
        </w:rPr>
      </w:r>
      <w:r/>
    </w:p>
    <w:p>
      <w:pPr>
        <w:pStyle w:val="978"/>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 </w:t>
      </w:r>
      <w:r>
        <w:rPr>
          <w:rFonts w:hint="eastAsia" w:ascii="宋体" w:hAnsi="宋体" w:eastAsia="宋体" w:cs="宋体"/>
          <w:color w:val="000000"/>
          <w:sz w:val="21"/>
          <w:szCs w:val="21"/>
          <w:highlight w:val="none"/>
        </w:rPr>
      </w:r>
      <w:r/>
    </w:p>
    <w:p>
      <w:pPr>
        <w:pStyle w:val="978"/>
        <w:ind w:firstLine="42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u w:val="single"/>
        </w:rPr>
      </w:r>
      <w:r/>
    </w:p>
    <w:p>
      <w:pPr>
        <w:pStyle w:val="978"/>
        <w:ind w:firstLine="42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p>
      <w:pPr>
        <w:pStyle w:val="736"/>
        <w:spacing w:line="4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36"/>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36"/>
        <w:ind w:firstLine="420"/>
        <w:spacing w:line="460" w:lineRule="exact"/>
        <w:rPr>
          <w:rFonts w:hint="eastAsia" w:ascii="宋体" w:hAnsi="宋体" w:eastAsia="宋体" w:cs="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000000"/>
          <w:highlight w:val="none"/>
          <w:lang w:val="en-US" w:eastAsia="zh-CN"/>
        </w:rPr>
        <w:t xml:space="preserve">法定代表人身份证复印件、</w:t>
      </w:r>
      <w:r>
        <w:rPr>
          <w:rFonts w:hint="eastAsia" w:ascii="宋体" w:hAnsi="宋体" w:eastAsia="宋体" w:cs="宋体"/>
          <w:bCs/>
          <w:color w:val="000000"/>
          <w:highlight w:val="none"/>
        </w:rPr>
        <w:t xml:space="preserve">被授权人身份证复印件</w:t>
      </w:r>
      <w:r>
        <w:rPr>
          <w:rFonts w:hint="eastAsia" w:ascii="宋体" w:hAnsi="宋体" w:eastAsia="宋体" w:cs="宋体"/>
          <w:bCs/>
          <w:color w:val="000000"/>
          <w:highlight w:val="none"/>
        </w:rPr>
      </w:r>
      <w:r/>
    </w:p>
    <w:p>
      <w:pPr>
        <w:pStyle w:val="935"/>
        <w:rPr>
          <w:rFonts w:hint="eastAsia" w:ascii="宋体" w:hAnsi="宋体" w:eastAsia="宋体" w:cs="宋体"/>
          <w:color w:val="000000"/>
          <w:sz w:val="32"/>
          <w:highlight w:val="none"/>
        </w:rPr>
      </w:pPr>
      <w:r/>
      <w:bookmarkStart w:id="80" w:name="_Toc16911"/>
      <w:r/>
      <w:bookmarkStart w:id="81" w:name="_Toc9345"/>
      <w:r/>
      <w:bookmarkStart w:id="82" w:name="_Toc20616"/>
      <w:r>
        <w:rPr>
          <w:rFonts w:hint="eastAsia" w:ascii="宋体" w:hAnsi="宋体" w:eastAsia="宋体" w:cs="宋体"/>
          <w:color w:val="000000"/>
          <w:sz w:val="32"/>
          <w:highlight w:val="none"/>
        </w:rPr>
        <w:t xml:space="preserve">二、符合性审查响应对照表</w:t>
      </w:r>
      <w:bookmarkEnd w:id="80"/>
      <w:r/>
      <w:bookmarkEnd w:id="81"/>
      <w:r/>
      <w:bookmarkEnd w:id="82"/>
      <w:r>
        <w:rPr>
          <w:rFonts w:hint="eastAsia" w:ascii="宋体" w:hAnsi="宋体" w:eastAsia="宋体" w:cs="宋体"/>
          <w:color w:val="000000"/>
          <w:sz w:val="32"/>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dxa"/>
            <w:vAlign w:val="center"/>
            <w:textDirection w:val="lrTb"/>
            <w:noWrap w:val="false"/>
          </w:tcPr>
          <w:p>
            <w:pPr>
              <w:pStyle w:val="736"/>
              <w:jc w:val="center"/>
              <w:spacing w:line="240" w:lineRule="atLeas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序号</w:t>
            </w:r>
            <w:r>
              <w:rPr>
                <w:rFonts w:hint="eastAsia" w:ascii="宋体" w:hAnsi="宋体" w:eastAsia="宋体" w:cs="宋体"/>
                <w:b/>
                <w:color w:val="000000"/>
                <w:sz w:val="21"/>
                <w:szCs w:val="21"/>
                <w:highlight w:val="none"/>
                <w:lang w:val="en-US" w:eastAsia="zh-CN" w:bidi="ar-SA"/>
              </w:rPr>
            </w:r>
            <w:r/>
          </w:p>
        </w:tc>
        <w:tc>
          <w:tcPr>
            <w:tcW w:w="2999" w:type="dxa"/>
            <w:vAlign w:val="center"/>
            <w:textDirection w:val="lrTb"/>
            <w:noWrap w:val="false"/>
          </w:tcPr>
          <w:p>
            <w:pPr>
              <w:pStyle w:val="736"/>
              <w:jc w:val="center"/>
              <w:spacing w:line="240" w:lineRule="atLeas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符合性审查响应内容</w:t>
            </w:r>
            <w:r>
              <w:rPr>
                <w:rFonts w:hint="eastAsia" w:ascii="宋体" w:hAnsi="宋体" w:eastAsia="宋体" w:cs="宋体"/>
                <w:b/>
                <w:color w:val="000000"/>
                <w:sz w:val="21"/>
                <w:szCs w:val="21"/>
                <w:highlight w:val="none"/>
                <w:lang w:val="en-US" w:eastAsia="zh-CN" w:bidi="ar-SA"/>
              </w:rPr>
            </w:r>
            <w:r/>
          </w:p>
        </w:tc>
        <w:tc>
          <w:tcPr>
            <w:tcW w:w="924" w:type="dxa"/>
            <w:vAlign w:val="center"/>
            <w:textDirection w:val="lrTb"/>
            <w:noWrap w:val="false"/>
          </w:tcPr>
          <w:p>
            <w:pPr>
              <w:pStyle w:val="736"/>
              <w:jc w:val="center"/>
              <w:spacing w:line="240" w:lineRule="atLeas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是否响应</w:t>
            </w:r>
            <w:r>
              <w:rPr>
                <w:rFonts w:hint="eastAsia" w:ascii="宋体" w:hAnsi="宋体" w:eastAsia="宋体" w:cs="宋体"/>
                <w:b/>
                <w:color w:val="000000"/>
                <w:sz w:val="21"/>
                <w:szCs w:val="21"/>
                <w:highlight w:val="none"/>
                <w:lang w:val="en-US" w:eastAsia="zh-CN" w:bidi="ar-SA"/>
              </w:rPr>
            </w:r>
            <w:r/>
          </w:p>
          <w:p>
            <w:pPr>
              <w:pStyle w:val="736"/>
              <w:jc w:val="center"/>
              <w:spacing w:line="240" w:lineRule="atLeas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（填是或者否）</w:t>
            </w:r>
            <w:r>
              <w:rPr>
                <w:rFonts w:hint="eastAsia" w:ascii="宋体" w:hAnsi="宋体" w:eastAsia="宋体" w:cs="宋体"/>
                <w:b/>
                <w:color w:val="000000"/>
                <w:sz w:val="21"/>
                <w:szCs w:val="21"/>
                <w:highlight w:val="none"/>
                <w:lang w:val="en-US" w:eastAsia="zh-CN" w:bidi="ar-SA"/>
              </w:rPr>
            </w:r>
            <w:r/>
          </w:p>
        </w:tc>
        <w:tc>
          <w:tcPr>
            <w:tcW w:w="720" w:type="dxa"/>
            <w:vAlign w:val="center"/>
            <w:textDirection w:val="lrTb"/>
            <w:noWrap w:val="false"/>
          </w:tcPr>
          <w:p>
            <w:pPr>
              <w:pStyle w:val="736"/>
              <w:jc w:val="center"/>
              <w:spacing w:line="240" w:lineRule="atLeas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响应情况</w:t>
            </w:r>
            <w:r>
              <w:rPr>
                <w:rFonts w:hint="eastAsia" w:ascii="宋体" w:hAnsi="宋体" w:eastAsia="宋体" w:cs="宋体"/>
                <w:b/>
                <w:color w:val="000000"/>
                <w:sz w:val="21"/>
                <w:szCs w:val="21"/>
                <w:highlight w:val="none"/>
                <w:lang w:val="en-US" w:eastAsia="zh-CN" w:bidi="ar-SA"/>
              </w:rPr>
            </w:r>
            <w:r/>
          </w:p>
        </w:tc>
      </w:tr>
      <w:tr>
        <w:trPr>
          <w:trHeight w:val="585"/>
        </w:trPr>
        <w:tc>
          <w:tcPr>
            <w:tcW w:w="355" w:type="dxa"/>
            <w:vAlign w:val="center"/>
            <w:textDirection w:val="lrTb"/>
            <w:noWrap w:val="false"/>
          </w:tcPr>
          <w:p>
            <w:pPr>
              <w:pStyle w:val="736"/>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w:t>
            </w:r>
            <w:r>
              <w:rPr>
                <w:rFonts w:hint="eastAsia" w:ascii="宋体" w:hAnsi="宋体" w:eastAsia="宋体" w:cs="宋体"/>
                <w:bCs/>
                <w:color w:val="000000"/>
                <w:sz w:val="21"/>
                <w:szCs w:val="21"/>
                <w:highlight w:val="none"/>
                <w:lang w:val="en-US" w:eastAsia="zh-CN" w:bidi="ar-SA"/>
              </w:rPr>
            </w:r>
            <w:r/>
          </w:p>
        </w:tc>
        <w:tc>
          <w:tcPr>
            <w:tcW w:w="2999" w:type="dxa"/>
            <w:vAlign w:val="center"/>
            <w:textDirection w:val="lrTb"/>
            <w:noWrap w:val="false"/>
          </w:tcPr>
          <w:p>
            <w:pPr>
              <w:pStyle w:val="736"/>
              <w:jc w:val="both"/>
              <w:spacing w:line="0" w:lineRule="atLeast"/>
              <w:widowControl w:val="off"/>
              <w:rPr>
                <w:rFonts w:hint="eastAsia" w:ascii="宋体" w:hAnsi="宋体" w:eastAsia="宋体" w:cs="宋体"/>
                <w:bCs/>
                <w:iCs/>
                <w:color w:val="000000"/>
                <w:sz w:val="21"/>
                <w:szCs w:val="21"/>
                <w:highlight w:val="none"/>
                <w:lang w:val="en-US" w:eastAsia="zh-CN" w:bidi="ar-SA"/>
              </w:rPr>
            </w:pPr>
            <w:r>
              <w:rPr>
                <w:rFonts w:hint="eastAsia" w:ascii="宋体" w:hAnsi="宋体" w:eastAsia="宋体" w:cs="宋体"/>
                <w:bCs/>
                <w:iCs/>
                <w:color w:val="000000"/>
                <w:sz w:val="21"/>
                <w:szCs w:val="21"/>
                <w:highlight w:val="none"/>
                <w:lang w:val="en-US" w:eastAsia="zh-CN" w:bidi="ar-SA"/>
              </w:rPr>
              <w:t xml:space="preserve">采购需求中必须满足的实质性要求（即加斜体下划线内容，每条详细列出）</w:t>
            </w:r>
            <w:r>
              <w:rPr>
                <w:rFonts w:hint="eastAsia" w:ascii="宋体" w:hAnsi="宋体" w:eastAsia="宋体" w:cs="宋体"/>
                <w:bCs/>
                <w:iCs/>
                <w:color w:val="000000"/>
                <w:sz w:val="21"/>
                <w:szCs w:val="21"/>
                <w:highlight w:val="none"/>
                <w:lang w:val="en-US" w:eastAsia="zh-CN" w:bidi="ar-SA"/>
              </w:rPr>
            </w:r>
            <w:r/>
          </w:p>
        </w:tc>
        <w:tc>
          <w:tcPr>
            <w:tcW w:w="924" w:type="dxa"/>
            <w:vAlign w:val="center"/>
            <w:textDirection w:val="lrTb"/>
            <w:noWrap w:val="false"/>
          </w:tcPr>
          <w:p>
            <w:pPr>
              <w:pStyle w:val="736"/>
              <w:jc w:val="both"/>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tc>
        <w:tc>
          <w:tcPr>
            <w:tcW w:w="720" w:type="dxa"/>
            <w:vAlign w:val="center"/>
            <w:textDirection w:val="lrTb"/>
            <w:noWrap w:val="false"/>
          </w:tcPr>
          <w:p>
            <w:pPr>
              <w:pStyle w:val="736"/>
              <w:jc w:val="both"/>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tc>
      </w:tr>
      <w:tr>
        <w:trPr>
          <w:trHeight w:val="585"/>
        </w:trPr>
        <w:tc>
          <w:tcPr>
            <w:tcW w:w="355"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2999" w:type="dxa"/>
            <w:vAlign w:val="center"/>
            <w:textDirection w:val="lrTb"/>
            <w:noWrap w:val="false"/>
          </w:tcPr>
          <w:p>
            <w:pPr>
              <w:pStyle w:val="736"/>
              <w:jc w:val="both"/>
              <w:spacing w:line="0" w:lineRule="atLeas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r>
            <w:r/>
          </w:p>
        </w:tc>
        <w:tc>
          <w:tcPr>
            <w:tcW w:w="924"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20"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85"/>
        </w:trPr>
        <w:tc>
          <w:tcPr>
            <w:tcW w:w="355"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W w:w="2999" w:type="dxa"/>
            <w:vAlign w:val="center"/>
            <w:textDirection w:val="lrTb"/>
            <w:noWrap w:val="false"/>
          </w:tcPr>
          <w:p>
            <w:pPr>
              <w:pStyle w:val="736"/>
              <w:jc w:val="both"/>
              <w:spacing w:line="0" w:lineRule="atLeas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r>
            <w:r/>
          </w:p>
        </w:tc>
        <w:tc>
          <w:tcPr>
            <w:tcW w:w="924"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20"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417"/>
        </w:trPr>
        <w:tc>
          <w:tcPr>
            <w:tcW w:w="355"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2999" w:type="dxa"/>
            <w:vAlign w:val="center"/>
            <w:textDirection w:val="lrTb"/>
            <w:noWrap w:val="false"/>
          </w:tcPr>
          <w:p>
            <w:pPr>
              <w:pStyle w:val="736"/>
              <w:jc w:val="both"/>
              <w:spacing w:line="0" w:lineRule="atLeas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r>
            <w:r/>
          </w:p>
        </w:tc>
        <w:tc>
          <w:tcPr>
            <w:tcW w:w="924"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20"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780"/>
        </w:trPr>
        <w:tc>
          <w:tcPr>
            <w:tcW w:w="355"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r>
            <w:r/>
          </w:p>
        </w:tc>
        <w:tc>
          <w:tcPr>
            <w:tcW w:w="2999" w:type="dxa"/>
            <w:vAlign w:val="center"/>
            <w:textDirection w:val="lrTb"/>
            <w:noWrap w:val="false"/>
          </w:tcPr>
          <w:p>
            <w:pPr>
              <w:pStyle w:val="736"/>
              <w:jc w:val="both"/>
              <w:spacing w:line="0" w:lineRule="atLeas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w:t>
            </w:r>
            <w:r>
              <w:rPr>
                <w:rFonts w:hint="eastAsia" w:ascii="宋体" w:hAnsi="宋体" w:eastAsia="宋体" w:cs="宋体"/>
                <w:iCs/>
                <w:color w:val="000000"/>
                <w:sz w:val="21"/>
                <w:szCs w:val="21"/>
                <w:highlight w:val="none"/>
                <w:lang w:val="en-US" w:eastAsia="zh-CN" w:bidi="ar-SA"/>
              </w:rPr>
            </w:r>
            <w:r/>
          </w:p>
        </w:tc>
        <w:tc>
          <w:tcPr>
            <w:tcW w:w="924"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20"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736"/>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6"/>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6"/>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6"/>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6"/>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6"/>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6"/>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6"/>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6"/>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6"/>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6"/>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6"/>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6"/>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6"/>
        <w:rPr>
          <w:rFonts w:hint="eastAsia" w:ascii="宋体" w:hAnsi="宋体" w:eastAsia="宋体" w:cs="宋体"/>
          <w:color w:val="000000"/>
          <w:sz w:val="32"/>
          <w:szCs w:val="32"/>
          <w:highlight w:val="none"/>
        </w:rPr>
      </w:pPr>
      <w:r>
        <w:rPr>
          <w:highlight w:val="none"/>
        </w:rPr>
        <w:br w:type="page" w:clear="all"/>
      </w:r>
      <w:r>
        <w:rPr>
          <w:rFonts w:hint="eastAsia" w:ascii="宋体" w:hAnsi="宋体" w:eastAsia="宋体" w:cs="宋体"/>
          <w:color w:val="000000"/>
          <w:sz w:val="32"/>
          <w:szCs w:val="32"/>
          <w:highlight w:val="none"/>
        </w:rPr>
      </w:r>
      <w:r/>
    </w:p>
    <w:p>
      <w:pPr>
        <w:pStyle w:val="935"/>
        <w:rPr>
          <w:highlight w:val="none"/>
        </w:rPr>
      </w:pPr>
      <w:r/>
      <w:bookmarkStart w:id="83" w:name="_Toc29406"/>
      <w:r/>
      <w:bookmarkStart w:id="84" w:name="_Toc23068"/>
      <w:r/>
      <w:bookmarkStart w:id="85" w:name="_Toc23420"/>
      <w:r>
        <w:rPr>
          <w:rFonts w:hint="eastAsia" w:ascii="宋体" w:hAnsi="宋体" w:eastAsia="宋体" w:cs="宋体"/>
          <w:color w:val="000000"/>
          <w:sz w:val="32"/>
          <w:highlight w:val="none"/>
        </w:rPr>
        <w:t xml:space="preserve">三、非实质性响应对照表</w:t>
      </w:r>
      <w:bookmarkEnd w:id="83"/>
      <w:r/>
      <w:bookmarkEnd w:id="84"/>
      <w:r/>
      <w:bookmarkEnd w:id="85"/>
      <w:r>
        <w:rPr>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dxa"/>
            <w:vAlign w:val="center"/>
            <w:textDirection w:val="lrTb"/>
            <w:noWrap w:val="false"/>
          </w:tcPr>
          <w:p>
            <w:pPr>
              <w:pStyle w:val="736"/>
              <w:jc w:val="center"/>
              <w:spacing w:line="240" w:lineRule="atLeas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序号</w:t>
            </w:r>
            <w:r>
              <w:rPr>
                <w:rFonts w:hint="eastAsia" w:ascii="宋体" w:hAnsi="宋体" w:eastAsia="宋体" w:cs="宋体"/>
                <w:b/>
                <w:color w:val="000000"/>
                <w:sz w:val="21"/>
                <w:szCs w:val="21"/>
                <w:highlight w:val="none"/>
                <w:lang w:val="en-US" w:eastAsia="zh-CN" w:bidi="ar-SA"/>
              </w:rPr>
            </w:r>
            <w:r/>
          </w:p>
        </w:tc>
        <w:tc>
          <w:tcPr>
            <w:tcW w:w="2999" w:type="dxa"/>
            <w:vAlign w:val="center"/>
            <w:textDirection w:val="lrTb"/>
            <w:noWrap w:val="false"/>
          </w:tcPr>
          <w:p>
            <w:pPr>
              <w:pStyle w:val="736"/>
              <w:jc w:val="center"/>
              <w:spacing w:line="240" w:lineRule="atLeas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非实质性响应内容</w:t>
            </w:r>
            <w:r>
              <w:rPr>
                <w:rFonts w:hint="eastAsia" w:ascii="宋体" w:hAnsi="宋体" w:eastAsia="宋体" w:cs="宋体"/>
                <w:b/>
                <w:color w:val="000000"/>
                <w:sz w:val="21"/>
                <w:szCs w:val="21"/>
                <w:highlight w:val="none"/>
                <w:lang w:val="en-US" w:eastAsia="zh-CN" w:bidi="ar-SA"/>
              </w:rPr>
            </w:r>
            <w:r/>
          </w:p>
        </w:tc>
        <w:tc>
          <w:tcPr>
            <w:tcW w:w="924" w:type="dxa"/>
            <w:vAlign w:val="center"/>
            <w:textDirection w:val="lrTb"/>
            <w:noWrap w:val="false"/>
          </w:tcPr>
          <w:p>
            <w:pPr>
              <w:pStyle w:val="736"/>
              <w:jc w:val="center"/>
              <w:spacing w:line="240" w:lineRule="atLeas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是否响应</w:t>
            </w:r>
            <w:r>
              <w:rPr>
                <w:rFonts w:hint="eastAsia" w:ascii="宋体" w:hAnsi="宋体" w:eastAsia="宋体" w:cs="宋体"/>
                <w:b/>
                <w:color w:val="000000"/>
                <w:sz w:val="21"/>
                <w:szCs w:val="21"/>
                <w:highlight w:val="none"/>
                <w:lang w:val="en-US" w:eastAsia="zh-CN" w:bidi="ar-SA"/>
              </w:rPr>
            </w:r>
            <w:r/>
          </w:p>
          <w:p>
            <w:pPr>
              <w:pStyle w:val="736"/>
              <w:jc w:val="center"/>
              <w:spacing w:line="240" w:lineRule="atLeas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（填是或者否）</w:t>
            </w:r>
            <w:r>
              <w:rPr>
                <w:rFonts w:hint="eastAsia" w:ascii="宋体" w:hAnsi="宋体" w:eastAsia="宋体" w:cs="宋体"/>
                <w:b/>
                <w:color w:val="000000"/>
                <w:sz w:val="21"/>
                <w:szCs w:val="21"/>
                <w:highlight w:val="none"/>
                <w:lang w:val="en-US" w:eastAsia="zh-CN" w:bidi="ar-SA"/>
              </w:rPr>
            </w:r>
            <w:r/>
          </w:p>
        </w:tc>
        <w:tc>
          <w:tcPr>
            <w:tcW w:w="720" w:type="dxa"/>
            <w:vAlign w:val="center"/>
            <w:textDirection w:val="lrTb"/>
            <w:noWrap w:val="false"/>
          </w:tcPr>
          <w:p>
            <w:pPr>
              <w:pStyle w:val="736"/>
              <w:jc w:val="center"/>
              <w:spacing w:line="240" w:lineRule="atLeas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响应情况</w:t>
            </w:r>
            <w:r>
              <w:rPr>
                <w:rFonts w:hint="eastAsia" w:ascii="宋体" w:hAnsi="宋体" w:eastAsia="宋体" w:cs="宋体"/>
                <w:b/>
                <w:color w:val="000000"/>
                <w:sz w:val="21"/>
                <w:szCs w:val="21"/>
                <w:highlight w:val="none"/>
                <w:lang w:val="en-US" w:eastAsia="zh-CN" w:bidi="ar-SA"/>
              </w:rPr>
            </w:r>
            <w:r/>
          </w:p>
        </w:tc>
      </w:tr>
      <w:tr>
        <w:trPr>
          <w:trHeight w:val="585"/>
        </w:trPr>
        <w:tc>
          <w:tcPr>
            <w:tcW w:w="355" w:type="dxa"/>
            <w:vAlign w:val="center"/>
            <w:textDirection w:val="lrTb"/>
            <w:noWrap w:val="false"/>
          </w:tcPr>
          <w:p>
            <w:pPr>
              <w:pStyle w:val="736"/>
              <w:jc w:val="center"/>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b/>
                <w:color w:val="000000"/>
                <w:sz w:val="21"/>
                <w:szCs w:val="21"/>
                <w:highlight w:val="none"/>
                <w:lang w:val="en-US" w:eastAsia="zh-CN" w:bidi="ar-SA"/>
              </w:rPr>
            </w:r>
            <w:r/>
          </w:p>
        </w:tc>
        <w:tc>
          <w:tcPr>
            <w:tcW w:w="2999" w:type="dxa"/>
            <w:vAlign w:val="center"/>
            <w:textDirection w:val="lrTb"/>
            <w:noWrap w:val="false"/>
          </w:tcPr>
          <w:p>
            <w:pPr>
              <w:pStyle w:val="736"/>
              <w:jc w:val="both"/>
              <w:spacing w:line="0" w:lineRule="atLeas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《残疾人福利性单位声明函》</w:t>
            </w:r>
            <w:r>
              <w:rPr>
                <w:rFonts w:hint="eastAsia" w:ascii="宋体" w:hAnsi="宋体" w:eastAsia="宋体" w:cs="宋体"/>
                <w:iCs/>
                <w:color w:val="000000"/>
                <w:sz w:val="21"/>
                <w:szCs w:val="21"/>
                <w:highlight w:val="none"/>
                <w:lang w:val="en-US" w:eastAsia="zh-CN" w:bidi="ar-SA"/>
              </w:rPr>
            </w:r>
            <w:r/>
          </w:p>
        </w:tc>
        <w:tc>
          <w:tcPr>
            <w:tcW w:w="924" w:type="dxa"/>
            <w:vAlign w:val="center"/>
            <w:textDirection w:val="lrTb"/>
            <w:noWrap w:val="false"/>
          </w:tcPr>
          <w:p>
            <w:pPr>
              <w:pStyle w:val="736"/>
              <w:jc w:val="both"/>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tc>
        <w:tc>
          <w:tcPr>
            <w:tcW w:w="720" w:type="dxa"/>
            <w:vAlign w:val="center"/>
            <w:textDirection w:val="lrTb"/>
            <w:noWrap w:val="false"/>
          </w:tcPr>
          <w:p>
            <w:pPr>
              <w:pStyle w:val="736"/>
              <w:jc w:val="both"/>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tc>
      </w:tr>
      <w:tr>
        <w:trPr>
          <w:trHeight w:val="585"/>
        </w:trPr>
        <w:tc>
          <w:tcPr>
            <w:tcW w:w="355"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2999" w:type="dxa"/>
            <w:vAlign w:val="center"/>
            <w:textDirection w:val="lrTb"/>
            <w:noWrap w:val="false"/>
          </w:tcPr>
          <w:p>
            <w:pPr>
              <w:pStyle w:val="736"/>
              <w:jc w:val="both"/>
              <w:spacing w:line="0" w:lineRule="atLeas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b w:val="0"/>
                <w:bCs w:val="0"/>
                <w:color w:val="000000"/>
                <w:sz w:val="21"/>
                <w:szCs w:val="22"/>
                <w:highlight w:val="none"/>
                <w:lang w:val="en-US" w:eastAsia="zh-CN" w:bidi="ar-SA"/>
              </w:rPr>
              <w:t xml:space="preserve">《中小企业声明函（货物）》</w:t>
            </w:r>
            <w:r>
              <w:rPr>
                <w:rFonts w:hint="eastAsia" w:ascii="宋体" w:hAnsi="宋体" w:eastAsia="宋体" w:cs="宋体"/>
                <w:iCs/>
                <w:color w:val="000000"/>
                <w:sz w:val="21"/>
                <w:szCs w:val="21"/>
                <w:highlight w:val="none"/>
                <w:lang w:val="en-US" w:eastAsia="zh-CN" w:bidi="ar-SA"/>
              </w:rPr>
            </w:r>
            <w:r/>
          </w:p>
        </w:tc>
        <w:tc>
          <w:tcPr>
            <w:tcW w:w="924"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20"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780"/>
        </w:trPr>
        <w:tc>
          <w:tcPr>
            <w:tcW w:w="355"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W w:w="2999" w:type="dxa"/>
            <w:vAlign w:val="center"/>
            <w:textDirection w:val="lrTb"/>
            <w:noWrap w:val="false"/>
          </w:tcPr>
          <w:p>
            <w:pPr>
              <w:pStyle w:val="736"/>
              <w:jc w:val="both"/>
              <w:spacing w:line="0" w:lineRule="atLeast"/>
              <w:widowControl w:val="off"/>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w:t>
            </w:r>
            <w:r>
              <w:rPr>
                <w:rFonts w:hint="eastAsia" w:ascii="宋体" w:hAnsi="宋体" w:eastAsia="宋体" w:cs="宋体"/>
                <w:iCs/>
                <w:color w:val="000000"/>
                <w:sz w:val="21"/>
                <w:szCs w:val="21"/>
                <w:highlight w:val="none"/>
                <w:lang w:val="en-US" w:eastAsia="zh-CN" w:bidi="ar-SA"/>
              </w:rPr>
            </w:r>
            <w:r/>
          </w:p>
        </w:tc>
        <w:tc>
          <w:tcPr>
            <w:tcW w:w="924"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20"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736"/>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6"/>
        <w:contextualSpacing/>
        <w:jc w:val="center"/>
        <w:spacing w:line="60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3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center"/>
        <w:spacing w:before="312" w:after="312"/>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t xml:space="preserve">中小企业声明函（货物）</w:t>
      </w:r>
      <w:r>
        <w:rPr>
          <w:rFonts w:hint="eastAsia" w:ascii="宋体" w:hAnsi="宋体" w:eastAsia="宋体" w:cs="宋体"/>
          <w:b/>
          <w:bCs/>
          <w:color w:val="000000"/>
          <w:highlight w:val="none"/>
        </w:rPr>
      </w:r>
      <w:r/>
    </w:p>
    <w:p>
      <w:pPr>
        <w:pStyle w:val="736"/>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rPr>
        <w:t xml:space="preserve">（项目名称）</w:t>
      </w:r>
      <w:r>
        <w:rPr>
          <w:rFonts w:hint="eastAsia" w:ascii="宋体" w:hAnsi="宋体" w:eastAsia="宋体" w:cs="宋体"/>
          <w:color w:val="000000"/>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color w:val="000000"/>
          <w:highlight w:val="none"/>
        </w:rPr>
      </w:r>
      <w:r/>
    </w:p>
    <w:p>
      <w:pPr>
        <w:pStyle w:val="736"/>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 </w:t>
      </w:r>
      <w:r>
        <w:rPr>
          <w:rFonts w:hint="eastAsia" w:ascii="宋体" w:hAnsi="宋体" w:eastAsia="宋体" w:cs="宋体"/>
          <w:color w:val="000000"/>
          <w:highlight w:val="none"/>
          <w:u w:val="single"/>
        </w:rPr>
        <w:t xml:space="preserve">（标的名称） </w:t>
      </w:r>
      <w:r>
        <w:rPr>
          <w:rFonts w:hint="eastAsia" w:ascii="宋体" w:hAnsi="宋体" w:eastAsia="宋体" w:cs="宋体"/>
          <w:color w:val="000000"/>
          <w:highlight w:val="none"/>
        </w:rPr>
        <w:t xml:space="preserve">，属于</w:t>
      </w:r>
      <w:r>
        <w:rPr>
          <w:rFonts w:hint="eastAsia" w:ascii="宋体" w:hAnsi="宋体" w:eastAsia="宋体" w:cs="宋体"/>
          <w:b/>
          <w:bCs/>
          <w:color w:val="000000"/>
          <w:highlight w:val="none"/>
          <w:u w:val="single"/>
        </w:rPr>
        <w:t xml:space="preserve">（</w:t>
      </w:r>
      <w:r>
        <w:rPr>
          <w:rFonts w:hint="eastAsia" w:ascii="宋体" w:hAnsi="宋体" w:cs="宋体"/>
          <w:b/>
          <w:bCs/>
          <w:color w:val="000000"/>
          <w:highlight w:val="none"/>
          <w:u w:val="single"/>
          <w:lang w:eastAsia="zh-CN"/>
        </w:rPr>
        <w:t xml:space="preserve">工业</w:t>
      </w:r>
      <w:r>
        <w:rPr>
          <w:rFonts w:hint="eastAsia" w:ascii="宋体" w:hAnsi="宋体" w:eastAsia="宋体" w:cs="宋体"/>
          <w:b/>
          <w:bCs/>
          <w:color w:val="000000"/>
          <w:highlight w:val="none"/>
          <w:u w:val="single"/>
        </w:rPr>
        <w:t xml:space="preserve">）行业</w:t>
      </w:r>
      <w:r>
        <w:rPr>
          <w:rFonts w:hint="eastAsia" w:ascii="宋体" w:hAnsi="宋体" w:eastAsia="宋体" w:cs="宋体"/>
          <w:color w:val="000000"/>
          <w:highlight w:val="none"/>
          <w:u w:val="single"/>
        </w:rPr>
        <w:t xml:space="preserve">（不得对行业类别修改）</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，从业人员人，营业收入为万元，资产总额为万元</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"br1" </w:instrText>
      </w:r>
      <w:r>
        <w:rPr>
          <w:rFonts w:hint="eastAsia" w:ascii="宋体" w:hAnsi="宋体" w:eastAsia="宋体" w:cs="宋体"/>
          <w:color w:val="000000"/>
          <w:highlight w:val="none"/>
        </w:rPr>
        <w:fldChar w:fldCharType="separate"/>
      </w:r>
      <w:r>
        <w:rPr>
          <w:rFonts w:hint="eastAsia" w:ascii="宋体" w:hAnsi="宋体" w:eastAsia="宋体" w:cs="宋体"/>
          <w:color w:val="000000"/>
          <w:spacing w:val="-1"/>
          <w:highlight w:val="none"/>
          <w:vertAlign w:val="superscript"/>
        </w:rPr>
        <w:t xml:space="preserve">1</w:t>
      </w:r>
      <w:r>
        <w:rPr>
          <w:rFonts w:hint="eastAsia" w:ascii="宋体" w:hAnsi="宋体" w:eastAsia="宋体" w:cs="宋体"/>
          <w:color w:val="000000"/>
          <w:spacing w:val="-1"/>
          <w:highlight w:val="none"/>
          <w:vertAlign w:val="superscript"/>
        </w:rPr>
        <w:fldChar w:fldCharType="end"/>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rPr>
      </w:r>
      <w:r/>
    </w:p>
    <w:p>
      <w:pPr>
        <w:pStyle w:val="736"/>
        <w:ind w:firstLine="420"/>
        <w:jc w:val="left"/>
        <w:spacing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2. </w:t>
      </w:r>
      <w:r>
        <w:rPr>
          <w:rFonts w:hint="eastAsia" w:ascii="宋体" w:hAnsi="宋体" w:eastAsia="宋体" w:cs="宋体"/>
          <w:color w:val="000000"/>
          <w:highlight w:val="none"/>
          <w:u w:val="single"/>
        </w:rPr>
        <w:t xml:space="preserve">（标的名称） </w:t>
      </w:r>
      <w:r>
        <w:rPr>
          <w:rFonts w:hint="eastAsia" w:ascii="宋体" w:hAnsi="宋体" w:eastAsia="宋体" w:cs="宋体"/>
          <w:color w:val="000000"/>
          <w:highlight w:val="none"/>
        </w:rPr>
        <w:t xml:space="preserve">，属于</w:t>
      </w:r>
      <w:r>
        <w:rPr>
          <w:rFonts w:hint="eastAsia" w:ascii="宋体" w:hAnsi="宋体" w:eastAsia="宋体" w:cs="宋体"/>
          <w:b/>
          <w:bCs/>
          <w:color w:val="000000"/>
          <w:highlight w:val="none"/>
          <w:u w:val="single"/>
        </w:rPr>
        <w:t xml:space="preserve">（</w:t>
      </w:r>
      <w:r>
        <w:rPr>
          <w:rFonts w:hint="eastAsia" w:ascii="宋体" w:hAnsi="宋体" w:cs="宋体"/>
          <w:b/>
          <w:bCs/>
          <w:color w:val="000000"/>
          <w:highlight w:val="none"/>
          <w:u w:val="single"/>
          <w:lang w:eastAsia="zh-CN"/>
        </w:rPr>
        <w:t xml:space="preserve">工业</w:t>
      </w:r>
      <w:r>
        <w:rPr>
          <w:rFonts w:hint="eastAsia" w:ascii="宋体" w:hAnsi="宋体" w:eastAsia="宋体" w:cs="宋体"/>
          <w:b/>
          <w:bCs/>
          <w:color w:val="000000"/>
          <w:highlight w:val="none"/>
          <w:u w:val="single"/>
        </w:rPr>
        <w:t xml:space="preserve">）行业</w:t>
      </w:r>
      <w:r>
        <w:rPr>
          <w:rFonts w:hint="eastAsia" w:ascii="宋体" w:hAnsi="宋体" w:eastAsia="宋体" w:cs="宋体"/>
          <w:color w:val="000000"/>
          <w:highlight w:val="none"/>
          <w:u w:val="single"/>
        </w:rPr>
        <w:t xml:space="preserve">（不得对行业类别修改）；</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，从业人员人，营业收入为万元，资产总额为万元，属于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u w:val="single"/>
        </w:rPr>
      </w:r>
      <w:r/>
    </w:p>
    <w:p>
      <w:pPr>
        <w:pStyle w:val="736"/>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36"/>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highlight w:val="none"/>
        </w:rPr>
      </w:r>
      <w:r/>
    </w:p>
    <w:p>
      <w:pPr>
        <w:pStyle w:val="736"/>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本企业对上述声明内容的真实性负责。如有虚假，将依法承担相应责任。</w:t>
      </w:r>
      <w:r>
        <w:rPr>
          <w:rFonts w:hint="eastAsia" w:ascii="宋体" w:hAnsi="宋体" w:eastAsia="宋体" w:cs="宋体"/>
          <w:color w:val="000000"/>
          <w:highlight w:val="none"/>
        </w:rPr>
      </w:r>
      <w:r/>
    </w:p>
    <w:p>
      <w:pPr>
        <w:pStyle w:val="736"/>
        <w:jc w:val="lef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6"/>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 </w:t>
      </w:r>
      <w:r>
        <w:rPr>
          <w:rFonts w:hint="eastAsia" w:ascii="宋体" w:hAnsi="宋体" w:eastAsia="宋体" w:cs="宋体"/>
          <w:color w:val="000000"/>
          <w:highlight w:val="none"/>
        </w:rPr>
      </w:r>
      <w:r/>
    </w:p>
    <w:p>
      <w:pPr>
        <w:pStyle w:val="736"/>
        <w:ind w:firstLine="420"/>
        <w:jc w:val="left"/>
        <w:spacing w:line="360" w:lineRule="auto"/>
        <w:rPr>
          <w:rFonts w:hint="eastAsia" w:ascii="宋体" w:hAnsi="宋体" w:eastAsia="宋体" w:cs="宋体"/>
          <w:color w:val="000000"/>
          <w:highlight w:val="none"/>
        </w:rPr>
      </w:pPr>
      <w:r>
        <w:rPr>
          <w:rFonts w:hint="eastAsia" w:ascii="宋体" w:hAnsi="宋体" w:cs="宋体"/>
          <w:color w:val="000000"/>
          <w:highlight w:val="none"/>
          <w:lang w:eastAsia="zh-CN"/>
        </w:rPr>
        <w:t xml:space="preserve">1.</w:t>
      </w:r>
      <w:r>
        <w:rPr>
          <w:rFonts w:hint="eastAsia" w:ascii="宋体" w:hAnsi="宋体" w:eastAsia="宋体" w:cs="宋体"/>
          <w:color w:val="000000"/>
          <w:highlight w:val="none"/>
        </w:rPr>
        <w:t xml:space="preserve">从业人员（不仅指在职职工）、营业收入、资产总额填报上一年度数据，无上一年度数据的新成立企业可不填报。</w:t>
      </w:r>
      <w:r>
        <w:rPr>
          <w:rFonts w:hint="eastAsia" w:ascii="宋体" w:hAnsi="宋体" w:eastAsia="宋体" w:cs="宋体"/>
          <w:color w:val="000000"/>
          <w:highlight w:val="none"/>
        </w:rPr>
      </w:r>
      <w:r/>
    </w:p>
    <w:p>
      <w:pPr>
        <w:pStyle w:val="736"/>
        <w:ind w:firstLine="420"/>
        <w:jc w:val="left"/>
        <w:spacing w:line="360" w:lineRule="auto"/>
        <w:rPr>
          <w:rFonts w:hint="eastAsia" w:ascii="宋体" w:hAnsi="宋体" w:eastAsia="宋体" w:cs="宋体"/>
          <w:color w:val="000000"/>
          <w:highlight w:val="none"/>
        </w:rPr>
      </w:pPr>
      <w:r>
        <w:rPr>
          <w:rFonts w:hint="eastAsia" w:ascii="宋体" w:hAnsi="宋体" w:cs="宋体"/>
          <w:color w:val="000000"/>
          <w:highlight w:val="none"/>
          <w:lang w:eastAsia="zh-CN"/>
        </w:rPr>
        <w:t xml:space="preserve">2.</w:t>
      </w:r>
      <w:r>
        <w:rPr>
          <w:rFonts w:hint="eastAsia" w:ascii="宋体" w:hAnsi="宋体" w:eastAsia="宋体" w:cs="宋体"/>
          <w:color w:val="000000"/>
          <w:highlight w:val="none"/>
        </w:rPr>
        <w:t xml:space="preserve">《中小企业声明函》不符合要求或未提供的，作如下处理：①如本项目专门面向中小企业采购，则投标（响应）文件无效；②如本项目不专门面向中小企业采购，则价格将不做相应扣除。</w:t>
      </w:r>
      <w:r>
        <w:rPr>
          <w:rFonts w:hint="eastAsia" w:ascii="宋体" w:hAnsi="宋体" w:eastAsia="宋体" w:cs="宋体"/>
          <w:color w:val="000000"/>
          <w:highlight w:val="none"/>
        </w:rPr>
      </w:r>
      <w:r/>
    </w:p>
    <w:p>
      <w:pPr>
        <w:pStyle w:val="736"/>
        <w:ind w:firstLine="422"/>
        <w:jc w:val="left"/>
        <w:spacing w:line="360" w:lineRule="auto"/>
        <w:rPr>
          <w:rFonts w:hint="eastAsia" w:ascii="宋体" w:hAnsi="宋体" w:eastAsia="宋体" w:cs="宋体"/>
          <w:b/>
          <w:bCs/>
          <w:color w:val="000000"/>
          <w:highlight w:val="none"/>
        </w:rPr>
      </w:pPr>
      <w:r>
        <w:rPr>
          <w:rFonts w:hint="eastAsia" w:ascii="宋体" w:hAnsi="宋体" w:cs="宋体"/>
          <w:b/>
          <w:bCs/>
          <w:color w:val="000000"/>
          <w:highlight w:val="none"/>
          <w:lang w:eastAsia="zh-CN"/>
        </w:rPr>
        <w:t xml:space="preserve">3.</w:t>
      </w:r>
      <w:r>
        <w:rPr>
          <w:rFonts w:hint="eastAsia" w:ascii="宋体" w:hAnsi="宋体" w:eastAsia="宋体" w:cs="宋体"/>
          <w:b/>
          <w:bCs/>
          <w:color w:val="000000"/>
          <w:highlight w:val="none"/>
        </w:rPr>
        <w:t xml:space="preserve">供应商如不提供此声明函，价格将不做相应扣除。</w:t>
      </w:r>
      <w:r>
        <w:rPr>
          <w:rFonts w:hint="eastAsia" w:ascii="宋体" w:hAnsi="宋体" w:eastAsia="宋体" w:cs="宋体"/>
          <w:b/>
          <w:bCs/>
          <w:color w:val="000000"/>
          <w:highlight w:val="none"/>
        </w:rPr>
      </w:r>
      <w:r/>
    </w:p>
    <w:p>
      <w:pPr>
        <w:pStyle w:val="736"/>
        <w:ind w:firstLine="420"/>
        <w:jc w:val="left"/>
        <w:spacing w:line="360" w:lineRule="auto"/>
        <w:rPr>
          <w:rFonts w:hint="eastAsia" w:ascii="宋体" w:hAnsi="宋体" w:eastAsia="宋体" w:cs="宋体"/>
          <w:b/>
          <w:bCs/>
          <w:color w:val="000000"/>
          <w:highlight w:val="none"/>
        </w:rPr>
      </w:pPr>
      <w:r>
        <w:rPr>
          <w:rFonts w:hint="eastAsia" w:ascii="宋体" w:hAnsi="宋体" w:cs="宋体"/>
          <w:b/>
          <w:bCs/>
          <w:color w:val="000000"/>
          <w:highlight w:val="none"/>
          <w:lang w:eastAsia="zh-CN"/>
        </w:rPr>
        <w:t xml:space="preserve">4.</w:t>
      </w:r>
      <w:r>
        <w:rPr>
          <w:rFonts w:hint="eastAsia" w:ascii="宋体" w:hAnsi="宋体" w:eastAsia="宋体" w:cs="宋体"/>
          <w:b/>
          <w:bCs/>
          <w:color w:val="000000"/>
          <w:highlight w:val="none"/>
        </w:rPr>
        <w:t xml:space="preserve">企业声明函请完整填写，中标后将公示。</w:t>
      </w:r>
      <w:r>
        <w:rPr>
          <w:rFonts w:hint="eastAsia" w:ascii="宋体" w:hAnsi="宋体" w:eastAsia="宋体" w:cs="宋体"/>
          <w:b/>
          <w:bCs/>
          <w:color w:val="000000"/>
          <w:highlight w:val="none"/>
        </w:rPr>
      </w:r>
      <w:r/>
    </w:p>
    <w:p>
      <w:pPr>
        <w:pStyle w:val="736"/>
        <w:ind w:firstLine="420"/>
        <w:jc w:val="left"/>
        <w:spacing w:line="360" w:lineRule="auto"/>
        <w:rPr>
          <w:rFonts w:hint="eastAsia" w:ascii="宋体" w:hAnsi="宋体" w:eastAsia="宋体" w:cs="宋体"/>
          <w:color w:val="000000"/>
          <w:highlight w:val="none"/>
        </w:rPr>
      </w:pPr>
      <w:r>
        <w:rPr>
          <w:rFonts w:hint="eastAsia" w:ascii="宋体" w:hAnsi="宋体" w:cs="宋体"/>
          <w:color w:val="000000"/>
          <w:highlight w:val="none"/>
          <w:lang w:eastAsia="zh-CN"/>
        </w:rPr>
        <w:t xml:space="preserve">5.</w:t>
      </w:r>
      <w:r>
        <w:rPr>
          <w:rFonts w:hint="eastAsia" w:ascii="宋体" w:hAnsi="宋体" w:eastAsia="宋体" w:cs="宋体"/>
          <w:color w:val="000000"/>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rFonts w:hint="eastAsia" w:ascii="宋体" w:hAnsi="宋体" w:eastAsia="宋体" w:cs="宋体"/>
          <w:color w:val="000000"/>
          <w:highlight w:val="none"/>
        </w:rPr>
      </w:r>
      <w:r/>
    </w:p>
    <w:p>
      <w:pPr>
        <w:pStyle w:val="736"/>
        <w:ind w:firstLine="420"/>
        <w:jc w:val="left"/>
        <w:spacing w:line="360" w:lineRule="auto"/>
        <w:rPr>
          <w:rFonts w:hint="eastAsia" w:ascii="宋体" w:hAnsi="宋体" w:eastAsia="宋体" w:cs="宋体"/>
          <w:color w:val="000000"/>
          <w:highlight w:val="none"/>
        </w:rPr>
      </w:pPr>
      <w:r>
        <w:rPr>
          <w:rFonts w:hint="eastAsia" w:ascii="宋体" w:hAnsi="宋体" w:cs="宋体"/>
          <w:color w:val="000000"/>
          <w:highlight w:val="none"/>
          <w:lang w:eastAsia="zh-CN"/>
        </w:rPr>
        <w:t xml:space="preserve">6.</w:t>
      </w:r>
      <w:r>
        <w:rPr>
          <w:rFonts w:hint="eastAsia" w:ascii="宋体" w:hAnsi="宋体" w:eastAsia="宋体" w:cs="宋体"/>
          <w:b/>
          <w:bCs/>
          <w:color w:val="000000"/>
          <w:highlight w:val="none"/>
        </w:rPr>
        <w:t xml:space="preserve">声明函请按照第四章项目需求中的采购清单并根据实际情况逐项填写，否则视为不符合要求</w:t>
      </w:r>
      <w:r>
        <w:rPr>
          <w:rFonts w:hint="eastAsia" w:ascii="宋体" w:hAnsi="宋体" w:eastAsia="宋体" w:cs="宋体"/>
          <w:b/>
          <w:bCs/>
          <w:color w:val="000000"/>
          <w:highlight w:val="none"/>
          <w:lang w:eastAsia="zh-CN"/>
        </w:rPr>
        <w:t xml:space="preserve">，</w:t>
      </w:r>
      <w:r>
        <w:rPr>
          <w:rFonts w:ascii="Times New Roman" w:hAnsi="Times New Roman" w:eastAsia="宋体"/>
          <w:b/>
          <w:bCs/>
          <w:color w:val="000000"/>
          <w:highlight w:val="none"/>
        </w:rPr>
        <w:t xml:space="preserve">价格不作扣除</w:t>
      </w:r>
      <w:r>
        <w:rPr>
          <w:rFonts w:hint="eastAsia" w:ascii="宋体" w:hAnsi="宋体" w:eastAsia="宋体" w:cs="宋体"/>
          <w:b/>
          <w:bCs/>
          <w:color w:val="000000"/>
          <w:highlight w:val="none"/>
        </w:rPr>
        <w:t xml:space="preserve">。</w:t>
      </w:r>
      <w:r>
        <w:rPr>
          <w:rFonts w:hint="eastAsia" w:ascii="宋体" w:hAnsi="宋体" w:eastAsia="宋体" w:cs="宋体"/>
          <w:color w:val="000000"/>
          <w:highlight w:val="none"/>
        </w:rPr>
      </w:r>
      <w:r/>
    </w:p>
    <w:p>
      <w:pPr>
        <w:pStyle w:val="736"/>
        <w:ind w:firstLine="420"/>
        <w:jc w:val="left"/>
        <w:spacing w:line="360" w:lineRule="auto"/>
        <w:rPr>
          <w:rFonts w:hint="eastAsia" w:ascii="宋体" w:hAnsi="宋体" w:eastAsia="宋体" w:cs="宋体"/>
          <w:color w:val="000000"/>
          <w:szCs w:val="21"/>
          <w:highlight w:val="none"/>
        </w:rPr>
      </w:pPr>
      <w:r>
        <w:rPr>
          <w:rFonts w:hint="eastAsia" w:ascii="宋体" w:hAnsi="宋体" w:cs="宋体"/>
          <w:color w:val="000000"/>
          <w:highlight w:val="none"/>
          <w:lang w:eastAsia="zh-CN"/>
        </w:rPr>
        <w:t xml:space="preserve">7.</w:t>
      </w:r>
      <w:r>
        <w:rPr>
          <w:rFonts w:hint="eastAsia" w:ascii="宋体" w:hAnsi="宋体" w:eastAsia="宋体" w:cs="宋体"/>
          <w:color w:val="000000"/>
          <w:szCs w:val="21"/>
          <w:highlight w:val="none"/>
        </w:rPr>
        <w:t xml:space="preserve">中小企业不得属于大企业的分支机构，不得存在控股股东为大企业的情形，不得存在与大企业的负责人为同一人的情形。</w:t>
      </w:r>
      <w:r>
        <w:rPr>
          <w:rFonts w:hint="eastAsia" w:ascii="宋体" w:hAnsi="宋体" w:eastAsia="宋体" w:cs="宋体"/>
          <w:color w:val="000000"/>
          <w:szCs w:val="21"/>
          <w:highlight w:val="none"/>
        </w:rPr>
      </w:r>
      <w:r/>
    </w:p>
    <w:p>
      <w:pPr>
        <w:pStyle w:val="736"/>
        <w:ind w:firstLine="420"/>
        <w:jc w:val="left"/>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8.</w:t>
      </w:r>
      <w:r>
        <w:rPr>
          <w:rFonts w:hint="eastAsia" w:ascii="宋体" w:hAnsi="宋体" w:eastAsia="宋体" w:cs="宋体"/>
          <w:bCs/>
          <w:color w:val="000000"/>
          <w:szCs w:val="21"/>
          <w:highlight w:val="none"/>
          <w:shd w:val="clear" w:color="auto" w:fill="ffffff"/>
        </w:rPr>
        <w:t xml:space="preserve">《</w:t>
      </w:r>
      <w:r>
        <w:rPr>
          <w:rFonts w:hint="eastAsia" w:ascii="宋体" w:hAnsi="宋体" w:cs="宋体"/>
          <w:bCs/>
          <w:color w:val="000000"/>
          <w:szCs w:val="21"/>
          <w:highlight w:val="none"/>
          <w:shd w:val="clear" w:color="auto" w:fill="ffffff"/>
          <w:lang w:eastAsia="zh-CN"/>
        </w:rPr>
        <w:t xml:space="preserve">中华人民共和国政府采购法</w:t>
      </w:r>
      <w:r>
        <w:rPr>
          <w:rFonts w:hint="eastAsia" w:ascii="宋体" w:hAnsi="宋体" w:eastAsia="宋体" w:cs="宋体"/>
          <w:bCs/>
          <w:color w:val="000000"/>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宋体" w:hAnsi="宋体" w:eastAsia="宋体" w:cs="宋体"/>
          <w:color w:val="000000"/>
          <w:szCs w:val="21"/>
          <w:highlight w:val="none"/>
        </w:rPr>
      </w:r>
      <w:r/>
    </w:p>
    <w:p>
      <w:pPr>
        <w:pStyle w:val="736"/>
        <w:ind w:firstLine="52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企业名称（盖章）：</w:t>
      </w:r>
      <w:r>
        <w:rPr>
          <w:rFonts w:hint="eastAsia" w:ascii="宋体" w:hAnsi="宋体" w:eastAsia="宋体" w:cs="宋体"/>
          <w:color w:val="000000"/>
          <w:highlight w:val="none"/>
        </w:rPr>
      </w:r>
      <w:r/>
    </w:p>
    <w:p>
      <w:pPr>
        <w:pStyle w:val="736"/>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日 期：</w:t>
      </w:r>
      <w:r>
        <w:rPr>
          <w:rFonts w:hint="eastAsia" w:ascii="宋体" w:hAnsi="宋体" w:eastAsia="宋体" w:cs="宋体"/>
          <w:color w:val="000000"/>
          <w:highlight w:val="none"/>
        </w:rPr>
      </w:r>
      <w:r/>
    </w:p>
    <w:p>
      <w:pPr>
        <w:pStyle w:val="736"/>
        <w:jc w:val="center"/>
        <w:rPr>
          <w:rStyle w:val="965"/>
          <w:rFonts w:hint="eastAsia" w:ascii="宋体" w:hAnsi="宋体" w:eastAsia="宋体" w:cs="宋体"/>
          <w:color w:val="000000"/>
          <w:szCs w:val="21"/>
          <w:highlight w:val="none"/>
        </w:rPr>
      </w:pPr>
      <w:r>
        <w:rPr>
          <w:rStyle w:val="965"/>
          <w:rFonts w:hint="eastAsia" w:ascii="宋体" w:hAnsi="宋体" w:eastAsia="宋体" w:cs="宋体"/>
          <w:color w:val="000000"/>
          <w:szCs w:val="21"/>
          <w:highlight w:val="none"/>
        </w:rPr>
        <w:t xml:space="preserve">中小微企业划型标准</w:t>
      </w:r>
      <w:r>
        <w:rPr>
          <w:rStyle w:val="965"/>
          <w:rFonts w:hint="eastAsia" w:ascii="宋体" w:hAnsi="宋体" w:eastAsia="宋体" w:cs="宋体"/>
          <w:color w:val="000000"/>
          <w:szCs w:val="21"/>
          <w:highlight w:val="none"/>
        </w:rPr>
      </w:r>
      <w:r/>
    </w:p>
    <w:p>
      <w:pPr>
        <w:pStyle w:val="960"/>
        <w:ind w:firstLine="420"/>
        <w:spacing w:before="300" w:after="452"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Style w:val="965"/>
          <w:rFonts w:hint="eastAsia" w:ascii="宋体" w:hAnsi="宋体" w:eastAsia="宋体" w:cs="宋体"/>
          <w:color w:val="000000"/>
          <w:sz w:val="21"/>
          <w:szCs w:val="21"/>
          <w:highlight w:val="none"/>
        </w:rPr>
        <w:t xml:space="preserve">中小微企业划型标准如下：</w:t>
      </w:r>
      <w:r>
        <w:rPr>
          <w:rFonts w:hint="eastAsia" w:ascii="宋体" w:hAnsi="宋体" w:eastAsia="宋体" w:cs="宋体"/>
          <w:color w:val="000000"/>
          <w:sz w:val="21"/>
          <w:szCs w:val="21"/>
          <w:highlight w:val="none"/>
        </w:rPr>
      </w:r>
      <w:r/>
    </w:p>
    <w:tbl>
      <w:tblPr>
        <w:tblW w:w="8988"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60"/>
              <w:jc w:val="both"/>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行业名称</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指标名称</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计量单位</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中型</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小型</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微型</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农、林、牧、渔</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营业收入（Y）</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万元</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500≤Y&lt;20000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50≤Y&lt;500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Y&lt;50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工业</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从业人员（X）</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人</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300≤X&lt;1000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20≤X&lt;300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X&lt;20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6"/>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营业收入（Y）</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万元</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2000≤Y&lt;40000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300≤Y&lt;2000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Y&lt;300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建筑业</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营业收入（Y）</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万元</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6000≤Y&lt;80000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300≤Y&lt;6000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Y&lt;300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6"/>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资产总额（Z）</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万元</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5000≤Z&lt;80000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300≤Z&lt;5000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Z&lt;300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批发业</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从业人员（X）</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人</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20≤X&lt;200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5≤X&lt;20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X&lt;5</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6"/>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营业收入（Y）</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万元</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5000≤Y&lt;40000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1000≤Y&lt;5000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Y&lt;1000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零售业</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从业人员（X）</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人</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50≤X&lt;300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10≤X&lt;50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X&lt;10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6"/>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营业收入（Y）</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万元</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500≤Y&lt;20000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100≤Y&lt;500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Y&lt;100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交通运输业</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从业人员（X）</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人</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300≤X&lt;1000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20≤X&lt;300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X&lt;20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6"/>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营业收入（Y）</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万元</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3000≤Y&lt;30000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200≤Y&lt;3000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Y&lt;200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仓储业</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从业人员（X）</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人</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100≤X&lt;200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20≤X&lt;100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X&lt;20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6"/>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营业收入（Y）</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万元</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1000≤Y&lt;30000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100≤Y&lt;1000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Y&lt;100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邮政业</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从业人员（X）</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人</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300≤X&lt;1000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20≤X&lt;300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X&lt;20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6"/>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营业收入（Y）</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万元</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2000≤Y&lt;30000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100≤Y&lt;2000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Y&lt;100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住宿业</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从业人员（X）</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人</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100≤X&lt;300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ind w:firstLine="42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10≤X&lt;100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X&lt;10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6"/>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营业收入（Y）</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万元</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2000≤Y&lt;10000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100≤Y&lt;2000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Y&lt;100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餐饮业</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从业人员（X）</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人</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100≤X&lt;300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10≤X&lt;100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X&lt;10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6"/>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营业收入（Y）</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万元</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2000≤Y&lt;10000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100≤Y&lt;2000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Y&lt;100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信息传输业</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从业人员（X）</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人</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100≤X&lt;2000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10≤X&lt;100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X&lt;10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6"/>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营业收入（Y）</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万元</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1000≤Y&lt;100000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100≤Y&lt;1000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Y&lt;100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软件和信息技术服务业</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从业人员（X）</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人</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100≤X&lt;300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10≤X&lt;100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X&lt;10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6"/>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营业收入（Y）</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万元</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1000≤Y&lt;10000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50≤Y&lt;1000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Y&lt;50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房地产开发经营</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营业收入（Y）</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万元</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1000≤Y&lt;200000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100≤X&lt;1000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X&lt;100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6"/>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资产总额（Z）</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万元</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5000≤Z&lt;10000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2000≤Y&lt;5000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Y&lt;2000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物业管理</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从业人员（X）</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人</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300≤X&lt;1000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100≤X&lt;300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X&lt;100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6"/>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营业收入（Y）</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万元</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1000≤Y&lt;5000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500≤Y&lt;1000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Y&lt;500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租赁和商务服务业</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从业人员（X）</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人</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100≤X&lt;300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10≤X&lt;100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X&lt;10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W w:w="1401" w:type="dxa"/>
            <w:vAlign w:val="center"/>
            <w:vMerge w:val="continue"/>
            <w:textDirection w:val="lrTb"/>
            <w:noWrap w:val="false"/>
          </w:tcPr>
          <w:p>
            <w:pPr>
              <w:pStyle w:val="736"/>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资产总额（Z）</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万元</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8000≤Z&lt;120000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100≤Z&lt;8000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Y&lt;100</w:t>
            </w:r>
            <w:r>
              <w:rPr>
                <w:rFonts w:hint="eastAsia" w:ascii="宋体" w:hAnsi="宋体" w:eastAsia="宋体" w:cs="宋体"/>
                <w:color w:val="000000"/>
                <w:sz w:val="21"/>
                <w:szCs w:val="21"/>
                <w:highlight w:val="none"/>
                <w:lang w:val="en-US" w:eastAsia="zh-CN" w:bidi="ar-SA"/>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其他未列明行业</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从业人员（X）</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151"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人</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383"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100≤X&lt;300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679"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10≤X&lt;100</w:t>
            </w:r>
            <w:r>
              <w:rPr>
                <w:rFonts w:hint="eastAsia" w:ascii="宋体" w:hAnsi="宋体" w:eastAsia="宋体" w:cs="宋体"/>
                <w:color w:val="000000"/>
                <w:sz w:val="21"/>
                <w:szCs w:val="21"/>
                <w:highlight w:val="none"/>
                <w:lang w:val="en-US" w:eastAsia="zh-CN" w:bidi="ar-SA"/>
              </w:rPr>
            </w:r>
            <w:r/>
          </w:p>
        </w:tc>
        <w:tc>
          <w:tcPr>
            <w:tcMar>
              <w:left w:w="105" w:type="dxa"/>
              <w:top w:w="0" w:type="dxa"/>
              <w:right w:w="105" w:type="dxa"/>
              <w:bottom w:w="0" w:type="dxa"/>
            </w:tcMar>
            <w:tcW w:w="1455" w:type="dxa"/>
            <w:vAlign w:val="center"/>
            <w:textDirection w:val="lrTb"/>
            <w:noWrap w:val="false"/>
          </w:tcPr>
          <w:p>
            <w:pPr>
              <w:pStyle w:val="960"/>
              <w:jc w:val="center"/>
              <w:spacing w:after="150" w:line="360" w:lineRule="auto"/>
              <w:widowControl/>
              <w:rPr>
                <w:rFonts w:hint="eastAsia" w:ascii="宋体" w:hAnsi="宋体" w:eastAsia="宋体" w:cs="宋体"/>
                <w:color w:val="000000"/>
                <w:sz w:val="21"/>
                <w:szCs w:val="21"/>
                <w:highlight w:val="none"/>
                <w:lang w:val="en-US" w:eastAsia="zh-CN" w:bidi="ar-SA"/>
              </w:rPr>
            </w:pPr>
            <w:r>
              <w:rPr>
                <w:rStyle w:val="965"/>
                <w:rFonts w:hint="eastAsia" w:ascii="宋体" w:hAnsi="宋体" w:eastAsia="宋体" w:cs="宋体"/>
                <w:b/>
                <w:color w:val="000000"/>
                <w:sz w:val="21"/>
                <w:szCs w:val="21"/>
                <w:highlight w:val="none"/>
                <w:lang w:val="en-US" w:eastAsia="zh-CN" w:bidi="ar-SA"/>
              </w:rPr>
              <w:t xml:space="preserve">X&lt;10</w:t>
            </w:r>
            <w:r>
              <w:rPr>
                <w:rFonts w:hint="eastAsia" w:ascii="宋体" w:hAnsi="宋体" w:eastAsia="宋体" w:cs="宋体"/>
                <w:color w:val="000000"/>
                <w:sz w:val="21"/>
                <w:szCs w:val="21"/>
                <w:highlight w:val="none"/>
                <w:lang w:val="en-US" w:eastAsia="zh-CN" w:bidi="ar-SA"/>
              </w:rPr>
            </w:r>
            <w:r/>
          </w:p>
        </w:tc>
      </w:tr>
    </w:tbl>
    <w:p>
      <w:pPr>
        <w:pStyle w:val="960"/>
        <w:ind w:firstLine="810"/>
        <w:spacing w:before="300" w:after="452" w:line="360" w:lineRule="auto"/>
        <w:widowControl/>
        <w:rPr>
          <w:rStyle w:val="965"/>
          <w:rFonts w:hint="eastAsia" w:ascii="宋体" w:hAnsi="宋体" w:eastAsia="宋体" w:cs="宋体"/>
          <w:color w:val="000000"/>
          <w:sz w:val="21"/>
          <w:szCs w:val="21"/>
          <w:highlight w:val="none"/>
        </w:rPr>
      </w:pPr>
      <w:r>
        <w:rPr>
          <w:rStyle w:val="965"/>
          <w:rFonts w:hint="eastAsia" w:ascii="宋体" w:hAnsi="宋体" w:eastAsia="宋体" w:cs="宋体"/>
          <w:color w:val="000000"/>
          <w:sz w:val="21"/>
          <w:szCs w:val="21"/>
          <w:highlight w:val="none"/>
        </w:rPr>
        <w:t xml:space="preserve">说明：上述标准参照《关于印发中小企业划型标准规定的通知》（工信部联企业</w:t>
      </w:r>
      <w:r>
        <w:rPr>
          <w:rStyle w:val="965"/>
          <w:rFonts w:hint="eastAsia" w:ascii="宋体" w:hAnsi="宋体" w:cs="宋体"/>
          <w:color w:val="000000"/>
          <w:sz w:val="21"/>
          <w:szCs w:val="21"/>
          <w:highlight w:val="none"/>
          <w:lang w:eastAsia="zh-CN"/>
        </w:rPr>
        <w:t xml:space="preserve">〔2011〕300号</w:t>
      </w:r>
      <w:r>
        <w:rPr>
          <w:rStyle w:val="965"/>
          <w:rFonts w:hint="eastAsia" w:ascii="宋体" w:hAnsi="宋体" w:eastAsia="宋体" w:cs="宋体"/>
          <w:color w:val="000000"/>
          <w:sz w:val="21"/>
          <w:szCs w:val="21"/>
          <w:highlight w:val="none"/>
        </w:rPr>
        <w:t xml:space="preserve">），大型、中型和小型企业须同时满足所列指标的下限，否则下划一档；微型企业只</w:t>
      </w:r>
      <w:r>
        <w:rPr>
          <w:rStyle w:val="965"/>
          <w:rFonts w:hint="eastAsia" w:ascii="宋体" w:hAnsi="宋体" w:cs="宋体"/>
          <w:color w:val="000000"/>
          <w:sz w:val="21"/>
          <w:szCs w:val="21"/>
          <w:highlight w:val="none"/>
          <w:lang w:eastAsia="zh-CN"/>
        </w:rPr>
        <w:t xml:space="preserve">需</w:t>
      </w:r>
      <w:r>
        <w:rPr>
          <w:rStyle w:val="965"/>
          <w:rFonts w:hint="eastAsia" w:ascii="宋体" w:hAnsi="宋体" w:eastAsia="宋体" w:cs="宋体"/>
          <w:color w:val="000000"/>
          <w:sz w:val="21"/>
          <w:szCs w:val="21"/>
          <w:highlight w:val="none"/>
        </w:rPr>
        <w:t xml:space="preserve">满足所列指标中的一项即可。</w:t>
      </w:r>
      <w:r>
        <w:rPr>
          <w:rStyle w:val="965"/>
          <w:rFonts w:hint="eastAsia" w:ascii="宋体" w:hAnsi="宋体" w:eastAsia="宋体" w:cs="宋体"/>
          <w:color w:val="000000"/>
          <w:sz w:val="21"/>
          <w:szCs w:val="21"/>
          <w:highlight w:val="none"/>
        </w:rPr>
      </w:r>
      <w:r/>
    </w:p>
    <w:p>
      <w:pPr>
        <w:pStyle w:val="936"/>
        <w:rPr>
          <w:rFonts w:hint="eastAsia" w:ascii="宋体" w:hAnsi="宋体" w:eastAsia="宋体" w:cs="宋体"/>
          <w:color w:val="000000"/>
          <w:highlight w:val="none"/>
        </w:rPr>
      </w:pPr>
      <w:r>
        <w:rPr>
          <w:rStyle w:val="965"/>
          <w:rFonts w:hint="eastAsia" w:ascii="宋体" w:hAnsi="宋体" w:eastAsia="宋体" w:cs="宋体"/>
          <w:b w:val="0"/>
          <w:color w:val="000000"/>
          <w:sz w:val="21"/>
          <w:szCs w:val="21"/>
          <w:highlight w:val="none"/>
        </w:rPr>
        <w:br w:type="page" w:clear="all"/>
      </w:r>
      <w:r>
        <w:rPr>
          <w:rFonts w:hint="eastAsia" w:ascii="宋体" w:hAnsi="宋体" w:eastAsia="宋体" w:cs="宋体"/>
          <w:color w:val="000000"/>
          <w:highlight w:val="none"/>
        </w:rPr>
      </w:r>
      <w:r/>
    </w:p>
    <w:p>
      <w:pPr>
        <w:pStyle w:val="736"/>
        <w:ind w:firstLine="2726"/>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残疾人福利性单位声明函</w:t>
      </w:r>
      <w:r>
        <w:rPr>
          <w:rFonts w:hint="eastAsia" w:ascii="宋体" w:hAnsi="宋体" w:eastAsia="宋体" w:cs="宋体"/>
          <w:b/>
          <w:bCs/>
          <w:color w:val="000000"/>
          <w:highlight w:val="none"/>
        </w:rPr>
      </w:r>
      <w:r/>
    </w:p>
    <w:p>
      <w:pPr>
        <w:pStyle w:val="736"/>
        <w:ind w:firstLine="62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736"/>
        <w:ind w:firstLine="420"/>
        <w:spacing w:line="588"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Cs w:val="21"/>
          <w:highlight w:val="none"/>
          <w:lang w:eastAsia="zh-CN"/>
        </w:rPr>
        <w:t xml:space="preserve">〔2017〕141号</w:t>
      </w:r>
      <w:r>
        <w:rPr>
          <w:rFonts w:hint="eastAsia" w:ascii="宋体" w:hAnsi="宋体" w:eastAsia="宋体" w:cs="宋体"/>
          <w:color w:val="000000"/>
          <w:szCs w:val="21"/>
          <w:highlight w:val="none"/>
        </w:rPr>
        <w:t xml:space="preserve">）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eastAsia="宋体" w:cs="宋体"/>
          <w:color w:val="000000"/>
          <w:szCs w:val="21"/>
          <w:highlight w:val="none"/>
        </w:rPr>
      </w:r>
      <w:r/>
    </w:p>
    <w:p>
      <w:pPr>
        <w:pStyle w:val="736"/>
        <w:ind w:firstLine="420"/>
        <w:spacing w:line="588"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本单位在本次政府采购活动中提供的残疾人福利单位产品报价合计为人民币（大写）</w:t>
      </w:r>
      <w:r>
        <w:rPr>
          <w:rFonts w:hint="eastAsia" w:ascii="宋体" w:hAnsi="宋体" w:cs="宋体"/>
          <w:color w:val="000000"/>
          <w:szCs w:val="21"/>
          <w:highlight w:val="none"/>
          <w:lang w:eastAsia="zh-CN"/>
        </w:rPr>
        <w:t xml:space="preserve">元</w:t>
      </w:r>
      <w:r>
        <w:rPr>
          <w:rFonts w:hint="eastAsia" w:ascii="宋体" w:hAnsi="宋体" w:eastAsia="宋体" w:cs="宋体"/>
          <w:color w:val="000000"/>
          <w:szCs w:val="21"/>
          <w:highlight w:val="none"/>
        </w:rPr>
        <w:t xml:space="preserve">整（￥：     ）。</w:t>
      </w:r>
      <w:r>
        <w:rPr>
          <w:rFonts w:hint="eastAsia" w:ascii="宋体" w:hAnsi="宋体" w:eastAsia="宋体" w:cs="宋体"/>
          <w:color w:val="000000"/>
          <w:szCs w:val="21"/>
          <w:highlight w:val="none"/>
        </w:rPr>
      </w:r>
      <w:r/>
    </w:p>
    <w:p>
      <w:pPr>
        <w:pStyle w:val="736"/>
        <w:ind w:firstLine="420"/>
        <w:spacing w:line="588"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736"/>
        <w:ind w:firstLine="420"/>
        <w:spacing w:line="588"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6"/>
        <w:ind w:firstLine="420"/>
        <w:spacing w:line="588"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（备注：1、供应商如不提供此声明函，价格将不做相应扣除。2、中标供应商为残疾人福利单位的，此声明函将随中标结果同时公告，接受社会监督）</w:t>
      </w:r>
      <w:r>
        <w:rPr>
          <w:rFonts w:hint="eastAsia" w:ascii="宋体" w:hAnsi="宋体" w:eastAsia="宋体" w:cs="宋体"/>
          <w:color w:val="000000"/>
          <w:szCs w:val="21"/>
          <w:highlight w:val="none"/>
        </w:rPr>
      </w:r>
      <w:r/>
    </w:p>
    <w:p>
      <w:pPr>
        <w:pStyle w:val="736"/>
        <w:ind w:firstLine="444"/>
        <w:spacing w:line="588" w:lineRule="exact"/>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pStyle w:val="736"/>
        <w:ind w:right="1560" w:firstLine="420"/>
        <w:jc w:val="center"/>
        <w:spacing w:line="588" w:lineRule="exact"/>
        <w:tabs>
          <w:tab w:val="left" w:pos="486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供应商全称（盖章）：</w:t>
      </w:r>
      <w:r>
        <w:rPr>
          <w:rFonts w:hint="eastAsia" w:ascii="宋体" w:hAnsi="宋体" w:eastAsia="宋体" w:cs="宋体"/>
          <w:color w:val="000000"/>
          <w:szCs w:val="21"/>
          <w:highlight w:val="none"/>
        </w:rPr>
      </w:r>
      <w:r/>
    </w:p>
    <w:p>
      <w:pPr>
        <w:pStyle w:val="736"/>
        <w:ind w:right="1560" w:firstLine="420"/>
        <w:jc w:val="center"/>
        <w:spacing w:line="588" w:lineRule="exact"/>
        <w:tabs>
          <w:tab w:val="left" w:pos="486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日  期：</w:t>
      </w:r>
      <w:r>
        <w:rPr>
          <w:rFonts w:hint="eastAsia" w:ascii="宋体" w:hAnsi="宋体" w:eastAsia="宋体" w:cs="宋体"/>
          <w:color w:val="000000"/>
          <w:szCs w:val="21"/>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center"/>
        <w:rPr>
          <w:rFonts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b/>
          <w:color w:val="000000"/>
          <w:sz w:val="24"/>
          <w:szCs w:val="24"/>
          <w:highlight w:val="none"/>
        </w:rPr>
        <w:t xml:space="preserve">关于符合本国产品标准的声明函（采购包号：</w:t>
      </w:r>
      <w:r>
        <w:rPr>
          <w:rFonts w:hint="eastAsia" w:ascii="方正魏碑_GBK" w:hAnsi="方正魏碑_GBK" w:cs="方正魏碑_GBK"/>
          <w:b/>
          <w:color w:val="000000"/>
          <w:sz w:val="24"/>
          <w:szCs w:val="24"/>
          <w:highlight w:val="none"/>
          <w:lang w:val="en-US" w:eastAsia="zh-CN"/>
        </w:rPr>
        <w:t xml:space="preserve">**</w:t>
      </w:r>
      <w:r>
        <w:rPr>
          <w:rFonts w:hint="eastAsia" w:ascii="方正魏碑_GBK" w:hAnsi="方正魏碑_GBK" w:eastAsia="方正魏碑_GBK" w:cs="方正魏碑_GBK"/>
          <w:b/>
          <w:color w:val="000000"/>
          <w:sz w:val="24"/>
          <w:szCs w:val="24"/>
          <w:highlight w:val="none"/>
        </w:rPr>
        <w:t xml:space="preserve">）</w:t>
      </w:r>
      <w:r>
        <w:rPr>
          <w:rFonts w:ascii="方正魏碑_GBK" w:hAnsi="方正魏碑_GBK" w:eastAsia="方正魏碑_GBK" w:cs="方正魏碑_GBK"/>
          <w:color w:val="000000"/>
          <w:sz w:val="24"/>
          <w:szCs w:val="24"/>
          <w:highlight w:val="none"/>
        </w:rPr>
      </w:r>
      <w:r/>
    </w:p>
    <w:p>
      <w:pPr>
        <w:pStyle w:val="764"/>
        <w:ind w:firstLine="420"/>
        <w:spacing w:line="0" w:lineRule="atLeast"/>
        <w:rPr>
          <w:rFonts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方正魏碑_GBK" w:hAnsi="方正魏碑_GBK" w:eastAsia="方正魏碑_GBK" w:cs="方正魏碑_GBK"/>
          <w:color w:val="000000"/>
          <w:highlight w:val="none"/>
        </w:rPr>
      </w:r>
      <w:r/>
    </w:p>
    <w:p>
      <w:pPr>
        <w:pStyle w:val="764"/>
        <w:ind w:firstLine="420"/>
        <w:spacing w:before="30" w:after="30" w:line="0" w:lineRule="atLeast"/>
        <w:rPr>
          <w:rFonts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772"/>
          <w:rFonts w:hint="eastAsia" w:ascii="方正魏碑_GBK" w:hAnsi="方正魏碑_GBK" w:eastAsia="方正魏碑_GBK" w:cs="方正魏碑_GBK"/>
          <w:i w:val="0"/>
          <w:color w:val="000000"/>
          <w:highlight w:val="none"/>
          <w:u w:val="single"/>
          <w:shd w:val="clear" w:color="auto" w:fill="ffffff"/>
        </w:rPr>
        <w:t xml:space="preserve">（产品名称1）</w:t>
      </w:r>
      <w:r>
        <w:rPr>
          <w:rStyle w:val="772"/>
          <w:rFonts w:hint="eastAsia" w:ascii="方正魏碑_GBK" w:hAnsi="方正魏碑_GBK" w:eastAsia="方正魏碑_GBK" w:cs="方正魏碑_GBK"/>
          <w:i w:val="0"/>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772"/>
          <w:rFonts w:hint="eastAsia" w:ascii="方正魏碑_GBK" w:hAnsi="方正魏碑_GBK" w:eastAsia="方正魏碑_GBK" w:cs="方正魏碑_GBK"/>
          <w:i w:val="0"/>
          <w:color w:val="000000"/>
          <w:highlight w:val="none"/>
          <w:u w:val="single"/>
          <w:shd w:val="clear" w:color="auto" w:fill="ffffff"/>
        </w:rPr>
        <w:t xml:space="preserve">（厂名）</w:t>
      </w:r>
      <w:r>
        <w:rPr>
          <w:rStyle w:val="772"/>
          <w:rFonts w:hint="eastAsia" w:ascii="方正魏碑_GBK" w:hAnsi="方正魏碑_GBK" w:eastAsia="方正魏碑_GBK" w:cs="方正魏碑_GBK"/>
          <w:i w:val="0"/>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772"/>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772"/>
          <w:rFonts w:hint="eastAsia" w:ascii="方正魏碑_GBK" w:hAnsi="方正魏碑_GBK" w:eastAsia="方正魏碑_GBK" w:cs="方正魏碑_GBK"/>
          <w:i w:val="0"/>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772"/>
          <w:rFonts w:hint="eastAsia" w:ascii="方正魏碑_GBK" w:hAnsi="方正魏碑_GBK" w:eastAsia="方正魏碑_GBK" w:cs="方正魏碑_GBK"/>
          <w:i w:val="0"/>
          <w:color w:val="000000"/>
          <w:highlight w:val="none"/>
          <w:u w:val="single"/>
          <w:shd w:val="clear" w:color="auto" w:fill="ffffff"/>
        </w:rPr>
        <w:t xml:space="preserve">（规定</w:t>
      </w:r>
      <w:r>
        <w:rPr>
          <w:rStyle w:val="772"/>
          <w:rFonts w:ascii="方正魏碑_GBK" w:hAnsi="方正魏碑_GBK" w:eastAsia="方正魏碑_GBK" w:cs="方正魏碑_GBK"/>
          <w:i w:val="0"/>
          <w:color w:val="000000"/>
          <w:highlight w:val="none"/>
          <w:u w:val="single"/>
          <w:shd w:val="clear" w:color="auto" w:fill="ffffff"/>
        </w:rPr>
        <w:t xml:space="preserve">比例</w:t>
      </w:r>
      <w:r>
        <w:rPr>
          <w:rStyle w:val="772"/>
          <w:rFonts w:hint="eastAsia" w:ascii="方正魏碑_GBK" w:hAnsi="方正魏碑_GBK" w:eastAsia="方正魏碑_GBK" w:cs="方正魏碑_GBK"/>
          <w:i w:val="0"/>
          <w:color w:val="000000"/>
          <w:highlight w:val="none"/>
          <w:u w:val="single"/>
          <w:shd w:val="clear" w:color="auto" w:fill="ffffff"/>
        </w:rPr>
        <w:t xml:space="preserve">）</w:t>
      </w:r>
      <w:r>
        <w:rPr>
          <w:rStyle w:val="772"/>
          <w:rFonts w:hint="eastAsia" w:ascii="方正魏碑_GBK" w:hAnsi="方正魏碑_GBK" w:eastAsia="方正魏碑_GBK" w:cs="方正魏碑_GBK"/>
          <w:i w:val="0"/>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772"/>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772"/>
          <w:rFonts w:hint="eastAsia" w:ascii="方正魏碑_GBK" w:hAnsi="方正魏碑_GBK" w:eastAsia="方正魏碑_GBK" w:cs="方正魏碑_GBK"/>
          <w:i w:val="0"/>
          <w:color w:val="000000"/>
          <w:highlight w:val="none"/>
          <w:u w:val="single"/>
          <w:shd w:val="clear" w:color="auto" w:fill="ffffff"/>
        </w:rPr>
        <w:t xml:space="preserve">（关键</w:t>
      </w:r>
      <w:r>
        <w:rPr>
          <w:rStyle w:val="772"/>
          <w:rFonts w:ascii="方正魏碑_GBK" w:hAnsi="方正魏碑_GBK" w:eastAsia="方正魏碑_GBK" w:cs="方正魏碑_GBK"/>
          <w:i w:val="0"/>
          <w:color w:val="000000"/>
          <w:highlight w:val="none"/>
          <w:u w:val="single"/>
          <w:shd w:val="clear" w:color="auto" w:fill="ffffff"/>
        </w:rPr>
        <w:t xml:space="preserve">组件</w:t>
      </w:r>
      <w:r>
        <w:rPr>
          <w:rStyle w:val="772"/>
          <w:rFonts w:hint="eastAsia" w:ascii="方正魏碑_GBK" w:hAnsi="方正魏碑_GBK" w:eastAsia="方正魏碑_GBK" w:cs="方正魏碑_GBK"/>
          <w:i w:val="0"/>
          <w:color w:val="000000"/>
          <w:highlight w:val="none"/>
          <w:u w:val="single"/>
          <w:shd w:val="clear" w:color="auto" w:fill="ffffff"/>
        </w:rPr>
        <w:t xml:space="preserve">）</w:t>
      </w:r>
      <w:r>
        <w:rPr>
          <w:rStyle w:val="772"/>
          <w:rFonts w:hint="eastAsia" w:ascii="方正魏碑_GBK" w:hAnsi="方正魏碑_GBK" w:eastAsia="方正魏碑_GBK" w:cs="方正魏碑_GBK"/>
          <w:i w:val="0"/>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772"/>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772"/>
          <w:rFonts w:hint="eastAsia" w:ascii="方正魏碑_GBK" w:hAnsi="方正魏碑_GBK" w:eastAsia="方正魏碑_GBK" w:cs="方正魏碑_GBK"/>
          <w:i w:val="0"/>
          <w:color w:val="000000"/>
          <w:highlight w:val="none"/>
          <w:u w:val="single"/>
          <w:shd w:val="clear" w:color="auto" w:fill="ffffff"/>
        </w:rPr>
        <w:t xml:space="preserve">（关键工序）</w:t>
      </w:r>
      <w:r>
        <w:rPr>
          <w:rStyle w:val="772"/>
          <w:rFonts w:hint="eastAsia" w:ascii="方正魏碑_GBK" w:hAnsi="方正魏碑_GBK" w:eastAsia="方正魏碑_GBK" w:cs="方正魏碑_GBK"/>
          <w:i w:val="0"/>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ascii="方正魏碑_GBK" w:hAnsi="方正魏碑_GBK" w:eastAsia="方正魏碑_GBK" w:cs="方正魏碑_GBK"/>
          <w:color w:val="000000"/>
          <w:highlight w:val="none"/>
        </w:rPr>
      </w:r>
      <w:r/>
    </w:p>
    <w:p>
      <w:pPr>
        <w:pStyle w:val="764"/>
        <w:ind w:firstLine="420"/>
        <w:spacing w:before="30" w:after="30" w:line="0" w:lineRule="atLeast"/>
        <w:rPr>
          <w:rFonts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772"/>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772"/>
          <w:rFonts w:hint="eastAsia" w:ascii="方正魏碑_GBK" w:hAnsi="方正魏碑_GBK" w:eastAsia="方正魏碑_GBK" w:cs="方正魏碑_GBK"/>
          <w:i w:val="0"/>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772"/>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772"/>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772"/>
          <w:rFonts w:hint="eastAsia" w:ascii="方正魏碑_GBK" w:hAnsi="方正魏碑_GBK" w:eastAsia="方正魏碑_GBK" w:cs="方正魏碑_GBK"/>
          <w:i w:val="0"/>
          <w:color w:val="000000"/>
          <w:highlight w:val="none"/>
          <w:u w:val="single"/>
          <w:shd w:val="clear" w:color="auto" w:fill="ffffff"/>
        </w:rPr>
        <w:t xml:space="preserve">（规定</w:t>
      </w:r>
      <w:r>
        <w:rPr>
          <w:rStyle w:val="772"/>
          <w:rFonts w:ascii="方正魏碑_GBK" w:hAnsi="方正魏碑_GBK" w:eastAsia="方正魏碑_GBK" w:cs="方正魏碑_GBK"/>
          <w:i w:val="0"/>
          <w:color w:val="000000"/>
          <w:highlight w:val="none"/>
          <w:u w:val="single"/>
          <w:shd w:val="clear" w:color="auto" w:fill="ffffff"/>
        </w:rPr>
        <w:t xml:space="preserve">比例</w:t>
      </w:r>
      <w:r>
        <w:rPr>
          <w:rStyle w:val="772"/>
          <w:rFonts w:hint="eastAsia" w:ascii="方正魏碑_GBK" w:hAnsi="方正魏碑_GBK" w:eastAsia="方正魏碑_GBK" w:cs="方正魏碑_GBK"/>
          <w:i w:val="0"/>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772"/>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772"/>
          <w:rFonts w:hint="eastAsia" w:ascii="方正魏碑_GBK" w:hAnsi="方正魏碑_GBK" w:eastAsia="方正魏碑_GBK" w:cs="方正魏碑_GBK"/>
          <w:i w:val="0"/>
          <w:color w:val="000000"/>
          <w:highlight w:val="none"/>
          <w:u w:val="single"/>
          <w:shd w:val="clear" w:color="auto" w:fill="ffffff"/>
        </w:rPr>
        <w:t xml:space="preserve">（关键</w:t>
      </w:r>
      <w:r>
        <w:rPr>
          <w:rStyle w:val="772"/>
          <w:rFonts w:ascii="方正魏碑_GBK" w:hAnsi="方正魏碑_GBK" w:eastAsia="方正魏碑_GBK" w:cs="方正魏碑_GBK"/>
          <w:i w:val="0"/>
          <w:color w:val="000000"/>
          <w:highlight w:val="none"/>
          <w:u w:val="single"/>
          <w:shd w:val="clear" w:color="auto" w:fill="ffffff"/>
        </w:rPr>
        <w:t xml:space="preserve">组件</w:t>
      </w:r>
      <w:r>
        <w:rPr>
          <w:rStyle w:val="772"/>
          <w:rFonts w:hint="eastAsia" w:ascii="方正魏碑_GBK" w:hAnsi="方正魏碑_GBK" w:eastAsia="方正魏碑_GBK" w:cs="方正魏碑_GBK"/>
          <w:i w:val="0"/>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772"/>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772"/>
          <w:rFonts w:hint="eastAsia" w:ascii="方正魏碑_GBK" w:hAnsi="方正魏碑_GBK" w:eastAsia="方正魏碑_GBK" w:cs="方正魏碑_GBK"/>
          <w:i w:val="0"/>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ascii="方正魏碑_GBK" w:hAnsi="方正魏碑_GBK" w:eastAsia="方正魏碑_GBK" w:cs="方正魏碑_GBK"/>
          <w:color w:val="000000"/>
          <w:highlight w:val="none"/>
        </w:rPr>
      </w:r>
      <w:r/>
    </w:p>
    <w:p>
      <w:pPr>
        <w:pStyle w:val="764"/>
        <w:ind w:firstLine="420"/>
        <w:spacing w:before="30" w:after="30" w:line="0" w:lineRule="atLeast"/>
        <w:rPr>
          <w:rFonts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ascii="方正魏碑_GBK" w:hAnsi="方正魏碑_GBK" w:eastAsia="方正魏碑_GBK" w:cs="方正魏碑_GBK"/>
          <w:color w:val="000000"/>
          <w:highlight w:val="none"/>
        </w:rPr>
      </w:r>
      <w:r/>
    </w:p>
    <w:p>
      <w:pPr>
        <w:pStyle w:val="764"/>
        <w:ind w:firstLine="420"/>
        <w:spacing w:before="30" w:after="30" w:line="0" w:lineRule="atLeast"/>
        <w:rPr>
          <w:rFonts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ascii="方正魏碑_GBK" w:hAnsi="方正魏碑_GBK" w:eastAsia="方正魏碑_GBK" w:cs="方正魏碑_GBK"/>
          <w:color w:val="000000"/>
          <w:highlight w:val="none"/>
        </w:rPr>
      </w:r>
      <w:r/>
    </w:p>
    <w:p>
      <w:pPr>
        <w:pStyle w:val="764"/>
        <w:ind w:right="480" w:firstLine="3720"/>
        <w:spacing w:before="30" w:after="30" w:line="0" w:lineRule="atLeast"/>
        <w:rPr>
          <w:rFonts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ascii="方正魏碑_GBK" w:hAnsi="方正魏碑_GBK" w:eastAsia="方正魏碑_GBK" w:cs="方正魏碑_GBK"/>
          <w:color w:val="000000"/>
          <w:highlight w:val="none"/>
        </w:rPr>
      </w:r>
      <w:r/>
    </w:p>
    <w:p>
      <w:pPr>
        <w:pStyle w:val="764"/>
        <w:jc w:val="center"/>
        <w:spacing w:before="30" w:after="30" w:line="0" w:lineRule="atLeast"/>
        <w:rPr>
          <w:rFonts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ascii="方正魏碑_GBK" w:hAnsi="方正魏碑_GBK" w:eastAsia="方正魏碑_GBK" w:cs="方正魏碑_GBK"/>
          <w:color w:val="000000"/>
          <w:highlight w:val="none"/>
        </w:rPr>
      </w:r>
      <w:r/>
    </w:p>
    <w:p>
      <w:pPr>
        <w:pStyle w:val="764"/>
        <w:spacing w:before="30" w:after="30" w:line="0" w:lineRule="atLeast"/>
        <w:rPr>
          <w:rFonts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ascii="方正魏碑_GBK" w:hAnsi="方正魏碑_GBK" w:eastAsia="方正魏碑_GBK" w:cs="方正魏碑_GBK"/>
          <w:color w:val="000000"/>
          <w:highlight w:val="none"/>
        </w:rPr>
      </w:r>
      <w:r/>
    </w:p>
    <w:p>
      <w:pPr>
        <w:pStyle w:val="764"/>
        <w:spacing w:before="30" w:after="30" w:line="0" w:lineRule="atLeast"/>
        <w:rPr>
          <w:rFonts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ascii="方正魏碑_GBK" w:hAnsi="方正魏碑_GBK" w:eastAsia="方正魏碑_GBK" w:cs="方正魏碑_GBK"/>
          <w:color w:val="000000"/>
          <w:sz w:val="22"/>
          <w:highlight w:val="none"/>
        </w:rPr>
      </w:r>
      <w:r/>
    </w:p>
    <w:p>
      <w:pPr>
        <w:pStyle w:val="764"/>
        <w:spacing w:before="30" w:after="30" w:line="0" w:lineRule="atLeast"/>
        <w:rPr>
          <w:rFonts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ascii="方正魏碑_GBK" w:hAnsi="方正魏碑_GBK" w:eastAsia="方正魏碑_GBK" w:cs="方正魏碑_GBK"/>
          <w:color w:val="000000"/>
          <w:sz w:val="22"/>
          <w:highlight w:val="none"/>
        </w:rPr>
      </w:r>
      <w:r/>
    </w:p>
    <w:p>
      <w:pPr>
        <w:pStyle w:val="764"/>
        <w:spacing w:before="30" w:after="30" w:line="0" w:lineRule="atLeast"/>
        <w:rPr>
          <w:rFonts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ascii="方正魏碑_GBK" w:hAnsi="方正魏碑_GBK" w:eastAsia="方正魏碑_GBK" w:cs="方正魏碑_GBK"/>
          <w:color w:val="000000"/>
          <w:sz w:val="22"/>
          <w:highlight w:val="none"/>
        </w:rPr>
      </w:r>
      <w:r/>
    </w:p>
    <w:p>
      <w:pPr>
        <w:pStyle w:val="764"/>
        <w:spacing w:before="30" w:after="30" w:line="0" w:lineRule="atLeast"/>
        <w:rPr>
          <w:rFonts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ascii="方正魏碑_GBK" w:hAnsi="方正魏碑_GBK" w:eastAsia="方正魏碑_GBK" w:cs="方正魏碑_GBK"/>
          <w:color w:val="000000"/>
          <w:sz w:val="22"/>
          <w:highlight w:val="none"/>
        </w:rPr>
      </w:r>
      <w:r/>
    </w:p>
    <w:p>
      <w:pPr>
        <w:pStyle w:val="764"/>
        <w:spacing w:before="30" w:after="3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764"/>
        <w:spacing w:before="30" w:after="3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center"/>
        <w:rPr>
          <w:rFonts w:hint="eastAsia" w:ascii="宋体" w:hAnsi="宋体" w:eastAsia="宋体" w:cs="宋体"/>
          <w:color w:val="000000"/>
          <w:sz w:val="32"/>
          <w:highlight w:val="none"/>
        </w:rPr>
      </w:pPr>
      <w:r/>
      <w:bookmarkStart w:id="86" w:name="_Toc25382"/>
      <w:r/>
      <w:bookmarkStart w:id="87" w:name="_Toc19910"/>
      <w:r>
        <w:rPr>
          <w:rFonts w:hint="eastAsia" w:ascii="宋体" w:hAnsi="宋体" w:eastAsia="宋体" w:cs="宋体"/>
          <w:b/>
          <w:bCs/>
          <w:color w:val="000000"/>
          <w:sz w:val="32"/>
          <w:szCs w:val="44"/>
          <w:highlight w:val="none"/>
        </w:rPr>
        <w:t xml:space="preserve">四、开标一览表</w:t>
      </w:r>
      <w:bookmarkEnd w:id="86"/>
      <w:r/>
      <w:bookmarkEnd w:id="87"/>
      <w:r>
        <w:rPr>
          <w:rFonts w:hint="eastAsia" w:ascii="宋体" w:hAnsi="宋体" w:eastAsia="宋体" w:cs="宋体"/>
          <w:color w:val="000000"/>
          <w:sz w:val="32"/>
          <w:highlight w:val="none"/>
        </w:rPr>
      </w:r>
      <w:r/>
    </w:p>
    <w:p>
      <w:pPr>
        <w:pStyle w:val="736"/>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p>
      <w:pPr>
        <w:pStyle w:val="736"/>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w:t>
      </w:r>
      <w:r>
        <w:rPr>
          <w:rFonts w:hint="eastAsia" w:ascii="宋体" w:hAnsi="宋体" w:eastAsia="宋体" w:cs="宋体"/>
          <w:color w:val="000000"/>
          <w:szCs w:val="21"/>
          <w:highlight w:val="none"/>
        </w:rPr>
      </w:r>
      <w:r/>
    </w:p>
    <w:p>
      <w:pPr>
        <w:pStyle w:val="736"/>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分包号</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如有</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736"/>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1395" w:type="dxa"/>
            <w:vAlign w:val="center"/>
            <w:textDirection w:val="lrTb"/>
            <w:noWrap w:val="false"/>
          </w:tcPr>
          <w:p>
            <w:pPr>
              <w:pStyle w:val="944"/>
              <w:jc w:val="both"/>
              <w:spacing w:line="30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  投标货物及服务名称</w:t>
            </w:r>
            <w:r>
              <w:rPr>
                <w:rFonts w:hint="eastAsia" w:ascii="宋体" w:hAnsi="宋体" w:eastAsia="宋体" w:cs="宋体"/>
                <w:color w:val="000000"/>
                <w:sz w:val="21"/>
                <w:szCs w:val="21"/>
                <w:highlight w:val="none"/>
                <w:lang w:val="en-US" w:eastAsia="zh-CN" w:bidi="ar-SA"/>
              </w:rPr>
            </w:r>
            <w:r/>
          </w:p>
        </w:tc>
        <w:tc>
          <w:tcPr>
            <w:tcW w:w="3604"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投标总报价</w:t>
            </w:r>
            <w:r>
              <w:rPr>
                <w:rFonts w:hint="eastAsia" w:ascii="宋体" w:hAnsi="宋体" w:eastAsia="宋体" w:cs="宋体"/>
                <w:color w:val="000000"/>
                <w:sz w:val="21"/>
                <w:szCs w:val="21"/>
                <w:highlight w:val="none"/>
                <w:lang w:val="en-US" w:eastAsia="zh-CN" w:bidi="ar-SA"/>
              </w:rPr>
            </w:r>
            <w:r/>
          </w:p>
        </w:tc>
      </w:tr>
      <w:tr>
        <w:trPr>
          <w:cantSplit/>
          <w:trHeight w:val="1697"/>
        </w:trPr>
        <w:tc>
          <w:tcPr>
            <w:tcW w:w="1395" w:type="dxa"/>
            <w:vAlign w:val="center"/>
            <w:textDirection w:val="lrTb"/>
            <w:noWrap w:val="false"/>
          </w:tcPr>
          <w:p>
            <w:pPr>
              <w:pStyle w:val="944"/>
              <w:jc w:val="both"/>
              <w:spacing w:line="30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3604" w:type="dxa"/>
            <w:vAlign w:val="center"/>
            <w:textDirection w:val="lrTb"/>
            <w:noWrap w:val="false"/>
          </w:tcPr>
          <w:p>
            <w:pPr>
              <w:pStyle w:val="977"/>
              <w:ind w:firstLine="0"/>
              <w:jc w:val="left"/>
              <w:spacing w:before="0" w:after="0" w:line="5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大写：</w:t>
            </w:r>
            <w:r>
              <w:rPr>
                <w:rFonts w:hint="eastAsia" w:ascii="宋体" w:hAnsi="宋体" w:eastAsia="宋体" w:cs="宋体"/>
                <w:color w:val="000000"/>
                <w:sz w:val="21"/>
                <w:szCs w:val="21"/>
                <w:highlight w:val="none"/>
                <w:lang w:val="en-US" w:eastAsia="zh-CN" w:bidi="ar-SA"/>
              </w:rPr>
            </w:r>
            <w:r/>
          </w:p>
          <w:p>
            <w:pPr>
              <w:pStyle w:val="977"/>
              <w:ind w:firstLine="0"/>
              <w:jc w:val="left"/>
              <w:spacing w:before="0" w:after="0" w:line="5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小写：                             （人民币：元）</w:t>
            </w:r>
            <w:r>
              <w:rPr>
                <w:rFonts w:hint="eastAsia" w:ascii="宋体" w:hAnsi="宋体" w:eastAsia="宋体" w:cs="宋体"/>
                <w:color w:val="000000"/>
                <w:sz w:val="21"/>
                <w:szCs w:val="21"/>
                <w:highlight w:val="none"/>
                <w:lang w:val="en-US" w:eastAsia="zh-CN" w:bidi="ar-SA"/>
              </w:rPr>
            </w:r>
            <w:r/>
          </w:p>
          <w:p>
            <w:pPr>
              <w:pStyle w:val="977"/>
              <w:ind w:firstLine="0"/>
              <w:jc w:val="left"/>
              <w:spacing w:before="0" w:after="0" w:line="5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736"/>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6"/>
        <w:ind w:firstLine="480"/>
        <w:rPr>
          <w:rFonts w:hint="eastAsia" w:ascii="宋体" w:hAnsi="宋体" w:eastAsia="宋体" w:cs="宋体"/>
          <w:color w:val="000000"/>
          <w:sz w:val="32"/>
          <w:szCs w:val="32"/>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 w:val="32"/>
          <w:szCs w:val="32"/>
          <w:highlight w:val="none"/>
        </w:rPr>
      </w:r>
      <w:r/>
    </w:p>
    <w:p>
      <w:pPr>
        <w:pStyle w:val="941"/>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41"/>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36"/>
        <w:jc w:val="center"/>
        <w:rPr>
          <w:rFonts w:hint="eastAsia" w:ascii="宋体" w:hAnsi="宋体" w:eastAsia="宋体" w:cs="宋体"/>
          <w:color w:val="000000"/>
          <w:sz w:val="32"/>
          <w:highlight w:val="none"/>
        </w:rPr>
      </w:pPr>
      <w:r>
        <w:rPr>
          <w:rFonts w:hint="eastAsia" w:ascii="宋体" w:hAnsi="宋体" w:eastAsia="宋体" w:cs="宋体"/>
          <w:color w:val="000000"/>
          <w:sz w:val="32"/>
          <w:szCs w:val="32"/>
          <w:highlight w:val="none"/>
        </w:rPr>
        <w:br w:type="page" w:clear="all"/>
      </w:r>
      <w:bookmarkStart w:id="88" w:name="_Toc20323"/>
      <w:r/>
      <w:bookmarkStart w:id="89" w:name="_Toc17891"/>
      <w:r>
        <w:rPr>
          <w:rFonts w:hint="eastAsia" w:ascii="宋体" w:hAnsi="宋体" w:eastAsia="宋体" w:cs="宋体"/>
          <w:b/>
          <w:bCs/>
          <w:color w:val="000000"/>
          <w:sz w:val="32"/>
          <w:szCs w:val="44"/>
          <w:highlight w:val="none"/>
        </w:rPr>
        <w:t xml:space="preserve">五、投标产品配置及分项报价表</w:t>
      </w:r>
      <w:bookmarkEnd w:id="88"/>
      <w:r/>
      <w:bookmarkEnd w:id="89"/>
      <w:r>
        <w:rPr>
          <w:rFonts w:hint="eastAsia" w:ascii="宋体" w:hAnsi="宋体" w:eastAsia="宋体" w:cs="宋体"/>
          <w:color w:val="000000"/>
          <w:sz w:val="32"/>
          <w:highlight w:val="none"/>
        </w:rPr>
      </w:r>
      <w:r/>
    </w:p>
    <w:tbl>
      <w:tblPr>
        <w:tblW w:w="94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02"/>
        <w:gridCol w:w="1249"/>
        <w:gridCol w:w="731"/>
        <w:gridCol w:w="1206"/>
        <w:gridCol w:w="1329"/>
        <w:gridCol w:w="997"/>
        <w:gridCol w:w="1463"/>
      </w:tblGrid>
      <w:tr>
        <w:trPr>
          <w:cantSplit/>
          <w:trHeight w:val="538"/>
        </w:trPr>
        <w:tc>
          <w:tcPr>
            <w:tcW w:w="2502"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249"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731"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W w:w="1206"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1329"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r>
            <w:r/>
          </w:p>
        </w:tc>
        <w:tc>
          <w:tcPr>
            <w:tcW w:w="997"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r>
            <w:r/>
          </w:p>
        </w:tc>
        <w:tc>
          <w:tcPr>
            <w:tcW w:w="1463"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zh-CN" w:bidi="ar-SA"/>
              </w:rPr>
            </w:r>
            <w:r/>
          </w:p>
        </w:tc>
      </w:tr>
      <w:tr>
        <w:trPr>
          <w:cantSplit/>
          <w:trHeight w:val="313"/>
        </w:trPr>
        <w:tc>
          <w:tcPr>
            <w:tcW w:w="2502"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产品名称及规格、型号</w:t>
            </w:r>
            <w:r>
              <w:rPr>
                <w:rFonts w:hint="eastAsia" w:ascii="宋体" w:hAnsi="宋体" w:eastAsia="宋体" w:cs="宋体"/>
                <w:color w:val="000000"/>
                <w:sz w:val="21"/>
                <w:szCs w:val="21"/>
                <w:highlight w:val="none"/>
                <w:lang w:val="en-US" w:eastAsia="zh-CN" w:bidi="ar-SA"/>
              </w:rPr>
            </w:r>
            <w:r/>
          </w:p>
        </w:tc>
        <w:tc>
          <w:tcPr>
            <w:tcW w:w="1249"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数量</w:t>
            </w:r>
            <w:r>
              <w:rPr>
                <w:rFonts w:hint="eastAsia" w:ascii="宋体" w:hAnsi="宋体" w:eastAsia="宋体" w:cs="宋体"/>
                <w:color w:val="000000"/>
                <w:sz w:val="21"/>
                <w:szCs w:val="21"/>
                <w:highlight w:val="none"/>
                <w:lang w:val="en-US" w:eastAsia="zh-CN" w:bidi="ar-SA"/>
              </w:rPr>
            </w:r>
            <w:r/>
          </w:p>
        </w:tc>
        <w:tc>
          <w:tcPr>
            <w:tcW w:w="731"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产地</w:t>
            </w:r>
            <w:r>
              <w:rPr>
                <w:rFonts w:hint="eastAsia" w:ascii="宋体" w:hAnsi="宋体" w:eastAsia="宋体" w:cs="宋体"/>
                <w:color w:val="000000"/>
                <w:sz w:val="21"/>
                <w:szCs w:val="21"/>
                <w:highlight w:val="none"/>
                <w:lang w:val="en-US" w:eastAsia="zh-CN" w:bidi="ar-SA"/>
              </w:rPr>
            </w:r>
            <w:r/>
          </w:p>
        </w:tc>
        <w:tc>
          <w:tcPr>
            <w:tcW w:w="1206"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交付期</w:t>
            </w:r>
            <w:r>
              <w:rPr>
                <w:rFonts w:hint="eastAsia" w:ascii="宋体" w:hAnsi="宋体" w:eastAsia="宋体" w:cs="宋体"/>
                <w:color w:val="000000"/>
                <w:sz w:val="21"/>
                <w:szCs w:val="21"/>
                <w:highlight w:val="none"/>
                <w:lang w:val="en-US" w:eastAsia="zh-CN" w:bidi="ar-SA"/>
              </w:rPr>
            </w:r>
            <w:r/>
          </w:p>
        </w:tc>
        <w:tc>
          <w:tcPr>
            <w:tcW w:w="1329"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单价</w:t>
            </w:r>
            <w:r>
              <w:rPr>
                <w:rFonts w:hint="eastAsia" w:ascii="宋体" w:hAnsi="宋体" w:eastAsia="宋体" w:cs="宋体"/>
                <w:color w:val="000000"/>
                <w:sz w:val="21"/>
                <w:szCs w:val="21"/>
                <w:highlight w:val="none"/>
                <w:lang w:val="en-US" w:eastAsia="zh-CN" w:bidi="ar-SA"/>
              </w:rPr>
            </w:r>
            <w:r/>
          </w:p>
        </w:tc>
        <w:tc>
          <w:tcPr>
            <w:tcW w:w="997"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单位</w:t>
            </w:r>
            <w:r>
              <w:rPr>
                <w:rFonts w:hint="eastAsia" w:ascii="宋体" w:hAnsi="宋体" w:eastAsia="宋体" w:cs="宋体"/>
                <w:color w:val="000000"/>
                <w:sz w:val="21"/>
                <w:szCs w:val="21"/>
                <w:highlight w:val="none"/>
                <w:lang w:val="en-US" w:eastAsia="zh-CN" w:bidi="ar-SA"/>
              </w:rPr>
            </w:r>
            <w:r/>
          </w:p>
        </w:tc>
        <w:tc>
          <w:tcPr>
            <w:tcW w:w="1463"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总价</w:t>
            </w:r>
            <w:r>
              <w:rPr>
                <w:rFonts w:hint="eastAsia" w:ascii="宋体" w:hAnsi="宋体" w:eastAsia="宋体" w:cs="宋体"/>
                <w:color w:val="000000"/>
                <w:sz w:val="21"/>
                <w:szCs w:val="21"/>
                <w:highlight w:val="none"/>
                <w:lang w:val="en-US" w:eastAsia="zh-CN" w:bidi="ar-SA"/>
              </w:rPr>
            </w:r>
            <w:r/>
          </w:p>
        </w:tc>
      </w:tr>
      <w:tr>
        <w:trPr>
          <w:cantSplit/>
          <w:trHeight w:val="906"/>
        </w:trPr>
        <w:tc>
          <w:tcPr>
            <w:tcW w:w="2502"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49"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31"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06"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9"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7"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63"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906"/>
        </w:trPr>
        <w:tc>
          <w:tcPr>
            <w:tcW w:w="2502"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49"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31"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06"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9"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7"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63"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906"/>
        </w:trPr>
        <w:tc>
          <w:tcPr>
            <w:tcW w:w="2502"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49"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31"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06"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9"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7"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63"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573"/>
        </w:trPr>
        <w:tc>
          <w:tcPr>
            <w:tcW w:w="2502"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49"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31"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06"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9"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7"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63" w:type="dxa"/>
            <w:vAlign w:val="center"/>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1019"/>
        </w:trPr>
        <w:tc>
          <w:tcPr>
            <w:tcW w:w="2502"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合计</w:t>
            </w:r>
            <w:r>
              <w:rPr>
                <w:rFonts w:hint="eastAsia" w:ascii="宋体" w:hAnsi="宋体" w:eastAsia="宋体" w:cs="宋体"/>
                <w:color w:val="000000"/>
                <w:sz w:val="21"/>
                <w:szCs w:val="21"/>
                <w:highlight w:val="none"/>
                <w:lang w:val="en-US" w:eastAsia="zh-CN" w:bidi="ar-SA"/>
              </w:rPr>
            </w:r>
            <w:r/>
          </w:p>
        </w:tc>
        <w:tc>
          <w:tcPr>
            <w:gridSpan w:val="5"/>
            <w:tcW w:w="5512" w:type="dxa"/>
            <w:vAlign w:val="top"/>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63" w:type="dxa"/>
            <w:vAlign w:val="top"/>
            <w:textDirection w:val="lrTb"/>
            <w:noWrap w:val="false"/>
          </w:tcPr>
          <w:p>
            <w:pPr>
              <w:pStyle w:val="736"/>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jc w:val="left"/>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36"/>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r>
      <w:r/>
    </w:p>
    <w:p>
      <w:pPr>
        <w:pStyle w:val="935"/>
        <w:rPr>
          <w:rFonts w:hint="eastAsia" w:ascii="宋体" w:hAnsi="宋体" w:eastAsia="宋体" w:cs="宋体"/>
          <w:color w:val="000000"/>
          <w:sz w:val="32"/>
          <w:highlight w:val="none"/>
        </w:rPr>
      </w:pPr>
      <w:r/>
      <w:bookmarkStart w:id="90" w:name="_Toc16517"/>
      <w:r/>
      <w:bookmarkStart w:id="91" w:name="_Toc5967"/>
      <w:r/>
      <w:bookmarkStart w:id="92" w:name="_Toc9678"/>
      <w:r>
        <w:rPr>
          <w:rFonts w:hint="eastAsia" w:ascii="宋体" w:hAnsi="宋体" w:eastAsia="宋体" w:cs="宋体"/>
          <w:color w:val="000000"/>
          <w:sz w:val="32"/>
          <w:highlight w:val="none"/>
        </w:rPr>
        <w:t xml:space="preserve">六、技术参数响应及偏离表</w:t>
      </w:r>
      <w:bookmarkEnd w:id="90"/>
      <w:r/>
      <w:bookmarkEnd w:id="91"/>
      <w:r/>
      <w:bookmarkEnd w:id="92"/>
      <w:r>
        <w:rPr>
          <w:rFonts w:hint="eastAsia" w:ascii="宋体" w:hAnsi="宋体" w:eastAsia="宋体" w:cs="宋体"/>
          <w:color w:val="000000"/>
          <w:sz w:val="32"/>
          <w:highlight w:val="none"/>
        </w:rPr>
      </w:r>
      <w:r/>
    </w:p>
    <w:tbl>
      <w:tblPr>
        <w:tblW w:w="890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bidi="ar-SA"/>
              </w:rPr>
            </w:r>
            <w:r/>
          </w:p>
        </w:tc>
        <w:tc>
          <w:tcPr>
            <w:tcW w:w="2551"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招标要求</w:t>
            </w:r>
            <w:r>
              <w:rPr>
                <w:rFonts w:hint="eastAsia" w:ascii="宋体" w:hAnsi="宋体" w:eastAsia="宋体" w:cs="宋体"/>
                <w:color w:val="000000"/>
                <w:sz w:val="21"/>
                <w:szCs w:val="21"/>
                <w:highlight w:val="none"/>
                <w:lang w:val="en-US" w:eastAsia="zh-CN" w:bidi="ar-SA"/>
              </w:rPr>
            </w:r>
            <w:r/>
          </w:p>
        </w:tc>
        <w:tc>
          <w:tcPr>
            <w:tcW w:w="2701"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投标响应</w:t>
            </w: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超出、符合或偏离</w:t>
            </w:r>
            <w:r>
              <w:rPr>
                <w:rFonts w:hint="eastAsia" w:ascii="宋体" w:hAnsi="宋体" w:eastAsia="宋体" w:cs="宋体"/>
                <w:color w:val="000000"/>
                <w:sz w:val="21"/>
                <w:szCs w:val="21"/>
                <w:highlight w:val="none"/>
                <w:lang w:val="en-US" w:eastAsia="zh-CN" w:bidi="ar-SA"/>
              </w:rPr>
            </w:r>
            <w:r/>
          </w:p>
        </w:tc>
        <w:tc>
          <w:tcPr>
            <w:tcW w:w="1210" w:type="dxa"/>
            <w:vAlign w:val="center"/>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证明材料</w:t>
            </w:r>
            <w:r>
              <w:rPr>
                <w:rFonts w:hint="eastAsia" w:ascii="宋体" w:hAnsi="宋体" w:eastAsia="宋体" w:cs="宋体"/>
                <w:color w:val="000000"/>
                <w:sz w:val="21"/>
                <w:szCs w:val="21"/>
                <w:highlight w:val="none"/>
                <w:lang w:val="en-US" w:eastAsia="zh-CN" w:bidi="ar-SA"/>
              </w:rPr>
            </w:r>
            <w:r/>
          </w:p>
        </w:tc>
      </w:tr>
      <w:tr>
        <w:trPr>
          <w:cantSplit/>
          <w:trHeight w:val="640"/>
        </w:trPr>
        <w:tc>
          <w:tcPr>
            <w:tcW w:w="984"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51"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701"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0"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640"/>
        </w:trPr>
        <w:tc>
          <w:tcPr>
            <w:tcW w:w="984"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51"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701"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0"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640"/>
        </w:trPr>
        <w:tc>
          <w:tcPr>
            <w:tcW w:w="984"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51"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701"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0"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640"/>
        </w:trPr>
        <w:tc>
          <w:tcPr>
            <w:tcW w:w="984"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51"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701"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0"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640"/>
        </w:trPr>
        <w:tc>
          <w:tcPr>
            <w:tcW w:w="984"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51"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701"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0"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640"/>
        </w:trPr>
        <w:tc>
          <w:tcPr>
            <w:tcW w:w="984"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51"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701"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0"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640"/>
        </w:trPr>
        <w:tc>
          <w:tcPr>
            <w:tcW w:w="984"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51"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701"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0"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640"/>
        </w:trPr>
        <w:tc>
          <w:tcPr>
            <w:tcW w:w="984"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51"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701"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10" w:type="dxa"/>
            <w:vAlign w:val="top"/>
            <w:textDirection w:val="lrTb"/>
            <w:noWrap w:val="false"/>
          </w:tcPr>
          <w:p>
            <w:pPr>
              <w:pStyle w:val="73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7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注：1、按照基本技术要求详细填列。</w:t>
      </w:r>
      <w:r>
        <w:rPr>
          <w:rFonts w:hint="eastAsia" w:ascii="宋体" w:hAnsi="宋体" w:eastAsia="宋体" w:cs="宋体"/>
          <w:color w:val="000000"/>
          <w:sz w:val="24"/>
          <w:szCs w:val="24"/>
          <w:highlight w:val="none"/>
        </w:rPr>
      </w:r>
      <w:r/>
    </w:p>
    <w:p>
      <w:pPr>
        <w:pStyle w:val="736"/>
        <w:ind w:firstLine="480"/>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行数不够，可自行添加。</w:t>
      </w:r>
      <w:r>
        <w:rPr>
          <w:rFonts w:hint="eastAsia" w:ascii="宋体" w:hAnsi="宋体" w:eastAsia="宋体" w:cs="宋体"/>
          <w:color w:val="000000"/>
          <w:sz w:val="24"/>
          <w:szCs w:val="24"/>
          <w:highlight w:val="none"/>
        </w:rPr>
      </w:r>
      <w:r/>
    </w:p>
    <w:p>
      <w:pPr>
        <w:pStyle w:val="73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3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36"/>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36"/>
        <w:jc w:val="center"/>
        <w:rPr>
          <w:rFonts w:hint="eastAsia" w:ascii="宋体" w:hAnsi="宋体" w:eastAsia="宋体" w:cs="宋体"/>
          <w:color w:val="000000"/>
          <w:sz w:val="32"/>
          <w:highlight w:val="none"/>
        </w:rPr>
      </w:pPr>
      <w:r>
        <w:rPr>
          <w:rFonts w:hint="eastAsia" w:ascii="宋体" w:hAnsi="宋体" w:eastAsia="宋体" w:cs="宋体"/>
          <w:color w:val="000000"/>
          <w:sz w:val="32"/>
          <w:highlight w:val="none"/>
        </w:rPr>
        <w:br w:type="page" w:clear="all"/>
      </w:r>
      <w:bookmarkStart w:id="93" w:name="_Hlt26955054"/>
      <w:r/>
      <w:bookmarkEnd w:id="93"/>
      <w:r/>
      <w:bookmarkStart w:id="94" w:name="_Toc32154"/>
      <w:r/>
      <w:bookmarkStart w:id="95" w:name="_Toc16820"/>
      <w:r>
        <w:rPr>
          <w:rFonts w:hint="eastAsia" w:ascii="宋体" w:hAnsi="宋体" w:eastAsia="宋体" w:cs="宋体"/>
          <w:b/>
          <w:bCs/>
          <w:color w:val="000000"/>
          <w:sz w:val="32"/>
          <w:szCs w:val="44"/>
          <w:highlight w:val="none"/>
        </w:rPr>
        <w:t xml:space="preserve">七、商务条款响应及偏离表</w:t>
      </w:r>
      <w:bookmarkEnd w:id="94"/>
      <w:r/>
      <w:bookmarkEnd w:id="95"/>
      <w:r>
        <w:rPr>
          <w:rFonts w:hint="eastAsia" w:ascii="宋体" w:hAnsi="宋体" w:eastAsia="宋体" w:cs="宋体"/>
          <w:color w:val="000000"/>
          <w:sz w:val="32"/>
          <w:highlight w:val="none"/>
        </w:rPr>
      </w:r>
      <w:r/>
    </w:p>
    <w:tbl>
      <w:tblPr>
        <w:tblW w:w="84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vAlign w:val="top"/>
            <w:textDirection w:val="lrTb"/>
            <w:noWrap w:val="false"/>
          </w:tcPr>
          <w:p>
            <w:pPr>
              <w:pStyle w:val="736"/>
              <w:jc w:val="center"/>
              <w:spacing w:before="156"/>
              <w:widowControl w:val="off"/>
              <w:rPr>
                <w:rFonts w:hint="eastAsia" w:ascii="宋体" w:hAnsi="宋体" w:eastAsia="宋体" w:cs="宋体"/>
                <w:color w:val="000000"/>
                <w:sz w:val="21"/>
                <w:szCs w:val="21"/>
                <w:highlight w:val="none"/>
                <w:lang w:val="en-US" w:eastAsia="zh-CN" w:bidi="ar-SA"/>
              </w:rPr>
            </w:pPr>
            <w:r/>
            <w:bookmarkStart w:id="96" w:name="_Hlt26955056"/>
            <w:r/>
            <w:bookmarkEnd w:id="96"/>
            <w:r/>
            <w:bookmarkStart w:id="97" w:name="_Hlt26671343"/>
            <w:r/>
            <w:bookmarkEnd w:id="97"/>
            <w:r/>
            <w:bookmarkStart w:id="98" w:name="_Hlt26671372"/>
            <w:r/>
            <w:bookmarkEnd w:id="98"/>
            <w:r/>
            <w:bookmarkStart w:id="99" w:name="_Hlt26782999"/>
            <w:r/>
            <w:bookmarkEnd w:id="99"/>
            <w:r/>
            <w:bookmarkStart w:id="100" w:name="_Hlt26955064"/>
            <w:r/>
            <w:bookmarkEnd w:id="100"/>
            <w:r/>
            <w:bookmarkStart w:id="101" w:name="_Hlt26609391"/>
            <w:r/>
            <w:bookmarkEnd w:id="101"/>
            <w:r/>
            <w:bookmarkStart w:id="102" w:name="_Hlt24879081"/>
            <w:r/>
            <w:bookmarkEnd w:id="102"/>
            <w:r/>
            <w:bookmarkStart w:id="103" w:name="_Hlt26580838"/>
            <w:r/>
            <w:bookmarkEnd w:id="103"/>
            <w:r>
              <w:rPr>
                <w:rFonts w:hint="eastAsia" w:ascii="宋体" w:hAnsi="宋体" w:eastAsia="宋体" w:cs="宋体"/>
                <w:color w:val="000000"/>
                <w:sz w:val="21"/>
                <w:szCs w:val="21"/>
                <w:highlight w:val="none"/>
                <w:lang w:val="en-US" w:eastAsia="zh-CN" w:bidi="ar-SA"/>
              </w:rPr>
              <w:t xml:space="preserve">项目</w:t>
            </w:r>
            <w:r>
              <w:rPr>
                <w:rFonts w:hint="eastAsia" w:ascii="宋体" w:hAnsi="宋体" w:eastAsia="宋体" w:cs="宋体"/>
                <w:color w:val="000000"/>
                <w:sz w:val="21"/>
                <w:szCs w:val="21"/>
                <w:highlight w:val="none"/>
                <w:lang w:val="en-US" w:eastAsia="zh-CN" w:bidi="ar-SA"/>
              </w:rPr>
            </w:r>
            <w:r/>
          </w:p>
        </w:tc>
        <w:tc>
          <w:tcPr>
            <w:tcW w:w="2122" w:type="dxa"/>
            <w:vAlign w:val="top"/>
            <w:textDirection w:val="lrTb"/>
            <w:noWrap w:val="false"/>
          </w:tcPr>
          <w:p>
            <w:pPr>
              <w:pStyle w:val="736"/>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招标文件要求</w:t>
            </w:r>
            <w:r>
              <w:rPr>
                <w:rFonts w:hint="eastAsia" w:ascii="宋体" w:hAnsi="宋体" w:eastAsia="宋体" w:cs="宋体"/>
                <w:color w:val="000000"/>
                <w:sz w:val="21"/>
                <w:szCs w:val="21"/>
                <w:highlight w:val="none"/>
                <w:lang w:val="en-US" w:eastAsia="zh-CN" w:bidi="ar-SA"/>
              </w:rPr>
            </w:r>
            <w:r/>
          </w:p>
        </w:tc>
        <w:tc>
          <w:tcPr>
            <w:tcW w:w="1800" w:type="dxa"/>
            <w:vAlign w:val="top"/>
            <w:textDirection w:val="lrTb"/>
            <w:noWrap w:val="false"/>
          </w:tcPr>
          <w:p>
            <w:pPr>
              <w:pStyle w:val="736"/>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是否响应</w:t>
            </w:r>
            <w:r>
              <w:rPr>
                <w:rFonts w:hint="eastAsia" w:ascii="宋体" w:hAnsi="宋体" w:eastAsia="宋体" w:cs="宋体"/>
                <w:color w:val="000000"/>
                <w:sz w:val="21"/>
                <w:szCs w:val="21"/>
                <w:highlight w:val="none"/>
                <w:lang w:val="en-US" w:eastAsia="zh-CN" w:bidi="ar-SA"/>
              </w:rPr>
            </w:r>
            <w:r/>
          </w:p>
        </w:tc>
        <w:tc>
          <w:tcPr>
            <w:tcW w:w="2561" w:type="dxa"/>
            <w:vAlign w:val="top"/>
            <w:textDirection w:val="lrTb"/>
            <w:noWrap w:val="false"/>
          </w:tcPr>
          <w:p>
            <w:pPr>
              <w:pStyle w:val="736"/>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投标人的承诺或说明</w:t>
            </w:r>
            <w:r>
              <w:rPr>
                <w:rFonts w:hint="eastAsia" w:ascii="宋体" w:hAnsi="宋体" w:eastAsia="宋体" w:cs="宋体"/>
                <w:color w:val="000000"/>
                <w:sz w:val="21"/>
                <w:szCs w:val="21"/>
                <w:highlight w:val="none"/>
                <w:lang w:val="en-US" w:eastAsia="zh-CN" w:bidi="ar-SA"/>
              </w:rPr>
            </w:r>
            <w:r/>
          </w:p>
        </w:tc>
      </w:tr>
      <w:tr>
        <w:trPr>
          <w:trHeight w:val="624"/>
        </w:trPr>
        <w:tc>
          <w:tcPr>
            <w:tcW w:w="1935" w:type="dxa"/>
            <w:vAlign w:val="top"/>
            <w:textDirection w:val="lrTb"/>
            <w:noWrap w:val="false"/>
          </w:tcPr>
          <w:p>
            <w:pPr>
              <w:pStyle w:val="736"/>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质保期</w:t>
            </w:r>
            <w:r>
              <w:rPr>
                <w:rFonts w:hint="eastAsia" w:ascii="宋体" w:hAnsi="宋体" w:eastAsia="宋体" w:cs="宋体"/>
                <w:color w:val="000000"/>
                <w:sz w:val="21"/>
                <w:szCs w:val="21"/>
                <w:highlight w:val="none"/>
                <w:lang w:val="en-US" w:eastAsia="zh-CN" w:bidi="ar-SA"/>
              </w:rPr>
            </w:r>
            <w:r/>
          </w:p>
        </w:tc>
        <w:tc>
          <w:tcPr>
            <w:tcW w:w="2122" w:type="dxa"/>
            <w:vAlign w:val="top"/>
            <w:textDirection w:val="lrTb"/>
            <w:noWrap w:val="false"/>
          </w:tcPr>
          <w:p>
            <w:pPr>
              <w:pStyle w:val="736"/>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00" w:type="dxa"/>
            <w:vAlign w:val="top"/>
            <w:textDirection w:val="lrTb"/>
            <w:noWrap w:val="false"/>
          </w:tcPr>
          <w:p>
            <w:pPr>
              <w:pStyle w:val="736"/>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61" w:type="dxa"/>
            <w:vAlign w:val="top"/>
            <w:textDirection w:val="lrTb"/>
            <w:noWrap w:val="false"/>
          </w:tcPr>
          <w:p>
            <w:pPr>
              <w:pStyle w:val="736"/>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950"/>
        </w:trPr>
        <w:tc>
          <w:tcPr>
            <w:tcW w:w="1935" w:type="dxa"/>
            <w:vAlign w:val="top"/>
            <w:textDirection w:val="lrTb"/>
            <w:noWrap w:val="false"/>
          </w:tcPr>
          <w:p>
            <w:pPr>
              <w:pStyle w:val="736"/>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售后技术服务要求</w:t>
            </w:r>
            <w:r>
              <w:rPr>
                <w:rFonts w:hint="eastAsia" w:ascii="宋体" w:hAnsi="宋体" w:eastAsia="宋体" w:cs="宋体"/>
                <w:color w:val="000000"/>
                <w:sz w:val="21"/>
                <w:szCs w:val="21"/>
                <w:highlight w:val="none"/>
                <w:lang w:val="en-US" w:eastAsia="zh-CN" w:bidi="ar-SA"/>
              </w:rPr>
            </w:r>
            <w:r/>
          </w:p>
        </w:tc>
        <w:tc>
          <w:tcPr>
            <w:tcW w:w="2122" w:type="dxa"/>
            <w:vAlign w:val="top"/>
            <w:textDirection w:val="lrTb"/>
            <w:noWrap w:val="false"/>
          </w:tcPr>
          <w:p>
            <w:pPr>
              <w:pStyle w:val="736"/>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00" w:type="dxa"/>
            <w:vAlign w:val="top"/>
            <w:textDirection w:val="lrTb"/>
            <w:noWrap w:val="false"/>
          </w:tcPr>
          <w:p>
            <w:pPr>
              <w:pStyle w:val="736"/>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61" w:type="dxa"/>
            <w:vAlign w:val="top"/>
            <w:textDirection w:val="lrTb"/>
            <w:noWrap w:val="false"/>
          </w:tcPr>
          <w:p>
            <w:pPr>
              <w:pStyle w:val="736"/>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717"/>
        </w:trPr>
        <w:tc>
          <w:tcPr>
            <w:tcW w:w="1935" w:type="dxa"/>
            <w:vAlign w:val="top"/>
            <w:textDirection w:val="lrTb"/>
            <w:noWrap w:val="false"/>
          </w:tcPr>
          <w:p>
            <w:pPr>
              <w:pStyle w:val="736"/>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交付时间</w:t>
            </w:r>
            <w:r>
              <w:rPr>
                <w:rFonts w:hint="eastAsia" w:ascii="宋体" w:hAnsi="宋体" w:eastAsia="宋体" w:cs="宋体"/>
                <w:color w:val="000000"/>
                <w:sz w:val="21"/>
                <w:szCs w:val="21"/>
                <w:highlight w:val="none"/>
                <w:lang w:val="en-US" w:eastAsia="zh-CN" w:bidi="ar-SA"/>
              </w:rPr>
            </w:r>
            <w:r/>
          </w:p>
        </w:tc>
        <w:tc>
          <w:tcPr>
            <w:tcW w:w="2122" w:type="dxa"/>
            <w:vAlign w:val="top"/>
            <w:textDirection w:val="lrTb"/>
            <w:noWrap w:val="false"/>
          </w:tcPr>
          <w:p>
            <w:pPr>
              <w:pStyle w:val="736"/>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00" w:type="dxa"/>
            <w:vAlign w:val="top"/>
            <w:textDirection w:val="lrTb"/>
            <w:noWrap w:val="false"/>
          </w:tcPr>
          <w:p>
            <w:pPr>
              <w:pStyle w:val="736"/>
              <w:ind w:left="43"/>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61" w:type="dxa"/>
            <w:vAlign w:val="top"/>
            <w:textDirection w:val="lrTb"/>
            <w:noWrap w:val="false"/>
          </w:tcPr>
          <w:p>
            <w:pPr>
              <w:pStyle w:val="736"/>
              <w:ind w:left="43"/>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86"/>
        </w:trPr>
        <w:tc>
          <w:tcPr>
            <w:tcW w:w="1935" w:type="dxa"/>
            <w:vAlign w:val="top"/>
            <w:textDirection w:val="lrTb"/>
            <w:noWrap w:val="false"/>
          </w:tcPr>
          <w:p>
            <w:pPr>
              <w:pStyle w:val="736"/>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交货方式</w:t>
            </w:r>
            <w:r>
              <w:rPr>
                <w:rFonts w:hint="eastAsia" w:ascii="宋体" w:hAnsi="宋体" w:eastAsia="宋体" w:cs="宋体"/>
                <w:color w:val="000000"/>
                <w:sz w:val="21"/>
                <w:szCs w:val="21"/>
                <w:highlight w:val="none"/>
                <w:lang w:val="en-US" w:eastAsia="zh-CN" w:bidi="ar-SA"/>
              </w:rPr>
            </w:r>
            <w:r/>
          </w:p>
        </w:tc>
        <w:tc>
          <w:tcPr>
            <w:tcW w:w="2122" w:type="dxa"/>
            <w:vAlign w:val="top"/>
            <w:textDirection w:val="lrTb"/>
            <w:noWrap w:val="false"/>
          </w:tcPr>
          <w:p>
            <w:pPr>
              <w:pStyle w:val="736"/>
              <w:jc w:val="both"/>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00" w:type="dxa"/>
            <w:vAlign w:val="top"/>
            <w:textDirection w:val="lrTb"/>
            <w:noWrap w:val="false"/>
          </w:tcPr>
          <w:p>
            <w:pPr>
              <w:pStyle w:val="736"/>
              <w:ind w:left="43"/>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61" w:type="dxa"/>
            <w:vAlign w:val="top"/>
            <w:textDirection w:val="lrTb"/>
            <w:noWrap w:val="false"/>
          </w:tcPr>
          <w:p>
            <w:pPr>
              <w:pStyle w:val="736"/>
              <w:ind w:left="43"/>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613"/>
        </w:trPr>
        <w:tc>
          <w:tcPr>
            <w:tcW w:w="1935" w:type="dxa"/>
            <w:vAlign w:val="top"/>
            <w:textDirection w:val="lrTb"/>
            <w:noWrap w:val="false"/>
          </w:tcPr>
          <w:p>
            <w:pPr>
              <w:pStyle w:val="736"/>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交货地点</w:t>
            </w:r>
            <w:r>
              <w:rPr>
                <w:rFonts w:hint="eastAsia" w:ascii="宋体" w:hAnsi="宋体" w:eastAsia="宋体" w:cs="宋体"/>
                <w:color w:val="000000"/>
                <w:sz w:val="21"/>
                <w:szCs w:val="21"/>
                <w:highlight w:val="none"/>
                <w:lang w:val="en-US" w:eastAsia="zh-CN" w:bidi="ar-SA"/>
              </w:rPr>
            </w:r>
            <w:r/>
          </w:p>
        </w:tc>
        <w:tc>
          <w:tcPr>
            <w:tcW w:w="2122" w:type="dxa"/>
            <w:vAlign w:val="top"/>
            <w:textDirection w:val="lrTb"/>
            <w:noWrap w:val="false"/>
          </w:tcPr>
          <w:p>
            <w:pPr>
              <w:pStyle w:val="736"/>
              <w:jc w:val="both"/>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00" w:type="dxa"/>
            <w:vAlign w:val="top"/>
            <w:textDirection w:val="lrTb"/>
            <w:noWrap w:val="false"/>
          </w:tcPr>
          <w:p>
            <w:pPr>
              <w:pStyle w:val="736"/>
              <w:ind w:left="43"/>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61" w:type="dxa"/>
            <w:vAlign w:val="top"/>
            <w:textDirection w:val="lrTb"/>
            <w:noWrap w:val="false"/>
          </w:tcPr>
          <w:p>
            <w:pPr>
              <w:pStyle w:val="736"/>
              <w:ind w:left="43"/>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84"/>
        </w:trPr>
        <w:tc>
          <w:tcPr>
            <w:tcW w:w="1935" w:type="dxa"/>
            <w:vAlign w:val="top"/>
            <w:textDirection w:val="lrTb"/>
            <w:noWrap w:val="false"/>
          </w:tcPr>
          <w:p>
            <w:pPr>
              <w:pStyle w:val="736"/>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付款方式</w:t>
            </w:r>
            <w:r>
              <w:rPr>
                <w:rFonts w:hint="eastAsia" w:ascii="宋体" w:hAnsi="宋体" w:eastAsia="宋体" w:cs="宋体"/>
                <w:color w:val="000000"/>
                <w:sz w:val="21"/>
                <w:szCs w:val="21"/>
                <w:highlight w:val="none"/>
                <w:lang w:val="en-US" w:eastAsia="zh-CN" w:bidi="ar-SA"/>
              </w:rPr>
            </w:r>
            <w:r/>
          </w:p>
        </w:tc>
        <w:tc>
          <w:tcPr>
            <w:tcW w:w="2122" w:type="dxa"/>
            <w:vAlign w:val="top"/>
            <w:textDirection w:val="lrTb"/>
            <w:noWrap w:val="false"/>
          </w:tcPr>
          <w:p>
            <w:pPr>
              <w:pStyle w:val="736"/>
              <w:jc w:val="both"/>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00" w:type="dxa"/>
            <w:vAlign w:val="top"/>
            <w:textDirection w:val="lrTb"/>
            <w:noWrap w:val="false"/>
          </w:tcPr>
          <w:p>
            <w:pPr>
              <w:pStyle w:val="736"/>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561" w:type="dxa"/>
            <w:vAlign w:val="top"/>
            <w:textDirection w:val="lrTb"/>
            <w:noWrap w:val="false"/>
          </w:tcPr>
          <w:p>
            <w:pPr>
              <w:pStyle w:val="736"/>
              <w:jc w:val="center"/>
              <w:spacing w:before="156"/>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736"/>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6"/>
        <w:spacing w:line="48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941"/>
        <w:ind w:firstLine="480"/>
        <w:rPr>
          <w:rFonts w:hint="eastAsia" w:ascii="宋体" w:hAnsi="宋体" w:eastAsia="宋体" w:cs="宋体"/>
          <w:color w:val="000000"/>
          <w:sz w:val="24"/>
          <w:highlight w:val="none"/>
        </w:rPr>
      </w:pPr>
      <w:r/>
      <w:bookmarkStart w:id="104" w:name="_Hlt26671374"/>
      <w:r/>
      <w:bookmarkEnd w:id="104"/>
      <w:r/>
      <w:bookmarkStart w:id="105" w:name="_Hlt26955066"/>
      <w:r/>
      <w:bookmarkEnd w:id="105"/>
      <w:r/>
      <w:bookmarkStart w:id="106" w:name="_Hlt26609389"/>
      <w:r/>
      <w:bookmarkEnd w:id="106"/>
      <w:r/>
      <w:bookmarkStart w:id="107" w:name="_Toc462564146"/>
      <w:r>
        <w:rPr>
          <w:rFonts w:hint="eastAsia" w:ascii="宋体" w:hAnsi="宋体" w:eastAsia="宋体" w:cs="宋体"/>
          <w:color w:val="000000"/>
          <w:sz w:val="24"/>
          <w:highlight w:val="none"/>
        </w:rPr>
      </w:r>
      <w:r/>
    </w:p>
    <w:p>
      <w:pPr>
        <w:pStyle w:val="941"/>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41"/>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41"/>
        <w:ind w:firstLine="480"/>
        <w:jc w:val="center"/>
        <w:rPr>
          <w:rFonts w:hint="eastAsia" w:ascii="宋体" w:hAnsi="宋体" w:eastAsia="宋体" w:cs="宋体"/>
          <w:b/>
          <w:color w:val="000000"/>
          <w:highlight w:val="none"/>
        </w:rPr>
      </w:pPr>
      <w:r>
        <w:rPr>
          <w:rFonts w:hint="eastAsia" w:ascii="宋体" w:hAnsi="宋体" w:eastAsia="宋体" w:cs="宋体"/>
          <w:color w:val="000000"/>
          <w:sz w:val="24"/>
          <w:highlight w:val="none"/>
        </w:rPr>
        <w:br w:type="page" w:clear="all"/>
      </w:r>
      <w:bookmarkEnd w:id="107"/>
      <w:r/>
      <w:bookmarkStart w:id="108" w:name="_格式2__法定代表人授权书"/>
      <w:r/>
      <w:bookmarkEnd w:id="108"/>
      <w:r>
        <w:rPr>
          <w:rFonts w:hint="eastAsia" w:ascii="宋体" w:hAnsi="宋体" w:eastAsia="宋体" w:cs="宋体"/>
          <w:b/>
          <w:bCs/>
          <w:color w:val="000000"/>
          <w:sz w:val="32"/>
          <w:szCs w:val="44"/>
          <w:highlight w:val="none"/>
          <w:lang w:val="en-US" w:eastAsia="zh-CN" w:bidi="ar-SA"/>
        </w:rPr>
        <w:t xml:space="preserve">八、主要标的信息（中标后将公示）</w:t>
      </w:r>
      <w:r>
        <w:rPr>
          <w:rFonts w:hint="eastAsia" w:ascii="宋体" w:hAnsi="宋体" w:eastAsia="宋体" w:cs="宋体"/>
          <w:b/>
          <w:color w:val="000000"/>
          <w:highlight w:val="none"/>
        </w:rPr>
      </w:r>
      <w:r/>
    </w:p>
    <w:p>
      <w:pPr>
        <w:pStyle w:val="736"/>
        <w:spacing w:after="312"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6"/>
        <w:spacing w:after="312" w:line="360" w:lineRule="auto"/>
        <w:rPr>
          <w:rFonts w:hint="eastAsia" w:ascii="宋体" w:hAnsi="宋体" w:eastAsia="宋体" w:cs="宋体"/>
          <w:b/>
          <w:color w:val="000000"/>
          <w:highlight w:val="none"/>
        </w:rPr>
      </w:pPr>
      <w:r>
        <w:rPr>
          <w:rFonts w:hint="eastAsia" w:ascii="宋体" w:hAnsi="宋体" w:eastAsia="宋体" w:cs="宋体"/>
          <w:color w:val="000000"/>
          <w:highlight w:val="none"/>
        </w:rPr>
        <w:t xml:space="preserve">投标人全称：</w:t>
      </w:r>
      <w:r>
        <w:rPr>
          <w:rFonts w:hint="eastAsia" w:ascii="宋体" w:hAnsi="宋体" w:eastAsia="宋体" w:cs="宋体"/>
          <w:b/>
          <w:color w:val="000000"/>
          <w:highlight w:val="none"/>
        </w:rPr>
      </w:r>
      <w:r/>
    </w:p>
    <w:tbl>
      <w:tblPr>
        <w:tblW w:w="768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736"/>
              <w:jc w:val="center"/>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货物类</w:t>
            </w:r>
            <w:r>
              <w:rPr>
                <w:rFonts w:hint="eastAsia" w:ascii="宋体" w:hAnsi="宋体" w:eastAsia="宋体" w:cs="宋体"/>
                <w:color w:val="000000"/>
                <w:sz w:val="21"/>
                <w:szCs w:val="22"/>
                <w:highlight w:val="none"/>
                <w:lang w:val="en-US" w:eastAsia="zh-CN" w:bidi="ar-SA"/>
              </w:rPr>
            </w:r>
            <w:r/>
          </w:p>
        </w:tc>
        <w:tc>
          <w:tcPr>
            <w:tcW w:w="3780" w:type="dxa"/>
            <w:vAlign w:val="top"/>
            <w:textDirection w:val="lrTb"/>
            <w:noWrap w:val="false"/>
          </w:tcPr>
          <w:p>
            <w:pPr>
              <w:pStyle w:val="736"/>
              <w:jc w:val="center"/>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服务类</w:t>
            </w:r>
            <w:r>
              <w:rPr>
                <w:rFonts w:hint="eastAsia" w:ascii="宋体" w:hAnsi="宋体" w:eastAsia="宋体" w:cs="宋体"/>
                <w:color w:val="000000"/>
                <w:sz w:val="21"/>
                <w:szCs w:val="22"/>
                <w:highlight w:val="none"/>
                <w:lang w:val="en-US" w:eastAsia="zh-CN" w:bidi="ar-SA"/>
              </w:rPr>
            </w:r>
            <w:r/>
          </w:p>
        </w:tc>
      </w:tr>
      <w:tr>
        <w:trPr>
          <w:trHeight w:val="3810"/>
        </w:trPr>
        <w:tc>
          <w:tcPr>
            <w:tcW w:w="3901" w:type="dxa"/>
            <w:vAlign w:val="top"/>
            <w:textDirection w:val="lrTb"/>
            <w:noWrap w:val="false"/>
          </w:tcPr>
          <w:p>
            <w:pPr>
              <w:pStyle w:val="736"/>
              <w:jc w:val="both"/>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名称：</w:t>
            </w:r>
            <w:r>
              <w:rPr>
                <w:rFonts w:hint="eastAsia" w:ascii="宋体" w:hAnsi="宋体" w:eastAsia="宋体" w:cs="宋体"/>
                <w:color w:val="000000"/>
                <w:sz w:val="21"/>
                <w:szCs w:val="22"/>
                <w:highlight w:val="none"/>
                <w:lang w:val="en-US" w:eastAsia="zh-CN" w:bidi="ar-SA"/>
              </w:rPr>
            </w:r>
            <w:r/>
          </w:p>
          <w:p>
            <w:pPr>
              <w:pStyle w:val="736"/>
              <w:jc w:val="both"/>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品牌（如有）：</w:t>
            </w:r>
            <w:r>
              <w:rPr>
                <w:rFonts w:hint="eastAsia" w:ascii="宋体" w:hAnsi="宋体" w:eastAsia="宋体" w:cs="宋体"/>
                <w:color w:val="000000"/>
                <w:sz w:val="21"/>
                <w:szCs w:val="22"/>
                <w:highlight w:val="none"/>
                <w:lang w:val="en-US" w:eastAsia="zh-CN" w:bidi="ar-SA"/>
              </w:rPr>
            </w:r>
            <w:r/>
          </w:p>
          <w:p>
            <w:pPr>
              <w:pStyle w:val="736"/>
              <w:jc w:val="both"/>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规格型号：</w:t>
            </w:r>
            <w:r>
              <w:rPr>
                <w:rFonts w:hint="eastAsia" w:ascii="宋体" w:hAnsi="宋体" w:eastAsia="宋体" w:cs="宋体"/>
                <w:color w:val="000000"/>
                <w:sz w:val="21"/>
                <w:szCs w:val="22"/>
                <w:highlight w:val="none"/>
                <w:lang w:val="en-US" w:eastAsia="zh-CN" w:bidi="ar-SA"/>
              </w:rPr>
            </w:r>
            <w:r/>
          </w:p>
          <w:p>
            <w:pPr>
              <w:pStyle w:val="736"/>
              <w:jc w:val="both"/>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数量：</w:t>
            </w:r>
            <w:r>
              <w:rPr>
                <w:rFonts w:hint="eastAsia" w:ascii="宋体" w:hAnsi="宋体" w:eastAsia="宋体" w:cs="宋体"/>
                <w:color w:val="000000"/>
                <w:sz w:val="21"/>
                <w:szCs w:val="22"/>
                <w:highlight w:val="none"/>
                <w:lang w:val="en-US" w:eastAsia="zh-CN" w:bidi="ar-SA"/>
              </w:rPr>
            </w:r>
            <w:r/>
          </w:p>
          <w:p>
            <w:pPr>
              <w:pStyle w:val="736"/>
              <w:jc w:val="both"/>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单价：</w:t>
            </w:r>
            <w:r>
              <w:rPr>
                <w:rFonts w:hint="eastAsia" w:ascii="宋体" w:hAnsi="宋体" w:eastAsia="宋体" w:cs="宋体"/>
                <w:color w:val="000000"/>
                <w:sz w:val="21"/>
                <w:szCs w:val="22"/>
                <w:highlight w:val="none"/>
                <w:lang w:val="en-US" w:eastAsia="zh-CN" w:bidi="ar-SA"/>
              </w:rPr>
            </w:r>
            <w:r/>
          </w:p>
        </w:tc>
        <w:tc>
          <w:tcPr>
            <w:tcW w:w="3780" w:type="dxa"/>
            <w:vAlign w:val="top"/>
            <w:textDirection w:val="lrTb"/>
            <w:noWrap w:val="false"/>
          </w:tcPr>
          <w:p>
            <w:pPr>
              <w:pStyle w:val="736"/>
              <w:jc w:val="both"/>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名称：</w:t>
            </w:r>
            <w:r>
              <w:rPr>
                <w:rFonts w:hint="eastAsia" w:ascii="宋体" w:hAnsi="宋体" w:eastAsia="宋体" w:cs="宋体"/>
                <w:color w:val="000000"/>
                <w:sz w:val="21"/>
                <w:szCs w:val="22"/>
                <w:highlight w:val="none"/>
                <w:lang w:val="en-US" w:eastAsia="zh-CN" w:bidi="ar-SA"/>
              </w:rPr>
            </w:r>
            <w:r/>
          </w:p>
          <w:p>
            <w:pPr>
              <w:pStyle w:val="736"/>
              <w:jc w:val="both"/>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服务范围：</w:t>
            </w:r>
            <w:r>
              <w:rPr>
                <w:rFonts w:hint="eastAsia" w:ascii="宋体" w:hAnsi="宋体" w:eastAsia="宋体" w:cs="宋体"/>
                <w:color w:val="000000"/>
                <w:sz w:val="21"/>
                <w:szCs w:val="22"/>
                <w:highlight w:val="none"/>
                <w:lang w:val="en-US" w:eastAsia="zh-CN" w:bidi="ar-SA"/>
              </w:rPr>
            </w:r>
            <w:r/>
          </w:p>
          <w:p>
            <w:pPr>
              <w:pStyle w:val="736"/>
              <w:jc w:val="both"/>
              <w:spacing w:line="360" w:lineRule="auto"/>
              <w:widowControl w:val="off"/>
              <w:rPr>
                <w:rFonts w:hint="eastAsia" w:ascii="宋体" w:hAnsi="宋体" w:eastAsia="宋体" w:cs="宋体"/>
                <w:color w:val="000000"/>
                <w:sz w:val="21"/>
                <w:szCs w:val="22"/>
                <w:highlight w:val="none"/>
                <w:u w:val="single"/>
                <w:lang w:val="en-US" w:eastAsia="zh-CN" w:bidi="ar-SA"/>
              </w:rPr>
            </w:pPr>
            <w:r>
              <w:rPr>
                <w:rFonts w:hint="eastAsia" w:ascii="宋体" w:hAnsi="宋体" w:eastAsia="宋体" w:cs="宋体"/>
                <w:color w:val="000000"/>
                <w:sz w:val="21"/>
                <w:szCs w:val="22"/>
                <w:highlight w:val="none"/>
                <w:lang w:val="en-US" w:eastAsia="zh-CN" w:bidi="ar-SA"/>
              </w:rPr>
              <w:t xml:space="preserve">服务要求：</w:t>
            </w:r>
            <w:r>
              <w:rPr>
                <w:rFonts w:hint="eastAsia" w:ascii="宋体" w:hAnsi="宋体" w:eastAsia="宋体" w:cs="宋体"/>
                <w:color w:val="000000"/>
                <w:sz w:val="21"/>
                <w:szCs w:val="22"/>
                <w:highlight w:val="none"/>
                <w:u w:val="single"/>
                <w:lang w:val="en-US" w:eastAsia="zh-CN" w:bidi="ar-SA"/>
              </w:rPr>
            </w:r>
            <w:r/>
          </w:p>
          <w:p>
            <w:pPr>
              <w:pStyle w:val="736"/>
              <w:jc w:val="both"/>
              <w:spacing w:line="360" w:lineRule="auto"/>
              <w:widowControl w:val="off"/>
              <w:rPr>
                <w:rFonts w:hint="eastAsia" w:ascii="宋体" w:hAnsi="宋体" w:eastAsia="宋体" w:cs="宋体"/>
                <w:color w:val="000000"/>
                <w:sz w:val="21"/>
                <w:szCs w:val="22"/>
                <w:highlight w:val="none"/>
                <w:u w:val="single"/>
                <w:lang w:val="en-US" w:eastAsia="zh-CN" w:bidi="ar-SA"/>
              </w:rPr>
            </w:pPr>
            <w:r>
              <w:rPr>
                <w:rFonts w:hint="eastAsia" w:ascii="宋体" w:hAnsi="宋体" w:eastAsia="宋体" w:cs="宋体"/>
                <w:color w:val="000000"/>
                <w:sz w:val="21"/>
                <w:szCs w:val="22"/>
                <w:highlight w:val="none"/>
                <w:lang w:val="en-US" w:eastAsia="zh-CN" w:bidi="ar-SA"/>
              </w:rPr>
              <w:t xml:space="preserve">服务时间：</w:t>
            </w:r>
            <w:r>
              <w:rPr>
                <w:rFonts w:hint="eastAsia" w:ascii="宋体" w:hAnsi="宋体" w:eastAsia="宋体" w:cs="宋体"/>
                <w:color w:val="000000"/>
                <w:sz w:val="21"/>
                <w:szCs w:val="22"/>
                <w:highlight w:val="none"/>
                <w:u w:val="single"/>
                <w:lang w:val="en-US" w:eastAsia="zh-CN" w:bidi="ar-SA"/>
              </w:rPr>
            </w:r>
            <w:r/>
          </w:p>
          <w:p>
            <w:pPr>
              <w:pStyle w:val="736"/>
              <w:jc w:val="both"/>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服务标准：</w:t>
            </w:r>
            <w:r>
              <w:rPr>
                <w:rFonts w:hint="eastAsia" w:ascii="宋体" w:hAnsi="宋体" w:eastAsia="宋体" w:cs="宋体"/>
                <w:color w:val="000000"/>
                <w:sz w:val="21"/>
                <w:szCs w:val="22"/>
                <w:highlight w:val="none"/>
                <w:lang w:val="en-US" w:eastAsia="zh-CN" w:bidi="ar-SA"/>
              </w:rPr>
            </w:r>
            <w:r/>
          </w:p>
        </w:tc>
      </w:tr>
    </w:tbl>
    <w:p>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Noto Sans CJK JP Regular">
    <w:panose1 w:val="020B0503020202020204"/>
  </w:font>
  <w:font w:name="Courier New">
    <w:panose1 w:val="02070309020205020404"/>
  </w:font>
  <w:font w:name="楷体_GB2312">
    <w:panose1 w:val="02010609060101010101"/>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等线">
    <w:panose1 w:val="02010600030101010101"/>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36"/>
                    </w:pPr>
                    <w:r/>
                    <w:r/>
                  </w:p>
                </w:txbxContent>
              </v:textbox>
            </v:shape>
          </w:pict>
        </mc:Fallback>
      </mc:AlternateContent>
    </w:r>
    <w:r/>
  </w:p>
  <w:p>
    <w:pPr>
      <w:pStyle w:val="95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both"/>
      <w:tabs>
        <w:tab w:val="center" w:pos="4153" w:leader="none"/>
        <w:tab w:val="right" w:pos="8306" w:leader="none"/>
      </w:tabs>
      <w:rPr>
        <w:rFonts w:hint="eastAsia" w:eastAsia="宋体"/>
        <w:lang w:eastAsia="zh-CN"/>
      </w:rPr>
    </w:pPr>
    <w:r>
      <w:rPr>
        <w:rFonts w:hint="eastAsia"/>
        <w:lang w:eastAsia="zh-CN"/>
      </w:rPr>
      <w:t xml:space="preserve">JSZC-321000-WCGC-G2026-0032号</w:t>
    </w:r>
    <w:r>
      <w:rPr>
        <w:rFonts w:hint="eastAsia"/>
      </w:rPr>
      <w:t xml:space="preserve">                                      </w:t>
    </w:r>
    <w:r>
      <w:rPr>
        <w:rFonts w:hint="eastAsia"/>
        <w:lang w:eastAsia="zh-CN"/>
      </w:rPr>
      <w:t xml:space="preserve">江苏唯诚建设咨询有限公司</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both"/>
      <w:tabs>
        <w:tab w:val="center" w:pos="4153" w:leader="none"/>
        <w:tab w:val="right" w:pos="8306" w:leader="none"/>
      </w:tabs>
      <w:rPr>
        <w:rFonts w:hint="eastAsia" w:eastAsia="宋体"/>
        <w:lang w:eastAsia="zh-CN"/>
      </w:rPr>
    </w:pPr>
    <w:r>
      <w:rPr>
        <w:rFonts w:hint="eastAsia"/>
        <w:lang w:eastAsia="zh-CN"/>
      </w:rPr>
      <w:t xml:space="preserve">JSZC-321000-WCGC-G2026-0032号</w:t>
    </w:r>
    <w:r>
      <w:tab/>
    </w:r>
    <w:r>
      <w:rPr>
        <w:rFonts w:hint="eastAsia"/>
      </w:rPr>
      <w:t xml:space="preserve">                                    </w:t>
    </w:r>
    <w:r>
      <w:rPr>
        <w:rFonts w:hint="eastAsia"/>
        <w:lang w:eastAsia="zh-CN"/>
      </w:rPr>
      <w:t xml:space="preserve">江苏唯诚建设咨询有限公司</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2"/>
      <w:numFmt w:val="decimal"/>
      <w:isLgl w:val="false"/>
      <w:suff w:val="nothing"/>
      <w:lvlText w:val="%1、"/>
      <w:lvlJc w:val="left"/>
      <w:pPr>
        <w:pStyle w:val="736"/>
      </w:pPr>
    </w:lvl>
    <w:lvl w:ilvl="1">
      <w:start w:val="1"/>
      <w:numFmt w:val="bullet"/>
      <w:isLgl w:val="false"/>
      <w:suff w:val="tab"/>
      <w:lvlText w:val="o"/>
      <w:lvlJc w:val="left"/>
      <w:pPr>
        <w:pStyle w:val="736"/>
        <w:ind w:left="1440" w:hanging="360"/>
      </w:pPr>
      <w:rPr>
        <w:rFonts w:ascii="Courier New" w:hAnsi="Courier New" w:eastAsia="Courier New" w:cs="Courier New"/>
      </w:rPr>
    </w:lvl>
    <w:lvl w:ilvl="2">
      <w:start w:val="1"/>
      <w:numFmt w:val="bullet"/>
      <w:isLgl w:val="false"/>
      <w:suff w:val="tab"/>
      <w:lvlText w:val="§"/>
      <w:lvlJc w:val="left"/>
      <w:pPr>
        <w:pStyle w:val="736"/>
        <w:ind w:left="2160" w:hanging="360"/>
      </w:pPr>
      <w:rPr>
        <w:rFonts w:ascii="Wingdings" w:hAnsi="Wingdings" w:eastAsia="Wingdings" w:cs="Wingdings"/>
      </w:rPr>
    </w:lvl>
    <w:lvl w:ilvl="3">
      <w:start w:val="1"/>
      <w:numFmt w:val="bullet"/>
      <w:isLgl w:val="false"/>
      <w:suff w:val="tab"/>
      <w:lvlText w:val="·"/>
      <w:lvlJc w:val="left"/>
      <w:pPr>
        <w:pStyle w:val="736"/>
        <w:ind w:left="2880" w:hanging="360"/>
      </w:pPr>
      <w:rPr>
        <w:rFonts w:ascii="Symbol" w:hAnsi="Symbol" w:eastAsia="Symbol" w:cs="Symbol"/>
      </w:rPr>
    </w:lvl>
    <w:lvl w:ilvl="4">
      <w:start w:val="1"/>
      <w:numFmt w:val="bullet"/>
      <w:isLgl w:val="false"/>
      <w:suff w:val="tab"/>
      <w:lvlText w:val="o"/>
      <w:lvlJc w:val="left"/>
      <w:pPr>
        <w:pStyle w:val="736"/>
        <w:ind w:left="3600" w:hanging="360"/>
      </w:pPr>
      <w:rPr>
        <w:rFonts w:ascii="Courier New" w:hAnsi="Courier New" w:eastAsia="Courier New" w:cs="Courier New"/>
      </w:rPr>
    </w:lvl>
    <w:lvl w:ilvl="5">
      <w:start w:val="1"/>
      <w:numFmt w:val="bullet"/>
      <w:isLgl w:val="false"/>
      <w:suff w:val="tab"/>
      <w:lvlText w:val="§"/>
      <w:lvlJc w:val="left"/>
      <w:pPr>
        <w:pStyle w:val="736"/>
        <w:ind w:left="4320" w:hanging="360"/>
      </w:pPr>
      <w:rPr>
        <w:rFonts w:ascii="Wingdings" w:hAnsi="Wingdings" w:eastAsia="Wingdings" w:cs="Wingdings"/>
      </w:rPr>
    </w:lvl>
    <w:lvl w:ilvl="6">
      <w:start w:val="1"/>
      <w:numFmt w:val="bullet"/>
      <w:isLgl w:val="false"/>
      <w:suff w:val="tab"/>
      <w:lvlText w:val="·"/>
      <w:lvlJc w:val="left"/>
      <w:pPr>
        <w:pStyle w:val="736"/>
        <w:ind w:left="5040" w:hanging="360"/>
      </w:pPr>
      <w:rPr>
        <w:rFonts w:ascii="Symbol" w:hAnsi="Symbol" w:eastAsia="Symbol" w:cs="Symbol"/>
      </w:rPr>
    </w:lvl>
    <w:lvl w:ilvl="7">
      <w:start w:val="1"/>
      <w:numFmt w:val="bullet"/>
      <w:isLgl w:val="false"/>
      <w:suff w:val="tab"/>
      <w:lvlText w:val="o"/>
      <w:lvlJc w:val="left"/>
      <w:pPr>
        <w:pStyle w:val="736"/>
        <w:ind w:left="5760" w:hanging="360"/>
      </w:pPr>
      <w:rPr>
        <w:rFonts w:ascii="Courier New" w:hAnsi="Courier New" w:eastAsia="Courier New" w:cs="Courier New"/>
      </w:rPr>
    </w:lvl>
    <w:lvl w:ilvl="8">
      <w:start w:val="1"/>
      <w:numFmt w:val="bullet"/>
      <w:isLgl w:val="false"/>
      <w:suff w:val="tab"/>
      <w:lvlText w:val="§"/>
      <w:lvlJc w:val="left"/>
      <w:pPr>
        <w:pStyle w:val="736"/>
        <w:ind w:left="6480" w:hanging="360"/>
      </w:pPr>
      <w:rPr>
        <w:rFonts w:ascii="Wingdings" w:hAnsi="Wingdings" w:eastAsia="Wingdings" w:cs="Wingdings"/>
      </w:rPr>
    </w:lvl>
  </w:abstractNum>
  <w:abstractNum w:abstractNumId="3">
    <w:multiLevelType w:val="hybridMultilevel"/>
    <w:lvl w:ilvl="0">
      <w:start w:val="1"/>
      <w:numFmt w:val="decimal"/>
      <w:pStyle w:val="980"/>
      <w:isLgl w:val="false"/>
      <w:suff w:val="nothing"/>
      <w:lvlText w:val="（%1）"/>
      <w:lvlJc w:val="left"/>
      <w:pPr>
        <w:pStyle w:val="736"/>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pStyle w:val="736"/>
        <w:ind w:left="1413" w:firstLine="0"/>
      </w:pPr>
      <w:rPr>
        <w:rFonts w:hint="eastAsia"/>
      </w:rPr>
    </w:lvl>
    <w:lvl w:ilvl="2">
      <w:start w:val="1"/>
      <w:numFmt w:val="lowerRoman"/>
      <w:isLgl w:val="false"/>
      <w:suff w:val="tab"/>
      <w:lvlText w:val="%3."/>
      <w:lvlJc w:val="right"/>
      <w:pPr>
        <w:pStyle w:val="736"/>
        <w:ind w:left="1833" w:firstLine="0"/>
      </w:pPr>
      <w:rPr>
        <w:rFonts w:hint="eastAsia"/>
      </w:rPr>
    </w:lvl>
    <w:lvl w:ilvl="3">
      <w:start w:val="1"/>
      <w:numFmt w:val="decimal"/>
      <w:isLgl w:val="false"/>
      <w:suff w:val="tab"/>
      <w:lvlText w:val="%4）"/>
      <w:lvlJc w:val="left"/>
      <w:pPr>
        <w:pStyle w:val="736"/>
        <w:ind w:left="2253" w:firstLine="0"/>
      </w:pPr>
      <w:rPr>
        <w:rFonts w:hint="eastAsia"/>
      </w:rPr>
    </w:lvl>
    <w:lvl w:ilvl="4">
      <w:start w:val="1"/>
      <w:numFmt w:val="lowerLetter"/>
      <w:isLgl w:val="false"/>
      <w:suff w:val="tab"/>
      <w:lvlText w:val="%5)"/>
      <w:lvlJc w:val="left"/>
      <w:pPr>
        <w:pStyle w:val="736"/>
        <w:ind w:left="2673" w:firstLine="0"/>
      </w:pPr>
      <w:rPr>
        <w:rFonts w:hint="eastAsia"/>
      </w:rPr>
    </w:lvl>
    <w:lvl w:ilvl="5">
      <w:start w:val="1"/>
      <w:numFmt w:val="lowerRoman"/>
      <w:isLgl w:val="false"/>
      <w:suff w:val="tab"/>
      <w:lvlText w:val="%6."/>
      <w:lvlJc w:val="right"/>
      <w:pPr>
        <w:pStyle w:val="736"/>
        <w:ind w:left="3093" w:firstLine="0"/>
      </w:pPr>
      <w:rPr>
        <w:rFonts w:hint="eastAsia"/>
      </w:rPr>
    </w:lvl>
    <w:lvl w:ilvl="6">
      <w:start w:val="1"/>
      <w:numFmt w:val="decimal"/>
      <w:isLgl w:val="false"/>
      <w:suff w:val="tab"/>
      <w:lvlText w:val="%7."/>
      <w:lvlJc w:val="left"/>
      <w:pPr>
        <w:pStyle w:val="736"/>
        <w:ind w:left="3513" w:firstLine="0"/>
      </w:pPr>
      <w:rPr>
        <w:rFonts w:hint="eastAsia"/>
      </w:rPr>
    </w:lvl>
    <w:lvl w:ilvl="7">
      <w:start w:val="1"/>
      <w:numFmt w:val="lowerLetter"/>
      <w:isLgl w:val="false"/>
      <w:suff w:val="tab"/>
      <w:lvlText w:val="%8)"/>
      <w:lvlJc w:val="left"/>
      <w:pPr>
        <w:pStyle w:val="736"/>
        <w:ind w:left="3933" w:firstLine="0"/>
      </w:pPr>
      <w:rPr>
        <w:rFonts w:hint="eastAsia"/>
      </w:rPr>
    </w:lvl>
    <w:lvl w:ilvl="8">
      <w:start w:val="1"/>
      <w:numFmt w:val="lowerRoman"/>
      <w:isLgl w:val="false"/>
      <w:suff w:val="tab"/>
      <w:lvlText w:val="%9."/>
      <w:lvlJc w:val="right"/>
      <w:pPr>
        <w:pStyle w:val="736"/>
        <w:ind w:left="4353" w:firstLine="0"/>
      </w:pPr>
      <w:rPr>
        <w:rFonts w:hint="eastAsia"/>
      </w:rPr>
    </w:lvl>
  </w:abstractNum>
  <w:abstractNum w:abstractNumId="4">
    <w:multiLevelType w:val="hybridMultilevel"/>
    <w:lvl w:ilvl="0">
      <w:start w:val="1"/>
      <w:numFmt w:val="decimal"/>
      <w:isLgl w:val="false"/>
      <w:suff w:val="nothing"/>
      <w:lvlText w:val="（%1）"/>
      <w:lvlJc w:val="left"/>
      <w:pPr>
        <w:pStyle w:val="7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pStyle w:val="736"/>
      </w:pPr>
      <w:rPr>
        <w:rFonts w:hint="eastAsia"/>
      </w:rPr>
    </w:lvl>
    <w:lvl w:ilvl="1">
      <w:start w:val="1"/>
      <w:numFmt w:val="bullet"/>
      <w:isLgl w:val="false"/>
      <w:suff w:val="tab"/>
      <w:lvlText w:val="o"/>
      <w:lvlJc w:val="left"/>
      <w:pPr>
        <w:pStyle w:val="736"/>
        <w:ind w:left="1440" w:hanging="360"/>
      </w:pPr>
      <w:rPr>
        <w:rFonts w:ascii="Courier New" w:hAnsi="Courier New" w:eastAsia="Courier New" w:cs="Courier New"/>
      </w:rPr>
    </w:lvl>
    <w:lvl w:ilvl="2">
      <w:start w:val="1"/>
      <w:numFmt w:val="bullet"/>
      <w:isLgl w:val="false"/>
      <w:suff w:val="tab"/>
      <w:lvlText w:val="§"/>
      <w:lvlJc w:val="left"/>
      <w:pPr>
        <w:pStyle w:val="736"/>
        <w:ind w:left="2160" w:hanging="360"/>
      </w:pPr>
      <w:rPr>
        <w:rFonts w:ascii="Wingdings" w:hAnsi="Wingdings" w:eastAsia="Wingdings" w:cs="Wingdings"/>
      </w:rPr>
    </w:lvl>
    <w:lvl w:ilvl="3">
      <w:start w:val="1"/>
      <w:numFmt w:val="bullet"/>
      <w:isLgl w:val="false"/>
      <w:suff w:val="tab"/>
      <w:lvlText w:val="·"/>
      <w:lvlJc w:val="left"/>
      <w:pPr>
        <w:pStyle w:val="736"/>
        <w:ind w:left="2880" w:hanging="360"/>
      </w:pPr>
      <w:rPr>
        <w:rFonts w:ascii="Symbol" w:hAnsi="Symbol" w:eastAsia="Symbol" w:cs="Symbol"/>
      </w:rPr>
    </w:lvl>
    <w:lvl w:ilvl="4">
      <w:start w:val="1"/>
      <w:numFmt w:val="bullet"/>
      <w:isLgl w:val="false"/>
      <w:suff w:val="tab"/>
      <w:lvlText w:val="o"/>
      <w:lvlJc w:val="left"/>
      <w:pPr>
        <w:pStyle w:val="736"/>
        <w:ind w:left="3600" w:hanging="360"/>
      </w:pPr>
      <w:rPr>
        <w:rFonts w:ascii="Courier New" w:hAnsi="Courier New" w:eastAsia="Courier New" w:cs="Courier New"/>
      </w:rPr>
    </w:lvl>
    <w:lvl w:ilvl="5">
      <w:start w:val="1"/>
      <w:numFmt w:val="bullet"/>
      <w:isLgl w:val="false"/>
      <w:suff w:val="tab"/>
      <w:lvlText w:val="§"/>
      <w:lvlJc w:val="left"/>
      <w:pPr>
        <w:pStyle w:val="736"/>
        <w:ind w:left="4320" w:hanging="360"/>
      </w:pPr>
      <w:rPr>
        <w:rFonts w:ascii="Wingdings" w:hAnsi="Wingdings" w:eastAsia="Wingdings" w:cs="Wingdings"/>
      </w:rPr>
    </w:lvl>
    <w:lvl w:ilvl="6">
      <w:start w:val="1"/>
      <w:numFmt w:val="bullet"/>
      <w:isLgl w:val="false"/>
      <w:suff w:val="tab"/>
      <w:lvlText w:val="·"/>
      <w:lvlJc w:val="left"/>
      <w:pPr>
        <w:pStyle w:val="736"/>
        <w:ind w:left="5040" w:hanging="360"/>
      </w:pPr>
      <w:rPr>
        <w:rFonts w:ascii="Symbol" w:hAnsi="Symbol" w:eastAsia="Symbol" w:cs="Symbol"/>
      </w:rPr>
    </w:lvl>
    <w:lvl w:ilvl="7">
      <w:start w:val="1"/>
      <w:numFmt w:val="bullet"/>
      <w:isLgl w:val="false"/>
      <w:suff w:val="tab"/>
      <w:lvlText w:val="o"/>
      <w:lvlJc w:val="left"/>
      <w:pPr>
        <w:pStyle w:val="736"/>
        <w:ind w:left="5760" w:hanging="360"/>
      </w:pPr>
      <w:rPr>
        <w:rFonts w:ascii="Courier New" w:hAnsi="Courier New" w:eastAsia="Courier New" w:cs="Courier New"/>
      </w:rPr>
    </w:lvl>
    <w:lvl w:ilvl="8">
      <w:start w:val="1"/>
      <w:numFmt w:val="bullet"/>
      <w:isLgl w:val="false"/>
      <w:suff w:val="tab"/>
      <w:lvlText w:val="§"/>
      <w:lvlJc w:val="left"/>
      <w:pPr>
        <w:pStyle w:val="736"/>
        <w:ind w:left="6480" w:hanging="360"/>
      </w:pPr>
      <w:rPr>
        <w:rFonts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Title"/>
    <w:basedOn w:val="736"/>
    <w:next w:val="736"/>
    <w:link w:val="767"/>
    <w:uiPriority w:val="10"/>
    <w:qFormat/>
    <w:pPr>
      <w:contextualSpacing/>
      <w:spacing w:before="300" w:after="200"/>
    </w:pPr>
    <w:rPr>
      <w:sz w:val="48"/>
      <w:szCs w:val="48"/>
    </w:rPr>
  </w:style>
  <w:style w:type="paragraph" w:styleId="716">
    <w:name w:val="Subtitle"/>
    <w:basedOn w:val="736"/>
    <w:next w:val="736"/>
    <w:link w:val="757"/>
    <w:uiPriority w:val="11"/>
    <w:qFormat/>
    <w:pPr>
      <w:spacing w:before="200" w:after="200"/>
    </w:pPr>
    <w:rPr>
      <w:sz w:val="24"/>
      <w:szCs w:val="24"/>
    </w:rPr>
  </w:style>
  <w:style w:type="paragraph" w:styleId="717">
    <w:name w:val="Header"/>
    <w:basedOn w:val="736"/>
    <w:link w:val="800"/>
    <w:uiPriority w:val="99"/>
    <w:unhideWhenUsed/>
    <w:pPr>
      <w:spacing w:after="0" w:line="240" w:lineRule="auto"/>
      <w:tabs>
        <w:tab w:val="center" w:pos="7143" w:leader="none"/>
        <w:tab w:val="right" w:pos="14287" w:leader="none"/>
      </w:tabs>
    </w:pPr>
  </w:style>
  <w:style w:type="paragraph" w:styleId="718">
    <w:name w:val="Footer"/>
    <w:basedOn w:val="736"/>
    <w:link w:val="797"/>
    <w:uiPriority w:val="99"/>
    <w:unhideWhenUsed/>
    <w:pPr>
      <w:spacing w:after="0" w:line="240" w:lineRule="auto"/>
      <w:tabs>
        <w:tab w:val="center" w:pos="7143" w:leader="none"/>
        <w:tab w:val="right" w:pos="14287" w:leader="none"/>
      </w:tabs>
    </w:pPr>
  </w:style>
  <w:style w:type="paragraph" w:styleId="719">
    <w:name w:val="Caption"/>
    <w:basedOn w:val="736"/>
    <w:next w:val="736"/>
    <w:uiPriority w:val="35"/>
    <w:semiHidden/>
    <w:unhideWhenUsed/>
    <w:qFormat/>
    <w:pPr>
      <w:spacing w:line="276" w:lineRule="auto"/>
    </w:pPr>
    <w:rPr>
      <w:b/>
      <w:bCs/>
      <w:color w:val="4f81bd" w:themeColor="accent1"/>
      <w:sz w:val="18"/>
      <w:szCs w:val="18"/>
    </w:rPr>
  </w:style>
  <w:style w:type="table" w:styleId="7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Hyperlink"/>
    <w:uiPriority w:val="99"/>
    <w:unhideWhenUsed/>
    <w:rPr>
      <w:color w:val="0000ff" w:themeColor="hyperlink"/>
      <w:u w:val="single"/>
    </w:rPr>
  </w:style>
  <w:style w:type="paragraph" w:styleId="722">
    <w:name w:val="footnote text"/>
    <w:basedOn w:val="736"/>
    <w:link w:val="759"/>
    <w:uiPriority w:val="99"/>
    <w:semiHidden/>
    <w:unhideWhenUsed/>
    <w:pPr>
      <w:spacing w:after="40" w:line="240" w:lineRule="auto"/>
    </w:pPr>
    <w:rPr>
      <w:sz w:val="18"/>
    </w:rPr>
  </w:style>
  <w:style w:type="character" w:styleId="723">
    <w:name w:val="footnote reference"/>
    <w:uiPriority w:val="99"/>
    <w:unhideWhenUsed/>
    <w:rPr>
      <w:vertAlign w:val="superscript"/>
    </w:rPr>
  </w:style>
  <w:style w:type="paragraph" w:styleId="724">
    <w:name w:val="endnote text"/>
    <w:basedOn w:val="736"/>
    <w:link w:val="752"/>
    <w:uiPriority w:val="99"/>
    <w:semiHidden/>
    <w:unhideWhenUsed/>
    <w:pPr>
      <w:spacing w:after="0" w:line="240" w:lineRule="auto"/>
    </w:pPr>
    <w:rPr>
      <w:sz w:val="20"/>
    </w:rPr>
  </w:style>
  <w:style w:type="character" w:styleId="725">
    <w:name w:val="endnote reference"/>
    <w:uiPriority w:val="99"/>
    <w:semiHidden/>
    <w:unhideWhenUsed/>
    <w:rPr>
      <w:vertAlign w:val="superscript"/>
    </w:rPr>
  </w:style>
  <w:style w:type="paragraph" w:styleId="726">
    <w:name w:val="toc 1"/>
    <w:basedOn w:val="736"/>
    <w:next w:val="736"/>
    <w:uiPriority w:val="39"/>
    <w:unhideWhenUsed/>
    <w:pPr>
      <w:ind w:left="0" w:right="0" w:firstLine="0"/>
      <w:spacing w:after="57"/>
    </w:pPr>
  </w:style>
  <w:style w:type="paragraph" w:styleId="727">
    <w:name w:val="toc 2"/>
    <w:basedOn w:val="736"/>
    <w:next w:val="736"/>
    <w:uiPriority w:val="39"/>
    <w:unhideWhenUsed/>
    <w:pPr>
      <w:ind w:left="283" w:right="0" w:firstLine="0"/>
      <w:spacing w:after="57"/>
    </w:pPr>
  </w:style>
  <w:style w:type="paragraph" w:styleId="728">
    <w:name w:val="toc 3"/>
    <w:basedOn w:val="736"/>
    <w:next w:val="736"/>
    <w:uiPriority w:val="39"/>
    <w:unhideWhenUsed/>
    <w:pPr>
      <w:ind w:left="567" w:right="0" w:firstLine="0"/>
      <w:spacing w:after="57"/>
    </w:pPr>
  </w:style>
  <w:style w:type="paragraph" w:styleId="729">
    <w:name w:val="toc 4"/>
    <w:basedOn w:val="736"/>
    <w:next w:val="736"/>
    <w:uiPriority w:val="39"/>
    <w:unhideWhenUsed/>
    <w:pPr>
      <w:ind w:left="850" w:right="0" w:firstLine="0"/>
      <w:spacing w:after="57"/>
    </w:pPr>
  </w:style>
  <w:style w:type="paragraph" w:styleId="730">
    <w:name w:val="toc 5"/>
    <w:basedOn w:val="736"/>
    <w:next w:val="736"/>
    <w:uiPriority w:val="39"/>
    <w:unhideWhenUsed/>
    <w:pPr>
      <w:ind w:left="1134" w:right="0" w:firstLine="0"/>
      <w:spacing w:after="57"/>
    </w:pPr>
  </w:style>
  <w:style w:type="paragraph" w:styleId="731">
    <w:name w:val="toc 6"/>
    <w:basedOn w:val="736"/>
    <w:next w:val="736"/>
    <w:uiPriority w:val="39"/>
    <w:unhideWhenUsed/>
    <w:pPr>
      <w:ind w:left="1417" w:right="0" w:firstLine="0"/>
      <w:spacing w:after="57"/>
    </w:pPr>
  </w:style>
  <w:style w:type="paragraph" w:styleId="732">
    <w:name w:val="toc 7"/>
    <w:basedOn w:val="736"/>
    <w:next w:val="736"/>
    <w:uiPriority w:val="39"/>
    <w:unhideWhenUsed/>
    <w:pPr>
      <w:ind w:left="1701" w:right="0" w:firstLine="0"/>
      <w:spacing w:after="57"/>
    </w:pPr>
  </w:style>
  <w:style w:type="paragraph" w:styleId="733">
    <w:name w:val="toc 8"/>
    <w:basedOn w:val="736"/>
    <w:next w:val="736"/>
    <w:uiPriority w:val="39"/>
    <w:unhideWhenUsed/>
    <w:pPr>
      <w:ind w:left="1984" w:right="0" w:firstLine="0"/>
      <w:spacing w:after="57"/>
    </w:pPr>
  </w:style>
  <w:style w:type="paragraph" w:styleId="734">
    <w:name w:val="toc 9"/>
    <w:basedOn w:val="736"/>
    <w:next w:val="736"/>
    <w:uiPriority w:val="39"/>
    <w:unhideWhenUsed/>
    <w:pPr>
      <w:ind w:left="2268" w:right="0" w:firstLine="0"/>
      <w:spacing w:after="57"/>
    </w:pPr>
  </w:style>
  <w:style w:type="paragraph" w:styleId="735">
    <w:name w:val="table of figures"/>
    <w:basedOn w:val="736"/>
    <w:next w:val="736"/>
    <w:uiPriority w:val="99"/>
    <w:unhideWhenUsed/>
    <w:pPr>
      <w:spacing w:after="0" w:afterAutospacing="0"/>
    </w:pPr>
  </w:style>
  <w:style w:type="paragraph" w:styleId="736" w:default="1">
    <w:name w:val="Normal"/>
    <w:next w:val="736"/>
    <w:link w:val="736"/>
    <w:qFormat/>
    <w:pPr>
      <w:jc w:val="both"/>
      <w:widowControl w:val="off"/>
    </w:pPr>
    <w:rPr>
      <w:rFonts w:ascii="Calibri" w:hAnsi="Calibri"/>
      <w:sz w:val="21"/>
      <w:szCs w:val="22"/>
      <w:lang w:eastAsia="zh-CN"/>
    </w:rPr>
  </w:style>
  <w:style w:type="paragraph" w:styleId="737">
    <w:name w:val="标题 2"/>
    <w:basedOn w:val="736"/>
    <w:next w:val="736"/>
    <w:link w:val="736"/>
    <w:unhideWhenUsed/>
    <w:qFormat/>
    <w:pPr>
      <w:jc w:val="left"/>
      <w:spacing w:beforeAutospacing="1" w:afterAutospacing="1"/>
      <w:outlineLvl w:val="1"/>
    </w:pPr>
    <w:rPr>
      <w:rFonts w:hint="eastAsia" w:ascii="宋体" w:hAnsi="宋体" w:eastAsia="宋体" w:cs="Times New Roman"/>
      <w:b/>
      <w:bCs/>
      <w:sz w:val="36"/>
      <w:szCs w:val="36"/>
    </w:rPr>
  </w:style>
  <w:style w:type="paragraph" w:styleId="738">
    <w:name w:val="标题 3"/>
    <w:basedOn w:val="736"/>
    <w:next w:val="736"/>
    <w:link w:val="736"/>
    <w:unhideWhenUsed/>
    <w:qFormat/>
    <w:pPr>
      <w:jc w:val="left"/>
      <w:spacing w:beforeAutospacing="1" w:afterAutospacing="1"/>
      <w:outlineLvl w:val="2"/>
    </w:pPr>
    <w:rPr>
      <w:rFonts w:hint="eastAsia" w:ascii="宋体" w:hAnsi="宋体" w:eastAsia="宋体" w:cs="Times New Roman"/>
      <w:b/>
      <w:bCs/>
      <w:sz w:val="27"/>
      <w:szCs w:val="27"/>
    </w:rPr>
  </w:style>
  <w:style w:type="character" w:styleId="739">
    <w:name w:val="默认段落字体"/>
    <w:next w:val="739"/>
    <w:link w:val="736"/>
    <w:uiPriority w:val="1"/>
    <w:unhideWhenUsed/>
    <w:qFormat/>
  </w:style>
  <w:style w:type="table" w:styleId="740">
    <w:name w:val="普通表格"/>
    <w:next w:val="740"/>
    <w:link w:val="736"/>
    <w:uiPriority w:val="99"/>
    <w:unhideWhenUsed/>
    <w:qFormat/>
    <w:tblPr/>
  </w:style>
  <w:style w:type="paragraph" w:styleId="741">
    <w:name w:val="目录 7"/>
    <w:basedOn w:val="736"/>
    <w:next w:val="736"/>
    <w:link w:val="736"/>
    <w:uiPriority w:val="39"/>
    <w:unhideWhenUsed/>
    <w:qFormat/>
    <w:pPr>
      <w:ind w:left="1701" w:right="0" w:firstLine="0"/>
      <w:spacing w:after="57"/>
    </w:pPr>
  </w:style>
  <w:style w:type="paragraph" w:styleId="742">
    <w:name w:val="引文目录"/>
    <w:basedOn w:val="736"/>
    <w:next w:val="736"/>
    <w:link w:val="736"/>
    <w:qFormat/>
    <w:pPr>
      <w:ind w:left="420"/>
    </w:pPr>
  </w:style>
  <w:style w:type="paragraph" w:styleId="743">
    <w:name w:val="正文缩进"/>
    <w:basedOn w:val="736"/>
    <w:next w:val="743"/>
    <w:link w:val="736"/>
    <w:uiPriority w:val="99"/>
    <w:unhideWhenUsed/>
    <w:qFormat/>
    <w:pPr>
      <w:ind w:firstLine="420"/>
    </w:pPr>
  </w:style>
  <w:style w:type="paragraph" w:styleId="744">
    <w:name w:val="批注文字"/>
    <w:basedOn w:val="736"/>
    <w:next w:val="744"/>
    <w:link w:val="736"/>
    <w:uiPriority w:val="99"/>
    <w:unhideWhenUsed/>
    <w:qFormat/>
    <w:pPr>
      <w:jc w:val="left"/>
    </w:pPr>
  </w:style>
  <w:style w:type="paragraph" w:styleId="745">
    <w:name w:val="正文文本"/>
    <w:basedOn w:val="736"/>
    <w:next w:val="745"/>
    <w:link w:val="736"/>
    <w:qFormat/>
    <w:pPr>
      <w:spacing w:after="120"/>
    </w:pPr>
    <w:rPr>
      <w:szCs w:val="24"/>
    </w:rPr>
  </w:style>
  <w:style w:type="paragraph" w:styleId="746">
    <w:name w:val="正文文本缩进"/>
    <w:basedOn w:val="736"/>
    <w:next w:val="746"/>
    <w:link w:val="736"/>
    <w:qFormat/>
    <w:pPr>
      <w:ind w:left="420"/>
      <w:spacing w:after="120"/>
    </w:pPr>
    <w:rPr>
      <w:rFonts w:ascii="等线" w:hAnsi="等线" w:eastAsia="等线"/>
    </w:rPr>
  </w:style>
  <w:style w:type="paragraph" w:styleId="747">
    <w:name w:val="目录 5"/>
    <w:basedOn w:val="736"/>
    <w:next w:val="736"/>
    <w:link w:val="736"/>
    <w:uiPriority w:val="39"/>
    <w:unhideWhenUsed/>
    <w:qFormat/>
    <w:pPr>
      <w:ind w:left="1134" w:right="0" w:firstLine="0"/>
      <w:spacing w:after="57"/>
    </w:pPr>
  </w:style>
  <w:style w:type="paragraph" w:styleId="748">
    <w:name w:val="目录 3"/>
    <w:basedOn w:val="736"/>
    <w:next w:val="736"/>
    <w:link w:val="736"/>
    <w:uiPriority w:val="39"/>
    <w:unhideWhenUsed/>
    <w:qFormat/>
    <w:pPr>
      <w:ind w:left="567" w:right="0" w:firstLine="0"/>
      <w:spacing w:after="57"/>
    </w:pPr>
  </w:style>
  <w:style w:type="paragraph" w:styleId="749">
    <w:name w:val="目录 8"/>
    <w:basedOn w:val="736"/>
    <w:next w:val="736"/>
    <w:link w:val="736"/>
    <w:uiPriority w:val="39"/>
    <w:unhideWhenUsed/>
    <w:qFormat/>
    <w:pPr>
      <w:ind w:left="1984" w:right="0" w:firstLine="0"/>
      <w:spacing w:after="57"/>
    </w:pPr>
  </w:style>
  <w:style w:type="paragraph" w:styleId="750">
    <w:name w:val="正文文本缩进 2"/>
    <w:basedOn w:val="736"/>
    <w:next w:val="750"/>
    <w:link w:val="736"/>
    <w:qFormat/>
    <w:pPr>
      <w:ind w:left="640"/>
      <w:spacing w:after="120" w:line="480" w:lineRule="auto"/>
    </w:pPr>
    <w:rPr>
      <w:rFonts w:eastAsia="仿宋_GB2312"/>
      <w:sz w:val="32"/>
      <w:szCs w:val="28"/>
    </w:rPr>
  </w:style>
  <w:style w:type="paragraph" w:styleId="751">
    <w:name w:val="尾注文本"/>
    <w:basedOn w:val="736"/>
    <w:next w:val="751"/>
    <w:link w:val="752"/>
    <w:uiPriority w:val="99"/>
    <w:unhideWhenUsed/>
    <w:qFormat/>
    <w:pPr>
      <w:spacing w:after="0" w:line="240" w:lineRule="auto"/>
    </w:pPr>
    <w:rPr>
      <w:sz w:val="20"/>
    </w:rPr>
  </w:style>
  <w:style w:type="character" w:styleId="752">
    <w:name w:val="Endnote Text Char"/>
    <w:next w:val="752"/>
    <w:link w:val="751"/>
    <w:uiPriority w:val="99"/>
    <w:qFormat/>
    <w:rPr>
      <w:sz w:val="20"/>
    </w:rPr>
  </w:style>
  <w:style w:type="paragraph" w:styleId="753">
    <w:name w:val="页脚"/>
    <w:basedOn w:val="736"/>
    <w:next w:val="753"/>
    <w:link w:val="736"/>
    <w:uiPriority w:val="99"/>
    <w:unhideWhenUsed/>
    <w:pPr>
      <w:jc w:val="left"/>
      <w:tabs>
        <w:tab w:val="center" w:pos="4153" w:leader="none"/>
        <w:tab w:val="right" w:pos="8306" w:leader="none"/>
      </w:tabs>
    </w:pPr>
    <w:rPr>
      <w:sz w:val="18"/>
    </w:rPr>
  </w:style>
  <w:style w:type="paragraph" w:styleId="754">
    <w:name w:val="目录 1"/>
    <w:basedOn w:val="736"/>
    <w:next w:val="736"/>
    <w:link w:val="736"/>
    <w:uiPriority w:val="39"/>
    <w:unhideWhenUsed/>
    <w:qFormat/>
    <w:pPr>
      <w:ind w:left="0" w:right="0" w:firstLine="0"/>
      <w:spacing w:after="57"/>
    </w:pPr>
  </w:style>
  <w:style w:type="paragraph" w:styleId="755">
    <w:name w:val="目录 4"/>
    <w:basedOn w:val="736"/>
    <w:next w:val="736"/>
    <w:link w:val="736"/>
    <w:uiPriority w:val="39"/>
    <w:unhideWhenUsed/>
    <w:qFormat/>
    <w:pPr>
      <w:ind w:left="850" w:right="0" w:firstLine="0"/>
      <w:spacing w:after="57"/>
    </w:pPr>
  </w:style>
  <w:style w:type="paragraph" w:styleId="756">
    <w:name w:val="副标题"/>
    <w:basedOn w:val="736"/>
    <w:next w:val="736"/>
    <w:link w:val="757"/>
    <w:uiPriority w:val="11"/>
    <w:qFormat/>
    <w:pPr>
      <w:spacing w:before="200" w:after="200"/>
    </w:pPr>
    <w:rPr>
      <w:sz w:val="24"/>
      <w:szCs w:val="24"/>
    </w:rPr>
  </w:style>
  <w:style w:type="character" w:styleId="757">
    <w:name w:val="Subtitle Char"/>
    <w:next w:val="757"/>
    <w:link w:val="756"/>
    <w:uiPriority w:val="11"/>
    <w:qFormat/>
    <w:rPr>
      <w:sz w:val="24"/>
      <w:szCs w:val="24"/>
    </w:rPr>
  </w:style>
  <w:style w:type="paragraph" w:styleId="758">
    <w:name w:val="脚注文本"/>
    <w:basedOn w:val="736"/>
    <w:next w:val="758"/>
    <w:link w:val="759"/>
    <w:uiPriority w:val="99"/>
    <w:unhideWhenUsed/>
    <w:qFormat/>
    <w:pPr>
      <w:spacing w:after="40" w:line="240" w:lineRule="auto"/>
    </w:pPr>
    <w:rPr>
      <w:sz w:val="18"/>
    </w:rPr>
  </w:style>
  <w:style w:type="character" w:styleId="759">
    <w:name w:val="Footnote Text Char"/>
    <w:next w:val="759"/>
    <w:link w:val="758"/>
    <w:uiPriority w:val="99"/>
    <w:qFormat/>
    <w:rPr>
      <w:sz w:val="18"/>
    </w:rPr>
  </w:style>
  <w:style w:type="paragraph" w:styleId="760">
    <w:name w:val="目录 6"/>
    <w:basedOn w:val="736"/>
    <w:next w:val="736"/>
    <w:link w:val="736"/>
    <w:uiPriority w:val="39"/>
    <w:unhideWhenUsed/>
    <w:qFormat/>
    <w:pPr>
      <w:ind w:left="1417" w:right="0" w:firstLine="0"/>
      <w:spacing w:after="57"/>
    </w:pPr>
  </w:style>
  <w:style w:type="paragraph" w:styleId="761">
    <w:name w:val="图表目录"/>
    <w:basedOn w:val="736"/>
    <w:next w:val="736"/>
    <w:link w:val="736"/>
    <w:uiPriority w:val="99"/>
    <w:unhideWhenUsed/>
    <w:qFormat/>
    <w:pPr>
      <w:spacing w:after="0" w:afterAutospacing="0"/>
    </w:pPr>
  </w:style>
  <w:style w:type="paragraph" w:styleId="762">
    <w:name w:val="目录 2"/>
    <w:basedOn w:val="736"/>
    <w:next w:val="736"/>
    <w:link w:val="736"/>
    <w:uiPriority w:val="39"/>
    <w:unhideWhenUsed/>
    <w:qFormat/>
    <w:pPr>
      <w:ind w:left="283" w:right="0" w:firstLine="0"/>
      <w:spacing w:after="57"/>
    </w:pPr>
  </w:style>
  <w:style w:type="paragraph" w:styleId="763">
    <w:name w:val="目录 9"/>
    <w:basedOn w:val="736"/>
    <w:next w:val="736"/>
    <w:link w:val="736"/>
    <w:uiPriority w:val="39"/>
    <w:unhideWhenUsed/>
    <w:qFormat/>
    <w:pPr>
      <w:ind w:left="2268" w:right="0" w:firstLine="0"/>
      <w:spacing w:after="57"/>
    </w:pPr>
  </w:style>
  <w:style w:type="paragraph" w:styleId="764">
    <w:name w:val="普通(网站)"/>
    <w:basedOn w:val="736"/>
    <w:next w:val="764"/>
    <w:link w:val="736"/>
    <w:uiPriority w:val="99"/>
    <w:unhideWhenUsed/>
    <w:qFormat/>
    <w:pPr>
      <w:ind w:left="0" w:right="0"/>
      <w:jc w:val="left"/>
      <w:spacing w:before="100" w:beforeAutospacing="1" w:after="100" w:afterAutospacing="1"/>
    </w:pPr>
    <w:rPr>
      <w:sz w:val="24"/>
      <w:lang w:val="en-US" w:eastAsia="zh-CN" w:bidi="ar"/>
    </w:rPr>
  </w:style>
  <w:style w:type="paragraph" w:styleId="765">
    <w:name w:val="索引 1"/>
    <w:basedOn w:val="736"/>
    <w:next w:val="736"/>
    <w:link w:val="736"/>
    <w:qFormat/>
    <w:rPr>
      <w:rFonts w:ascii="仿宋_GB2312" w:hAnsi="宋体" w:eastAsia="仿宋_GB2312" w:cs="宋体"/>
      <w:position w:val="0"/>
      <w:sz w:val="30"/>
      <w:szCs w:val="24"/>
      <w:lang w:val="zh-CN"/>
    </w:rPr>
  </w:style>
  <w:style w:type="paragraph" w:styleId="766">
    <w:name w:val="标题"/>
    <w:basedOn w:val="736"/>
    <w:next w:val="736"/>
    <w:link w:val="767"/>
    <w:uiPriority w:val="10"/>
    <w:qFormat/>
    <w:pPr>
      <w:contextualSpacing/>
      <w:spacing w:before="300" w:after="200"/>
    </w:pPr>
    <w:rPr>
      <w:sz w:val="48"/>
      <w:szCs w:val="48"/>
    </w:rPr>
  </w:style>
  <w:style w:type="character" w:styleId="767">
    <w:name w:val="Title Char"/>
    <w:next w:val="767"/>
    <w:link w:val="766"/>
    <w:uiPriority w:val="10"/>
    <w:qFormat/>
    <w:rPr>
      <w:sz w:val="48"/>
      <w:szCs w:val="48"/>
    </w:rPr>
  </w:style>
  <w:style w:type="paragraph" w:styleId="768">
    <w:name w:val="正文首行缩进"/>
    <w:basedOn w:val="745"/>
    <w:next w:val="768"/>
    <w:link w:val="736"/>
    <w:uiPriority w:val="99"/>
    <w:unhideWhenUsed/>
    <w:qFormat/>
    <w:pPr>
      <w:ind w:firstLine="426"/>
      <w:spacing w:line="400" w:lineRule="atLeast"/>
    </w:pPr>
    <w:rPr>
      <w:sz w:val="24"/>
      <w:szCs w:val="20"/>
    </w:rPr>
  </w:style>
  <w:style w:type="table" w:styleId="769">
    <w:name w:val="网格型"/>
    <w:next w:val="769"/>
    <w:link w:val="736"/>
    <w:uiPriority w:val="59"/>
    <w:qFormat/>
    <w:pPr>
      <w:spacing w:after="0" w:line="240" w:lineRule="auto"/>
    </w:pPr>
    <w:tblPr/>
  </w:style>
  <w:style w:type="character" w:styleId="770">
    <w:name w:val="要点"/>
    <w:basedOn w:val="739"/>
    <w:next w:val="770"/>
    <w:link w:val="736"/>
    <w:qFormat/>
    <w:rPr>
      <w:b/>
    </w:rPr>
  </w:style>
  <w:style w:type="character" w:styleId="771">
    <w:name w:val="尾注引用"/>
    <w:next w:val="771"/>
    <w:link w:val="736"/>
    <w:uiPriority w:val="99"/>
    <w:unhideWhenUsed/>
    <w:qFormat/>
    <w:rPr>
      <w:vertAlign w:val="superscript"/>
    </w:rPr>
  </w:style>
  <w:style w:type="character" w:styleId="772">
    <w:name w:val="强调"/>
    <w:basedOn w:val="739"/>
    <w:next w:val="772"/>
    <w:link w:val="736"/>
    <w:uiPriority w:val="20"/>
    <w:qFormat/>
    <w:rPr>
      <w:i/>
    </w:rPr>
  </w:style>
  <w:style w:type="character" w:styleId="773">
    <w:name w:val="超链接"/>
    <w:next w:val="773"/>
    <w:link w:val="736"/>
    <w:uiPriority w:val="99"/>
    <w:unhideWhenUsed/>
    <w:qFormat/>
    <w:rPr>
      <w:color w:val="0000ff"/>
      <w:u w:val="single"/>
    </w:rPr>
  </w:style>
  <w:style w:type="character" w:styleId="774">
    <w:name w:val="批注引用"/>
    <w:next w:val="774"/>
    <w:link w:val="736"/>
    <w:qFormat/>
    <w:rPr>
      <w:sz w:val="21"/>
      <w:szCs w:val="21"/>
    </w:rPr>
  </w:style>
  <w:style w:type="character" w:styleId="775">
    <w:name w:val="脚注引用"/>
    <w:next w:val="775"/>
    <w:link w:val="736"/>
    <w:uiPriority w:val="99"/>
    <w:unhideWhenUsed/>
    <w:qFormat/>
    <w:rPr>
      <w:vertAlign w:val="superscript"/>
    </w:rPr>
  </w:style>
  <w:style w:type="paragraph" w:styleId="776">
    <w:name w:val="Default"/>
    <w:next w:val="736"/>
    <w:link w:val="736"/>
    <w:qFormat/>
    <w:pPr>
      <w:widowControl w:val="off"/>
    </w:pPr>
    <w:rPr>
      <w:rFonts w:ascii="黑体" w:eastAsia="黑体"/>
      <w:lang w:eastAsia="zh-CN"/>
    </w:rPr>
  </w:style>
  <w:style w:type="paragraph" w:styleId="777">
    <w:name w:val="Heading 1"/>
    <w:basedOn w:val="736"/>
    <w:next w:val="736"/>
    <w:link w:val="778"/>
    <w:uiPriority w:val="9"/>
    <w:qFormat/>
    <w:pPr>
      <w:jc w:val="center"/>
      <w:keepLines/>
      <w:keepNext/>
      <w:spacing w:line="360" w:lineRule="auto"/>
      <w:outlineLvl w:val="0"/>
    </w:pPr>
    <w:rPr>
      <w:rFonts w:ascii="Arial" w:hAnsi="Arial" w:eastAsia="宋体" w:cs="Arial"/>
      <w:b/>
      <w:sz w:val="30"/>
      <w:szCs w:val="40"/>
    </w:rPr>
  </w:style>
  <w:style w:type="character" w:styleId="778">
    <w:name w:val="Heading 1 Char"/>
    <w:next w:val="778"/>
    <w:link w:val="777"/>
    <w:uiPriority w:val="9"/>
    <w:qFormat/>
    <w:rPr>
      <w:rFonts w:ascii="Arial" w:hAnsi="Arial" w:eastAsia="宋体" w:cs="Arial"/>
      <w:b/>
      <w:sz w:val="30"/>
      <w:szCs w:val="40"/>
    </w:rPr>
  </w:style>
  <w:style w:type="paragraph" w:styleId="779">
    <w:name w:val="Heading 2"/>
    <w:basedOn w:val="736"/>
    <w:next w:val="736"/>
    <w:link w:val="780"/>
    <w:uiPriority w:val="9"/>
    <w:unhideWhenUsed/>
    <w:qFormat/>
    <w:pPr>
      <w:keepLines/>
      <w:keepNext/>
      <w:spacing w:before="360" w:after="200"/>
      <w:outlineLvl w:val="1"/>
    </w:pPr>
    <w:rPr>
      <w:rFonts w:ascii="Arial" w:hAnsi="Arial" w:eastAsia="Arial" w:cs="Arial"/>
      <w:sz w:val="34"/>
    </w:rPr>
  </w:style>
  <w:style w:type="character" w:styleId="780">
    <w:name w:val="Heading 2 Char"/>
    <w:next w:val="780"/>
    <w:link w:val="779"/>
    <w:uiPriority w:val="9"/>
    <w:qFormat/>
    <w:rPr>
      <w:rFonts w:ascii="Arial" w:hAnsi="Arial" w:eastAsia="Arial" w:cs="Arial"/>
      <w:sz w:val="34"/>
    </w:rPr>
  </w:style>
  <w:style w:type="paragraph" w:styleId="781">
    <w:name w:val="Heading 3"/>
    <w:basedOn w:val="736"/>
    <w:next w:val="736"/>
    <w:link w:val="782"/>
    <w:uiPriority w:val="9"/>
    <w:unhideWhenUsed/>
    <w:qFormat/>
    <w:pPr>
      <w:keepLines/>
      <w:keepNext/>
      <w:spacing w:before="320" w:after="200"/>
      <w:outlineLvl w:val="2"/>
    </w:pPr>
    <w:rPr>
      <w:rFonts w:ascii="Arial" w:hAnsi="Arial" w:eastAsia="Arial" w:cs="Arial"/>
      <w:sz w:val="30"/>
      <w:szCs w:val="30"/>
    </w:rPr>
  </w:style>
  <w:style w:type="character" w:styleId="782">
    <w:name w:val="Heading 3 Char"/>
    <w:next w:val="782"/>
    <w:link w:val="781"/>
    <w:uiPriority w:val="9"/>
    <w:qFormat/>
    <w:rPr>
      <w:rFonts w:ascii="Arial" w:hAnsi="Arial" w:eastAsia="Arial" w:cs="Arial"/>
      <w:sz w:val="30"/>
      <w:szCs w:val="30"/>
    </w:rPr>
  </w:style>
  <w:style w:type="paragraph" w:styleId="783">
    <w:name w:val="Heading 4"/>
    <w:basedOn w:val="736"/>
    <w:next w:val="736"/>
    <w:link w:val="784"/>
    <w:uiPriority w:val="9"/>
    <w:unhideWhenUsed/>
    <w:qFormat/>
    <w:pPr>
      <w:keepLines/>
      <w:keepNext/>
      <w:spacing w:before="320" w:after="200"/>
      <w:outlineLvl w:val="3"/>
    </w:pPr>
    <w:rPr>
      <w:rFonts w:ascii="Arial" w:hAnsi="Arial" w:eastAsia="Arial" w:cs="Arial"/>
      <w:b/>
      <w:bCs/>
      <w:sz w:val="26"/>
      <w:szCs w:val="26"/>
    </w:rPr>
  </w:style>
  <w:style w:type="character" w:styleId="784">
    <w:name w:val="Heading 4 Char"/>
    <w:next w:val="784"/>
    <w:link w:val="783"/>
    <w:uiPriority w:val="9"/>
    <w:qFormat/>
    <w:rPr>
      <w:rFonts w:ascii="Arial" w:hAnsi="Arial" w:eastAsia="Arial" w:cs="Arial"/>
      <w:b/>
      <w:bCs/>
      <w:sz w:val="26"/>
      <w:szCs w:val="26"/>
    </w:rPr>
  </w:style>
  <w:style w:type="paragraph" w:styleId="785">
    <w:name w:val="Heading 5"/>
    <w:basedOn w:val="736"/>
    <w:next w:val="736"/>
    <w:link w:val="786"/>
    <w:uiPriority w:val="9"/>
    <w:unhideWhenUsed/>
    <w:qFormat/>
    <w:pPr>
      <w:keepLines/>
      <w:keepNext/>
      <w:spacing w:before="320" w:after="200"/>
      <w:outlineLvl w:val="4"/>
    </w:pPr>
    <w:rPr>
      <w:rFonts w:ascii="Arial" w:hAnsi="Arial" w:eastAsia="Arial" w:cs="Arial"/>
      <w:b/>
      <w:bCs/>
      <w:sz w:val="24"/>
      <w:szCs w:val="24"/>
    </w:rPr>
  </w:style>
  <w:style w:type="character" w:styleId="786">
    <w:name w:val="Heading 5 Char"/>
    <w:next w:val="786"/>
    <w:link w:val="785"/>
    <w:uiPriority w:val="9"/>
    <w:qFormat/>
    <w:rPr>
      <w:rFonts w:ascii="Arial" w:hAnsi="Arial" w:eastAsia="Arial" w:cs="Arial"/>
      <w:b/>
      <w:bCs/>
      <w:sz w:val="24"/>
      <w:szCs w:val="24"/>
    </w:rPr>
  </w:style>
  <w:style w:type="paragraph" w:styleId="787">
    <w:name w:val="Heading 6"/>
    <w:basedOn w:val="736"/>
    <w:next w:val="736"/>
    <w:link w:val="788"/>
    <w:uiPriority w:val="9"/>
    <w:unhideWhenUsed/>
    <w:qFormat/>
    <w:pPr>
      <w:keepLines/>
      <w:keepNext/>
      <w:spacing w:before="320" w:after="200"/>
      <w:outlineLvl w:val="5"/>
    </w:pPr>
    <w:rPr>
      <w:rFonts w:ascii="Arial" w:hAnsi="Arial" w:eastAsia="Arial" w:cs="Arial"/>
      <w:b/>
      <w:bCs/>
      <w:sz w:val="22"/>
      <w:szCs w:val="22"/>
    </w:rPr>
  </w:style>
  <w:style w:type="character" w:styleId="788">
    <w:name w:val="Heading 6 Char"/>
    <w:next w:val="788"/>
    <w:link w:val="787"/>
    <w:uiPriority w:val="9"/>
    <w:qFormat/>
    <w:rPr>
      <w:rFonts w:ascii="Arial" w:hAnsi="Arial" w:eastAsia="Arial" w:cs="Arial"/>
      <w:b/>
      <w:bCs/>
      <w:sz w:val="22"/>
      <w:szCs w:val="22"/>
    </w:rPr>
  </w:style>
  <w:style w:type="paragraph" w:styleId="789">
    <w:name w:val="Heading 7"/>
    <w:basedOn w:val="736"/>
    <w:next w:val="736"/>
    <w:link w:val="790"/>
    <w:uiPriority w:val="9"/>
    <w:unhideWhenUsed/>
    <w:qFormat/>
    <w:pPr>
      <w:keepLines/>
      <w:keepNext/>
      <w:spacing w:before="320" w:after="200"/>
      <w:outlineLvl w:val="6"/>
    </w:pPr>
    <w:rPr>
      <w:rFonts w:ascii="Arial" w:hAnsi="Arial" w:eastAsia="Arial" w:cs="Arial"/>
      <w:b/>
      <w:bCs/>
      <w:i/>
      <w:iCs/>
      <w:sz w:val="22"/>
      <w:szCs w:val="22"/>
    </w:rPr>
  </w:style>
  <w:style w:type="character" w:styleId="790">
    <w:name w:val="Heading 7 Char"/>
    <w:next w:val="790"/>
    <w:link w:val="789"/>
    <w:uiPriority w:val="9"/>
    <w:qFormat/>
    <w:rPr>
      <w:rFonts w:ascii="Arial" w:hAnsi="Arial" w:eastAsia="Arial" w:cs="Arial"/>
      <w:b/>
      <w:bCs/>
      <w:i/>
      <w:iCs/>
      <w:sz w:val="22"/>
      <w:szCs w:val="22"/>
    </w:rPr>
  </w:style>
  <w:style w:type="paragraph" w:styleId="791">
    <w:name w:val="Heading 8"/>
    <w:basedOn w:val="736"/>
    <w:next w:val="736"/>
    <w:link w:val="792"/>
    <w:uiPriority w:val="9"/>
    <w:unhideWhenUsed/>
    <w:qFormat/>
    <w:pPr>
      <w:keepLines/>
      <w:keepNext/>
      <w:spacing w:before="320" w:after="200"/>
      <w:outlineLvl w:val="7"/>
    </w:pPr>
    <w:rPr>
      <w:rFonts w:ascii="Arial" w:hAnsi="Arial" w:eastAsia="Arial" w:cs="Arial"/>
      <w:i/>
      <w:iCs/>
      <w:sz w:val="22"/>
      <w:szCs w:val="22"/>
    </w:rPr>
  </w:style>
  <w:style w:type="character" w:styleId="792">
    <w:name w:val="Heading 8 Char"/>
    <w:next w:val="792"/>
    <w:link w:val="791"/>
    <w:uiPriority w:val="9"/>
    <w:qFormat/>
    <w:rPr>
      <w:rFonts w:ascii="Arial" w:hAnsi="Arial" w:eastAsia="Arial" w:cs="Arial"/>
      <w:i/>
      <w:iCs/>
      <w:sz w:val="22"/>
      <w:szCs w:val="22"/>
    </w:rPr>
  </w:style>
  <w:style w:type="paragraph" w:styleId="793">
    <w:name w:val="Heading 9"/>
    <w:basedOn w:val="736"/>
    <w:next w:val="736"/>
    <w:link w:val="794"/>
    <w:uiPriority w:val="9"/>
    <w:unhideWhenUsed/>
    <w:qFormat/>
    <w:pPr>
      <w:keepLines/>
      <w:keepNext/>
      <w:spacing w:before="320" w:after="200"/>
      <w:outlineLvl w:val="8"/>
    </w:pPr>
    <w:rPr>
      <w:rFonts w:ascii="Arial" w:hAnsi="Arial" w:eastAsia="Arial" w:cs="Arial"/>
      <w:i/>
      <w:iCs/>
      <w:sz w:val="21"/>
      <w:szCs w:val="21"/>
    </w:rPr>
  </w:style>
  <w:style w:type="character" w:styleId="794">
    <w:name w:val="Heading 9 Char"/>
    <w:next w:val="794"/>
    <w:link w:val="793"/>
    <w:uiPriority w:val="9"/>
    <w:qFormat/>
    <w:rPr>
      <w:rFonts w:ascii="Arial" w:hAnsi="Arial" w:eastAsia="Arial" w:cs="Arial"/>
      <w:i/>
      <w:iCs/>
      <w:sz w:val="21"/>
      <w:szCs w:val="21"/>
    </w:rPr>
  </w:style>
  <w:style w:type="paragraph" w:styleId="795">
    <w:name w:val="Caption1"/>
    <w:basedOn w:val="736"/>
    <w:next w:val="736"/>
    <w:link w:val="736"/>
    <w:uiPriority w:val="35"/>
    <w:unhideWhenUsed/>
    <w:qFormat/>
    <w:pPr>
      <w:spacing w:line="276" w:lineRule="auto"/>
    </w:pPr>
    <w:rPr>
      <w:b/>
      <w:bCs/>
      <w:color w:val="4f81bd"/>
      <w:sz w:val="18"/>
      <w:szCs w:val="18"/>
    </w:rPr>
  </w:style>
  <w:style w:type="paragraph" w:styleId="796">
    <w:name w:val="Footer1"/>
    <w:basedOn w:val="736"/>
    <w:next w:val="796"/>
    <w:link w:val="797"/>
    <w:uiPriority w:val="99"/>
    <w:unhideWhenUsed/>
    <w:qFormat/>
    <w:pPr>
      <w:spacing w:after="0" w:line="240" w:lineRule="auto"/>
      <w:tabs>
        <w:tab w:val="center" w:pos="7143" w:leader="none"/>
        <w:tab w:val="right" w:pos="14287" w:leader="none"/>
      </w:tabs>
    </w:pPr>
  </w:style>
  <w:style w:type="character" w:styleId="797">
    <w:name w:val="Caption Char"/>
    <w:next w:val="797"/>
    <w:link w:val="796"/>
    <w:uiPriority w:val="99"/>
    <w:qFormat/>
  </w:style>
  <w:style w:type="character" w:styleId="798">
    <w:name w:val="Footer Char"/>
    <w:next w:val="798"/>
    <w:link w:val="796"/>
    <w:uiPriority w:val="99"/>
    <w:qFormat/>
  </w:style>
  <w:style w:type="paragraph" w:styleId="799">
    <w:name w:val="Header1"/>
    <w:basedOn w:val="736"/>
    <w:next w:val="799"/>
    <w:link w:val="800"/>
    <w:uiPriority w:val="99"/>
    <w:unhideWhenUsed/>
    <w:qFormat/>
    <w:pPr>
      <w:spacing w:after="0" w:line="240" w:lineRule="auto"/>
      <w:tabs>
        <w:tab w:val="center" w:pos="7143" w:leader="none"/>
        <w:tab w:val="right" w:pos="14287" w:leader="none"/>
      </w:tabs>
    </w:pPr>
  </w:style>
  <w:style w:type="character" w:styleId="800">
    <w:name w:val="Header Char"/>
    <w:next w:val="800"/>
    <w:link w:val="799"/>
    <w:uiPriority w:val="99"/>
    <w:qFormat/>
  </w:style>
  <w:style w:type="paragraph" w:styleId="801">
    <w:name w:val="首行缩进"/>
    <w:basedOn w:val="736"/>
    <w:next w:val="801"/>
    <w:link w:val="736"/>
    <w:qFormat/>
    <w:pPr>
      <w:ind w:firstLine="420"/>
      <w:spacing w:line="360" w:lineRule="auto"/>
    </w:pPr>
  </w:style>
  <w:style w:type="paragraph" w:styleId="802">
    <w:name w:val="List Paragraph"/>
    <w:basedOn w:val="736"/>
    <w:next w:val="802"/>
    <w:link w:val="736"/>
    <w:uiPriority w:val="34"/>
    <w:qFormat/>
    <w:pPr>
      <w:contextualSpacing/>
      <w:ind w:left="720"/>
    </w:pPr>
  </w:style>
  <w:style w:type="paragraph" w:styleId="803">
    <w:name w:val="No Spacing"/>
    <w:next w:val="803"/>
    <w:link w:val="736"/>
    <w:uiPriority w:val="1"/>
    <w:qFormat/>
    <w:pPr>
      <w:spacing w:before="0" w:after="0" w:line="240" w:lineRule="auto"/>
    </w:pPr>
  </w:style>
  <w:style w:type="paragraph" w:styleId="804">
    <w:name w:val="Quote"/>
    <w:basedOn w:val="736"/>
    <w:next w:val="736"/>
    <w:link w:val="805"/>
    <w:uiPriority w:val="29"/>
    <w:qFormat/>
    <w:pPr>
      <w:ind w:left="720" w:right="720"/>
    </w:pPr>
    <w:rPr>
      <w:i/>
    </w:rPr>
  </w:style>
  <w:style w:type="character" w:styleId="805">
    <w:name w:val="Quote Char"/>
    <w:next w:val="805"/>
    <w:link w:val="804"/>
    <w:uiPriority w:val="29"/>
    <w:qFormat/>
    <w:rPr>
      <w:i/>
    </w:rPr>
  </w:style>
  <w:style w:type="paragraph" w:styleId="806">
    <w:name w:val="Intense Quote"/>
    <w:basedOn w:val="736"/>
    <w:next w:val="736"/>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next w:val="807"/>
    <w:link w:val="806"/>
    <w:uiPriority w:val="30"/>
    <w:qFormat/>
    <w:rPr>
      <w:i/>
    </w:rPr>
  </w:style>
  <w:style w:type="table" w:styleId="808">
    <w:name w:val="Table Grid Light"/>
    <w:next w:val="808"/>
    <w:link w:val="736"/>
    <w:uiPriority w:val="59"/>
    <w:qFormat/>
    <w:pPr>
      <w:spacing w:after="0" w:line="240" w:lineRule="auto"/>
    </w:pPr>
    <w:tblPr/>
  </w:style>
  <w:style w:type="table" w:styleId="809">
    <w:name w:val="Plain Table 1"/>
    <w:next w:val="809"/>
    <w:link w:val="736"/>
    <w:uiPriority w:val="59"/>
    <w:qFormat/>
    <w:pPr>
      <w:spacing w:after="0" w:line="240" w:lineRule="auto"/>
    </w:pPr>
    <w:tblPr/>
  </w:style>
  <w:style w:type="table" w:styleId="810">
    <w:name w:val="Plain Table 2"/>
    <w:next w:val="810"/>
    <w:link w:val="736"/>
    <w:uiPriority w:val="59"/>
    <w:qFormat/>
    <w:pPr>
      <w:spacing w:after="0" w:line="240" w:lineRule="auto"/>
    </w:pPr>
    <w:tblPr/>
  </w:style>
  <w:style w:type="table" w:styleId="811">
    <w:name w:val="Plain Table 3"/>
    <w:next w:val="811"/>
    <w:link w:val="736"/>
    <w:uiPriority w:val="99"/>
    <w:qFormat/>
    <w:pPr>
      <w:spacing w:after="0" w:line="240" w:lineRule="auto"/>
    </w:pPr>
    <w:tblPr/>
  </w:style>
  <w:style w:type="table" w:styleId="812">
    <w:name w:val="Plain Table 4"/>
    <w:next w:val="812"/>
    <w:link w:val="736"/>
    <w:uiPriority w:val="99"/>
    <w:qFormat/>
    <w:pPr>
      <w:spacing w:after="0" w:line="240" w:lineRule="auto"/>
    </w:pPr>
    <w:tblPr/>
  </w:style>
  <w:style w:type="table" w:styleId="813">
    <w:name w:val="Plain Table 5"/>
    <w:next w:val="813"/>
    <w:link w:val="736"/>
    <w:uiPriority w:val="99"/>
    <w:qFormat/>
    <w:pPr>
      <w:spacing w:after="0" w:line="240" w:lineRule="auto"/>
    </w:pPr>
    <w:tblPr/>
  </w:style>
  <w:style w:type="table" w:styleId="814">
    <w:name w:val="Grid Table 1 Light"/>
    <w:next w:val="814"/>
    <w:link w:val="736"/>
    <w:uiPriority w:val="99"/>
    <w:qFormat/>
    <w:pPr>
      <w:spacing w:after="0" w:line="240" w:lineRule="auto"/>
    </w:pPr>
    <w:tblPr/>
  </w:style>
  <w:style w:type="table" w:styleId="815">
    <w:name w:val="Grid Table 1 Light - Accent 1"/>
    <w:next w:val="815"/>
    <w:link w:val="736"/>
    <w:uiPriority w:val="99"/>
    <w:qFormat/>
    <w:pPr>
      <w:spacing w:after="0" w:line="240" w:lineRule="auto"/>
    </w:pPr>
    <w:tblPr/>
  </w:style>
  <w:style w:type="table" w:styleId="816">
    <w:name w:val="Grid Table 1 Light - Accent 2"/>
    <w:next w:val="816"/>
    <w:link w:val="736"/>
    <w:uiPriority w:val="99"/>
    <w:qFormat/>
    <w:pPr>
      <w:spacing w:after="0" w:line="240" w:lineRule="auto"/>
    </w:pPr>
    <w:tblPr/>
  </w:style>
  <w:style w:type="table" w:styleId="817">
    <w:name w:val="Grid Table 1 Light - Accent 3"/>
    <w:next w:val="817"/>
    <w:link w:val="736"/>
    <w:uiPriority w:val="99"/>
    <w:qFormat/>
    <w:pPr>
      <w:spacing w:after="0" w:line="240" w:lineRule="auto"/>
    </w:pPr>
    <w:tblPr/>
  </w:style>
  <w:style w:type="table" w:styleId="818">
    <w:name w:val="Grid Table 1 Light - Accent 4"/>
    <w:next w:val="818"/>
    <w:link w:val="736"/>
    <w:uiPriority w:val="99"/>
    <w:qFormat/>
    <w:pPr>
      <w:spacing w:after="0" w:line="240" w:lineRule="auto"/>
    </w:pPr>
    <w:tblPr/>
  </w:style>
  <w:style w:type="table" w:styleId="819">
    <w:name w:val="Grid Table 1 Light - Accent 5"/>
    <w:next w:val="819"/>
    <w:link w:val="736"/>
    <w:uiPriority w:val="99"/>
    <w:qFormat/>
    <w:pPr>
      <w:spacing w:after="0" w:line="240" w:lineRule="auto"/>
    </w:pPr>
    <w:tblPr/>
  </w:style>
  <w:style w:type="table" w:styleId="820">
    <w:name w:val="Grid Table 1 Light - Accent 6"/>
    <w:next w:val="820"/>
    <w:link w:val="736"/>
    <w:uiPriority w:val="99"/>
    <w:qFormat/>
    <w:pPr>
      <w:spacing w:after="0" w:line="240" w:lineRule="auto"/>
    </w:pPr>
    <w:tblPr/>
  </w:style>
  <w:style w:type="table" w:styleId="821">
    <w:name w:val="Grid Table 2"/>
    <w:next w:val="821"/>
    <w:link w:val="736"/>
    <w:uiPriority w:val="99"/>
    <w:qFormat/>
    <w:pPr>
      <w:spacing w:after="0" w:line="240" w:lineRule="auto"/>
    </w:pPr>
    <w:tblPr/>
  </w:style>
  <w:style w:type="table" w:styleId="822">
    <w:name w:val="Grid Table 2 - Accent 1"/>
    <w:next w:val="822"/>
    <w:link w:val="736"/>
    <w:uiPriority w:val="99"/>
    <w:qFormat/>
    <w:pPr>
      <w:spacing w:after="0" w:line="240" w:lineRule="auto"/>
    </w:pPr>
    <w:tblPr/>
  </w:style>
  <w:style w:type="table" w:styleId="823">
    <w:name w:val="Grid Table 2 - Accent 2"/>
    <w:next w:val="823"/>
    <w:link w:val="736"/>
    <w:uiPriority w:val="99"/>
    <w:qFormat/>
    <w:pPr>
      <w:spacing w:after="0" w:line="240" w:lineRule="auto"/>
    </w:pPr>
    <w:tblPr/>
  </w:style>
  <w:style w:type="table" w:styleId="824">
    <w:name w:val="Grid Table 2 - Accent 3"/>
    <w:next w:val="824"/>
    <w:link w:val="736"/>
    <w:uiPriority w:val="99"/>
    <w:qFormat/>
    <w:pPr>
      <w:spacing w:after="0" w:line="240" w:lineRule="auto"/>
    </w:pPr>
    <w:tblPr/>
  </w:style>
  <w:style w:type="table" w:styleId="825">
    <w:name w:val="Grid Table 2 - Accent 4"/>
    <w:next w:val="825"/>
    <w:link w:val="736"/>
    <w:uiPriority w:val="99"/>
    <w:qFormat/>
    <w:pPr>
      <w:spacing w:after="0" w:line="240" w:lineRule="auto"/>
    </w:pPr>
    <w:tblPr/>
  </w:style>
  <w:style w:type="table" w:styleId="826">
    <w:name w:val="Grid Table 2 - Accent 5"/>
    <w:next w:val="826"/>
    <w:link w:val="736"/>
    <w:uiPriority w:val="99"/>
    <w:qFormat/>
    <w:pPr>
      <w:spacing w:after="0" w:line="240" w:lineRule="auto"/>
    </w:pPr>
    <w:tblPr/>
  </w:style>
  <w:style w:type="table" w:styleId="827">
    <w:name w:val="Grid Table 2 - Accent 6"/>
    <w:next w:val="827"/>
    <w:link w:val="736"/>
    <w:uiPriority w:val="99"/>
    <w:qFormat/>
    <w:pPr>
      <w:spacing w:after="0" w:line="240" w:lineRule="auto"/>
    </w:pPr>
    <w:tblPr/>
  </w:style>
  <w:style w:type="table" w:styleId="828">
    <w:name w:val="Grid Table 3"/>
    <w:next w:val="828"/>
    <w:link w:val="736"/>
    <w:uiPriority w:val="99"/>
    <w:qFormat/>
    <w:pPr>
      <w:spacing w:after="0" w:line="240" w:lineRule="auto"/>
    </w:pPr>
    <w:tblPr/>
  </w:style>
  <w:style w:type="table" w:styleId="829">
    <w:name w:val="Grid Table 3 - Accent 1"/>
    <w:next w:val="829"/>
    <w:link w:val="736"/>
    <w:uiPriority w:val="99"/>
    <w:qFormat/>
    <w:pPr>
      <w:spacing w:after="0" w:line="240" w:lineRule="auto"/>
    </w:pPr>
    <w:tblPr/>
  </w:style>
  <w:style w:type="table" w:styleId="830">
    <w:name w:val="Grid Table 3 - Accent 2"/>
    <w:next w:val="830"/>
    <w:link w:val="736"/>
    <w:uiPriority w:val="99"/>
    <w:qFormat/>
    <w:pPr>
      <w:spacing w:after="0" w:line="240" w:lineRule="auto"/>
    </w:pPr>
    <w:tblPr/>
  </w:style>
  <w:style w:type="table" w:styleId="831">
    <w:name w:val="Grid Table 3 - Accent 3"/>
    <w:next w:val="831"/>
    <w:link w:val="736"/>
    <w:uiPriority w:val="99"/>
    <w:qFormat/>
    <w:pPr>
      <w:spacing w:after="0" w:line="240" w:lineRule="auto"/>
    </w:pPr>
    <w:tblPr/>
  </w:style>
  <w:style w:type="table" w:styleId="832">
    <w:name w:val="Grid Table 3 - Accent 4"/>
    <w:next w:val="832"/>
    <w:link w:val="736"/>
    <w:uiPriority w:val="99"/>
    <w:qFormat/>
    <w:pPr>
      <w:spacing w:after="0" w:line="240" w:lineRule="auto"/>
    </w:pPr>
    <w:tblPr/>
  </w:style>
  <w:style w:type="table" w:styleId="833">
    <w:name w:val="Grid Table 3 - Accent 5"/>
    <w:next w:val="833"/>
    <w:link w:val="736"/>
    <w:uiPriority w:val="99"/>
    <w:qFormat/>
    <w:pPr>
      <w:spacing w:after="0" w:line="240" w:lineRule="auto"/>
    </w:pPr>
    <w:tblPr/>
  </w:style>
  <w:style w:type="table" w:styleId="834">
    <w:name w:val="Grid Table 3 - Accent 6"/>
    <w:next w:val="834"/>
    <w:link w:val="736"/>
    <w:uiPriority w:val="99"/>
    <w:qFormat/>
    <w:pPr>
      <w:spacing w:after="0" w:line="240" w:lineRule="auto"/>
    </w:pPr>
    <w:tblPr/>
  </w:style>
  <w:style w:type="table" w:styleId="835">
    <w:name w:val="Grid Table 4"/>
    <w:next w:val="835"/>
    <w:link w:val="736"/>
    <w:uiPriority w:val="59"/>
    <w:qFormat/>
    <w:pPr>
      <w:spacing w:after="0" w:line="240" w:lineRule="auto"/>
    </w:pPr>
    <w:tblPr/>
  </w:style>
  <w:style w:type="table" w:styleId="836">
    <w:name w:val="Grid Table 4 - Accent 1"/>
    <w:next w:val="836"/>
    <w:link w:val="736"/>
    <w:uiPriority w:val="59"/>
    <w:qFormat/>
    <w:pPr>
      <w:spacing w:after="0" w:line="240" w:lineRule="auto"/>
    </w:pPr>
    <w:tblPr/>
  </w:style>
  <w:style w:type="table" w:styleId="837">
    <w:name w:val="Grid Table 4 - Accent 2"/>
    <w:next w:val="837"/>
    <w:link w:val="736"/>
    <w:uiPriority w:val="59"/>
    <w:qFormat/>
    <w:pPr>
      <w:spacing w:after="0" w:line="240" w:lineRule="auto"/>
    </w:pPr>
    <w:tblPr/>
  </w:style>
  <w:style w:type="table" w:styleId="838">
    <w:name w:val="Grid Table 4 - Accent 3"/>
    <w:next w:val="838"/>
    <w:link w:val="736"/>
    <w:uiPriority w:val="59"/>
    <w:qFormat/>
    <w:pPr>
      <w:spacing w:after="0" w:line="240" w:lineRule="auto"/>
    </w:pPr>
    <w:tblPr/>
  </w:style>
  <w:style w:type="table" w:styleId="839">
    <w:name w:val="Grid Table 4 - Accent 4"/>
    <w:next w:val="839"/>
    <w:link w:val="736"/>
    <w:uiPriority w:val="59"/>
    <w:qFormat/>
    <w:pPr>
      <w:spacing w:after="0" w:line="240" w:lineRule="auto"/>
    </w:pPr>
    <w:tblPr/>
  </w:style>
  <w:style w:type="table" w:styleId="840">
    <w:name w:val="Grid Table 4 - Accent 5"/>
    <w:next w:val="840"/>
    <w:link w:val="736"/>
    <w:uiPriority w:val="59"/>
    <w:qFormat/>
    <w:pPr>
      <w:spacing w:after="0" w:line="240" w:lineRule="auto"/>
    </w:pPr>
    <w:tblPr/>
  </w:style>
  <w:style w:type="table" w:styleId="841">
    <w:name w:val="Grid Table 4 - Accent 6"/>
    <w:next w:val="841"/>
    <w:link w:val="736"/>
    <w:uiPriority w:val="59"/>
    <w:qFormat/>
    <w:pPr>
      <w:spacing w:after="0" w:line="240" w:lineRule="auto"/>
    </w:pPr>
    <w:tblPr/>
  </w:style>
  <w:style w:type="table" w:styleId="842">
    <w:name w:val="Grid Table 5 Dark"/>
    <w:next w:val="842"/>
    <w:link w:val="736"/>
    <w:uiPriority w:val="99"/>
    <w:qFormat/>
    <w:pPr>
      <w:spacing w:after="0" w:line="240" w:lineRule="auto"/>
    </w:pPr>
    <w:tblPr/>
  </w:style>
  <w:style w:type="table" w:styleId="843">
    <w:name w:val="Grid Table 5 Dark- Accent 1"/>
    <w:next w:val="843"/>
    <w:link w:val="736"/>
    <w:uiPriority w:val="99"/>
    <w:qFormat/>
    <w:pPr>
      <w:spacing w:after="0" w:line="240" w:lineRule="auto"/>
    </w:pPr>
    <w:tblPr/>
  </w:style>
  <w:style w:type="table" w:styleId="844">
    <w:name w:val="Grid Table 5 Dark - Accent 2"/>
    <w:next w:val="844"/>
    <w:link w:val="736"/>
    <w:uiPriority w:val="99"/>
    <w:qFormat/>
    <w:pPr>
      <w:spacing w:after="0" w:line="240" w:lineRule="auto"/>
    </w:pPr>
    <w:tblPr/>
  </w:style>
  <w:style w:type="table" w:styleId="845">
    <w:name w:val="Grid Table 5 Dark - Accent 3"/>
    <w:next w:val="845"/>
    <w:link w:val="736"/>
    <w:uiPriority w:val="99"/>
    <w:qFormat/>
    <w:pPr>
      <w:spacing w:after="0" w:line="240" w:lineRule="auto"/>
    </w:pPr>
    <w:tblPr/>
  </w:style>
  <w:style w:type="table" w:styleId="846">
    <w:name w:val="Grid Table 5 Dark- Accent 4"/>
    <w:next w:val="846"/>
    <w:link w:val="736"/>
    <w:uiPriority w:val="99"/>
    <w:qFormat/>
    <w:pPr>
      <w:spacing w:after="0" w:line="240" w:lineRule="auto"/>
    </w:pPr>
    <w:tblPr/>
  </w:style>
  <w:style w:type="table" w:styleId="847">
    <w:name w:val="Grid Table 5 Dark - Accent 5"/>
    <w:next w:val="847"/>
    <w:link w:val="736"/>
    <w:uiPriority w:val="99"/>
    <w:qFormat/>
    <w:pPr>
      <w:spacing w:after="0" w:line="240" w:lineRule="auto"/>
    </w:pPr>
    <w:tblPr/>
  </w:style>
  <w:style w:type="table" w:styleId="848">
    <w:name w:val="Grid Table 5 Dark - Accent 6"/>
    <w:next w:val="848"/>
    <w:link w:val="736"/>
    <w:uiPriority w:val="99"/>
    <w:qFormat/>
    <w:pPr>
      <w:spacing w:after="0" w:line="240" w:lineRule="auto"/>
    </w:pPr>
    <w:tblPr/>
  </w:style>
  <w:style w:type="table" w:styleId="849">
    <w:name w:val="Grid Table 6 Colorful"/>
    <w:next w:val="849"/>
    <w:link w:val="736"/>
    <w:uiPriority w:val="99"/>
    <w:qFormat/>
    <w:pPr>
      <w:spacing w:after="0" w:line="240" w:lineRule="auto"/>
    </w:pPr>
    <w:tblPr/>
  </w:style>
  <w:style w:type="table" w:styleId="850">
    <w:name w:val="Grid Table 6 Colorful - Accent 1"/>
    <w:next w:val="850"/>
    <w:link w:val="736"/>
    <w:uiPriority w:val="99"/>
    <w:qFormat/>
    <w:pPr>
      <w:spacing w:after="0" w:line="240" w:lineRule="auto"/>
    </w:pPr>
    <w:tblPr/>
  </w:style>
  <w:style w:type="table" w:styleId="851">
    <w:name w:val="Grid Table 6 Colorful - Accent 2"/>
    <w:next w:val="851"/>
    <w:link w:val="736"/>
    <w:uiPriority w:val="99"/>
    <w:qFormat/>
    <w:pPr>
      <w:spacing w:after="0" w:line="240" w:lineRule="auto"/>
    </w:pPr>
    <w:tblPr/>
  </w:style>
  <w:style w:type="table" w:styleId="852">
    <w:name w:val="Grid Table 6 Colorful - Accent 3"/>
    <w:next w:val="852"/>
    <w:link w:val="736"/>
    <w:uiPriority w:val="99"/>
    <w:qFormat/>
    <w:pPr>
      <w:spacing w:after="0" w:line="240" w:lineRule="auto"/>
    </w:pPr>
    <w:tblPr/>
  </w:style>
  <w:style w:type="table" w:styleId="853">
    <w:name w:val="Grid Table 6 Colorful - Accent 4"/>
    <w:next w:val="853"/>
    <w:link w:val="736"/>
    <w:uiPriority w:val="99"/>
    <w:qFormat/>
    <w:pPr>
      <w:spacing w:after="0" w:line="240" w:lineRule="auto"/>
    </w:pPr>
    <w:tblPr/>
  </w:style>
  <w:style w:type="table" w:styleId="854">
    <w:name w:val="Grid Table 6 Colorful - Accent 5"/>
    <w:next w:val="854"/>
    <w:link w:val="736"/>
    <w:uiPriority w:val="99"/>
    <w:qFormat/>
    <w:pPr>
      <w:spacing w:after="0" w:line="240" w:lineRule="auto"/>
    </w:pPr>
    <w:tblPr/>
  </w:style>
  <w:style w:type="table" w:styleId="855">
    <w:name w:val="Grid Table 6 Colorful - Accent 6"/>
    <w:next w:val="855"/>
    <w:link w:val="736"/>
    <w:uiPriority w:val="99"/>
    <w:qFormat/>
    <w:pPr>
      <w:spacing w:after="0" w:line="240" w:lineRule="auto"/>
    </w:pPr>
    <w:tblPr/>
  </w:style>
  <w:style w:type="table" w:styleId="856">
    <w:name w:val="Grid Table 7 Colorful"/>
    <w:next w:val="856"/>
    <w:link w:val="736"/>
    <w:uiPriority w:val="99"/>
    <w:qFormat/>
    <w:pPr>
      <w:spacing w:after="0" w:line="240" w:lineRule="auto"/>
    </w:pPr>
    <w:tblPr/>
  </w:style>
  <w:style w:type="table" w:styleId="857">
    <w:name w:val="Grid Table 7 Colorful - Accent 1"/>
    <w:next w:val="857"/>
    <w:link w:val="736"/>
    <w:uiPriority w:val="99"/>
    <w:qFormat/>
    <w:pPr>
      <w:spacing w:after="0" w:line="240" w:lineRule="auto"/>
    </w:pPr>
    <w:tblPr/>
  </w:style>
  <w:style w:type="table" w:styleId="858">
    <w:name w:val="Grid Table 7 Colorful - Accent 2"/>
    <w:next w:val="858"/>
    <w:link w:val="736"/>
    <w:uiPriority w:val="99"/>
    <w:qFormat/>
    <w:pPr>
      <w:spacing w:after="0" w:line="240" w:lineRule="auto"/>
    </w:pPr>
    <w:tblPr/>
  </w:style>
  <w:style w:type="table" w:styleId="859">
    <w:name w:val="Grid Table 7 Colorful - Accent 3"/>
    <w:next w:val="859"/>
    <w:link w:val="736"/>
    <w:uiPriority w:val="99"/>
    <w:qFormat/>
    <w:pPr>
      <w:spacing w:after="0" w:line="240" w:lineRule="auto"/>
    </w:pPr>
    <w:tblPr/>
  </w:style>
  <w:style w:type="table" w:styleId="860">
    <w:name w:val="Grid Table 7 Colorful - Accent 4"/>
    <w:next w:val="860"/>
    <w:link w:val="736"/>
    <w:uiPriority w:val="99"/>
    <w:qFormat/>
    <w:pPr>
      <w:spacing w:after="0" w:line="240" w:lineRule="auto"/>
    </w:pPr>
    <w:tblPr/>
  </w:style>
  <w:style w:type="table" w:styleId="861">
    <w:name w:val="Grid Table 7 Colorful - Accent 5"/>
    <w:next w:val="861"/>
    <w:link w:val="736"/>
    <w:uiPriority w:val="99"/>
    <w:qFormat/>
    <w:pPr>
      <w:spacing w:after="0" w:line="240" w:lineRule="auto"/>
    </w:pPr>
    <w:tblPr/>
  </w:style>
  <w:style w:type="table" w:styleId="862">
    <w:name w:val="Grid Table 7 Colorful - Accent 6"/>
    <w:next w:val="862"/>
    <w:link w:val="736"/>
    <w:uiPriority w:val="99"/>
    <w:qFormat/>
    <w:pPr>
      <w:spacing w:after="0" w:line="240" w:lineRule="auto"/>
    </w:pPr>
    <w:tblPr/>
  </w:style>
  <w:style w:type="table" w:styleId="863">
    <w:name w:val="List Table 1 Light"/>
    <w:next w:val="863"/>
    <w:link w:val="736"/>
    <w:uiPriority w:val="99"/>
    <w:qFormat/>
    <w:pPr>
      <w:spacing w:after="0" w:line="240" w:lineRule="auto"/>
    </w:pPr>
    <w:tblPr/>
  </w:style>
  <w:style w:type="table" w:styleId="864">
    <w:name w:val="List Table 1 Light - Accent 1"/>
    <w:next w:val="864"/>
    <w:link w:val="736"/>
    <w:uiPriority w:val="99"/>
    <w:qFormat/>
    <w:pPr>
      <w:spacing w:after="0" w:line="240" w:lineRule="auto"/>
    </w:pPr>
    <w:tblPr/>
  </w:style>
  <w:style w:type="table" w:styleId="865">
    <w:name w:val="List Table 1 Light - Accent 2"/>
    <w:next w:val="865"/>
    <w:link w:val="736"/>
    <w:uiPriority w:val="99"/>
    <w:qFormat/>
    <w:pPr>
      <w:spacing w:after="0" w:line="240" w:lineRule="auto"/>
    </w:pPr>
    <w:tblPr/>
  </w:style>
  <w:style w:type="table" w:styleId="866">
    <w:name w:val="List Table 1 Light - Accent 3"/>
    <w:next w:val="866"/>
    <w:link w:val="736"/>
    <w:uiPriority w:val="99"/>
    <w:qFormat/>
    <w:pPr>
      <w:spacing w:after="0" w:line="240" w:lineRule="auto"/>
    </w:pPr>
    <w:tblPr/>
  </w:style>
  <w:style w:type="table" w:styleId="867">
    <w:name w:val="List Table 1 Light - Accent 4"/>
    <w:next w:val="867"/>
    <w:link w:val="736"/>
    <w:uiPriority w:val="99"/>
    <w:qFormat/>
    <w:pPr>
      <w:spacing w:after="0" w:line="240" w:lineRule="auto"/>
    </w:pPr>
    <w:tblPr/>
  </w:style>
  <w:style w:type="table" w:styleId="868">
    <w:name w:val="List Table 1 Light - Accent 5"/>
    <w:next w:val="868"/>
    <w:link w:val="736"/>
    <w:uiPriority w:val="99"/>
    <w:qFormat/>
    <w:pPr>
      <w:spacing w:after="0" w:line="240" w:lineRule="auto"/>
    </w:pPr>
    <w:tblPr/>
  </w:style>
  <w:style w:type="table" w:styleId="869">
    <w:name w:val="List Table 1 Light - Accent 6"/>
    <w:next w:val="869"/>
    <w:link w:val="736"/>
    <w:uiPriority w:val="99"/>
    <w:qFormat/>
    <w:pPr>
      <w:spacing w:after="0" w:line="240" w:lineRule="auto"/>
    </w:pPr>
    <w:tblPr/>
  </w:style>
  <w:style w:type="table" w:styleId="870">
    <w:name w:val="List Table 2"/>
    <w:next w:val="870"/>
    <w:link w:val="736"/>
    <w:uiPriority w:val="99"/>
    <w:qFormat/>
    <w:pPr>
      <w:spacing w:after="0" w:line="240" w:lineRule="auto"/>
    </w:pPr>
    <w:tblPr/>
  </w:style>
  <w:style w:type="table" w:styleId="871">
    <w:name w:val="List Table 2 - Accent 1"/>
    <w:next w:val="871"/>
    <w:link w:val="736"/>
    <w:uiPriority w:val="99"/>
    <w:qFormat/>
    <w:pPr>
      <w:spacing w:after="0" w:line="240" w:lineRule="auto"/>
    </w:pPr>
    <w:tblPr/>
  </w:style>
  <w:style w:type="table" w:styleId="872">
    <w:name w:val="List Table 2 - Accent 2"/>
    <w:next w:val="872"/>
    <w:link w:val="736"/>
    <w:uiPriority w:val="99"/>
    <w:qFormat/>
    <w:pPr>
      <w:spacing w:after="0" w:line="240" w:lineRule="auto"/>
    </w:pPr>
    <w:tblPr/>
  </w:style>
  <w:style w:type="table" w:styleId="873">
    <w:name w:val="List Table 2 - Accent 3"/>
    <w:next w:val="873"/>
    <w:link w:val="736"/>
    <w:uiPriority w:val="99"/>
    <w:qFormat/>
    <w:pPr>
      <w:spacing w:after="0" w:line="240" w:lineRule="auto"/>
    </w:pPr>
    <w:tblPr/>
  </w:style>
  <w:style w:type="table" w:styleId="874">
    <w:name w:val="List Table 2 - Accent 4"/>
    <w:next w:val="874"/>
    <w:link w:val="736"/>
    <w:uiPriority w:val="99"/>
    <w:qFormat/>
    <w:pPr>
      <w:spacing w:after="0" w:line="240" w:lineRule="auto"/>
    </w:pPr>
    <w:tblPr/>
  </w:style>
  <w:style w:type="table" w:styleId="875">
    <w:name w:val="List Table 2 - Accent 5"/>
    <w:next w:val="875"/>
    <w:link w:val="736"/>
    <w:uiPriority w:val="99"/>
    <w:qFormat/>
    <w:pPr>
      <w:spacing w:after="0" w:line="240" w:lineRule="auto"/>
    </w:pPr>
    <w:tblPr/>
  </w:style>
  <w:style w:type="table" w:styleId="876">
    <w:name w:val="List Table 2 - Accent 6"/>
    <w:next w:val="876"/>
    <w:link w:val="736"/>
    <w:uiPriority w:val="99"/>
    <w:qFormat/>
    <w:pPr>
      <w:spacing w:after="0" w:line="240" w:lineRule="auto"/>
    </w:pPr>
    <w:tblPr/>
  </w:style>
  <w:style w:type="table" w:styleId="877">
    <w:name w:val="List Table 3"/>
    <w:next w:val="877"/>
    <w:link w:val="736"/>
    <w:uiPriority w:val="99"/>
    <w:qFormat/>
    <w:pPr>
      <w:spacing w:after="0" w:line="240" w:lineRule="auto"/>
    </w:pPr>
    <w:tblPr/>
  </w:style>
  <w:style w:type="table" w:styleId="878">
    <w:name w:val="List Table 3 - Accent 1"/>
    <w:next w:val="878"/>
    <w:link w:val="736"/>
    <w:uiPriority w:val="99"/>
    <w:qFormat/>
    <w:pPr>
      <w:spacing w:after="0" w:line="240" w:lineRule="auto"/>
    </w:pPr>
    <w:tblPr/>
  </w:style>
  <w:style w:type="table" w:styleId="879">
    <w:name w:val="List Table 3 - Accent 2"/>
    <w:next w:val="879"/>
    <w:link w:val="736"/>
    <w:uiPriority w:val="99"/>
    <w:qFormat/>
    <w:pPr>
      <w:spacing w:after="0" w:line="240" w:lineRule="auto"/>
    </w:pPr>
    <w:tblPr/>
  </w:style>
  <w:style w:type="table" w:styleId="880">
    <w:name w:val="List Table 3 - Accent 3"/>
    <w:next w:val="880"/>
    <w:link w:val="736"/>
    <w:uiPriority w:val="99"/>
    <w:qFormat/>
    <w:pPr>
      <w:spacing w:after="0" w:line="240" w:lineRule="auto"/>
    </w:pPr>
    <w:tblPr/>
  </w:style>
  <w:style w:type="table" w:styleId="881">
    <w:name w:val="List Table 3 - Accent 4"/>
    <w:next w:val="881"/>
    <w:link w:val="736"/>
    <w:uiPriority w:val="99"/>
    <w:qFormat/>
    <w:pPr>
      <w:spacing w:after="0" w:line="240" w:lineRule="auto"/>
    </w:pPr>
    <w:tblPr/>
  </w:style>
  <w:style w:type="table" w:styleId="882">
    <w:name w:val="List Table 3 - Accent 5"/>
    <w:next w:val="882"/>
    <w:link w:val="736"/>
    <w:uiPriority w:val="99"/>
    <w:qFormat/>
    <w:pPr>
      <w:spacing w:after="0" w:line="240" w:lineRule="auto"/>
    </w:pPr>
    <w:tblPr/>
  </w:style>
  <w:style w:type="table" w:styleId="883">
    <w:name w:val="List Table 3 - Accent 6"/>
    <w:next w:val="883"/>
    <w:link w:val="736"/>
    <w:uiPriority w:val="99"/>
    <w:qFormat/>
    <w:pPr>
      <w:spacing w:after="0" w:line="240" w:lineRule="auto"/>
    </w:pPr>
    <w:tblPr/>
  </w:style>
  <w:style w:type="table" w:styleId="884">
    <w:name w:val="List Table 4"/>
    <w:next w:val="884"/>
    <w:link w:val="736"/>
    <w:uiPriority w:val="99"/>
    <w:qFormat/>
    <w:pPr>
      <w:spacing w:after="0" w:line="240" w:lineRule="auto"/>
    </w:pPr>
    <w:tblPr/>
  </w:style>
  <w:style w:type="table" w:styleId="885">
    <w:name w:val="List Table 4 - Accent 1"/>
    <w:next w:val="885"/>
    <w:link w:val="736"/>
    <w:uiPriority w:val="99"/>
    <w:qFormat/>
    <w:pPr>
      <w:spacing w:after="0" w:line="240" w:lineRule="auto"/>
    </w:pPr>
    <w:tblPr/>
  </w:style>
  <w:style w:type="table" w:styleId="886">
    <w:name w:val="List Table 4 - Accent 2"/>
    <w:next w:val="886"/>
    <w:link w:val="736"/>
    <w:uiPriority w:val="99"/>
    <w:qFormat/>
    <w:pPr>
      <w:spacing w:after="0" w:line="240" w:lineRule="auto"/>
    </w:pPr>
    <w:tblPr/>
  </w:style>
  <w:style w:type="table" w:styleId="887">
    <w:name w:val="List Table 4 - Accent 3"/>
    <w:next w:val="887"/>
    <w:link w:val="736"/>
    <w:uiPriority w:val="99"/>
    <w:qFormat/>
    <w:pPr>
      <w:spacing w:after="0" w:line="240" w:lineRule="auto"/>
    </w:pPr>
    <w:tblPr/>
  </w:style>
  <w:style w:type="table" w:styleId="888">
    <w:name w:val="List Table 4 - Accent 4"/>
    <w:next w:val="888"/>
    <w:link w:val="736"/>
    <w:uiPriority w:val="99"/>
    <w:qFormat/>
    <w:pPr>
      <w:spacing w:after="0" w:line="240" w:lineRule="auto"/>
    </w:pPr>
    <w:tblPr/>
  </w:style>
  <w:style w:type="table" w:styleId="889">
    <w:name w:val="List Table 4 - Accent 5"/>
    <w:next w:val="889"/>
    <w:link w:val="736"/>
    <w:uiPriority w:val="99"/>
    <w:qFormat/>
    <w:pPr>
      <w:spacing w:after="0" w:line="240" w:lineRule="auto"/>
    </w:pPr>
    <w:tblPr/>
  </w:style>
  <w:style w:type="table" w:styleId="890">
    <w:name w:val="List Table 4 - Accent 6"/>
    <w:next w:val="890"/>
    <w:link w:val="736"/>
    <w:uiPriority w:val="99"/>
    <w:qFormat/>
    <w:pPr>
      <w:spacing w:after="0" w:line="240" w:lineRule="auto"/>
    </w:pPr>
    <w:tblPr/>
  </w:style>
  <w:style w:type="table" w:styleId="891">
    <w:name w:val="List Table 5 Dark"/>
    <w:next w:val="891"/>
    <w:link w:val="736"/>
    <w:uiPriority w:val="99"/>
    <w:qFormat/>
    <w:pPr>
      <w:spacing w:after="0" w:line="240" w:lineRule="auto"/>
    </w:pPr>
    <w:tblPr/>
  </w:style>
  <w:style w:type="table" w:styleId="892">
    <w:name w:val="List Table 5 Dark - Accent 1"/>
    <w:next w:val="892"/>
    <w:link w:val="736"/>
    <w:uiPriority w:val="99"/>
    <w:qFormat/>
    <w:pPr>
      <w:spacing w:after="0" w:line="240" w:lineRule="auto"/>
    </w:pPr>
    <w:tblPr/>
  </w:style>
  <w:style w:type="table" w:styleId="893">
    <w:name w:val="List Table 5 Dark - Accent 2"/>
    <w:next w:val="893"/>
    <w:link w:val="736"/>
    <w:uiPriority w:val="99"/>
    <w:qFormat/>
    <w:pPr>
      <w:spacing w:after="0" w:line="240" w:lineRule="auto"/>
    </w:pPr>
    <w:tblPr/>
  </w:style>
  <w:style w:type="table" w:styleId="894">
    <w:name w:val="List Table 5 Dark - Accent 3"/>
    <w:next w:val="894"/>
    <w:link w:val="736"/>
    <w:uiPriority w:val="99"/>
    <w:qFormat/>
    <w:pPr>
      <w:spacing w:after="0" w:line="240" w:lineRule="auto"/>
    </w:pPr>
    <w:tblPr/>
  </w:style>
  <w:style w:type="table" w:styleId="895">
    <w:name w:val="List Table 5 Dark - Accent 4"/>
    <w:next w:val="895"/>
    <w:link w:val="736"/>
    <w:uiPriority w:val="99"/>
    <w:qFormat/>
    <w:pPr>
      <w:spacing w:after="0" w:line="240" w:lineRule="auto"/>
    </w:pPr>
    <w:tblPr/>
  </w:style>
  <w:style w:type="table" w:styleId="896">
    <w:name w:val="List Table 5 Dark - Accent 5"/>
    <w:next w:val="896"/>
    <w:link w:val="736"/>
    <w:uiPriority w:val="99"/>
    <w:qFormat/>
    <w:pPr>
      <w:spacing w:after="0" w:line="240" w:lineRule="auto"/>
    </w:pPr>
    <w:tblPr/>
  </w:style>
  <w:style w:type="table" w:styleId="897">
    <w:name w:val="List Table 5 Dark - Accent 6"/>
    <w:next w:val="897"/>
    <w:link w:val="736"/>
    <w:uiPriority w:val="99"/>
    <w:qFormat/>
    <w:pPr>
      <w:spacing w:after="0" w:line="240" w:lineRule="auto"/>
    </w:pPr>
    <w:tblPr/>
  </w:style>
  <w:style w:type="table" w:styleId="898">
    <w:name w:val="List Table 6 Colorful"/>
    <w:next w:val="898"/>
    <w:link w:val="736"/>
    <w:uiPriority w:val="99"/>
    <w:qFormat/>
    <w:pPr>
      <w:spacing w:after="0" w:line="240" w:lineRule="auto"/>
    </w:pPr>
    <w:tblPr/>
  </w:style>
  <w:style w:type="table" w:styleId="899">
    <w:name w:val="List Table 6 Colorful - Accent 1"/>
    <w:next w:val="899"/>
    <w:link w:val="736"/>
    <w:uiPriority w:val="99"/>
    <w:qFormat/>
    <w:pPr>
      <w:spacing w:after="0" w:line="240" w:lineRule="auto"/>
    </w:pPr>
    <w:tblPr/>
  </w:style>
  <w:style w:type="table" w:styleId="900">
    <w:name w:val="List Table 6 Colorful - Accent 2"/>
    <w:next w:val="900"/>
    <w:link w:val="736"/>
    <w:uiPriority w:val="99"/>
    <w:qFormat/>
    <w:pPr>
      <w:spacing w:after="0" w:line="240" w:lineRule="auto"/>
    </w:pPr>
    <w:tblPr/>
  </w:style>
  <w:style w:type="table" w:styleId="901">
    <w:name w:val="List Table 6 Colorful - Accent 3"/>
    <w:next w:val="901"/>
    <w:link w:val="736"/>
    <w:uiPriority w:val="99"/>
    <w:qFormat/>
    <w:pPr>
      <w:spacing w:after="0" w:line="240" w:lineRule="auto"/>
    </w:pPr>
    <w:tblPr/>
  </w:style>
  <w:style w:type="table" w:styleId="902">
    <w:name w:val="List Table 6 Colorful - Accent 4"/>
    <w:next w:val="902"/>
    <w:link w:val="736"/>
    <w:uiPriority w:val="99"/>
    <w:qFormat/>
    <w:pPr>
      <w:spacing w:after="0" w:line="240" w:lineRule="auto"/>
    </w:pPr>
    <w:tblPr/>
  </w:style>
  <w:style w:type="table" w:styleId="903">
    <w:name w:val="List Table 6 Colorful - Accent 5"/>
    <w:next w:val="903"/>
    <w:link w:val="736"/>
    <w:uiPriority w:val="99"/>
    <w:qFormat/>
    <w:pPr>
      <w:spacing w:after="0" w:line="240" w:lineRule="auto"/>
    </w:pPr>
    <w:tblPr/>
  </w:style>
  <w:style w:type="table" w:styleId="904">
    <w:name w:val="List Table 6 Colorful - Accent 6"/>
    <w:next w:val="904"/>
    <w:link w:val="736"/>
    <w:uiPriority w:val="99"/>
    <w:qFormat/>
    <w:pPr>
      <w:spacing w:after="0" w:line="240" w:lineRule="auto"/>
    </w:pPr>
    <w:tblPr/>
  </w:style>
  <w:style w:type="table" w:styleId="905">
    <w:name w:val="List Table 7 Colorful"/>
    <w:next w:val="905"/>
    <w:link w:val="736"/>
    <w:uiPriority w:val="99"/>
    <w:qFormat/>
    <w:pPr>
      <w:spacing w:after="0" w:line="240" w:lineRule="auto"/>
    </w:pPr>
    <w:tblPr/>
  </w:style>
  <w:style w:type="table" w:styleId="906">
    <w:name w:val="List Table 7 Colorful - Accent 1"/>
    <w:next w:val="906"/>
    <w:link w:val="736"/>
    <w:uiPriority w:val="99"/>
    <w:qFormat/>
    <w:pPr>
      <w:spacing w:after="0" w:line="240" w:lineRule="auto"/>
    </w:pPr>
    <w:tblPr/>
  </w:style>
  <w:style w:type="table" w:styleId="907">
    <w:name w:val="List Table 7 Colorful - Accent 2"/>
    <w:next w:val="907"/>
    <w:link w:val="736"/>
    <w:uiPriority w:val="99"/>
    <w:qFormat/>
    <w:pPr>
      <w:spacing w:after="0" w:line="240" w:lineRule="auto"/>
    </w:pPr>
    <w:tblPr/>
  </w:style>
  <w:style w:type="table" w:styleId="908">
    <w:name w:val="List Table 7 Colorful - Accent 3"/>
    <w:next w:val="908"/>
    <w:link w:val="736"/>
    <w:uiPriority w:val="99"/>
    <w:qFormat/>
    <w:pPr>
      <w:spacing w:after="0" w:line="240" w:lineRule="auto"/>
    </w:pPr>
    <w:tblPr/>
  </w:style>
  <w:style w:type="table" w:styleId="909">
    <w:name w:val="List Table 7 Colorful - Accent 4"/>
    <w:next w:val="909"/>
    <w:link w:val="736"/>
    <w:uiPriority w:val="99"/>
    <w:qFormat/>
    <w:pPr>
      <w:spacing w:after="0" w:line="240" w:lineRule="auto"/>
    </w:pPr>
    <w:tblPr/>
  </w:style>
  <w:style w:type="table" w:styleId="910">
    <w:name w:val="List Table 7 Colorful - Accent 5"/>
    <w:next w:val="910"/>
    <w:link w:val="736"/>
    <w:uiPriority w:val="99"/>
    <w:qFormat/>
    <w:pPr>
      <w:spacing w:after="0" w:line="240" w:lineRule="auto"/>
    </w:pPr>
    <w:tblPr/>
  </w:style>
  <w:style w:type="table" w:styleId="911">
    <w:name w:val="List Table 7 Colorful - Accent 6"/>
    <w:next w:val="911"/>
    <w:link w:val="736"/>
    <w:uiPriority w:val="99"/>
    <w:qFormat/>
    <w:pPr>
      <w:spacing w:after="0" w:line="240" w:lineRule="auto"/>
    </w:pPr>
    <w:tblPr/>
  </w:style>
  <w:style w:type="table" w:styleId="912">
    <w:name w:val="Lined - Accent"/>
    <w:next w:val="912"/>
    <w:link w:val="736"/>
    <w:uiPriority w:val="99"/>
    <w:qFormat/>
    <w:pPr>
      <w:spacing w:after="0" w:line="240" w:lineRule="auto"/>
    </w:pPr>
    <w:rPr>
      <w:color w:val="404040"/>
    </w:rPr>
    <w:tblPr/>
  </w:style>
  <w:style w:type="table" w:styleId="913">
    <w:name w:val="Lined - Accent 1"/>
    <w:next w:val="913"/>
    <w:link w:val="736"/>
    <w:uiPriority w:val="99"/>
    <w:qFormat/>
    <w:pPr>
      <w:spacing w:after="0" w:line="240" w:lineRule="auto"/>
    </w:pPr>
    <w:rPr>
      <w:color w:val="404040"/>
    </w:rPr>
    <w:tblPr/>
  </w:style>
  <w:style w:type="table" w:styleId="914">
    <w:name w:val="Lined - Accent 2"/>
    <w:next w:val="914"/>
    <w:link w:val="736"/>
    <w:uiPriority w:val="99"/>
    <w:qFormat/>
    <w:pPr>
      <w:spacing w:after="0" w:line="240" w:lineRule="auto"/>
    </w:pPr>
    <w:rPr>
      <w:color w:val="404040"/>
    </w:rPr>
    <w:tblPr/>
  </w:style>
  <w:style w:type="table" w:styleId="915">
    <w:name w:val="Lined - Accent 3"/>
    <w:next w:val="915"/>
    <w:link w:val="736"/>
    <w:uiPriority w:val="99"/>
    <w:qFormat/>
    <w:pPr>
      <w:spacing w:after="0" w:line="240" w:lineRule="auto"/>
    </w:pPr>
    <w:rPr>
      <w:color w:val="404040"/>
    </w:rPr>
    <w:tblPr/>
  </w:style>
  <w:style w:type="table" w:styleId="916">
    <w:name w:val="Lined - Accent 4"/>
    <w:next w:val="916"/>
    <w:link w:val="736"/>
    <w:uiPriority w:val="99"/>
    <w:qFormat/>
    <w:pPr>
      <w:spacing w:after="0" w:line="240" w:lineRule="auto"/>
    </w:pPr>
    <w:rPr>
      <w:color w:val="404040"/>
    </w:rPr>
    <w:tblPr/>
  </w:style>
  <w:style w:type="table" w:styleId="917">
    <w:name w:val="Lined - Accent 5"/>
    <w:next w:val="917"/>
    <w:link w:val="736"/>
    <w:uiPriority w:val="99"/>
    <w:qFormat/>
    <w:pPr>
      <w:spacing w:after="0" w:line="240" w:lineRule="auto"/>
    </w:pPr>
    <w:rPr>
      <w:color w:val="404040"/>
    </w:rPr>
    <w:tblPr/>
  </w:style>
  <w:style w:type="table" w:styleId="918">
    <w:name w:val="Lined - Accent 6"/>
    <w:next w:val="918"/>
    <w:link w:val="736"/>
    <w:uiPriority w:val="99"/>
    <w:qFormat/>
    <w:pPr>
      <w:spacing w:after="0" w:line="240" w:lineRule="auto"/>
    </w:pPr>
    <w:rPr>
      <w:color w:val="404040"/>
    </w:rPr>
    <w:tblPr/>
  </w:style>
  <w:style w:type="table" w:styleId="919">
    <w:name w:val="Bordered &amp; Lined - Accent"/>
    <w:next w:val="919"/>
    <w:link w:val="736"/>
    <w:uiPriority w:val="99"/>
    <w:qFormat/>
    <w:pPr>
      <w:spacing w:after="0" w:line="240" w:lineRule="auto"/>
    </w:pPr>
    <w:rPr>
      <w:color w:val="404040"/>
    </w:rPr>
    <w:tblPr/>
  </w:style>
  <w:style w:type="table" w:styleId="920">
    <w:name w:val="Bordered &amp; Lined - Accent 1"/>
    <w:next w:val="920"/>
    <w:link w:val="736"/>
    <w:uiPriority w:val="99"/>
    <w:qFormat/>
    <w:pPr>
      <w:spacing w:after="0" w:line="240" w:lineRule="auto"/>
    </w:pPr>
    <w:rPr>
      <w:color w:val="404040"/>
    </w:rPr>
    <w:tblPr/>
  </w:style>
  <w:style w:type="table" w:styleId="921">
    <w:name w:val="Bordered &amp; Lined - Accent 2"/>
    <w:next w:val="921"/>
    <w:link w:val="736"/>
    <w:uiPriority w:val="99"/>
    <w:qFormat/>
    <w:pPr>
      <w:spacing w:after="0" w:line="240" w:lineRule="auto"/>
    </w:pPr>
    <w:rPr>
      <w:color w:val="404040"/>
    </w:rPr>
    <w:tblPr/>
  </w:style>
  <w:style w:type="table" w:styleId="922">
    <w:name w:val="Bordered &amp; Lined - Accent 3"/>
    <w:next w:val="922"/>
    <w:link w:val="736"/>
    <w:uiPriority w:val="99"/>
    <w:qFormat/>
    <w:pPr>
      <w:spacing w:after="0" w:line="240" w:lineRule="auto"/>
    </w:pPr>
    <w:rPr>
      <w:color w:val="404040"/>
    </w:rPr>
    <w:tblPr/>
  </w:style>
  <w:style w:type="table" w:styleId="923">
    <w:name w:val="Bordered &amp; Lined - Accent 4"/>
    <w:next w:val="923"/>
    <w:link w:val="736"/>
    <w:uiPriority w:val="99"/>
    <w:qFormat/>
    <w:pPr>
      <w:spacing w:after="0" w:line="240" w:lineRule="auto"/>
    </w:pPr>
    <w:rPr>
      <w:color w:val="404040"/>
    </w:rPr>
    <w:tblPr/>
  </w:style>
  <w:style w:type="table" w:styleId="924">
    <w:name w:val="Bordered &amp; Lined - Accent 5"/>
    <w:next w:val="924"/>
    <w:link w:val="736"/>
    <w:uiPriority w:val="99"/>
    <w:qFormat/>
    <w:pPr>
      <w:spacing w:after="0" w:line="240" w:lineRule="auto"/>
    </w:pPr>
    <w:rPr>
      <w:color w:val="404040"/>
    </w:rPr>
    <w:tblPr/>
  </w:style>
  <w:style w:type="table" w:styleId="925">
    <w:name w:val="Bordered &amp; Lined - Accent 6"/>
    <w:next w:val="925"/>
    <w:link w:val="736"/>
    <w:uiPriority w:val="99"/>
    <w:qFormat/>
    <w:pPr>
      <w:spacing w:after="0" w:line="240" w:lineRule="auto"/>
    </w:pPr>
    <w:rPr>
      <w:color w:val="404040"/>
    </w:rPr>
    <w:tblPr/>
  </w:style>
  <w:style w:type="table" w:styleId="926">
    <w:name w:val="Bordered"/>
    <w:next w:val="926"/>
    <w:link w:val="736"/>
    <w:uiPriority w:val="99"/>
    <w:qFormat/>
    <w:pPr>
      <w:spacing w:after="0" w:line="240" w:lineRule="auto"/>
    </w:pPr>
    <w:tblPr/>
  </w:style>
  <w:style w:type="table" w:styleId="927">
    <w:name w:val="Bordered - Accent 1"/>
    <w:next w:val="927"/>
    <w:link w:val="736"/>
    <w:uiPriority w:val="99"/>
    <w:qFormat/>
    <w:pPr>
      <w:spacing w:after="0" w:line="240" w:lineRule="auto"/>
    </w:pPr>
    <w:tblPr/>
  </w:style>
  <w:style w:type="table" w:styleId="928">
    <w:name w:val="Bordered - Accent 2"/>
    <w:next w:val="928"/>
    <w:link w:val="736"/>
    <w:uiPriority w:val="99"/>
    <w:qFormat/>
    <w:pPr>
      <w:spacing w:after="0" w:line="240" w:lineRule="auto"/>
    </w:pPr>
    <w:tblPr/>
  </w:style>
  <w:style w:type="table" w:styleId="929">
    <w:name w:val="Bordered - Accent 3"/>
    <w:next w:val="929"/>
    <w:link w:val="736"/>
    <w:uiPriority w:val="99"/>
    <w:qFormat/>
    <w:pPr>
      <w:spacing w:after="0" w:line="240" w:lineRule="auto"/>
    </w:pPr>
    <w:tblPr/>
  </w:style>
  <w:style w:type="table" w:styleId="930">
    <w:name w:val="Bordered - Accent 4"/>
    <w:next w:val="930"/>
    <w:link w:val="736"/>
    <w:uiPriority w:val="99"/>
    <w:qFormat/>
    <w:pPr>
      <w:spacing w:after="0" w:line="240" w:lineRule="auto"/>
    </w:pPr>
    <w:tblPr/>
  </w:style>
  <w:style w:type="table" w:styleId="931">
    <w:name w:val="Bordered - Accent 5"/>
    <w:next w:val="931"/>
    <w:link w:val="736"/>
    <w:uiPriority w:val="99"/>
    <w:qFormat/>
    <w:pPr>
      <w:spacing w:after="0" w:line="240" w:lineRule="auto"/>
    </w:pPr>
    <w:tblPr/>
  </w:style>
  <w:style w:type="table" w:styleId="932">
    <w:name w:val="Bordered - Accent 6"/>
    <w:next w:val="932"/>
    <w:link w:val="736"/>
    <w:uiPriority w:val="99"/>
    <w:qFormat/>
    <w:pPr>
      <w:spacing w:after="0" w:line="240" w:lineRule="auto"/>
    </w:pPr>
    <w:tblPr/>
  </w:style>
  <w:style w:type="paragraph" w:styleId="933">
    <w:name w:val="TOC Heading"/>
    <w:next w:val="933"/>
    <w:link w:val="736"/>
    <w:uiPriority w:val="39"/>
    <w:unhideWhenUsed/>
    <w:qFormat/>
  </w:style>
  <w:style w:type="paragraph" w:styleId="934">
    <w:name w:val="标题 11"/>
    <w:basedOn w:val="736"/>
    <w:next w:val="736"/>
    <w:link w:val="736"/>
    <w:uiPriority w:val="9"/>
    <w:qFormat/>
    <w:pPr>
      <w:keepLines/>
      <w:keepNext/>
      <w:spacing w:before="340" w:after="330" w:line="578" w:lineRule="auto"/>
      <w:outlineLvl w:val="0"/>
    </w:pPr>
    <w:rPr>
      <w:b/>
      <w:bCs/>
      <w:sz w:val="44"/>
      <w:szCs w:val="44"/>
    </w:rPr>
  </w:style>
  <w:style w:type="paragraph" w:styleId="935">
    <w:name w:val="标题 21"/>
    <w:basedOn w:val="736"/>
    <w:next w:val="736"/>
    <w:link w:val="736"/>
    <w:qFormat/>
    <w:pPr>
      <w:jc w:val="center"/>
      <w:keepLines/>
      <w:keepNext/>
      <w:spacing w:before="260" w:after="260" w:line="416" w:lineRule="auto"/>
      <w:outlineLvl w:val="1"/>
    </w:pPr>
    <w:rPr>
      <w:rFonts w:ascii="Arial" w:hAnsi="Arial" w:eastAsia="幼圆" w:cs="Arial"/>
      <w:b/>
      <w:bCs/>
      <w:sz w:val="44"/>
      <w:szCs w:val="44"/>
    </w:rPr>
  </w:style>
  <w:style w:type="paragraph" w:styleId="936">
    <w:name w:val="标题 31"/>
    <w:basedOn w:val="736"/>
    <w:next w:val="736"/>
    <w:link w:val="736"/>
    <w:qFormat/>
    <w:pPr>
      <w:keepLines/>
      <w:keepNext/>
      <w:spacing w:before="260" w:after="260" w:line="416" w:lineRule="auto"/>
      <w:outlineLvl w:val="2"/>
    </w:pPr>
    <w:rPr>
      <w:b/>
      <w:bCs/>
      <w:sz w:val="32"/>
      <w:szCs w:val="32"/>
    </w:rPr>
  </w:style>
  <w:style w:type="character" w:styleId="937">
    <w:name w:val="默认段落字体1"/>
    <w:next w:val="937"/>
    <w:link w:val="736"/>
    <w:uiPriority w:val="1"/>
    <w:unhideWhenUsed/>
    <w:qFormat/>
  </w:style>
  <w:style w:type="table" w:styleId="938">
    <w:name w:val="普通表格1"/>
    <w:next w:val="938"/>
    <w:link w:val="736"/>
    <w:uiPriority w:val="99"/>
    <w:unhideWhenUsed/>
    <w:qFormat/>
    <w:tblPr/>
  </w:style>
  <w:style w:type="paragraph" w:styleId="939">
    <w:name w:val="正文文本缩进1"/>
    <w:basedOn w:val="736"/>
    <w:next w:val="940"/>
    <w:link w:val="736"/>
    <w:qFormat/>
    <w:pPr>
      <w:ind w:left="420"/>
      <w:spacing w:after="120"/>
    </w:pPr>
    <w:rPr>
      <w:rFonts w:ascii="等线" w:hAnsi="等线" w:eastAsia="等线"/>
    </w:rPr>
  </w:style>
  <w:style w:type="paragraph" w:styleId="940">
    <w:name w:val="寄信人地址1"/>
    <w:basedOn w:val="736"/>
    <w:next w:val="940"/>
    <w:link w:val="736"/>
    <w:uiPriority w:val="99"/>
    <w:unhideWhenUsed/>
    <w:qFormat/>
    <w:rPr>
      <w:rFonts w:ascii="Arial" w:hAnsi="Arial"/>
    </w:rPr>
  </w:style>
  <w:style w:type="paragraph" w:styleId="941">
    <w:name w:val="正文缩进1"/>
    <w:basedOn w:val="736"/>
    <w:next w:val="941"/>
    <w:link w:val="736"/>
    <w:unhideWhenUsed/>
    <w:qFormat/>
    <w:pPr>
      <w:ind w:firstLine="420"/>
    </w:pPr>
  </w:style>
  <w:style w:type="paragraph" w:styleId="942">
    <w:name w:val="批注文字1"/>
    <w:basedOn w:val="736"/>
    <w:next w:val="942"/>
    <w:link w:val="943"/>
    <w:qFormat/>
    <w:pPr>
      <w:jc w:val="left"/>
    </w:pPr>
  </w:style>
  <w:style w:type="character" w:styleId="943">
    <w:name w:val="批注文字 Char"/>
    <w:next w:val="943"/>
    <w:link w:val="942"/>
    <w:qFormat/>
    <w:rPr>
      <w:rFonts w:ascii="Calibri" w:hAnsi="Calibri"/>
      <w:sz w:val="21"/>
      <w:szCs w:val="22"/>
    </w:rPr>
  </w:style>
  <w:style w:type="paragraph" w:styleId="944">
    <w:name w:val="正文文本11"/>
    <w:basedOn w:val="736"/>
    <w:next w:val="736"/>
    <w:link w:val="736"/>
    <w:qFormat/>
    <w:rPr>
      <w:rFonts w:ascii="楷体_GB2312" w:hAnsi="Arial" w:eastAsia="楷体_GB2312"/>
      <w:sz w:val="28"/>
      <w:szCs w:val="28"/>
    </w:rPr>
  </w:style>
  <w:style w:type="paragraph" w:styleId="945">
    <w:name w:val="标题1"/>
    <w:basedOn w:val="736"/>
    <w:next w:val="736"/>
    <w:link w:val="736"/>
    <w:qFormat/>
    <w:pPr>
      <w:jc w:val="center"/>
      <w:spacing w:before="240" w:after="60" w:line="360" w:lineRule="auto"/>
      <w:outlineLvl w:val="0"/>
    </w:pPr>
    <w:rPr>
      <w:rFonts w:ascii="宋体" w:hAnsi="宋体"/>
      <w:b/>
      <w:bCs/>
      <w:sz w:val="32"/>
      <w:szCs w:val="32"/>
    </w:rPr>
  </w:style>
  <w:style w:type="paragraph" w:styleId="946">
    <w:name w:val="纯文本1"/>
    <w:basedOn w:val="736"/>
    <w:next w:val="946"/>
    <w:link w:val="736"/>
    <w:uiPriority w:val="99"/>
    <w:qFormat/>
    <w:rPr>
      <w:rFonts w:ascii="宋体" w:hAnsi="Courier New"/>
      <w:sz w:val="20"/>
      <w:szCs w:val="21"/>
    </w:rPr>
  </w:style>
  <w:style w:type="paragraph" w:styleId="947">
    <w:name w:val="正文文本缩进 21"/>
    <w:basedOn w:val="736"/>
    <w:next w:val="947"/>
    <w:link w:val="736"/>
    <w:qFormat/>
    <w:pPr>
      <w:ind w:left="640"/>
      <w:spacing w:after="120" w:line="480" w:lineRule="auto"/>
    </w:pPr>
    <w:rPr>
      <w:rFonts w:eastAsia="仿宋_GB2312"/>
      <w:sz w:val="32"/>
      <w:szCs w:val="28"/>
    </w:rPr>
  </w:style>
  <w:style w:type="paragraph" w:styleId="948">
    <w:name w:val="批注框文本1"/>
    <w:basedOn w:val="736"/>
    <w:next w:val="948"/>
    <w:link w:val="949"/>
    <w:qFormat/>
    <w:rPr>
      <w:sz w:val="18"/>
      <w:szCs w:val="18"/>
    </w:rPr>
  </w:style>
  <w:style w:type="character" w:styleId="949">
    <w:name w:val="批注框文本 Char"/>
    <w:next w:val="949"/>
    <w:link w:val="948"/>
    <w:qFormat/>
    <w:rPr>
      <w:sz w:val="18"/>
      <w:szCs w:val="18"/>
    </w:rPr>
  </w:style>
  <w:style w:type="paragraph" w:styleId="950">
    <w:name w:val="页脚1"/>
    <w:basedOn w:val="736"/>
    <w:next w:val="950"/>
    <w:link w:val="736"/>
    <w:uiPriority w:val="99"/>
    <w:unhideWhenUsed/>
    <w:qFormat/>
    <w:pPr>
      <w:jc w:val="left"/>
      <w:tabs>
        <w:tab w:val="center" w:pos="4153" w:leader="none"/>
        <w:tab w:val="right" w:pos="8306" w:leader="none"/>
      </w:tabs>
    </w:pPr>
    <w:rPr>
      <w:sz w:val="18"/>
      <w:szCs w:val="18"/>
    </w:rPr>
  </w:style>
  <w:style w:type="paragraph" w:styleId="951">
    <w:name w:val="页眉1"/>
    <w:basedOn w:val="736"/>
    <w:next w:val="951"/>
    <w:link w:val="73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2">
    <w:name w:val="目录 11"/>
    <w:basedOn w:val="736"/>
    <w:next w:val="736"/>
    <w:link w:val="736"/>
    <w:uiPriority w:val="39"/>
    <w:unhideWhenUsed/>
    <w:qFormat/>
  </w:style>
  <w:style w:type="paragraph" w:styleId="953">
    <w:name w:val="目录 21"/>
    <w:basedOn w:val="736"/>
    <w:next w:val="736"/>
    <w:link w:val="736"/>
    <w:qFormat/>
    <w:pPr>
      <w:ind w:left="420"/>
    </w:pPr>
  </w:style>
  <w:style w:type="paragraph" w:styleId="954">
    <w:name w:val="正文文本 21"/>
    <w:basedOn w:val="736"/>
    <w:next w:val="955"/>
    <w:link w:val="736"/>
    <w:qFormat/>
    <w:pPr>
      <w:spacing w:after="120" w:line="480" w:lineRule="auto"/>
    </w:pPr>
  </w:style>
  <w:style w:type="paragraph" w:styleId="955">
    <w:name w:val="默认段落字体 Para Char Char Char Char Char Char Char"/>
    <w:basedOn w:val="736"/>
    <w:next w:val="956"/>
    <w:link w:val="736"/>
    <w:uiPriority w:val="99"/>
    <w:qFormat/>
    <w:pPr>
      <w:ind w:firstLine="200"/>
    </w:pPr>
    <w:rPr>
      <w:rFonts w:cs="Arial"/>
    </w:rPr>
  </w:style>
  <w:style w:type="paragraph" w:styleId="956">
    <w:name w:val="样式 首行缩进:  2 字符"/>
    <w:basedOn w:val="736"/>
    <w:next w:val="957"/>
    <w:link w:val="736"/>
    <w:uiPriority w:val="99"/>
    <w:qFormat/>
    <w:pPr>
      <w:ind w:left="480" w:firstLine="5856"/>
      <w:spacing w:line="360" w:lineRule="auto"/>
    </w:pPr>
  </w:style>
  <w:style w:type="paragraph" w:styleId="957">
    <w:name w:val="样式 段后: 0.25 行"/>
    <w:basedOn w:val="736"/>
    <w:next w:val="958"/>
    <w:link w:val="736"/>
    <w:uiPriority w:val="99"/>
    <w:qFormat/>
    <w:pPr>
      <w:ind w:left="420" w:firstLine="5796"/>
      <w:spacing w:line="300" w:lineRule="auto"/>
      <w:widowControl/>
    </w:pPr>
  </w:style>
  <w:style w:type="paragraph" w:styleId="958">
    <w:name w:val="正文 New New New New New New New New New New New New New New"/>
    <w:next w:val="763"/>
    <w:link w:val="736"/>
    <w:uiPriority w:val="99"/>
    <w:qFormat/>
    <w:pPr>
      <w:ind w:firstLine="2048"/>
      <w:jc w:val="both"/>
      <w:widowControl w:val="off"/>
    </w:pPr>
    <w:rPr>
      <w:lang w:eastAsia="zh-CN"/>
    </w:rPr>
  </w:style>
  <w:style w:type="paragraph" w:styleId="959">
    <w:name w:val="信息标题1"/>
    <w:basedOn w:val="736"/>
    <w:next w:val="959"/>
    <w:link w:val="736"/>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60">
    <w:name w:val="普通(网站)1"/>
    <w:basedOn w:val="736"/>
    <w:next w:val="960"/>
    <w:link w:val="736"/>
    <w:qFormat/>
    <w:rPr>
      <w:rFonts w:ascii="Times New Roman" w:hAnsi="Times New Roman"/>
      <w:sz w:val="24"/>
    </w:rPr>
  </w:style>
  <w:style w:type="paragraph" w:styleId="961">
    <w:name w:val="批注主题1"/>
    <w:basedOn w:val="942"/>
    <w:next w:val="942"/>
    <w:link w:val="962"/>
    <w:qFormat/>
    <w:rPr>
      <w:b/>
      <w:bCs/>
    </w:rPr>
  </w:style>
  <w:style w:type="character" w:styleId="962">
    <w:name w:val="批注主题 Char"/>
    <w:next w:val="962"/>
    <w:link w:val="961"/>
    <w:qFormat/>
    <w:rPr>
      <w:rFonts w:ascii="Calibri" w:hAnsi="Calibri"/>
      <w:b/>
      <w:bCs/>
      <w:sz w:val="21"/>
      <w:szCs w:val="22"/>
    </w:rPr>
  </w:style>
  <w:style w:type="paragraph" w:styleId="963">
    <w:name w:val="正文首行缩进 21"/>
    <w:basedOn w:val="939"/>
    <w:next w:val="736"/>
    <w:link w:val="736"/>
    <w:qFormat/>
    <w:pPr>
      <w:ind w:firstLine="420"/>
      <w:spacing w:before="100" w:beforeAutospacing="1"/>
    </w:pPr>
    <w:rPr>
      <w:rFonts w:ascii="Times New Roman" w:hAnsi="Times New Roman" w:eastAsia="宋体"/>
      <w:sz w:val="20"/>
      <w:szCs w:val="21"/>
    </w:rPr>
  </w:style>
  <w:style w:type="table" w:styleId="964">
    <w:name w:val="网格型1"/>
    <w:basedOn w:val="938"/>
    <w:next w:val="964"/>
    <w:link w:val="736"/>
    <w:qFormat/>
    <w:pPr>
      <w:jc w:val="both"/>
      <w:widowControl w:val="off"/>
    </w:pPr>
    <w:tblPr/>
  </w:style>
  <w:style w:type="character" w:styleId="965">
    <w:name w:val="要点1"/>
    <w:next w:val="965"/>
    <w:link w:val="736"/>
    <w:qFormat/>
    <w:rPr>
      <w:b/>
    </w:rPr>
  </w:style>
  <w:style w:type="character" w:styleId="966">
    <w:name w:val="强调1"/>
    <w:next w:val="966"/>
    <w:link w:val="736"/>
    <w:qFormat/>
    <w:rPr>
      <w:i/>
    </w:rPr>
  </w:style>
  <w:style w:type="character" w:styleId="967">
    <w:name w:val="超链接1"/>
    <w:next w:val="967"/>
    <w:link w:val="736"/>
    <w:qFormat/>
    <w:rPr>
      <w:color w:val="0000ff"/>
      <w:u w:val="single"/>
    </w:rPr>
  </w:style>
  <w:style w:type="character" w:styleId="968">
    <w:name w:val="批注引用1"/>
    <w:next w:val="968"/>
    <w:link w:val="736"/>
    <w:qFormat/>
    <w:rPr>
      <w:sz w:val="21"/>
      <w:szCs w:val="21"/>
    </w:rPr>
  </w:style>
  <w:style w:type="paragraph" w:styleId="969">
    <w:name w:val="正文（缩进）"/>
    <w:basedOn w:val="736"/>
    <w:next w:val="970"/>
    <w:link w:val="736"/>
    <w:qFormat/>
    <w:pPr>
      <w:ind w:firstLine="480"/>
      <w:spacing w:before="156" w:after="156"/>
    </w:pPr>
  </w:style>
  <w:style w:type="paragraph" w:styleId="970">
    <w:name w:val="Char Char Char Char Char Char Char Char Char"/>
    <w:basedOn w:val="736"/>
    <w:next w:val="954"/>
    <w:link w:val="736"/>
    <w:uiPriority w:val="99"/>
    <w:qFormat/>
    <w:pPr>
      <w:ind w:left="360" w:firstLine="5784"/>
    </w:pPr>
  </w:style>
  <w:style w:type="paragraph" w:styleId="971">
    <w:name w:val="正文1"/>
    <w:basedOn w:val="972"/>
    <w:next w:val="973"/>
    <w:link w:val="736"/>
    <w:qFormat/>
    <w:pPr>
      <w:jc w:val="left"/>
      <w:spacing w:line="360" w:lineRule="atLeast"/>
    </w:pPr>
    <w:rPr>
      <w:rFonts w:ascii="宋体" w:hAnsi="Calibri" w:eastAsia="宋体" w:cs="Arial"/>
      <w:sz w:val="24"/>
      <w:szCs w:val="20"/>
    </w:rPr>
  </w:style>
  <w:style w:type="paragraph" w:styleId="972">
    <w:name w:val="正文11"/>
    <w:next w:val="971"/>
    <w:link w:val="736"/>
    <w:qFormat/>
    <w:pPr>
      <w:jc w:val="both"/>
      <w:widowControl w:val="off"/>
    </w:pPr>
    <w:rPr>
      <w:rFonts w:ascii="Times New Roman" w:hAnsi="Times New Roman" w:eastAsia="宋体" w:cs="Times New Roman"/>
      <w:sz w:val="21"/>
      <w:szCs w:val="22"/>
      <w:lang w:val="en-US" w:eastAsia="zh-CN" w:bidi="ar-SA"/>
    </w:rPr>
  </w:style>
  <w:style w:type="paragraph" w:styleId="973">
    <w:name w:val="正文文本1"/>
    <w:basedOn w:val="971"/>
    <w:next w:val="974"/>
    <w:link w:val="736"/>
    <w:qFormat/>
    <w:pPr>
      <w:spacing w:after="120"/>
    </w:pPr>
    <w:rPr>
      <w:lang w:eastAsia="en-US"/>
    </w:rPr>
  </w:style>
  <w:style w:type="paragraph" w:styleId="974">
    <w:name w:val="一级条标题"/>
    <w:basedOn w:val="975"/>
    <w:next w:val="976"/>
    <w:link w:val="73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5">
    <w:name w:val="章标题"/>
    <w:next w:val="736"/>
    <w:link w:val="736"/>
    <w:qFormat/>
    <w:pPr>
      <w:ind w:left="810" w:hanging="810"/>
      <w:jc w:val="both"/>
      <w:spacing w:before="50" w:after="50"/>
      <w:tabs>
        <w:tab w:val="left" w:pos="810" w:leader="none"/>
        <w:tab w:val="left" w:pos="1265" w:leader="none"/>
      </w:tabs>
      <w:outlineLvl w:val="1"/>
    </w:pPr>
    <w:rPr>
      <w:rFonts w:ascii="黑体" w:hAnsi="Calibri" w:eastAsia="黑体"/>
      <w:sz w:val="21"/>
      <w:szCs w:val="22"/>
      <w:lang w:eastAsia="zh-CN"/>
    </w:rPr>
  </w:style>
  <w:style w:type="paragraph" w:styleId="976">
    <w:name w:val="段"/>
    <w:basedOn w:val="971"/>
    <w:next w:val="736"/>
    <w:link w:val="736"/>
    <w:qFormat/>
    <w:pPr>
      <w:ind w:firstLine="200"/>
      <w:widowControl/>
    </w:pPr>
    <w:rPr>
      <w:sz w:val="20"/>
    </w:rPr>
  </w:style>
  <w:style w:type="paragraph" w:styleId="977">
    <w:name w:val="普通正文"/>
    <w:basedOn w:val="971"/>
    <w:next w:val="977"/>
    <w:link w:val="736"/>
    <w:qFormat/>
    <w:pPr>
      <w:ind w:firstLine="480"/>
      <w:jc w:val="left"/>
      <w:spacing w:before="120" w:after="120" w:line="360" w:lineRule="auto"/>
    </w:pPr>
    <w:rPr>
      <w:rFonts w:ascii="Arial" w:hAnsi="Arial"/>
      <w:sz w:val="24"/>
      <w:szCs w:val="24"/>
    </w:rPr>
  </w:style>
  <w:style w:type="paragraph" w:styleId="978">
    <w:name w:val="Char"/>
    <w:basedOn w:val="736"/>
    <w:next w:val="978"/>
    <w:link w:val="736"/>
    <w:qFormat/>
    <w:pPr>
      <w:ind w:firstLine="200"/>
      <w:tabs>
        <w:tab w:val="left" w:pos="360" w:leader="none"/>
      </w:tabs>
    </w:pPr>
    <w:rPr>
      <w:rFonts w:ascii="Times New Roman" w:hAnsi="Times New Roman"/>
      <w:sz w:val="28"/>
      <w:szCs w:val="30"/>
    </w:rPr>
  </w:style>
  <w:style w:type="paragraph" w:styleId="979">
    <w:name w:val="Table Paragraph"/>
    <w:basedOn w:val="736"/>
    <w:next w:val="979"/>
    <w:link w:val="736"/>
    <w:uiPriority w:val="1"/>
    <w:qFormat/>
    <w:rPr>
      <w:rFonts w:ascii="Noto Sans CJK JP Regular" w:hAnsi="Noto Sans CJK JP Regular" w:eastAsia="Noto Sans CJK JP Regular" w:cs="Noto Sans CJK JP Regular"/>
    </w:rPr>
  </w:style>
  <w:style w:type="paragraph" w:styleId="980">
    <w:name w:val="正文（1）"/>
    <w:basedOn w:val="736"/>
    <w:next w:val="980"/>
    <w:link w:val="736"/>
    <w:qFormat/>
    <w:pPr>
      <w:numPr>
        <w:ilvl w:val="0"/>
        <w:numId w:val="1"/>
      </w:numPr>
      <w:ind w:firstLine="200"/>
    </w:pPr>
    <w:rPr>
      <w:szCs w:val="24"/>
    </w:rPr>
  </w:style>
  <w:style w:type="paragraph" w:styleId="981">
    <w:name w:val="朱-正文"/>
    <w:basedOn w:val="736"/>
    <w:next w:val="981"/>
    <w:link w:val="736"/>
    <w:qFormat/>
    <w:pPr>
      <w:ind w:firstLine="200"/>
    </w:pPr>
    <w:rPr>
      <w:rFonts w:ascii="Times New Roman"/>
      <w:color w:val="000000"/>
      <w:szCs w:val="24"/>
      <w:lang w:val="en-GB"/>
    </w:rPr>
  </w:style>
  <w:style w:type="paragraph" w:styleId="982">
    <w:name w:val="GP正文(首行缩进)"/>
    <w:basedOn w:val="736"/>
    <w:next w:val="982"/>
    <w:link w:val="736"/>
    <w:qFormat/>
    <w:pPr>
      <w:ind w:firstLine="480"/>
      <w:jc w:val="left"/>
    </w:pPr>
    <w:rPr>
      <w:rFonts w:ascii="Times New Roman" w:hAnsi="宋体"/>
      <w:sz w:val="24"/>
      <w:szCs w:val="24"/>
    </w:rPr>
  </w:style>
  <w:style w:type="character" w:styleId="983">
    <w:name w:val="font71"/>
    <w:next w:val="983"/>
    <w:link w:val="736"/>
    <w:qFormat/>
    <w:rPr>
      <w:rFonts w:hint="eastAsia" w:ascii="宋体" w:hAnsi="宋体" w:eastAsia="宋体" w:cs="宋体"/>
      <w:color w:val="ff0000"/>
      <w:sz w:val="21"/>
      <w:szCs w:val="21"/>
      <w:u w:val="none"/>
    </w:rPr>
  </w:style>
  <w:style w:type="character" w:styleId="984">
    <w:name w:val="font41"/>
    <w:next w:val="984"/>
    <w:link w:val="736"/>
    <w:qFormat/>
    <w:rPr>
      <w:rFonts w:hint="eastAsia" w:ascii="宋体" w:hAnsi="宋体" w:eastAsia="宋体" w:cs="宋体"/>
      <w:color w:val="000000"/>
      <w:sz w:val="21"/>
      <w:szCs w:val="21"/>
      <w:u w:val="none"/>
    </w:rPr>
  </w:style>
  <w:style w:type="paragraph" w:styleId="985">
    <w:name w:val="列出段落"/>
    <w:basedOn w:val="736"/>
    <w:next w:val="985"/>
    <w:link w:val="736"/>
    <w:qFormat/>
    <w:pPr>
      <w:ind w:firstLine="420"/>
    </w:pPr>
  </w:style>
  <w:style w:type="paragraph" w:styleId="986">
    <w:name w:val="列出段落2"/>
    <w:basedOn w:val="736"/>
    <w:next w:val="986"/>
    <w:link w:val="736"/>
    <w:uiPriority w:val="34"/>
    <w:qFormat/>
    <w:pPr>
      <w:ind w:firstLine="420"/>
    </w:pPr>
    <w:rPr>
      <w:rFonts w:ascii="宋体"/>
      <w:color w:val="404040"/>
    </w:rPr>
  </w:style>
  <w:style w:type="paragraph" w:styleId="987">
    <w:name w:val="列表段落1"/>
    <w:basedOn w:val="736"/>
    <w:next w:val="987"/>
    <w:link w:val="736"/>
    <w:qFormat/>
    <w:pPr>
      <w:ind w:firstLine="200"/>
    </w:pPr>
    <w:rPr>
      <w:rFonts w:cs="宋体"/>
    </w:rPr>
  </w:style>
  <w:style w:type="character" w:styleId="988">
    <w:name w:val="font51"/>
    <w:next w:val="988"/>
    <w:link w:val="736"/>
    <w:qFormat/>
    <w:rPr>
      <w:rFonts w:hint="eastAsia" w:ascii="宋体" w:hAnsi="宋体" w:eastAsia="宋体" w:cs="宋体"/>
      <w:color w:val="000000"/>
      <w:sz w:val="24"/>
      <w:szCs w:val="24"/>
      <w:u w:val="none"/>
      <w:vertAlign w:val="subscript"/>
    </w:rPr>
  </w:style>
  <w:style w:type="character" w:styleId="989">
    <w:name w:val="font61"/>
    <w:next w:val="989"/>
    <w:link w:val="736"/>
    <w:qFormat/>
    <w:rPr>
      <w:rFonts w:hint="eastAsia" w:ascii="宋体" w:hAnsi="宋体" w:eastAsia="宋体" w:cs="宋体"/>
      <w:color w:val="000000"/>
      <w:sz w:val="24"/>
      <w:szCs w:val="24"/>
      <w:u w:val="none"/>
    </w:rPr>
  </w:style>
  <w:style w:type="character" w:styleId="990">
    <w:name w:val="font01"/>
    <w:next w:val="990"/>
    <w:link w:val="736"/>
    <w:qFormat/>
    <w:rPr>
      <w:rFonts w:hint="eastAsia" w:ascii="宋体" w:hAnsi="宋体" w:eastAsia="宋体" w:cs="宋体"/>
      <w:color w:val="000000"/>
      <w:sz w:val="24"/>
      <w:szCs w:val="24"/>
      <w:u w:val="none"/>
    </w:rPr>
  </w:style>
  <w:style w:type="character" w:styleId="991">
    <w:name w:val="font81"/>
    <w:next w:val="991"/>
    <w:link w:val="736"/>
    <w:qFormat/>
    <w:rPr>
      <w:rFonts w:ascii="微软雅黑" w:hAnsi="微软雅黑" w:eastAsia="微软雅黑" w:cs="微软雅黑"/>
      <w:color w:val="000000"/>
      <w:sz w:val="24"/>
      <w:szCs w:val="24"/>
      <w:u w:val="none"/>
    </w:rPr>
  </w:style>
  <w:style w:type="character" w:styleId="992">
    <w:name w:val="font91"/>
    <w:next w:val="992"/>
    <w:link w:val="736"/>
    <w:qFormat/>
    <w:rPr>
      <w:rFonts w:ascii="Segoe UI Symbol" w:hAnsi="Segoe UI Symbol" w:eastAsia="Segoe UI Symbol" w:cs="Segoe UI Symbol"/>
      <w:color w:val="000000"/>
      <w:sz w:val="24"/>
      <w:szCs w:val="24"/>
      <w:u w:val="none"/>
    </w:rPr>
  </w:style>
  <w:style w:type="character" w:styleId="993">
    <w:name w:val="font101"/>
    <w:next w:val="993"/>
    <w:link w:val="736"/>
    <w:qFormat/>
    <w:rPr>
      <w:rFonts w:ascii="Calibri" w:hAnsi="Calibri" w:cs="Calibri"/>
      <w:color w:val="000000"/>
      <w:sz w:val="24"/>
      <w:szCs w:val="24"/>
      <w:u w:val="none"/>
    </w:rPr>
  </w:style>
  <w:style w:type="paragraph" w:styleId="994">
    <w:name w:val="TableItem"/>
    <w:next w:val="994"/>
    <w:link w:val="736"/>
    <w:qFormat/>
    <w:rPr>
      <w:rFonts w:ascii="Verdana" w:hAnsi="Verdana" w:cs="Verdana"/>
      <w:b/>
      <w:bCs/>
      <w:color w:val="538135"/>
      <w:spacing w:val="-10"/>
      <w:sz w:val="16"/>
      <w:szCs w:val="28"/>
      <w:lang w:eastAsia="zh-CN"/>
    </w:rPr>
  </w:style>
  <w:style w:type="paragraph" w:styleId="995">
    <w:name w:val="TableEmphasis"/>
    <w:basedOn w:val="736"/>
    <w:next w:val="995"/>
    <w:link w:val="736"/>
    <w:qFormat/>
    <w:rPr>
      <w:rFonts w:ascii="Times New Roman" w:hAnsi="Times New Roman" w:eastAsia="Times New Roman"/>
      <w:b/>
      <w:bCs/>
      <w:color w:val="3333ff"/>
      <w:sz w:val="16"/>
      <w:szCs w:val="18"/>
    </w:rPr>
  </w:style>
  <w:style w:type="paragraph" w:styleId="996">
    <w:name w:val="修订1"/>
    <w:next w:val="996"/>
    <w:link w:val="736"/>
    <w:uiPriority w:val="99"/>
    <w:unhideWhenUsed/>
    <w:qFormat/>
    <w:rPr>
      <w:rFonts w:ascii="Calibri" w:hAnsi="Calibri"/>
      <w:sz w:val="21"/>
      <w:szCs w:val="22"/>
      <w:lang w:eastAsia="zh-CN"/>
    </w:rPr>
  </w:style>
  <w:style w:type="paragraph" w:styleId="997">
    <w:name w:val="修订2"/>
    <w:next w:val="997"/>
    <w:link w:val="736"/>
    <w:uiPriority w:val="99"/>
    <w:semiHidden/>
    <w:qFormat/>
    <w:rPr>
      <w:rFonts w:ascii="Calibri" w:hAnsi="Calibri"/>
      <w:sz w:val="21"/>
      <w:szCs w:val="22"/>
      <w:lang w:eastAsia="zh-CN"/>
    </w:rPr>
  </w:style>
  <w:style w:type="character" w:styleId="998">
    <w:name w:val="font11"/>
    <w:basedOn w:val="739"/>
    <w:next w:val="998"/>
    <w:link w:val="736"/>
    <w:qFormat/>
    <w:rPr>
      <w:rFonts w:hint="eastAsia" w:ascii="宋体" w:hAnsi="宋体" w:eastAsia="宋体" w:cs="宋体"/>
      <w:color w:val="000000"/>
      <w:sz w:val="24"/>
      <w:szCs w:val="24"/>
      <w:u w:val="none"/>
    </w:rPr>
  </w:style>
  <w:style w:type="character" w:styleId="999">
    <w:name w:val="font21"/>
    <w:next w:val="999"/>
    <w:link w:val="736"/>
    <w:qFormat/>
    <w:rPr>
      <w:rFonts w:ascii="Segoe UI Symbol" w:hAnsi="Segoe UI Symbol" w:eastAsia="Segoe UI Symbol" w:cs="Segoe UI Symbol"/>
      <w:color w:val="000000"/>
      <w:sz w:val="24"/>
      <w:szCs w:val="24"/>
      <w:u w:val="none"/>
    </w:rPr>
  </w:style>
  <w:style w:type="character" w:styleId="1000">
    <w:name w:val="NormalCharacter1"/>
    <w:next w:val="1000"/>
    <w:link w:val="736"/>
    <w:semiHidden/>
    <w:qFormat/>
  </w:style>
  <w:style w:type="character" w:styleId="1001">
    <w:name w:val="font31"/>
    <w:next w:val="1001"/>
    <w:link w:val="736"/>
    <w:qFormat/>
    <w:rPr>
      <w:rFonts w:hint="eastAsia" w:ascii="宋体" w:hAnsi="宋体" w:eastAsia="宋体" w:cs="宋体"/>
      <w:color w:val="000000"/>
      <w:sz w:val="21"/>
      <w:szCs w:val="21"/>
      <w:u w:val="none"/>
    </w:rPr>
  </w:style>
  <w:style w:type="paragraph" w:styleId="1002">
    <w:name w:val="无间隔"/>
    <w:next w:val="1002"/>
    <w:link w:val="736"/>
    <w:uiPriority w:val="1"/>
    <w:qFormat/>
    <w:rPr>
      <w:lang w:eastAsia="zh-CN"/>
    </w:rPr>
  </w:style>
  <w:style w:type="paragraph" w:styleId="1003">
    <w:name w:val="索引 41"/>
    <w:basedOn w:val="736"/>
    <w:next w:val="736"/>
    <w:link w:val="736"/>
    <w:uiPriority w:val="99"/>
    <w:unhideWhenUsed/>
    <w:qFormat/>
    <w:pPr>
      <w:ind w:left="600"/>
    </w:pPr>
    <w:rPr>
      <w:rFonts w:ascii="Verdana" w:hAnsi="Verdana" w:eastAsia="微软雅黑"/>
      <w:szCs w:val="20"/>
    </w:rPr>
  </w:style>
  <w:style w:type="paragraph" w:styleId="1004">
    <w:name w:val="样式 宋体 加粗 居中"/>
    <w:basedOn w:val="736"/>
    <w:next w:val="1004"/>
    <w:link w:val="736"/>
    <w:qFormat/>
    <w:pPr>
      <w:jc w:val="center"/>
    </w:pPr>
    <w:rPr>
      <w:rFonts w:ascii="宋体" w:hAnsi="宋体" w:cs="宋体"/>
      <w:b/>
      <w:bCs/>
      <w:sz w:val="32"/>
      <w:szCs w:val="20"/>
    </w:rPr>
  </w:style>
  <w:style w:type="character" w:styleId="1005">
    <w:name w:val="NormalCharacter1"/>
    <w:next w:val="1005"/>
    <w:link w:val="736"/>
    <w:qFormat/>
    <w:rPr>
      <w:sz w:val="21"/>
      <w:szCs w:val="24"/>
      <w:lang w:val="en-US" w:eastAsia="zh-CN" w:bidi="ar-SA"/>
    </w:r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林祖超</cp:lastModifiedBy>
  <cp:revision>3</cp:revision>
  <dcterms:created xsi:type="dcterms:W3CDTF">2024-08-07T07:47:00Z</dcterms:created>
  <dcterms:modified xsi:type="dcterms:W3CDTF">2026-09-30T09:35:14Z</dcterms:modified>
</cp:coreProperties>
</file>