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bookmarkStart w:id="0" w:name="_GoBack"/>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hint="eastAsia" w:ascii="宋体" w:hAnsi="宋体" w:cs="宋体"/>
          <w:b/>
          <w:spacing w:val="-6"/>
          <w:sz w:val="32"/>
        </w:rPr>
        <w:t xml:space="preserve">采购编号：JSZC-320500-CJZB-C2026-0111</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采购内容：体检服务</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 购 人：苏州市疾病预防控制中心（苏州市卫生监督所）</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采购代理：苏州市创杰招投标咨询服务有限公司</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采购类别：服务类</w:t>
      </w:r>
      <w:r/>
    </w:p>
    <w:p>
      <w:pPr>
        <w:jc w:val="center"/>
        <w:spacing w:line="360" w:lineRule="auto"/>
        <w:rPr>
          <w:rFonts w:ascii="宋体" w:hAnsi="宋体" w:cs="宋体"/>
        </w:rPr>
      </w:pPr>
      <w:r>
        <w:rPr>
          <w:rFonts w:ascii="宋体" w:hAnsi="宋体" w:cs="宋体"/>
        </w:rPr>
      </w:r>
      <w:r/>
    </w:p>
    <w:p>
      <w:pPr>
        <w:pStyle w:val="800"/>
        <w:ind w:left="0" w:firstLine="0"/>
        <w:rPr>
          <w:rFonts w:ascii="宋体" w:hAnsi="宋体" w:cs="宋体"/>
        </w:rPr>
      </w:pPr>
      <w:r>
        <w:rPr>
          <w:rFonts w:ascii="宋体" w:hAnsi="宋体" w:cs="宋体"/>
        </w:rPr>
      </w:r>
      <w:r/>
    </w:p>
    <w:p>
      <w:pPr>
        <w:jc w:val="center"/>
        <w:spacing w:line="360" w:lineRule="auto"/>
        <w:rPr>
          <w:rFonts w:ascii="宋体" w:hAnsi="宋体" w:cs="宋体"/>
          <w:b/>
          <w:spacing w:val="-6"/>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8"/>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
          <w:sz w:val="30"/>
          <w:szCs w:val="30"/>
        </w:rPr>
        <w:t xml:space="preserve">二〇二六年九月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JSZC-320500-CJZB-C2026-0111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spacing w:line="312" w:lineRule="auto"/>
            </w:pPr>
            <w:r>
              <w:rPr>
                <w:rFonts w:hint="eastAsia" w:ascii="宋体" w:hAnsi="宋体" w:cs="宋体"/>
                <w:szCs w:val="21"/>
              </w:rPr>
              <w:t xml:space="preserve">体检服务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采购代理机构</w:t>
            </w:r>
            <w:r/>
          </w:p>
          <w:p>
            <w:pPr>
              <w:jc w:val="center"/>
              <w:spacing w:line="312"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12"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12" w:lineRule="auto"/>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  朱晓芹</w:t>
            </w:r>
            <w:r>
              <w:rPr>
                <w:rFonts w:hint="eastAsia" w:ascii="宋体" w:hAnsi="宋体" w:cs="宋体"/>
                <w:szCs w:val="21"/>
              </w:rPr>
              <w:t xml:space="preserve">  </w:t>
            </w:r>
            <w:r>
              <w:rPr>
                <w:rFonts w:hint="eastAsia" w:ascii="宋体" w:hAnsi="宋体" w:cs="宋体"/>
                <w:szCs w:val="21"/>
              </w:rPr>
              <w:t xml:space="preserve">施紫秋</w:t>
            </w:r>
            <w:r/>
          </w:p>
          <w:p>
            <w:pPr>
              <w:pStyle w:val="800"/>
              <w:ind w:left="0" w:firstLine="0"/>
              <w:rPr>
                <w:rFonts w:ascii="宋体" w:hAnsi="宋体" w:cs="宋体"/>
              </w:rPr>
            </w:pPr>
            <w:r>
              <w:rPr>
                <w:rFonts w:hint="eastAsia" w:ascii="宋体" w:hAnsi="宋体" w:cs="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名称：苏州市疾病预防控制中心（苏州市卫生监督所）</w:t>
            </w:r>
            <w:r/>
          </w:p>
          <w:p>
            <w:pPr>
              <w:jc w:val="left"/>
              <w:spacing w:line="312" w:lineRule="auto"/>
              <w:rPr>
                <w:rFonts w:ascii="宋体" w:hAnsi="宋体" w:cs="宋体"/>
                <w:szCs w:val="21"/>
              </w:rPr>
            </w:pPr>
            <w:r>
              <w:rPr>
                <w:rFonts w:hint="eastAsia" w:ascii="宋体" w:hAnsi="宋体" w:cs="宋体"/>
                <w:szCs w:val="21"/>
              </w:rPr>
              <w:t xml:space="preserve">地址：苏州市相城区广前路16号</w:t>
            </w:r>
            <w:r/>
          </w:p>
          <w:p>
            <w:pPr>
              <w:jc w:val="left"/>
              <w:spacing w:line="312" w:lineRule="auto"/>
              <w:rPr>
                <w:rFonts w:ascii="宋体" w:hAnsi="宋体" w:cs="宋体"/>
                <w:szCs w:val="21"/>
              </w:rPr>
            </w:pPr>
            <w:r>
              <w:rPr>
                <w:rFonts w:hint="eastAsia" w:ascii="宋体" w:hAnsi="宋体" w:cs="宋体"/>
                <w:szCs w:val="21"/>
              </w:rPr>
              <w:t xml:space="preserve">联系人：孙忠保</w:t>
            </w:r>
            <w:r/>
          </w:p>
          <w:p>
            <w:pPr>
              <w:jc w:val="left"/>
              <w:spacing w:line="312" w:lineRule="auto"/>
              <w:rPr>
                <w:rFonts w:ascii="宋体" w:hAnsi="宋体" w:cs="宋体"/>
                <w:szCs w:val="21"/>
              </w:rPr>
            </w:pPr>
            <w:r>
              <w:rPr>
                <w:rFonts w:hint="eastAsia" w:ascii="宋体" w:hAnsi="宋体" w:cs="宋体"/>
                <w:szCs w:val="21"/>
              </w:rPr>
              <w:t xml:space="preserve">联系电话：0512-68262512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获取采购文件</w:t>
            </w:r>
            <w:r/>
          </w:p>
          <w:p>
            <w:pPr>
              <w:jc w:val="center"/>
              <w:spacing w:line="312"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响应文件网上</w:t>
            </w:r>
            <w:r/>
          </w:p>
          <w:p>
            <w:pPr>
              <w:jc w:val="center"/>
              <w:spacing w:line="312"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年10月12日13点30分（北京时间）</w:t>
            </w:r>
            <w:r/>
          </w:p>
          <w:p>
            <w:pPr>
              <w:jc w:val="left"/>
              <w:spacing w:line="312"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12"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年10月12日13点30分（北京时间）</w:t>
            </w:r>
            <w:r/>
          </w:p>
          <w:p>
            <w:pPr>
              <w:jc w:val="left"/>
              <w:spacing w:line="312" w:lineRule="auto"/>
              <w:rPr>
                <w:rFonts w:ascii="宋体" w:hAnsi="宋体" w:cs="宋体"/>
                <w:szCs w:val="21"/>
              </w:rPr>
            </w:pPr>
            <w:r>
              <w:rPr>
                <w:rFonts w:hint="eastAsia" w:ascii="宋体" w:hAnsi="宋体" w:cs="宋体"/>
                <w:szCs w:val="21"/>
              </w:rPr>
              <w:t xml:space="preserve">“苏采云”系统（网址：</w:t>
            </w:r>
            <w:hyperlink r:id="rId19"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年10月12日13点30分（北京时间）</w:t>
            </w:r>
            <w:r/>
          </w:p>
          <w:p>
            <w:pPr>
              <w:jc w:val="left"/>
              <w:spacing w:line="312" w:lineRule="auto"/>
              <w:rPr>
                <w:rFonts w:ascii="宋体" w:hAnsi="宋体" w:cs="宋体"/>
                <w:szCs w:val="21"/>
              </w:rPr>
            </w:pPr>
            <w:r>
              <w:rPr>
                <w:rFonts w:hint="eastAsia" w:ascii="宋体" w:hAnsi="宋体" w:cs="宋体"/>
                <w:szCs w:val="21"/>
              </w:rPr>
              <w:t xml:space="preserve">苏州市高新区邓尉路105号狮山科技馆</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磋商响应</w:t>
            </w:r>
            <w:r/>
          </w:p>
          <w:p>
            <w:pPr>
              <w:jc w:val="center"/>
              <w:spacing w:line="312"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spacing w:line="312"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12"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w:t>
            </w:r>
            <w:r>
              <w:rPr>
                <w:rFonts w:hint="eastAsia" w:ascii="宋体" w:hAnsi="宋体"/>
                <w:b/>
                <w:bCs/>
                <w:szCs w:val="21"/>
              </w:rPr>
              <w:t xml:space="preserve">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pStyle w:val="957"/>
              <w:ind w:firstLine="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957"/>
              <w:ind w:firstLine="0"/>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jc w:val="center"/>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体检服务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2026年10月12日13点30分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1.项目编号：JSZC-320500-CJZB-C2026-0111</w:t>
      </w:r>
      <w:r/>
    </w:p>
    <w:p>
      <w:pPr>
        <w:ind w:firstLine="420"/>
        <w:spacing w:line="360" w:lineRule="auto"/>
        <w:rPr>
          <w:rFonts w:ascii="宋体" w:hAnsi="宋体" w:cs="宋体"/>
          <w:szCs w:val="21"/>
        </w:rPr>
      </w:pPr>
      <w:r>
        <w:rPr>
          <w:rFonts w:hint="eastAsia" w:ascii="宋体" w:hAnsi="宋体" w:cs="宋体"/>
          <w:szCs w:val="21"/>
        </w:rPr>
        <w:t xml:space="preserve">2.项目名称：体检服务</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rFonts w:ascii="宋体" w:hAnsi="宋体" w:cs="宋体"/>
          <w:szCs w:val="21"/>
        </w:rPr>
      </w:pPr>
      <w:r>
        <w:rPr>
          <w:rFonts w:hint="eastAsia" w:ascii="宋体" w:hAnsi="宋体" w:cs="宋体"/>
          <w:szCs w:val="21"/>
        </w:rPr>
        <w:t xml:space="preserve">4.预算金额：</w:t>
      </w:r>
      <w:r>
        <w:rPr>
          <w:rFonts w:hint="eastAsia" w:asciiTheme="minorEastAsia" w:hAnsiTheme="minorEastAsia" w:eastAsiaTheme="minorEastAsia"/>
        </w:rPr>
        <w:t xml:space="preserve">人民币</w:t>
      </w:r>
      <w:r>
        <w:rPr>
          <w:rFonts w:hint="eastAsia" w:asciiTheme="minorEastAsia" w:hAnsiTheme="minorEastAsia"/>
        </w:rPr>
        <w:t xml:space="preserve">壹佰壹拾万</w:t>
      </w:r>
      <w:r>
        <w:rPr>
          <w:rFonts w:hint="eastAsia" w:asciiTheme="minorEastAsia" w:hAnsiTheme="minorEastAsia" w:eastAsiaTheme="minorEastAsia"/>
        </w:rPr>
        <w:t xml:space="preserve">元</w:t>
      </w:r>
      <w:r>
        <w:rPr>
          <w:rFonts w:hint="eastAsia"/>
        </w:rPr>
        <w:t xml:space="preserve">整（小写：</w:t>
      </w:r>
      <w:r>
        <w:rPr>
          <w:rFonts w:hint="eastAsia"/>
        </w:rPr>
        <w:t xml:space="preserve">1100000.00</w:t>
      </w:r>
      <w:r>
        <w:rPr>
          <w:rFonts w:hint="eastAsia"/>
        </w:rPr>
        <w:t xml:space="preserve">元）</w:t>
      </w:r>
      <w:r/>
    </w:p>
    <w:p>
      <w:pPr>
        <w:ind w:firstLine="630"/>
        <w:spacing w:line="360" w:lineRule="auto"/>
        <w:rPr>
          <w:rFonts w:ascii="宋体" w:hAnsi="宋体" w:cs="宋体"/>
          <w:szCs w:val="21"/>
        </w:rPr>
      </w:pPr>
      <w:r>
        <w:rPr>
          <w:rFonts w:hint="eastAsia" w:ascii="宋体" w:hAnsi="宋体" w:cs="宋体"/>
          <w:szCs w:val="21"/>
        </w:rPr>
        <w:t xml:space="preserve">最高限价：综合单价为1800元/人</w:t>
      </w:r>
      <w:r/>
    </w:p>
    <w:p>
      <w:pPr>
        <w:ind w:firstLine="420"/>
        <w:spacing w:line="360" w:lineRule="auto"/>
        <w:rPr>
          <w:rFonts w:ascii="宋体" w:hAnsi="宋体" w:cs="宋体"/>
          <w:szCs w:val="21"/>
        </w:rPr>
      </w:pPr>
      <w:r>
        <w:rPr>
          <w:rFonts w:hint="eastAsia" w:ascii="宋体" w:hAnsi="宋体" w:cs="宋体"/>
          <w:szCs w:val="21"/>
        </w:rPr>
        <w:t xml:space="preserve">5.采购需求：2026年度苏州市疾病预防控制中心（苏州市卫生监督所）职工以及退休职工体检服务包括体格检查、三大常规、血生化及免疫、B超、胸部CT、心电图等。在职职工及退休职工合计约611人。</w:t>
      </w:r>
      <w:r/>
    </w:p>
    <w:p>
      <w:pPr>
        <w:ind w:firstLine="420"/>
        <w:spacing w:line="360" w:lineRule="auto"/>
        <w:rPr>
          <w:rFonts w:ascii="宋体" w:hAnsi="宋体" w:cs="宋体"/>
          <w:szCs w:val="21"/>
        </w:rPr>
      </w:pPr>
      <w:r>
        <w:rPr>
          <w:rFonts w:hint="eastAsia" w:ascii="宋体" w:hAnsi="宋体" w:cs="宋体"/>
          <w:szCs w:val="21"/>
        </w:rPr>
        <w:t xml:space="preserve">6.服务期限：具体根据采购单位的通知安排日期进行集中体检。</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w:t>
      </w:r>
      <w:r>
        <w:rPr>
          <w:rFonts w:hint="eastAsia" w:ascii="宋体" w:hAnsi="宋体" w:cs="宋体"/>
          <w:b/>
          <w:bCs/>
          <w:szCs w:val="21"/>
        </w:rPr>
        <w:t xml:space="preserve">本项目非专门面向中小企业采购，所属行业为其他未列明行业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4.本项目不接受联合体投标；</w:t>
      </w:r>
      <w:r/>
    </w:p>
    <w:p>
      <w:pPr>
        <w:ind w:firstLine="420"/>
        <w:spacing w:line="360" w:lineRule="auto"/>
        <w:rPr>
          <w:rFonts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6.为采购项目提供整体设计、规范编制或者项目管理、监理、监测等服务的供应商，不得再参加该采购项目的其他采购活动。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szCs w:val="21"/>
        </w:rPr>
        <w:t xml:space="preserve">7.其他特定资格要求：具有有效的《医疗机构执业许可证》</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bookmarkStart w:id="1" w:name="_Toc35393624"/>
      <w:r/>
      <w:bookmarkStart w:id="2" w:name="_Toc28359082"/>
      <w:r/>
      <w:bookmarkStart w:id="3" w:name="_Toc28359005"/>
      <w:r/>
      <w:bookmarkStart w:id="4" w:name="_Toc35393793"/>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1.时间：自公告发布之日起不少于5个工作日（具体文件获取截止时间以苏采云系统计时为准）</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2.地点：苏采云系统自行下载</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w:t>
      </w:r>
      <w:r>
        <w:rPr>
          <w:rFonts w:hint="eastAsia" w:ascii="宋体" w:hAnsi="宋体"/>
          <w:b/>
          <w:szCs w:val="21"/>
        </w:rPr>
        <w:t xml:space="preserve">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（3）电子投标准备</w:t>
      </w:r>
      <w:r/>
    </w:p>
    <w:p>
      <w:pPr>
        <w:ind w:firstLine="420"/>
        <w:spacing w:line="360" w:lineRule="auto"/>
        <w:rPr>
          <w:rFonts w:ascii="宋体" w:hAnsi="宋体" w:cs="宋体"/>
          <w:b/>
          <w:bCs/>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p>
    <w:p>
      <w:pPr>
        <w:ind w:firstLine="420"/>
        <w:spacing w:line="360" w:lineRule="auto"/>
        <w:rPr>
          <w:rFonts w:ascii="宋体" w:hAnsi="宋体" w:cs="宋体"/>
          <w:szCs w:val="21"/>
          <w:shd w:val="clear" w:color="auto" w:fill="ffffff"/>
        </w:rPr>
      </w:pP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4.售价：免费。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：2026年10月12日13点30分（北京时间）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w:t>
      </w:r>
      <w:r>
        <w:rPr>
          <w:rFonts w:hint="eastAsia" w:ascii="宋体" w:hAnsi="宋体" w:cs="宋体"/>
          <w:bCs/>
          <w:szCs w:val="21"/>
        </w:rPr>
        <w:t xml:space="preserve">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w:t>
      </w:r>
      <w:r>
        <w:rPr>
          <w:rFonts w:hint="eastAsia" w:ascii="宋体" w:hAnsi="宋体" w:cs="宋体"/>
          <w:szCs w:val="21"/>
        </w:rPr>
        <w:t xml:space="preserve">6</w:t>
      </w:r>
      <w:r>
        <w:rPr>
          <w:rFonts w:hint="eastAsia" w:ascii="宋体" w:hAnsi="宋体" w:cs="宋体"/>
          <w:szCs w:val="21"/>
        </w:rPr>
        <w:t xml:space="preserve">年10月12日13点30分（北京时间）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cs="宋体" w:asciiTheme="minorEastAsia" w:hAnsiTheme="minorEastAsia" w:eastAsiaTheme="minorEastAsia"/>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2.苏州市财政局政府采购监管处电话：0512-68616651。</w:t>
      </w:r>
      <w:r/>
    </w:p>
    <w:p>
      <w:pPr>
        <w:ind w:firstLine="420"/>
        <w:spacing w:line="360" w:lineRule="auto"/>
        <w:rPr>
          <w:rFonts w:ascii="宋体" w:hAnsi="宋体" w:cs="宋体"/>
          <w:szCs w:val="21"/>
        </w:rPr>
      </w:pPr>
      <w:r>
        <w:rPr>
          <w:rFonts w:hint="eastAsia" w:ascii="宋体" w:hAnsi="宋体" w:cs="宋体"/>
          <w:szCs w:val="21"/>
        </w:rPr>
        <w:t xml:space="preserve">3.本项目支持政府采购合同信用融资。</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称：苏州市疾病预防控制中心（苏州市卫生监督所）</w:t>
      </w:r>
      <w:r/>
    </w:p>
    <w:p>
      <w:pPr>
        <w:ind w:firstLine="420"/>
        <w:spacing w:line="360" w:lineRule="auto"/>
        <w:rPr>
          <w:rFonts w:ascii="宋体" w:hAnsi="宋体" w:cs="宋体"/>
          <w:szCs w:val="21"/>
        </w:rPr>
      </w:pPr>
      <w:r>
        <w:rPr>
          <w:rFonts w:hint="eastAsia" w:ascii="宋体" w:hAnsi="宋体" w:cs="宋体"/>
          <w:szCs w:val="21"/>
        </w:rPr>
        <w:t xml:space="preserve">地  址：苏州市相城区广前路16号</w:t>
      </w:r>
      <w:r/>
    </w:p>
    <w:p>
      <w:pPr>
        <w:ind w:firstLine="420"/>
        <w:spacing w:line="360" w:lineRule="auto"/>
        <w:rPr>
          <w:rFonts w:ascii="宋体" w:hAnsi="宋体" w:cs="宋体"/>
          <w:szCs w:val="21"/>
        </w:rPr>
      </w:pPr>
      <w:r>
        <w:rPr>
          <w:rFonts w:hint="eastAsia" w:ascii="宋体" w:hAnsi="宋体" w:cs="宋体"/>
          <w:szCs w:val="21"/>
        </w:rPr>
        <w:t xml:space="preserve">联系人：孙忠保</w:t>
      </w:r>
      <w:r/>
    </w:p>
    <w:p>
      <w:pPr>
        <w:ind w:firstLine="420"/>
        <w:spacing w:line="360" w:lineRule="auto"/>
        <w:rPr>
          <w:rFonts w:ascii="宋体" w:hAnsi="宋体" w:cs="宋体"/>
          <w:szCs w:val="21"/>
        </w:rPr>
      </w:pPr>
      <w:r>
        <w:rPr>
          <w:rFonts w:hint="eastAsia" w:ascii="宋体" w:hAnsi="宋体" w:cs="宋体"/>
          <w:szCs w:val="21"/>
        </w:rPr>
        <w:t xml:space="preserve">联系电话：0512-68262512</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人：路丽丽</w:t>
      </w:r>
      <w:r>
        <w:rPr>
          <w:rFonts w:hint="eastAsia" w:ascii="宋体" w:hAnsi="宋体" w:cs="宋体"/>
          <w:szCs w:val="21"/>
        </w:rPr>
        <w:t xml:space="preserve">  </w:t>
      </w:r>
      <w:r>
        <w:rPr>
          <w:rFonts w:hint="eastAsia" w:ascii="宋体" w:hAnsi="宋体" w:cs="宋体"/>
          <w:szCs w:val="21"/>
        </w:rPr>
        <w:t xml:space="preserve">潘莉莉  朱晓芹</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rPr>
          <w:rFonts w:ascii="宋体" w:hAnsi="宋体" w:cs="宋体"/>
          <w:szCs w:val="21"/>
        </w:rPr>
      </w:pPr>
      <w:r>
        <w:rPr>
          <w:rFonts w:hint="eastAsia" w:ascii="宋体" w:hAnsi="宋体" w:cs="宋体"/>
          <w:szCs w:val="21"/>
        </w:rPr>
        <w:t xml:space="preserve">电　　  话：0512-65238816</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受苏州市疾病预防控制中心（苏州市卫生监督所）之委托，苏州市创杰招投标咨询服务有限公司对其需采购的体检服务在国内组织竞争性磋商采购。欢迎符合资格条件的供应商前来报名参加磋商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JSZC-320500-CJZB-C2026-0111</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体检服务</w:t>
      </w:r>
      <w:r/>
    </w:p>
    <w:p>
      <w:pPr>
        <w:spacing w:line="360" w:lineRule="auto"/>
        <w:rPr>
          <w:rFonts w:ascii="宋体" w:hAnsi="宋体" w:cs="宋体"/>
          <w:szCs w:val="21"/>
        </w:rPr>
        <w:outlineLvl w:val="1"/>
      </w:pPr>
      <w:r>
        <w:rPr>
          <w:rFonts w:hint="eastAsia" w:ascii="宋体" w:hAnsi="宋体" w:cs="宋体"/>
          <w:b/>
          <w:szCs w:val="21"/>
        </w:rPr>
        <w:t xml:space="preserve">★三、采购项目预算：人民币壹佰壹拾万元整（小写：1100000.00元</w:t>
      </w:r>
      <w:r>
        <w:rPr>
          <w:rFonts w:hint="eastAsia" w:asciiTheme="minorEastAsia" w:hAnsiTheme="minorEastAsia" w:eastAsiaTheme="minorEastAsia"/>
        </w:rPr>
        <w:t xml:space="preserve">）</w:t>
      </w:r>
      <w:r/>
    </w:p>
    <w:p>
      <w:pPr>
        <w:spacing w:line="360" w:lineRule="auto"/>
        <w:rPr>
          <w:rFonts w:ascii="宋体" w:hAnsi="宋体" w:cs="宋体"/>
          <w:b/>
          <w:szCs w:val="21"/>
        </w:rPr>
        <w:outlineLvl w:val="1"/>
      </w:pPr>
      <w:r>
        <w:rPr>
          <w:rFonts w:hint="eastAsia" w:ascii="宋体" w:hAnsi="宋体" w:cs="宋体"/>
          <w:b/>
          <w:szCs w:val="21"/>
        </w:rPr>
        <w:t xml:space="preserve">最高限价：</w:t>
      </w:r>
      <w:r>
        <w:rPr>
          <w:rFonts w:hint="eastAsia" w:ascii="宋体" w:hAnsi="宋体" w:cs="宋体"/>
          <w:bCs/>
          <w:szCs w:val="21"/>
        </w:rPr>
        <w:t xml:space="preserve">综合单价1800元/人</w:t>
      </w:r>
      <w:r/>
    </w:p>
    <w:p>
      <w:pPr>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r/>
    </w:p>
    <w:p>
      <w:pPr>
        <w:spacing w:line="360" w:lineRule="auto"/>
        <w:rPr>
          <w:rFonts w:ascii="宋体" w:hAnsi="宋体" w:cs="宋体"/>
          <w:b/>
          <w:bCs/>
          <w:szCs w:val="21"/>
        </w:rPr>
      </w:pPr>
      <w:r>
        <w:rPr>
          <w:rFonts w:hint="eastAsia" w:ascii="宋体" w:hAnsi="宋体" w:cs="宋体"/>
          <w:b/>
          <w:bCs/>
          <w:szCs w:val="21"/>
        </w:rPr>
        <w:t xml:space="preserve">（一）体检要求：</w:t>
      </w:r>
      <w:r/>
    </w:p>
    <w:p>
      <w:pPr>
        <w:ind w:firstLine="210"/>
        <w:spacing w:line="360" w:lineRule="auto"/>
        <w:rPr>
          <w:rFonts w:ascii="宋体" w:hAnsi="宋体" w:cs="宋体"/>
          <w:szCs w:val="21"/>
          <w:lang w:val="zh-CN"/>
        </w:rPr>
      </w:pPr>
      <w:r>
        <w:rPr>
          <w:rFonts w:hint="eastAsia" w:ascii="宋体" w:hAnsi="宋体" w:cs="宋体"/>
          <w:szCs w:val="21"/>
        </w:rPr>
        <w:t xml:space="preserve">1.体检人数：</w:t>
      </w:r>
      <w:r>
        <w:rPr>
          <w:rFonts w:hint="eastAsia" w:ascii="宋体" w:hAnsi="宋体" w:cs="宋体"/>
          <w:szCs w:val="21"/>
          <w:lang w:val="zh-CN"/>
        </w:rPr>
        <w:t xml:space="preserve">约</w:t>
      </w:r>
      <w:r>
        <w:rPr>
          <w:rFonts w:hint="eastAsia" w:ascii="宋体" w:hAnsi="宋体" w:cs="宋体"/>
          <w:szCs w:val="21"/>
        </w:rPr>
        <w:t xml:space="preserve">611</w:t>
      </w:r>
      <w:r>
        <w:rPr>
          <w:rFonts w:hint="eastAsia" w:ascii="宋体" w:hAnsi="宋体" w:cs="宋体"/>
          <w:szCs w:val="21"/>
          <w:lang w:val="zh-CN"/>
        </w:rPr>
        <w:t xml:space="preserve">人，最终以实际体检人数为准。</w:t>
      </w:r>
      <w:r/>
    </w:p>
    <w:p>
      <w:pPr>
        <w:ind w:firstLine="21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体检内容：</w:t>
      </w:r>
      <w:r/>
    </w:p>
    <w:tbl>
      <w:tblPr>
        <w:tblW w:w="8593" w:type="dxa"/>
        <w:tblInd w:w="373" w:type="dxa"/>
        <w:tblLook w:val="04A0" w:firstRow="1" w:lastRow="0" w:firstColumn="1" w:lastColumn="0" w:noHBand="0" w:noVBand="1"/>
      </w:tblPr>
      <w:tblGrid>
        <w:gridCol w:w="800"/>
        <w:gridCol w:w="1137"/>
        <w:gridCol w:w="6656"/>
      </w:tblGrid>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体检项目</w:t>
            </w:r>
            <w:r/>
          </w:p>
        </w:tc>
      </w:tr>
      <w:tr>
        <w:trPr>
          <w:trHeight w:val="410"/>
        </w:trPr>
        <w:tc>
          <w:tcPr>
            <w:shd w:val="clear" w:color="auto" w:fill="auto"/>
            <w:tcBorders>
              <w:top w:val="single" w:color="000000" w:sz="4" w:space="0"/>
              <w:left w:val="single" w:color="000000" w:sz="4" w:space="0"/>
              <w:right w:val="single" w:color="000000" w:sz="4" w:space="0"/>
            </w:tcBorders>
            <w:tcW w:w="80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right w:val="single" w:color="auto" w:sz="4" w:space="0"/>
            </w:tcBorders>
            <w:tcW w:w="1137" w:type="dxa"/>
            <w:vAlign w:val="center"/>
            <w:vMerge w:val="restart"/>
            <w:textDirection w:val="lrTb"/>
            <w:noWrap w:val="false"/>
          </w:tcPr>
          <w:p>
            <w:pPr>
              <w:jc w:val="left"/>
              <w:rPr>
                <w:rFonts w:ascii="宋体" w:hAnsi="宋体" w:cs="宋体"/>
                <w:szCs w:val="21"/>
              </w:rPr>
            </w:pPr>
            <w:r>
              <w:rPr>
                <w:rFonts w:hint="eastAsia" w:ascii="宋体" w:hAnsi="宋体" w:cs="宋体"/>
                <w:szCs w:val="21"/>
              </w:rPr>
              <w:t xml:space="preserve">一般检查：</w:t>
            </w:r>
            <w:r/>
          </w:p>
        </w:tc>
        <w:tc>
          <w:tcPr>
            <w:shd w:val="clear" w:color="auto" w:fill="auto"/>
            <w:tcBorders>
              <w:top w:val="single" w:color="000000" w:sz="4" w:space="0"/>
              <w:left w:val="single" w:color="auto" w:sz="4" w:space="0"/>
              <w:bottom w:val="single" w:color="000000" w:sz="4" w:space="0"/>
              <w:right w:val="single" w:color="000000" w:sz="4" w:space="0"/>
            </w:tcBorders>
            <w:tcW w:w="6656" w:type="dxa"/>
            <w:vAlign w:val="center"/>
            <w:textDirection w:val="lrTb"/>
            <w:noWrap w:val="false"/>
          </w:tcPr>
          <w:p>
            <w:pPr>
              <w:jc w:val="left"/>
              <w:rPr>
                <w:rFonts w:ascii="宋体" w:hAnsi="宋体" w:cs="宋体"/>
                <w:szCs w:val="21"/>
              </w:rPr>
            </w:pPr>
            <w:r>
              <w:rPr>
                <w:rFonts w:hint="eastAsia" w:ascii="宋体" w:hAnsi="宋体" w:cs="宋体"/>
                <w:szCs w:val="21"/>
              </w:rPr>
              <w:t xml:space="preserve">身高、体重、体重指数、腰围、血压；内科、外科、耳鼻科、口腔科</w:t>
            </w:r>
            <w:r/>
          </w:p>
        </w:tc>
      </w:tr>
      <w:tr>
        <w:trPr>
          <w:trHeight w:val="410"/>
        </w:trPr>
        <w:tc>
          <w:tcPr>
            <w:shd w:val="clear" w:color="auto" w:fill="auto"/>
            <w:tcBorders>
              <w:left w:val="single" w:color="000000" w:sz="4" w:space="0"/>
              <w:bottom w:val="single" w:color="000000" w:sz="4" w:space="0"/>
              <w:right w:val="single" w:color="000000" w:sz="4" w:space="0"/>
            </w:tcBorders>
            <w:tcW w:w="800" w:type="dxa"/>
            <w:vAlign w:val="center"/>
            <w:vMerge w:val="continue"/>
            <w:textDirection w:val="lrTb"/>
            <w:noWrap/>
          </w:tcPr>
          <w:p>
            <w:pPr>
              <w:jc w:val="center"/>
              <w:rPr>
                <w:rFonts w:ascii="宋体" w:hAnsi="宋体" w:cs="宋体"/>
                <w:szCs w:val="21"/>
              </w:rPr>
            </w:pPr>
            <w:r>
              <w:rPr>
                <w:rFonts w:ascii="宋体" w:hAnsi="宋体" w:cs="宋体"/>
                <w:szCs w:val="21"/>
              </w:rPr>
            </w:r>
            <w:r/>
          </w:p>
        </w:tc>
        <w:tc>
          <w:tcPr>
            <w:shd w:val="clear" w:color="auto" w:fill="auto"/>
            <w:tcBorders>
              <w:left w:val="single" w:color="000000" w:sz="4" w:space="0"/>
              <w:bottom w:val="single" w:color="000000" w:sz="4" w:space="0"/>
              <w:right w:val="single" w:color="auto" w:sz="4" w:space="0"/>
            </w:tcBorders>
            <w:tcW w:w="1137"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Borders>
              <w:top w:val="single" w:color="000000" w:sz="4" w:space="0"/>
              <w:left w:val="single" w:color="auto" w:sz="4" w:space="0"/>
              <w:bottom w:val="single" w:color="000000" w:sz="4" w:space="0"/>
              <w:right w:val="single" w:color="000000" w:sz="4" w:space="0"/>
            </w:tcBorders>
            <w:tcW w:w="6656" w:type="dxa"/>
            <w:vAlign w:val="center"/>
            <w:textDirection w:val="lrTb"/>
            <w:noWrap w:val="false"/>
          </w:tcPr>
          <w:p>
            <w:pPr>
              <w:jc w:val="left"/>
              <w:rPr>
                <w:rFonts w:ascii="宋体" w:hAnsi="宋体" w:cs="宋体"/>
                <w:szCs w:val="21"/>
              </w:rPr>
            </w:pPr>
            <w:r>
              <w:rPr>
                <w:rFonts w:hint="eastAsia" w:ascii="宋体" w:hAnsi="宋体" w:cs="宋体"/>
                <w:szCs w:val="21"/>
              </w:rPr>
              <w:t xml:space="preserve">眼科（含裂隙灯检查、眼压）</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心电图检查</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胸部CT（不出片）</w:t>
            </w:r>
            <w:r/>
          </w:p>
        </w:tc>
      </w:tr>
      <w:tr>
        <w:trPr>
          <w:trHeight w:val="310"/>
        </w:trPr>
        <w:tc>
          <w:tcPr>
            <w:shd w:val="clear" w:color="auto" w:fill="auto"/>
            <w:tcBorders>
              <w:top w:val="single" w:color="000000" w:sz="4" w:space="0"/>
              <w:left w:val="single" w:color="000000" w:sz="4" w:space="0"/>
              <w:right w:val="single" w:color="000000" w:sz="4" w:space="0"/>
            </w:tcBorders>
            <w:tcW w:w="800" w:type="dxa"/>
            <w:vAlign w:val="center"/>
            <w:vMerge w:val="restart"/>
            <w:textDirection w:val="lrTb"/>
            <w:noWrap/>
          </w:tcPr>
          <w:p>
            <w:pPr>
              <w:jc w:val="center"/>
              <w:rPr>
                <w:rFonts w:ascii="宋体" w:hAnsi="宋体" w:cs="宋体"/>
                <w:szCs w:val="21"/>
              </w:rPr>
            </w:pPr>
            <w:r>
              <w:rPr>
                <w:rFonts w:hint="eastAsia" w:ascii="宋体" w:hAnsi="宋体" w:cs="宋体"/>
                <w:szCs w:val="21"/>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彩超检查：甲状腺彩超、肝、胆、胰、脾、肾、膀胱</w:t>
            </w:r>
            <w:r/>
          </w:p>
        </w:tc>
      </w:tr>
      <w:tr>
        <w:trPr>
          <w:trHeight w:val="310"/>
        </w:trPr>
        <w:tc>
          <w:tcPr>
            <w:shd w:val="clear" w:color="auto" w:fill="auto"/>
            <w:tcBorders>
              <w:left w:val="single" w:color="000000" w:sz="4" w:space="0"/>
              <w:bottom w:val="single" w:color="000000" w:sz="4" w:space="0"/>
              <w:right w:val="single" w:color="000000" w:sz="4" w:space="0"/>
            </w:tcBorders>
            <w:tcW w:w="800" w:type="dxa"/>
            <w:vAlign w:val="center"/>
            <w:vMerge w:val="continue"/>
            <w:textDirection w:val="lrTb"/>
            <w:noWrap/>
          </w:tcPr>
          <w:p>
            <w:pPr>
              <w:jc w:val="center"/>
              <w:rPr>
                <w:rFonts w:ascii="宋体" w:hAnsi="宋体" w:cs="宋体"/>
                <w:szCs w:val="21"/>
              </w:rPr>
            </w:pPr>
            <w:r>
              <w:rPr>
                <w:rFonts w:ascii="宋体" w:hAnsi="宋体" w:cs="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前列腺彩超（男性）/子宫及附件彩超（女性）</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血常规</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尿液分析</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粪便隐血定量（早期肠癌筛查）</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生化：肝功能十二项、肾功能3项、血糖、血脂4项</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糖化血红蛋白  </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女性肿瘤指标高级筛查：</w:t>
            </w:r>
            <w:r/>
          </w:p>
          <w:p>
            <w:pPr>
              <w:jc w:val="left"/>
              <w:rPr>
                <w:rFonts w:ascii="宋体" w:hAnsi="宋体" w:cs="宋体"/>
                <w:szCs w:val="21"/>
              </w:rPr>
            </w:pPr>
            <w:r>
              <w:rPr>
                <w:rFonts w:hint="eastAsia" w:ascii="宋体" w:hAnsi="宋体" w:cs="宋体"/>
                <w:szCs w:val="21"/>
              </w:rPr>
              <w:t xml:space="preserve">甲胎蛋白（AFP）、癌胚抗原（CEA）、糖类抗原（CA242、CA125、CA153、CA199、CA724）、鳞状细胞癌相关抗原（SCC）、细胞角蛋白19片段（CYFRA211）、神经元特异性烯醇化酶（NSE）、人附睾蛋白（HE4）、free hCG</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男性肿瘤指标高级筛查：</w:t>
            </w:r>
            <w:r/>
          </w:p>
          <w:p>
            <w:pPr>
              <w:jc w:val="left"/>
              <w:rPr>
                <w:rFonts w:ascii="宋体" w:hAnsi="宋体" w:cs="宋体"/>
                <w:szCs w:val="21"/>
              </w:rPr>
            </w:pPr>
            <w:r>
              <w:rPr>
                <w:rFonts w:hint="eastAsia" w:ascii="宋体" w:hAnsi="宋体" w:cs="宋体"/>
                <w:szCs w:val="21"/>
              </w:rPr>
              <w:t xml:space="preserve">甲胎蛋白（AFP）、癌胚抗原（CEA）、糖类抗原（CA242、CA125、CA199、CA724）、鳞状细胞癌相关抗原（SCC）、细胞角蛋白19片段（CYFRA211）、神经元特异性烯醇化酶（NSE）、前列腺特异抗原(PSA.FPSA）、free hCG</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颈动脉彩超（不包括颈静脉）</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女性加做：乳腺彩超</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已婚女性加做：妇科常规检查+白带常规+宫颈TCT（早期宫颈癌筛查）</w:t>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甲功全套</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静脉采血及材料费</w:t>
            </w:r>
            <w:r/>
          </w:p>
        </w:tc>
      </w:tr>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rPr>
                <w:rFonts w:ascii="宋体" w:hAnsi="宋体" w:cs="宋体"/>
                <w:szCs w:val="21"/>
              </w:rPr>
            </w:pPr>
            <w:r>
              <w:rPr>
                <w:rFonts w:hint="eastAsia" w:ascii="宋体" w:hAnsi="宋体" w:cs="宋体"/>
                <w:szCs w:val="21"/>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jc w:val="left"/>
              <w:rPr>
                <w:rFonts w:ascii="宋体" w:hAnsi="宋体" w:cs="宋体"/>
                <w:szCs w:val="21"/>
              </w:rPr>
            </w:pPr>
            <w:r>
              <w:rPr>
                <w:rFonts w:hint="eastAsia" w:ascii="宋体" w:hAnsi="宋体" w:cs="宋体"/>
                <w:szCs w:val="21"/>
              </w:rPr>
              <w:t xml:space="preserve">心脏彩超</w:t>
            </w:r>
            <w:r/>
          </w:p>
        </w:tc>
      </w:tr>
    </w:tbl>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注：结算时，按照实际体检人数*成交单价进行结算，最终</w:t>
      </w:r>
      <w:r>
        <w:rPr>
          <w:rFonts w:hint="eastAsia" w:ascii="宋体" w:hAnsi="宋体" w:cs="宋体"/>
          <w:b/>
          <w:bCs/>
          <w:szCs w:val="21"/>
        </w:rPr>
        <w:t xml:space="preserve">结算金额</w:t>
      </w:r>
      <w:r>
        <w:rPr>
          <w:rFonts w:hint="eastAsia" w:ascii="宋体" w:hAnsi="宋体" w:cs="宋体"/>
          <w:b/>
          <w:bCs/>
          <w:szCs w:val="21"/>
          <w:lang w:val="zh-CN"/>
        </w:rPr>
        <w:t xml:space="preserve">不超过</w:t>
      </w:r>
      <w:r>
        <w:rPr>
          <w:rFonts w:hint="eastAsia" w:ascii="宋体" w:hAnsi="宋体" w:cs="宋体"/>
          <w:b/>
          <w:bCs/>
          <w:szCs w:val="21"/>
        </w:rPr>
        <w:t xml:space="preserve">预算</w:t>
      </w:r>
      <w:r>
        <w:rPr>
          <w:rFonts w:hint="eastAsia" w:ascii="宋体" w:hAnsi="宋体" w:cs="宋体"/>
          <w:b/>
          <w:bCs/>
          <w:szCs w:val="21"/>
          <w:lang w:val="zh-CN"/>
        </w:rPr>
        <w:t xml:space="preserve">总金额。</w:t>
      </w:r>
      <w:r/>
    </w:p>
    <w:p>
      <w:pPr>
        <w:spacing w:line="360" w:lineRule="auto"/>
        <w:rPr>
          <w:rFonts w:ascii="宋体" w:hAnsi="宋体" w:cs="宋体"/>
          <w:b/>
          <w:bCs/>
          <w:szCs w:val="21"/>
          <w:lang w:val="zh-CN"/>
        </w:rPr>
      </w:pPr>
      <w:r>
        <w:rPr>
          <w:rFonts w:hint="eastAsia" w:ascii="宋体" w:hAnsi="宋体" w:cs="宋体"/>
          <w:b/>
          <w:bCs/>
          <w:szCs w:val="21"/>
          <w:lang w:val="zh-CN"/>
        </w:rPr>
        <w:t xml:space="preserve">（二）服务要求：</w:t>
      </w:r>
      <w:r/>
    </w:p>
    <w:p>
      <w:pPr>
        <w:ind w:firstLine="420"/>
        <w:spacing w:line="360" w:lineRule="auto"/>
        <w:tabs>
          <w:tab w:val="left" w:pos="2478" w:leader="none"/>
        </w:tabs>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体检时间：具体根据采购单位的通知安排日期进行集中体检。</w:t>
      </w:r>
      <w:r/>
    </w:p>
    <w:p>
      <w:pPr>
        <w:ind w:firstLine="420"/>
        <w:spacing w:line="360" w:lineRule="auto"/>
        <w:tabs>
          <w:tab w:val="left" w:pos="2478" w:leader="none"/>
        </w:tabs>
        <w:rPr>
          <w:rFonts w:ascii="宋体" w:hAnsi="宋体" w:cs="宋体"/>
          <w:szCs w:val="21"/>
        </w:rPr>
      </w:pPr>
      <w:r>
        <w:rPr>
          <w:rFonts w:hint="eastAsia" w:ascii="宋体" w:hAnsi="宋体" w:cs="宋体"/>
          <w:szCs w:val="21"/>
        </w:rPr>
        <w:t xml:space="preserve">2.响应单位应具备雄厚的技术力量，能提供优质规范的服务。在响应文件中提供配备的医师团队情况。</w:t>
      </w:r>
      <w:r/>
    </w:p>
    <w:p>
      <w:pPr>
        <w:ind w:firstLine="420"/>
        <w:spacing w:line="360" w:lineRule="auto"/>
        <w:tabs>
          <w:tab w:val="left" w:pos="2478" w:leader="none"/>
        </w:tabs>
        <w:rPr>
          <w:rFonts w:ascii="宋体" w:hAnsi="宋体" w:cs="宋体"/>
          <w:szCs w:val="21"/>
        </w:rPr>
      </w:pPr>
      <w:r>
        <w:rPr>
          <w:rFonts w:hint="eastAsia" w:ascii="宋体" w:hAnsi="宋体" w:cs="宋体"/>
          <w:szCs w:val="21"/>
        </w:rPr>
        <w:t xml:space="preserve">3.成交单位负责在指定时间内安排体检、对体检结果分析、提供治疗建议及健康评估报告。</w:t>
      </w:r>
      <w:r/>
    </w:p>
    <w:p>
      <w:pPr>
        <w:ind w:firstLine="420"/>
        <w:spacing w:line="360" w:lineRule="auto"/>
        <w:tabs>
          <w:tab w:val="left" w:pos="2478" w:leader="none"/>
        </w:tabs>
        <w:rPr>
          <w:rFonts w:ascii="宋体" w:hAnsi="宋体" w:cs="宋体"/>
          <w:szCs w:val="21"/>
        </w:rPr>
      </w:pPr>
      <w:r>
        <w:rPr>
          <w:rFonts w:hint="eastAsia" w:ascii="宋体" w:hAnsi="宋体" w:cs="宋体"/>
          <w:szCs w:val="21"/>
        </w:rPr>
        <w:t xml:space="preserve">4.成交单位须为体检对象提供体检之日的免费早餐和免费停车。</w:t>
      </w:r>
      <w:r/>
    </w:p>
    <w:p>
      <w:pPr>
        <w:ind w:firstLine="420"/>
        <w:spacing w:line="360" w:lineRule="auto"/>
        <w:tabs>
          <w:tab w:val="left" w:pos="2478" w:leader="none"/>
        </w:tabs>
        <w:rPr>
          <w:rFonts w:ascii="宋体" w:hAnsi="宋体" w:cs="宋体"/>
          <w:szCs w:val="21"/>
        </w:rPr>
      </w:pPr>
      <w:r>
        <w:rPr>
          <w:rFonts w:hint="eastAsia" w:ascii="宋体" w:hAnsi="宋体" w:cs="宋体"/>
          <w:szCs w:val="21"/>
        </w:rPr>
        <w:t xml:space="preserve">5.针对检查结果中出现的需要进一步就医检查、定期复查的项目及时通知到位，保证受检人员疾病得到及时诊治；并安排体检异常人员的复检及提供绿色通道，复检费用自理。</w:t>
      </w:r>
      <w:r/>
    </w:p>
    <w:p>
      <w:pPr>
        <w:ind w:firstLine="420"/>
        <w:spacing w:line="360" w:lineRule="auto"/>
        <w:tabs>
          <w:tab w:val="left" w:pos="2478" w:leader="none"/>
        </w:tabs>
        <w:rPr>
          <w:rFonts w:ascii="宋体" w:hAnsi="宋体" w:cs="宋体"/>
          <w:szCs w:val="21"/>
        </w:rPr>
      </w:pPr>
      <w:r>
        <w:rPr>
          <w:rFonts w:hint="eastAsia" w:ascii="宋体" w:hAnsi="宋体" w:cs="宋体"/>
          <w:szCs w:val="21"/>
        </w:rPr>
        <w:t xml:space="preserve">6.响应单位可提供职工自费自选其他体检项目，如胃肠镜、CTA、磁共振等。</w:t>
      </w:r>
      <w:r/>
    </w:p>
    <w:p>
      <w:pPr>
        <w:ind w:firstLine="420"/>
        <w:spacing w:line="360" w:lineRule="auto"/>
        <w:tabs>
          <w:tab w:val="left" w:pos="2478" w:leader="none"/>
        </w:tabs>
        <w:rPr>
          <w:rFonts w:ascii="宋体" w:hAnsi="宋体" w:cs="宋体"/>
          <w:bCs/>
          <w:szCs w:val="21"/>
        </w:rPr>
      </w:pPr>
      <w:r>
        <w:rPr>
          <w:rFonts w:hint="eastAsia" w:ascii="宋体" w:hAnsi="宋体" w:cs="宋体"/>
          <w:szCs w:val="21"/>
        </w:rPr>
        <w:t xml:space="preserve">7.成交单位须设立</w:t>
      </w:r>
      <w:r>
        <w:rPr>
          <w:rFonts w:hint="eastAsia" w:ascii="宋体" w:hAnsi="宋体" w:cs="宋体"/>
          <w:bCs/>
          <w:szCs w:val="21"/>
        </w:rPr>
        <w:t xml:space="preserve">服务质量投诉电话和服务质量征求意见薄，对有关问题应及时答复和采取相应的改进措施。</w:t>
      </w:r>
      <w:r/>
    </w:p>
    <w:p>
      <w:pPr>
        <w:ind w:firstLine="420"/>
        <w:spacing w:line="360" w:lineRule="auto"/>
        <w:tabs>
          <w:tab w:val="left" w:pos="2478" w:leader="none"/>
        </w:tabs>
        <w:rPr>
          <w:rFonts w:ascii="宋体" w:hAnsi="宋体" w:cs="宋体"/>
          <w:bCs/>
          <w:szCs w:val="21"/>
        </w:rPr>
      </w:pPr>
      <w:r>
        <w:rPr>
          <w:rFonts w:hint="eastAsia" w:ascii="宋体" w:hAnsi="宋体" w:cs="宋体"/>
          <w:bCs/>
          <w:szCs w:val="21"/>
        </w:rPr>
        <w:t xml:space="preserve">8.检后跟踪服务:提供至少一年的后续跟踪服务，开展健康讲座，建立检后健康管理档案，持续记录职工健康状况变化。</w:t>
      </w:r>
      <w:r/>
    </w:p>
    <w:p>
      <w:pPr>
        <w:ind w:firstLine="420"/>
        <w:spacing w:line="360" w:lineRule="auto"/>
        <w:tabs>
          <w:tab w:val="left" w:pos="2478" w:leader="none"/>
        </w:tabs>
        <w:rPr>
          <w:rFonts w:ascii="宋体" w:hAnsi="宋体" w:cs="宋体"/>
          <w:bCs/>
          <w:szCs w:val="21"/>
        </w:rPr>
      </w:pPr>
      <w:r>
        <w:rPr>
          <w:rFonts w:hint="eastAsia" w:ascii="宋体" w:hAnsi="宋体" w:cs="宋体"/>
          <w:bCs/>
          <w:szCs w:val="21"/>
        </w:rPr>
        <w:t xml:space="preserve">9.报告解读与咨询:安排一次上门体检报告集中解析答疑，设立咨询服务电话，专人接待对体检报告有疑问的受检者。</w:t>
      </w:r>
      <w:r/>
    </w:p>
    <w:p>
      <w:pPr>
        <w:ind w:firstLine="420"/>
        <w:spacing w:line="360" w:lineRule="auto"/>
        <w:tabs>
          <w:tab w:val="left" w:pos="2478" w:leader="none"/>
        </w:tabs>
        <w:rPr>
          <w:rFonts w:ascii="宋体" w:hAnsi="宋体" w:cs="宋体"/>
          <w:bCs/>
          <w:szCs w:val="21"/>
        </w:rPr>
      </w:pPr>
      <w:r>
        <w:rPr>
          <w:rFonts w:hint="eastAsia" w:ascii="宋体" w:hAnsi="宋体" w:cs="宋体"/>
          <w:bCs/>
          <w:szCs w:val="21"/>
        </w:rPr>
        <w:t xml:space="preserve">10.绿色就医通道:为检出重大阳性或需要进一步诊疗的职工提供预约专家门诊服务。</w:t>
      </w:r>
      <w:r/>
    </w:p>
    <w:p>
      <w:pPr>
        <w:ind w:firstLine="420"/>
        <w:spacing w:line="360" w:lineRule="auto"/>
        <w:tabs>
          <w:tab w:val="left" w:pos="2478" w:leader="none"/>
        </w:tabs>
        <w:rPr>
          <w:rFonts w:ascii="宋体" w:hAnsi="宋体" w:cs="宋体"/>
          <w:bCs/>
          <w:szCs w:val="21"/>
        </w:rPr>
      </w:pPr>
      <w:r>
        <w:rPr>
          <w:rFonts w:hint="eastAsia" w:ascii="宋体" w:hAnsi="宋体" w:cs="宋体"/>
          <w:bCs/>
          <w:szCs w:val="21"/>
        </w:rPr>
        <w:t xml:space="preserve">11.投诉与纠纷处理:设立投诉热线，接到投诉后2小时内响应，24小时内给出处理方案。对体检结果有异议的，免费提供一次复检(同项目)，若属机构责任，承担相应赔偿责任。</w:t>
      </w:r>
      <w:r/>
    </w:p>
    <w:p>
      <w:pPr>
        <w:ind w:firstLine="420"/>
        <w:spacing w:line="360" w:lineRule="auto"/>
        <w:tabs>
          <w:tab w:val="left" w:pos="2478" w:leader="none"/>
        </w:tabs>
        <w:rPr>
          <w:rFonts w:ascii="宋体" w:hAnsi="宋体" w:cs="宋体"/>
          <w:bCs/>
          <w:szCs w:val="21"/>
        </w:rPr>
      </w:pPr>
      <w:r>
        <w:rPr>
          <w:rFonts w:hint="eastAsia" w:ascii="宋体" w:hAnsi="宋体" w:cs="宋体"/>
          <w:bCs/>
          <w:szCs w:val="21"/>
        </w:rPr>
        <w:t xml:space="preserve">12.质量评价与合同管理:每年体检结束后进行满意度测评，以满意度(≥85分)、体检报告准确率、应急处理及时率作为主要验收指标，测评不合格或发生不良体检事件超过3人以上的，采购人有权终止合同。</w:t>
      </w:r>
      <w:r/>
    </w:p>
    <w:p>
      <w:pPr>
        <w:ind w:firstLine="420"/>
        <w:spacing w:line="360" w:lineRule="auto"/>
        <w:tabs>
          <w:tab w:val="left" w:pos="2478" w:leader="none"/>
        </w:tabs>
        <w:rPr>
          <w:rFonts w:ascii="宋体" w:hAnsi="宋体" w:cs="宋体"/>
          <w:bCs/>
          <w:szCs w:val="21"/>
        </w:rPr>
      </w:pPr>
      <w:r>
        <w:rPr>
          <w:rFonts w:hint="eastAsia" w:ascii="宋体" w:hAnsi="宋体" w:cs="宋体"/>
          <w:bCs/>
          <w:szCs w:val="21"/>
        </w:rPr>
        <w:t xml:space="preserve">13.信息保密义务:双方对体检涉及的全部人员信息承担保密义务，未经采购人或参检人员同意，不得对外公布或向第三方提供，保密义务在合同终止后长期有效。</w:t>
      </w:r>
      <w:r/>
    </w:p>
    <w:p>
      <w:pPr>
        <w:ind w:firstLine="420"/>
        <w:spacing w:line="360" w:lineRule="auto"/>
        <w:tabs>
          <w:tab w:val="left" w:pos="2478" w:leader="none"/>
        </w:tabs>
        <w:rPr>
          <w:rFonts w:ascii="宋体" w:hAnsi="宋体" w:cs="宋体"/>
          <w:bCs/>
          <w:szCs w:val="21"/>
        </w:rPr>
      </w:pPr>
      <w:r>
        <w:rPr>
          <w:rFonts w:hint="eastAsia" w:ascii="宋体" w:hAnsi="宋体" w:cs="宋体"/>
          <w:bCs/>
          <w:szCs w:val="21"/>
        </w:rPr>
        <w:t xml:space="preserve">14.医疗责任:因体检机构原因导致漏检、误检、未及时提示以致错过最佳治疗时间的，体检机构应承担相应赔偿责任。</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rPr>
        <w:t xml:space="preserve">其他</w:t>
      </w:r>
      <w:r>
        <w:rPr>
          <w:rFonts w:hint="eastAsia" w:ascii="宋体" w:hAnsi="宋体" w:cs="宋体"/>
          <w:b/>
          <w:bCs/>
          <w:szCs w:val="21"/>
          <w:lang w:val="zh-CN"/>
        </w:rPr>
        <w:t xml:space="preserve">要求：</w:t>
      </w:r>
      <w:r/>
    </w:p>
    <w:p>
      <w:pPr>
        <w:ind w:firstLine="420"/>
        <w:spacing w:line="360" w:lineRule="auto"/>
        <w:tabs>
          <w:tab w:val="left" w:pos="2478" w:leader="none"/>
        </w:tabs>
        <w:rPr>
          <w:rFonts w:ascii="宋体" w:hAnsi="宋体" w:cs="宋体"/>
          <w:szCs w:val="21"/>
        </w:rPr>
      </w:pPr>
      <w:r>
        <w:rPr>
          <w:rFonts w:hint="eastAsia" w:ascii="宋体" w:hAnsi="宋体" w:cs="宋体"/>
          <w:szCs w:val="21"/>
        </w:rPr>
        <w:t xml:space="preserve">1.服务时间：采购单位</w:t>
      </w:r>
      <w:r>
        <w:rPr>
          <w:rFonts w:hint="eastAsia" w:ascii="宋体" w:hAnsi="宋体" w:cs="宋体"/>
          <w:szCs w:val="21"/>
          <w:lang w:val="zh-CN"/>
        </w:rPr>
        <w:t xml:space="preserve">安排时间组织职工体检，并提前一周告知</w:t>
      </w:r>
      <w:r>
        <w:rPr>
          <w:rFonts w:hint="eastAsia" w:ascii="宋体" w:hAnsi="宋体" w:cs="宋体"/>
          <w:szCs w:val="21"/>
        </w:rPr>
        <w:t xml:space="preserve">成交单位</w:t>
      </w:r>
      <w:r>
        <w:rPr>
          <w:rFonts w:hint="eastAsia" w:ascii="宋体" w:hAnsi="宋体" w:cs="宋体"/>
          <w:szCs w:val="21"/>
          <w:lang w:val="zh-CN"/>
        </w:rPr>
        <w:t xml:space="preserve">，</w:t>
      </w:r>
      <w:r>
        <w:rPr>
          <w:rFonts w:hint="eastAsia" w:ascii="宋体" w:hAnsi="宋体" w:cs="宋体"/>
          <w:szCs w:val="21"/>
        </w:rPr>
        <w:t xml:space="preserve">具体体检时间根据采购单位要求</w:t>
      </w:r>
      <w:r>
        <w:rPr>
          <w:rFonts w:hint="eastAsia" w:ascii="宋体" w:hAnsi="宋体" w:cs="宋体"/>
          <w:szCs w:val="21"/>
          <w:lang w:val="zh-CN"/>
        </w:rPr>
        <w:t xml:space="preserve">。</w:t>
      </w:r>
      <w:r/>
    </w:p>
    <w:p>
      <w:pPr>
        <w:ind w:firstLine="420"/>
        <w:spacing w:line="360" w:lineRule="auto"/>
        <w:tabs>
          <w:tab w:val="left" w:pos="2478" w:leader="none"/>
        </w:tabs>
        <w:rPr>
          <w:rFonts w:ascii="宋体" w:hAnsi="宋体" w:cs="宋体"/>
          <w:szCs w:val="21"/>
        </w:rPr>
      </w:pPr>
      <w:r>
        <w:rPr>
          <w:rFonts w:hint="eastAsia" w:ascii="宋体" w:hAnsi="宋体" w:cs="宋体"/>
          <w:szCs w:val="21"/>
        </w:rPr>
        <w:t xml:space="preserve">2.服务地点：成交单位提供体检场所。</w:t>
      </w:r>
      <w:r/>
    </w:p>
    <w:p>
      <w:pPr>
        <w:spacing w:line="360" w:lineRule="auto"/>
        <w:rPr>
          <w:rFonts w:ascii="宋体" w:hAnsi="宋体" w:cs="宋体"/>
          <w:b/>
          <w:bCs/>
          <w:szCs w:val="21"/>
          <w:lang w:val="zh-CN"/>
        </w:rPr>
      </w:pPr>
      <w:r>
        <w:rPr>
          <w:rFonts w:hint="eastAsia" w:ascii="宋体" w:hAnsi="宋体" w:cs="宋体"/>
          <w:b/>
          <w:bCs/>
          <w:szCs w:val="21"/>
        </w:rPr>
        <w:t xml:space="preserve">五、</w:t>
      </w:r>
      <w:r>
        <w:rPr>
          <w:rFonts w:hint="eastAsia" w:ascii="宋体" w:hAnsi="宋体" w:cs="宋体"/>
          <w:b/>
          <w:bCs/>
          <w:szCs w:val="21"/>
          <w:lang w:val="zh-CN"/>
        </w:rPr>
        <w:t xml:space="preserve">其他</w:t>
      </w:r>
      <w:r>
        <w:rPr>
          <w:rFonts w:hint="eastAsia" w:ascii="宋体" w:hAnsi="宋体" w:cs="宋体"/>
          <w:b/>
          <w:bCs/>
          <w:szCs w:val="21"/>
        </w:rPr>
        <w:t xml:space="preserve">说明</w:t>
      </w:r>
      <w:r>
        <w:rPr>
          <w:rFonts w:hint="eastAsia" w:ascii="宋体" w:hAnsi="宋体" w:cs="宋体"/>
          <w:b/>
          <w:bCs/>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1.磋商响应单位必须遵守中华人民共和国《劳动法》的规定，为采购单位提供的服务人员如遇到</w:t>
      </w:r>
      <w:r>
        <w:rPr>
          <w:rFonts w:hint="eastAsia" w:ascii="宋体" w:hAnsi="宋体" w:cs="宋体"/>
          <w:szCs w:val="21"/>
        </w:rPr>
        <w:t xml:space="preserve">工资纠纷等劳务纠纷问题由磋商响应单位自行解决，与采购单位无关。</w:t>
      </w:r>
      <w:r/>
    </w:p>
    <w:p>
      <w:pPr>
        <w:ind w:firstLine="420"/>
        <w:spacing w:line="360" w:lineRule="auto"/>
        <w:rPr>
          <w:rFonts w:ascii="宋体" w:hAnsi="宋体" w:cs="宋体"/>
          <w:szCs w:val="21"/>
        </w:rPr>
      </w:pPr>
      <w:r>
        <w:rPr>
          <w:rFonts w:hint="eastAsia" w:ascii="宋体" w:hAnsi="宋体" w:cs="宋体"/>
          <w:szCs w:val="21"/>
        </w:rPr>
        <w:t xml:space="preserve">2.成交单位在项目服务过程中取得的相关信息，成交单位服务工作人员必须严格保密，不得外泄，否则在结算款中扣罚2万元，并追究其相应的法律责任。</w:t>
      </w:r>
      <w:r/>
    </w:p>
    <w:p>
      <w:pPr>
        <w:ind w:firstLine="420"/>
        <w:spacing w:line="360" w:lineRule="auto"/>
        <w:rPr>
          <w:rFonts w:ascii="宋体" w:hAnsi="宋体" w:cs="宋体"/>
          <w:szCs w:val="21"/>
        </w:rPr>
      </w:pPr>
      <w:r>
        <w:rPr>
          <w:rFonts w:hint="eastAsia" w:ascii="宋体" w:hAnsi="宋体" w:cs="宋体"/>
          <w:szCs w:val="21"/>
        </w:rPr>
        <w:t xml:space="preserve">3.成交单位负责做好体检资料的制作、管理和发放 (包括体检表，体检须知)，体检人员不慎遗失体检表或因工作调动等原因造成采购人漏报体检人员，成交单位应予及时补发。</w:t>
      </w:r>
      <w:r/>
    </w:p>
    <w:p>
      <w:pPr>
        <w:ind w:firstLine="420"/>
        <w:spacing w:line="360" w:lineRule="auto"/>
        <w:rPr>
          <w:rFonts w:ascii="宋体" w:hAnsi="宋体" w:cs="宋体"/>
          <w:b/>
          <w:szCs w:val="21"/>
        </w:rPr>
        <w:outlineLvl w:val="1"/>
      </w:pPr>
      <w:r>
        <w:rPr>
          <w:rFonts w:hint="eastAsia" w:ascii="宋体" w:hAnsi="宋体" w:cs="宋体"/>
          <w:szCs w:val="21"/>
        </w:rPr>
        <w:t xml:space="preserve">4.响应单位须对本次采购的服务提供详细的服务方案，如：体检程序及体检安排等。</w:t>
      </w:r>
      <w:r/>
    </w:p>
    <w:p>
      <w:pPr>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ind w:firstLine="420"/>
        <w:jc w:val="left"/>
        <w:spacing w:line="360" w:lineRule="auto"/>
        <w:rPr>
          <w:rFonts w:ascii="宋体" w:hAnsi="宋体" w:cs="宋体"/>
          <w:szCs w:val="21"/>
        </w:rPr>
      </w:pPr>
      <w:r>
        <w:rPr>
          <w:rFonts w:hint="eastAsia" w:ascii="宋体" w:hAnsi="宋体" w:cs="宋体"/>
          <w:szCs w:val="21"/>
        </w:rPr>
        <w:t xml:space="preserve">（一）文件组成（部分格式见附件）</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1.封面</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770"/>
        <w:ind w:firstLine="422"/>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3.磋商报价分析表（如有）；</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77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77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77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4.1.2具有良好的商业信誉和健全的财务会计制度。提供包括但不限于最近一期（2024年度或2025年度）财务审计报告或最近一期财务报表，其他组织、自然人及成立未满一年的法人应提供银行出具的资信证明；</w:t>
      </w:r>
      <w:r/>
    </w:p>
    <w:p>
      <w:pPr>
        <w:pStyle w:val="77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77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77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ind w:firstLine="420"/>
        <w:jc w:val="left"/>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szCs w:val="21"/>
        </w:rPr>
        <w:t xml:space="preserve">法律、行政法规规定的其他条件</w:t>
      </w:r>
      <w:r>
        <w:rPr>
          <w:rFonts w:hint="eastAsia" w:ascii="宋体" w:hAnsi="宋体" w:cs="宋体"/>
          <w:bCs/>
          <w:szCs w:val="21"/>
        </w:rPr>
        <w:t xml:space="preserve">。提供书面声明函</w:t>
      </w:r>
      <w:r>
        <w:rPr>
          <w:rFonts w:hint="eastAsia" w:ascii="宋体" w:hAnsi="宋体" w:cs="宋体"/>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szCs w:val="21"/>
        </w:rPr>
        <w:t xml:space="preserve">具有有效的《医疗机构执业许可证》，提供证明文件。</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5.1磋商响应函；</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5.2服务偏离表；</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5.3商务条款偏离表；</w:t>
      </w:r>
      <w:r/>
    </w:p>
    <w:p>
      <w:pPr>
        <w:pStyle w:val="770"/>
        <w:spacing w:line="360" w:lineRule="auto"/>
        <w:widowControl w:val="off"/>
        <w:rPr>
          <w:rFonts w:ascii="宋体" w:hAnsi="宋体" w:eastAsia="宋体" w:cs="宋体"/>
          <w:bCs/>
          <w:sz w:val="21"/>
          <w:szCs w:val="21"/>
        </w:rPr>
      </w:pPr>
      <w:r>
        <w:rPr>
          <w:rFonts w:hint="eastAsia" w:ascii="宋体" w:hAnsi="宋体" w:eastAsia="宋体" w:cs="宋体"/>
          <w:sz w:val="21"/>
          <w:szCs w:val="21"/>
        </w:rPr>
        <w:t xml:space="preserve">5.4</w:t>
      </w:r>
      <w:r>
        <w:rPr>
          <w:rFonts w:hint="eastAsia" w:ascii="宋体" w:hAnsi="宋体" w:eastAsia="宋体" w:cs="宋体"/>
          <w:bCs/>
          <w:sz w:val="21"/>
          <w:szCs w:val="21"/>
        </w:rPr>
        <w:t xml:space="preserve">关于资格文件的声明函；</w:t>
      </w:r>
      <w:r/>
    </w:p>
    <w:p>
      <w:pPr>
        <w:pStyle w:val="770"/>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5.5磋商响应单位法定代表人身份证复印件；法定代表人授权委托书和授权代理人身份证复印件（如有授权）；</w:t>
      </w:r>
      <w:r/>
    </w:p>
    <w:p>
      <w:pPr>
        <w:pStyle w:val="770"/>
        <w:spacing w:line="360" w:lineRule="auto"/>
        <w:widowControl w:val="off"/>
        <w:rPr>
          <w:rFonts w:ascii="宋体" w:hAnsi="宋体" w:eastAsia="宋体" w:cs="宋体"/>
          <w:sz w:val="21"/>
          <w:szCs w:val="21"/>
        </w:rPr>
      </w:pPr>
      <w:r>
        <w:rPr>
          <w:rFonts w:hint="eastAsia" w:ascii="宋体" w:hAnsi="宋体" w:eastAsia="宋体" w:cs="宋体"/>
          <w:bCs/>
          <w:sz w:val="21"/>
          <w:szCs w:val="21"/>
        </w:rPr>
        <w:t xml:space="preserve">5.6</w:t>
      </w:r>
      <w:r>
        <w:rPr>
          <w:rFonts w:hint="eastAsia" w:ascii="宋体" w:hAnsi="宋体" w:eastAsia="宋体" w:cs="宋体"/>
          <w:sz w:val="21"/>
          <w:szCs w:val="21"/>
        </w:rPr>
        <w:t xml:space="preserve">投标（响应）保证承诺书；</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5.7</w:t>
      </w:r>
      <w:r>
        <w:rPr>
          <w:rFonts w:hint="eastAsia" w:ascii="宋体" w:hAnsi="宋体" w:eastAsia="宋体" w:cs="宋体"/>
          <w:bCs/>
          <w:sz w:val="21"/>
          <w:szCs w:val="21"/>
        </w:rPr>
        <w:t xml:space="preserve">磋商响应单位基本情况表；</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5.8其他有关符合性证明的文件；</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6、综合评审响应文件（具体模块以系统生成为准）</w:t>
      </w:r>
      <w:r/>
    </w:p>
    <w:p>
      <w:pPr>
        <w:pStyle w:val="770"/>
        <w:spacing w:line="360" w:lineRule="auto"/>
        <w:widowControl w:val="off"/>
        <w:rPr>
          <w:rFonts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.1针对本项目的整体工作方案；</w:t>
      </w:r>
      <w:r/>
    </w:p>
    <w:p>
      <w:pPr>
        <w:pStyle w:val="770"/>
        <w:spacing w:line="360" w:lineRule="auto"/>
        <w:widowControl w:val="off"/>
        <w:rPr>
          <w:rFonts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.2针对本项目的人员配置；</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6.3 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6.4 采购需求及评分标准中所涉及到的其他材料。</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7、价格折扣文件格式（本项目非专门面向中小企业采购）</w:t>
      </w:r>
      <w:r/>
    </w:p>
    <w:p>
      <w:pPr>
        <w:pStyle w:val="770"/>
        <w:ind w:firstLine="421"/>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7.1《中小企业声明函》或《残疾人福利性单位声明函》或省级以上监狱管理局、戒毒管理局（含新疆生产建设兵团）出具的属于监狱企业的证明文件（如为小微企业或残疾人福利性单位或监狱企业提供）。</w:t>
      </w:r>
      <w:r/>
    </w:p>
    <w:p>
      <w:pPr>
        <w:pStyle w:val="770"/>
        <w:ind w:firstLine="421"/>
        <w:spacing w:line="360" w:lineRule="auto"/>
        <w:widowControl w:val="off"/>
        <w:rPr>
          <w:rFonts w:ascii="宋体" w:hAnsi="宋体" w:eastAsia="宋体" w:cs="宋体"/>
          <w:bCs/>
          <w:sz w:val="21"/>
          <w:szCs w:val="21"/>
        </w:rPr>
      </w:pPr>
      <w:r>
        <w:rPr>
          <w:rFonts w:hint="eastAsia" w:ascii="宋体" w:hAnsi="宋体" w:eastAsia="宋体" w:cs="宋体"/>
          <w:bCs/>
          <w:sz w:val="21"/>
          <w:szCs w:val="21"/>
        </w:rPr>
        <w:t xml:space="preserve">7.2供应商对其提供的产品出具《关于符合本国产品标准的声明函》（以下简称《声明函》）或财政部会同有关部门规定的有关证明文件。</w:t>
      </w:r>
      <w:r/>
    </w:p>
    <w:p>
      <w:pPr>
        <w:pStyle w:val="770"/>
        <w:ind w:firstLine="0"/>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（1）以上4.1-4.2为资格审查要求提供的材料，是作为对供应商资格审查、质疑身份认定的依据，响应供应商必须提供并加盖电子公章。否则，磋商响应文件将被认定为不符合资格审查要求。</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bCs/>
          <w:sz w:val="21"/>
          <w:szCs w:val="21"/>
        </w:rPr>
        <w:t xml:space="preserve">（2）以上5.1-5.8为符合性审查须提供的资料，响应供应商必须提供并加盖电子公章。否则，磋商响应文件将被认定为未实质性响应。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70"/>
        <w:spacing w:line="360" w:lineRule="auto"/>
        <w:widowControl w:val="off"/>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70"/>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六、磋商程序</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770"/>
        <w:spacing w:line="360" w:lineRule="auto"/>
        <w:widowControl w:val="off"/>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5.由磋商小组对各响应单位的资格性和符合性进行审查。资格审查内容包括：</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w:t>
      </w:r>
      <w:r>
        <w:rPr>
          <w:rFonts w:hint="eastAsia" w:ascii="宋体" w:hAnsi="宋体" w:eastAsia="宋体" w:cs="宋体"/>
          <w:sz w:val="21"/>
          <w:szCs w:val="21"/>
        </w:rPr>
        <w:t xml:space="preserve">记录；</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957"/>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70"/>
        <w:spacing w:line="360" w:lineRule="auto"/>
        <w:widowControl w:val="off"/>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w:t>
      </w:r>
      <w:r>
        <w:rPr>
          <w:rFonts w:hint="eastAsia" w:ascii="宋体" w:hAnsi="宋体" w:eastAsia="宋体" w:cs="宋体"/>
          <w:b/>
          <w:sz w:val="21"/>
          <w:szCs w:val="21"/>
        </w:rPr>
        <w:t xml:space="preserve">应商慎重提交）</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1.磋商响应报价包括但不限于完成本项目所有服务产生的费用、所有服务人员的人工费、交通、餐费、</w:t>
      </w:r>
      <w:r>
        <w:rPr>
          <w:rFonts w:hint="eastAsia" w:ascii="宋体" w:hAnsi="宋体" w:cs="宋体"/>
          <w:bCs/>
          <w:szCs w:val="21"/>
        </w:rPr>
        <w:t xml:space="preserve">采购代理服务费</w:t>
      </w:r>
      <w:r>
        <w:rPr>
          <w:rFonts w:hint="eastAsia" w:ascii="宋体" w:hAnsi="宋体" w:cs="宋体"/>
          <w:szCs w:val="21"/>
        </w:rPr>
        <w:t xml:space="preserve">、税费、利润、税金、政策性文件规定及合同实施过程中的不可预见的各项费用。磋商最后报价为最终报价，且单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005"/>
          <w:rFonts w:ascii="宋体" w:hAnsi="宋体" w:cs="宋体"/>
          <w:b/>
          <w:szCs w:val="21"/>
        </w:rPr>
      </w:pPr>
      <w:r>
        <w:rPr>
          <w:rStyle w:val="1005"/>
          <w:rFonts w:ascii="Wingdings" w:hAnsi="Wingdings" w:eastAsia="Wingdings" w:cs="Wingdings"/>
          <w:b/>
          <w:szCs w:val="21"/>
        </w:rPr>
        <w:t xml:space="preserve"></w:t>
      </w:r>
      <w:r>
        <w:rPr>
          <w:rStyle w:val="1005"/>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bCs/>
          <w:szCs w:val="21"/>
        </w:rPr>
      </w:pPr>
      <w:r>
        <w:rPr>
          <w:rFonts w:hint="eastAsia" w:ascii="宋体" w:hAnsi="宋体" w:cs="宋体"/>
          <w:bCs/>
          <w:szCs w:val="21"/>
        </w:rPr>
        <w:t xml:space="preserve">4.采购代理服务费：本项目在编制预算时已综合考虑采购代理服务费，根据代理协议约定由成交单位支付，请各供应商在响应报价时予以综合考虑。</w:t>
      </w:r>
      <w:r>
        <w:rPr>
          <w:rStyle w:val="1005"/>
          <w:rFonts w:hint="eastAsia" w:ascii="宋体" w:hAnsi="宋体" w:cs="宋体"/>
          <w:szCs w:val="21"/>
        </w:rPr>
        <w:t xml:space="preserve">收费标准：按照预算金额计算并支付，具体为100万元以内1.5%、100万元～500万元以内1.1%差额定率累进法计算并支付成交服务费，不足叁仟按叁仟元计算，该费用应在领取成交通知书时付清。</w:t>
      </w:r>
      <w:r>
        <w:rPr>
          <w:rFonts w:hint="eastAsia" w:ascii="宋体" w:hAnsi="宋体" w:cs="宋体"/>
          <w:bCs/>
          <w:szCs w:val="21"/>
        </w:rPr>
        <w:t xml:space="preserve">本项目采购代理服务费为人民币壹万陆仟壹佰元整。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03"/>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03"/>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003"/>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03"/>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（1）采购代理机构会在接收响应文件截止时间后，登录信用中国网站（www.creditchina.gov.cn/）和中国政府采购网（www.ccgp.gov.cn/）查询供应商的信用记录，并将查询结果递交评审小组。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w:t>
      </w:r>
      <w:r>
        <w:rPr>
          <w:rFonts w:hint="eastAsia" w:ascii="宋体" w:hAnsi="宋体" w:cs="宋体"/>
          <w:szCs w:val="21"/>
        </w:rPr>
        <w:t xml:space="preserve">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5" w:name="_Hlk132385599"/>
      <w:r/>
      <w:bookmarkStart w:id="6" w:name="_Hlk132385577"/>
      <w:r/>
      <w:bookmarkStart w:id="7" w:name="_Hlk132389804"/>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5"/>
      <w:r/>
      <w:bookmarkEnd w:id="6"/>
      <w:r/>
      <w:bookmarkEnd w:id="7"/>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（4）事实依据；</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770"/>
        <w:spacing w:line="360" w:lineRule="auto"/>
        <w:widowControl w:val="off"/>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  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联系电话：0512-65238816</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w:t>
      </w:r>
      <w:r>
        <w:rPr>
          <w:rFonts w:hint="eastAsia" w:ascii="宋体" w:hAnsi="宋体" w:cs="宋体"/>
          <w:b/>
          <w:bCs/>
          <w:szCs w:val="21"/>
        </w:rPr>
        <w:t xml:space="preserve">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（7）政府采购中实施本国产品标准及相关政策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7.1.本项目对采购本国产品给予政策支持：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hint="eastAsia" w:ascii="宋体" w:hAnsi="宋体" w:cs="宋体"/>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0"/>
        <w:ind w:firstLine="422"/>
        <w:spacing w:line="360" w:lineRule="auto"/>
        <w:widowControl w:val="off"/>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134" w:bottom="1440" w:left="1417" w:header="850" w:footer="850"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满足采购文件实质性要求前提下，按照采购文件中规定的评分标准和各项因素进行综合评审后，经采购人书面授权</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tabs>
          <w:tab w:val="left" w:pos="567" w:leader="none"/>
        </w:tabs>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tabs>
          <w:tab w:val="left" w:pos="567" w:leader="none"/>
        </w:tabs>
        <w:rPr>
          <w:rFonts w:ascii="宋体" w:hAnsi="宋体" w:cs="宋体"/>
          <w:b/>
          <w:bCs/>
        </w:rPr>
      </w:pPr>
      <w:r>
        <w:rPr>
          <w:rFonts w:hint="eastAsia" w:ascii="宋体" w:hAnsi="宋体" w:cs="宋体"/>
        </w:rPr>
        <w:t xml:space="preserve">4.</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bookmarkStart w:id="8" w:name="OLE_LINK21"/>
      <w:r>
        <w:rPr>
          <w:rFonts w:hint="eastAsia" w:ascii="宋体" w:hAnsi="宋体" w:cs="宋体"/>
          <w:b/>
          <w:bCs/>
          <w:szCs w:val="21"/>
        </w:rPr>
        <w:t xml:space="preserve">（一）</w:t>
      </w:r>
      <w:bookmarkEnd w:id="8"/>
      <w:r>
        <w:rPr>
          <w:rFonts w:hint="eastAsia" w:ascii="宋体" w:hAnsi="宋体" w:cs="宋体"/>
          <w:b/>
          <w:szCs w:val="21"/>
        </w:rPr>
        <w:t xml:space="preserve">价格分（10分，以最后报价作为计算依据）</w:t>
      </w:r>
      <w:r/>
    </w:p>
    <w:p>
      <w:pPr>
        <w:ind w:firstLine="420"/>
        <w:spacing w:line="360" w:lineRule="auto"/>
        <w:rPr>
          <w:rFonts w:ascii="宋体" w:hAnsi="宋体" w:cs="宋体"/>
          <w:szCs w:val="21"/>
        </w:rPr>
      </w:pPr>
      <w:r>
        <w:rPr>
          <w:rFonts w:hint="eastAsia" w:ascii="宋体" w:hAnsi="宋体" w:cs="宋体"/>
          <w:szCs w:val="21"/>
        </w:rPr>
        <w:t xml:space="preserve">1、以投标综合单价金额作为价格分计算依据，投标综合单价金额超出最高限价的为无效投标。无效投标报价的磋商响应文件不进行评审，也不得标。</w:t>
      </w:r>
      <w:r/>
    </w:p>
    <w:p>
      <w:pPr>
        <w:ind w:firstLine="420"/>
        <w:spacing w:line="360" w:lineRule="auto"/>
        <w:rPr>
          <w:rFonts w:ascii="宋体" w:hAnsi="宋体" w:cs="宋体"/>
          <w:szCs w:val="21"/>
        </w:rPr>
      </w:pPr>
      <w:r>
        <w:rPr>
          <w:rFonts w:hint="eastAsia" w:ascii="宋体" w:hAnsi="宋体" w:cs="宋体"/>
          <w:szCs w:val="21"/>
        </w:rPr>
        <w:t xml:space="preserve">2、在所有有效投标报价中满足磋商文件要求，且最低的投标报价（投标综合单价金额）为评标基准</w:t>
      </w:r>
      <w:r>
        <w:rPr>
          <w:rFonts w:hint="eastAsia" w:ascii="宋体" w:hAnsi="宋体" w:cs="宋体"/>
          <w:szCs w:val="21"/>
        </w:rPr>
        <w:t xml:space="preserve">价，其价格分为10分，其他磋商响应单位的价格分按照下列公式计算（计算结果四舍五入保留两位小数）。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磋商报价得分=（磋商基准价/最后磋商报价）×价格权值×100（价格权值为10%）。</w:t>
      </w:r>
      <w:r/>
    </w:p>
    <w:p>
      <w:pPr>
        <w:pStyle w:val="1020"/>
        <w:numPr>
          <w:ilvl w:val="0"/>
          <w:numId w:val="5"/>
        </w:numPr>
        <w:ind w:firstLine="368"/>
        <w:spacing w:line="360" w:lineRule="auto"/>
        <w:rPr>
          <w:rFonts w:hAnsi="宋体" w:cs="宋体"/>
          <w:b/>
          <w:bCs/>
          <w:szCs w:val="21"/>
        </w:rPr>
        <w:outlineLvl w:val="0"/>
      </w:pPr>
      <w:r>
        <w:rPr>
          <w:rFonts w:hint="eastAsia" w:hAnsi="宋体" w:cs="宋体"/>
          <w:b/>
          <w:bCs/>
          <w:szCs w:val="21"/>
        </w:rPr>
        <w:t xml:space="preserve">针对本项目的体检服务方案（60分）</w:t>
      </w:r>
      <w:r/>
    </w:p>
    <w:p>
      <w:pPr>
        <w:pStyle w:val="1020"/>
        <w:ind w:firstLine="420"/>
        <w:spacing w:line="360" w:lineRule="auto"/>
        <w:rPr>
          <w:rFonts w:hAnsi="宋体" w:cs="宋体"/>
          <w:szCs w:val="21"/>
        </w:rPr>
        <w:outlineLvl w:val="0"/>
      </w:pPr>
      <w:r>
        <w:rPr>
          <w:rFonts w:hint="eastAsia" w:hAnsi="宋体" w:cs="宋体"/>
          <w:szCs w:val="21"/>
        </w:rPr>
        <w:t xml:space="preserve">1.体检服务方案（10分）</w:t>
      </w:r>
      <w:r/>
    </w:p>
    <w:p>
      <w:pPr>
        <w:pStyle w:val="1020"/>
        <w:ind w:firstLine="368"/>
        <w:spacing w:line="360" w:lineRule="auto"/>
        <w:rPr>
          <w:rFonts w:hAnsi="宋体" w:cs="宋体"/>
          <w:szCs w:val="21"/>
        </w:rPr>
        <w:outlineLvl w:val="0"/>
      </w:pPr>
      <w:r>
        <w:rPr>
          <w:rFonts w:hint="eastAsia" w:hAnsi="宋体" w:cs="宋体"/>
          <w:szCs w:val="21"/>
        </w:rPr>
        <w:t xml:space="preserve">体检服务方案体系完整、内容详实，各服务环节流程清晰、逻辑严谨、贴合项目实际需求，质控体系完善、人员配置充足、保障机制全面的得10分；体检服务方案框架齐全，核心服务流程、保障机制完善，覆盖项目全部体检服务需求，内容规范完整，可落地执行性良好的得7分；体检服务方案内容单薄，仅罗列基础服务流程，关键保障环节存在缺失，服务细节不完善，整体执行性有限的4分；方案差或未提供相应内容的不得分。</w:t>
      </w:r>
      <w:r/>
    </w:p>
    <w:p>
      <w:pPr>
        <w:pStyle w:val="1020"/>
        <w:ind w:firstLine="368"/>
        <w:spacing w:line="360" w:lineRule="auto"/>
        <w:rPr>
          <w:rFonts w:hAnsi="宋体" w:cs="宋体"/>
          <w:szCs w:val="21"/>
        </w:rPr>
        <w:outlineLvl w:val="0"/>
      </w:pPr>
      <w:r>
        <w:rPr>
          <w:rFonts w:hint="eastAsia" w:hAnsi="宋体" w:cs="宋体"/>
          <w:szCs w:val="21"/>
        </w:rPr>
        <w:t xml:space="preserve">2.体检服务工作流程、服务标准、服务质量措施（10分）</w:t>
      </w:r>
      <w:r/>
    </w:p>
    <w:p>
      <w:pPr>
        <w:pStyle w:val="1020"/>
        <w:ind w:firstLine="368"/>
        <w:spacing w:line="360" w:lineRule="auto"/>
        <w:rPr>
          <w:rFonts w:hAnsi="宋体" w:cs="宋体"/>
          <w:szCs w:val="21"/>
        </w:rPr>
        <w:outlineLvl w:val="0"/>
      </w:pPr>
      <w:r>
        <w:rPr>
          <w:rFonts w:hint="eastAsia" w:hAnsi="宋体" w:cs="宋体"/>
          <w:szCs w:val="21"/>
        </w:rPr>
        <w:t xml:space="preserve">根据响应单位针对本项目提供的体检服务工作流程、服务标准、服务质量措施进行综合评审：体检工作流程及服务标准全面、科学合理、制度完善得10分；体检工作流程及服务标准较全面、较科学合理、制度较完善得7分；体检工作流程及服务标准基本满足采购要求得4分；方案差或未提供相应内容的不得分。</w:t>
      </w:r>
      <w:r/>
    </w:p>
    <w:p>
      <w:pPr>
        <w:ind w:firstLine="482"/>
        <w:jc w:val="left"/>
        <w:spacing w:line="360" w:lineRule="auto"/>
        <w:rPr>
          <w:rFonts w:ascii="宋体" w:hAnsi="宋体" w:cs="宋体"/>
          <w:szCs w:val="21"/>
        </w:rPr>
      </w:pPr>
      <w:r>
        <w:rPr>
          <w:rFonts w:hint="eastAsia" w:hAnsi="宋体" w:cs="宋体"/>
          <w:szCs w:val="21"/>
        </w:rPr>
        <w:t xml:space="preserve">3.</w:t>
      </w:r>
      <w:r>
        <w:rPr>
          <w:rFonts w:hint="eastAsia" w:ascii="宋体" w:hAnsi="宋体" w:cs="宋体"/>
          <w:szCs w:val="21"/>
        </w:rPr>
        <w:t xml:space="preserve">体检时间进度计划方案</w:t>
      </w:r>
      <w:r>
        <w:rPr>
          <w:rFonts w:hint="eastAsia" w:hAnsi="宋体" w:cs="宋体"/>
          <w:szCs w:val="21"/>
        </w:rPr>
        <w:t xml:space="preserve">（</w:t>
      </w:r>
      <w:r>
        <w:rPr>
          <w:rFonts w:hint="eastAsia" w:hAnsi="宋体" w:cs="宋体"/>
          <w:szCs w:val="21"/>
        </w:rPr>
        <w:t xml:space="preserve">10</w:t>
      </w:r>
      <w:r>
        <w:rPr>
          <w:rFonts w:hint="eastAsia" w:hAnsi="宋体" w:cs="宋体"/>
          <w:szCs w:val="21"/>
        </w:rPr>
        <w:t xml:space="preserve">分）</w:t>
      </w:r>
      <w:r/>
    </w:p>
    <w:p>
      <w:pPr>
        <w:ind w:firstLine="482"/>
        <w:jc w:val="left"/>
        <w:spacing w:line="360" w:lineRule="auto"/>
        <w:rPr>
          <w:rFonts w:ascii="宋体" w:hAnsi="宋体" w:cs="宋体"/>
          <w:szCs w:val="21"/>
        </w:rPr>
      </w:pPr>
      <w:r>
        <w:rPr>
          <w:rFonts w:hint="eastAsia" w:ascii="宋体" w:hAnsi="宋体" w:cs="宋体"/>
          <w:szCs w:val="21"/>
        </w:rPr>
        <w:t xml:space="preserve">根据响应单位提供针对本项目的体检时间进度计划方案进行综合评审：进度计划内容全面、科学合理、可行性强，能够满足采购要求得10分；进度计划内容较合理、可行性较强，较能满足采购要求得7分；进度计划内容简单、可行性一般，基本满足采购要求得4分；方案差或未提供相应内容的不得分。</w:t>
      </w:r>
      <w:r/>
    </w:p>
    <w:p>
      <w:pPr>
        <w:ind w:firstLine="482"/>
        <w:jc w:val="left"/>
        <w:spacing w:line="360" w:lineRule="auto"/>
        <w:rPr>
          <w:rFonts w:ascii="宋体" w:hAnsi="宋体" w:cs="宋体"/>
          <w:szCs w:val="21"/>
        </w:rPr>
      </w:pPr>
      <w:r>
        <w:rPr>
          <w:rFonts w:hint="eastAsia" w:ascii="宋体" w:hAnsi="宋体" w:cs="宋体"/>
          <w:szCs w:val="21"/>
        </w:rPr>
        <w:t xml:space="preserve">4.体检报告情况</w:t>
      </w:r>
      <w:r>
        <w:rPr>
          <w:rFonts w:hint="eastAsia" w:hAnsi="宋体" w:cs="宋体"/>
          <w:szCs w:val="21"/>
        </w:rPr>
        <w:t xml:space="preserve">（</w:t>
      </w:r>
      <w:r>
        <w:rPr>
          <w:rFonts w:hint="eastAsia" w:hAnsi="宋体" w:cs="宋体"/>
          <w:szCs w:val="21"/>
        </w:rPr>
        <w:t xml:space="preserve">10</w:t>
      </w:r>
      <w:r>
        <w:rPr>
          <w:rFonts w:hint="eastAsia" w:hAnsi="宋体" w:cs="宋体"/>
          <w:szCs w:val="21"/>
        </w:rPr>
        <w:t xml:space="preserve">分）</w:t>
      </w:r>
      <w:r/>
    </w:p>
    <w:p>
      <w:pPr>
        <w:ind w:firstLine="482"/>
        <w:jc w:val="left"/>
        <w:spacing w:line="360" w:lineRule="auto"/>
        <w:rPr>
          <w:rFonts w:ascii="宋体" w:hAnsi="宋体" w:cs="宋体"/>
          <w:szCs w:val="21"/>
        </w:rPr>
      </w:pPr>
      <w:r>
        <w:rPr>
          <w:rFonts w:hint="eastAsia" w:ascii="宋体" w:hAnsi="宋体" w:cs="宋体"/>
          <w:szCs w:val="21"/>
        </w:rPr>
        <w:t xml:space="preserve">根据响应单位针对本项目提供的体检报告情况（包括但不限于报告的解读、体检结果分析、治疗建议及健康评估与干预等方面）进行综合评审。体检后出具详细个人体检报告，并进行深入细致诊断分析得10分；出具较详细个人体检报告，并进行较深入的诊断分析得7分；出具简单个人体检报告和健康管理报告得4分；方案差或未提供相应内容的不得分。</w:t>
      </w:r>
      <w:r/>
    </w:p>
    <w:p>
      <w:pPr>
        <w:ind w:firstLine="482"/>
        <w:jc w:val="left"/>
        <w:spacing w:line="360" w:lineRule="auto"/>
        <w:rPr>
          <w:rFonts w:ascii="宋体" w:hAnsi="宋体" w:cs="宋体"/>
          <w:szCs w:val="21"/>
        </w:rPr>
      </w:pPr>
      <w:r>
        <w:rPr>
          <w:rFonts w:hint="eastAsia" w:ascii="宋体" w:hAnsi="宋体" w:cs="宋体"/>
          <w:szCs w:val="21"/>
        </w:rPr>
        <w:t xml:space="preserve">5.突发应急预案</w:t>
      </w:r>
      <w:r>
        <w:rPr>
          <w:rFonts w:hint="eastAsia" w:hAnsi="宋体" w:cs="宋体"/>
          <w:szCs w:val="21"/>
        </w:rPr>
        <w:t xml:space="preserve">（</w:t>
      </w:r>
      <w:r>
        <w:rPr>
          <w:rFonts w:hint="eastAsia" w:hAnsi="宋体" w:cs="宋体"/>
          <w:szCs w:val="21"/>
        </w:rPr>
        <w:t xml:space="preserve">10</w:t>
      </w:r>
      <w:r>
        <w:rPr>
          <w:rFonts w:hint="eastAsia" w:hAnsi="宋体" w:cs="宋体"/>
          <w:szCs w:val="21"/>
        </w:rPr>
        <w:t xml:space="preserve">分）</w:t>
      </w:r>
      <w:r/>
    </w:p>
    <w:p>
      <w:pPr>
        <w:ind w:firstLine="482"/>
        <w:jc w:val="left"/>
        <w:spacing w:line="360" w:lineRule="auto"/>
        <w:rPr>
          <w:rFonts w:ascii="宋体" w:hAnsi="宋体" w:cs="宋体"/>
          <w:szCs w:val="21"/>
        </w:rPr>
      </w:pPr>
      <w:r>
        <w:rPr>
          <w:rFonts w:hint="eastAsia" w:ascii="宋体" w:hAnsi="宋体" w:cs="宋体"/>
          <w:szCs w:val="21"/>
        </w:rPr>
        <w:t xml:space="preserve">根据响应单位针对本项目提供的突发应急预案进行综合评审：突发应急预案详尽、合理、可行性强，能够满足采购要求得10分；突发应急预案较合理、可行性较强，较能满足采购要求得7分；突发应急预案简单、可行性一般，基本满足采购要求的得4分；方案差或未提供相应内容的不得分。</w:t>
      </w:r>
      <w:r/>
    </w:p>
    <w:p>
      <w:pPr>
        <w:ind w:firstLine="420"/>
        <w:spacing w:line="360" w:lineRule="auto"/>
        <w:rPr>
          <w:rFonts w:ascii="宋体" w:hAnsi="宋体" w:cs="宋体"/>
          <w:szCs w:val="21"/>
        </w:rPr>
      </w:pPr>
      <w:r>
        <w:rPr>
          <w:rFonts w:hint="eastAsia" w:ascii="宋体" w:hAnsi="宋体" w:cs="宋体"/>
          <w:szCs w:val="21"/>
        </w:rPr>
        <w:t xml:space="preserve">6.体检后续服务方案</w:t>
      </w:r>
      <w:r>
        <w:rPr>
          <w:rFonts w:hint="eastAsia" w:hAnsi="宋体" w:cs="宋体"/>
          <w:szCs w:val="21"/>
        </w:rPr>
        <w:t xml:space="preserve">（</w:t>
      </w:r>
      <w:r>
        <w:rPr>
          <w:rFonts w:hint="eastAsia" w:hAnsi="宋体" w:cs="宋体"/>
          <w:szCs w:val="21"/>
        </w:rPr>
        <w:t xml:space="preserve">10</w:t>
      </w:r>
      <w:r>
        <w:rPr>
          <w:rFonts w:hint="eastAsia"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根据响应单位提供针对本项目的体检后续服务方案（包括但不限于提供异常人员的复检或指导就诊，体检后的健康咨询等方面）进行综合评审</w:t>
      </w:r>
      <w:bookmarkStart w:id="9" w:name="OLE_LINK4"/>
      <w:r>
        <w:rPr>
          <w:rFonts w:hint="eastAsia" w:ascii="宋体" w:hAnsi="宋体" w:cs="宋体"/>
          <w:szCs w:val="21"/>
        </w:rPr>
        <w:t xml:space="preserve">：整体方案</w:t>
      </w:r>
      <w:bookmarkEnd w:id="9"/>
      <w:r>
        <w:rPr>
          <w:rFonts w:hint="eastAsia" w:ascii="宋体" w:hAnsi="宋体" w:cs="宋体"/>
          <w:szCs w:val="21"/>
        </w:rPr>
        <w:t xml:space="preserve">详细可行，</w:t>
      </w:r>
      <w:bookmarkStart w:id="10" w:name="OLE_LINK7"/>
      <w:r>
        <w:rPr>
          <w:rFonts w:hint="eastAsia" w:ascii="宋体" w:hAnsi="宋体" w:cs="宋体"/>
          <w:szCs w:val="21"/>
        </w:rPr>
        <w:t xml:space="preserve">健康咨询全面完善、针对性强</w:t>
      </w:r>
      <w:bookmarkEnd w:id="10"/>
      <w:r>
        <w:rPr>
          <w:rFonts w:hint="eastAsia" w:ascii="宋体" w:hAnsi="宋体" w:cs="宋体"/>
          <w:szCs w:val="21"/>
        </w:rPr>
        <w:t xml:space="preserve">，能提供异常人员专科会诊服务的得10分；整体方案较全面，</w:t>
      </w:r>
      <w:bookmarkStart w:id="11" w:name="OLE_LINK6"/>
      <w:r/>
      <w:bookmarkStart w:id="12" w:name="OLE_LINK5"/>
      <w:r>
        <w:rPr>
          <w:rFonts w:hint="eastAsia" w:ascii="宋体" w:hAnsi="宋体" w:cs="宋体"/>
          <w:szCs w:val="21"/>
        </w:rPr>
        <w:t xml:space="preserve">可行性</w:t>
      </w:r>
      <w:bookmarkEnd w:id="11"/>
      <w:r>
        <w:rPr>
          <w:rFonts w:hint="eastAsia" w:ascii="宋体" w:hAnsi="宋体" w:cs="宋体"/>
          <w:szCs w:val="21"/>
        </w:rPr>
        <w:t xml:space="preserve">较强，健康咨询较全面完善、针对性较强，有接续服务途径</w:t>
      </w:r>
      <w:bookmarkEnd w:id="12"/>
      <w:r>
        <w:rPr>
          <w:rFonts w:hint="eastAsia" w:ascii="宋体" w:hAnsi="宋体" w:cs="宋体"/>
          <w:szCs w:val="21"/>
        </w:rPr>
        <w:t xml:space="preserve">的得7分；整体方案简单，可行性一般，健康咨询简单、针对性一般，缺乏与体检配合的得4分；方案差或未提供相应内容的不得分。</w:t>
      </w:r>
      <w:r/>
    </w:p>
    <w:p>
      <w:pPr>
        <w:spacing w:line="360" w:lineRule="auto"/>
        <w:rPr>
          <w:rFonts w:ascii="宋体" w:hAnsi="宋体" w:cs="宋体"/>
          <w:szCs w:val="21"/>
        </w:rPr>
        <w:outlineLvl w:val="0"/>
      </w:pPr>
      <w:r>
        <w:rPr>
          <w:rFonts w:hint="eastAsia" w:ascii="宋体" w:hAnsi="宋体" w:cs="宋体"/>
          <w:b/>
          <w:bCs/>
          <w:szCs w:val="21"/>
        </w:rPr>
        <w:t xml:space="preserve">（三）场地、人员及投入设备情况（17分）</w:t>
      </w:r>
      <w:r/>
    </w:p>
    <w:p>
      <w:pPr>
        <w:pStyle w:val="1020"/>
        <w:ind w:firstLine="368"/>
        <w:spacing w:line="360" w:lineRule="auto"/>
        <w:rPr>
          <w:rFonts w:hAnsi="宋体" w:cs="宋体"/>
          <w:szCs w:val="21"/>
        </w:rPr>
        <w:outlineLvl w:val="0"/>
      </w:pPr>
      <w:r>
        <w:rPr>
          <w:rFonts w:hint="eastAsia" w:hAnsi="宋体" w:cs="宋体"/>
          <w:szCs w:val="21"/>
        </w:rPr>
        <w:t xml:space="preserve">1.响应单位便利性情况（5分）</w:t>
      </w:r>
      <w:r/>
    </w:p>
    <w:p>
      <w:pPr>
        <w:pStyle w:val="1020"/>
        <w:ind w:firstLine="368"/>
        <w:spacing w:line="360" w:lineRule="auto"/>
        <w:rPr>
          <w:rFonts w:hAnsi="宋体" w:cs="宋体"/>
          <w:szCs w:val="21"/>
        </w:rPr>
        <w:outlineLvl w:val="0"/>
      </w:pPr>
      <w:r>
        <w:rPr>
          <w:rFonts w:hint="eastAsia" w:hAnsi="宋体" w:cs="宋体"/>
          <w:szCs w:val="21"/>
        </w:rPr>
        <w:t xml:space="preserve">体检场地交通通达便捷，停车配套充足规范，体检区域分区合理、环境卫生达标、配套设施完善的，得5分；体检场地交通通畅，具备合规停车区域，可满足参检基本停车需求，体检环境整洁规范的，得3分；体检场地交通通行不便，停车配套不足，体检环境规整度、卫生条件存在欠缺的，得1分；未提供场地交通、停车、体检环境相关说明材料的，不得分。</w:t>
      </w:r>
      <w:r/>
    </w:p>
    <w:p>
      <w:pPr>
        <w:pStyle w:val="1020"/>
        <w:ind w:firstLine="368"/>
        <w:spacing w:line="360" w:lineRule="auto"/>
        <w:rPr>
          <w:rFonts w:hAnsi="宋体" w:cs="宋体"/>
          <w:szCs w:val="21"/>
        </w:rPr>
        <w:outlineLvl w:val="0"/>
      </w:pPr>
      <w:r>
        <w:rPr>
          <w:rFonts w:hint="eastAsia" w:hAnsi="宋体" w:cs="宋体"/>
          <w:szCs w:val="21"/>
        </w:rPr>
        <w:t xml:space="preserve">2.响应单位具备的设备情况（6分）</w:t>
      </w:r>
      <w:r/>
    </w:p>
    <w:p>
      <w:pPr>
        <w:pStyle w:val="1020"/>
        <w:ind w:firstLine="368"/>
        <w:spacing w:line="360" w:lineRule="auto"/>
        <w:rPr>
          <w:rFonts w:hAnsi="宋体" w:cs="宋体"/>
          <w:szCs w:val="21"/>
        </w:rPr>
        <w:outlineLvl w:val="0"/>
      </w:pPr>
      <w:r>
        <w:rPr>
          <w:rFonts w:hint="eastAsia" w:hAnsi="宋体" w:cs="宋体"/>
          <w:szCs w:val="21"/>
        </w:rPr>
        <w:t xml:space="preserve">响应单位针对本项目投入仪器设备完善、先进的得6分；仪器设备能满足本项目需求、且具有先进性的得3分；仪器设备一般、先进性一般的得1分；未作任何说明的不得分。【提供相应证明材料：包括但不限于设备截图、图片、发票,否则不得分。】</w:t>
      </w:r>
      <w:r/>
    </w:p>
    <w:p>
      <w:pPr>
        <w:pStyle w:val="1020"/>
        <w:ind w:firstLine="368"/>
        <w:spacing w:line="360" w:lineRule="auto"/>
        <w:rPr>
          <w:rFonts w:hAnsi="宋体" w:cs="宋体"/>
          <w:szCs w:val="21"/>
        </w:rPr>
        <w:outlineLvl w:val="0"/>
      </w:pPr>
      <w:r>
        <w:rPr>
          <w:rFonts w:hint="eastAsia" w:hAnsi="宋体" w:cs="宋体"/>
          <w:szCs w:val="21"/>
        </w:rPr>
        <w:t xml:space="preserve">3.响应单位提供主要体检科目参检医务人员配备情况（6分）</w:t>
      </w:r>
      <w:r/>
    </w:p>
    <w:p>
      <w:pPr>
        <w:pStyle w:val="1020"/>
        <w:ind w:firstLine="368"/>
        <w:spacing w:line="360" w:lineRule="auto"/>
        <w:rPr>
          <w:rFonts w:hAnsi="宋体" w:cs="宋体"/>
          <w:szCs w:val="21"/>
        </w:rPr>
        <w:outlineLvl w:val="0"/>
      </w:pPr>
      <w:r>
        <w:rPr>
          <w:rFonts w:hint="eastAsia" w:hAnsi="宋体" w:cs="宋体"/>
          <w:szCs w:val="21"/>
        </w:rPr>
        <w:t xml:space="preserve">完整提供医务人员名单、职称、资质负责科目等全套资料，医护人员均为中、高级职称、临床体检经验丰富、岗位匹配度高的，得6分；提供医务人员配置资料，在岗人员均具备有效执业资质，可满足本项目基础体检工作开展的，得3分；仅提供部分医务人员资料，人员资质、从业经验不足，岗位覆盖不全的，得1分；未提供任何医务人员配备相关资料的，不得分。</w:t>
      </w:r>
      <w:r/>
    </w:p>
    <w:p>
      <w:pPr>
        <w:spacing w:line="360" w:lineRule="auto"/>
        <w:rPr>
          <w:rFonts w:ascii="宋体" w:hAnsi="宋体" w:cs="宋体"/>
          <w:szCs w:val="21"/>
        </w:rPr>
        <w:outlineLvl w:val="0"/>
      </w:pPr>
      <w:r>
        <w:rPr>
          <w:rFonts w:hint="eastAsia" w:ascii="宋体" w:hAnsi="宋体" w:cs="宋体"/>
          <w:b/>
          <w:bCs/>
          <w:szCs w:val="21"/>
        </w:rPr>
        <w:t xml:space="preserve">（四）响应单位履约能力（13分）</w:t>
      </w:r>
      <w:r/>
    </w:p>
    <w:p>
      <w:pPr>
        <w:pStyle w:val="1020"/>
        <w:ind w:firstLine="368"/>
        <w:spacing w:line="360" w:lineRule="auto"/>
        <w:rPr>
          <w:rFonts w:hAnsi="宋体" w:cs="宋体"/>
          <w:szCs w:val="21"/>
        </w:rPr>
        <w:outlineLvl w:val="0"/>
      </w:pPr>
      <w:r>
        <w:rPr>
          <w:rFonts w:hint="eastAsia" w:hAnsi="宋体" w:cs="宋体"/>
          <w:szCs w:val="21"/>
        </w:rPr>
        <w:t xml:space="preserve">1.类似业绩情况（6分）</w:t>
      </w:r>
      <w:r/>
    </w:p>
    <w:p>
      <w:pPr>
        <w:pStyle w:val="1020"/>
        <w:ind w:firstLine="368"/>
        <w:spacing w:line="360" w:lineRule="auto"/>
        <w:rPr>
          <w:rFonts w:hAnsi="宋体" w:cs="宋体"/>
          <w:b/>
          <w:bCs/>
          <w:szCs w:val="21"/>
        </w:rPr>
        <w:outlineLvl w:val="0"/>
      </w:pPr>
      <w:r>
        <w:rPr>
          <w:rFonts w:hint="eastAsia" w:hAnsi="宋体" w:cs="宋体"/>
          <w:szCs w:val="21"/>
        </w:rPr>
        <w:t xml:space="preserve">响应单位2023年1月1日</w:t>
      </w:r>
      <w:r>
        <w:rPr>
          <w:rFonts w:hint="eastAsia" w:hAnsi="宋体"/>
          <w:szCs w:val="21"/>
        </w:rPr>
        <w:t xml:space="preserve">（以合同签订日期为准）</w:t>
      </w:r>
      <w:r>
        <w:rPr>
          <w:rFonts w:hint="eastAsia" w:hAnsi="宋体" w:cs="宋体"/>
          <w:szCs w:val="21"/>
        </w:rPr>
        <w:t xml:space="preserve">至今承担过相关业绩的，每提供一项业绩得2分，最高6分。响应文件中提供合同复印件并加盖单位公章，否则不得分。</w:t>
      </w:r>
      <w:r/>
    </w:p>
    <w:p>
      <w:pPr>
        <w:pStyle w:val="1020"/>
        <w:ind w:firstLine="368"/>
        <w:spacing w:line="360" w:lineRule="auto"/>
        <w:rPr>
          <w:rFonts w:hAnsi="宋体" w:cs="宋体"/>
          <w:szCs w:val="21"/>
        </w:rPr>
        <w:outlineLvl w:val="0"/>
      </w:pPr>
      <w:r>
        <w:rPr>
          <w:rFonts w:hint="eastAsia" w:hAnsi="宋体" w:cs="宋体"/>
          <w:szCs w:val="21"/>
        </w:rPr>
        <w:t xml:space="preserve">2.相关专用设备情况（3分）</w:t>
      </w:r>
      <w:r/>
    </w:p>
    <w:p>
      <w:pPr>
        <w:pStyle w:val="1020"/>
        <w:ind w:firstLine="368"/>
        <w:spacing w:line="360" w:lineRule="auto"/>
        <w:rPr>
          <w:rFonts w:hAnsi="宋体" w:cs="宋体"/>
          <w:b/>
          <w:bCs/>
          <w:szCs w:val="21"/>
        </w:rPr>
        <w:outlineLvl w:val="0"/>
      </w:pPr>
      <w:r>
        <w:rPr>
          <w:rFonts w:hint="eastAsia" w:hAnsi="宋体" w:cs="宋体"/>
          <w:szCs w:val="21"/>
        </w:rPr>
        <w:t xml:space="preserve">响应单位体检区域内设独立专用内镜中心，同时配备无痛胃肠镜、胶囊内镜设备，且在响应文件中提供完整有效佐证材料的，得3分；未同时满足全部配置要求或未按要求提供对应证明材料的，本项不得分。</w:t>
      </w:r>
      <w:r/>
    </w:p>
    <w:p>
      <w:pPr>
        <w:pStyle w:val="1020"/>
        <w:ind w:firstLine="368"/>
        <w:spacing w:line="360" w:lineRule="auto"/>
        <w:rPr>
          <w:rFonts w:hAnsi="宋体" w:cs="宋体"/>
          <w:szCs w:val="21"/>
        </w:rPr>
        <w:outlineLvl w:val="0"/>
      </w:pPr>
      <w:r>
        <w:rPr>
          <w:rFonts w:hint="eastAsia" w:hAnsi="宋体" w:cs="宋体"/>
          <w:szCs w:val="21"/>
        </w:rPr>
        <w:t xml:space="preserve">3.响应单位具有有效期内的放射诊疗许可证的得2分。</w:t>
      </w:r>
      <w:r/>
    </w:p>
    <w:p>
      <w:pPr>
        <w:pStyle w:val="1020"/>
        <w:ind w:firstLine="368"/>
        <w:spacing w:line="360" w:lineRule="auto"/>
        <w:rPr>
          <w:rFonts w:hAnsi="宋体" w:cs="宋体"/>
          <w:szCs w:val="21"/>
        </w:rPr>
        <w:outlineLvl w:val="0"/>
      </w:pPr>
      <w:r>
        <w:rPr>
          <w:rFonts w:hint="eastAsia" w:hAnsi="宋体" w:cs="宋体"/>
          <w:szCs w:val="21"/>
        </w:rPr>
        <w:t xml:space="preserve">4.响应单位具有有效期内的辐射安全许可证的得2分。</w:t>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1、报价超过采购预算的将不进入综合评审程序，也不得成交。</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2、付款步骤、服务期限如有负偏离的不得成交。</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ascii="宋体" w:hAnsi="宋体" w:cs="宋体"/>
          <w:szCs w:val="21"/>
        </w:rPr>
        <w:t xml:space="preserve">针对评分标准中评分的每一条，磋商响应单位均应提供相关资料并作出相应说明供评委评判，未提供相关资料或提供的相关资料不明确、不清晰评委而无法判断是否符合评分条件的视为不具备该项得分的条件</w:t>
      </w:r>
      <w:r>
        <w:rPr>
          <w:rFonts w:hint="eastAsia" w:cs="宋体" w:asciiTheme="minorEastAsia" w:hAnsiTheme="minorEastAsia" w:eastAsiaTheme="minorEastAsia"/>
          <w:szCs w:val="21"/>
        </w:rPr>
        <w:t xml:space="preserve">。</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4、采购文件中要求加盖响应单位公章的，可用电子签章代替。</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pStyle w:val="769"/>
      </w:pPr>
      <w:r/>
      <w:r/>
    </w:p>
    <w:p>
      <w:pPr>
        <w:pStyle w:val="769"/>
      </w:p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pStyle w:val="780"/>
        <w:ind w:firstLine="420"/>
        <w:spacing w:line="360" w:lineRule="auto"/>
        <w:widowControl w:val="off"/>
        <w:rPr>
          <w:rFonts w:hAnsi="宋体" w:eastAsia="宋体" w:cs="宋体"/>
          <w:sz w:val="21"/>
          <w:szCs w:val="21"/>
        </w:rPr>
      </w:pPr>
      <w:r>
        <w:rPr>
          <w:rFonts w:hAnsi="宋体" w:eastAsia="宋体" w:cs="宋体"/>
          <w:sz w:val="21"/>
          <w:szCs w:val="21"/>
        </w:rPr>
      </w:r>
      <w:r/>
    </w:p>
    <w:p>
      <w:pPr>
        <w:spacing w:line="360" w:lineRule="auto"/>
        <w:rPr>
          <w:rFonts w:ascii="宋体" w:hAnsi="宋体" w:cs="宋体"/>
        </w:rPr>
      </w:pPr>
      <w:r>
        <w:rPr>
          <w:rFonts w:hint="eastAsia" w:ascii="宋体" w:hAnsi="宋体" w:cs="宋体"/>
        </w:rPr>
        <w:t xml:space="preserve">合同编号：</w:t>
      </w:r>
      <w:r/>
    </w:p>
    <w:p>
      <w:pPr>
        <w:spacing w:line="360" w:lineRule="auto"/>
        <w:rPr>
          <w:rFonts w:ascii="宋体" w:hAnsi="宋体" w:cs="宋体"/>
        </w:rPr>
      </w:pPr>
      <w:r>
        <w:rPr>
          <w:rFonts w:hint="eastAsia" w:ascii="宋体" w:hAnsi="宋体" w:cs="宋体"/>
        </w:rPr>
        <w:t xml:space="preserve">甲方（采购单位）：苏州市疾病预防控制中心（苏州市卫生监督所）</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 </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cs="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根据苏州市政府采购编号JSZC-320500-CJZB-C2026-0111号“体检服务”的采购文件、乙方的响应文件及成交结果，依照《中华人民共和国民法典》及其他有关法律、行政法规，遵循平等、自愿、公平和诚实信用的原则，双方就内容的相关事项协商一致，签订本合同书。</w:t>
      </w:r>
      <w:r/>
    </w:p>
    <w:p>
      <w:pPr>
        <w:spacing w:line="360" w:lineRule="auto"/>
        <w:rPr>
          <w:rFonts w:ascii="宋体" w:hAnsi="宋体" w:cs="宋体"/>
          <w:b/>
          <w:szCs w:val="21"/>
        </w:rPr>
      </w:pPr>
      <w:r>
        <w:rPr>
          <w:rFonts w:hint="eastAsia" w:ascii="宋体" w:hAnsi="宋体" w:cs="宋体"/>
          <w:b/>
          <w:szCs w:val="21"/>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1.合同内容：职工体检服务</w:t>
      </w:r>
      <w:r/>
    </w:p>
    <w:p>
      <w:pPr>
        <w:ind w:firstLine="420"/>
        <w:spacing w:line="360" w:lineRule="auto"/>
        <w:rPr>
          <w:rFonts w:ascii="宋体" w:hAnsi="宋体" w:cs="宋体"/>
          <w:szCs w:val="21"/>
        </w:rPr>
      </w:pPr>
      <w:r>
        <w:rPr>
          <w:rFonts w:hint="eastAsia" w:ascii="宋体" w:hAnsi="宋体" w:cs="宋体"/>
          <w:szCs w:val="21"/>
        </w:rPr>
        <w:t xml:space="preserve">2.本项目工作范围：详见采购文件</w:t>
      </w:r>
      <w:r/>
    </w:p>
    <w:p>
      <w:pPr>
        <w:ind w:firstLine="420"/>
        <w:spacing w:line="360" w:lineRule="auto"/>
        <w:rPr>
          <w:rFonts w:ascii="宋体" w:hAnsi="宋体" w:cs="宋体"/>
          <w:szCs w:val="21"/>
          <w:lang w:val="zh-CN"/>
        </w:rPr>
      </w:pPr>
      <w:r>
        <w:rPr>
          <w:rFonts w:hint="eastAsia" w:ascii="宋体" w:hAnsi="宋体" w:cs="宋体"/>
          <w:szCs w:val="21"/>
        </w:rPr>
        <w:t xml:space="preserve">3.服务时间：</w:t>
      </w:r>
      <w:r>
        <w:rPr>
          <w:rFonts w:hint="eastAsia" w:ascii="宋体" w:hAnsi="宋体" w:cs="宋体"/>
          <w:szCs w:val="21"/>
          <w:lang w:val="zh-CN"/>
        </w:rPr>
        <w:t xml:space="preserve">甲方安排时间组织职工体检，并提前一周告知乙方，</w:t>
      </w:r>
      <w:r>
        <w:rPr>
          <w:rFonts w:hint="eastAsia" w:ascii="宋体" w:hAnsi="宋体" w:cs="宋体"/>
          <w:szCs w:val="21"/>
        </w:rPr>
        <w:t xml:space="preserve">具体体检时间根据甲方要求</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4.服务地点：乙方提供体检场所。</w:t>
      </w:r>
      <w:r/>
    </w:p>
    <w:p>
      <w:pPr>
        <w:ind w:firstLine="420"/>
        <w:spacing w:line="360" w:lineRule="auto"/>
        <w:rPr>
          <w:rFonts w:ascii="宋体" w:hAnsi="宋体" w:cs="宋体"/>
          <w:szCs w:val="21"/>
        </w:rPr>
      </w:pPr>
      <w:r>
        <w:rPr>
          <w:rFonts w:hint="eastAsia" w:ascii="宋体" w:hAnsi="宋体" w:cs="宋体"/>
          <w:szCs w:val="21"/>
        </w:rPr>
        <w:t xml:space="preserve">5.体检时间：</w:t>
      </w:r>
      <w:r>
        <w:rPr>
          <w:rFonts w:hint="eastAsia" w:ascii="宋体" w:hAnsi="宋体" w:cs="宋体"/>
          <w:szCs w:val="21"/>
          <w:lang w:val="zh-CN"/>
        </w:rPr>
        <w:t xml:space="preserve">具体根据甲方的通知安排日期进行集中体检。</w:t>
      </w:r>
      <w:r/>
    </w:p>
    <w:p>
      <w:pPr>
        <w:ind w:firstLine="420"/>
        <w:spacing w:line="360" w:lineRule="auto"/>
        <w:rPr>
          <w:rFonts w:ascii="宋体" w:hAnsi="宋体" w:cs="宋体"/>
          <w:szCs w:val="21"/>
        </w:rPr>
      </w:pPr>
      <w:r>
        <w:rPr>
          <w:rFonts w:hint="eastAsia" w:ascii="宋体" w:hAnsi="宋体" w:cs="宋体"/>
          <w:szCs w:val="21"/>
        </w:rPr>
        <w:t xml:space="preserve">6.下列文件为本合同不可分割部分：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① 成交通知书；</w:t>
      </w:r>
      <w:r/>
    </w:p>
    <w:p>
      <w:pPr>
        <w:ind w:firstLine="420"/>
        <w:spacing w:line="360" w:lineRule="auto"/>
        <w:rPr>
          <w:rFonts w:ascii="宋体" w:hAnsi="宋体" w:cs="宋体"/>
          <w:szCs w:val="21"/>
        </w:rPr>
      </w:pPr>
      <w:r>
        <w:rPr>
          <w:rFonts w:hint="eastAsia" w:ascii="宋体" w:hAnsi="宋体" w:cs="宋体"/>
          <w:szCs w:val="21"/>
        </w:rPr>
        <w:t xml:space="preserve">② 乙方的响应文件；</w:t>
      </w:r>
      <w:r/>
    </w:p>
    <w:p>
      <w:pPr>
        <w:ind w:firstLine="420"/>
        <w:spacing w:line="360" w:lineRule="auto"/>
        <w:rPr>
          <w:rFonts w:ascii="宋体" w:hAnsi="宋体" w:cs="宋体"/>
          <w:szCs w:val="21"/>
        </w:rPr>
      </w:pPr>
      <w:r>
        <w:rPr>
          <w:rFonts w:hint="eastAsia" w:ascii="宋体" w:hAnsi="宋体" w:cs="宋体"/>
          <w:szCs w:val="21"/>
        </w:rPr>
        <w:t xml:space="preserve">③ 乙方在响应过程中所作的其它承诺、声明、书面澄清等；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④ 采购文件及其附件；</w:t>
      </w:r>
      <w:r/>
    </w:p>
    <w:p>
      <w:pPr>
        <w:ind w:firstLine="420"/>
        <w:spacing w:line="360" w:lineRule="auto"/>
        <w:rPr>
          <w:rFonts w:ascii="宋体" w:hAnsi="宋体" w:cs="宋体"/>
          <w:b/>
          <w:bCs/>
          <w:szCs w:val="21"/>
        </w:rPr>
      </w:pPr>
      <w:r>
        <w:rPr>
          <w:rFonts w:hint="eastAsia" w:ascii="宋体" w:hAnsi="宋体" w:cs="宋体"/>
          <w:szCs w:val="21"/>
        </w:rPr>
        <w:t xml:space="preserve">⑤ 合同附件（如有）。</w:t>
      </w:r>
      <w:r/>
    </w:p>
    <w:p>
      <w:pPr>
        <w:spacing w:line="360" w:lineRule="auto"/>
        <w:rPr>
          <w:rFonts w:ascii="宋体" w:hAnsi="宋体" w:cs="宋体"/>
          <w:b/>
          <w:bCs/>
          <w:szCs w:val="21"/>
        </w:rPr>
      </w:pPr>
      <w:r>
        <w:rPr>
          <w:rFonts w:hint="eastAsia" w:ascii="宋体" w:hAnsi="宋体" w:cs="宋体"/>
          <w:b/>
          <w:bCs/>
          <w:szCs w:val="21"/>
        </w:rPr>
        <w:t xml:space="preserve">二、合同价格与支付</w:t>
      </w:r>
      <w:r/>
    </w:p>
    <w:p>
      <w:pPr>
        <w:ind w:firstLine="409"/>
        <w:spacing w:line="360" w:lineRule="auto"/>
        <w:rPr>
          <w:rFonts w:ascii="宋体" w:hAnsi="宋体" w:cs="宋体"/>
          <w:bCs/>
          <w:szCs w:val="21"/>
        </w:rPr>
      </w:pPr>
      <w:r>
        <w:rPr>
          <w:rFonts w:hint="eastAsia" w:ascii="宋体" w:hAnsi="宋体" w:cs="宋体"/>
          <w:szCs w:val="21"/>
        </w:rPr>
        <w:t xml:space="preserve">1.合同价格</w:t>
      </w:r>
      <w:r/>
    </w:p>
    <w:p>
      <w:pPr>
        <w:ind w:firstLine="420"/>
        <w:spacing w:line="360" w:lineRule="auto"/>
        <w:rPr>
          <w:rFonts w:ascii="宋体" w:hAnsi="宋体" w:cs="宋体"/>
          <w:szCs w:val="21"/>
        </w:rPr>
      </w:pPr>
      <w:r>
        <w:rPr>
          <w:rFonts w:hint="eastAsia" w:ascii="宋体" w:hAnsi="宋体" w:cs="宋体"/>
          <w:szCs w:val="21"/>
        </w:rPr>
        <w:t xml:space="preserve">本合同综合单价为元/人，合同结算总金额不超过（大写）人民币</w:t>
      </w:r>
      <w:r>
        <w:rPr>
          <w:rFonts w:hint="eastAsia" w:ascii="宋体" w:hAnsi="宋体" w:cs="宋体"/>
          <w:b/>
          <w:bCs/>
          <w:szCs w:val="21"/>
        </w:rPr>
        <w:t xml:space="preserve">壹佰壹拾万元整（小写：1100000.00元）</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szCs w:val="21"/>
        </w:rPr>
        <w:t xml:space="preserve">合同价格包括：包括但不限于完成本项目所有服务产生的费用、所有服务人员的人工费、交通、餐费、</w:t>
      </w:r>
      <w:r>
        <w:rPr>
          <w:rFonts w:hint="eastAsia" w:ascii="宋体" w:hAnsi="宋体" w:cs="宋体"/>
          <w:bCs/>
          <w:szCs w:val="21"/>
        </w:rPr>
        <w:t xml:space="preserve">采购代理服务费</w:t>
      </w:r>
      <w:r>
        <w:rPr>
          <w:rFonts w:hint="eastAsia" w:ascii="宋体" w:hAnsi="宋体" w:cs="宋体"/>
          <w:szCs w:val="21"/>
        </w:rPr>
        <w:t xml:space="preserve">、税费、利润、税金、政策性文件规定及合同实施过程中的不可预见的各项费用。</w:t>
      </w:r>
      <w:r/>
    </w:p>
    <w:p>
      <w:pPr>
        <w:ind w:firstLine="420"/>
        <w:spacing w:line="360" w:lineRule="auto"/>
        <w:rPr>
          <w:rFonts w:ascii="宋体" w:hAnsi="宋体" w:cs="宋体"/>
          <w:bCs/>
          <w:iCs/>
          <w:szCs w:val="21"/>
        </w:rPr>
      </w:pPr>
      <w:r>
        <w:rPr>
          <w:rFonts w:hint="eastAsia" w:ascii="宋体" w:hAnsi="宋体" w:cs="宋体"/>
          <w:bCs/>
          <w:iCs/>
          <w:szCs w:val="21"/>
        </w:rPr>
        <w:t xml:space="preserve">2.合同价款支付：</w:t>
      </w:r>
      <w:r/>
    </w:p>
    <w:p>
      <w:pPr>
        <w:ind w:firstLine="420"/>
        <w:spacing w:line="360" w:lineRule="auto"/>
        <w:rPr>
          <w:rFonts w:ascii="宋体" w:hAnsi="宋体" w:cs="宋体"/>
          <w:bCs/>
          <w:iCs/>
          <w:szCs w:val="21"/>
        </w:rPr>
      </w:pPr>
      <w:r>
        <w:rPr>
          <w:rFonts w:hint="eastAsia" w:ascii="宋体" w:hAnsi="宋体" w:cs="宋体"/>
          <w:bCs/>
          <w:iCs/>
          <w:szCs w:val="21"/>
        </w:rPr>
        <w:t xml:space="preserve">（1）付款步骤：签订合同后，待体检全部结束，经甲方签字确认，乙方向甲方提供下列（A、B、C）单据，甲方支付服务费用（服务费用以实际参检人数乘以合同单价结算）。</w:t>
      </w:r>
      <w:r/>
    </w:p>
    <w:p>
      <w:pPr>
        <w:ind w:firstLine="420"/>
        <w:jc w:val="left"/>
        <w:spacing w:line="360" w:lineRule="auto"/>
        <w:rPr>
          <w:rFonts w:ascii="宋体" w:hAnsi="宋体" w:cs="宋体"/>
          <w:szCs w:val="21"/>
        </w:rPr>
      </w:pPr>
      <w:r>
        <w:rPr>
          <w:rFonts w:hint="eastAsia" w:ascii="宋体" w:hAnsi="宋体" w:cs="宋体"/>
          <w:szCs w:val="21"/>
        </w:rPr>
        <w:t xml:space="preserve">A、合格的发票；</w:t>
      </w:r>
      <w:r/>
    </w:p>
    <w:p>
      <w:pPr>
        <w:ind w:firstLine="420"/>
        <w:jc w:val="left"/>
        <w:spacing w:line="360" w:lineRule="auto"/>
        <w:rPr>
          <w:rFonts w:ascii="宋体" w:hAnsi="宋体" w:cs="宋体"/>
          <w:szCs w:val="21"/>
        </w:rPr>
      </w:pPr>
      <w:r>
        <w:rPr>
          <w:rFonts w:hint="eastAsia" w:ascii="宋体" w:hAnsi="宋体" w:cs="宋体"/>
          <w:szCs w:val="21"/>
        </w:rPr>
        <w:t xml:space="preserve">B、由甲方医务部门确认的体检人员明细单；</w:t>
      </w:r>
      <w:r/>
    </w:p>
    <w:p>
      <w:pPr>
        <w:ind w:firstLine="420"/>
        <w:jc w:val="left"/>
        <w:spacing w:line="360" w:lineRule="auto"/>
        <w:rPr>
          <w:rFonts w:ascii="宋体" w:hAnsi="宋体" w:cs="宋体"/>
          <w:szCs w:val="21"/>
        </w:rPr>
      </w:pPr>
      <w:r>
        <w:rPr>
          <w:rFonts w:hint="eastAsia" w:ascii="宋体" w:hAnsi="宋体" w:cs="宋体"/>
          <w:szCs w:val="21"/>
        </w:rPr>
        <w:t xml:space="preserve">C、由甲乙双方签章的《政府采购合同履行验收报告》。</w:t>
      </w:r>
      <w:r/>
    </w:p>
    <w:p>
      <w:pPr>
        <w:ind w:firstLine="420"/>
        <w:jc w:val="left"/>
        <w:spacing w:line="360" w:lineRule="auto"/>
        <w:rPr>
          <w:rFonts w:ascii="宋体" w:hAnsi="宋体" w:cs="宋体"/>
          <w:szCs w:val="21"/>
        </w:rPr>
      </w:pPr>
      <w:r>
        <w:rPr>
          <w:rFonts w:hint="eastAsia" w:ascii="宋体" w:hAnsi="宋体" w:cs="宋体"/>
          <w:szCs w:val="21"/>
        </w:rPr>
        <w:t xml:space="preserve">（2）付款方式：银行转账。</w:t>
      </w:r>
      <w:r/>
    </w:p>
    <w:p>
      <w:pPr>
        <w:spacing w:line="360" w:lineRule="auto"/>
        <w:tabs>
          <w:tab w:val="left" w:pos="567" w:leader="none"/>
        </w:tabs>
        <w:rPr>
          <w:rFonts w:ascii="宋体" w:hAnsi="宋体" w:cs="宋体"/>
          <w:b/>
          <w:bCs/>
          <w:szCs w:val="21"/>
        </w:rPr>
      </w:pPr>
      <w:r>
        <w:rPr>
          <w:rFonts w:hint="eastAsia" w:ascii="宋体" w:hAnsi="宋体" w:cs="宋体"/>
          <w:b/>
          <w:szCs w:val="21"/>
        </w:rPr>
        <w:t xml:space="preserve">三、</w:t>
      </w:r>
      <w:r>
        <w:rPr>
          <w:rFonts w:hint="eastAsia" w:ascii="宋体" w:hAnsi="宋体" w:cs="宋体"/>
          <w:b/>
          <w:bCs/>
          <w:szCs w:val="21"/>
        </w:rPr>
        <w:t xml:space="preserve">质量与验收：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1、乙方应按照磋商采购文件的有关规定提供优质服务；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2、验收标准：</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2.1履约验收标准：根据国家相关法律法规、行业相关标准、政府采购合同要求、采购文件要求、响应文件规定。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2.2履约验收主体：由甲方进行验收。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2.3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2.4验收程序：</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2.4.1履约验收时间：合同履行达到采购文件明确的验收条件时，乙方应向甲方发出项目验收申请。乙方未及时履约或发出验收申请的，甲方应及时向乙方发出催告，提出履约验收要求。乙方在收到催告后五个工作日内拒不配合的，甲方有权视为该阶段验收不合格，不予支付该阶段费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2.4.2履约验收工作结束后应形成书面验收意见，列明各项标准的验收情况及项目总体评价。</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368"/>
        <w:spacing w:line="360" w:lineRule="auto"/>
        <w:tabs>
          <w:tab w:val="left" w:pos="425" w:leader="none"/>
        </w:tabs>
        <w:rPr>
          <w:rFonts w:ascii="宋体" w:hAnsi="宋体" w:cs="宋体"/>
          <w:bCs/>
          <w:szCs w:val="21"/>
        </w:rPr>
      </w:pPr>
      <w:r>
        <w:rPr>
          <w:rFonts w:hint="eastAsia" w:ascii="宋体" w:hAnsi="宋体" w:cs="宋体"/>
          <w:szCs w:val="21"/>
        </w:rPr>
        <w:t xml:space="preserve">2.6其他验收要求按照《江苏省政府采购履约验收管理办法》规定执行</w:t>
      </w:r>
      <w:r>
        <w:rPr>
          <w:rFonts w:hint="eastAsia" w:ascii="宋体" w:hAnsi="宋体" w:cs="宋体"/>
          <w:bCs/>
          <w:szCs w:val="21"/>
        </w:rPr>
        <w:t xml:space="preserve">。</w:t>
      </w:r>
      <w:r/>
    </w:p>
    <w:p>
      <w:pPr>
        <w:spacing w:line="360" w:lineRule="auto"/>
        <w:rPr>
          <w:rFonts w:ascii="宋体" w:hAnsi="宋体" w:cs="宋体"/>
          <w:b/>
          <w:szCs w:val="21"/>
        </w:rPr>
      </w:pPr>
      <w:r>
        <w:rPr>
          <w:rFonts w:hint="eastAsia" w:ascii="宋体" w:hAnsi="宋体" w:cs="宋体"/>
          <w:b/>
          <w:szCs w:val="21"/>
        </w:rPr>
        <w:t xml:space="preserve">四、责任与义务</w:t>
      </w:r>
      <w:r/>
    </w:p>
    <w:p>
      <w:pPr>
        <w:ind w:firstLine="422"/>
        <w:spacing w:line="360" w:lineRule="auto"/>
        <w:rPr>
          <w:rFonts w:ascii="宋体" w:hAnsi="宋体" w:cs="宋体"/>
          <w:b/>
          <w:szCs w:val="21"/>
        </w:rPr>
      </w:pPr>
      <w:r>
        <w:rPr>
          <w:rFonts w:hint="eastAsia" w:ascii="宋体" w:hAnsi="宋体" w:cs="宋体"/>
          <w:b/>
          <w:szCs w:val="21"/>
        </w:rPr>
        <w:t xml:space="preserve">1.甲方的责任与义务</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szCs w:val="21"/>
        </w:rPr>
        <w:t xml:space="preserve">甲方应对乙方派出的有关工作人员提供必要的条件及配合。</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szCs w:val="21"/>
        </w:rPr>
        <w:t xml:space="preserve">甲方应按本约定书所约定条件及时足额支付</w:t>
      </w:r>
      <w:r>
        <w:rPr>
          <w:rFonts w:hint="eastAsia" w:ascii="宋体" w:hAnsi="宋体" w:cs="宋体"/>
          <w:bCs/>
          <w:szCs w:val="21"/>
        </w:rPr>
        <w:t xml:space="preserve">乙方服务</w:t>
      </w:r>
      <w:r>
        <w:rPr>
          <w:rFonts w:hint="eastAsia" w:ascii="宋体" w:hAnsi="宋体" w:cs="宋体"/>
          <w:szCs w:val="21"/>
        </w:rPr>
        <w:t xml:space="preserve">费用。</w:t>
      </w:r>
      <w:r/>
    </w:p>
    <w:p>
      <w:pPr>
        <w:ind w:firstLine="422"/>
        <w:spacing w:line="360" w:lineRule="auto"/>
        <w:tabs>
          <w:tab w:val="left" w:pos="2478" w:leader="none"/>
        </w:tabs>
        <w:rPr>
          <w:rFonts w:ascii="宋体" w:hAnsi="宋体" w:cs="宋体"/>
          <w:b/>
          <w:szCs w:val="21"/>
        </w:rPr>
      </w:pPr>
      <w:r>
        <w:rPr>
          <w:rFonts w:hint="eastAsia" w:ascii="宋体" w:hAnsi="宋体" w:cs="宋体"/>
          <w:b/>
          <w:szCs w:val="21"/>
        </w:rPr>
        <w:t xml:space="preserve">2.乙方的责任与义务</w:t>
      </w:r>
      <w:r/>
    </w:p>
    <w:p>
      <w:pPr>
        <w:ind w:firstLine="420"/>
        <w:spacing w:line="360" w:lineRule="auto"/>
        <w:tabs>
          <w:tab w:val="left" w:pos="2478" w:leader="none"/>
        </w:tabs>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乙方须具体根据甲方的通知安排日期进行集中体检。</w:t>
      </w:r>
      <w:r/>
    </w:p>
    <w:p>
      <w:pPr>
        <w:ind w:firstLine="420"/>
        <w:spacing w:line="360" w:lineRule="auto"/>
        <w:tabs>
          <w:tab w:val="left" w:pos="2478" w:leader="none"/>
        </w:tabs>
        <w:rPr>
          <w:rFonts w:ascii="宋体" w:hAnsi="宋体" w:cs="宋体"/>
          <w:szCs w:val="21"/>
        </w:rPr>
      </w:pPr>
      <w:r>
        <w:rPr>
          <w:rFonts w:hint="eastAsia" w:ascii="宋体" w:hAnsi="宋体" w:cs="宋体"/>
          <w:szCs w:val="21"/>
        </w:rPr>
        <w:t xml:space="preserve">（2）乙方负责在指定时间内安排体检、对体检结果分析、提供治疗建议及健康评估报告。</w:t>
      </w:r>
      <w:r/>
    </w:p>
    <w:p>
      <w:pPr>
        <w:ind w:firstLine="420"/>
        <w:spacing w:line="360" w:lineRule="auto"/>
        <w:tabs>
          <w:tab w:val="left" w:pos="2478" w:leader="none"/>
        </w:tabs>
        <w:rPr>
          <w:rFonts w:ascii="宋体" w:hAnsi="宋体" w:cs="宋体"/>
          <w:szCs w:val="21"/>
        </w:rPr>
      </w:pPr>
      <w:r>
        <w:rPr>
          <w:rFonts w:hint="eastAsia" w:ascii="宋体" w:hAnsi="宋体" w:cs="宋体"/>
          <w:szCs w:val="21"/>
        </w:rPr>
        <w:t xml:space="preserve">（3）乙方须为体检对象提供体检之日的免费早餐和免费停车。</w:t>
      </w:r>
      <w:r/>
    </w:p>
    <w:p>
      <w:pPr>
        <w:ind w:firstLine="420"/>
        <w:spacing w:line="360" w:lineRule="auto"/>
        <w:tabs>
          <w:tab w:val="left" w:pos="2478" w:leader="none"/>
        </w:tabs>
        <w:rPr>
          <w:rFonts w:ascii="宋体" w:hAnsi="宋体" w:cs="宋体"/>
          <w:bCs/>
          <w:szCs w:val="21"/>
        </w:rPr>
      </w:pPr>
      <w:r>
        <w:rPr>
          <w:rFonts w:hint="eastAsia" w:ascii="宋体" w:hAnsi="宋体" w:cs="宋体"/>
          <w:szCs w:val="21"/>
        </w:rPr>
        <w:t xml:space="preserve">（4）乙方后续能安排体检异常人员的复检并提供绿色通道，复检费用自理。</w:t>
      </w:r>
      <w:r/>
    </w:p>
    <w:p>
      <w:pPr>
        <w:ind w:firstLine="420"/>
        <w:spacing w:line="360" w:lineRule="auto"/>
        <w:rPr>
          <w:rFonts w:ascii="宋体" w:hAnsi="宋体" w:cs="宋体"/>
          <w:bCs/>
          <w:szCs w:val="21"/>
        </w:rPr>
      </w:pPr>
      <w:r>
        <w:rPr>
          <w:rFonts w:hint="eastAsia" w:ascii="宋体" w:hAnsi="宋体" w:cs="宋体"/>
          <w:bCs/>
          <w:szCs w:val="21"/>
        </w:rPr>
        <w:t xml:space="preserve">（5）乙方应按期完成体检任务，因乙方自身原因无法完成体检任务的（包括未能响应服务要求或不履行服务承诺、参检人员评价意见差的），由此产生的一切损失需乙方负责。</w:t>
      </w:r>
      <w:r/>
    </w:p>
    <w:p>
      <w:pPr>
        <w:ind w:firstLine="420"/>
        <w:spacing w:line="360" w:lineRule="auto"/>
        <w:rPr>
          <w:rFonts w:ascii="宋体" w:hAnsi="宋体" w:cs="宋体"/>
          <w:bCs/>
          <w:szCs w:val="21"/>
        </w:rPr>
      </w:pPr>
      <w:r>
        <w:rPr>
          <w:rFonts w:hint="eastAsia" w:ascii="宋体" w:hAnsi="宋体" w:cs="宋体"/>
          <w:bCs/>
          <w:szCs w:val="21"/>
        </w:rPr>
        <w:t xml:space="preserve">（6）乙方须设立服务质量投诉电话和服务质量征求意见薄，对有关问题应及时答复和采取相应的改进措施。</w:t>
      </w:r>
      <w:r/>
    </w:p>
    <w:p>
      <w:pPr>
        <w:ind w:firstLine="420"/>
        <w:spacing w:line="360" w:lineRule="auto"/>
        <w:rPr>
          <w:rFonts w:ascii="宋体" w:hAnsi="宋体" w:cs="宋体"/>
          <w:b/>
          <w:szCs w:val="21"/>
        </w:rPr>
      </w:pPr>
      <w:r>
        <w:rPr>
          <w:rFonts w:hint="eastAsia" w:ascii="宋体" w:hAnsi="宋体" w:cs="宋体"/>
          <w:bCs/>
          <w:szCs w:val="21"/>
        </w:rPr>
        <w:t xml:space="preserve">（7）</w:t>
      </w:r>
      <w:r>
        <w:t xml:space="preserve">乙方应在全部体检结束后</w:t>
      </w:r>
      <w:r>
        <w:rPr>
          <w:rFonts w:hint="eastAsia"/>
        </w:rPr>
        <w:t xml:space="preserve">【</w:t>
      </w:r>
      <w:r>
        <w:rPr>
          <w:rFonts w:hint="eastAsia"/>
        </w:rPr>
        <w:t xml:space="preserve">15</w:t>
      </w:r>
      <w:r>
        <w:rPr>
          <w:rFonts w:hint="eastAsia"/>
        </w:rPr>
        <w:t xml:space="preserve">】</w:t>
      </w:r>
      <w:r>
        <w:t xml:space="preserve">个工作日内完成体检报告的制作并交付甲方及体检职工个人</w:t>
      </w:r>
      <w:r>
        <w:rPr>
          <w:rFonts w:hint="eastAsia"/>
        </w:rPr>
        <w:t xml:space="preserve">。</w:t>
      </w:r>
      <w:r/>
    </w:p>
    <w:p>
      <w:pPr>
        <w:spacing w:line="360" w:lineRule="auto"/>
        <w:rPr>
          <w:rFonts w:ascii="宋体" w:hAnsi="宋体" w:cs="宋体"/>
          <w:iCs/>
          <w:szCs w:val="21"/>
        </w:rPr>
      </w:pPr>
      <w:r>
        <w:rPr>
          <w:rFonts w:hint="eastAsia" w:ascii="宋体" w:hAnsi="宋体" w:cs="宋体"/>
          <w:b/>
          <w:bCs/>
          <w:szCs w:val="21"/>
        </w:rPr>
        <w:t xml:space="preserve">五、违约责任</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1.甲方违约责任及违约金支付：</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在合同生效后，甲方无理由要求终止服务的，应向乙方偿付合同总价款的5%，作为违约金，违约金不足以补偿损失的，乙方有权要求甲方补足。</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2.乙方违约责任及违约金支付：</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2.1乙方不能提供服务的，或提供服务不合格从而影响甲方的，应向甲方偿付合同总价款5%的违约金，违约金不足以补偿损失的甲方有权要求乙方补足。</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2.2乙方在全部职工完成体检后，逾期出具体检报告的，每逾期一日，应向甲方支付合同总价款千分之三的违约金；逾期超过15日的，甲方有权解除合同。</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2.3乙方因误诊、漏诊或体检操作不当造成职工人身损害的，由乙方承担全部赔偿责任。乙方擅自转包或分包的，甲方有权解除合同，乙方应支付合同总价款20%的违约金。</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2.4体检信息</w:t>
      </w:r>
      <w:r>
        <w:rPr>
          <w:rFonts w:hint="eastAsia"/>
        </w:rPr>
        <w:t xml:space="preserve">保密及个人信息保护条款</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（1）乙方对在体检服务过程中获取的甲方职工个人信息、健康检查数据等负有保密义务，未经甲方及体检职工本人书面同意，不得向任何第三方披露、提供或用于本合同以外的目的。</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（2）乙方应按照《个人信息保护法》《数据安全法》等法律法规要求，采取必要的安全技术措施保障体检数据安全，数据存储在中华人民共和国境内。</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（3）发生数据泄露事件时，乙方应在24小时内通知甲方，并采取补救措施。</w:t>
      </w:r>
      <w:r/>
    </w:p>
    <w:p>
      <w:pPr>
        <w:ind w:firstLine="420"/>
        <w:spacing w:line="360" w:lineRule="auto"/>
        <w:tabs>
          <w:tab w:val="left" w:pos="1276" w:leader="none"/>
        </w:tabs>
        <w:rPr>
          <w:rFonts w:ascii="宋体" w:hAnsi="宋体" w:cs="宋体"/>
          <w:szCs w:val="21"/>
        </w:rPr>
      </w:pPr>
      <w:r>
        <w:rPr>
          <w:rFonts w:hint="eastAsia" w:ascii="宋体" w:hAnsi="宋体" w:cs="宋体"/>
          <w:szCs w:val="21"/>
        </w:rPr>
        <w:t xml:space="preserve">（4）乙方违反保密义务或因乙方原因导致体检数据泄露的，应向甲方支付合同总价款 20%的违约金，违约金不足以赔偿由此造成的全部损失时，乙方应当赔偿全部损失（包括但不限于行政处罚、民事赔偿、应急处置费用等）。</w:t>
      </w:r>
      <w:r/>
    </w:p>
    <w:p>
      <w:pPr>
        <w:spacing w:line="360" w:lineRule="auto"/>
        <w:tabs>
          <w:tab w:val="left" w:pos="1276" w:leader="none"/>
        </w:tabs>
        <w:rPr>
          <w:rFonts w:ascii="宋体" w:hAnsi="宋体" w:cs="宋体"/>
          <w:b/>
          <w:szCs w:val="21"/>
        </w:rPr>
      </w:pPr>
      <w:r>
        <w:rPr>
          <w:rFonts w:hint="eastAsia" w:ascii="宋体" w:hAnsi="宋体" w:cs="宋体"/>
          <w:b/>
          <w:bCs/>
          <w:szCs w:val="21"/>
        </w:rPr>
        <w:t xml:space="preserve">六</w:t>
      </w:r>
      <w:r>
        <w:rPr>
          <w:rFonts w:hint="eastAsia" w:ascii="宋体" w:hAnsi="宋体" w:cs="宋体"/>
          <w:b/>
          <w:szCs w:val="21"/>
        </w:rPr>
        <w:t xml:space="preserve">、不可抗力</w:t>
      </w:r>
      <w:r/>
    </w:p>
    <w:p>
      <w:pPr>
        <w:ind w:firstLine="420"/>
        <w:spacing w:line="360" w:lineRule="auto"/>
        <w:rPr>
          <w:rFonts w:ascii="宋体" w:hAnsi="宋体" w:cs="宋体"/>
          <w:szCs w:val="21"/>
        </w:rPr>
      </w:pPr>
      <w:r>
        <w:rPr>
          <w:rFonts w:hint="eastAsia" w:ascii="宋体" w:hAnsi="宋体" w:cs="宋体"/>
          <w:szCs w:val="21"/>
        </w:rPr>
        <w:t xml:space="preserve">1.不可抗力是指严重的自然灾害和灾难（如台风、洪水、地震、火灾和爆炸等）、战争（不论是否宣战）、叛乱、动乱等等。合同中的任何一方，由于不可抗力事件而影响合同义务的执行时，则延迟履行合同义务的期限相当于不可抗力事件影响的时间，但是不能因为不可抗力的延迟而调整合同价格。 </w:t>
      </w:r>
      <w:r/>
    </w:p>
    <w:p>
      <w:pPr>
        <w:ind w:firstLine="420"/>
        <w:spacing w:line="360" w:lineRule="auto"/>
        <w:rPr>
          <w:rFonts w:ascii="宋体" w:hAnsi="宋体" w:cs="宋体"/>
          <w:szCs w:val="21"/>
        </w:rPr>
      </w:pPr>
      <w:r>
        <w:rPr>
          <w:rFonts w:hint="eastAsia" w:ascii="宋体" w:hAnsi="宋体" w:cs="宋体"/>
          <w:szCs w:val="21"/>
        </w:rPr>
        <w:t xml:space="preserve">2.受到不可抗力影响的一方应在不可抗力事故发生后，尽快将所发生的不可抗力事件的情况以传真通知另一方，并在三天内将有关当局出具的证明文件提交给另一方审阅确认，受影响的一方同时应尽量设法缩小这种影响和由此而引起的延误，一旦不可抗力的影响消除后应将此情况立即通知对方。</w:t>
      </w:r>
      <w:r/>
    </w:p>
    <w:p>
      <w:pPr>
        <w:ind w:firstLine="420"/>
        <w:spacing w:line="360" w:lineRule="auto"/>
        <w:rPr>
          <w:rFonts w:ascii="宋体" w:hAnsi="宋体" w:cs="宋体"/>
          <w:szCs w:val="21"/>
        </w:rPr>
      </w:pPr>
      <w:r>
        <w:rPr>
          <w:rFonts w:hint="eastAsia" w:ascii="宋体" w:hAnsi="宋体" w:cs="宋体"/>
          <w:szCs w:val="21"/>
        </w:rPr>
        <w:t xml:space="preserve">3.因不可抗力不能履行合同的，根据不可抗力的影响，部分或者全部免除责任。但合同一方延迟履行后发生不可抗力的，不能免除责任。</w:t>
      </w:r>
      <w:r/>
    </w:p>
    <w:p>
      <w:pPr>
        <w:spacing w:line="360" w:lineRule="auto"/>
        <w:rPr>
          <w:rFonts w:ascii="宋体" w:hAnsi="宋体" w:cs="宋体"/>
          <w:b/>
          <w:szCs w:val="21"/>
        </w:rPr>
        <w:outlineLvl w:val="0"/>
      </w:pPr>
      <w:r>
        <w:rPr>
          <w:rFonts w:hint="eastAsia" w:ascii="宋体" w:hAnsi="宋体" w:cs="宋体"/>
          <w:b/>
          <w:szCs w:val="21"/>
        </w:rPr>
        <w:t xml:space="preserve">七、合同的解除和转让</w:t>
      </w:r>
      <w:r/>
    </w:p>
    <w:p>
      <w:pPr>
        <w:ind w:firstLine="420"/>
        <w:spacing w:line="360" w:lineRule="auto"/>
        <w:rPr>
          <w:rFonts w:ascii="宋体" w:hAnsi="宋体" w:cs="宋体"/>
          <w:szCs w:val="21"/>
        </w:rPr>
        <w:outlineLvl w:val="0"/>
      </w:pPr>
      <w:r>
        <w:rPr>
          <w:rFonts w:hint="eastAsia" w:ascii="宋体" w:hAnsi="宋体" w:cs="宋体"/>
          <w:szCs w:val="21"/>
        </w:rPr>
        <w:t xml:space="preserve">1.有下列情形之一，合同一方可以解除合同：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20"/>
        <w:spacing w:line="360" w:lineRule="auto"/>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20"/>
        <w:spacing w:line="360" w:lineRule="auto"/>
        <w:rPr>
          <w:rFonts w:ascii="宋体" w:hAnsi="宋体" w:cs="宋体"/>
          <w:szCs w:val="21"/>
        </w:rPr>
      </w:pPr>
      <w:r>
        <w:rPr>
          <w:rFonts w:hint="eastAsia" w:ascii="宋体" w:hAnsi="宋体" w:cs="宋体"/>
          <w:szCs w:val="21"/>
        </w:rPr>
        <w:t xml:space="preserve">（3）有权解除合同的一方，应当在违约事实或不可抗力发生之后三十天内书面通知对方以主张解除合同，合同在书面通知到达对方时解除。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szCs w:val="21"/>
        </w:rPr>
        <w:outlineLvl w:val="0"/>
      </w:pPr>
      <w:r>
        <w:rPr>
          <w:rFonts w:hint="eastAsia" w:ascii="宋体" w:hAnsi="宋体" w:cs="宋体"/>
          <w:szCs w:val="21"/>
        </w:rPr>
        <w:t xml:space="preserve">2. 合同的部分和全部都不得转让。</w:t>
      </w:r>
      <w:r/>
    </w:p>
    <w:p>
      <w:pPr>
        <w:spacing w:line="360" w:lineRule="auto"/>
        <w:rPr>
          <w:rFonts w:ascii="宋体" w:hAnsi="宋体" w:cs="宋体"/>
          <w:szCs w:val="21"/>
        </w:rPr>
      </w:pPr>
      <w:r>
        <w:rPr>
          <w:rFonts w:hint="eastAsia" w:ascii="宋体" w:hAnsi="宋体" w:cs="宋体"/>
          <w:b/>
          <w:bCs/>
          <w:szCs w:val="21"/>
        </w:rPr>
        <w:t xml:space="preserve">八、争议解决办法</w:t>
      </w:r>
      <w:r/>
    </w:p>
    <w:p>
      <w:pPr>
        <w:ind w:firstLine="420"/>
        <w:spacing w:line="360" w:lineRule="auto"/>
        <w:rPr>
          <w:rFonts w:ascii="宋体" w:hAnsi="宋体" w:cs="宋体"/>
          <w:szCs w:val="21"/>
        </w:rPr>
      </w:pPr>
      <w:r>
        <w:rPr>
          <w:rFonts w:hint="eastAsia" w:ascii="宋体" w:hAnsi="宋体" w:cs="宋体"/>
          <w:szCs w:val="21"/>
        </w:rPr>
        <w:t xml:space="preserve">甲乙双方因合同发生争议，可在招标机构的主持下进行调解，协商不成，任何一方可以向甲方所在地人民法院起诉。因诉讼产生的各项费用，包括但不限于诉讼费、律师费、保全费、担保费、公证费、差旅费、鉴定费等均由败诉方承担。</w:t>
      </w:r>
      <w:r/>
    </w:p>
    <w:p>
      <w:pPr>
        <w:spacing w:line="360" w:lineRule="auto"/>
        <w:rPr>
          <w:rFonts w:ascii="宋体" w:hAnsi="宋体" w:cs="宋体"/>
          <w:szCs w:val="21"/>
        </w:rPr>
      </w:pPr>
      <w:r>
        <w:rPr>
          <w:rFonts w:hint="eastAsia" w:ascii="宋体" w:hAnsi="宋体" w:cs="宋体"/>
          <w:b/>
          <w:szCs w:val="21"/>
        </w:rPr>
        <w:t xml:space="preserve">九、合同生效及其它</w:t>
      </w:r>
      <w:r/>
    </w:p>
    <w:p>
      <w:pPr>
        <w:ind w:firstLine="420"/>
        <w:spacing w:line="360" w:lineRule="auto"/>
        <w:rPr>
          <w:rFonts w:ascii="宋体" w:hAnsi="宋体" w:cs="宋体"/>
          <w:szCs w:val="21"/>
        </w:rPr>
      </w:pPr>
      <w:r>
        <w:rPr>
          <w:rFonts w:hint="eastAsia" w:ascii="宋体" w:hAnsi="宋体" w:cs="宋体"/>
          <w:szCs w:val="21"/>
        </w:rPr>
        <w:t xml:space="preserve">1.合同经甲乙双方代表签字（或盖章）并加盖公章（或合同章）后生效。</w:t>
      </w:r>
      <w:r/>
    </w:p>
    <w:p>
      <w:pPr>
        <w:ind w:firstLine="420"/>
        <w:spacing w:line="360" w:lineRule="auto"/>
        <w:rPr>
          <w:rFonts w:ascii="宋体" w:hAnsi="宋体" w:cs="宋体"/>
          <w:szCs w:val="21"/>
        </w:rPr>
      </w:pPr>
      <w:r>
        <w:rPr>
          <w:rFonts w:hint="eastAsia" w:ascii="宋体" w:hAnsi="宋体" w:cs="宋体"/>
          <w:szCs w:val="21"/>
        </w:rPr>
        <w:t xml:space="preserve">2.合同在执行过程中出现的未尽事宜，双方在不违背本合同和采购文件的原则下协商解决，协商结果以书面形式盖章记录在案，作为本合同的附件，与本合同具有同等效力，但需提交甲方一份备存。</w:t>
      </w:r>
      <w:r/>
    </w:p>
    <w:p>
      <w:pPr>
        <w:ind w:firstLine="420"/>
        <w:spacing w:line="360" w:lineRule="auto"/>
        <w:rPr>
          <w:rFonts w:ascii="宋体" w:hAnsi="宋体" w:cs="宋体"/>
          <w:szCs w:val="21"/>
        </w:rPr>
      </w:pPr>
      <w:r>
        <w:rPr>
          <w:rFonts w:hint="eastAsia" w:ascii="宋体" w:hAnsi="宋体" w:cs="宋体"/>
          <w:szCs w:val="21"/>
        </w:rPr>
        <w:t xml:space="preserve">3.本合同一式叁份，甲方、乙方双方、采购代理机构各执壹份，各份均具备同等法律效力。</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                      乙方：             </w:t>
      </w:r>
      <w:r/>
    </w:p>
    <w:p>
      <w:pPr>
        <w:spacing w:line="360" w:lineRule="auto"/>
        <w:rPr>
          <w:rFonts w:ascii="宋体" w:hAnsi="宋体" w:cs="宋体"/>
          <w:szCs w:val="21"/>
        </w:rPr>
      </w:pPr>
      <w:r>
        <w:rPr>
          <w:rFonts w:hint="eastAsia" w:ascii="宋体" w:hAnsi="宋体" w:cs="宋体"/>
          <w:szCs w:val="21"/>
        </w:rPr>
        <w:t xml:space="preserve">法定代表人（授权代表）：    法定代表人（授权代表）：  </w:t>
      </w:r>
      <w:r/>
    </w:p>
    <w:p>
      <w:pPr>
        <w:spacing w:line="360" w:lineRule="auto"/>
        <w:rPr>
          <w:rFonts w:ascii="宋体" w:hAnsi="宋体"/>
          <w:szCs w:val="21"/>
        </w:rPr>
      </w:pPr>
      <w:r>
        <w:rPr>
          <w:rFonts w:hint="eastAsia" w:ascii="宋体" w:hAnsi="宋体" w:cs="宋体"/>
          <w:szCs w:val="21"/>
        </w:rPr>
        <w:t xml:space="preserve">签约日期：                  签约日期</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ascii="宋体" w:hAnsi="宋体" w:cs="宋体"/>
          <w:b/>
          <w:szCs w:val="21"/>
        </w:rPr>
      </w:pPr>
      <w:r>
        <w:rPr>
          <w:rFonts w:hint="eastAsia" w:ascii="宋体" w:hAnsi="宋体" w:cs="宋体"/>
          <w:b/>
          <w:szCs w:val="21"/>
        </w:rPr>
        <w:t xml:space="preserve">说明：</w:t>
      </w:r>
      <w:r/>
    </w:p>
    <w:p>
      <w:pPr>
        <w:pStyle w:val="957"/>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957"/>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915"/>
        <w:gridCol w:w="2686"/>
        <w:gridCol w:w="2340"/>
        <w:gridCol w:w="1716"/>
      </w:tblGrid>
      <w:tr>
        <w:trPr>
          <w:jc w:val="center"/>
          <w:trHeight w:val="607"/>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rPr>
                <w:rFonts w:ascii="宋体" w:hAnsi="宋体" w:cs="宋体"/>
                <w:spacing w:val="20"/>
                <w:szCs w:val="21"/>
              </w:rPr>
            </w:pPr>
            <w:r>
              <w:rPr>
                <w:rFonts w:hint="eastAsia" w:ascii="宋体" w:hAnsi="宋体" w:cs="宋体"/>
                <w:spacing w:val="20"/>
                <w:szCs w:val="21"/>
              </w:rPr>
              <w:t xml:space="preserve">投标综合单价(</w:t>
            </w:r>
            <w:r>
              <w:rPr>
                <w:rFonts w:hint="eastAsia" w:ascii="宋体" w:hAnsi="宋体" w:cs="宋体"/>
                <w:spacing w:val="20"/>
                <w:szCs w:val="21"/>
                <w:lang w:val="zh-CN"/>
              </w:rPr>
              <w:t xml:space="preserve">元</w:t>
            </w:r>
            <w:r>
              <w:rPr>
                <w:rFonts w:hint="eastAsia" w:ascii="宋体" w:hAnsi="宋体" w:cs="宋体"/>
                <w:spacing w:val="20"/>
                <w:szCs w:val="21"/>
              </w:rPr>
              <w:t xml:space="preserve">/人)</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rPr>
                <w:rFonts w:ascii="宋体" w:hAnsi="宋体" w:cs="宋体"/>
                <w:spacing w:val="20"/>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jc w:val="center"/>
          <w:trHeight w:val="1710"/>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pacing w:val="20"/>
          <w:szCs w:val="21"/>
        </w:rPr>
      </w:pPr>
      <w:r>
        <w:rPr>
          <w:rFonts w:hint="eastAsia" w:ascii="宋体" w:hAnsi="宋体" w:cs="宋体"/>
          <w:szCs w:val="21"/>
        </w:rPr>
        <w:t xml:space="preserve">磋商响应单位（签章）：</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pStyle w:val="800"/>
        <w:ind w:firstLine="500"/>
        <w:rPr>
          <w:rFonts w:ascii="宋体" w:hAnsi="宋体" w:cs="宋体"/>
          <w:spacing w:val="20"/>
          <w:szCs w:val="21"/>
        </w:rPr>
      </w:pPr>
      <w:r>
        <w:rPr>
          <w:rFonts w:ascii="宋体" w:hAnsi="宋体" w:cs="宋体"/>
          <w:spacing w:val="20"/>
          <w:szCs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ascii="宋体" w:hAnsi="宋体" w:eastAsia="宋体" w:cs="宋体"/>
          <w:b/>
          <w:sz w:val="21"/>
        </w:rPr>
      </w:r>
      <w:r/>
    </w:p>
    <w:p>
      <w:pPr>
        <w:pStyle w:val="770"/>
        <w:ind w:firstLine="0"/>
        <w:jc w:val="both"/>
        <w:spacing w:line="360" w:lineRule="auto"/>
        <w:widowControl w:val="off"/>
        <w:rPr>
          <w:rFonts w:ascii="宋体" w:hAnsi="宋体" w:eastAsia="宋体" w:cs="宋体"/>
          <w:b/>
          <w:sz w:val="21"/>
        </w:rPr>
      </w:pPr>
      <w:r>
        <w:rPr>
          <w:rFonts w:hint="eastAsia" w:ascii="宋体" w:hAnsi="宋体" w:eastAsia="宋体" w:cs="宋体"/>
          <w:b/>
          <w:sz w:val="21"/>
        </w:rPr>
        <w:t xml:space="preserve">附件2：关于资格文件的声明函</w:t>
      </w:r>
      <w:r/>
    </w:p>
    <w:p>
      <w:pPr>
        <w:pStyle w:val="770"/>
        <w:jc w:val="center"/>
        <w:spacing w:line="360" w:lineRule="auto"/>
        <w:widowControl w:val="off"/>
        <w:rPr>
          <w:rFonts w:ascii="宋体" w:hAnsi="宋体" w:eastAsia="宋体" w:cs="宋体"/>
          <w:sz w:val="21"/>
        </w:rPr>
      </w:pPr>
      <w:r>
        <w:rPr>
          <w:rFonts w:ascii="宋体" w:hAnsi="宋体" w:eastAsia="宋体" w:cs="宋体"/>
          <w:sz w:val="21"/>
        </w:rPr>
      </w:r>
      <w:r/>
    </w:p>
    <w:p>
      <w:pPr>
        <w:pStyle w:val="770"/>
        <w:jc w:val="center"/>
        <w:spacing w:line="360" w:lineRule="auto"/>
        <w:widowControl w:val="off"/>
        <w:rPr>
          <w:rFonts w:ascii="宋体" w:hAnsi="宋体" w:eastAsia="宋体" w:cs="宋体"/>
          <w:sz w:val="21"/>
        </w:rPr>
      </w:pPr>
      <w:r>
        <w:rPr>
          <w:rFonts w:hint="eastAsia" w:ascii="宋体" w:hAnsi="宋体" w:eastAsia="宋体" w:cs="宋体"/>
          <w:sz w:val="21"/>
        </w:rPr>
        <w:t xml:space="preserve">关于资格文件的声明函</w:t>
      </w:r>
      <w:r/>
    </w:p>
    <w:p>
      <w:pPr>
        <w:pStyle w:val="770"/>
        <w:ind w:firstLine="0"/>
        <w:spacing w:line="360" w:lineRule="auto"/>
        <w:widowControl w:val="off"/>
        <w:rPr>
          <w:rFonts w:ascii="宋体" w:hAnsi="宋体" w:eastAsia="宋体" w:cs="宋体"/>
          <w:sz w:val="21"/>
          <w:u w:val="single"/>
        </w:rPr>
      </w:pPr>
      <w:r>
        <w:rPr>
          <w:rFonts w:ascii="宋体" w:hAnsi="宋体" w:eastAsia="宋体" w:cs="宋体"/>
          <w:sz w:val="21"/>
          <w:u w:val="single"/>
        </w:rPr>
      </w:r>
      <w:r/>
    </w:p>
    <w:p>
      <w:pPr>
        <w:pStyle w:val="770"/>
        <w:ind w:firstLine="0"/>
        <w:spacing w:line="360" w:lineRule="auto"/>
        <w:widowControl w:val="off"/>
        <w:rPr>
          <w:rFonts w:ascii="宋体" w:hAnsi="宋体" w:eastAsia="宋体" w:cs="宋体"/>
          <w:sz w:val="21"/>
        </w:rPr>
      </w:pPr>
      <w:r>
        <w:rPr>
          <w:rFonts w:hint="eastAsia" w:ascii="宋体" w:hAnsi="宋体" w:eastAsia="宋体" w:cs="宋体"/>
          <w:sz w:val="21"/>
        </w:rPr>
        <w:t xml:space="preserve">【】：</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70"/>
        <w:ind w:firstLine="0"/>
        <w:jc w:val="both"/>
        <w:spacing w:line="360" w:lineRule="auto"/>
        <w:widowControl w:val="off"/>
        <w:rPr>
          <w:rFonts w:ascii="宋体" w:hAnsi="宋体" w:eastAsia="宋体" w:cs="宋体"/>
          <w:sz w:val="21"/>
        </w:rPr>
      </w:pPr>
      <w:r>
        <w:rPr>
          <w:rFonts w:ascii="宋体" w:hAnsi="宋体" w:eastAsia="宋体" w:cs="宋体"/>
          <w:sz w:val="21"/>
        </w:rPr>
      </w:r>
      <w:r/>
    </w:p>
    <w:p>
      <w:pPr>
        <w:pStyle w:val="770"/>
        <w:ind w:firstLine="0"/>
        <w:jc w:val="both"/>
        <w:spacing w:line="360" w:lineRule="auto"/>
        <w:widowControl w:val="off"/>
        <w:rPr>
          <w:rFonts w:ascii="宋体" w:hAnsi="宋体" w:eastAsia="宋体" w:cs="宋体"/>
          <w:sz w:val="21"/>
        </w:rPr>
      </w:pPr>
      <w:r>
        <w:rPr>
          <w:rFonts w:hint="eastAsia" w:ascii="宋体" w:hAnsi="宋体" w:eastAsia="宋体" w:cs="宋体"/>
          <w:sz w:val="21"/>
        </w:rPr>
        <w:t xml:space="preserve">磋商响应单位：（签章）</w:t>
      </w:r>
      <w:r/>
    </w:p>
    <w:p>
      <w:pPr>
        <w:pStyle w:val="770"/>
        <w:ind w:firstLine="0"/>
        <w:jc w:val="both"/>
        <w:spacing w:line="360" w:lineRule="auto"/>
        <w:widowControl w:val="off"/>
        <w:rPr>
          <w:rFonts w:ascii="宋体" w:hAnsi="宋体" w:eastAsia="宋体" w:cs="宋体"/>
          <w:sz w:val="21"/>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eastAsia="宋体" w:cs="宋体"/>
          <w:sz w:val="21"/>
          <w:szCs w:val="21"/>
        </w:rPr>
        <w:t xml:space="preserve">日期：        年    月    日</w:t>
      </w:r>
      <w:r/>
    </w:p>
    <w:p>
      <w:pPr>
        <w:pStyle w:val="770"/>
        <w:ind w:firstLine="0"/>
        <w:spacing w:line="360" w:lineRule="auto"/>
        <w:widowControl w:val="off"/>
        <w:rPr>
          <w:rFonts w:ascii="宋体" w:hAnsi="宋体" w:eastAsia="宋体" w:cs="宋体"/>
          <w:sz w:val="21"/>
          <w:szCs w:val="21"/>
        </w:rPr>
      </w:pPr>
      <w:r>
        <w:rPr>
          <w:rFonts w:hint="eastAsia" w:ascii="宋体" w:hAnsi="宋体" w:eastAsia="宋体" w:cs="宋体"/>
          <w:b/>
          <w:sz w:val="21"/>
          <w:szCs w:val="21"/>
        </w:rPr>
        <w:t xml:space="preserve">附件3：磋商响应单位基本情况表</w:t>
      </w:r>
      <w:r/>
    </w:p>
    <w:p>
      <w:pPr>
        <w:pStyle w:val="770"/>
        <w:jc w:val="center"/>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70"/>
        <w:jc w:val="center"/>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770"/>
        <w:ind w:firstLine="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19"/>
        <w:gridCol w:w="1985"/>
        <w:gridCol w:w="1522"/>
        <w:gridCol w:w="2142"/>
        <w:gridCol w:w="1289"/>
      </w:tblGrid>
      <w:tr>
        <w:trPr>
          <w:cantSplit/>
          <w:jc w:val="center"/>
          <w:trHeight w:val="567"/>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70"/>
              <w:ind w:firstLine="2160"/>
              <w:widowControl w:val="off"/>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0"/>
              <w:ind w:firstLine="0"/>
              <w:jc w:val="both"/>
              <w:widowControl w:val="off"/>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70"/>
              <w:ind w:firstLine="840"/>
              <w:jc w:val="right"/>
              <w:widowControl w:val="off"/>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70"/>
              <w:ind w:firstLine="0"/>
              <w:jc w:val="both"/>
              <w:widowControl w:val="off"/>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70"/>
              <w:ind w:firstLine="2100"/>
              <w:jc w:val="both"/>
              <w:widowControl w:val="off"/>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0"/>
              <w:ind w:firstLine="0"/>
              <w:jc w:val="both"/>
              <w:widowControl w:val="off"/>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70"/>
              <w:ind w:firstLine="1260"/>
              <w:jc w:val="right"/>
              <w:widowControl w:val="off"/>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70"/>
              <w:ind w:firstLine="0"/>
              <w:jc w:val="both"/>
              <w:widowControl w:val="off"/>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70"/>
              <w:ind w:firstLine="0"/>
              <w:jc w:val="center"/>
              <w:widowControl w:val="off"/>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2025年      万元</w:t>
            </w:r>
            <w:r/>
          </w:p>
        </w:tc>
        <w:tc>
          <w:tcPr>
            <w:tcW w:w="1522"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70"/>
              <w:ind w:firstLine="0"/>
              <w:jc w:val="both"/>
              <w:widowControl w:val="off"/>
              <w:rPr>
                <w:rFonts w:ascii="宋体" w:hAnsi="宋体" w:eastAsia="宋体" w:cs="宋体"/>
                <w:sz w:val="21"/>
                <w:szCs w:val="21"/>
              </w:rPr>
            </w:pPr>
            <w:r>
              <w:rPr>
                <w:rFonts w:hint="eastAsia" w:ascii="宋体" w:hAnsi="宋体" w:eastAsia="宋体" w:cs="宋体"/>
                <w:sz w:val="21"/>
                <w:szCs w:val="21"/>
              </w:rPr>
              <w:t xml:space="preserve">          平方米</w:t>
            </w:r>
            <w:r/>
          </w:p>
        </w:tc>
        <w:tc>
          <w:tcPr>
            <w:tcW w:w="1522"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850"/>
        </w:trPr>
        <w:tc>
          <w:tcPr>
            <w:tcW w:w="2719"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70"/>
              <w:ind w:firstLine="0"/>
              <w:widowControl w:val="off"/>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70"/>
              <w:ind w:firstLine="0"/>
              <w:widowControl w:val="off"/>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0"/>
              <w:ind w:firstLine="0"/>
              <w:widowControl w:val="off"/>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70"/>
              <w:ind w:firstLine="0"/>
              <w:widowControl w:val="off"/>
              <w:rPr>
                <w:rFonts w:ascii="宋体" w:hAnsi="宋体" w:eastAsia="宋体" w:cs="宋体"/>
                <w:sz w:val="21"/>
                <w:szCs w:val="21"/>
              </w:rPr>
            </w:pPr>
            <w:r>
              <w:rPr>
                <w:rFonts w:ascii="宋体" w:hAnsi="宋体" w:eastAsia="宋体" w:cs="宋体"/>
                <w:sz w:val="21"/>
                <w:szCs w:val="21"/>
              </w:rPr>
            </w:r>
            <w:r/>
          </w:p>
        </w:tc>
      </w:tr>
    </w:tbl>
    <w:p>
      <w:pPr>
        <w:pStyle w:val="800"/>
        <w:ind w:firstLine="500"/>
        <w:rPr>
          <w:rFonts w:ascii="宋体" w:hAnsi="宋体" w:cs="宋体"/>
          <w:spacing w:val="20"/>
          <w:szCs w:val="21"/>
        </w:rPr>
      </w:pPr>
      <w:r>
        <w:rPr>
          <w:rFonts w:ascii="宋体" w:hAnsi="宋体" w:cs="宋体"/>
          <w:spacing w:val="20"/>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附件4：（磋商响应单位）法定代表人授权委托书</w:t>
      </w:r>
      <w:r/>
    </w:p>
    <w:p>
      <w:pPr>
        <w:pStyle w:val="770"/>
        <w:jc w:val="center"/>
        <w:spacing w:line="360" w:lineRule="auto"/>
        <w:widowControl w:val="off"/>
        <w:rPr>
          <w:rFonts w:ascii="宋体" w:hAnsi="宋体" w:eastAsia="宋体" w:cs="宋体"/>
          <w:b/>
          <w:sz w:val="21"/>
          <w:szCs w:val="21"/>
        </w:rPr>
      </w:pPr>
      <w:r>
        <w:rPr>
          <w:rFonts w:ascii="宋体" w:hAnsi="宋体" w:eastAsia="宋体" w:cs="宋体"/>
          <w:b/>
          <w:sz w:val="21"/>
          <w:szCs w:val="21"/>
        </w:rPr>
      </w:r>
      <w:r/>
    </w:p>
    <w:p>
      <w:pPr>
        <w:pStyle w:val="770"/>
        <w:jc w:val="center"/>
        <w:spacing w:line="360" w:lineRule="auto"/>
        <w:widowControl w:val="off"/>
        <w:rPr>
          <w:rFonts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77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（磋商响应单位名称）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 xml:space="preserve">为我公司委托代理人，以本公司的名义参加苏州市创杰招投标咨询服务有限公司组织实施的编号为号的磋商采购活动。委托代理人在报名、制作磋商响应文件、磋商、评标、合同磋商过程中所签署的一切文件和处理与这有关的一切事务，我均予以承认。</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77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委托代理人无转委托权。特此委托。</w:t>
      </w:r>
      <w:r/>
    </w:p>
    <w:p>
      <w:pPr>
        <w:pStyle w:val="770"/>
        <w:ind w:firstLine="200"/>
        <w:spacing w:line="360" w:lineRule="auto"/>
        <w:widowControl w:val="off"/>
        <w:rPr>
          <w:rFonts w:ascii="宋体" w:hAnsi="宋体" w:eastAsia="宋体" w:cs="宋体"/>
          <w:sz w:val="21"/>
          <w:szCs w:val="21"/>
        </w:rPr>
      </w:pPr>
      <w:r>
        <w:rPr>
          <w:rFonts w:ascii="宋体" w:hAnsi="宋体" w:eastAsia="宋体" w:cs="宋体"/>
          <w:sz w:val="21"/>
          <w:szCs w:val="21"/>
        </w:rPr>
      </w:r>
      <w:r/>
    </w:p>
    <w:p>
      <w:pPr>
        <w:pStyle w:val="770"/>
        <w:ind w:firstLine="20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磋商响应单位：（公章）</w:t>
      </w:r>
      <w:r/>
    </w:p>
    <w:p>
      <w:pPr>
        <w:pStyle w:val="770"/>
        <w:ind w:firstLine="20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法定代表人：（签字或盖章）</w:t>
      </w:r>
      <w:r/>
    </w:p>
    <w:p>
      <w:pPr>
        <w:pStyle w:val="770"/>
        <w:ind w:firstLine="20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委托代理人：（签字或盖章）</w:t>
      </w:r>
      <w:r/>
    </w:p>
    <w:p>
      <w:pPr>
        <w:pStyle w:val="770"/>
        <w:ind w:firstLine="200"/>
        <w:spacing w:line="360" w:lineRule="auto"/>
        <w:widowControl w:val="off"/>
        <w:rPr>
          <w:rFonts w:ascii="宋体" w:hAnsi="宋体" w:eastAsia="宋体" w:cs="宋体"/>
          <w:sz w:val="21"/>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eastAsia="宋体" w:cs="宋体"/>
          <w:sz w:val="21"/>
          <w:szCs w:val="21"/>
        </w:rPr>
        <w:t xml:space="preserve">日期：        年    月    日</w:t>
      </w:r>
      <w:r/>
    </w:p>
    <w:p>
      <w:pPr>
        <w:spacing w:line="360" w:lineRule="auto"/>
        <w:rPr>
          <w:rFonts w:ascii="宋体" w:hAnsi="宋体" w:cs="宋体"/>
          <w:b/>
          <w:szCs w:val="21"/>
        </w:rPr>
        <w:outlineLvl w:val="1"/>
      </w:pPr>
      <w:r>
        <w:rPr>
          <w:rFonts w:hint="eastAsia" w:ascii="宋体" w:hAnsi="宋体" w:cs="宋体"/>
          <w:b/>
          <w:szCs w:val="21"/>
        </w:rPr>
        <w:t xml:space="preserve">附件5：磋商响应函</w:t>
      </w:r>
      <w:r/>
    </w:p>
    <w:p>
      <w:pPr>
        <w:jc w:val="center"/>
        <w:spacing w:line="360" w:lineRule="auto"/>
        <w:rPr>
          <w:rFonts w:ascii="宋体" w:hAnsi="宋体" w:cs="宋体"/>
          <w:b/>
          <w:spacing w:val="20"/>
          <w:szCs w:val="21"/>
        </w:rPr>
      </w:pPr>
      <w:r>
        <w:rPr>
          <w:rFonts w:hint="eastAsia" w:ascii="宋体" w:hAnsi="宋体" w:cs="宋体"/>
          <w:b/>
          <w:spacing w:val="20"/>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我们收到你们JSZC-320500-CJZB-C2026-0111号磋商采购文件，经仔细阅读和研究，我们决定参加本项目的磋商。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w:t>
      </w:r>
      <w:r>
        <w:rPr>
          <w:rFonts w:hint="eastAsia" w:ascii="宋体" w:hAnsi="宋体" w:cs="宋体"/>
        </w:rPr>
        <w:t xml:space="preserve">体检服务</w:t>
      </w:r>
      <w:r>
        <w:rPr>
          <w:rFonts w:hint="eastAsia" w:ascii="宋体" w:hAnsi="宋体" w:cs="宋体"/>
          <w:szCs w:val="21"/>
        </w:rPr>
        <w:t xml:space="preserve">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7、我们愿意按磋商采购文件的规定交纳</w:t>
      </w:r>
      <w:r>
        <w:rPr>
          <w:rFonts w:hint="eastAsia" w:ascii="宋体" w:hAnsi="宋体" w:cs="宋体"/>
          <w:szCs w:val="21"/>
          <w:u w:val="single"/>
        </w:rPr>
        <w:t xml:space="preserve">   /   </w:t>
      </w:r>
      <w:r>
        <w:rPr>
          <w:rFonts w:hint="eastAsia" w:ascii="宋体" w:hAnsi="宋体" w:cs="宋体"/>
          <w:szCs w:val="21"/>
        </w:rPr>
        <w:t xml:space="preserve">元的磋商保证金。</w:t>
      </w:r>
      <w:r/>
    </w:p>
    <w:p>
      <w:pPr>
        <w:ind w:firstLine="420"/>
        <w:spacing w:line="360" w:lineRule="auto"/>
        <w:rPr>
          <w:rFonts w:ascii="宋体" w:hAnsi="宋体" w:cs="宋体"/>
          <w:szCs w:val="21"/>
        </w:rPr>
      </w:pPr>
      <w:r>
        <w:rPr>
          <w:rFonts w:hint="eastAsia" w:ascii="宋体" w:hAnsi="宋体" w:cs="宋体"/>
          <w:szCs w:val="21"/>
        </w:rPr>
        <w:t xml:space="preserve">8、如我方成为成交单位，我方愿意在领取成交通知书时按采购文件要求向代理机构支付成交服务费。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9、我们愿意按照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10、我们愿意按照贵公司磋商采购文件的要求提供电子响应文件，并保证全部磋商响应文件内容真实有效，若有虚假，我公司愿意承担与此相关的一切责任。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11、综合说明：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邮箱地址：</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800"/>
        <w:ind w:left="0" w:firstLine="0"/>
        <w:rPr>
          <w:rFonts w:ascii="宋体" w:hAnsi="宋体" w:cs="宋体"/>
          <w:szCs w:val="21"/>
        </w:rPr>
      </w:pPr>
      <w:r>
        <w:rPr>
          <w:rFonts w:ascii="宋体" w:hAnsi="宋体" w:cs="宋体"/>
          <w:szCs w:val="21"/>
        </w:rPr>
      </w:r>
      <w:r/>
    </w:p>
    <w:p>
      <w:pPr>
        <w:pStyle w:val="770"/>
        <w:ind w:firstLine="0"/>
        <w:jc w:val="both"/>
        <w:spacing w:line="360" w:lineRule="auto"/>
        <w:widowControl w:val="off"/>
        <w:rPr>
          <w:rFonts w:ascii="宋体" w:hAnsi="宋体" w:eastAsia="宋体" w:cs="宋体"/>
          <w:sz w:val="21"/>
        </w:rPr>
      </w:pPr>
      <w:r>
        <w:rPr>
          <w:rFonts w:hint="eastAsia" w:ascii="宋体" w:hAnsi="宋体" w:eastAsia="宋体" w:cs="宋体"/>
          <w:sz w:val="21"/>
        </w:rPr>
        <w:t xml:space="preserve">磋商响应单位：（签章）</w:t>
      </w:r>
      <w:r/>
    </w:p>
    <w:p>
      <w:pPr>
        <w:pStyle w:val="770"/>
        <w:ind w:firstLine="0"/>
        <w:jc w:val="both"/>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日期：        年    月    日</w:t>
      </w:r>
      <w:r/>
    </w:p>
    <w:p>
      <w:pPr>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ascii="宋体" w:hAnsi="宋体" w:cs="宋体"/>
          <w:b/>
          <w:szCs w:val="21"/>
        </w:rPr>
      </w:r>
      <w:r/>
    </w:p>
    <w:p>
      <w:pPr>
        <w:pStyle w:val="769"/>
      </w:pPr>
      <w:r/>
      <w:r/>
    </w:p>
    <w:p>
      <w:pPr>
        <w:jc w:val="left"/>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74"/>
        <w:gridCol w:w="1901"/>
        <w:gridCol w:w="1711"/>
        <w:gridCol w:w="1521"/>
        <w:gridCol w:w="1795"/>
        <w:gridCol w:w="1855"/>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rPr>
        <w:t xml:space="preserve">签章</w:t>
      </w:r>
      <w:r>
        <w:rPr>
          <w:rFonts w:hint="eastAsia" w:ascii="宋体" w:hAnsi="宋体" w:cs="宋体"/>
          <w:szCs w:val="21"/>
        </w:rPr>
        <w:t xml:space="preserve">）</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rPr>
        <w:t xml:space="preserve">签章</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日期：        年    月    日</w:t>
      </w:r>
      <w:r/>
    </w:p>
    <w:p>
      <w:pPr>
        <w:pStyle w:val="800"/>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rPr>
          <w:rFonts w:ascii="宋体" w:hAnsi="宋体" w:cs="宋体"/>
          <w:szCs w:val="21"/>
        </w:rPr>
      </w:pPr>
      <w:r>
        <w:rPr>
          <w:rFonts w:hint="eastAsia" w:ascii="宋体" w:hAnsi="宋体" w:cs="宋体"/>
          <w:szCs w:val="21"/>
        </w:rPr>
        <w:t xml:space="preserve">投标（响应）保证承诺书</w:t>
      </w:r>
      <w:r/>
    </w:p>
    <w:p>
      <w:pPr>
        <w:jc w:val="left"/>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投标（响应）人（签章）：</w:t>
      </w:r>
      <w:r/>
    </w:p>
    <w:p>
      <w:pPr>
        <w:jc w:val="left"/>
        <w:spacing w:line="360" w:lineRule="auto"/>
        <w:rPr>
          <w:rFonts w:ascii="宋体" w:hAnsi="宋体" w:cs="宋体"/>
          <w:szCs w:val="21"/>
        </w:rPr>
      </w:pPr>
      <w:r>
        <w:rPr>
          <w:rFonts w:hint="eastAsia" w:ascii="宋体" w:hAnsi="宋体" w:cs="宋体"/>
          <w:szCs w:val="21"/>
        </w:rPr>
        <w:t xml:space="preserve">地址：</w:t>
      </w:r>
      <w:r/>
    </w:p>
    <w:p>
      <w:pPr>
        <w:jc w:val="left"/>
        <w:spacing w:line="360" w:lineRule="auto"/>
        <w:rPr>
          <w:rFonts w:ascii="宋体" w:hAnsi="宋体" w:cs="宋体"/>
          <w:szCs w:val="21"/>
        </w:rPr>
      </w:pPr>
      <w:r>
        <w:rPr>
          <w:rFonts w:hint="eastAsia" w:ascii="宋体" w:hAnsi="宋体" w:cs="宋体"/>
          <w:szCs w:val="21"/>
        </w:rPr>
        <w:t xml:space="preserve">电话：</w:t>
      </w:r>
      <w:r/>
    </w:p>
    <w:p>
      <w:pPr>
        <w:jc w:val="left"/>
        <w:spacing w:line="360" w:lineRule="auto"/>
        <w:rPr>
          <w:rFonts w:ascii="宋体" w:hAnsi="宋体" w:cs="宋体"/>
          <w:szCs w:val="21"/>
        </w:rPr>
      </w:pPr>
      <w:r>
        <w:rPr>
          <w:rFonts w:hint="eastAsia" w:ascii="宋体" w:hAnsi="宋体" w:cs="宋体"/>
          <w:szCs w:val="21"/>
        </w:rPr>
        <w:t xml:space="preserve">传真：</w:t>
      </w:r>
      <w:r/>
    </w:p>
    <w:p>
      <w:pPr>
        <w:jc w:val="left"/>
        <w:spacing w:line="360" w:lineRule="auto"/>
        <w:rPr>
          <w:rFonts w:ascii="宋体" w:hAnsi="宋体" w:cs="宋体"/>
          <w:szCs w:val="21"/>
          <w:u w:val="single"/>
        </w:rPr>
      </w:pPr>
      <w:r>
        <w:rPr>
          <w:rFonts w:hint="eastAsia" w:ascii="宋体" w:hAnsi="宋体" w:cs="宋体"/>
          <w:szCs w:val="21"/>
        </w:rPr>
        <w:t xml:space="preserve">电子邮件：</w:t>
      </w:r>
      <w:r/>
    </w:p>
    <w:p>
      <w:pPr>
        <w:jc w:val="left"/>
        <w:spacing w:line="360" w:lineRule="auto"/>
        <w:rPr>
          <w:rFonts w:ascii="宋体" w:hAnsi="宋体" w:cs="宋体"/>
          <w:szCs w:val="21"/>
        </w:rPr>
      </w:pPr>
      <w:r>
        <w:rPr>
          <w:rFonts w:hint="eastAsia" w:ascii="宋体" w:hAnsi="宋体" w:cs="宋体"/>
          <w:szCs w:val="21"/>
        </w:rPr>
        <w:t xml:space="preserve">邮编：</w:t>
      </w:r>
      <w:r/>
    </w:p>
    <w:p>
      <w:pPr>
        <w:jc w:val="left"/>
        <w:spacing w:line="360" w:lineRule="auto"/>
        <w:rPr>
          <w:rFonts w:ascii="宋体" w:hAnsi="宋体" w:cs="宋体"/>
          <w:szCs w:val="21"/>
        </w:rPr>
      </w:pPr>
      <w:r>
        <w:rPr>
          <w:rFonts w:hint="eastAsia" w:ascii="宋体" w:hAnsi="宋体" w:cs="宋体"/>
          <w:szCs w:val="21"/>
        </w:rPr>
        <w:t xml:space="preserve">日期：</w:t>
      </w:r>
      <w:r/>
    </w:p>
    <w:p>
      <w:pPr>
        <w:pStyle w:val="800"/>
        <w:rPr>
          <w:rFonts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附件9：针对本项目的人员配置表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针对本项目的人员配置表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cs="宋体" w:asciiTheme="minorEastAsia" w:hAnsiTheme="minorEastAsia"/>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7"/>
        <w:gridCol w:w="1602"/>
        <w:gridCol w:w="1030"/>
        <w:gridCol w:w="1006"/>
        <w:gridCol w:w="846"/>
        <w:gridCol w:w="1710"/>
        <w:gridCol w:w="1085"/>
        <w:gridCol w:w="1414"/>
      </w:tblGrid>
      <w:tr>
        <w:trPr>
          <w:jc w:val="center"/>
          <w:trHeight w:val="680"/>
        </w:trPr>
        <w:tc>
          <w:tcPr>
            <w:tcW w:w="705"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序号</w:t>
            </w:r>
            <w:r/>
          </w:p>
        </w:tc>
        <w:tc>
          <w:tcPr>
            <w:tcW w:w="1652"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岗位</w:t>
            </w:r>
            <w:r/>
          </w:p>
        </w:tc>
        <w:tc>
          <w:tcPr>
            <w:tcW w:w="105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姓名</w:t>
            </w:r>
            <w:r/>
          </w:p>
        </w:tc>
        <w:tc>
          <w:tcPr>
            <w:tcW w:w="103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性别</w:t>
            </w:r>
            <w:r/>
          </w:p>
        </w:tc>
        <w:tc>
          <w:tcPr>
            <w:tcW w:w="86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年龄</w:t>
            </w:r>
            <w:r/>
          </w:p>
        </w:tc>
        <w:tc>
          <w:tcPr>
            <w:tcW w:w="176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学历</w:t>
            </w:r>
            <w:r/>
          </w:p>
        </w:tc>
        <w:tc>
          <w:tcPr>
            <w:tcW w:w="1116"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职称</w:t>
            </w:r>
            <w:r/>
          </w:p>
        </w:tc>
        <w:tc>
          <w:tcPr>
            <w:tcW w:w="1458" w:type="dxa"/>
            <w:vAlign w:val="center"/>
            <w:textDirection w:val="lrTb"/>
            <w:noWrap/>
          </w:tcPr>
          <w:p>
            <w:pPr>
              <w:jc w:val="center"/>
              <w:rPr>
                <w:rFonts w:ascii="宋体" w:hAnsi="宋体" w:cs="宋体"/>
                <w:szCs w:val="21"/>
              </w:rPr>
            </w:pPr>
            <w:r>
              <w:rPr>
                <w:rFonts w:hint="eastAsia" w:ascii="宋体" w:hAnsi="宋体" w:cs="宋体"/>
                <w:szCs w:val="21"/>
              </w:rPr>
              <w:t xml:space="preserve">专业/资格</w:t>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bl>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rPr>
        <w:t xml:space="preserve">签章</w:t>
      </w:r>
      <w:r>
        <w:rPr>
          <w:rFonts w:hint="eastAsia" w:ascii="宋体" w:hAnsi="宋体" w:cs="宋体"/>
          <w:szCs w:val="21"/>
        </w:rPr>
        <w:t xml:space="preserve">）：  </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附件10：类似项目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71"/>
        <w:gridCol w:w="1732"/>
        <w:gridCol w:w="1732"/>
        <w:gridCol w:w="2060"/>
        <w:gridCol w:w="1814"/>
        <w:gridCol w:w="1002"/>
      </w:tblGrid>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95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7"/>
        <w:spacing w:line="360" w:lineRule="auto"/>
        <w:rPr>
          <w:rFonts w:hAnsi="宋体" w:eastAsia="宋体" w:cs="宋体"/>
          <w:sz w:val="21"/>
          <w:szCs w:val="21"/>
        </w:rPr>
      </w:pPr>
      <w:r>
        <w:rPr>
          <w:rFonts w:hAnsi="宋体" w:eastAsia="宋体" w:cs="宋体"/>
          <w:sz w:val="21"/>
          <w:szCs w:val="21"/>
        </w:rPr>
      </w:r>
      <w:r/>
    </w:p>
    <w:p>
      <w:pPr>
        <w:pStyle w:val="1007"/>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07"/>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szCs w:val="21"/>
        </w:rPr>
        <w:outlineLvl w:val="1"/>
      </w:pPr>
      <w:r>
        <w:rPr>
          <w:rFonts w:hint="eastAsia" w:ascii="宋体" w:hAnsi="宋体" w:cs="宋体"/>
          <w:b/>
          <w:szCs w:val="21"/>
        </w:rPr>
        <w:t xml:space="preserve">附件11：中小企业声明函（参考格式）</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91"/>
        <w:ind w:firstLine="0"/>
        <w:keepLines w:val="0"/>
        <w:keepNext w:val="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791"/>
        <w:ind w:firstLine="630"/>
        <w:keepLines w:val="0"/>
        <w:keepNext w:val="0"/>
        <w:spacing w:line="240" w:lineRule="auto"/>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91"/>
        <w:ind w:firstLine="630"/>
        <w:keepLines w:val="0"/>
        <w:keepNext w:val="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91"/>
        <w:ind w:firstLine="632"/>
        <w:keepLines w:val="0"/>
        <w:keepNext w:val="0"/>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80"/>
        <w:ind w:left="840" w:hanging="210"/>
        <w:spacing w:line="360" w:lineRule="auto"/>
        <w:rPr>
          <w:rFonts w:hAnsi="宋体" w:eastAsia="宋体" w:cs="宋体"/>
          <w:sz w:val="21"/>
          <w:szCs w:val="24"/>
          <w:lang w:val="zh-CN"/>
        </w:r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pStyle w:val="980"/>
        <w:ind w:left="840" w:hanging="210"/>
        <w:spacing w:line="360" w:lineRule="auto"/>
        <w:rPr>
          <w:rFonts w:hAnsi="宋体" w:eastAsia="宋体" w:cs="宋体"/>
          <w:sz w:val="21"/>
          <w:szCs w:val="24"/>
          <w:lang w:val="zh-CN"/>
        </w:rPr>
      </w:pPr>
      <w:r>
        <w:rPr>
          <w:rFonts w:hAnsi="宋体" w:eastAsia="宋体" w:cs="宋体"/>
          <w:sz w:val="21"/>
          <w:szCs w:val="24"/>
          <w:lang w:val="zh-CN"/>
        </w:rPr>
      </w:r>
      <w:r/>
    </w:p>
    <w:p>
      <w:pPr>
        <w:pStyle w:val="980"/>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cs="宋体"/>
          <w:b/>
        </w:rPr>
      </w:pPr>
      <w:r>
        <w:rPr>
          <w:rFonts w:hint="eastAsia" w:ascii="宋体" w:hAnsi="宋体" w:cs="宋体"/>
          <w:b/>
        </w:rPr>
        <w:t xml:space="preserve">附：中小企业划型标准规定</w:t>
      </w:r>
      <w:r/>
    </w:p>
    <w:p>
      <w:pPr>
        <w:ind w:firstLine="422"/>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w:t>
      </w:r>
      <w:r>
        <w:rPr>
          <w:rFonts w:hint="eastAsia" w:ascii="宋体" w:hAnsi="宋体" w:cs="宋体"/>
        </w:rPr>
        <w:t xml:space="preserve">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80"/>
        <w:ind w:firstLine="422"/>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pStyle w:val="769"/>
      </w:p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szCs w:val="21"/>
        </w:rPr>
        <w:outlineLvl w:val="1"/>
      </w:pPr>
      <w:r>
        <w:rPr>
          <w:rFonts w:hint="eastAsia" w:ascii="宋体" w:hAnsi="宋体" w:cs="宋体"/>
          <w:b/>
        </w:rPr>
        <w:t xml:space="preserve">附件12：</w:t>
      </w:r>
      <w:r>
        <w:rPr>
          <w:rFonts w:hint="eastAsia" w:ascii="宋体" w:hAnsi="宋体" w:cs="宋体"/>
          <w:b/>
          <w:szCs w:val="21"/>
        </w:rPr>
        <w:t xml:space="preserve">残疾人福利性单位声明函</w:t>
      </w:r>
      <w:r/>
    </w:p>
    <w:p>
      <w:pPr>
        <w:jc w:val="center"/>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r/>
    </w:p>
    <w:p>
      <w:pPr>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left="666" w:hanging="666"/>
        <w:spacing w:line="360" w:lineRule="auto"/>
        <w:rPr>
          <w:rFonts w:ascii="宋体" w:hAnsi="宋体" w:cs="宋体"/>
          <w:spacing w:val="6"/>
          <w:szCs w:val="21"/>
        </w:rPr>
      </w:pPr>
      <w:r>
        <w:rPr>
          <w:rFonts w:hint="eastAsia" w:ascii="宋体" w:hAnsi="宋体" w:cs="宋体"/>
          <w:spacing w:val="6"/>
          <w:szCs w:val="21"/>
        </w:rPr>
        <w:t xml:space="preserve">备注：1、</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int="eastAsia" w:hAnsi="宋体" w:eastAsia="宋体" w:cs="宋体"/>
          <w:b/>
          <w:sz w:val="21"/>
          <w:szCs w:val="21"/>
        </w:rPr>
        <w:t xml:space="preserve">附件13：政府采购合同信用融资政策告知函（本附件无需签章放置响应文件中）</w:t>
      </w:r>
      <w:r/>
    </w:p>
    <w:p>
      <w:pPr>
        <w:jc w:val="center"/>
        <w:spacing w:line="360" w:lineRule="auto"/>
        <w:rPr>
          <w:rFonts w:ascii="宋体" w:hAnsi="宋体" w:cs="宋体"/>
          <w:b/>
          <w:sz w:val="28"/>
        </w:rPr>
      </w:pPr>
      <w:r>
        <w:rPr>
          <w:rFonts w:ascii="宋体" w:hAnsi="宋体" w:cs="宋体"/>
          <w:b/>
          <w:sz w:val="28"/>
        </w:rPr>
      </w:r>
      <w:r/>
    </w:p>
    <w:p>
      <w:pPr>
        <w:jc w:val="center"/>
        <w:spacing w:line="360" w:lineRule="auto"/>
        <w:rPr>
          <w:rFonts w:ascii="宋体" w:hAnsi="宋体" w:cs="宋体"/>
          <w:b/>
          <w:sz w:val="24"/>
        </w:rPr>
      </w:pPr>
      <w:r>
        <w:rPr>
          <w:rFonts w:hint="eastAsia" w:ascii="宋体" w:hAnsi="宋体" w:cs="宋体"/>
          <w:b/>
          <w:sz w:val="28"/>
        </w:rPr>
        <w:t xml:space="preserve">政府采购合同信用融资政策告知函</w:t>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各政府采购供应商：</w:t>
      </w:r>
      <w:r/>
    </w:p>
    <w:p>
      <w:pPr>
        <w:ind w:firstLine="48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80"/>
        <w:spacing w:line="360" w:lineRule="auto"/>
        <w:widowControl w:val="off"/>
        <w:rPr>
          <w:rFonts w:hAnsi="宋体" w:eastAsia="宋体" w:cs="宋体"/>
          <w:b/>
          <w:sz w:val="21"/>
          <w:szCs w:val="21"/>
        </w:rPr>
      </w:pPr>
      <w:r>
        <w:rPr>
          <w:rFonts w:hint="eastAsia"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jc w:val="left"/>
        <w:rPr>
          <w:rFonts w:ascii="宋体" w:hAnsi="宋体" w:cs="宋体"/>
          <w:szCs w:val="21"/>
        </w:rPr>
      </w:pPr>
      <w:r>
        <w:rPr>
          <w:rFonts w:hint="eastAsia" w:ascii="宋体" w:hAnsi="宋体" w:cs="宋体"/>
          <w:b/>
          <w:szCs w:val="21"/>
        </w:rPr>
        <w:t xml:space="preserve">附件14：（如涉及）关于符合本国产品标准的声明函（招标编号：JSZC-320591-CJZB-C2026-0000）</w:t>
      </w:r>
      <w:r/>
    </w:p>
    <w:p>
      <w:pPr>
        <w:pStyle w:val="797"/>
        <w:ind w:firstLine="420"/>
        <w:spacing w:before="0" w:beforeAutospacing="0" w:after="0" w:afterAutospacing="0" w:line="0" w:lineRule="atLeast"/>
        <w:rPr>
          <w:sz w:val="21"/>
          <w:szCs w:val="21"/>
        </w:rPr>
      </w:pPr>
      <w:r>
        <w:rPr>
          <w:sz w:val="21"/>
          <w:szCs w:val="21"/>
        </w:rPr>
      </w:r>
      <w:r/>
    </w:p>
    <w:p>
      <w:pPr>
        <w:pStyle w:val="797"/>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797"/>
        <w:ind w:firstLine="420"/>
        <w:jc w:val="center"/>
        <w:spacing w:before="0" w:beforeAutospacing="0" w:after="0" w:afterAutospacing="0" w:line="0" w:lineRule="atLeast"/>
        <w:rPr>
          <w:b/>
          <w:sz w:val="21"/>
          <w:szCs w:val="21"/>
        </w:rPr>
      </w:pPr>
      <w:r>
        <w:rPr>
          <w:b/>
          <w:sz w:val="21"/>
          <w:szCs w:val="21"/>
        </w:rPr>
      </w:r>
      <w:r/>
    </w:p>
    <w:p>
      <w:pPr>
        <w:pStyle w:val="797"/>
        <w:ind w:firstLine="420"/>
        <w:spacing w:before="0" w:beforeAutospacing="0" w:after="0" w:afterAutospacing="0" w:line="360" w:lineRule="auto"/>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郑重声明，根据《国务院办公厅关于在政府采购中实施本国产品标准及相关政策的通知》（国办发〔2025〕34号）的规定，本公司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797"/>
        <w:ind w:firstLine="420"/>
        <w:spacing w:before="30" w:beforeAutospacing="0" w:after="30" w:afterAutospacing="0" w:line="360" w:lineRule="auto"/>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806"/>
          <w:rFonts w:hint="eastAsia"/>
          <w:i w:val="0"/>
          <w:sz w:val="21"/>
          <w:szCs w:val="21"/>
          <w:u w:val="single"/>
          <w:shd w:val="clear" w:color="auto" w:fill="ffffff"/>
        </w:rPr>
        <w:t xml:space="preserve">（产品名称1）</w:t>
      </w:r>
      <w:r>
        <w:rPr>
          <w:rStyle w:val="806"/>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806"/>
          <w:rFonts w:hint="eastAsia"/>
          <w:i w:val="0"/>
          <w:sz w:val="21"/>
          <w:szCs w:val="21"/>
          <w:u w:val="single"/>
          <w:shd w:val="clear" w:color="auto" w:fill="ffffff"/>
        </w:rPr>
        <w:t xml:space="preserve">（厂名）</w:t>
      </w:r>
      <w:r>
        <w:rPr>
          <w:rStyle w:val="806"/>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806"/>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6"/>
          <w:rFonts w:hint="eastAsia"/>
          <w:i w:val="0"/>
          <w:sz w:val="21"/>
          <w:szCs w:val="21"/>
          <w:u w:val="single"/>
          <w:shd w:val="clear" w:color="auto" w:fill="ffffff"/>
        </w:rPr>
        <w:t xml:space="preserve">（产品名称1） </w:t>
      </w:r>
      <w:r>
        <w:rPr>
          <w:rFonts w:hint="eastAsia"/>
          <w:sz w:val="21"/>
          <w:szCs w:val="21"/>
          <w:shd w:val="clear" w:color="auto" w:fill="ffffff"/>
        </w:rPr>
        <w:t xml:space="preserve">的中国境内生产的组件成本占比≥</w:t>
      </w:r>
      <w:r>
        <w:rPr>
          <w:rStyle w:val="806"/>
          <w:rFonts w:hint="eastAsia"/>
          <w:i w:val="0"/>
          <w:sz w:val="21"/>
          <w:szCs w:val="21"/>
          <w:u w:val="single"/>
          <w:shd w:val="clear" w:color="auto" w:fill="ffffff"/>
        </w:rPr>
        <w:t xml:space="preserve">（规定比例）</w:t>
      </w:r>
      <w:r>
        <w:rPr>
          <w:rStyle w:val="806"/>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806"/>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806"/>
          <w:rFonts w:hint="eastAsia"/>
          <w:i w:val="0"/>
          <w:sz w:val="21"/>
          <w:szCs w:val="21"/>
          <w:u w:val="single"/>
          <w:shd w:val="clear" w:color="auto" w:fill="ffffff"/>
        </w:rPr>
        <w:t xml:space="preserve">（关键组件）</w:t>
      </w:r>
      <w:r>
        <w:rPr>
          <w:rStyle w:val="806"/>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806"/>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806"/>
          <w:rFonts w:hint="eastAsia"/>
          <w:i w:val="0"/>
          <w:sz w:val="21"/>
          <w:szCs w:val="21"/>
          <w:u w:val="single"/>
          <w:shd w:val="clear" w:color="auto" w:fill="ffffff"/>
        </w:rPr>
        <w:t xml:space="preserve">（关键工序）</w:t>
      </w:r>
      <w:r>
        <w:rPr>
          <w:rStyle w:val="806"/>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797"/>
        <w:ind w:firstLine="420"/>
        <w:spacing w:before="30" w:beforeAutospacing="0" w:after="30" w:afterAutospacing="0" w:line="360" w:lineRule="auto"/>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806"/>
          <w:rFonts w:hint="eastAsia"/>
          <w:i w:val="0"/>
          <w:sz w:val="21"/>
          <w:szCs w:val="21"/>
          <w:u w:val="single"/>
          <w:shd w:val="clear" w:color="auto" w:fill="ffffff"/>
        </w:rPr>
        <w:t xml:space="preserve">（产品名称2）</w:t>
      </w:r>
      <w:r>
        <w:rPr>
          <w:rFonts w:hint="eastAsia"/>
          <w:sz w:val="21"/>
          <w:szCs w:val="21"/>
          <w:shd w:val="clear" w:color="auto" w:fill="ffffff"/>
        </w:rPr>
        <w:t xml:space="preserve">，生产厂为</w:t>
      </w:r>
      <w:r>
        <w:rPr>
          <w:rStyle w:val="806"/>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806"/>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6"/>
          <w:rFonts w:hint="eastAsia"/>
          <w:i w:val="0"/>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806"/>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806"/>
          <w:rFonts w:hint="eastAsia"/>
          <w:i w:val="0"/>
          <w:sz w:val="21"/>
          <w:szCs w:val="21"/>
          <w:u w:val="single"/>
          <w:shd w:val="clear" w:color="auto" w:fill="ffffff"/>
        </w:rPr>
        <w:t xml:space="preserve">（产品名称2）</w:t>
      </w:r>
      <w:r>
        <w:rPr>
          <w:rFonts w:hint="eastAsia"/>
          <w:sz w:val="21"/>
          <w:szCs w:val="21"/>
          <w:shd w:val="clear" w:color="auto" w:fill="ffffff"/>
        </w:rPr>
        <w:t xml:space="preserve">的</w:t>
      </w:r>
      <w:r>
        <w:rPr>
          <w:rStyle w:val="806"/>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806"/>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806"/>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797"/>
        <w:ind w:firstLine="420"/>
        <w:spacing w:before="30" w:beforeAutospacing="0" w:after="30" w:afterAutospacing="0" w:line="360" w:lineRule="auto"/>
        <w:rPr>
          <w:sz w:val="21"/>
          <w:szCs w:val="21"/>
        </w:rPr>
      </w:pPr>
      <w:r>
        <w:rPr>
          <w:rFonts w:hint="eastAsia"/>
          <w:sz w:val="21"/>
          <w:szCs w:val="21"/>
          <w:shd w:val="clear" w:color="auto" w:fill="ffffff"/>
        </w:rPr>
        <w:t xml:space="preserve">……</w:t>
      </w:r>
      <w:r/>
    </w:p>
    <w:p>
      <w:pPr>
        <w:pStyle w:val="797"/>
        <w:ind w:firstLine="420"/>
        <w:spacing w:before="30" w:beforeAutospacing="0" w:after="30" w:afterAutospacing="0" w:line="360" w:lineRule="auto"/>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797"/>
        <w:spacing w:before="30" w:beforeAutospacing="0" w:after="30" w:afterAutospacing="0" w:line="0" w:lineRule="atLeast"/>
        <w:rPr>
          <w:sz w:val="21"/>
          <w:szCs w:val="21"/>
        </w:rPr>
      </w:pPr>
      <w:r>
        <w:rPr>
          <w:sz w:val="21"/>
          <w:szCs w:val="21"/>
        </w:rPr>
      </w:r>
      <w:r/>
    </w:p>
    <w:p>
      <w:pPr>
        <w:pStyle w:val="797"/>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797"/>
        <w:jc w:val="center"/>
        <w:spacing w:before="30" w:beforeAutospacing="0" w:after="30" w:afterAutospacing="0" w:line="0" w:lineRule="atLeast"/>
        <w:rPr>
          <w:sz w:val="21"/>
          <w:szCs w:val="21"/>
        </w:rPr>
      </w:pPr>
      <w:r>
        <w:rPr>
          <w:rFonts w:hint="eastAsia"/>
          <w:sz w:val="21"/>
          <w:szCs w:val="21"/>
          <w:shd w:val="clear" w:color="auto" w:fill="ffffff"/>
        </w:rPr>
        <w:t xml:space="preserve">                                日期：　   年　  月　  日         </w:t>
      </w:r>
      <w:r/>
    </w:p>
    <w:p>
      <w:pPr>
        <w:pStyle w:val="797"/>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797"/>
        <w:spacing w:before="30" w:beforeAutospacing="0" w:after="30" w:afterAutospacing="0" w:line="0" w:lineRule="atLeast"/>
        <w:rPr>
          <w:sz w:val="21"/>
          <w:szCs w:val="21"/>
        </w:rPr>
      </w:pPr>
      <w:r>
        <w:rPr>
          <w:rFonts w:hint="eastAsia"/>
          <w:sz w:val="21"/>
          <w:szCs w:val="21"/>
          <w:shd w:val="clear" w:color="auto" w:fill="ffffff"/>
        </w:rPr>
        <w:t xml:space="preserve">1.产品如有型号，请在“产品名称”栏一并填写。</w:t>
      </w:r>
      <w:r/>
    </w:p>
    <w:p>
      <w:pPr>
        <w:pStyle w:val="797"/>
        <w:spacing w:before="30" w:beforeAutospacing="0" w:after="30" w:afterAutospacing="0" w:line="0" w:lineRule="atLeast"/>
        <w:rPr>
          <w:sz w:val="21"/>
          <w:szCs w:val="21"/>
        </w:rPr>
      </w:pPr>
      <w:r>
        <w:rPr>
          <w:rFonts w:hint="eastAsia"/>
          <w:sz w:val="21"/>
          <w:szCs w:val="21"/>
          <w:shd w:val="clear" w:color="auto" w:fill="ffffff"/>
        </w:rPr>
        <w:t xml:space="preserve">2.生产厂名与厂址应与生产厂营业执照载明的相关信息保持一致。</w:t>
      </w:r>
      <w:r/>
    </w:p>
    <w:p>
      <w:pPr>
        <w:pStyle w:val="797"/>
        <w:spacing w:before="30" w:beforeAutospacing="0" w:after="30" w:afterAutospacing="0" w:line="0" w:lineRule="atLeast"/>
        <w:rPr>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797"/>
        <w:spacing w:before="30" w:beforeAutospacing="0" w:after="30" w:afterAutospacing="0" w:line="0" w:lineRule="atLeast"/>
        <w:rPr>
          <w:sz w:val="21"/>
          <w:szCs w:val="21"/>
        </w:rPr>
      </w:pPr>
      <w:r>
        <w:rPr>
          <w:rFonts w:hint="eastAsia"/>
          <w:sz w:val="21"/>
          <w:szCs w:val="21"/>
          <w:shd w:val="clear" w:color="auto" w:fill="ffffff"/>
        </w:rPr>
        <w:t xml:space="preserve">4.该产品的关键组件要求实施前，“关键组件”栏可不填，下同。</w:t>
      </w:r>
      <w:r/>
    </w:p>
    <w:p>
      <w:pPr>
        <w:pStyle w:val="797"/>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780"/>
        <w:spacing w:line="360" w:lineRule="auto"/>
        <w:widowControl w:val="off"/>
        <w:rPr>
          <w:rFonts w:hAnsi="宋体" w:eastAsia="宋体" w:cs="宋体"/>
          <w:b/>
          <w:sz w:val="21"/>
          <w:szCs w:val="21"/>
        </w:rPr>
      </w:pPr>
      <w:r>
        <w:rPr>
          <w:rFonts w:hint="eastAsia" w:hAnsi="宋体" w:eastAsia="宋体" w:cs="宋体"/>
          <w:sz w:val="21"/>
          <w:szCs w:val="21"/>
          <w:shd w:val="clear" w:color="auto" w:fill="ffffff"/>
        </w:rPr>
        <w:t xml:space="preserve">6.用斜线划除的地方无需填写</w:t>
      </w:r>
      <w:r>
        <w:rPr>
          <w:rFonts w:hint="eastAsia" w:hAnsi="宋体" w:cs="宋体"/>
          <w:sz w:val="21"/>
          <w:szCs w:val="21"/>
          <w:shd w:val="clear" w:color="auto" w:fill="ffffff"/>
        </w:rPr>
        <w:t xml:space="preserve">。</w:t>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Ansi="宋体" w:eastAsia="宋体" w:cs="宋体"/>
          <w:b/>
          <w:sz w:val="21"/>
          <w:szCs w:val="21"/>
        </w:rPr>
      </w:r>
      <w:r/>
    </w:p>
    <w:p>
      <w:pPr>
        <w:pStyle w:val="780"/>
        <w:spacing w:line="360" w:lineRule="auto"/>
        <w:widowControl w:val="off"/>
        <w:rPr>
          <w:rFonts w:hAnsi="宋体" w:eastAsia="宋体" w:cs="宋体"/>
          <w:b/>
          <w:sz w:val="21"/>
          <w:szCs w:val="21"/>
        </w:rPr>
      </w:pPr>
      <w:r>
        <w:rPr>
          <w:rFonts w:hint="eastAsia" w:hAnsi="宋体" w:eastAsia="宋体" w:cs="宋体"/>
          <w:b/>
          <w:sz w:val="21"/>
          <w:szCs w:val="21"/>
        </w:rPr>
        <w:t xml:space="preserve">（全文完）</w:t>
      </w:r>
      <w:bookmarkEnd w:id="0"/>
      <w:r/>
      <w:r/>
    </w:p>
    <w:sectPr>
      <w:footnotePr/>
      <w:endnotePr/>
      <w:type w:val="nextPage"/>
      <w:pgSz w:w="11906" w:h="16838" w:orient="portrait"/>
      <w:pgMar w:top="1134" w:right="1134" w:bottom="1134" w:left="1417"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7</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7</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Style w:val="804"/>
      </w:rPr>
      <w:framePr w:wrap="around" w:vAnchor="text" w:hAnchor="margin" w:xAlign="center" w:y="1"/>
    </w:pPr>
    <w:r>
      <w:fldChar w:fldCharType="begin"/>
    </w:r>
    <w:r>
      <w:rPr>
        <w:rStyle w:val="804"/>
      </w:rPr>
      <w:instrText xml:space="preserve">PAGE  </w:instrText>
    </w:r>
    <w:r>
      <w:fldChar w:fldCharType="end"/>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采购编号：JSZC-320500-CJZB-C2026-0111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
    <w:multiLevelType w:val="hybridMultilevel"/>
    <w:lvl w:ilvl="0">
      <w:start w:val="1"/>
      <w:numFmt w:val="japaneseCounting"/>
      <w:pStyle w:val="98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798"/>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6 Char"/>
    <w:basedOn w:val="766"/>
    <w:link w:val="762"/>
    <w:uiPriority w:val="9"/>
    <w:rPr>
      <w:rFonts w:ascii="Arial" w:hAnsi="Arial" w:eastAsia="Arial" w:cs="Arial"/>
      <w:b/>
      <w:bCs/>
      <w:sz w:val="22"/>
      <w:szCs w:val="22"/>
    </w:rPr>
  </w:style>
  <w:style w:type="character" w:styleId="749">
    <w:name w:val="Heading 7 Char"/>
    <w:basedOn w:val="766"/>
    <w:link w:val="763"/>
    <w:uiPriority w:val="9"/>
    <w:rPr>
      <w:rFonts w:ascii="Arial" w:hAnsi="Arial" w:eastAsia="Arial" w:cs="Arial"/>
      <w:b/>
      <w:bCs/>
      <w:i/>
      <w:iCs/>
      <w:sz w:val="22"/>
      <w:szCs w:val="22"/>
    </w:rPr>
  </w:style>
  <w:style w:type="character" w:styleId="750">
    <w:name w:val="Heading 8 Char"/>
    <w:basedOn w:val="766"/>
    <w:link w:val="764"/>
    <w:uiPriority w:val="9"/>
    <w:rPr>
      <w:rFonts w:ascii="Arial" w:hAnsi="Arial" w:eastAsia="Arial" w:cs="Arial"/>
      <w:i/>
      <w:iCs/>
      <w:sz w:val="22"/>
      <w:szCs w:val="22"/>
    </w:rPr>
  </w:style>
  <w:style w:type="character" w:styleId="751">
    <w:name w:val="Heading 9 Char"/>
    <w:basedOn w:val="766"/>
    <w:link w:val="765"/>
    <w:uiPriority w:val="9"/>
    <w:rPr>
      <w:rFonts w:ascii="Arial" w:hAnsi="Arial" w:eastAsia="Arial" w:cs="Arial"/>
      <w:i/>
      <w:iCs/>
      <w:sz w:val="21"/>
      <w:szCs w:val="21"/>
    </w:rPr>
  </w:style>
  <w:style w:type="character" w:styleId="752">
    <w:name w:val="Quote Char"/>
    <w:link w:val="821"/>
    <w:uiPriority w:val="29"/>
    <w:rPr>
      <w:i/>
    </w:rPr>
  </w:style>
  <w:style w:type="character" w:styleId="753">
    <w:name w:val="Intense Quote Char"/>
    <w:link w:val="823"/>
    <w:uiPriority w:val="30"/>
    <w:rPr>
      <w:i/>
    </w:rPr>
  </w:style>
  <w:style w:type="character" w:styleId="754">
    <w:name w:val="Endnote Text Char"/>
    <w:link w:val="784"/>
    <w:uiPriority w:val="99"/>
    <w:rPr>
      <w:sz w:val="20"/>
    </w:rPr>
  </w:style>
  <w:style w:type="paragraph" w:styleId="755">
    <w:name w:val="TOC Heading"/>
    <w:uiPriority w:val="39"/>
    <w:unhideWhenUsed/>
  </w:style>
  <w:style w:type="paragraph" w:styleId="756" w:default="1">
    <w:name w:val="Normal"/>
    <w:next w:val="769"/>
    <w:qFormat/>
    <w:pPr>
      <w:jc w:val="both"/>
      <w:widowControl w:val="off"/>
    </w:pPr>
    <w:rPr>
      <w:sz w:val="21"/>
      <w:szCs w:val="24"/>
    </w:rPr>
  </w:style>
  <w:style w:type="paragraph" w:styleId="757">
    <w:name w:val="Heading 1"/>
    <w:basedOn w:val="756"/>
    <w:next w:val="756"/>
    <w:link w:val="958"/>
    <w:qFormat/>
    <w:pPr>
      <w:keepLines/>
      <w:keepNext/>
      <w:spacing w:before="340" w:after="330" w:line="578" w:lineRule="auto"/>
      <w:outlineLvl w:val="0"/>
    </w:pPr>
    <w:rPr>
      <w:b/>
      <w:bCs/>
      <w:sz w:val="44"/>
      <w:szCs w:val="44"/>
    </w:rPr>
  </w:style>
  <w:style w:type="paragraph" w:styleId="758">
    <w:name w:val="Heading 2"/>
    <w:basedOn w:val="756"/>
    <w:next w:val="756"/>
    <w:link w:val="959"/>
    <w:qFormat/>
    <w:pPr>
      <w:keepLines/>
      <w:keepNext/>
      <w:spacing w:before="260" w:after="260" w:line="416" w:lineRule="auto"/>
      <w:outlineLvl w:val="1"/>
    </w:pPr>
    <w:rPr>
      <w:rFonts w:ascii="Cambria" w:hAnsi="Cambria"/>
      <w:b/>
      <w:bCs/>
      <w:sz w:val="32"/>
      <w:szCs w:val="32"/>
    </w:rPr>
  </w:style>
  <w:style w:type="paragraph" w:styleId="759">
    <w:name w:val="Heading 3"/>
    <w:basedOn w:val="756"/>
    <w:next w:val="770"/>
    <w:link w:val="960"/>
    <w:qFormat/>
    <w:pPr>
      <w:keepLines/>
      <w:keepNext/>
      <w:spacing w:before="260" w:after="260" w:line="416" w:lineRule="auto"/>
      <w:outlineLvl w:val="2"/>
    </w:pPr>
    <w:rPr>
      <w:b/>
      <w:bCs/>
      <w:sz w:val="32"/>
      <w:szCs w:val="32"/>
    </w:rPr>
  </w:style>
  <w:style w:type="paragraph" w:styleId="760">
    <w:name w:val="Heading 4"/>
    <w:basedOn w:val="756"/>
    <w:next w:val="756"/>
    <w:link w:val="969"/>
    <w:qFormat/>
    <w:pPr>
      <w:keepNext/>
      <w:spacing w:before="240" w:after="60"/>
      <w:outlineLvl w:val="3"/>
    </w:pPr>
    <w:rPr>
      <w:b/>
      <w:bCs/>
      <w:sz w:val="28"/>
      <w:szCs w:val="28"/>
    </w:rPr>
  </w:style>
  <w:style w:type="paragraph" w:styleId="761">
    <w:name w:val="Heading 5"/>
    <w:basedOn w:val="756"/>
    <w:next w:val="756"/>
    <w:link w:val="964"/>
    <w:qFormat/>
    <w:pPr>
      <w:spacing w:before="240" w:after="60"/>
      <w:outlineLvl w:val="4"/>
    </w:pPr>
    <w:rPr>
      <w:b/>
      <w:bCs/>
      <w:i/>
      <w:iCs/>
      <w:sz w:val="26"/>
      <w:szCs w:val="26"/>
    </w:rPr>
  </w:style>
  <w:style w:type="paragraph" w:styleId="762">
    <w:name w:val="Heading 6"/>
    <w:basedOn w:val="756"/>
    <w:next w:val="756"/>
    <w:link w:val="815"/>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17"/>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18"/>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style>
  <w:style w:type="table" w:styleId="767" w:default="1">
    <w:name w:val="Normal Table"/>
    <w:uiPriority w:val="99"/>
    <w:semiHidden/>
    <w:unhideWhenUsed/>
    <w:qFormat/>
    <w:tblPr>
      <w:tblInd w:w="0" w:type="dxa"/>
      <w:tblCellMar>
        <w:left w:w="108" w:type="dxa"/>
        <w:top w:w="0" w:type="dxa"/>
        <w:right w:w="108" w:type="dxa"/>
        <w:bottom w:w="0" w:type="dxa"/>
      </w:tblCellMar>
    </w:tblPr>
  </w:style>
  <w:style w:type="numbering" w:styleId="768" w:default="1">
    <w:name w:val="No List"/>
    <w:uiPriority w:val="99"/>
    <w:semiHidden/>
    <w:unhideWhenUsed/>
  </w:style>
  <w:style w:type="paragraph" w:styleId="769">
    <w:name w:val="Body Text"/>
    <w:basedOn w:val="756"/>
    <w:qFormat/>
    <w:pPr>
      <w:spacing w:after="120"/>
    </w:pPr>
  </w:style>
  <w:style w:type="paragraph" w:styleId="770">
    <w:name w:val="Normal Indent"/>
    <w:basedOn w:val="756"/>
    <w:next w:val="756"/>
    <w:link w:val="963"/>
    <w:qFormat/>
    <w:pPr>
      <w:ind w:firstLine="420"/>
      <w:jc w:val="left"/>
      <w:widowControl/>
    </w:pPr>
    <w:rPr>
      <w:rFonts w:eastAsia="楷体_GB2312"/>
      <w:sz w:val="24"/>
      <w:szCs w:val="20"/>
    </w:rPr>
  </w:style>
  <w:style w:type="paragraph" w:styleId="771">
    <w:name w:val="toc 7"/>
    <w:basedOn w:val="756"/>
    <w:next w:val="756"/>
    <w:uiPriority w:val="39"/>
    <w:unhideWhenUsed/>
    <w:qFormat/>
    <w:pPr>
      <w:ind w:left="1701"/>
      <w:spacing w:after="57"/>
    </w:pPr>
  </w:style>
  <w:style w:type="paragraph" w:styleId="772">
    <w:name w:val="Caption"/>
    <w:basedOn w:val="756"/>
    <w:next w:val="756"/>
    <w:uiPriority w:val="35"/>
    <w:semiHidden/>
    <w:unhideWhenUsed/>
    <w:qFormat/>
    <w:pPr>
      <w:spacing w:line="276" w:lineRule="auto"/>
    </w:pPr>
    <w:rPr>
      <w:b/>
      <w:bCs/>
      <w:color w:val="4f81bd" w:themeColor="accent1"/>
      <w:sz w:val="18"/>
      <w:szCs w:val="18"/>
    </w:rPr>
  </w:style>
  <w:style w:type="paragraph" w:styleId="773">
    <w:name w:val="Document Map"/>
    <w:basedOn w:val="756"/>
    <w:semiHidden/>
    <w:qFormat/>
    <w:pPr>
      <w:shd w:val="clear" w:color="auto" w:fill="000080"/>
    </w:pPr>
  </w:style>
  <w:style w:type="paragraph" w:styleId="774">
    <w:name w:val="annotation text"/>
    <w:basedOn w:val="756"/>
    <w:link w:val="977"/>
    <w:uiPriority w:val="99"/>
    <w:qFormat/>
    <w:pPr>
      <w:jc w:val="left"/>
    </w:pPr>
  </w:style>
  <w:style w:type="paragraph" w:styleId="775">
    <w:name w:val="Body Text Indent"/>
    <w:basedOn w:val="756"/>
    <w:next w:val="776"/>
    <w:link w:val="1006"/>
    <w:qFormat/>
    <w:pPr>
      <w:ind w:left="420"/>
      <w:spacing w:after="120"/>
    </w:pPr>
  </w:style>
  <w:style w:type="paragraph" w:styleId="776">
    <w:name w:val="envelope return"/>
    <w:basedOn w:val="756"/>
    <w:qFormat/>
    <w:rPr>
      <w:rFonts w:ascii="Arial" w:hAnsi="Arial" w:eastAsia="楷体_GB2312"/>
      <w:sz w:val="26"/>
      <w:szCs w:val="20"/>
    </w:rPr>
  </w:style>
  <w:style w:type="paragraph" w:styleId="777">
    <w:name w:val="Block Text"/>
    <w:basedOn w:val="757"/>
    <w:next w:val="756"/>
    <w:qFormat/>
    <w:pPr>
      <w:ind w:left="630" w:right="-609" w:firstLine="420"/>
      <w:spacing w:line="360" w:lineRule="auto"/>
    </w:pPr>
    <w:rPr>
      <w:rFonts w:hint="eastAsia" w:ascii="仿宋_GB2312" w:eastAsia="仿宋_GB2312"/>
      <w:szCs w:val="20"/>
    </w:rPr>
  </w:style>
  <w:style w:type="paragraph" w:styleId="778">
    <w:name w:val="toc 5"/>
    <w:basedOn w:val="756"/>
    <w:next w:val="756"/>
    <w:uiPriority w:val="39"/>
    <w:unhideWhenUsed/>
    <w:qFormat/>
    <w:pPr>
      <w:ind w:left="1134"/>
      <w:spacing w:after="57"/>
    </w:pPr>
  </w:style>
  <w:style w:type="paragraph" w:styleId="779">
    <w:name w:val="toc 3"/>
    <w:basedOn w:val="756"/>
    <w:next w:val="756"/>
    <w:uiPriority w:val="39"/>
    <w:unhideWhenUsed/>
    <w:qFormat/>
    <w:pPr>
      <w:ind w:left="567"/>
      <w:spacing w:after="57"/>
    </w:pPr>
  </w:style>
  <w:style w:type="paragraph" w:styleId="780">
    <w:name w:val="Plain Text"/>
    <w:basedOn w:val="756"/>
    <w:link w:val="962"/>
    <w:qFormat/>
    <w:pPr>
      <w:jc w:val="left"/>
      <w:widowControl/>
    </w:pPr>
    <w:rPr>
      <w:rFonts w:ascii="宋体" w:hAnsi="Courier New" w:eastAsia="楷体_GB2312"/>
      <w:sz w:val="26"/>
    </w:rPr>
  </w:style>
  <w:style w:type="paragraph" w:styleId="781">
    <w:name w:val="toc 8"/>
    <w:basedOn w:val="756"/>
    <w:next w:val="756"/>
    <w:uiPriority w:val="39"/>
    <w:unhideWhenUsed/>
    <w:qFormat/>
    <w:pPr>
      <w:ind w:left="1984"/>
      <w:spacing w:after="57"/>
    </w:pPr>
  </w:style>
  <w:style w:type="paragraph" w:styleId="782">
    <w:name w:val="Date"/>
    <w:basedOn w:val="756"/>
    <w:next w:val="756"/>
    <w:link w:val="978"/>
    <w:qFormat/>
    <w:pPr>
      <w:ind w:left="100"/>
    </w:pPr>
    <w:rPr>
      <w:sz w:val="36"/>
      <w:szCs w:val="20"/>
    </w:rPr>
  </w:style>
  <w:style w:type="paragraph" w:styleId="783">
    <w:name w:val="Body Text Indent 2"/>
    <w:basedOn w:val="756"/>
    <w:qFormat/>
    <w:pPr>
      <w:ind w:left="420"/>
      <w:spacing w:after="120" w:line="480" w:lineRule="auto"/>
    </w:pPr>
  </w:style>
  <w:style w:type="paragraph" w:styleId="784">
    <w:name w:val="endnote text"/>
    <w:basedOn w:val="756"/>
    <w:link w:val="954"/>
    <w:uiPriority w:val="99"/>
    <w:semiHidden/>
    <w:unhideWhenUsed/>
    <w:qFormat/>
    <w:rPr>
      <w:sz w:val="20"/>
    </w:rPr>
  </w:style>
  <w:style w:type="paragraph" w:styleId="785">
    <w:name w:val="Balloon Text"/>
    <w:basedOn w:val="756"/>
    <w:semiHidden/>
    <w:qFormat/>
    <w:rPr>
      <w:sz w:val="18"/>
      <w:szCs w:val="18"/>
    </w:rPr>
  </w:style>
  <w:style w:type="paragraph" w:styleId="786">
    <w:name w:val="Footer"/>
    <w:basedOn w:val="756"/>
    <w:link w:val="967"/>
    <w:qFormat/>
    <w:pPr>
      <w:jc w:val="left"/>
      <w:tabs>
        <w:tab w:val="center" w:pos="4153" w:leader="none"/>
        <w:tab w:val="right" w:pos="8306" w:leader="none"/>
      </w:tabs>
    </w:pPr>
    <w:rPr>
      <w:sz w:val="18"/>
      <w:szCs w:val="18"/>
    </w:rPr>
  </w:style>
  <w:style w:type="paragraph" w:styleId="787">
    <w:name w:val="Header"/>
    <w:basedOn w:val="756"/>
    <w:link w:val="973"/>
    <w:uiPriority w:val="99"/>
    <w:qFormat/>
    <w:pPr>
      <w:jc w:val="center"/>
      <w:tabs>
        <w:tab w:val="center" w:pos="4153" w:leader="none"/>
        <w:tab w:val="right" w:pos="8306" w:leader="none"/>
      </w:tabs>
      <w:pBdr>
        <w:bottom w:val="single" w:color="auto" w:sz="6" w:space="1"/>
      </w:pBdr>
    </w:pPr>
    <w:rPr>
      <w:sz w:val="18"/>
      <w:szCs w:val="18"/>
    </w:rPr>
  </w:style>
  <w:style w:type="paragraph" w:styleId="788">
    <w:name w:val="toc 1"/>
    <w:basedOn w:val="756"/>
    <w:next w:val="756"/>
    <w:semiHidden/>
    <w:qFormat/>
    <w:pPr>
      <w:jc w:val="left"/>
    </w:pPr>
    <w:rPr>
      <w:rFonts w:eastAsia="楷体_GB2312"/>
      <w:sz w:val="24"/>
      <w:szCs w:val="20"/>
    </w:rPr>
  </w:style>
  <w:style w:type="paragraph" w:styleId="789">
    <w:name w:val="toc 4"/>
    <w:basedOn w:val="756"/>
    <w:next w:val="756"/>
    <w:uiPriority w:val="39"/>
    <w:unhideWhenUsed/>
    <w:qFormat/>
    <w:pPr>
      <w:ind w:left="850"/>
      <w:spacing w:after="57"/>
    </w:pPr>
  </w:style>
  <w:style w:type="paragraph" w:styleId="790">
    <w:name w:val="Subtitle"/>
    <w:basedOn w:val="756"/>
    <w:next w:val="756"/>
    <w:qFormat/>
    <w:pPr>
      <w:jc w:val="center"/>
      <w:spacing w:before="240" w:after="60" w:line="312" w:lineRule="auto"/>
      <w:outlineLvl w:val="1"/>
    </w:pPr>
    <w:rPr>
      <w:rFonts w:ascii="宋体" w:hAnsi="Courier New" w:eastAsia="楷体_GB2312"/>
      <w:sz w:val="26"/>
      <w:szCs w:val="20"/>
    </w:rPr>
  </w:style>
  <w:style w:type="paragraph" w:styleId="791">
    <w:name w:val="footnote text"/>
    <w:basedOn w:val="757"/>
    <w:next w:val="777"/>
    <w:qFormat/>
    <w:pPr>
      <w:ind w:firstLine="3584"/>
      <w:spacing w:before="0" w:after="0" w:line="360" w:lineRule="auto"/>
    </w:pPr>
  </w:style>
  <w:style w:type="paragraph" w:styleId="792">
    <w:name w:val="toc 6"/>
    <w:basedOn w:val="756"/>
    <w:next w:val="756"/>
    <w:uiPriority w:val="39"/>
    <w:unhideWhenUsed/>
    <w:qFormat/>
    <w:pPr>
      <w:ind w:left="1417"/>
      <w:spacing w:after="57"/>
    </w:pPr>
  </w:style>
  <w:style w:type="paragraph" w:styleId="793">
    <w:name w:val="Body Text Indent 3"/>
    <w:basedOn w:val="756"/>
    <w:qFormat/>
    <w:pPr>
      <w:ind w:firstLine="480"/>
      <w:jc w:val="left"/>
      <w:spacing w:line="440" w:lineRule="atLeast"/>
    </w:pPr>
    <w:rPr>
      <w:sz w:val="24"/>
    </w:rPr>
  </w:style>
  <w:style w:type="paragraph" w:styleId="794">
    <w:name w:val="table of figures"/>
    <w:basedOn w:val="756"/>
    <w:next w:val="756"/>
    <w:uiPriority w:val="99"/>
    <w:unhideWhenUsed/>
    <w:qFormat/>
  </w:style>
  <w:style w:type="paragraph" w:styleId="795">
    <w:name w:val="toc 2"/>
    <w:basedOn w:val="756"/>
    <w:next w:val="756"/>
    <w:uiPriority w:val="39"/>
    <w:unhideWhenUsed/>
    <w:qFormat/>
    <w:pPr>
      <w:ind w:left="283"/>
      <w:spacing w:after="57"/>
    </w:pPr>
  </w:style>
  <w:style w:type="paragraph" w:styleId="796">
    <w:name w:val="toc 9"/>
    <w:basedOn w:val="756"/>
    <w:next w:val="756"/>
    <w:uiPriority w:val="39"/>
    <w:unhideWhenUsed/>
    <w:qFormat/>
    <w:pPr>
      <w:ind w:left="2268"/>
      <w:spacing w:after="57"/>
    </w:pPr>
  </w:style>
  <w:style w:type="paragraph" w:styleId="797">
    <w:name w:val="Normal (Web)"/>
    <w:basedOn w:val="756"/>
    <w:qFormat/>
    <w:pPr>
      <w:jc w:val="left"/>
      <w:spacing w:before="100" w:beforeAutospacing="1" w:after="100" w:afterAutospacing="1"/>
      <w:widowControl/>
    </w:pPr>
    <w:rPr>
      <w:rFonts w:ascii="宋体" w:hAnsi="宋体" w:cs="宋体"/>
      <w:sz w:val="24"/>
    </w:rPr>
  </w:style>
  <w:style w:type="paragraph" w:styleId="798">
    <w:name w:val="Title"/>
    <w:basedOn w:val="756"/>
    <w:link w:val="970"/>
    <w:qFormat/>
    <w:pPr>
      <w:numPr>
        <w:numId w:val="1"/>
      </w:numPr>
      <w:jc w:val="center"/>
      <w:spacing w:before="240" w:after="60"/>
      <w:tabs>
        <w:tab w:val="left" w:pos="432" w:leader="none"/>
      </w:tabs>
      <w:outlineLvl w:val="0"/>
    </w:pPr>
    <w:rPr>
      <w:rFonts w:ascii="Arial" w:hAnsi="Arial"/>
      <w:b/>
      <w:bCs/>
      <w:sz w:val="32"/>
      <w:szCs w:val="32"/>
    </w:rPr>
  </w:style>
  <w:style w:type="paragraph" w:styleId="799">
    <w:name w:val="annotation subject"/>
    <w:basedOn w:val="774"/>
    <w:next w:val="774"/>
    <w:semiHidden/>
    <w:qFormat/>
    <w:rPr>
      <w:b/>
      <w:bCs/>
    </w:rPr>
  </w:style>
  <w:style w:type="paragraph" w:styleId="800">
    <w:name w:val="Body Text First Indent 2"/>
    <w:basedOn w:val="775"/>
    <w:qFormat/>
    <w:pPr>
      <w:ind w:firstLine="420"/>
    </w:pPr>
  </w:style>
  <w:style w:type="table" w:styleId="801">
    <w:name w:val="Table Grid"/>
    <w:basedOn w:val="767"/>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66"/>
    <w:qFormat/>
    <w:rPr>
      <w:b/>
      <w:bCs/>
    </w:rPr>
  </w:style>
  <w:style w:type="character" w:styleId="803">
    <w:name w:val="endnote reference"/>
    <w:basedOn w:val="766"/>
    <w:uiPriority w:val="99"/>
    <w:semiHidden/>
    <w:unhideWhenUsed/>
    <w:qFormat/>
    <w:rPr>
      <w:vertAlign w:val="superscript"/>
    </w:rPr>
  </w:style>
  <w:style w:type="character" w:styleId="804">
    <w:name w:val="page number"/>
    <w:basedOn w:val="766"/>
    <w:qFormat/>
  </w:style>
  <w:style w:type="character" w:styleId="805">
    <w:name w:val="FollowedHyperlink"/>
    <w:basedOn w:val="766"/>
    <w:semiHidden/>
    <w:unhideWhenUsed/>
    <w:qFormat/>
    <w:rPr>
      <w:color w:val="333333"/>
      <w:u w:val="none"/>
    </w:rPr>
  </w:style>
  <w:style w:type="character" w:styleId="806">
    <w:name w:val="Emphasis"/>
    <w:qFormat/>
    <w:rPr>
      <w:i/>
      <w:iCs/>
    </w:rPr>
  </w:style>
  <w:style w:type="character" w:styleId="807">
    <w:name w:val="Hyperlink"/>
    <w:qFormat/>
    <w:rPr>
      <w:color w:val="000000"/>
      <w:u w:val="none"/>
    </w:rPr>
  </w:style>
  <w:style w:type="character" w:styleId="808">
    <w:name w:val="annotation reference"/>
    <w:uiPriority w:val="99"/>
    <w:qFormat/>
    <w:rPr>
      <w:sz w:val="21"/>
      <w:szCs w:val="21"/>
    </w:rPr>
  </w:style>
  <w:style w:type="character" w:styleId="809">
    <w:name w:val="footnote reference"/>
    <w:basedOn w:val="766"/>
    <w:uiPriority w:val="99"/>
    <w:unhideWhenUsed/>
    <w:qFormat/>
    <w:rPr>
      <w:vertAlign w:val="superscript"/>
    </w:rPr>
  </w:style>
  <w:style w:type="character" w:styleId="810" w:customStyle="1">
    <w:name w:val="Heading 1 Char"/>
    <w:basedOn w:val="766"/>
    <w:uiPriority w:val="9"/>
    <w:qFormat/>
    <w:rPr>
      <w:rFonts w:ascii="Arial" w:hAnsi="Arial" w:eastAsia="Arial" w:cs="Arial"/>
      <w:sz w:val="40"/>
      <w:szCs w:val="40"/>
    </w:rPr>
  </w:style>
  <w:style w:type="character" w:styleId="811" w:customStyle="1">
    <w:name w:val="Heading 2 Char"/>
    <w:basedOn w:val="766"/>
    <w:uiPriority w:val="9"/>
    <w:qFormat/>
    <w:rPr>
      <w:rFonts w:ascii="Arial" w:hAnsi="Arial" w:eastAsia="Arial" w:cs="Arial"/>
      <w:sz w:val="34"/>
    </w:rPr>
  </w:style>
  <w:style w:type="character" w:styleId="812" w:customStyle="1">
    <w:name w:val="Heading 3 Char"/>
    <w:basedOn w:val="766"/>
    <w:uiPriority w:val="9"/>
    <w:qFormat/>
    <w:rPr>
      <w:rFonts w:ascii="Arial" w:hAnsi="Arial" w:eastAsia="Arial" w:cs="Arial"/>
      <w:sz w:val="30"/>
      <w:szCs w:val="30"/>
    </w:rPr>
  </w:style>
  <w:style w:type="character" w:styleId="813" w:customStyle="1">
    <w:name w:val="Heading 4 Char"/>
    <w:basedOn w:val="766"/>
    <w:uiPriority w:val="9"/>
    <w:qFormat/>
    <w:rPr>
      <w:rFonts w:ascii="Arial" w:hAnsi="Arial" w:eastAsia="Arial" w:cs="Arial"/>
      <w:b/>
      <w:bCs/>
      <w:sz w:val="26"/>
      <w:szCs w:val="26"/>
    </w:rPr>
  </w:style>
  <w:style w:type="character" w:styleId="814" w:customStyle="1">
    <w:name w:val="Heading 5 Char"/>
    <w:basedOn w:val="766"/>
    <w:uiPriority w:val="9"/>
    <w:qFormat/>
    <w:rPr>
      <w:rFonts w:ascii="Arial" w:hAnsi="Arial" w:eastAsia="Arial" w:cs="Arial"/>
      <w:b/>
      <w:bCs/>
      <w:sz w:val="24"/>
      <w:szCs w:val="24"/>
    </w:rPr>
  </w:style>
  <w:style w:type="character" w:styleId="815" w:customStyle="1">
    <w:name w:val="标题 6 Char"/>
    <w:basedOn w:val="766"/>
    <w:link w:val="762"/>
    <w:uiPriority w:val="9"/>
    <w:qFormat/>
    <w:rPr>
      <w:rFonts w:ascii="Arial" w:hAnsi="Arial" w:eastAsia="Arial" w:cs="Arial"/>
      <w:b/>
      <w:bCs/>
      <w:sz w:val="22"/>
      <w:szCs w:val="22"/>
    </w:rPr>
  </w:style>
  <w:style w:type="character" w:styleId="816" w:customStyle="1">
    <w:name w:val="标题 7 Char"/>
    <w:basedOn w:val="766"/>
    <w:link w:val="763"/>
    <w:uiPriority w:val="9"/>
    <w:qFormat/>
    <w:rPr>
      <w:rFonts w:ascii="Arial" w:hAnsi="Arial" w:eastAsia="Arial" w:cs="Arial"/>
      <w:b/>
      <w:bCs/>
      <w:i/>
      <w:iCs/>
      <w:sz w:val="22"/>
      <w:szCs w:val="22"/>
    </w:rPr>
  </w:style>
  <w:style w:type="character" w:styleId="817" w:customStyle="1">
    <w:name w:val="标题 8 Char"/>
    <w:basedOn w:val="766"/>
    <w:link w:val="764"/>
    <w:uiPriority w:val="9"/>
    <w:qFormat/>
    <w:rPr>
      <w:rFonts w:ascii="Arial" w:hAnsi="Arial" w:eastAsia="Arial" w:cs="Arial"/>
      <w:i/>
      <w:iCs/>
      <w:sz w:val="22"/>
      <w:szCs w:val="22"/>
    </w:rPr>
  </w:style>
  <w:style w:type="character" w:styleId="818" w:customStyle="1">
    <w:name w:val="标题 9 Char"/>
    <w:basedOn w:val="766"/>
    <w:link w:val="765"/>
    <w:uiPriority w:val="9"/>
    <w:qFormat/>
    <w:rPr>
      <w:rFonts w:ascii="Arial" w:hAnsi="Arial" w:eastAsia="Arial" w:cs="Arial"/>
      <w:i/>
      <w:iCs/>
      <w:sz w:val="21"/>
      <w:szCs w:val="21"/>
    </w:rPr>
  </w:style>
  <w:style w:type="character" w:styleId="819" w:customStyle="1">
    <w:name w:val="Title Char"/>
    <w:basedOn w:val="766"/>
    <w:uiPriority w:val="10"/>
    <w:qFormat/>
    <w:rPr>
      <w:sz w:val="48"/>
      <w:szCs w:val="48"/>
    </w:rPr>
  </w:style>
  <w:style w:type="character" w:styleId="820" w:customStyle="1">
    <w:name w:val="Subtitle Char"/>
    <w:basedOn w:val="766"/>
    <w:uiPriority w:val="11"/>
    <w:qFormat/>
    <w:rPr>
      <w:sz w:val="24"/>
      <w:szCs w:val="24"/>
    </w:rPr>
  </w:style>
  <w:style w:type="paragraph" w:styleId="821">
    <w:name w:val="Quote"/>
    <w:basedOn w:val="756"/>
    <w:next w:val="756"/>
    <w:link w:val="822"/>
    <w:uiPriority w:val="29"/>
    <w:qFormat/>
    <w:pPr>
      <w:ind w:left="720" w:right="720"/>
    </w:pPr>
    <w:rPr>
      <w:i/>
    </w:rPr>
  </w:style>
  <w:style w:type="character" w:styleId="822" w:customStyle="1">
    <w:name w:val="引用 Char"/>
    <w:link w:val="821"/>
    <w:uiPriority w:val="29"/>
    <w:qFormat/>
    <w:rPr>
      <w:i/>
    </w:rPr>
  </w:style>
  <w:style w:type="paragraph" w:styleId="823">
    <w:name w:val="Intense Quote"/>
    <w:basedOn w:val="756"/>
    <w:next w:val="756"/>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Char"/>
    <w:link w:val="823"/>
    <w:uiPriority w:val="30"/>
    <w:qFormat/>
    <w:rPr>
      <w:i/>
    </w:rPr>
  </w:style>
  <w:style w:type="character" w:styleId="825" w:customStyle="1">
    <w:name w:val="Header Char"/>
    <w:basedOn w:val="766"/>
    <w:uiPriority w:val="99"/>
    <w:qFormat/>
  </w:style>
  <w:style w:type="character" w:styleId="826" w:customStyle="1">
    <w:name w:val="Footer Char"/>
    <w:basedOn w:val="766"/>
    <w:uiPriority w:val="99"/>
    <w:qFormat/>
  </w:style>
  <w:style w:type="character" w:styleId="827" w:customStyle="1">
    <w:name w:val="Caption Char"/>
    <w:uiPriority w:val="99"/>
    <w:qFormat/>
  </w:style>
  <w:style w:type="table" w:styleId="828" w:customStyle="1">
    <w:name w:val="Table Grid Light"/>
    <w:basedOn w:val="76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9" w:customStyle="1">
    <w:name w:val="Plain Table 1"/>
    <w:basedOn w:val="76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6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6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6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6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6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6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6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6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6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6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6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6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6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6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6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6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6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6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6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6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67"/>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7" w:customStyle="1">
    <w:name w:val="Grid Table 4 - Accent 2"/>
    <w:basedOn w:val="767"/>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8" w:customStyle="1">
    <w:name w:val="Grid Table 4 - Accent 3"/>
    <w:basedOn w:val="767"/>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9" w:customStyle="1">
    <w:name w:val="Grid Table 4 - Accent 4"/>
    <w:basedOn w:val="767"/>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67"/>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67"/>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6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6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6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6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6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6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6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6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0" w:customStyle="1">
    <w:name w:val="Grid Table 6 Colorful - Accent 1"/>
    <w:basedOn w:val="767"/>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1" w:customStyle="1">
    <w:name w:val="Grid Table 6 Colorful - Accent 2"/>
    <w:basedOn w:val="76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72" w:customStyle="1">
    <w:name w:val="Grid Table 6 Colorful - Accent 3"/>
    <w:basedOn w:val="767"/>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73" w:customStyle="1">
    <w:name w:val="Grid Table 6 Colorful - Accent 4"/>
    <w:basedOn w:val="76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4" w:customStyle="1">
    <w:name w:val="Grid Table 6 Colorful - Accent 5"/>
    <w:basedOn w:val="767"/>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5" w:customStyle="1">
    <w:name w:val="Grid Table 6 Colorful - Accent 6"/>
    <w:basedOn w:val="767"/>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6" w:customStyle="1">
    <w:name w:val="Grid Table 7 Colorful"/>
    <w:basedOn w:val="76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67"/>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67"/>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67"/>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67"/>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67"/>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67"/>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6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67"/>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67"/>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67"/>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67"/>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67"/>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67"/>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6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basedOn w:val="767"/>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67"/>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3" w:customStyle="1">
    <w:name w:val="List Table 2 - Accent 3"/>
    <w:basedOn w:val="767"/>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67"/>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67"/>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67"/>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6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67"/>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6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67"/>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6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67"/>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67"/>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6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67"/>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67"/>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67"/>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67"/>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67"/>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67"/>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6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basedOn w:val="767"/>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767"/>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767"/>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767"/>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767"/>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767"/>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List Table 6 Colorful"/>
    <w:basedOn w:val="76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basedOn w:val="767"/>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20" w:customStyle="1">
    <w:name w:val="List Table 6 Colorful - Accent 2"/>
    <w:basedOn w:val="767"/>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21" w:customStyle="1">
    <w:name w:val="List Table 6 Colorful - Accent 3"/>
    <w:basedOn w:val="767"/>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22" w:customStyle="1">
    <w:name w:val="List Table 6 Colorful - Accent 4"/>
    <w:basedOn w:val="767"/>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3" w:customStyle="1">
    <w:name w:val="List Table 6 Colorful - Accent 5"/>
    <w:basedOn w:val="767"/>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4" w:customStyle="1">
    <w:name w:val="List Table 6 Colorful - Accent 6"/>
    <w:basedOn w:val="767"/>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5" w:customStyle="1">
    <w:name w:val="List Table 7 Colorful"/>
    <w:basedOn w:val="76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67"/>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67"/>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67"/>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67"/>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67"/>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67"/>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6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basedOn w:val="76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4" w:customStyle="1">
    <w:name w:val="Lined - Accent 2"/>
    <w:basedOn w:val="76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5" w:customStyle="1">
    <w:name w:val="Lined - Accent 3"/>
    <w:basedOn w:val="76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6" w:customStyle="1">
    <w:name w:val="Lined - Accent 4"/>
    <w:basedOn w:val="76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6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6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67"/>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basedOn w:val="767"/>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Bordered &amp; Lined - Accent 2"/>
    <w:basedOn w:val="767"/>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Bordered &amp; Lined - Accent 3"/>
    <w:basedOn w:val="767"/>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Bordered &amp; Lined - Accent 4"/>
    <w:basedOn w:val="767"/>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67"/>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67"/>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67"/>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basedOn w:val="76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6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9" w:customStyle="1">
    <w:name w:val="Bordered - Accent 3"/>
    <w:basedOn w:val="76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0" w:customStyle="1">
    <w:name w:val="Bordered - Accent 4"/>
    <w:basedOn w:val="76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6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6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uiPriority w:val="99"/>
    <w:qFormat/>
    <w:rPr>
      <w:sz w:val="18"/>
    </w:rPr>
  </w:style>
  <w:style w:type="character" w:styleId="954" w:customStyle="1">
    <w:name w:val="尾注文本 Char"/>
    <w:link w:val="784"/>
    <w:uiPriority w:val="99"/>
    <w:qFormat/>
    <w:rPr>
      <w:sz w:val="20"/>
    </w:rPr>
  </w:style>
  <w:style w:type="paragraph" w:styleId="955" w:customStyle="1">
    <w:name w:val="TOC 标题1"/>
    <w:uiPriority w:val="39"/>
    <w:unhideWhenUsed/>
    <w:qFormat/>
  </w:style>
  <w:style w:type="paragraph" w:styleId="956" w:customStyle="1">
    <w:name w:val="段"/>
    <w:next w:val="756"/>
    <w:qFormat/>
    <w:pPr>
      <w:ind w:firstLine="200"/>
      <w:jc w:val="both"/>
    </w:pPr>
    <w:rPr>
      <w:rFonts w:ascii="宋体"/>
      <w:sz w:val="21"/>
    </w:rPr>
  </w:style>
  <w:style w:type="paragraph" w:styleId="957" w:customStyle="1">
    <w:name w:val="首行缩进"/>
    <w:basedOn w:val="756"/>
    <w:qFormat/>
    <w:pPr>
      <w:ind w:firstLine="480"/>
      <w:jc w:val="left"/>
      <w:spacing w:line="360" w:lineRule="auto"/>
    </w:pPr>
    <w:rPr>
      <w:rFonts w:ascii="宋体" w:hAnsi="宋体"/>
      <w:sz w:val="24"/>
    </w:rPr>
  </w:style>
  <w:style w:type="character" w:styleId="958" w:customStyle="1">
    <w:name w:val="标题 1 Char"/>
    <w:link w:val="757"/>
    <w:qFormat/>
    <w:rPr>
      <w:b/>
      <w:bCs/>
      <w:sz w:val="44"/>
      <w:szCs w:val="44"/>
    </w:rPr>
  </w:style>
  <w:style w:type="character" w:styleId="959" w:customStyle="1">
    <w:name w:val="标题 2 Char"/>
    <w:link w:val="758"/>
    <w:qFormat/>
    <w:rPr>
      <w:rFonts w:ascii="Cambria" w:hAnsi="Cambria"/>
      <w:b/>
      <w:bCs/>
      <w:sz w:val="32"/>
      <w:szCs w:val="32"/>
    </w:rPr>
  </w:style>
  <w:style w:type="character" w:styleId="960" w:customStyle="1">
    <w:name w:val="标题 3 Char"/>
    <w:link w:val="759"/>
    <w:qFormat/>
    <w:rPr>
      <w:b/>
      <w:bCs/>
      <w:sz w:val="32"/>
      <w:szCs w:val="32"/>
    </w:rPr>
  </w:style>
  <w:style w:type="paragraph" w:styleId="961" w:customStyle="1">
    <w:name w:val="正文 A"/>
    <w:next w:val="956"/>
    <w:qFormat/>
    <w:pPr>
      <w:jc w:val="both"/>
      <w:widowControl w:val="off"/>
      <w:framePr w:wrap="around" w:hAnchor="text" w:yAlign="top"/>
    </w:pPr>
    <w:rPr>
      <w:rFonts w:ascii="Calibri" w:hAnsi="Calibri" w:eastAsia="Times New Roman"/>
      <w:color w:val="000000"/>
      <w:sz w:val="21"/>
      <w:szCs w:val="21"/>
    </w:rPr>
  </w:style>
  <w:style w:type="character" w:styleId="962" w:customStyle="1">
    <w:name w:val="纯文本 Char"/>
    <w:link w:val="780"/>
    <w:qFormat/>
    <w:rPr>
      <w:rFonts w:ascii="宋体" w:hAnsi="Courier New" w:eastAsia="楷体_GB2312"/>
      <w:sz w:val="26"/>
      <w:szCs w:val="24"/>
      <w:lang w:val="en-US" w:eastAsia="zh-CN" w:bidi="ar-SA"/>
    </w:rPr>
  </w:style>
  <w:style w:type="character" w:styleId="963" w:customStyle="1">
    <w:name w:val="正文缩进 Char"/>
    <w:link w:val="770"/>
    <w:qFormat/>
    <w:rPr>
      <w:rFonts w:eastAsia="楷体_GB2312"/>
      <w:sz w:val="24"/>
      <w:lang w:val="en-US" w:eastAsia="zh-CN" w:bidi="ar-SA"/>
    </w:rPr>
  </w:style>
  <w:style w:type="character" w:styleId="964" w:customStyle="1">
    <w:name w:val="标题 5 Char"/>
    <w:link w:val="761"/>
    <w:qFormat/>
    <w:rPr>
      <w:rFonts w:eastAsia="宋体"/>
      <w:b/>
      <w:bCs/>
      <w:i/>
      <w:iCs/>
      <w:sz w:val="26"/>
      <w:szCs w:val="26"/>
      <w:lang w:val="en-US" w:eastAsia="zh-CN" w:bidi="ar-SA"/>
    </w:rPr>
  </w:style>
  <w:style w:type="character" w:styleId="965" w:customStyle="1">
    <w:name w:val="+正文 Char3"/>
    <w:link w:val="966"/>
    <w:qFormat/>
    <w:rPr>
      <w:rFonts w:eastAsia="宋体"/>
      <w:sz w:val="24"/>
      <w:lang w:val="en-US" w:eastAsia="zh-CN" w:bidi="ar-SA"/>
    </w:rPr>
  </w:style>
  <w:style w:type="paragraph" w:styleId="966" w:customStyle="1">
    <w:name w:val="+正文"/>
    <w:basedOn w:val="756"/>
    <w:link w:val="965"/>
    <w:qFormat/>
    <w:pPr>
      <w:ind w:firstLine="200"/>
      <w:spacing w:line="360" w:lineRule="auto"/>
    </w:pPr>
    <w:rPr>
      <w:sz w:val="24"/>
      <w:szCs w:val="20"/>
    </w:rPr>
  </w:style>
  <w:style w:type="character" w:styleId="967" w:customStyle="1">
    <w:name w:val="页脚 Char"/>
    <w:link w:val="786"/>
    <w:semiHidden/>
    <w:qFormat/>
    <w:rPr>
      <w:rFonts w:eastAsia="宋体"/>
      <w:sz w:val="18"/>
      <w:szCs w:val="18"/>
      <w:lang w:val="en-US" w:eastAsia="zh-CN" w:bidi="ar-SA"/>
    </w:rPr>
  </w:style>
  <w:style w:type="character" w:styleId="968" w:customStyle="1">
    <w:name w:val="Char Char8"/>
    <w:qFormat/>
    <w:rPr>
      <w:sz w:val="18"/>
    </w:rPr>
  </w:style>
  <w:style w:type="character" w:styleId="969" w:customStyle="1">
    <w:name w:val="标题 4 Char"/>
    <w:link w:val="760"/>
    <w:qFormat/>
    <w:rPr>
      <w:rFonts w:eastAsia="宋体"/>
      <w:b/>
      <w:bCs/>
      <w:sz w:val="28"/>
      <w:szCs w:val="28"/>
      <w:lang w:val="en-US" w:eastAsia="zh-CN" w:bidi="ar-SA"/>
    </w:rPr>
  </w:style>
  <w:style w:type="character" w:styleId="970" w:customStyle="1">
    <w:name w:val="标题 Char"/>
    <w:link w:val="798"/>
    <w:qFormat/>
    <w:rPr>
      <w:rFonts w:ascii="Arial" w:hAnsi="Arial"/>
      <w:b/>
      <w:bCs/>
      <w:sz w:val="32"/>
      <w:szCs w:val="32"/>
      <w:lang w:bidi="ar-SA"/>
    </w:rPr>
  </w:style>
  <w:style w:type="character" w:styleId="971" w:customStyle="1">
    <w:name w:val="文字正文主体 Char Char"/>
    <w:link w:val="972"/>
    <w:qFormat/>
    <w:rPr>
      <w:rFonts w:ascii="仿宋" w:hAnsi="仿宋" w:eastAsia="仿宋"/>
      <w:color w:val="3a3a3a"/>
      <w:sz w:val="28"/>
      <w:lang w:val="en-US" w:eastAsia="zh-CN" w:bidi="ar-SA"/>
    </w:rPr>
  </w:style>
  <w:style w:type="paragraph" w:styleId="972" w:customStyle="1">
    <w:name w:val="文字正文主体"/>
    <w:basedOn w:val="756"/>
    <w:link w:val="971"/>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3" w:customStyle="1">
    <w:name w:val="页眉 Char"/>
    <w:link w:val="787"/>
    <w:uiPriority w:val="99"/>
    <w:qFormat/>
    <w:rPr>
      <w:rFonts w:eastAsia="宋体"/>
      <w:sz w:val="18"/>
      <w:szCs w:val="18"/>
      <w:lang w:val="en-US" w:eastAsia="zh-CN" w:bidi="ar-SA"/>
    </w:rPr>
  </w:style>
  <w:style w:type="character" w:styleId="974" w:customStyle="1">
    <w:name w:val="Char Char5"/>
    <w:qFormat/>
    <w:rPr>
      <w:sz w:val="24"/>
      <w:lang w:val="en-US" w:eastAsia="zh-CN"/>
    </w:rPr>
  </w:style>
  <w:style w:type="character" w:styleId="975" w:customStyle="1">
    <w:name w:val="Char Char11"/>
    <w:qFormat/>
    <w:rPr>
      <w:sz w:val="21"/>
    </w:rPr>
  </w:style>
  <w:style w:type="character" w:styleId="976" w:customStyle="1">
    <w:name w:val="c lh15"/>
    <w:basedOn w:val="766"/>
    <w:qFormat/>
  </w:style>
  <w:style w:type="character" w:styleId="977" w:customStyle="1">
    <w:name w:val="批注文字 Char"/>
    <w:link w:val="774"/>
    <w:qFormat/>
    <w:rPr>
      <w:rFonts w:eastAsia="宋体"/>
      <w:sz w:val="21"/>
      <w:szCs w:val="24"/>
      <w:lang w:val="en-US" w:eastAsia="zh-CN" w:bidi="ar-SA"/>
    </w:rPr>
  </w:style>
  <w:style w:type="character" w:styleId="978" w:customStyle="1">
    <w:name w:val="日期 Char"/>
    <w:link w:val="782"/>
    <w:qFormat/>
    <w:rPr>
      <w:sz w:val="36"/>
      <w:lang w:bidi="ar-SA"/>
    </w:rPr>
  </w:style>
  <w:style w:type="character" w:styleId="979" w:customStyle="1">
    <w:name w:val="Plain Text Char Char"/>
    <w:link w:val="980"/>
    <w:qFormat/>
    <w:rPr>
      <w:rFonts w:ascii="宋体" w:hAnsi="Courier New" w:eastAsia="楷体_GB2312"/>
      <w:sz w:val="28"/>
    </w:rPr>
  </w:style>
  <w:style w:type="paragraph" w:styleId="980" w:customStyle="1">
    <w:name w:val="纯文本1"/>
    <w:basedOn w:val="756"/>
    <w:link w:val="979"/>
    <w:qFormat/>
    <w:rPr>
      <w:rFonts w:ascii="宋体" w:hAnsi="Courier New" w:eastAsia="楷体_GB2312"/>
      <w:sz w:val="28"/>
      <w:szCs w:val="20"/>
    </w:rPr>
  </w:style>
  <w:style w:type="paragraph" w:styleId="981" w:customStyle="1">
    <w:name w:val="Char Char Char Char Char Char Char Char Char1 Char Char Char Char"/>
    <w:basedOn w:val="773"/>
    <w:qFormat/>
    <w:pPr>
      <w:spacing w:line="360" w:lineRule="auto"/>
    </w:pPr>
    <w:rPr>
      <w:rFonts w:eastAsia="楷体_GB2312"/>
      <w:sz w:val="26"/>
      <w:szCs w:val="20"/>
    </w:rPr>
  </w:style>
  <w:style w:type="paragraph" w:styleId="982" w:customStyle="1">
    <w:name w:val="Char Char Char Char Char Char Char Char Char Char"/>
    <w:basedOn w:val="756"/>
    <w:qFormat/>
    <w:pPr>
      <w:numPr>
        <w:numId w:val="2"/>
      </w:numPr>
    </w:pPr>
    <w:rPr>
      <w:sz w:val="24"/>
    </w:rPr>
  </w:style>
  <w:style w:type="paragraph" w:styleId="983" w:customStyle="1">
    <w:name w:val="Char Char Char Char Char Char Char Char Char1 Char"/>
    <w:basedOn w:val="773"/>
    <w:qFormat/>
    <w:pPr>
      <w:spacing w:line="360" w:lineRule="auto"/>
    </w:pPr>
    <w:rPr>
      <w:rFonts w:ascii="Tahoma" w:hAnsi="Tahoma"/>
      <w:sz w:val="24"/>
    </w:rPr>
  </w:style>
  <w:style w:type="paragraph" w:styleId="984" w:customStyle="1">
    <w:name w:val="Char Char Char"/>
    <w:basedOn w:val="773"/>
    <w:qFormat/>
    <w:pPr>
      <w:spacing w:line="360" w:lineRule="auto"/>
    </w:pPr>
    <w:rPr>
      <w:rFonts w:ascii="Tahoma" w:hAnsi="Tahoma"/>
      <w:sz w:val="24"/>
    </w:rPr>
  </w:style>
  <w:style w:type="paragraph" w:styleId="985" w:customStyle="1">
    <w:name w:val="Char Char Char Char"/>
    <w:basedOn w:val="773"/>
    <w:qFormat/>
    <w:pPr>
      <w:spacing w:line="360" w:lineRule="auto"/>
    </w:pPr>
    <w:rPr>
      <w:sz w:val="24"/>
      <w:szCs w:val="20"/>
    </w:rPr>
  </w:style>
  <w:style w:type="paragraph" w:styleId="986" w:customStyle="1">
    <w:name w:val="Char1 Char Char Char"/>
    <w:basedOn w:val="756"/>
    <w:qFormat/>
    <w:rPr>
      <w:rFonts w:ascii="Tahoma" w:hAnsi="Tahoma"/>
      <w:sz w:val="24"/>
      <w:szCs w:val="20"/>
    </w:rPr>
  </w:style>
  <w:style w:type="paragraph" w:styleId="987" w:customStyle="1">
    <w:name w:val="Char"/>
    <w:basedOn w:val="756"/>
    <w:qFormat/>
    <w:pPr>
      <w:ind w:left="420" w:hanging="420"/>
      <w:tabs>
        <w:tab w:val="left" w:pos="420" w:leader="none"/>
      </w:tabs>
    </w:pPr>
    <w:rPr>
      <w:sz w:val="24"/>
    </w:rPr>
  </w:style>
  <w:style w:type="paragraph" w:styleId="988" w:customStyle="1">
    <w:name w:val="正文2"/>
    <w:basedOn w:val="756"/>
    <w:qFormat/>
    <w:pPr>
      <w:ind w:firstLine="200"/>
      <w:jc w:val="left"/>
      <w:spacing w:after="160" w:line="360" w:lineRule="auto"/>
      <w:widowControl/>
    </w:pPr>
    <w:rPr>
      <w:rFonts w:ascii="Verdana" w:hAnsi="Verdana" w:eastAsia="黑体"/>
      <w:szCs w:val="20"/>
      <w:lang w:eastAsia="en-US"/>
    </w:rPr>
  </w:style>
  <w:style w:type="paragraph" w:styleId="989" w:customStyle="1">
    <w:name w:val="Char Char Char1 Char Char Char Char"/>
    <w:basedOn w:val="756"/>
    <w:qFormat/>
    <w:pPr>
      <w:jc w:val="left"/>
      <w:spacing w:after="160" w:line="240" w:lineRule="exact"/>
      <w:widowControl/>
    </w:pPr>
    <w:rPr>
      <w:sz w:val="24"/>
    </w:rPr>
  </w:style>
  <w:style w:type="paragraph" w:styleId="990">
    <w:name w:val="No Spacing"/>
    <w:uiPriority w:val="1"/>
    <w:qFormat/>
    <w:pPr>
      <w:jc w:val="both"/>
      <w:widowControl w:val="off"/>
    </w:pPr>
    <w:rPr>
      <w:sz w:val="21"/>
      <w:szCs w:val="24"/>
    </w:rPr>
  </w:style>
  <w:style w:type="paragraph" w:styleId="991" w:customStyle="1">
    <w:name w:val="纯文本11"/>
    <w:basedOn w:val="756"/>
    <w:qFormat/>
    <w:rPr>
      <w:rFonts w:ascii="宋体" w:hAnsi="Courier New" w:eastAsia="楷体_GB2312"/>
      <w:sz w:val="28"/>
      <w:szCs w:val="20"/>
    </w:rPr>
  </w:style>
  <w:style w:type="character" w:styleId="992" w:customStyle="1">
    <w:name w:val="纯文本 Char1"/>
    <w:qFormat/>
    <w:rPr>
      <w:rFonts w:ascii="宋体" w:hAnsi="Courier New" w:eastAsia="楷体_GB2312"/>
      <w:sz w:val="24"/>
      <w:lang w:val="en-US" w:eastAsia="zh-CN" w:bidi="ar-SA"/>
    </w:rPr>
  </w:style>
  <w:style w:type="paragraph" w:styleId="993" w:customStyle="1">
    <w:name w:val="纯文本2"/>
    <w:basedOn w:val="756"/>
    <w:qFormat/>
    <w:rPr>
      <w:rFonts w:ascii="宋体" w:hAnsi="Courier New" w:eastAsia="楷体_GB2312"/>
      <w:sz w:val="26"/>
      <w:szCs w:val="20"/>
    </w:rPr>
  </w:style>
  <w:style w:type="character" w:styleId="994" w:customStyle="1">
    <w:name w:val="Plain Text Char"/>
    <w:qFormat/>
    <w:rPr>
      <w:rFonts w:ascii="宋体" w:hAnsi="Courier New" w:eastAsia="楷体_GB2312"/>
      <w:sz w:val="26"/>
      <w:lang w:val="en-US" w:eastAsia="zh-CN" w:bidi="ar-SA"/>
    </w:rPr>
  </w:style>
  <w:style w:type="paragraph" w:styleId="995" w:customStyle="1">
    <w:name w:val="修订1"/>
    <w:hidden/>
    <w:uiPriority w:val="99"/>
    <w:semiHidden/>
    <w:unhideWhenUsed/>
    <w:qFormat/>
    <w:rPr>
      <w:sz w:val="21"/>
      <w:szCs w:val="24"/>
    </w:rPr>
  </w:style>
  <w:style w:type="character" w:styleId="996" w:customStyle="1">
    <w:name w:val="apple-converted-space"/>
    <w:basedOn w:val="766"/>
    <w:qFormat/>
  </w:style>
  <w:style w:type="paragraph" w:styleId="997" w:customStyle="1">
    <w:name w:val="p1"/>
    <w:basedOn w:val="756"/>
    <w:qFormat/>
    <w:pPr>
      <w:jc w:val="left"/>
      <w:spacing w:before="100" w:beforeAutospacing="1" w:after="100" w:afterAutospacing="1"/>
      <w:widowControl/>
    </w:pPr>
    <w:rPr>
      <w:rFonts w:ascii="宋体" w:hAnsi="宋体" w:cs="宋体"/>
      <w:sz w:val="24"/>
    </w:rPr>
  </w:style>
  <w:style w:type="paragraph" w:styleId="998" w:customStyle="1">
    <w:name w:val="p3"/>
    <w:basedOn w:val="756"/>
    <w:qFormat/>
    <w:pPr>
      <w:jc w:val="left"/>
      <w:spacing w:before="100" w:beforeAutospacing="1" w:after="100" w:afterAutospacing="1"/>
      <w:widowControl/>
    </w:pPr>
    <w:rPr>
      <w:rFonts w:ascii="宋体" w:hAnsi="宋体" w:cs="宋体"/>
      <w:sz w:val="24"/>
    </w:rPr>
  </w:style>
  <w:style w:type="character" w:styleId="999" w:customStyle="1">
    <w:name w:val="s6"/>
    <w:basedOn w:val="766"/>
    <w:qFormat/>
  </w:style>
  <w:style w:type="character" w:styleId="1000" w:customStyle="1">
    <w:name w:val="s1"/>
    <w:basedOn w:val="766"/>
    <w:qFormat/>
  </w:style>
  <w:style w:type="paragraph" w:styleId="1001" w:customStyle="1">
    <w:name w:val="列出段落1"/>
    <w:basedOn w:val="756"/>
    <w:uiPriority w:val="34"/>
    <w:qFormat/>
    <w:pPr>
      <w:ind w:firstLine="420"/>
    </w:pPr>
    <w:rPr>
      <w:lang w:val="zh-CN"/>
    </w:rPr>
  </w:style>
  <w:style w:type="character" w:styleId="1002" w:customStyle="1">
    <w:name w:val="批注文字 Char3"/>
    <w:qFormat/>
    <w:rPr>
      <w:rFonts w:eastAsia="宋体"/>
      <w:sz w:val="21"/>
      <w:szCs w:val="24"/>
      <w:lang w:val="en-US" w:eastAsia="zh-CN" w:bidi="ar-SA"/>
    </w:rPr>
  </w:style>
  <w:style w:type="paragraph" w:styleId="1003">
    <w:name w:val="List Paragraph"/>
    <w:basedOn w:val="756"/>
    <w:uiPriority w:val="99"/>
    <w:qFormat/>
    <w:pPr>
      <w:ind w:firstLine="420"/>
    </w:pPr>
  </w:style>
  <w:style w:type="paragraph" w:styleId="1004" w:customStyle="1">
    <w:name w:val="BodyText"/>
    <w:basedOn w:val="756"/>
    <w:uiPriority w:val="99"/>
    <w:qFormat/>
    <w:pPr>
      <w:spacing w:after="120"/>
    </w:pPr>
  </w:style>
  <w:style w:type="character" w:styleId="1005" w:customStyle="1">
    <w:name w:val="NormalCharacter"/>
    <w:semiHidden/>
    <w:qFormat/>
  </w:style>
  <w:style w:type="character" w:styleId="1006" w:customStyle="1">
    <w:name w:val="正文文本缩进 Char"/>
    <w:basedOn w:val="766"/>
    <w:link w:val="775"/>
    <w:qFormat/>
    <w:rPr>
      <w:rFonts w:ascii="Times New Roman" w:hAnsi="Times New Roman"/>
      <w:sz w:val="21"/>
      <w:szCs w:val="24"/>
    </w:rPr>
  </w:style>
  <w:style w:type="paragraph" w:styleId="1007" w:customStyle="1">
    <w:name w:val="纯文本3"/>
    <w:basedOn w:val="756"/>
    <w:qFormat/>
    <w:rPr>
      <w:rFonts w:ascii="宋体" w:hAnsi="Courier New" w:eastAsia="楷体_GB2312"/>
      <w:sz w:val="28"/>
      <w:szCs w:val="20"/>
    </w:rPr>
  </w:style>
  <w:style w:type="paragraph" w:styleId="1008" w:customStyle="1">
    <w:name w:val="修订2"/>
    <w:hidden/>
    <w:uiPriority w:val="99"/>
    <w:semiHidden/>
    <w:qFormat/>
    <w:rPr>
      <w:sz w:val="21"/>
      <w:szCs w:val="24"/>
    </w:rPr>
  </w:style>
  <w:style w:type="paragraph" w:styleId="1009" w:customStyle="1">
    <w:name w:val="修订3"/>
    <w:hidden/>
    <w:uiPriority w:val="99"/>
    <w:semiHidden/>
    <w:qFormat/>
    <w:rPr>
      <w:sz w:val="21"/>
      <w:szCs w:val="24"/>
    </w:rPr>
  </w:style>
  <w:style w:type="paragraph" w:styleId="1010" w:customStyle="1">
    <w:name w:val="修订4"/>
    <w:hidden/>
    <w:uiPriority w:val="99"/>
    <w:semiHidden/>
    <w:qFormat/>
    <w:rPr>
      <w:sz w:val="21"/>
      <w:szCs w:val="24"/>
    </w:rPr>
  </w:style>
  <w:style w:type="paragraph" w:styleId="1011" w:customStyle="1">
    <w:name w:val="列出段落2"/>
    <w:basedOn w:val="756"/>
    <w:uiPriority w:val="34"/>
    <w:qFormat/>
    <w:pPr>
      <w:ind w:firstLine="420"/>
    </w:pPr>
  </w:style>
  <w:style w:type="paragraph" w:styleId="1012" w:customStyle="1">
    <w:name w:val="_正文段落"/>
    <w:basedOn w:val="756"/>
    <w:qFormat/>
    <w:pPr>
      <w:ind w:firstLine="200"/>
      <w:spacing w:line="360" w:lineRule="auto"/>
    </w:pPr>
    <w:rPr>
      <w:sz w:val="24"/>
    </w:rPr>
  </w:style>
  <w:style w:type="paragraph" w:styleId="1013" w:customStyle="1">
    <w:name w:val="_Style 30"/>
    <w:basedOn w:val="756"/>
    <w:next w:val="780"/>
    <w:qFormat/>
    <w:rPr>
      <w:rFonts w:ascii="宋体" w:hAnsi="Courier New"/>
    </w:rPr>
  </w:style>
  <w:style w:type="paragraph" w:styleId="1014" w:customStyle="1">
    <w:name w:val="正文1"/>
    <w:next w:val="756"/>
    <w:qFormat/>
    <w:pPr>
      <w:jc w:val="both"/>
      <w:spacing w:line="315" w:lineRule="atLeast"/>
      <w:widowControl w:val="off"/>
    </w:pPr>
    <w:rPr>
      <w:rFonts w:ascii="宋体" w:hAnsi="宋体"/>
      <w:sz w:val="21"/>
    </w:rPr>
  </w:style>
  <w:style w:type="character" w:styleId="1015" w:customStyle="1">
    <w:name w:val="15"/>
    <w:basedOn w:val="766"/>
    <w:qFormat/>
    <w:rPr>
      <w:rFonts w:hint="default" w:ascii="Calibri" w:hAnsi="Calibri" w:cs="Calibri"/>
    </w:rPr>
  </w:style>
  <w:style w:type="character" w:styleId="1016" w:customStyle="1">
    <w:name w:val="font21"/>
    <w:basedOn w:val="766"/>
    <w:qFormat/>
    <w:rPr>
      <w:rFonts w:hint="eastAsia" w:ascii="宋体" w:hAnsi="宋体" w:eastAsia="宋体" w:cs="宋体"/>
      <w:color w:val="000000"/>
      <w:sz w:val="21"/>
      <w:szCs w:val="21"/>
      <w:u w:val="none"/>
    </w:rPr>
  </w:style>
  <w:style w:type="character" w:styleId="1017" w:customStyle="1">
    <w:name w:val="font41"/>
    <w:basedOn w:val="766"/>
    <w:qFormat/>
    <w:rPr>
      <w:rFonts w:hint="eastAsia" w:ascii="宋体" w:hAnsi="宋体" w:eastAsia="宋体" w:cs="宋体"/>
      <w:color w:val="ff0000"/>
      <w:sz w:val="21"/>
      <w:szCs w:val="21"/>
      <w:u w:val="none"/>
    </w:rPr>
  </w:style>
  <w:style w:type="character" w:styleId="1018" w:customStyle="1">
    <w:name w:val="font31"/>
    <w:basedOn w:val="766"/>
    <w:qFormat/>
    <w:rPr>
      <w:rFonts w:hint="eastAsia" w:ascii="宋体" w:hAnsi="宋体" w:eastAsia="宋体" w:cs="宋体"/>
      <w:color w:val="000000"/>
      <w:sz w:val="21"/>
      <w:szCs w:val="21"/>
      <w:u w:val="none"/>
    </w:rPr>
  </w:style>
  <w:style w:type="character" w:styleId="1019" w:customStyle="1">
    <w:name w:val="font51"/>
    <w:basedOn w:val="766"/>
    <w:qFormat/>
    <w:rPr>
      <w:rFonts w:hint="eastAsia" w:ascii="宋体" w:hAnsi="宋体" w:eastAsia="宋体" w:cs="宋体"/>
      <w:color w:val="000000"/>
      <w:sz w:val="21"/>
      <w:szCs w:val="21"/>
      <w:u w:val="none"/>
    </w:rPr>
  </w:style>
  <w:style w:type="paragraph" w:styleId="1020" w:customStyle="1">
    <w:name w:val="纯文本21"/>
    <w:basedOn w:val="756"/>
    <w:qFormat/>
    <w:rPr>
      <w:rFonts w:ascii="宋体" w:hAnsi="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image" Target="media/image2.jpg"/><Relationship Id="rId1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mso-contentType ?>
<FormTemplates xmlns="http://schemas.microsoft.com/sharepoint/v3/contenttype/forms">
  <Display xmlns="http://schemas.microsoft.com/sharepoint/v3/contenttype/forms">DocumentLibraryForm</Display>
  <Edit xmlns="http://schemas.microsoft.com/sharepoint/v3/contenttype/forms">DocumentLibraryForm</Edit>
  <New xmlns="http://schemas.microsoft.com/sharepoint/v3/contenttype/forms">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b:Sources xmlns:b="http://schemas.openxmlformats.org/officeDocument/2006/bibliography" SelectedStyle="\APA.XSL" StyleName="APA"/>
</file>

<file path=customXml/item4.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1029"/>
    <customShpInfo spid="_x0000_s1036"/>
    <customShpInfo spid="_x0000_s1032"/>
    <customShpInfo spid="_x0000_s1033"/>
    <customShpInfo spid="_x0000_s1027"/>
    <customShpInfo spid="_x0000_s1031"/>
    <customShpInfo spid="_x0000_s1035"/>
    <customShpInfo spid="_x0000_s1034"/>
    <customShpInfo spid="_x0000_s1037"/>
    <customShpInfo spid="_x0000_s1030"/>
    <customShpInfo spid="_x0000_s1028"/>
  </customShpExts>
</s:customData>
</file>

<file path=customXml/item5.xml><?xml version="1.0" encoding="utf-8"?>
<ct:contentTypeSchema xmlns:ct="http://schemas.microsoft.com/office/2006/metadata/contentType" xmlns:ma="http://schemas.microsoft.com/office/2006/metadata/properties/metaAttributes" contentTypeName="Document" contentTypeID="0x01010081C51C0CE0027140830352BF468F90BF" contentTypeVersion="0" versionID="352cb202d3638efee9a08bdea2044044" _="" contentTypeDescription="Create a new document." contentTypeScope="">
  <xsd:schema xmlns:xsd="http://www.w3.org/2001/XMLSchema" xmlns:ma="http://schemas.microsoft.com/office/2006/metadata/properties/metaAttributes" ma:root="true" targetNamespace="http://schemas.microsoft.com/office/2006/metadata/properties" ma:fieldsID="de205ab3393d435e4955146045209236">
    <xsd:element xmlns:xsd="http://www.w3.org/2001/XMLSchema" name="properties">
      <xsd:complexType xmlns:xsd="http://www.w3.org/2001/XMLSchema">
        <xsd:sequence xmlns:xsd="http://www.w3.org/2001/XMLSchema">
          <xsd:element xmlns:xsd="http://www.w3.org/2001/XMLSchema" name="documentManagement">
            <xsd:complexType xmlns:xsd="http://www.w3.org/2001/XMLSchema">
              <xsd:all xmlns:xsd="http://www.w3.org/2001/XMLSchema"/>
            </xsd:complexType>
          </xsd:element>
        </xsd:sequence>
      </xsd:complexType>
    </xsd:element>
  </xsd:schema>
  <xsd:schema xmlns:xsd="http://www.w3.org/2001/XMLSchema" blockDefault="#all" elementFormDefault="qualified" targetNamespace="http://schemas.openxmlformats.org/package/2006/metadata/core-properties" attributeFormDefault="unqualified">
    <xsd:import xmlns:xsd="http://www.w3.org/2001/XMLSchema" namespace="http://purl.org/dc/elements/1.1/" schemaLocation="http://dublincore.org/schemas/xmls/qdc/2003/04/02/dc.xsd"/>
    <xsd:import xmlns:xsd="http://www.w3.org/2001/XMLSchema" namespace="http://purl.org/dc/terms/" schemaLocation="http://dublincore.org/schemas/xmls/qdc/2003/04/02/dcterms.xsd"/>
    <xsd:element xmlns:xsd="http://www.w3.org/2001/XMLSchema" name="coreProperties" type="CT_coreProperties"/>
    <xsd:complexType xmlns:xsd="http://www.w3.org/2001/XMLSchema" name="CT_coreProperties">
      <xsd:all xmlns:xsd="http://www.w3.org/2001/XMLSchema">
        <xsd:element xmlns:xsd="http://www.w3.org/2001/XMLSchema" maxOccurs="1" minOccurs="0" ref="dc:creator"/>
        <xsd:element xmlns:xsd="http://www.w3.org/2001/XMLSchema" maxOccurs="1" minOccurs="0" ref="dcterms:created"/>
        <xsd:element xmlns:xsd="http://www.w3.org/2001/XMLSchema" maxOccurs="1" minOccurs="0" ref="dc:identifier"/>
        <xsd:element xmlns:xsd="http://www.w3.org/2001/XMLSchema" xmlns:ma="http://schemas.microsoft.com/office/2006/metadata/properties/metaAttributes" maxOccurs="1" ma:displayName="Content Type" name="contentType" ma:index="0" minOccurs="0" type="xsd:string"/>
        <xsd:element xmlns:xsd="http://www.w3.org/2001/XMLSchema" xmlns:ma="http://schemas.microsoft.com/office/2006/metadata/properties/metaAttributes" maxOccurs="1" ma:displayName="Title" ma:index="4" minOccurs="0" ref="dc:title"/>
        <xsd:element xmlns:xsd="http://www.w3.org/2001/XMLSchema" maxOccurs="1" minOccurs="0" ref="dc:subject"/>
        <xsd:element xmlns:xsd="http://www.w3.org/2001/XMLSchema" maxOccurs="1" minOccurs="0" ref="dc:description"/>
        <xsd:element xmlns:xsd="http://www.w3.org/2001/XMLSchema" maxOccurs="1" name="keywords" minOccurs="0" type="xsd:string"/>
        <xsd:element xmlns:xsd="http://www.w3.org/2001/XMLSchema" maxOccurs="1" minOccurs="0" ref="dc:language"/>
        <xsd:element xmlns:xsd="http://www.w3.org/2001/XMLSchema" maxOccurs="1" name="category" minOccurs="0" type="xsd:string"/>
        <xsd:element xmlns:xsd="http://www.w3.org/2001/XMLSchema" maxOccurs="1" name="version" minOccurs="0" type="xsd:string"/>
        <xsd:element xmlns:xsd="http://www.w3.org/2001/XMLSchema" maxOccurs="1" name="revision" minOccurs="0" type="xsd:string">
          <xsd:annotation xmlns:xsd="http://www.w3.org/2001/XMLSchema">
            <xsd:documentation xmlns:xsd="http://www.w3.org/2001/XMLSchema">
                        This value indicates the number of saves or revisions. The application is responsible for updating this value after each revision.
                    </xsd:documentation>
          </xsd:annotation>
        </xsd:element>
        <xsd:element xmlns:xsd="http://www.w3.org/2001/XMLSchema" maxOccurs="1" name="lastModifiedBy" minOccurs="0" type="xsd:string"/>
        <xsd:element xmlns:xsd="http://www.w3.org/2001/XMLSchema" maxOccurs="1" minOccurs="0" ref="dcterms:modified"/>
        <xsd:element xmlns:xsd="http://www.w3.org/2001/XMLSchema" maxOccurs="1" name="contentStatus" minOccurs="0" type="xsd:string"/>
      </xsd:all>
    </xsd:complexType>
  </xsd:schema>
  <xs:schema xmlns:xs="http://www.w3.org/2001/XMLSchema" elementFormDefault="qualified" targetNamespace="http://schemas.microsoft.com/office/infopath/2007/PartnerControls" attributeFormDefault="unqualified">
    <xs:element xmlns:xs="http://www.w3.org/2001/XMLSchema" name="Person">
      <xs:complexType xmlns:xs="http://www.w3.org/2001/XMLSchema">
        <xs:sequence xmlns:xs="http://www.w3.org/2001/XMLSchema">
          <xs:element xmlns:xs="http://www.w3.org/2001/XMLSchema" minOccurs="0" ref="pc:DisplayName"/>
          <xs:element xmlns:xs="http://www.w3.org/2001/XMLSchema" minOccurs="0" ref="pc:AccountId"/>
          <xs:element xmlns:xs="http://www.w3.org/2001/XMLSchema" minOccurs="0" ref="pc:AccountType"/>
        </xs:sequence>
      </xs:complexType>
    </xs:element>
    <xs:element xmlns:xs="http://www.w3.org/2001/XMLSchema" name="DisplayName" type="xs:string"/>
    <xs:element xmlns:xs="http://www.w3.org/2001/XMLSchema" name="AccountId" type="xs:string"/>
    <xs:element xmlns:xs="http://www.w3.org/2001/XMLSchema" name="AccountType" type="xs:string"/>
    <xs:element xmlns:xs="http://www.w3.org/2001/XMLSchema" name="BDCAssociatedEntity">
      <xs:complexType xmlns:xs="http://www.w3.org/2001/XMLSchema">
        <xs:sequence xmlns:xs="http://www.w3.org/2001/XMLSchema">
          <xs:element xmlns:xs="http://www.w3.org/2001/XMLSchema" maxOccurs="unbounded" minOccurs="0" ref="pc:BDCEntity"/>
        </xs:sequence>
        <xs:attribute xmlns:xs="http://www.w3.org/2001/XMLSchema" ref="pc:EntityNamespace"/>
        <xs:attribute xmlns:xs="http://www.w3.org/2001/XMLSchema" ref="pc:EntityName"/>
        <xs:attribute xmlns:xs="http://www.w3.org/2001/XMLSchema" ref="pc:SystemInstanceName"/>
        <xs:attribute xmlns:xs="http://www.w3.org/2001/XMLSchema" ref="pc:AssociationName"/>
      </xs:complexType>
    </xs:element>
    <xs:attribute xmlns:xs="http://www.w3.org/2001/XMLSchema" name="EntityNamespace" type="xs:string"/>
    <xs:attribute xmlns:xs="http://www.w3.org/2001/XMLSchema" name="EntityName" type="xs:string"/>
    <xs:attribute xmlns:xs="http://www.w3.org/2001/XMLSchema" name="SystemInstanceName" type="xs:string"/>
    <xs:attribute xmlns:xs="http://www.w3.org/2001/XMLSchema" name="AssociationName" type="xs:string"/>
    <xs:element xmlns:xs="http://www.w3.org/2001/XMLSchema" name="BDCEntity">
      <xs:complexType xmlns:xs="http://www.w3.org/2001/XMLSchema">
        <xs:sequence xmlns:xs="http://www.w3.org/2001/XMLSchema">
          <xs:element xmlns:xs="http://www.w3.org/2001/XMLSchema" minOccurs="0" ref="pc:EntityDisplayName"/>
          <xs:element xmlns:xs="http://www.w3.org/2001/XMLSchema" minOccurs="0" ref="pc:EntityInstanceReference"/>
          <xs:element xmlns:xs="http://www.w3.org/2001/XMLSchema" minOccurs="0" ref="pc:EntityId1"/>
          <xs:element xmlns:xs="http://www.w3.org/2001/XMLSchema" minOccurs="0" ref="pc:EntityId2"/>
          <xs:element xmlns:xs="http://www.w3.org/2001/XMLSchema" minOccurs="0" ref="pc:EntityId3"/>
          <xs:element xmlns:xs="http://www.w3.org/2001/XMLSchema" minOccurs="0" ref="pc:EntityId4"/>
          <xs:element xmlns:xs="http://www.w3.org/2001/XMLSchema" minOccurs="0" ref="pc:EntityId5"/>
        </xs:sequence>
      </xs:complexType>
    </xs:element>
    <xs:element xmlns:xs="http://www.w3.org/2001/XMLSchema" name="EntityDisplayName" type="xs:string"/>
    <xs:element xmlns:xs="http://www.w3.org/2001/XMLSchema" name="EntityInstanceReference" type="xs:string"/>
    <xs:element xmlns:xs="http://www.w3.org/2001/XMLSchema" name="EntityId1" type="xs:string"/>
    <xs:element xmlns:xs="http://www.w3.org/2001/XMLSchema" name="EntityId2" type="xs:string"/>
    <xs:element xmlns:xs="http://www.w3.org/2001/XMLSchema" name="EntityId3" type="xs:string"/>
    <xs:element xmlns:xs="http://www.w3.org/2001/XMLSchema" name="EntityId4" type="xs:string"/>
    <xs:element xmlns:xs="http://www.w3.org/2001/XMLSchema" name="EntityId5" type="xs:string"/>
    <xs:element xmlns:xs="http://www.w3.org/2001/XMLSchema" name="Terms">
      <xs:complexType xmlns:xs="http://www.w3.org/2001/XMLSchema">
        <xs:sequence xmlns:xs="http://www.w3.org/2001/XMLSchema">
          <xs:element xmlns:xs="http://www.w3.org/2001/XMLSchema" maxOccurs="unbounded" minOccurs="0" ref="pc:TermInfo"/>
        </xs:sequence>
      </xs:complexType>
    </xs:element>
    <xs:element xmlns:xs="http://www.w3.org/2001/XMLSchema" name="TermInfo">
      <xs:complexType xmlns:xs="http://www.w3.org/2001/XMLSchema">
        <xs:sequence xmlns:xs="http://www.w3.org/2001/XMLSchema">
          <xs:element xmlns:xs="http://www.w3.org/2001/XMLSchema" minOccurs="0" ref="pc:TermName"/>
          <xs:element xmlns:xs="http://www.w3.org/2001/XMLSchema" minOccurs="0" ref="pc:TermId"/>
        </xs:sequence>
      </xs:complexType>
    </xs:element>
    <xs:element xmlns:xs="http://www.w3.org/2001/XMLSchema" name="TermName" type="xs:string"/>
    <xs:element xmlns:xs="http://www.w3.org/2001/XMLSchema" name="TermId" type="xs:string"/>
  </xs:schema>
</ct:contentTypeSchema>
</file>

<file path=customXml/itemProps1.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2.xml><?xml version="1.0" encoding="utf-8"?>
<ds:datastoreItem xmlns:ds="http://schemas.openxmlformats.org/officeDocument/2006/customXml" ds:itemID="{9EC65B44-31B3-4D4C-95DA-9A3231759A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DEAF49-F725-4D10-B94E-6D1099863452}">
  <ds:schemaRefs>
    <ds:schemaRef ds:uri="http://schemas.openxmlformats.org/officeDocument/2006/bibliography"/>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路丽丽</cp:lastModifiedBy>
  <cp:revision>17</cp:revision>
  <dcterms:created xsi:type="dcterms:W3CDTF">2024-01-03T18:17:00Z</dcterms:created>
  <dcterms:modified xsi:type="dcterms:W3CDTF">2026-09-24T03:42:03Z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59FDFA6794D546E0895C8A701C864B42_13</vt:lpwstr>
  </property>
  <property fmtid="{D5CDD505-2E9C-101B-9397-08002B2CF9AE}" pid="4" name="ContentTypeId">
    <vt:lpwstr>0x01010081C51C0CE0027140830352BF468F90BF</vt:lpwstr>
  </property>
  <property fmtid="{D5CDD505-2E9C-101B-9397-08002B2CF9AE}" pid="5" name="KSOTemplateDocerSaveRecord">
    <vt:lpwstr>eyJoZGlkIjoiZGRlNGE1OWE1NDIxZDAwMTQwZTBiZjRjOWQyYjZkMDIiLCJ1c2VySWQiOiIxMDQzMzQ5ODU4In0=</vt:lpwstr>
  </property>
</Properties>
</file>