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auto"/>
          <w:spacing w:val="20"/>
          <w:sz w:val="72"/>
          <w:szCs w:val="72"/>
          <w:highlight w:val="none"/>
        </w:rPr>
      </w:pPr>
      <w:r/>
      <w:bookmarkStart w:id="0" w:name="_Toc120614210"/>
      <w:r/>
      <w:bookmarkStart w:id="1" w:name="_Toc20823272"/>
      <w:r/>
      <w:bookmarkStart w:id="2" w:name="_Toc16938516"/>
      <w:r/>
      <w:bookmarkStart w:id="3" w:name="_Toc523127445"/>
      <w:r/>
      <w:bookmarkStart w:id="4" w:name="_Toc479757206"/>
      <w:r/>
      <w:bookmarkStart w:id="5" w:name="_Toc513029200"/>
      <w:r/>
      <w:r/>
    </w:p>
    <w:p>
      <w:pPr>
        <w:jc w:val="center"/>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泰 州 市 政 府 采 购</w:t>
      </w:r>
      <w:r/>
    </w:p>
    <w:p>
      <w:pPr>
        <w:rPr>
          <w:rFonts w:ascii="宋体" w:hAnsi="宋体" w:cs="宋体"/>
          <w:bCs/>
          <w:color w:val="auto"/>
          <w:sz w:val="30"/>
          <w:highlight w:val="none"/>
        </w:rPr>
      </w:pPr>
      <w:r>
        <w:rPr>
          <w:rFonts w:ascii="宋体" w:hAnsi="宋体" w:cs="宋体"/>
          <w:bCs/>
          <w:color w:val="auto"/>
          <w:sz w:val="30"/>
          <w:highlight w:val="none"/>
        </w:rPr>
      </w:r>
      <w:r/>
    </w:p>
    <w:p>
      <w:pPr>
        <w:pStyle w:val="755"/>
      </w:pPr>
      <w:r/>
      <w:r/>
    </w:p>
    <w:p>
      <w:pPr>
        <w:rPr>
          <w:rFonts w:ascii="宋体" w:hAnsi="宋体" w:cs="宋体"/>
          <w:bCs/>
          <w:color w:val="auto"/>
          <w:sz w:val="30"/>
          <w:highlight w:val="none"/>
        </w:rPr>
      </w:pPr>
      <w:r>
        <w:rPr>
          <w:rFonts w:ascii="宋体" w:hAnsi="宋体" w:cs="宋体"/>
          <w:bCs/>
          <w:color w:val="auto"/>
          <w:sz w:val="30"/>
          <w:highlight w:val="none"/>
        </w:rPr>
      </w:r>
      <w:r/>
    </w:p>
    <w:p>
      <w:pPr>
        <w:rPr>
          <w:rFonts w:ascii="宋体" w:hAnsi="宋体" w:cs="宋体"/>
          <w:bCs/>
          <w:color w:val="auto"/>
          <w:sz w:val="30"/>
          <w:highlight w:val="none"/>
        </w:rPr>
      </w:pPr>
      <w:r>
        <w:rPr>
          <w:rFonts w:ascii="宋体" w:hAnsi="宋体" w:cs="宋体"/>
          <w:bCs/>
          <w:color w:val="auto"/>
          <w:sz w:val="30"/>
          <w:highlight w:val="none"/>
        </w:rPr>
      </w:r>
      <w:r/>
    </w:p>
    <w:p>
      <w:pPr>
        <w:jc w:val="center"/>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竞 争 性 磋 商   </w:t>
      </w:r>
      <w:r/>
    </w:p>
    <w:p>
      <w:pPr>
        <w:jc w:val="center"/>
        <w:rPr>
          <w:rFonts w:ascii="宋体" w:hAnsi="宋体" w:cs="宋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宋体" w:hAnsi="宋体" w:cs="宋体"/>
          <w:bCs/>
          <w:color w:val="auto"/>
          <w:spacing w:val="20"/>
          <w:sz w:val="52"/>
          <w:szCs w:val="52"/>
          <w:highlight w:val="none"/>
        </w:rPr>
        <w:t xml:space="preserve">采   购   文   件</w:t>
      </w:r>
      <w:r/>
    </w:p>
    <w:p>
      <w:pPr>
        <w:rPr>
          <w:rFonts w:ascii="宋体" w:hAnsi="宋体" w:cs="宋体"/>
          <w:bCs/>
          <w:color w:val="auto"/>
          <w:sz w:val="30"/>
          <w:highlight w:val="none"/>
        </w:rPr>
      </w:pPr>
      <w:r>
        <w:rPr>
          <w:rFonts w:ascii="宋体" w:hAnsi="宋体" w:cs="宋体"/>
          <w:bCs/>
          <w:color w:val="auto"/>
          <w:sz w:val="30"/>
          <w:highlight w:val="none"/>
        </w:rPr>
      </w:r>
      <w:r/>
    </w:p>
    <w:p>
      <w:pPr>
        <w:jc w:val="center"/>
        <w:tabs>
          <w:tab w:val="left" w:pos="9921" w:leader="none"/>
        </w:tabs>
        <w:rPr>
          <w:rFonts w:ascii="宋体" w:hAnsi="宋体" w:cs="宋体"/>
          <w:bCs/>
          <w:color w:val="auto"/>
          <w:sz w:val="30"/>
          <w:highlight w:val="none"/>
        </w:rPr>
      </w:pPr>
      <w:r>
        <w:rPr>
          <w:rFonts w:ascii="宋体" w:hAnsi="宋体" w:cs="宋体"/>
          <w:bCs/>
          <w:color w:val="auto"/>
          <w:sz w:val="30"/>
          <w:highlight w:val="none"/>
        </w:rPr>
      </w:r>
      <w:r/>
    </w:p>
    <w:p>
      <w:pPr>
        <w:pStyle w:val="755"/>
        <w:rPr>
          <w:rFonts w:ascii="宋体" w:hAnsi="宋体" w:cs="宋体"/>
          <w:bCs/>
          <w:color w:val="auto"/>
          <w:sz w:val="30"/>
          <w:highlight w:val="none"/>
        </w:rPr>
      </w:pPr>
      <w:r>
        <w:rPr>
          <w:rFonts w:ascii="宋体" w:hAnsi="宋体" w:cs="宋体"/>
          <w:bCs/>
          <w:color w:val="auto"/>
          <w:sz w:val="30"/>
          <w:highlight w:val="none"/>
        </w:rPr>
      </w:r>
      <w:r/>
    </w:p>
    <w:p>
      <w:pPr>
        <w:rPr>
          <w:rFonts w:ascii="宋体" w:hAnsi="宋体" w:cs="宋体"/>
          <w:bCs/>
          <w:color w:val="auto"/>
          <w:sz w:val="30"/>
          <w:highlight w:val="none"/>
        </w:rPr>
      </w:pPr>
      <w:r>
        <w:rPr>
          <w:rFonts w:ascii="宋体" w:hAnsi="宋体" w:cs="宋体"/>
          <w:bCs/>
          <w:color w:val="auto"/>
          <w:sz w:val="30"/>
          <w:highlight w:val="none"/>
        </w:rPr>
      </w:r>
      <w:r/>
    </w:p>
    <w:p>
      <w:pPr>
        <w:pStyle w:val="755"/>
      </w:pPr>
      <w:r/>
      <w:r/>
    </w:p>
    <w:p>
      <w:pPr>
        <w:rPr>
          <w:rFonts w:ascii="宋体" w:hAnsi="宋体" w:cs="宋体"/>
          <w:color w:val="auto"/>
          <w:highlight w:val="none"/>
        </w:rPr>
      </w:pPr>
      <w:r>
        <w:rPr>
          <w:rFonts w:ascii="宋体" w:hAnsi="宋体" w:cs="宋体"/>
          <w:color w:val="auto"/>
          <w:highlight w:val="none"/>
        </w:rPr>
      </w:r>
      <w:r/>
    </w:p>
    <w:p>
      <w:pPr>
        <w:pStyle w:val="1075"/>
        <w:ind w:firstLine="420"/>
        <w:rPr>
          <w:rFonts w:hAnsi="宋体" w:cs="宋体"/>
          <w:color w:val="auto"/>
          <w:highlight w:val="none"/>
        </w:rPr>
      </w:pPr>
      <w:r>
        <w:rPr>
          <w:rFonts w:hAnsi="宋体" w:cs="宋体"/>
          <w:color w:val="auto"/>
          <w:highlight w:val="none"/>
        </w:rPr>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w:t>
      </w:r>
      <w:r>
        <w:rPr>
          <w:rFonts w:hint="eastAsia" w:ascii="宋体" w:hAnsi="宋体" w:cs="宋体"/>
          <w:bCs/>
          <w:color w:val="auto"/>
          <w:sz w:val="30"/>
          <w:szCs w:val="30"/>
          <w:highlight w:val="none"/>
          <w:lang w:eastAsia="zh-CN"/>
        </w:rPr>
        <w:t xml:space="preserve">JSZC-321200-ZFDL-C2026-0008</w:t>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泰州市人民医院蔡司设备维保服务采购项目</w:t>
      </w:r>
      <w:r/>
    </w:p>
    <w:p>
      <w:pPr>
        <w:ind w:firstLine="9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单 位：泰州市人民医院</w:t>
      </w:r>
      <w:r/>
    </w:p>
    <w:p>
      <w:pPr>
        <w:ind w:firstLine="9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采购代理机构：江苏正方工程项目管理房地产评估有限公司</w:t>
      </w:r>
      <w:r/>
    </w:p>
    <w:p>
      <w:pPr>
        <w:pStyle w:val="1075"/>
        <w:ind w:firstLine="56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t xml:space="preserve">二〇二</w:t>
      </w:r>
      <w:r>
        <w:rPr>
          <w:rFonts w:hint="eastAsia" w:ascii="宋体" w:hAnsi="宋体" w:eastAsia="宋体" w:cs="宋体"/>
          <w:bCs/>
          <w:color w:val="auto"/>
          <w:sz w:val="30"/>
          <w:szCs w:val="30"/>
          <w:highlight w:val="none"/>
          <w:lang w:val="en-US" w:eastAsia="zh-CN"/>
        </w:rPr>
        <w:t xml:space="preserve">六</w:t>
      </w:r>
      <w:r>
        <w:rPr>
          <w:rFonts w:hint="eastAsia" w:ascii="宋体" w:hAnsi="宋体" w:eastAsia="宋体" w:cs="宋体"/>
          <w:bCs/>
          <w:color w:val="auto"/>
          <w:sz w:val="30"/>
          <w:szCs w:val="30"/>
          <w:highlight w:val="none"/>
        </w:rPr>
        <w:t xml:space="preserve">年</w:t>
      </w:r>
      <w:r>
        <w:rPr>
          <w:rFonts w:hint="eastAsia" w:ascii="宋体" w:hAnsi="宋体" w:eastAsia="宋体" w:cs="宋体"/>
          <w:bCs/>
          <w:color w:val="auto"/>
          <w:sz w:val="30"/>
          <w:szCs w:val="30"/>
          <w:highlight w:val="none"/>
          <w:lang w:val="en-US" w:eastAsia="zh-CN"/>
        </w:rPr>
        <w:t xml:space="preserve">九</w:t>
      </w:r>
      <w:r>
        <w:rPr>
          <w:rFonts w:hint="eastAsia" w:ascii="宋体" w:hAnsi="宋体" w:eastAsia="宋体" w:cs="宋体"/>
          <w:bCs/>
          <w:color w:val="auto"/>
          <w:sz w:val="30"/>
          <w:szCs w:val="30"/>
          <w:highlight w:val="none"/>
        </w:rPr>
        <w:t xml:space="preserve">月</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rPr>
          <w:rFonts w:hint="eastAsia" w:ascii="宋体" w:hAnsi="宋体" w:cs="宋体"/>
          <w:b/>
          <w:bCs/>
          <w:color w:val="auto"/>
          <w:sz w:val="30"/>
          <w:szCs w:val="30"/>
          <w:highlight w:val="none"/>
        </w:rPr>
        <w:br w:type="page" w:clear="all"/>
      </w:r>
      <w:r>
        <w:rPr>
          <w:rFonts w:hint="eastAsia" w:ascii="黑体" w:hAnsi="Arial" w:eastAsia="黑体"/>
          <w:b/>
          <w:color w:val="000000" w:themeColor="text1"/>
          <w:sz w:val="44"/>
          <w:szCs w:val="21"/>
          <w:highlight w:val="none"/>
          <w14:textFill>
            <w14:solidFill>
              <w14:schemeClr w14:val="tx1"/>
            </w14:solidFill>
          </w14:textFill>
        </w:rPr>
        <w:t xml:space="preserve">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rPr>
          <w:rFonts w:hint="eastAsia" w:ascii="黑体" w:hAnsi="Showcard Gothic" w:eastAsia="黑体"/>
          <w:color w:val="000000" w:themeColor="text1"/>
          <w:sz w:val="32"/>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磋商邀请</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bCs/>
          <w:color w:val="000000" w:themeColor="text1"/>
          <w:sz w:val="36"/>
          <w:szCs w:val="36"/>
          <w:highlight w:val="none"/>
          <w14:textFill>
            <w14:solidFill>
              <w14:schemeClr w14:val="tx1"/>
            </w14:solidFill>
          </w14:textFill>
        </w:rPr>
        <w:t xml:space="preserve">供应商须知</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采购需求</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Showcard Gothic" w:eastAsia="黑体"/>
          <w:color w:val="000000" w:themeColor="text1"/>
          <w:sz w:val="36"/>
          <w:szCs w:val="21"/>
          <w:highlight w:val="none"/>
          <w14:textFill>
            <w14:solidFill>
              <w14:schemeClr w14:val="tx1"/>
            </w14:solidFill>
          </w14:textFill>
        </w:rPr>
        <w:t xml:space="preserve">合同条款及格式</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bCs/>
          <w:color w:val="000000" w:themeColor="text1"/>
          <w:sz w:val="36"/>
          <w:szCs w:val="36"/>
          <w:highlight w:val="none"/>
          <w14:textFill>
            <w14:solidFill>
              <w14:schemeClr w14:val="tx1"/>
            </w14:solidFill>
          </w14:textFill>
        </w:rPr>
        <w:t xml:space="preserve">评审方法与评审标准</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响应文件格式</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黑体" w:hAnsi="Times New Roman" w:eastAsia="黑体"/>
          <w:color w:val="000000" w:themeColor="text1"/>
          <w:sz w:val="44"/>
          <w:szCs w:val="44"/>
          <w:highlight w:val="none"/>
          <w14:textFill>
            <w14:solidFill>
              <w14:schemeClr w14:val="tx1"/>
            </w14:solidFill>
          </w14:textFill>
        </w:rPr>
      </w:pPr>
      <w:r>
        <w:rPr>
          <w:rFonts w:hint="eastAsia" w:ascii="黑体" w:hAnsi="Times New Roman" w:eastAsia="黑体"/>
          <w:color w:val="000000" w:themeColor="text1"/>
          <w:sz w:val="44"/>
          <w:szCs w:val="44"/>
          <w:highlight w:val="none"/>
          <w14:textFill>
            <w14:solidFill>
              <w14:schemeClr w14:val="tx1"/>
            </w14:solidFill>
          </w14:textFill>
        </w:rPr>
        <w:br w:type="page" w:clear="all"/>
      </w:r>
      <w:r/>
    </w:p>
    <w:p>
      <w:pPr>
        <w:ind w:firstLine="0"/>
        <w:jc w:val="center"/>
        <w:keepNext/>
        <w:spacing w:line="560" w:lineRule="exact"/>
        <w:rPr>
          <w:rFonts w:hint="eastAsia" w:ascii="黑体" w:hAnsi="Times New Roman" w:eastAsia="黑体"/>
          <w:bCs/>
          <w:color w:val="000000" w:themeColor="text1"/>
          <w:sz w:val="44"/>
          <w:szCs w:val="44"/>
          <w:highlight w:val="none"/>
          <w14:textFill>
            <w14:solidFill>
              <w14:schemeClr w14:val="tx1"/>
            </w14:solidFill>
          </w14:textFill>
        </w:rPr>
        <w:outlineLvl w:val="0"/>
      </w:pP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磋商邀请</w:t>
      </w:r>
      <w:r/>
    </w:p>
    <w:p>
      <w:pPr>
        <w:ind w:firstLine="480"/>
        <w:spacing w:line="5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i w:val="0"/>
          <w:iCs w:val="0"/>
          <w:caps w:val="0"/>
          <w:spacing w:val="0"/>
          <w:sz w:val="28"/>
          <w:szCs w:val="28"/>
          <w:lang w:eastAsia="zh-CN"/>
        </w:rPr>
        <w:t xml:space="preserve">泰州市人民医院蔡司设备维保服务采购项目</w:t>
      </w:r>
      <w:r>
        <w:rPr>
          <w:rFonts w:hint="eastAsia" w:ascii="仿宋" w:hAnsi="仿宋" w:eastAsia="仿宋" w:cs="仿宋"/>
          <w:i w:val="0"/>
          <w:iCs w:val="0"/>
          <w:caps w:val="0"/>
          <w:spacing w:val="0"/>
          <w:sz w:val="28"/>
          <w:szCs w:val="28"/>
        </w:rPr>
        <w:t xml:space="preserve"> </w:t>
      </w:r>
      <w:r>
        <w:rPr>
          <w:rFonts w:hint="eastAsia" w:ascii="仿宋" w:hAnsi="仿宋" w:eastAsia="仿宋" w:cs="仿宋"/>
          <w:i w:val="0"/>
          <w:iCs w:val="0"/>
          <w:caps w:val="0"/>
          <w:spacing w:val="0"/>
          <w:sz w:val="28"/>
          <w:szCs w:val="28"/>
          <w:lang w:eastAsia="zh-CN"/>
        </w:rPr>
        <w:t xml:space="preserve">JSZC-321200-ZFDL-C2026-0008</w:t>
      </w:r>
      <w:r>
        <w:rPr>
          <w:rFonts w:hint="eastAsia" w:ascii="仿宋" w:hAnsi="仿宋" w:eastAsia="仿宋" w:cs="仿宋"/>
          <w:i w:val="0"/>
          <w:iCs w:val="0"/>
          <w:caps w:val="0"/>
          <w:spacing w:val="0"/>
          <w:sz w:val="28"/>
          <w:szCs w:val="28"/>
        </w:rPr>
        <w:t xml:space="preserve"> 采购项目的潜在供应商应在江苏省政府采购“苏采云”系统 获取采购文件，并于202</w:t>
      </w:r>
      <w:r>
        <w:rPr>
          <w:rFonts w:hint="eastAsia" w:ascii="仿宋" w:hAnsi="仿宋" w:eastAsia="仿宋" w:cs="仿宋"/>
          <w:i w:val="0"/>
          <w:iCs w:val="0"/>
          <w:caps w:val="0"/>
          <w:spacing w:val="0"/>
          <w:sz w:val="28"/>
          <w:szCs w:val="28"/>
          <w:lang w:val="en-US" w:eastAsia="zh-CN"/>
        </w:rPr>
        <w:t xml:space="preserve">6</w:t>
      </w:r>
      <w:r>
        <w:rPr>
          <w:rFonts w:hint="eastAsia" w:ascii="仿宋" w:hAnsi="仿宋" w:eastAsia="仿宋" w:cs="仿宋"/>
          <w:i w:val="0"/>
          <w:iCs w:val="0"/>
          <w:caps w:val="0"/>
          <w:spacing w:val="0"/>
          <w:sz w:val="28"/>
          <w:szCs w:val="28"/>
        </w:rPr>
        <w:t xml:space="preserve">-</w:t>
      </w:r>
      <w:r>
        <w:rPr>
          <w:rFonts w:hint="eastAsia" w:ascii="仿宋" w:hAnsi="仿宋" w:eastAsia="仿宋" w:cs="仿宋"/>
          <w:i w:val="0"/>
          <w:iCs w:val="0"/>
          <w:caps w:val="0"/>
          <w:spacing w:val="0"/>
          <w:sz w:val="28"/>
          <w:szCs w:val="28"/>
          <w:lang w:val="en-US" w:eastAsia="zh-CN"/>
        </w:rPr>
        <w:t xml:space="preserve">10</w:t>
      </w:r>
      <w:r>
        <w:rPr>
          <w:rFonts w:hint="eastAsia" w:ascii="仿宋" w:hAnsi="仿宋" w:eastAsia="仿宋" w:cs="仿宋"/>
          <w:i w:val="0"/>
          <w:iCs w:val="0"/>
          <w:caps w:val="0"/>
          <w:spacing w:val="0"/>
          <w:sz w:val="28"/>
          <w:szCs w:val="28"/>
        </w:rPr>
        <w:t xml:space="preserve">-</w:t>
      </w:r>
      <w:r>
        <w:rPr>
          <w:rFonts w:hint="eastAsia" w:ascii="仿宋" w:hAnsi="仿宋" w:eastAsia="仿宋" w:cs="仿宋"/>
          <w:i w:val="0"/>
          <w:iCs w:val="0"/>
          <w:caps w:val="0"/>
          <w:spacing w:val="0"/>
          <w:sz w:val="28"/>
          <w:szCs w:val="28"/>
          <w:lang w:val="en-US" w:eastAsia="zh-CN"/>
        </w:rPr>
        <w:t xml:space="preserve">09</w:t>
      </w:r>
      <w:r>
        <w:rPr>
          <w:rFonts w:hint="eastAsia" w:ascii="仿宋" w:hAnsi="仿宋" w:eastAsia="仿宋" w:cs="仿宋"/>
          <w:i w:val="0"/>
          <w:iCs w:val="0"/>
          <w:caps w:val="0"/>
          <w:spacing w:val="0"/>
          <w:sz w:val="28"/>
          <w:szCs w:val="28"/>
        </w:rPr>
        <w:t xml:space="preserve"> 14:</w:t>
      </w:r>
      <w:r>
        <w:rPr>
          <w:rFonts w:hint="eastAsia" w:ascii="仿宋" w:hAnsi="仿宋" w:eastAsia="仿宋" w:cs="仿宋"/>
          <w:i w:val="0"/>
          <w:iCs w:val="0"/>
          <w:caps w:val="0"/>
          <w:spacing w:val="0"/>
          <w:sz w:val="28"/>
          <w:szCs w:val="28"/>
          <w:lang w:val="en-US" w:eastAsia="zh-CN"/>
        </w:rPr>
        <w:t xml:space="preserve">3</w:t>
      </w:r>
      <w:r>
        <w:rPr>
          <w:rFonts w:hint="eastAsia" w:ascii="仿宋" w:hAnsi="仿宋" w:eastAsia="仿宋" w:cs="仿宋"/>
          <w:i w:val="0"/>
          <w:iCs w:val="0"/>
          <w:caps w:val="0"/>
          <w:spacing w:val="0"/>
          <w:sz w:val="28"/>
          <w:szCs w:val="28"/>
        </w:rPr>
        <w:t xml:space="preserve">0 （北京时间）前提交响应文件。</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ascii="Times New Roman" w:hAnsi="Times New Roman"/>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JSZC-321200-ZFDL-C2026-0008</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2.项目名称：</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泰州市人民医院蔡司设备维保服务采购项目</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3.项目类型：</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服务</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4.项目行业：</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其他未列明行业</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5.预算金额：</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100万</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6.最高限价：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100万</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7.采购需求：</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泰州市人民医院蔡司设备维保服务采购项目</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详细内容见采购文件，请仔细研究。</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合同履行期限：</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2年。</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9.本项目不接受联合体投标。</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12" w:name="_Toc35393622"/>
      <w:r/>
      <w:bookmarkStart w:id="13" w:name="_Toc28359003"/>
      <w:r/>
      <w:bookmarkStart w:id="14" w:name="_Toc35393791"/>
      <w:r/>
      <w:bookmarkStart w:id="15" w:name="_Toc38985264"/>
      <w:r/>
      <w:bookmarkStart w:id="16" w:name="_Toc28359080"/>
      <w:r>
        <w:rPr>
          <w:rFonts w:hint="eastAsia" w:ascii="Times New Roman" w:hAnsi="Times New Roman"/>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bookmarkStart w:id="17" w:name="_Toc28359081"/>
      <w:r/>
      <w:bookmarkStart w:id="18" w:name="_Toc38985265"/>
      <w:r/>
      <w:bookmarkStart w:id="19" w:name="_Toc35393623"/>
      <w:r/>
      <w:bookmarkStart w:id="20" w:name="_Toc35393792"/>
      <w:r/>
      <w:bookmarkStart w:id="21" w:name="_Toc28359004"/>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（一）满足《中华人民共和国政府采购法》第二十二条规定：</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1.具有独立承担民事责任的能力。</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2.具有良好的商业信誉和健全的财务会计制度。</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3.具有履行合同所必需的设备和专业技术能力。</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4.有依法缴纳税收和社会保障资金的良好记录。</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5.参加政府采购活动前三年内在经营活动中没有重大违法记录。</w:t>
      </w:r>
      <w:r/>
    </w:p>
    <w:p>
      <w:pPr>
        <w:numPr>
          <w:ilvl w:val="0"/>
          <w:numId w:val="0"/>
        </w:num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i w:val="0"/>
          <w:iCs w:val="0"/>
          <w:caps w:val="0"/>
          <w:spacing w:val="0"/>
          <w:sz w:val="28"/>
          <w:szCs w:val="28"/>
          <w:shd w:val="clear" w:color="auto" w:fill="ffffff"/>
        </w:rPr>
        <w:t xml:space="preserve">（二）落实政府采购政策需满足的资格要求</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numPr>
          <w:ilvl w:val="0"/>
          <w:numId w:val="0"/>
        </w:numPr>
        <w:ind w:firstLine="48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本项目不专门面向中小微企业</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w:t>
      </w:r>
      <w:r>
        <w:rPr>
          <w:rFonts w:hint="eastAsia" w:ascii="仿宋" w:hAnsi="仿宋" w:eastAsia="仿宋" w:cs="仿宋"/>
          <w:color w:val="000000" w:themeColor="text1"/>
          <w:sz w:val="28"/>
          <w:szCs w:val="28"/>
          <w:highlight w:val="none"/>
          <w14:textFill>
            <w14:solidFill>
              <w14:schemeClr w14:val="tx1"/>
            </w14:solidFill>
          </w14:textFill>
        </w:rPr>
        <w:t xml:space="preserve">，对符合条件的小型和微型企业、残疾人福利单位、监狱企业给予10%的扣除价格，用扣除后的价格参与评审。</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8"/>
          <w:szCs w:val="28"/>
          <w:highlight w:val="none"/>
          <w14:textFill>
            <w14:solidFill>
              <w14:schemeClr w14:val="tx1"/>
            </w14:solidFill>
          </w14:textFill>
        </w:rPr>
        <w:t xml:space="preserve">）本项目的特定资格要求</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1.未被“信用中国”网站（www.creditchina.gov.cn）列入失信被执行人、重大税收违法案件当事人名单、政府采购严重失信行为记录名单。</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rPr>
          <w:rFonts w:hint="eastAsia" w:ascii="Times New Roman" w:hAnsi="Times New Roman"/>
          <w:b/>
          <w:bCs/>
          <w:color w:val="000000" w:themeColor="text1"/>
          <w:sz w:val="32"/>
          <w:szCs w:val="32"/>
          <w:highlight w:val="none"/>
          <w14:textFill>
            <w14:solidFill>
              <w14:schemeClr w14:val="tx1"/>
            </w14:solidFill>
          </w14:textFill>
        </w:rPr>
        <w:t xml:space="preserve">三、</w:t>
      </w:r>
      <w:bookmarkEnd w:id="17"/>
      <w:r/>
      <w:bookmarkEnd w:id="18"/>
      <w:r/>
      <w:bookmarkEnd w:id="19"/>
      <w:r/>
      <w:bookmarkEnd w:id="20"/>
      <w:r/>
      <w:bookmarkEnd w:id="21"/>
      <w:r>
        <w:rPr>
          <w:rFonts w:hint="eastAsia" w:ascii="Times New Roman" w:hAnsi="Times New Roman"/>
          <w:b/>
          <w:bCs/>
          <w:color w:val="000000" w:themeColor="text1"/>
          <w:sz w:val="32"/>
          <w:szCs w:val="32"/>
          <w:highlight w:val="none"/>
          <w14:textFill>
            <w14:solidFill>
              <w14:schemeClr w14:val="tx1"/>
            </w14:solidFill>
          </w14:textFill>
        </w:rPr>
        <w:t xml:space="preserve">获取采购文件</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时间：自磋商文件公告发布之日起5个工作日 </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地点：江苏省政府采购“苏采云”系统 </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方式：自行下载 </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售价：0.00元 </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rPr>
          <w:rFonts w:hint="eastAsia" w:ascii="Times New Roman" w:hAnsi="Times New Roman"/>
          <w:b/>
          <w:bCs/>
          <w:color w:val="000000" w:themeColor="text1"/>
          <w:sz w:val="32"/>
          <w:szCs w:val="32"/>
          <w:highlight w:val="none"/>
          <w14:textFill>
            <w14:solidFill>
              <w14:schemeClr w14:val="tx1"/>
            </w14:solidFill>
          </w14:textFill>
        </w:rPr>
        <w:t xml:space="preserve">四、提交</w:t>
      </w:r>
      <w:bookmarkEnd w:id="22"/>
      <w:r/>
      <w:bookmarkEnd w:id="23"/>
      <w:r>
        <w:rPr>
          <w:rFonts w:hint="eastAsia" w:ascii="Times New Roman" w:hAnsi="Times New Roman"/>
          <w:b/>
          <w:bCs/>
          <w:color w:val="000000" w:themeColor="text1"/>
          <w:sz w:val="32"/>
          <w:szCs w:val="32"/>
          <w:highlight w:val="none"/>
          <w14:textFill>
            <w14:solidFill>
              <w14:schemeClr w14:val="tx1"/>
            </w14:solidFill>
          </w14:textFill>
        </w:rPr>
        <w:t xml:space="preserve">响应文件截止时间</w:t>
      </w:r>
      <w:bookmarkEnd w:id="24"/>
      <w:r/>
      <w:bookmarkEnd w:id="25"/>
      <w:r/>
      <w:bookmarkEnd w:id="26"/>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截止时间：2026-10-09  14:30 （北京时间）</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地点：江苏省政府采购“苏采云”系统（登录系统在线提交电子响应文件）。</w:t>
      </w:r>
      <w:r/>
    </w:p>
    <w:p>
      <w:pPr>
        <w:ind w:firstLine="498"/>
        <w:keepLines/>
        <w:keepNext/>
        <w:spacing w:line="560" w:lineRule="exact"/>
        <w:rPr>
          <w:rFonts w:hint="default" w:ascii="Times New Roman" w:hAnsi="Times New Roman" w:eastAsia="宋体" w:cs="Times New Roman"/>
          <w:b/>
          <w:bCs/>
          <w:color w:val="000000" w:themeColor="text1"/>
          <w:sz w:val="32"/>
          <w:szCs w:val="32"/>
          <w:highlight w:val="none"/>
          <w14:textFill>
            <w14:solidFill>
              <w14:schemeClr w14:val="tx1"/>
            </w14:solidFill>
          </w14:textFill>
        </w:rPr>
        <w:outlineLvl w:val="1"/>
      </w:pP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五、开启</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时间：2026-10-09  14:30 （北京时间）</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地点：</w:t>
      </w:r>
      <w:r>
        <w:rPr>
          <w:rFonts w:ascii="仿宋" w:hAnsi="仿宋" w:eastAsia="仿宋" w:cs="仿宋"/>
          <w:color w:val="000000"/>
          <w:sz w:val="28"/>
          <w:highlight w:val="white"/>
        </w:rPr>
        <w:t xml:space="preserve">江苏省政府采购“苏采云”系统不见面开标大厅</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27" w:name="_Toc35393794"/>
      <w:r/>
      <w:bookmarkStart w:id="28" w:name="_Toc28359007"/>
      <w:r/>
      <w:bookmarkStart w:id="29" w:name="_Toc28359084"/>
      <w:r/>
      <w:bookmarkStart w:id="30" w:name="_Toc35393625"/>
      <w:r/>
      <w:bookmarkStart w:id="31" w:name="_Toc38985267"/>
      <w:r>
        <w:rPr>
          <w:rFonts w:hint="eastAsia"/>
          <w:b/>
          <w:bCs/>
          <w:color w:val="000000" w:themeColor="text1"/>
          <w:sz w:val="32"/>
          <w:szCs w:val="32"/>
          <w:highlight w:val="none"/>
          <w:lang w:val="en-US" w:eastAsia="zh-CN"/>
          <w14:textFill>
            <w14:solidFill>
              <w14:schemeClr w14:val="tx1"/>
            </w14:solidFill>
          </w14:textFill>
        </w:rPr>
        <w:t xml:space="preserve">六</w:t>
      </w:r>
      <w:r>
        <w:rPr>
          <w:rFonts w:hint="eastAsia" w:ascii="Times New Roman" w:hAnsi="Times New Roman"/>
          <w:b/>
          <w:bCs/>
          <w:color w:val="000000" w:themeColor="text1"/>
          <w:sz w:val="32"/>
          <w:szCs w:val="32"/>
          <w:highlight w:val="none"/>
          <w14:textFill>
            <w14:solidFill>
              <w14:schemeClr w14:val="tx1"/>
            </w14:solidFill>
          </w14:textFill>
        </w:rPr>
        <w:t xml:space="preserve">、公告期限</w:t>
      </w:r>
      <w:bookmarkEnd w:id="27"/>
      <w:r/>
      <w:bookmarkEnd w:id="28"/>
      <w:r/>
      <w:bookmarkEnd w:id="29"/>
      <w:r/>
      <w:bookmarkEnd w:id="30"/>
      <w:r/>
      <w:bookmarkEnd w:id="31"/>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32" w:name="_Toc35393626"/>
      <w:r/>
      <w:bookmarkStart w:id="33" w:name="_Toc38985268"/>
      <w:r/>
      <w:bookmarkStart w:id="34" w:name="_Toc35393795"/>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自本公告发布之日起3个工作日。</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lang w:val="en-US" w:eastAsia="zh-CN"/>
          <w14:textFill>
            <w14:solidFill>
              <w14:schemeClr w14:val="tx1"/>
            </w14:solidFill>
          </w14:textFill>
        </w:rPr>
        <w:t xml:space="preserve">七</w:t>
      </w:r>
      <w:r>
        <w:rPr>
          <w:rFonts w:hint="eastAsia" w:ascii="Times New Roman" w:hAnsi="Times New Roman"/>
          <w:b/>
          <w:bCs/>
          <w:color w:val="000000" w:themeColor="text1"/>
          <w:sz w:val="32"/>
          <w:szCs w:val="32"/>
          <w:highlight w:val="none"/>
          <w14:textFill>
            <w14:solidFill>
              <w14:schemeClr w14:val="tx1"/>
            </w14:solidFill>
          </w14:textFill>
        </w:rPr>
        <w:t xml:space="preserve">、其他补充事宜</w:t>
      </w:r>
      <w:bookmarkEnd w:id="32"/>
      <w:r/>
      <w:bookmarkEnd w:id="33"/>
      <w:r/>
      <w:bookmarkEnd w:id="34"/>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1.本项目采用网上注册登记方式。潜在供应商访问电子招标投标交易平台的网络地址和方法：</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（1）登录 https://jszfcg.jsczt.cn，点击“苏采云”进入系统。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CA数字证书”的获取：供应商需办理CA锁。投标客户端工具及投标人操作手册可访问江苏省政府采购网，“资料下载”进行下载《江苏省政府采购管理交易系统（苏采云）供应商操作手册及政府采购客户端》。</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2.采购代理机构将数据电文形式的采购文件加载至电子招标投标交易平台，供潜在供应商下载或者查阅。</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请供应商确保电脑、系统及其他设备无误，且开标直至项目评审结束前始终保持系统在线状态。</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35" w:name="_Toc38985269"/>
      <w:r/>
      <w:bookmarkStart w:id="36" w:name="_Toc28359008"/>
      <w:r/>
      <w:bookmarkStart w:id="37" w:name="_Toc35393627"/>
      <w:r/>
      <w:bookmarkStart w:id="38" w:name="_Toc28359085"/>
      <w:r/>
      <w:bookmarkStart w:id="39" w:name="_Toc35393796"/>
      <w:r>
        <w:rPr>
          <w:rFonts w:hint="eastAsia"/>
          <w:b/>
          <w:bCs/>
          <w:color w:val="000000" w:themeColor="text1"/>
          <w:sz w:val="32"/>
          <w:szCs w:val="32"/>
          <w:highlight w:val="none"/>
          <w:lang w:val="en-US" w:eastAsia="zh-CN"/>
          <w14:textFill>
            <w14:solidFill>
              <w14:schemeClr w14:val="tx1"/>
            </w14:solidFill>
          </w14:textFill>
        </w:rPr>
        <w:t xml:space="preserve">八</w:t>
      </w:r>
      <w:r>
        <w:rPr>
          <w:rFonts w:hint="eastAsia" w:ascii="Times New Roman" w:hAnsi="Times New Roman"/>
          <w:b/>
          <w:bCs/>
          <w:color w:val="000000" w:themeColor="text1"/>
          <w:sz w:val="32"/>
          <w:szCs w:val="32"/>
          <w:highlight w:val="none"/>
          <w14:textFill>
            <w14:solidFill>
              <w14:schemeClr w14:val="tx1"/>
            </w14:solidFill>
          </w14:textFill>
        </w:rPr>
        <w:t xml:space="preserve">、本次磋商联系方式</w:t>
      </w:r>
      <w:bookmarkEnd w:id="35"/>
      <w:r/>
      <w:bookmarkEnd w:id="36"/>
      <w:r/>
      <w:bookmarkEnd w:id="37"/>
      <w:r/>
      <w:bookmarkEnd w:id="38"/>
      <w:r/>
      <w:bookmarkEnd w:id="39"/>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1.采购人信息</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单位名称：泰州市人民医院</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单位地址：江苏省泰州市海陵区东风南路8号</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联系人：孙先生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联系电话：0523-89890040</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2.采购代理机构信息（如有）</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单位名称：江苏正方工程项目管理房地产评估有限公司</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单位地址：泰州市鼓楼南路286号B3幢1-3室</w:t>
      </w:r>
      <w:bookmarkStart w:id="185" w:name="_GoBack"/>
      <w:r/>
      <w:bookmarkEnd w:id="185"/>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联系人：陈先生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联系电话：0523-86050105</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3.项目联系方式</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项目联系人：陈先生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电话：0523-86050105</w:t>
      </w:r>
      <w:r/>
    </w:p>
    <w:p>
      <w:pPr>
        <w:ind w:firstLine="72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keepLines/>
        <w:keepNext/>
        <w:spacing w:line="520" w:lineRule="exact"/>
        <w:rPr>
          <w:rFonts w:hint="eastAsia" w:ascii="黑体" w:hAnsi="Arial" w:eastAsia="黑体" w:cs="Arial"/>
          <w:color w:val="000000" w:themeColor="text1"/>
          <w:sz w:val="44"/>
          <w:szCs w:val="44"/>
          <w:highlight w:val="none"/>
          <w14:textFill>
            <w14:solidFill>
              <w14:schemeClr w14:val="tx1"/>
            </w14:solidFill>
          </w14:textFill>
        </w:rPr>
        <w:outlineLvl w:val="0"/>
      </w:pPr>
      <w:r/>
      <w:bookmarkStart w:id="40" w:name="_Toc120614211"/>
      <w:r>
        <w:rPr>
          <w:rFonts w:ascii="黑体" w:hAnsi="Arial" w:eastAsia="黑体" w:cs="Arial"/>
          <w:b/>
          <w:bCs/>
          <w:color w:val="000000" w:themeColor="text1"/>
          <w:sz w:val="44"/>
          <w:szCs w:val="44"/>
          <w:highlight w:val="none"/>
          <w14:textFill>
            <w14:solidFill>
              <w14:schemeClr w14:val="tx1"/>
            </w14:solidFill>
          </w14:textFill>
        </w:rPr>
        <w:br w:type="page" w:clear="all"/>
      </w:r>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0"/>
      <w:r>
        <w:rPr>
          <w:rFonts w:hint="eastAsia" w:ascii="黑体" w:hAnsi="Arial" w:eastAsia="黑体" w:cs="Arial"/>
          <w:b/>
          <w:bCs/>
          <w:color w:val="000000" w:themeColor="text1"/>
          <w:sz w:val="44"/>
          <w:szCs w:val="44"/>
          <w:highlight w:val="none"/>
          <w14:textFill>
            <w14:solidFill>
              <w14:schemeClr w14:val="tx1"/>
            </w14:solidFill>
          </w14:textFill>
        </w:rPr>
        <w:t xml:space="preserve">供应商须知</w:t>
      </w:r>
      <w:r/>
    </w:p>
    <w:p>
      <w:pPr>
        <w:ind w:firstLine="498"/>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41" w:name="_Toc513029203"/>
      <w:r/>
      <w:bookmarkStart w:id="42" w:name="_Toc16938519"/>
      <w:r/>
      <w:bookmarkStart w:id="43" w:name="_Toc20823275"/>
      <w:r/>
      <w:bookmarkStart w:id="44" w:name="_Toc120614214"/>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41"/>
      <w:r/>
      <w:bookmarkEnd w:id="42"/>
      <w:r/>
      <w:bookmarkEnd w:id="43"/>
      <w:r/>
      <w:bookmarkEnd w:id="44"/>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45" w:name="_Hlt16619475"/>
      <w:r/>
      <w:bookmarkEnd w:id="45"/>
      <w:r/>
      <w:bookmarkStart w:id="46" w:name="_Toc458694821"/>
      <w:r/>
      <w:bookmarkStart w:id="47" w:name="_Toc16938520"/>
      <w:r/>
      <w:bookmarkStart w:id="48" w:name="_Toc20823276"/>
      <w:r/>
      <w:bookmarkStart w:id="49" w:name="_Toc513029204"/>
      <w:r>
        <w:rPr>
          <w:rFonts w:hint="eastAsia" w:ascii="Arial" w:hAnsi="Arial" w:eastAsia="黑体" w:cs="Arial"/>
          <w:color w:val="000000" w:themeColor="text1"/>
          <w:sz w:val="28"/>
          <w:szCs w:val="28"/>
          <w:highlight w:val="none"/>
          <w14:textFill>
            <w14:solidFill>
              <w14:schemeClr w14:val="tx1"/>
            </w14:solidFill>
          </w14:textFill>
        </w:rPr>
        <w:t xml:space="preserve">1</w:t>
      </w:r>
      <w:bookmarkEnd w:id="46"/>
      <w:r>
        <w:rPr>
          <w:rFonts w:hint="eastAsia" w:ascii="Arial" w:hAnsi="Arial" w:eastAsia="黑体" w:cs="Arial"/>
          <w:color w:val="000000" w:themeColor="text1"/>
          <w:sz w:val="28"/>
          <w:szCs w:val="28"/>
          <w:highlight w:val="none"/>
          <w14:textFill>
            <w14:solidFill>
              <w14:schemeClr w14:val="tx1"/>
            </w14:solidFill>
          </w14:textFill>
        </w:rPr>
        <w:t xml:space="preserve">.采购方式</w:t>
      </w:r>
      <w:bookmarkEnd w:id="47"/>
      <w:r/>
      <w:bookmarkEnd w:id="48"/>
      <w:r/>
      <w:bookmarkEnd w:id="49"/>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1.1本次政府采购活动采取竞争性磋商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以下简称磋商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方式，本磋商文件仅适用于磋商公告中所述项目。</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50" w:name="_Toc20823277"/>
      <w:r/>
      <w:bookmarkStart w:id="51" w:name="_Toc16938521"/>
      <w:r/>
      <w:bookmarkStart w:id="52" w:name="_Toc513029205"/>
      <w:r>
        <w:rPr>
          <w:rFonts w:hint="eastAsia" w:ascii="Arial" w:hAnsi="Arial" w:eastAsia="黑体" w:cs="Arial"/>
          <w:color w:val="000000" w:themeColor="text1"/>
          <w:sz w:val="28"/>
          <w:szCs w:val="28"/>
          <w:highlight w:val="none"/>
          <w14:textFill>
            <w14:solidFill>
              <w14:schemeClr w14:val="tx1"/>
            </w14:solidFill>
          </w14:textFill>
        </w:rPr>
        <w:t xml:space="preserve">2.合格的</w:t>
      </w:r>
      <w:bookmarkEnd w:id="50"/>
      <w:r/>
      <w:bookmarkEnd w:id="51"/>
      <w:r/>
      <w:bookmarkEnd w:id="52"/>
      <w:r>
        <w:rPr>
          <w:rFonts w:hint="eastAsia" w:ascii="Arial" w:hAnsi="Arial" w:eastAsia="黑体" w:cs="Arial"/>
          <w:color w:val="000000" w:themeColor="text1"/>
          <w:sz w:val="28"/>
          <w:szCs w:val="28"/>
          <w:highlight w:val="none"/>
          <w14:textFill>
            <w14:solidFill>
              <w14:schemeClr w14:val="tx1"/>
            </w14:solidFill>
          </w14:textFill>
        </w:rPr>
        <w:t xml:space="preserve">供应商</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2.1满足磋商公告中供应商资格要求的规定。</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2.2满足本磋商文件实质性要求和条件的规定。</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53" w:name="_Toc20823278"/>
      <w:r/>
      <w:bookmarkStart w:id="54" w:name="_Toc513029206"/>
      <w:r/>
      <w:bookmarkStart w:id="55" w:name="_Toc16938522"/>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53"/>
      <w:r/>
      <w:bookmarkEnd w:id="54"/>
      <w:r/>
      <w:bookmarkEnd w:id="55"/>
      <w:r/>
      <w:r/>
    </w:p>
    <w:p>
      <w:pPr>
        <w:ind w:firstLine="42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3.1本次磋商及由此产生的合同受中华人民共和国有关的法律法规制约和保护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56" w:name="_Toc20823279"/>
      <w:r/>
      <w:bookmarkStart w:id="57" w:name="_Toc513029207"/>
      <w:r/>
      <w:bookmarkStart w:id="58" w:name="_Toc16938523"/>
      <w:r/>
      <w:bookmarkStart w:id="59" w:name="_Toc462564067"/>
      <w:r>
        <w:rPr>
          <w:rFonts w:hint="eastAsia" w:ascii="Arial" w:hAnsi="Arial" w:eastAsia="黑体" w:cs="Arial"/>
          <w:color w:val="000000" w:themeColor="text1"/>
          <w:sz w:val="28"/>
          <w:szCs w:val="28"/>
          <w:highlight w:val="none"/>
          <w14:textFill>
            <w14:solidFill>
              <w14:schemeClr w14:val="tx1"/>
            </w14:solidFill>
          </w14:textFill>
        </w:rPr>
        <w:t xml:space="preserve">4.磋商费用</w:t>
      </w:r>
      <w:bookmarkEnd w:id="56"/>
      <w:r/>
      <w:bookmarkEnd w:id="57"/>
      <w:r/>
      <w:bookmarkEnd w:id="58"/>
      <w:r/>
      <w:bookmarkEnd w:id="59"/>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4.2本次磋商不收取标书工本费。</w:t>
      </w:r>
      <w:r/>
    </w:p>
    <w:p>
      <w:pPr>
        <w:ind w:firstLine="480"/>
        <w:spacing w:line="520" w:lineRule="exact"/>
        <w:rPr>
          <w:rFonts w:ascii="宋体" w:hAnsi="宋体" w:eastAsia="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4.3本项目采购代理服务费按照《关于印发〈江苏省政府采购代理服务收费指导意见</w:t>
      </w:r>
      <w:r>
        <w:rPr>
          <w:rFonts w:hint="default" w:ascii="Arial" w:hAnsi="Arial" w:eastAsia="Arial" w:cs="Arial"/>
          <w:i w:val="0"/>
          <w:iCs w:val="0"/>
          <w:caps w:val="0"/>
          <w:color w:val="333333"/>
          <w:spacing w:val="0"/>
          <w:sz w:val="24"/>
          <w:szCs w:val="24"/>
          <w:shd w:val="clear" w:color="auto" w:fill="ffffff"/>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的通知》苏政采协〔2024〕20号规定标准的45%计取，由采购人支付。</w:t>
      </w:r>
      <w:r/>
    </w:p>
    <w:p>
      <w:pPr>
        <w:ind w:firstLine="301"/>
        <w:keepLines/>
        <w:keepNext/>
        <w:spacing w:line="520" w:lineRule="exact"/>
        <w:rPr>
          <w:rFonts w:hint="eastAsia" w:ascii="黑体" w:hAnsi="宋体" w:eastAsia="黑体" w:cs="Arial"/>
          <w:color w:val="000000" w:themeColor="text1"/>
          <w:sz w:val="28"/>
          <w:szCs w:val="28"/>
          <w:highlight w:val="none"/>
          <w14:textFill>
            <w14:solidFill>
              <w14:schemeClr w14:val="tx1"/>
            </w14:solidFill>
          </w14:textFill>
        </w:rPr>
        <w:outlineLvl w:val="2"/>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磋商文件的约束力</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firstLine="321"/>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60" w:name="_Toc120614215"/>
      <w:r/>
      <w:bookmarkStart w:id="61" w:name="_Toc20823281"/>
      <w:r/>
      <w:bookmarkStart w:id="62" w:name="_Toc513029209"/>
      <w:r/>
      <w:bookmarkStart w:id="63" w:name="_Toc16938525"/>
      <w:r>
        <w:rPr>
          <w:rFonts w:hint="eastAsia" w:ascii="Times New Roman" w:hAnsi="Times New Roman"/>
          <w:b/>
          <w:bCs/>
          <w:color w:val="000000" w:themeColor="text1"/>
          <w:sz w:val="32"/>
          <w:szCs w:val="32"/>
          <w:highlight w:val="none"/>
          <w14:textFill>
            <w14:solidFill>
              <w14:schemeClr w14:val="tx1"/>
            </w14:solidFill>
          </w14:textFill>
        </w:rPr>
        <w:t xml:space="preserve">二、</w:t>
      </w:r>
      <w:bookmarkEnd w:id="60"/>
      <w:r/>
      <w:bookmarkEnd w:id="61"/>
      <w:r/>
      <w:bookmarkEnd w:id="62"/>
      <w:r/>
      <w:bookmarkEnd w:id="63"/>
      <w:r>
        <w:rPr>
          <w:rFonts w:hint="eastAsia" w:ascii="Times New Roman" w:hAnsi="Times New Roman"/>
          <w:b/>
          <w:bCs/>
          <w:color w:val="000000" w:themeColor="text1"/>
          <w:sz w:val="32"/>
          <w:szCs w:val="32"/>
          <w:highlight w:val="none"/>
          <w14:textFill>
            <w14:solidFill>
              <w14:schemeClr w14:val="tx1"/>
            </w14:solidFill>
          </w14:textFill>
        </w:rPr>
        <w:t xml:space="preserve">磋商文件</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4" w:name="_Toc20823282"/>
      <w:r/>
      <w:bookmarkStart w:id="65" w:name="_Toc513029210"/>
      <w:r/>
      <w:bookmarkStart w:id="66" w:name="_Toc16938526"/>
      <w:r>
        <w:rPr>
          <w:rFonts w:hint="eastAsia" w:ascii="Arial" w:hAnsi="Arial" w:eastAsia="黑体" w:cs="Arial"/>
          <w:color w:val="000000" w:themeColor="text1"/>
          <w:sz w:val="28"/>
          <w:szCs w:val="28"/>
          <w:highlight w:val="none"/>
          <w14:textFill>
            <w14:solidFill>
              <w14:schemeClr w14:val="tx1"/>
            </w14:solidFill>
          </w14:textFill>
        </w:rPr>
        <w:t xml:space="preserve">6.磋商文件构成</w:t>
      </w:r>
      <w:bookmarkEnd w:id="64"/>
      <w:r/>
      <w:bookmarkEnd w:id="65"/>
      <w:r/>
      <w:bookmarkEnd w:id="66"/>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磋商文件由以下部分组成：</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（1）磋商</w:t>
      </w:r>
      <w:r>
        <w:rPr>
          <w:rFonts w:ascii="宋体" w:hAnsi="宋体"/>
          <w:color w:val="000000" w:themeColor="text1"/>
          <w:sz w:val="24"/>
          <w:szCs w:val="24"/>
          <w:highlight w:val="none"/>
          <w14:textFill>
            <w14:solidFill>
              <w14:schemeClr w14:val="tx1"/>
            </w14:solidFill>
          </w14:textFill>
        </w:rPr>
        <w:t xml:space="preserve">邀请</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（2）供应商须知</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（3）采购需求</w:t>
      </w:r>
      <w:r/>
    </w:p>
    <w:p>
      <w:pPr>
        <w:ind w:firstLine="360"/>
        <w:spacing w:line="52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Times New Roman" w:hAnsi="宋体"/>
          <w:color w:val="000000" w:themeColor="text1"/>
          <w:sz w:val="24"/>
          <w:szCs w:val="24"/>
          <w:highlight w:val="none"/>
          <w14:textFill>
            <w14:solidFill>
              <w14:schemeClr w14:val="tx1"/>
            </w14:solidFill>
          </w14:textFill>
        </w:rPr>
        <w:t xml:space="preserve">评审方法与评审标准</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（5）响应文件格式</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（6）附件（如有）</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请仔细检查磋商文件是否齐全，如有缺漏请立即与采购人或采购代理机构联系解决。</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7" w:name="_Toc16938527"/>
      <w:r/>
      <w:bookmarkStart w:id="68" w:name="_Toc462564070"/>
      <w:r/>
      <w:bookmarkStart w:id="69" w:name="_Toc20823283"/>
      <w:r/>
      <w:bookmarkStart w:id="70" w:name="_Toc513029211"/>
      <w:r>
        <w:rPr>
          <w:rFonts w:hint="eastAsia" w:ascii="Arial" w:hAnsi="Arial" w:eastAsia="黑体" w:cs="Arial"/>
          <w:color w:val="000000" w:themeColor="text1"/>
          <w:sz w:val="28"/>
          <w:szCs w:val="28"/>
          <w:highlight w:val="none"/>
          <w14:textFill>
            <w14:solidFill>
              <w14:schemeClr w14:val="tx1"/>
            </w14:solidFill>
          </w14:textFill>
        </w:rPr>
        <w:t xml:space="preserve">7.磋商文件的澄清</w:t>
      </w:r>
      <w:bookmarkEnd w:id="67"/>
      <w:r/>
      <w:bookmarkEnd w:id="68"/>
      <w:r/>
      <w:bookmarkEnd w:id="69"/>
      <w:r/>
      <w:bookmarkEnd w:id="70"/>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任何要求对磋商文件进行澄清的供应商，应在磋商截止期5日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按磋商公告中的通讯地址，以书面形式通知采购人或采购代理机构。</w:t>
      </w:r>
      <w:r/>
    </w:p>
    <w:p>
      <w:pPr>
        <w:ind w:firstLine="48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7.2采购人视情组织答疑会。</w:t>
      </w:r>
      <w:r/>
    </w:p>
    <w:p>
      <w:pPr>
        <w:ind w:firstLine="56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71" w:name="_Toc16938528"/>
      <w:r/>
      <w:bookmarkStart w:id="72" w:name="_Toc462564071"/>
      <w:r/>
      <w:bookmarkStart w:id="73" w:name="_Toc513029212"/>
      <w:r/>
      <w:bookmarkStart w:id="74" w:name="_Toc20823284"/>
      <w:r>
        <w:rPr>
          <w:rFonts w:hint="eastAsia" w:ascii="Arial" w:hAnsi="Arial" w:eastAsia="黑体" w:cs="Arial"/>
          <w:color w:val="000000" w:themeColor="text1"/>
          <w:sz w:val="28"/>
          <w:szCs w:val="28"/>
          <w:highlight w:val="none"/>
          <w14:textFill>
            <w14:solidFill>
              <w14:schemeClr w14:val="tx1"/>
            </w14:solidFill>
          </w14:textFill>
        </w:rPr>
        <w:t xml:space="preserve">8.磋商文件的澄清和修改</w:t>
      </w:r>
      <w:bookmarkEnd w:id="71"/>
      <w:r/>
      <w:bookmarkEnd w:id="72"/>
      <w:r/>
      <w:bookmarkEnd w:id="73"/>
      <w:r/>
      <w:bookmarkEnd w:id="74"/>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在响应文件提交截止时间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，采购人或采购代理机构可以对磋商文件进行澄清和修改</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更正公告内容将作为磋商文件的组成部分，并对供应商具有约束力。不足5日的，采购人将顺延提交首次响应文件截止时间。</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75" w:name="_Toc120614216"/>
      <w:r/>
      <w:bookmarkStart w:id="76" w:name="_Toc513029213"/>
      <w:r/>
      <w:bookmarkStart w:id="77" w:name="_Toc462564072"/>
      <w:r/>
      <w:bookmarkStart w:id="78" w:name="_Toc16938529"/>
      <w:r/>
      <w:bookmarkStart w:id="79" w:name="_Toc20823285"/>
      <w:r>
        <w:rPr>
          <w:rFonts w:hint="eastAsia" w:ascii="Times New Roman" w:hAnsi="Times New Roman"/>
          <w:b/>
          <w:bCs/>
          <w:color w:val="000000" w:themeColor="text1"/>
          <w:sz w:val="32"/>
          <w:szCs w:val="32"/>
          <w:highlight w:val="none"/>
          <w14:textFill>
            <w14:solidFill>
              <w14:schemeClr w14:val="tx1"/>
            </w14:solidFill>
          </w14:textFill>
        </w:rPr>
        <w:t xml:space="preserve">三、响应文件的编制</w:t>
      </w:r>
      <w:bookmarkEnd w:id="75"/>
      <w:r/>
      <w:bookmarkEnd w:id="76"/>
      <w:r/>
      <w:bookmarkEnd w:id="77"/>
      <w:r/>
      <w:bookmarkEnd w:id="78"/>
      <w:r/>
      <w:bookmarkEnd w:id="79"/>
      <w:r/>
      <w:r/>
    </w:p>
    <w:p>
      <w:pPr>
        <w:ind w:firstLine="560"/>
        <w:keepLines/>
        <w:keepNext/>
        <w:spacing w:line="52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80" w:name="_Toc20823286"/>
      <w:r/>
      <w:bookmarkStart w:id="81" w:name="_Toc513029214"/>
      <w:r/>
      <w:bookmarkStart w:id="82" w:name="_Toc16938530"/>
      <w:r/>
      <w:bookmarkStart w:id="83" w:name="_Toc462564073"/>
      <w:r>
        <w:rPr>
          <w:rFonts w:hint="eastAsia" w:ascii="Arial" w:hAnsi="Arial" w:eastAsia="黑体" w:cs="Arial"/>
          <w:color w:val="000000" w:themeColor="text1"/>
          <w:sz w:val="28"/>
          <w:szCs w:val="28"/>
          <w:highlight w:val="none"/>
          <w14:textFill>
            <w14:solidFill>
              <w14:schemeClr w14:val="tx1"/>
            </w14:solidFill>
          </w14:textFill>
        </w:rPr>
        <w:t xml:space="preserve">9.响应文件的语言及度量衡单位</w:t>
      </w:r>
      <w:bookmarkEnd w:id="80"/>
      <w:r/>
      <w:bookmarkEnd w:id="81"/>
      <w:r/>
      <w:bookmarkEnd w:id="82"/>
      <w:r/>
      <w:bookmarkEnd w:id="83"/>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供应商提交的响应文件以及供应商与采购人就有关磋商的所有来往通知、函件和文件均应使用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除技术性能另有规定外，响应文件所使用的度量衡单位，均须采用国家法定计量单位。</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84" w:name="_Toc20823287"/>
      <w:r/>
      <w:bookmarkStart w:id="85" w:name="_Toc462564074"/>
      <w:r/>
      <w:bookmarkStart w:id="86" w:name="_Toc16938531"/>
      <w:r/>
      <w:bookmarkStart w:id="87" w:name="_Toc513029215"/>
      <w:r>
        <w:rPr>
          <w:rFonts w:hint="eastAsia" w:ascii="Arial" w:hAnsi="Arial" w:eastAsia="黑体" w:cs="Arial"/>
          <w:color w:val="000000" w:themeColor="text1"/>
          <w:sz w:val="28"/>
          <w:szCs w:val="28"/>
          <w:highlight w:val="none"/>
          <w14:textFill>
            <w14:solidFill>
              <w14:schemeClr w14:val="tx1"/>
            </w14:solidFill>
          </w14:textFill>
        </w:rPr>
        <w:t xml:space="preserve">10.响应文件构成</w:t>
      </w:r>
      <w:bookmarkEnd w:id="84"/>
      <w:r/>
      <w:bookmarkEnd w:id="85"/>
      <w:r/>
      <w:bookmarkEnd w:id="86"/>
      <w:r/>
      <w:bookmarkEnd w:id="87"/>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88" w:name="_Hlt26670360"/>
      <w:r/>
      <w:bookmarkEnd w:id="88"/>
      <w:r/>
      <w:bookmarkStart w:id="89" w:name="_Hlt26954838"/>
      <w:r/>
      <w:bookmarkEnd w:id="89"/>
      <w:r/>
      <w:bookmarkStart w:id="90" w:name="_Hlt26668975"/>
      <w:r/>
      <w:bookmarkEnd w:id="90"/>
      <w:r/>
      <w:bookmarkStart w:id="91" w:name="_Toc14577354"/>
      <w:r/>
      <w:bookmarkStart w:id="92" w:name="_Toc513029219"/>
      <w:r/>
      <w:bookmarkStart w:id="93" w:name="_Toc49090507"/>
      <w:r/>
      <w:bookmarkStart w:id="94" w:name="_Toc14577357"/>
      <w:r/>
      <w:bookmarkStart w:id="95" w:name="_Toc513029216"/>
      <w:r/>
      <w:bookmarkStart w:id="96" w:name="_Toc49090509"/>
      <w:r/>
      <w:bookmarkStart w:id="97" w:name="_Toc14577355"/>
      <w:r/>
      <w:bookmarkStart w:id="98" w:name="_Toc49090508"/>
      <w:r>
        <w:rPr>
          <w:rFonts w:hint="eastAsia" w:ascii="Arial" w:hAnsi="Arial" w:eastAsia="黑体" w:cs="Arial"/>
          <w:color w:val="000000" w:themeColor="text1"/>
          <w:sz w:val="28"/>
          <w:szCs w:val="28"/>
          <w:highlight w:val="none"/>
          <w14:textFill>
            <w14:solidFill>
              <w14:schemeClr w14:val="tx1"/>
            </w14:solidFill>
          </w14:textFill>
        </w:rPr>
        <w:t xml:space="preserve">11.证明磋商响应标的符合磋商文件规定的文件</w:t>
      </w:r>
      <w:bookmarkEnd w:id="91"/>
      <w:r/>
      <w:bookmarkEnd w:id="92"/>
      <w:r/>
      <w:bookmarkEnd w:id="93"/>
      <w:r/>
      <w:bookmarkEnd w:id="94"/>
      <w:r/>
      <w:bookmarkEnd w:id="95"/>
      <w:r/>
      <w:bookmarkEnd w:id="96"/>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11.1供应商应按照磋商文件要求提交证明文件，证明其及磋商响应标的符合磋商文件规定。</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97"/>
      <w:r/>
      <w:bookmarkEnd w:id="98"/>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12.分项报价表</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供应商应按照磋商文件规定格式填报分项报价表。</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磋商文件中另有规定的按规定执行。</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9" w:name="_Hlt26670482"/>
      <w:r/>
      <w:bookmarkEnd w:id="99"/>
      <w:r/>
      <w:bookmarkStart w:id="100" w:name="_Hlt26954846"/>
      <w:r/>
      <w:bookmarkEnd w:id="100"/>
      <w:r/>
      <w:bookmarkStart w:id="101" w:name="_Hlt26954731"/>
      <w:r/>
      <w:bookmarkEnd w:id="101"/>
      <w:r/>
      <w:bookmarkStart w:id="102" w:name="_Hlt26670486"/>
      <w:r/>
      <w:bookmarkEnd w:id="102"/>
      <w:r/>
      <w:bookmarkStart w:id="103" w:name="_Hlt26954848"/>
      <w:r/>
      <w:bookmarkEnd w:id="103"/>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20" w:lineRule="exact"/>
        <w:rPr>
          <w:rFonts w:hint="eastAsia"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color w:val="000000" w:themeColor="text1"/>
          <w:sz w:val="24"/>
          <w:szCs w:val="21"/>
          <w:highlight w:val="none"/>
          <w:lang w:val="zh-CN"/>
          <w14:textFill>
            <w14:solidFill>
              <w14:schemeClr w14:val="tx1"/>
            </w14:solidFill>
          </w14:textFill>
        </w:rPr>
        <w:t xml:space="preserve">供应商需对磋商文件中的技术要求与商务要求逐项作出响应或偏离，并说明原因。</w:t>
      </w:r>
      <w:r/>
    </w:p>
    <w:p>
      <w:pPr>
        <w:ind w:firstLine="480"/>
        <w:spacing w:line="520" w:lineRule="exact"/>
        <w:rPr>
          <w:rFonts w:hint="eastAsia"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14.2供应商需根据磋商文件要求提供培训计划。</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14.3供应商需根据磋商文件要求提供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磋商响应标的的主要组成部分、功能设计、实现思路及关键技术等。</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04" w:name="_Toc14577359"/>
      <w:r/>
      <w:bookmarkStart w:id="105" w:name="_Toc49090510"/>
      <w:r>
        <w:rPr>
          <w:rFonts w:hint="eastAsia" w:ascii="Arial" w:hAnsi="Arial" w:eastAsia="黑体" w:cs="Arial"/>
          <w:color w:val="000000" w:themeColor="text1"/>
          <w:sz w:val="28"/>
          <w:szCs w:val="28"/>
          <w:highlight w:val="none"/>
          <w14:textFill>
            <w14:solidFill>
              <w14:schemeClr w14:val="tx1"/>
            </w14:solidFill>
          </w14:textFill>
        </w:rPr>
        <w:t xml:space="preserve">15.磋商响应函</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供应商应按照磋商文件中提供的格式完整、正确填写磋商响应函。</w:t>
      </w:r>
      <w:bookmarkEnd w:id="104"/>
      <w:r/>
      <w:bookmarkEnd w:id="105"/>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06" w:name="_Toc49090511"/>
      <w:r/>
      <w:bookmarkStart w:id="107" w:name="_Toc14577360"/>
      <w:r>
        <w:rPr>
          <w:rFonts w:hint="eastAsia" w:ascii="Arial" w:hAnsi="Arial" w:eastAsia="黑体" w:cs="Arial"/>
          <w:color w:val="000000" w:themeColor="text1"/>
          <w:sz w:val="28"/>
          <w:szCs w:val="28"/>
          <w:highlight w:val="none"/>
          <w14:textFill>
            <w14:solidFill>
              <w14:schemeClr w14:val="tx1"/>
            </w14:solidFill>
          </w14:textFill>
        </w:rPr>
        <w:t xml:space="preserve">16.磋商有效期</w:t>
      </w:r>
      <w:bookmarkEnd w:id="106"/>
      <w:r/>
      <w:bookmarkEnd w:id="107"/>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16.1磋商有效期为采购人规定的提交响应文件截止之日后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.磋商有效期的延长</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08" w:name="_Hlt26954852"/>
      <w:r/>
      <w:bookmarkEnd w:id="108"/>
      <w:r/>
      <w:bookmarkStart w:id="109" w:name="_Hlt26954739"/>
      <w:r/>
      <w:bookmarkEnd w:id="109"/>
      <w:r/>
      <w:bookmarkStart w:id="110" w:name="_Toc120614217"/>
      <w:r/>
      <w:bookmarkStart w:id="111" w:name="_Toc513029224"/>
      <w:r/>
      <w:bookmarkStart w:id="112" w:name="_Toc20823296"/>
      <w:r/>
      <w:bookmarkStart w:id="113" w:name="_Toc16938540"/>
      <w:r>
        <w:rPr>
          <w:rFonts w:hint="eastAsia" w:ascii="Times New Roman" w:hAnsi="Times New Roman"/>
          <w:b/>
          <w:bCs/>
          <w:color w:val="000000" w:themeColor="text1"/>
          <w:sz w:val="32"/>
          <w:szCs w:val="32"/>
          <w:highlight w:val="none"/>
          <w14:textFill>
            <w14:solidFill>
              <w14:schemeClr w14:val="tx1"/>
            </w14:solidFill>
          </w14:textFill>
        </w:rPr>
        <w:t xml:space="preserve">四、响应文件的递交</w:t>
      </w:r>
      <w:bookmarkEnd w:id="110"/>
      <w:r/>
      <w:bookmarkEnd w:id="111"/>
      <w:r/>
      <w:bookmarkEnd w:id="112"/>
      <w:r/>
      <w:bookmarkEnd w:id="113"/>
      <w:r/>
      <w:r/>
    </w:p>
    <w:p>
      <w:pPr>
        <w:ind w:firstLine="560"/>
        <w:keepLines/>
        <w:keepNext/>
        <w:spacing w:line="520" w:lineRule="exact"/>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14" w:name="_Toc16938541"/>
      <w:r/>
      <w:bookmarkStart w:id="115" w:name="_Toc462564084"/>
      <w:r/>
      <w:bookmarkStart w:id="116" w:name="_Toc513029225"/>
      <w:r/>
      <w:bookmarkStart w:id="117" w:name="_Toc20823297"/>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磋商</w:t>
      </w:r>
      <w:bookmarkEnd w:id="114"/>
      <w:r/>
      <w:bookmarkEnd w:id="115"/>
      <w:r/>
      <w:bookmarkEnd w:id="116"/>
      <w:r/>
      <w:bookmarkEnd w:id="117"/>
      <w:r>
        <w:rPr>
          <w:rFonts w:hint="eastAsia" w:ascii="黑体" w:hAnsi="Arial" w:eastAsia="黑体" w:cs="Arial"/>
          <w:color w:val="000000" w:themeColor="text1"/>
          <w:sz w:val="28"/>
          <w:szCs w:val="28"/>
          <w:highlight w:val="none"/>
          <w14:textFill>
            <w14:solidFill>
              <w14:schemeClr w14:val="tx1"/>
            </w14:solidFill>
          </w14:textFill>
        </w:rPr>
        <w:t xml:space="preserve">响应文件的递交</w:t>
      </w:r>
      <w:r/>
    </w:p>
    <w:p>
      <w:pPr>
        <w:ind w:firstLine="600"/>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18.1供应商应当按照《操作手册》规定，在提交响应文件截止时间前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并上传电子响应文件。</w:t>
      </w:r>
      <w:bookmarkStart w:id="118" w:name="_Toc16938542"/>
      <w:r/>
      <w:bookmarkStart w:id="119" w:name="_Toc20823298"/>
      <w:r/>
      <w:bookmarkStart w:id="120" w:name="_Toc513029226"/>
      <w:r/>
      <w:r/>
    </w:p>
    <w:p>
      <w:pPr>
        <w:ind w:firstLine="560"/>
        <w:keepLines/>
        <w:keepNext/>
        <w:spacing w:line="52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.提交响应文件截止时间</w:t>
      </w:r>
      <w:bookmarkEnd w:id="118"/>
      <w:r/>
      <w:bookmarkEnd w:id="119"/>
      <w:r/>
      <w:bookmarkEnd w:id="120"/>
      <w:r/>
      <w:r/>
    </w:p>
    <w:p>
      <w:pPr>
        <w:ind w:firstLine="480"/>
        <w:spacing w:line="520" w:lineRule="exact"/>
        <w:rPr>
          <w:rFonts w:hint="eastAsia" w:ascii="宋体" w:hAnsi="宋体"/>
          <w:b/>
          <w:bCs/>
          <w:color w:val="000000" w:themeColor="text1"/>
          <w:sz w:val="24"/>
          <w:szCs w:val="21"/>
          <w:highlight w:val="none"/>
          <w:u w:val="singl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
          <w:bCs/>
          <w:color w:val="000000" w:themeColor="text1"/>
          <w:sz w:val="24"/>
          <w:szCs w:val="21"/>
          <w:highlight w:val="none"/>
          <w:u w:val="single"/>
          <w14:textFill>
            <w14:solidFill>
              <w14:schemeClr w14:val="tx1"/>
            </w14:solidFill>
          </w14:textFill>
        </w:rPr>
        <w:t xml:space="preserve">供应商上传电子响应文件的时间不得迟于磋商公告中规定的提交响应文件截止时间。</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w:t>
      </w:r>
      <w:r>
        <w:rPr>
          <w:rFonts w:hint="eastAsia" w:ascii="宋体" w:hAnsi="宋体"/>
          <w:bCs/>
          <w:color w:val="000000" w:themeColor="text1"/>
          <w:sz w:val="24"/>
          <w:szCs w:val="21"/>
          <w:highlight w:val="none"/>
          <w:lang w:eastAsia="zh-CN"/>
          <w14:textFill>
            <w14:solidFill>
              <w14:schemeClr w14:val="tx1"/>
            </w14:solidFill>
          </w14:textFill>
        </w:rPr>
        <w:t xml:space="preserve">作无效响应处理</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21" w:name="_Toc16938543"/>
      <w:r/>
      <w:bookmarkStart w:id="122" w:name="_Toc20823299"/>
      <w:r/>
      <w:bookmarkStart w:id="123" w:name="_Toc513029227"/>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.响应文件</w:t>
      </w:r>
      <w:bookmarkEnd w:id="121"/>
      <w:r/>
      <w:bookmarkEnd w:id="122"/>
      <w:r/>
      <w:bookmarkEnd w:id="123"/>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采购人拒绝接收在其规定的提交响应文件截止时间后上传的任何电子响应文件。</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24" w:name="_Toc16938544"/>
      <w:r/>
      <w:bookmarkStart w:id="125" w:name="_Toc20823300"/>
      <w:r/>
      <w:bookmarkStart w:id="126" w:name="_Toc513029228"/>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.响应文件的撤回和修改</w:t>
      </w:r>
      <w:bookmarkEnd w:id="124"/>
      <w:r/>
      <w:bookmarkEnd w:id="125"/>
      <w:r/>
      <w:bookmarkEnd w:id="126"/>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.1响应文件的撤回</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电子响应文件的撤回</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截止时间前，撤回其电子响应文件，具体操作方法见《操作手册》。</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供应商撤回电子响应文件，则认为其不再参与本项目磋商活动。</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.2响应文件的修改</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在提交响应文件截止时间之后，供应商不得对其电子响应文件作任何修改。</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在提交响应文件截止时间至磋商文件中规定的磋商有效期满之间的这段时间内，供应商不得撤回其响应文件。</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27" w:name="_Toc20823301"/>
      <w:r/>
      <w:bookmarkStart w:id="128" w:name="_Toc16938545"/>
      <w:r/>
      <w:bookmarkStart w:id="129" w:name="_Toc513029229"/>
      <w:r/>
      <w:bookmarkStart w:id="130" w:name="_Toc120614218"/>
      <w:r>
        <w:rPr>
          <w:rFonts w:hint="eastAsia" w:ascii="Times New Roman" w:hAnsi="Times New Roman"/>
          <w:b/>
          <w:bCs/>
          <w:color w:val="000000" w:themeColor="text1"/>
          <w:sz w:val="32"/>
          <w:szCs w:val="32"/>
          <w:highlight w:val="none"/>
          <w14:textFill>
            <w14:solidFill>
              <w14:schemeClr w14:val="tx1"/>
            </w14:solidFill>
          </w14:textFill>
        </w:rPr>
        <w:t xml:space="preserve">五、响应文件的解密与评审</w:t>
      </w:r>
      <w:bookmarkEnd w:id="127"/>
      <w:r/>
      <w:bookmarkEnd w:id="128"/>
      <w:r/>
      <w:bookmarkEnd w:id="129"/>
      <w:r/>
      <w:bookmarkEnd w:id="130"/>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1" w:name="_Toc513029230"/>
      <w:r/>
      <w:bookmarkStart w:id="132" w:name="_Toc16938546"/>
      <w:r/>
      <w:bookmarkStart w:id="133" w:name="_Toc20823302"/>
      <w:r>
        <w:rPr>
          <w:rFonts w:hint="eastAsia" w:ascii="Arial" w:hAnsi="Arial" w:eastAsia="黑体" w:cs="Arial"/>
          <w:color w:val="000000" w:themeColor="text1"/>
          <w:sz w:val="28"/>
          <w:szCs w:val="28"/>
          <w:highlight w:val="none"/>
          <w14:textFill>
            <w14:solidFill>
              <w14:schemeClr w14:val="tx1"/>
            </w14:solidFill>
          </w14:textFill>
        </w:rPr>
        <w:t xml:space="preserve">22</w:t>
      </w:r>
      <w:bookmarkEnd w:id="131"/>
      <w:r/>
      <w:bookmarkEnd w:id="132"/>
      <w:r/>
      <w:bookmarkEnd w:id="133"/>
      <w:r>
        <w:rPr>
          <w:rFonts w:hint="eastAsia" w:ascii="Arial" w:hAnsi="Arial" w:eastAsia="黑体" w:cs="Arial"/>
          <w:color w:val="000000" w:themeColor="text1"/>
          <w:sz w:val="28"/>
          <w:szCs w:val="28"/>
          <w:highlight w:val="none"/>
          <w14:textFill>
            <w14:solidFill>
              <w14:schemeClr w14:val="tx1"/>
            </w14:solidFill>
          </w14:textFill>
        </w:rPr>
        <w:t xml:space="preserve">.响应文件解密</w:t>
      </w:r>
      <w:r/>
    </w:p>
    <w:p>
      <w:pPr>
        <w:ind w:firstLine="360"/>
        <w:spacing w:line="52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4" w:name="_Toc513029231"/>
      <w:r/>
      <w:bookmarkStart w:id="135" w:name="_Toc20823303"/>
      <w:r/>
      <w:bookmarkStart w:id="136" w:name="_Toc16938547"/>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.磋商小组</w:t>
      </w:r>
      <w:r/>
    </w:p>
    <w:p>
      <w:pPr>
        <w:spacing w:line="52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.2磋商小组独立工作，负责评审所有响应文件并确定成交</w:t>
      </w:r>
      <w:r>
        <w:rPr>
          <w:rFonts w:hint="eastAsia" w:ascii="宋体" w:hAnsi="宋体"/>
          <w:color w:val="000000" w:themeColor="text1"/>
          <w:sz w:val="24"/>
          <w:szCs w:val="24"/>
          <w:highlight w:val="none"/>
          <w:lang w:val="en-US" w:eastAsia="zh-CN"/>
          <w14:textFill>
            <w14:solidFill>
              <w14:schemeClr w14:val="tx1"/>
            </w14:solidFill>
          </w14:textFill>
        </w:rPr>
        <w:t xml:space="preserve">候选</w:t>
      </w:r>
      <w:r>
        <w:rPr>
          <w:rFonts w:hint="eastAsia" w:ascii="宋体" w:hAnsi="宋体"/>
          <w:color w:val="000000" w:themeColor="text1"/>
          <w:sz w:val="24"/>
          <w:szCs w:val="24"/>
          <w:highlight w:val="none"/>
          <w14:textFill>
            <w14:solidFill>
              <w14:schemeClr w14:val="tx1"/>
            </w14:solidFill>
          </w14:textFill>
        </w:rPr>
        <w:t xml:space="preserve">人。</w:t>
      </w:r>
      <w:r/>
    </w:p>
    <w:p>
      <w:pPr>
        <w:ind w:firstLine="420"/>
        <w:keepLines/>
        <w:keepNext/>
        <w:spacing w:line="52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.评审过程的保密与公正</w:t>
      </w:r>
      <w:bookmarkEnd w:id="134"/>
      <w:r/>
      <w:bookmarkEnd w:id="135"/>
      <w:r/>
      <w:bookmarkEnd w:id="136"/>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在项目评审期间，采购代理机构将设专门人员与供应商联系。</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.4采购人和磋商小组不向未成交的供应商解释未成交原因，也不公布评审过程中的相关细节。</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7" w:name="_Toc16938548"/>
      <w:r/>
      <w:bookmarkStart w:id="138" w:name="_Toc513029232"/>
      <w:r/>
      <w:bookmarkStart w:id="139" w:name="_Toc2082330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.评审过程中的澄清</w:t>
      </w:r>
      <w:bookmarkEnd w:id="137"/>
      <w:r/>
      <w:bookmarkEnd w:id="138"/>
      <w:r/>
      <w:bookmarkEnd w:id="139"/>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磋商小组并非对每个供应商都作澄清要求。</w:t>
      </w:r>
      <w:r/>
    </w:p>
    <w:p>
      <w:pPr>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.2需要供应商进行澄清、说明和更正的，磋商小组将通过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向供应商发布“澄清要求函”，接到“澄清要求函”的供应商应当按照要求在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中提交“澄清响应函”并加盖CA电子公章。澄清、说明和更正的内容作为响应文件的补充部分，具体</w:t>
      </w:r>
      <w:r>
        <w:rPr>
          <w:rFonts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14:textFill>
            <w14:solidFill>
              <w14:schemeClr w14:val="tx1"/>
            </w14:solidFill>
          </w14:textFill>
        </w:rPr>
        <w:t xml:space="preserve">方式</w:t>
      </w:r>
      <w:r>
        <w:rPr>
          <w:rFonts w:ascii="宋体" w:hAnsi="宋体" w:cs="宋体"/>
          <w:color w:val="000000" w:themeColor="text1"/>
          <w:sz w:val="24"/>
          <w:szCs w:val="24"/>
          <w:highlight w:val="none"/>
          <w14:textFill>
            <w14:solidFill>
              <w14:schemeClr w14:val="tx1"/>
            </w14:solidFill>
          </w14:textFill>
        </w:rPr>
        <w:t xml:space="preserve">见</w:t>
      </w:r>
      <w:r>
        <w:rPr>
          <w:rFonts w:hint="eastAsia" w:ascii="宋体" w:hAnsi="宋体" w:cs="宋体"/>
          <w:color w:val="000000" w:themeColor="text1"/>
          <w:sz w:val="24"/>
          <w:szCs w:val="24"/>
          <w:highlight w:val="none"/>
          <w14:textFill>
            <w14:solidFill>
              <w14:schemeClr w14:val="tx1"/>
            </w14:solidFill>
          </w14:textFill>
        </w:rPr>
        <w:t xml:space="preserve">《操作手册》。</w:t>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.3接到磋商小组澄清、说明和更正要求的供应商如未按规定</w:t>
      </w:r>
      <w:r>
        <w:rPr>
          <w:rFonts w:hint="eastAsia" w:ascii="宋体" w:hAnsi="宋体"/>
          <w:color w:val="000000" w:themeColor="text1"/>
          <w:sz w:val="24"/>
          <w:szCs w:val="24"/>
          <w:highlight w:val="none"/>
          <w:lang w:eastAsia="zh-CN"/>
          <w14:textFill>
            <w14:solidFill>
              <w14:schemeClr w14:val="tx1"/>
            </w14:solidFill>
          </w14:textFill>
        </w:rPr>
        <w:t xml:space="preserve">作出</w:t>
      </w:r>
      <w:r>
        <w:rPr>
          <w:rFonts w:hint="eastAsia" w:ascii="宋体" w:hAnsi="宋体"/>
          <w:color w:val="000000" w:themeColor="text1"/>
          <w:sz w:val="24"/>
          <w:szCs w:val="24"/>
          <w:highlight w:val="none"/>
          <w14:textFill>
            <w14:solidFill>
              <w14:schemeClr w14:val="tx1"/>
            </w14:solidFill>
          </w14:textFill>
        </w:rPr>
        <w:t xml:space="preserve">澄清、说明和更正，其风险由供应商自行承担。</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0" w:name="_Toc16938549"/>
      <w:r/>
      <w:bookmarkStart w:id="141" w:name="_Toc513029233"/>
      <w:r/>
      <w:bookmarkStart w:id="142" w:name="_Toc20823305"/>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.对响应文件的审</w:t>
      </w:r>
      <w:bookmarkEnd w:id="140"/>
      <w:r/>
      <w:bookmarkEnd w:id="141"/>
      <w:r/>
      <w:bookmarkEnd w:id="142"/>
      <w:r>
        <w:rPr>
          <w:rFonts w:hint="eastAsia" w:ascii="Arial" w:hAnsi="Arial" w:eastAsia="黑体" w:cs="Arial"/>
          <w:color w:val="000000" w:themeColor="text1"/>
          <w:sz w:val="28"/>
          <w:szCs w:val="28"/>
          <w:highlight w:val="none"/>
          <w14:textFill>
            <w14:solidFill>
              <w14:schemeClr w14:val="tx1"/>
            </w14:solidFill>
          </w14:textFill>
        </w:rPr>
        <w:t xml:space="preserve">查</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响应文件审查分为资格审查和符合性审查。</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.1.1资格审查：由</w:t>
      </w:r>
      <w:r>
        <w:rPr>
          <w:rFonts w:hint="eastAsia" w:ascii="宋体" w:hAnsi="宋体"/>
          <w:bCs/>
          <w:color w:val="000000" w:themeColor="text1"/>
          <w:sz w:val="24"/>
          <w:szCs w:val="21"/>
          <w:highlight w:val="none"/>
          <w:lang w:val="en-US" w:eastAsia="zh-CN"/>
          <w14:textFill>
            <w14:solidFill>
              <w14:schemeClr w14:val="tx1"/>
            </w14:solidFill>
          </w14:textFill>
        </w:rPr>
        <w:t xml:space="preserve">磋商小组</w:t>
      </w:r>
      <w:r>
        <w:rPr>
          <w:rFonts w:hint="eastAsia" w:ascii="宋体" w:hAnsi="宋体"/>
          <w:bCs/>
          <w:color w:val="000000" w:themeColor="text1"/>
          <w:sz w:val="24"/>
          <w:szCs w:val="21"/>
          <w:highlight w:val="none"/>
          <w14:textFill>
            <w14:solidFill>
              <w14:schemeClr w14:val="tx1"/>
            </w14:solidFill>
          </w14:textFill>
        </w:rPr>
        <w:t xml:space="preserve">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lang w:val="en-US" w:eastAsia="zh-CN"/>
          <w14:textFill>
            <w14:solidFill>
              <w14:schemeClr w14:val="tx1"/>
            </w14:solidFill>
          </w14:textFill>
        </w:rPr>
        <w:t xml:space="preserve">磋商小组</w:t>
      </w:r>
      <w:r>
        <w:rPr>
          <w:rFonts w:hint="eastAsia" w:ascii="宋体" w:hAnsi="宋体"/>
          <w:bCs/>
          <w:color w:val="000000" w:themeColor="text1"/>
          <w:sz w:val="24"/>
          <w:szCs w:val="21"/>
          <w:highlight w:val="none"/>
          <w14:textFill>
            <w14:solidFill>
              <w14:schemeClr w14:val="tx1"/>
            </w14:solidFill>
          </w14:textFill>
        </w:rPr>
        <w:t xml:space="preserve">在进行资格审查的同时，将在“信用中国”网站（www.creditchina.gov.cn）查询供应商的信用记录，以确定供应商是否具备磋商资格</w:t>
      </w:r>
      <w:r>
        <w:rPr>
          <w:rFonts w:hint="eastAsia" w:ascii="宋体" w:hAnsi="宋体"/>
          <w:bCs/>
          <w:color w:val="000000" w:themeColor="text1"/>
          <w:sz w:val="24"/>
          <w:szCs w:val="21"/>
          <w:highlight w:val="none"/>
          <w:lang w:eastAsia="zh-CN"/>
          <w14:textFill>
            <w14:solidFill>
              <w14:schemeClr w14:val="tx1"/>
            </w14:solidFill>
          </w14:textFill>
        </w:rPr>
        <w:t xml:space="preserve">，将</w:t>
      </w:r>
      <w:r>
        <w:rPr>
          <w:rFonts w:hint="eastAsia" w:ascii="宋体" w:hAnsi="宋体"/>
          <w:bCs/>
          <w:color w:val="000000" w:themeColor="text1"/>
          <w:sz w:val="24"/>
          <w:szCs w:val="21"/>
          <w:highlight w:val="none"/>
          <w14:textFill>
            <w14:solidFill>
              <w14:schemeClr w14:val="tx1"/>
            </w14:solidFill>
          </w14:textFill>
        </w:rPr>
        <w:t xml:space="preserve">查询结果留存并归档。</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highlight w:val="none"/>
          <w:lang w:eastAsia="zh-CN"/>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联合体成员中任何一方存在不良信用记录的，视同联合体存在不良</w:t>
      </w:r>
      <w:r>
        <w:rPr>
          <w:rFonts w:hint="eastAsia" w:ascii="宋体" w:hAnsi="宋体"/>
          <w:bCs/>
          <w:color w:val="000000" w:themeColor="text1"/>
          <w:sz w:val="24"/>
          <w:szCs w:val="21"/>
          <w:highlight w:val="none"/>
          <w:lang w:val="en-US" w:eastAsia="zh-CN"/>
          <w14:textFill>
            <w14:solidFill>
              <w14:schemeClr w14:val="tx1"/>
            </w14:solidFill>
          </w14:textFill>
        </w:rPr>
        <w:t xml:space="preserve">信</w:t>
      </w:r>
      <w:r>
        <w:rPr>
          <w:rFonts w:hint="eastAsia" w:ascii="宋体" w:hAnsi="宋体"/>
          <w:bCs/>
          <w:color w:val="000000" w:themeColor="text1"/>
          <w:sz w:val="24"/>
          <w:szCs w:val="21"/>
          <w:highlight w:val="none"/>
          <w14:textFill>
            <w14:solidFill>
              <w14:schemeClr w14:val="tx1"/>
            </w14:solidFill>
          </w14:textFill>
        </w:rPr>
        <w:t xml:space="preserve">用记录。</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.1.3未通过资格审查或符合性审查的供应商，采购代理机构将在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26.3未实质性响应磋商文件的情形</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26.3.1供应商在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规定的时间内未成功解密电子响应文件的。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26.3.2供应商未按照磋商文件要求上传电子响应文件的。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26.3.3同一供应商提交两个（含两个）以上不同的响应文件或者最后报价的。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26.3.4供应商不具备磋商文件中规定</w:t>
      </w:r>
      <w:r>
        <w:rPr>
          <w:rFonts w:hint="eastAsia" w:ascii="宋体" w:hAnsi="宋体"/>
          <w:bCs/>
          <w:color w:val="000000" w:themeColor="text1"/>
          <w:sz w:val="24"/>
          <w:szCs w:val="21"/>
          <w:highlight w:val="none"/>
          <w:lang w:eastAsia="zh-CN"/>
          <w14:textFill>
            <w14:solidFill>
              <w14:schemeClr w14:val="tx1"/>
            </w14:solidFill>
          </w14:textFill>
        </w:rPr>
        <w:t xml:space="preserve">的</w:t>
      </w:r>
      <w:r>
        <w:rPr>
          <w:rFonts w:hint="eastAsia" w:ascii="宋体" w:hAnsi="宋体"/>
          <w:bCs/>
          <w:color w:val="000000" w:themeColor="text1"/>
          <w:sz w:val="24"/>
          <w:szCs w:val="21"/>
          <w:highlight w:val="none"/>
          <w14:textFill>
            <w14:solidFill>
              <w14:schemeClr w14:val="tx1"/>
            </w14:solidFill>
          </w14:textFill>
        </w:rPr>
        <w:t xml:space="preserve">资格要求。</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26.3.5供应商的最后报价超过了采购预算。</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26.3.6不符合磋商文件中规定的实质性要求和条件的。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26.3.8响应文件含有采购人不能接受的附加条件的。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w:t>
      </w:r>
      <w:r>
        <w:rPr>
          <w:rFonts w:hint="eastAsia" w:ascii="宋体" w:hAnsi="宋体"/>
          <w:bCs/>
          <w:color w:val="000000" w:themeColor="text1"/>
          <w:sz w:val="24"/>
          <w:szCs w:val="21"/>
          <w:highlight w:val="none"/>
          <w:lang w:val="en-US" w:eastAsia="zh-CN"/>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响应文件未按照磋商文件要求加盖CA电子公章的。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26.4未实质性响应磋商文件的响应文件按无效响应处理。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bCs/>
          <w:color w:val="000000" w:themeColor="text1"/>
          <w:sz w:val="24"/>
          <w:szCs w:val="21"/>
          <w:highlight w:val="none"/>
          <w:lang w:eastAsia="zh-CN"/>
          <w14:textFill>
            <w14:solidFill>
              <w14:schemeClr w14:val="tx1"/>
            </w14:solidFill>
          </w14:textFill>
        </w:rPr>
        <w:t xml:space="preserve">不符</w:t>
      </w:r>
      <w:r>
        <w:rPr>
          <w:rFonts w:hint="eastAsia" w:ascii="宋体" w:hAnsi="宋体"/>
          <w:bCs/>
          <w:color w:val="000000" w:themeColor="text1"/>
          <w:sz w:val="24"/>
          <w:szCs w:val="21"/>
          <w:highlight w:val="none"/>
          <w14:textFill>
            <w14:solidFill>
              <w14:schemeClr w14:val="tx1"/>
            </w14:solidFill>
          </w14:textFill>
        </w:rPr>
        <w:t xml:space="preserve">合要求的偏离或保留而使其成为实质性响应的文件。</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（1）响应文件中</w:t>
      </w:r>
      <w:r>
        <w:rPr>
          <w:rFonts w:hint="eastAsia" w:ascii="宋体" w:hAnsi="宋体"/>
          <w:bCs/>
          <w:color w:val="000000" w:themeColor="text1"/>
          <w:sz w:val="24"/>
          <w:szCs w:val="21"/>
          <w:highlight w:val="none"/>
          <w:lang w:eastAsia="zh-CN"/>
          <w14:textFill>
            <w14:solidFill>
              <w14:schemeClr w14:val="tx1"/>
            </w14:solidFill>
          </w14:textFill>
        </w:rPr>
        <w:t xml:space="preserve">磋商报价表</w:t>
      </w:r>
      <w:r>
        <w:rPr>
          <w:rFonts w:hint="eastAsia" w:ascii="宋体" w:hAnsi="宋体"/>
          <w:bCs/>
          <w:color w:val="000000" w:themeColor="text1"/>
          <w:sz w:val="24"/>
          <w:szCs w:val="21"/>
          <w:highlight w:val="none"/>
          <w14:textFill>
            <w14:solidFill>
              <w14:schemeClr w14:val="tx1"/>
            </w14:solidFill>
          </w14:textFill>
        </w:rPr>
        <w:t xml:space="preserve">内容与响应文件中相应内容不一致的，以</w:t>
      </w:r>
      <w:r>
        <w:rPr>
          <w:rFonts w:hint="eastAsia" w:ascii="宋体" w:hAnsi="宋体"/>
          <w:bCs/>
          <w:color w:val="000000" w:themeColor="text1"/>
          <w:sz w:val="24"/>
          <w:szCs w:val="21"/>
          <w:highlight w:val="none"/>
          <w:lang w:eastAsia="zh-CN"/>
          <w14:textFill>
            <w14:solidFill>
              <w14:schemeClr w14:val="tx1"/>
            </w14:solidFill>
          </w14:textFill>
        </w:rPr>
        <w:t xml:space="preserve">磋商报价表</w:t>
      </w:r>
      <w:r>
        <w:rPr>
          <w:rFonts w:hint="eastAsia" w:ascii="宋体" w:hAnsi="宋体"/>
          <w:bCs/>
          <w:color w:val="000000" w:themeColor="text1"/>
          <w:sz w:val="24"/>
          <w:szCs w:val="21"/>
          <w:highlight w:val="none"/>
          <w14:textFill>
            <w14:solidFill>
              <w14:schemeClr w14:val="tx1"/>
            </w14:solidFill>
          </w14:textFill>
        </w:rPr>
        <w:t xml:space="preserve">为准。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w:t>
      </w:r>
      <w:r>
        <w:rPr>
          <w:rFonts w:hint="eastAsia" w:ascii="宋体" w:hAnsi="宋体"/>
          <w:bCs/>
          <w:color w:val="000000" w:themeColor="text1"/>
          <w:sz w:val="24"/>
          <w:szCs w:val="21"/>
          <w:highlight w:val="none"/>
          <w:lang w:eastAsia="zh-CN"/>
          <w14:textFill>
            <w14:solidFill>
              <w14:schemeClr w14:val="tx1"/>
            </w14:solidFill>
          </w14:textFill>
        </w:rPr>
        <w:t xml:space="preserve">磋商报价表</w:t>
      </w:r>
      <w:r>
        <w:rPr>
          <w:rFonts w:hint="eastAsia" w:ascii="宋体" w:hAnsi="宋体"/>
          <w:bCs/>
          <w:color w:val="000000" w:themeColor="text1"/>
          <w:sz w:val="24"/>
          <w:szCs w:val="21"/>
          <w:highlight w:val="none"/>
          <w14:textFill>
            <w14:solidFill>
              <w14:schemeClr w14:val="tx1"/>
            </w14:solidFill>
          </w14:textFill>
        </w:rPr>
        <w:t xml:space="preserve">的总价为准，并修改单价。</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（4）总价金额与按单价汇总金额不一致的，以按单价汇总金额计算结果为准。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bookmarkStart w:id="143" w:name="_Toc20823306"/>
      <w:r/>
      <w:bookmarkStart w:id="144" w:name="_Toc513029234"/>
      <w:r/>
      <w:bookmarkStart w:id="145" w:name="_Toc16938550"/>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.7供应商在项目评审全过程中应</w:t>
      </w:r>
      <w:r>
        <w:rPr>
          <w:rFonts w:hint="eastAsia" w:ascii="宋体" w:hAnsi="宋体"/>
          <w:color w:val="000000" w:themeColor="text1"/>
          <w:sz w:val="24"/>
          <w:szCs w:val="21"/>
          <w:highlight w:val="none"/>
          <w:lang w:eastAsia="zh-CN"/>
          <w14:textFill>
            <w14:solidFill>
              <w14:schemeClr w14:val="tx1"/>
            </w14:solidFill>
          </w14:textFill>
        </w:rPr>
        <w:t xml:space="preserve">保持通信畅通</w:t>
      </w:r>
      <w:r>
        <w:rPr>
          <w:rFonts w:hint="eastAsia" w:ascii="宋体" w:hAnsi="宋体"/>
          <w:color w:val="000000" w:themeColor="text1"/>
          <w:sz w:val="24"/>
          <w:szCs w:val="21"/>
          <w:highlight w:val="none"/>
          <w14:textFill>
            <w14:solidFill>
              <w14:schemeClr w14:val="tx1"/>
            </w14:solidFill>
          </w14:textFill>
        </w:rPr>
        <w:t xml:space="preserve">，并安排专人与采购人或采购代理机构及磋商小组联系。</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bookmarkEnd w:id="143"/>
      <w:r/>
      <w:bookmarkEnd w:id="144"/>
      <w:r/>
      <w:bookmarkEnd w:id="145"/>
      <w:r>
        <w:rPr>
          <w:rFonts w:hint="eastAsia" w:ascii="Arial" w:hAnsi="Arial" w:eastAsia="黑体" w:cs="Arial"/>
          <w:color w:val="000000" w:themeColor="text1"/>
          <w:sz w:val="28"/>
          <w:szCs w:val="28"/>
          <w:highlight w:val="none"/>
          <w14:textFill>
            <w14:solidFill>
              <w14:schemeClr w14:val="tx1"/>
            </w14:solidFill>
          </w14:textFill>
        </w:rPr>
        <w:t xml:space="preserve">.磋商程序及评审方法和评审标准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27.1磋商程序</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27.1.2</w:t>
      </w:r>
      <w:r>
        <w:rPr>
          <w:rFonts w:ascii="宋体" w:hAnsi="宋体"/>
          <w:color w:val="000000" w:themeColor="text1"/>
          <w:sz w:val="24"/>
          <w:szCs w:val="24"/>
          <w:highlight w:val="none"/>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szCs w:val="24"/>
          <w:highlight w:val="none"/>
          <w14:textFill>
            <w14:solidFill>
              <w14:schemeClr w14:val="tx1"/>
            </w14:solidFill>
          </w14:textFill>
        </w:rPr>
        <w:t xml:space="preserve">将在苏采云系统向所有</w:t>
      </w:r>
      <w:r>
        <w:rPr>
          <w:rFonts w:ascii="宋体" w:hAnsi="宋体"/>
          <w:color w:val="000000" w:themeColor="text1"/>
          <w:sz w:val="24"/>
          <w:szCs w:val="24"/>
          <w:highlight w:val="none"/>
          <w14:textFill>
            <w14:solidFill>
              <w14:schemeClr w14:val="tx1"/>
            </w14:solidFill>
          </w14:textFill>
        </w:rPr>
        <w:t xml:space="preserve">实质性响应的供应商</w:t>
      </w:r>
      <w:r>
        <w:rPr>
          <w:rFonts w:hint="eastAsia" w:ascii="宋体" w:hAnsi="宋体"/>
          <w:color w:val="000000" w:themeColor="text1"/>
          <w:sz w:val="24"/>
          <w:szCs w:val="24"/>
          <w:highlight w:val="none"/>
          <w14:textFill>
            <w14:solidFill>
              <w14:schemeClr w14:val="tx1"/>
            </w14:solidFill>
          </w14:textFill>
        </w:rPr>
        <w:t xml:space="preserve">发布“最后报价要求函”及最后报价格式表，</w:t>
      </w:r>
      <w:r>
        <w:rPr>
          <w:rFonts w:ascii="宋体" w:hAnsi="宋体"/>
          <w:color w:val="000000" w:themeColor="text1"/>
          <w:sz w:val="24"/>
          <w:szCs w:val="24"/>
          <w:highlight w:val="none"/>
          <w14:textFill>
            <w14:solidFill>
              <w14:schemeClr w14:val="tx1"/>
            </w14:solidFill>
          </w14:textFill>
        </w:rPr>
        <w:t xml:space="preserve">要求所有实质性响应的供应商在规定时间内提交最后报价。</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000000" w:themeColor="text1"/>
          <w:sz w:val="24"/>
          <w:szCs w:val="24"/>
          <w:highlight w:val="none"/>
          <w:lang w:eastAsia="zh-CN"/>
          <w14:textFill>
            <w14:solidFill>
              <w14:schemeClr w14:val="tx1"/>
            </w14:solidFill>
          </w14:textFill>
        </w:rPr>
        <w:t xml:space="preserve">，并</w:t>
      </w:r>
      <w:r>
        <w:rPr>
          <w:rFonts w:hint="eastAsia" w:ascii="宋体" w:hAnsi="宋体"/>
          <w:color w:val="000000" w:themeColor="text1"/>
          <w:sz w:val="24"/>
          <w:szCs w:val="24"/>
          <w:highlight w:val="none"/>
          <w14:textFill>
            <w14:solidFill>
              <w14:schemeClr w14:val="tx1"/>
            </w14:solidFill>
          </w14:textFill>
        </w:rPr>
        <w:t xml:space="preserve">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w:t>
      </w:r>
      <w:r>
        <w:rPr>
          <w:rFonts w:hint="eastAsia" w:ascii="宋体" w:hAnsi="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color w:val="000000" w:themeColor="text1"/>
          <w:sz w:val="24"/>
          <w:szCs w:val="24"/>
          <w:highlight w:val="none"/>
          <w14:textFill>
            <w14:solidFill>
              <w14:schemeClr w14:val="tx1"/>
            </w14:solidFill>
          </w14:textFill>
        </w:rPr>
        <w:t xml:space="preserve">暂行办法》第三条第一款第四项及《财政部关于竞争性磋商采购方式管理暂行办法有关问题的补充通知》财库</w:t>
      </w:r>
      <w:r>
        <w:rPr>
          <w:rFonts w:hint="eastAsia" w:ascii="宋体" w:hAnsi="宋体"/>
          <w:color w:val="000000" w:themeColor="text1"/>
          <w:sz w:val="24"/>
          <w:szCs w:val="24"/>
          <w:highlight w:val="none"/>
          <w:lang w:eastAsia="zh-CN"/>
          <w14:textFill>
            <w14:solidFill>
              <w14:schemeClr w14:val="tx1"/>
            </w14:solidFill>
          </w14:textFill>
        </w:rPr>
        <w:t xml:space="preserve">〔2015〕124号</w:t>
      </w:r>
      <w:r>
        <w:rPr>
          <w:rFonts w:hint="eastAsia" w:ascii="宋体" w:hAnsi="宋体"/>
          <w:color w:val="000000" w:themeColor="text1"/>
          <w:sz w:val="24"/>
          <w:szCs w:val="24"/>
          <w:highlight w:val="none"/>
          <w14:textFill>
            <w14:solidFill>
              <w14:schemeClr w14:val="tx1"/>
            </w14:solidFill>
          </w14:textFill>
        </w:rPr>
        <w:t xml:space="preserve">规定情形的，提交最后报价的供应商可以为2家。</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27.1.3供应商未在磋商小组规定的时间内在苏采云系统中提交最后报价视为放弃磋商，其响应文件按无效响应处理，最后报价格式表须加盖CA电子公章</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否则视为未提交最后报价。</w:t>
      </w:r>
      <w:r>
        <w:rPr>
          <w:rFonts w:ascii="宋体" w:hAnsi="宋体"/>
          <w:color w:val="000000" w:themeColor="text1"/>
          <w:sz w:val="24"/>
          <w:szCs w:val="24"/>
          <w:highlight w:val="none"/>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szCs w:val="24"/>
          <w:highlight w:val="none"/>
          <w14:textFill>
            <w14:solidFill>
              <w14:schemeClr w14:val="tx1"/>
            </w14:solidFill>
          </w14:textFill>
        </w:rPr>
        <w:t xml:space="preserve">，并在苏采云系统中提交“退出磋商函”并加盖CA电子公章</w:t>
      </w:r>
      <w:r>
        <w:rPr>
          <w:rFonts w:ascii="宋体" w:hAnsi="宋体"/>
          <w:color w:val="000000" w:themeColor="text1"/>
          <w:sz w:val="24"/>
          <w:szCs w:val="24"/>
          <w:highlight w:val="none"/>
          <w14:textFill>
            <w14:solidFill>
              <w14:schemeClr w14:val="tx1"/>
            </w14:solidFill>
          </w14:textFill>
        </w:rPr>
        <w:t xml:space="preserve">。</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 评审方法和评审标准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27.2.2评审标准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见本磋商文件第四章规定。</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27.3采购活动终止的情况</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27.3.2出现影响采购公正的违法、违规行为的。</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27.3.4在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规定时间内成功解密电子响应文件的供应商不足3家的。</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46" w:name="_Toc16938551"/>
      <w:r/>
      <w:bookmarkStart w:id="147" w:name="_Toc120614219"/>
      <w:r/>
      <w:bookmarkStart w:id="148" w:name="_Toc20823307"/>
      <w:r/>
      <w:bookmarkStart w:id="149" w:name="_Toc513029235"/>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46"/>
      <w:r/>
      <w:bookmarkEnd w:id="147"/>
      <w:r/>
      <w:bookmarkEnd w:id="148"/>
      <w:r/>
      <w:bookmarkEnd w:id="149"/>
      <w:r>
        <w:rPr>
          <w:rFonts w:hint="eastAsia" w:ascii="Times New Roman" w:hAnsi="Times New Roman"/>
          <w:b/>
          <w:bCs/>
          <w:color w:val="000000" w:themeColor="text1"/>
          <w:sz w:val="32"/>
          <w:szCs w:val="32"/>
          <w:highlight w:val="none"/>
          <w14:textFill>
            <w14:solidFill>
              <w14:schemeClr w14:val="tx1"/>
            </w14:solidFill>
          </w14:textFill>
        </w:rPr>
        <w:t xml:space="preserve">成交</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50" w:name="_Toc513029238"/>
      <w:r/>
      <w:bookmarkStart w:id="151" w:name="_Toc16938554"/>
      <w:r/>
      <w:bookmarkStart w:id="152"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bookmarkEnd w:id="150"/>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51"/>
      <w:r/>
      <w:bookmarkEnd w:id="152"/>
      <w:r>
        <w:rPr>
          <w:rFonts w:hint="eastAsia" w:ascii="黑体" w:hAnsi="宋体" w:eastAsia="黑体"/>
          <w:bCs/>
          <w:color w:val="000000" w:themeColor="text1"/>
          <w:sz w:val="30"/>
          <w:szCs w:val="30"/>
          <w:highlight w:val="none"/>
          <w14:textFill>
            <w14:solidFill>
              <w14:schemeClr w14:val="tx1"/>
            </w14:solidFill>
          </w14:textFill>
        </w:rPr>
        <w:t xml:space="preserve">成交单位</w:t>
      </w:r>
      <w:r/>
    </w:p>
    <w:p>
      <w:pPr>
        <w:ind w:firstLine="477"/>
        <w:spacing w:line="520" w:lineRule="exact"/>
        <w:tabs>
          <w:tab w:val="left" w:pos="900" w:leader="none"/>
        </w:tabs>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.2采购人应根据磋商小组推荐的成交候选供应商确定成交供应商。采购</w:t>
      </w:r>
      <w:r>
        <w:rPr>
          <w:rFonts w:hint="eastAsia" w:ascii="宋体" w:hAnsi="宋体"/>
          <w:bCs/>
          <w:color w:val="000000" w:themeColor="text1"/>
          <w:sz w:val="24"/>
          <w:szCs w:val="21"/>
          <w:highlight w:val="none"/>
          <w:lang w:eastAsia="zh-CN"/>
          <w14:textFill>
            <w14:solidFill>
              <w14:schemeClr w14:val="tx1"/>
            </w14:solidFill>
          </w14:textFill>
        </w:rPr>
        <w:t xml:space="preserve">人在确定成交供应商</w:t>
      </w:r>
      <w:r>
        <w:rPr>
          <w:rFonts w:hint="eastAsia" w:ascii="宋体" w:hAnsi="宋体"/>
          <w:bCs/>
          <w:color w:val="000000" w:themeColor="text1"/>
          <w:sz w:val="24"/>
          <w:szCs w:val="21"/>
          <w:highlight w:val="none"/>
          <w14:textFill>
            <w14:solidFill>
              <w14:schemeClr w14:val="tx1"/>
            </w14:solidFill>
          </w14:textFill>
        </w:rPr>
        <w:t xml:space="preserve">后，采购代理机构将在“江苏政府采购网”发布成交结果公告，公告期限为1个工作日。</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28.3若有充分证据证明，成交供应商出现下列情况之一的，一经查实，将被取消成交资格：</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28.3.1提供虚假材料谋取成交的。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28.3.2与评审专家、采购人、其他供应商或者采购代理机构工作人员恶意串通的。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28.3.3向评审专家、采购人或采购代理机构工作人员行贿或者提供其他不正当利益的。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28.3.4恶意竞争，最后报价明显低于其自身合理成本且又无法提供证明的。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28.3.5不满足本磋商文件规定的实质性要求，但在评审过程中又未被磋商小组发现的。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28.3.7将政府采购合同转包的。</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53" w:name="_Toc200451960"/>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53"/>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themeColor="text1"/>
          <w:sz w:val="24"/>
          <w:szCs w:val="24"/>
          <w:highlight w:val="none"/>
          <w14:textFill>
            <w14:solidFill>
              <w14:schemeClr w14:val="tx1"/>
            </w14:solidFill>
          </w14:textFill>
        </w:rPr>
        <w:t xml:space="preserve">采购人或采购代理机构</w:t>
      </w:r>
      <w:r>
        <w:rPr>
          <w:rFonts w:hint="eastAsia" w:ascii="宋体" w:hAnsi="宋体"/>
          <w:color w:val="000000" w:themeColor="text1"/>
          <w:sz w:val="24"/>
          <w:szCs w:val="24"/>
          <w:highlight w:val="none"/>
          <w14:textFill>
            <w14:solidFill>
              <w14:schemeClr w14:val="tx1"/>
            </w14:solidFill>
          </w14:textFill>
        </w:rPr>
        <w:t xml:space="preserve">提出质疑。上述应知其权益受到损害之日，是指：</w:t>
      </w:r>
      <w:r/>
    </w:p>
    <w:p>
      <w:pPr>
        <w:ind w:firstLine="480"/>
        <w:spacing w:line="520" w:lineRule="exact"/>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hint="eastAsia" w:ascii="Times New Roman" w:hAnsi="宋体" w:cs="宋体"/>
          <w:color w:val="000000" w:themeColor="text1"/>
          <w:sz w:val="24"/>
          <w:szCs w:val="24"/>
          <w:highlight w:val="none"/>
          <w14:textFill>
            <w14:solidFill>
              <w14:schemeClr w14:val="tx1"/>
            </w14:solidFill>
          </w14:textFill>
        </w:rPr>
        <w:t xml:space="preserve">。</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hint="eastAsia" w:ascii="Times New Roman" w:hAnsi="宋体" w:cs="宋体"/>
          <w:color w:val="000000" w:themeColor="text1"/>
          <w:sz w:val="24"/>
          <w:szCs w:val="24"/>
          <w:highlight w:val="none"/>
          <w14:textFill>
            <w14:solidFill>
              <w14:schemeClr w14:val="tx1"/>
            </w14:solidFill>
          </w14:textFill>
        </w:rPr>
        <w:t xml:space="preserve">。</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对成交结果提出质疑的，为成交结果公告期限届满之日。</w:t>
      </w:r>
      <w:r/>
    </w:p>
    <w:p>
      <w:pPr>
        <w:ind w:firstLine="480"/>
        <w:spacing w:line="520" w:lineRule="exact"/>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themeColor="text1"/>
          <w:sz w:val="24"/>
          <w:szCs w:val="24"/>
          <w:highlight w:val="none"/>
          <w14:textFill>
            <w14:solidFill>
              <w14:schemeClr w14:val="tx1"/>
            </w14:solidFill>
          </w14:textFill>
        </w:rPr>
        <w:t xml:space="preserve">采购人或采购代理机构</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.4供应商（含潜在</w:t>
      </w:r>
      <w:r>
        <w:rPr>
          <w:rFonts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采购文件中采购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评审方法</w:t>
      </w:r>
      <w:r>
        <w:rPr>
          <w:rFonts w:ascii="宋体" w:hAnsi="宋体"/>
          <w:color w:val="000000" w:themeColor="text1"/>
          <w:sz w:val="24"/>
          <w:szCs w:val="24"/>
          <w:highlight w:val="none"/>
          <w14:textFill>
            <w14:solidFill>
              <w14:schemeClr w14:val="tx1"/>
            </w14:solidFill>
          </w14:textFill>
        </w:rPr>
        <w:t xml:space="preserve">和评</w:t>
      </w:r>
      <w:r>
        <w:rPr>
          <w:rFonts w:hint="eastAsia" w:ascii="宋体" w:hAnsi="宋体"/>
          <w:color w:val="000000" w:themeColor="text1"/>
          <w:sz w:val="24"/>
          <w:szCs w:val="24"/>
          <w:highlight w:val="none"/>
          <w14:textFill>
            <w14:solidFill>
              <w14:schemeClr w14:val="tx1"/>
            </w14:solidFill>
          </w14:textFill>
        </w:rPr>
        <w:t xml:space="preserve">审</w:t>
      </w:r>
      <w:r>
        <w:rPr>
          <w:rFonts w:ascii="宋体" w:hAnsi="宋体"/>
          <w:color w:val="000000" w:themeColor="text1"/>
          <w:sz w:val="24"/>
          <w:szCs w:val="24"/>
          <w:highlight w:val="none"/>
          <w14:textFill>
            <w14:solidFill>
              <w14:schemeClr w14:val="tx1"/>
            </w14:solidFill>
          </w14:textFill>
        </w:rPr>
        <w:t xml:space="preserve">标准、合同文本</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资格</w:t>
      </w:r>
      <w:r>
        <w:rPr>
          <w:rFonts w:hint="eastAsia" w:ascii="宋体" w:hAnsi="宋体"/>
          <w:color w:val="000000" w:themeColor="text1"/>
          <w:sz w:val="24"/>
          <w:szCs w:val="24"/>
          <w:highlight w:val="none"/>
          <w14:textFill>
            <w14:solidFill>
              <w14:schemeClr w14:val="tx1"/>
            </w14:solidFill>
          </w14:textFill>
        </w:rPr>
        <w:t xml:space="preserve">审查结果的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关于评审方面的质疑，采购人可以组织原评审委员会协助答复质疑。</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采购人或采购代理机构只接收以纸质原件形式送达的质疑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建议供应商尽量通过邮寄方式提交质疑（采购人或采购代理机构不接受未填写快递运单的快件）。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采购人及采购代理机构质疑接收人及联系方式见本采购文件第一章。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.5以下情形的质疑不予受理</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.5.1内容不符合《政府采购质疑和投诉办法》第十二条规定的质疑。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.5.4 未参加磋商活动的供应商或在磋商活动中自身权益未受到损害的供应商所提出的质疑。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.5.5供应商组成联合体参加磋商，联合体中任何一方或多方未按要求签字、盖章、加盖公章的质疑。</w:t>
      </w:r>
      <w:r/>
    </w:p>
    <w:p>
      <w:pPr>
        <w:ind w:firstLine="468"/>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500" w:lineRule="exact"/>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29.7 </w:t>
      </w:r>
      <w:r>
        <w:rPr>
          <w:rFonts w:hint="eastAsia" w:ascii="宋体" w:hAnsi="宋体"/>
          <w:color w:val="000000" w:themeColor="text1"/>
          <w:highlight w:val="none"/>
          <w14:textFill>
            <w14:solidFill>
              <w14:schemeClr w14:val="tx1"/>
            </w14:solidFill>
          </w14:textFill>
        </w:rPr>
        <w:t xml:space="preserve">提出质疑的</w:t>
      </w:r>
      <w:r>
        <w:rPr>
          <w:rFonts w:hint="eastAsia" w:ascii="宋体" w:hAnsi="宋体" w:eastAsia="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对答复不满意的，或者采购人、采购代理机构未在规定期限内作出答复的，可以在答复期满后十五个工作日内向同级政府采购监督管理部门投诉。</w:t>
      </w:r>
      <w:r/>
    </w:p>
    <w:p>
      <w:pPr>
        <w:ind w:firstLine="480"/>
        <w:spacing w:line="500" w:lineRule="exact"/>
        <w:shd w:val="clear" w:color="auto"/>
        <w:rPr>
          <w:rFonts w:hint="eastAsia" w:ascii="宋体" w:hAnsi="宋体" w:eastAsia="宋体"/>
          <w:color w:val="000000" w:themeColor="text1"/>
          <w:sz w:val="24"/>
          <w:szCs w:val="24"/>
          <w:highlight w:val="none"/>
          <w14:textFill>
            <w14:solidFill>
              <w14:schemeClr w14:val="tx1"/>
            </w14:solidFill>
          </w14:textFill>
        </w:rPr>
      </w:pPr>
      <w:r/>
      <w:bookmarkStart w:id="154" w:name="EB8439d347654149b8973a575299810d6b"/>
      <w:r/>
      <w:bookmarkEnd w:id="154"/>
      <w:r>
        <w:rPr>
          <w:rFonts w:hint="eastAsia" w:ascii="宋体" w:hAnsi="宋体"/>
          <w:color w:val="000000" w:themeColor="text1"/>
          <w:highlight w:val="none"/>
          <w:lang w:val="en-US" w:eastAsia="zh-CN"/>
          <w14:textFill>
            <w14:solidFill>
              <w14:schemeClr w14:val="tx1"/>
            </w14:solidFill>
          </w14:textFill>
        </w:rPr>
        <w:t xml:space="preserve">29.8</w:t>
      </w:r>
      <w:r>
        <w:rPr>
          <w:rFonts w:hint="eastAsia" w:ascii="宋体" w:hAnsi="宋体"/>
          <w:color w:val="000000" w:themeColor="text1"/>
          <w:highlight w:val="none"/>
          <w14:textFill>
            <w14:solidFill>
              <w14:schemeClr w14:val="tx1"/>
            </w14:solidFill>
          </w14:textFill>
        </w:rPr>
        <w:t xml:space="preserve">供应商捏造事实、提供虚假材料或者以非法手段取得证明材料进行投诉的，由财政部门列入不良行为记录名单，禁止其1至3年内参加政府采购活动</w:t>
      </w:r>
      <w:r>
        <w:rPr>
          <w:rFonts w:hint="eastAsia" w:ascii="宋体" w:hAnsi="宋体"/>
          <w:color w:val="000000" w:themeColor="text1"/>
          <w:highlight w:val="none"/>
          <w:lang w:eastAsia="zh-CN"/>
          <w14:textFill>
            <w14:solidFill>
              <w14:schemeClr w14:val="tx1"/>
            </w14:solidFill>
          </w14:textFill>
        </w:rPr>
        <w:t xml:space="preserve">。</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.成交通知书</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0</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成交结果确定后，采购人将向成交供应商发出成交通知书。</w:t>
      </w:r>
      <w:r>
        <w:rPr>
          <w:rFonts w:hint="eastAsia" w:ascii="宋体" w:hAnsi="宋体" w:cs="宋体"/>
          <w:color w:val="000000" w:themeColor="text1"/>
          <w:sz w:val="24"/>
          <w:szCs w:val="24"/>
          <w:highlight w:val="none"/>
          <w14:textFill>
            <w14:solidFill>
              <w14:schemeClr w14:val="tx1"/>
            </w14:solidFill>
          </w14:textFill>
        </w:rPr>
        <w:t xml:space="preserve">请成交供应商在成交结果公告届满之日起30日内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使用CA数字证书登录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及时下载成交通知书。因系统存储空间有限，自成交结果公告届满之日起30日后，</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不再保证提供下载成交通知书服务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因未及时下载而造成的不利后果由成交供应商自行承担。</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55" w:name="_Toc20823308"/>
      <w:r/>
      <w:bookmarkStart w:id="156" w:name="_Toc16938552"/>
      <w:r/>
      <w:bookmarkStart w:id="157" w:name="_Toc120614220"/>
      <w:r/>
      <w:bookmarkStart w:id="158" w:name="_Toc513029236"/>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55"/>
      <w:r/>
      <w:bookmarkEnd w:id="156"/>
      <w:r/>
      <w:bookmarkEnd w:id="157"/>
      <w:r/>
      <w:bookmarkEnd w:id="158"/>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59" w:name="_Toc16938553"/>
      <w:r/>
      <w:bookmarkStart w:id="160" w:name="_Toc513029237"/>
      <w:r/>
      <w:bookmarkStart w:id="161" w:name="_Toc20823309"/>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.2磋商文件、成交供应商的响应文件及磋商过程中有关澄清、承诺文件均应作为合同附件。</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.3 签订合同后，</w:t>
      </w:r>
      <w:r>
        <w:rPr>
          <w:rFonts w:hint="eastAsia" w:ascii="宋体" w:hAnsi="宋体"/>
          <w:b/>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。未经采购人同意，成交供应商也不得采用分包形式履行合同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.标的物的追加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9"/>
      <w:r/>
      <w:bookmarkEnd w:id="160"/>
      <w:r/>
      <w:bookmarkEnd w:id="161"/>
      <w:r/>
      <w:r/>
    </w:p>
    <w:p>
      <w:pPr>
        <w:ind w:firstLine="600"/>
        <w:keepLines/>
        <w:keepNext/>
        <w:spacing w:line="520" w:lineRule="exact"/>
        <w:rPr>
          <w:rFonts w:ascii="黑体" w:hAnsi="宋体" w:eastAsia="黑体"/>
          <w:bCs/>
          <w:color w:val="000000" w:themeColor="text1"/>
          <w:sz w:val="30"/>
          <w:szCs w:val="30"/>
          <w:highlight w:val="none"/>
          <w14:textFill>
            <w14:solidFill>
              <w14:schemeClr w14:val="tx1"/>
            </w14:solidFill>
          </w14:textFill>
        </w:rPr>
        <w:outlineLvl w:val="3"/>
      </w:pPr>
      <w:r/>
      <w:bookmarkStart w:id="162" w:name="_Toc513029242"/>
      <w:r/>
      <w:bookmarkStart w:id="163" w:name="_Toc479757207"/>
      <w:r/>
      <w:bookmarkStart w:id="164" w:name="_Toc16938558"/>
      <w:r/>
      <w:bookmarkStart w:id="165" w:name="_Toc120614221"/>
      <w:r/>
      <w:bookmarkStart w:id="166" w:name="_Toc20823314"/>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3</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5"/>
        <w:spacing w:line="52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成交供应商可凭政府采购合同办理融资贷款，详情请见江苏政府采购网“政采贷”专栏。</w:t>
      </w:r>
      <w:bookmarkEnd w:id="162"/>
      <w:r/>
      <w:bookmarkEnd w:id="163"/>
      <w:r/>
      <w:bookmarkEnd w:id="164"/>
      <w:r/>
      <w:bookmarkEnd w:id="165"/>
      <w:r/>
      <w:bookmarkEnd w:id="166"/>
      <w:r/>
      <w:bookmarkStart w:id="167" w:name="_Hlt16619350"/>
      <w:r/>
      <w:bookmarkStart w:id="168" w:name="_Toc16938590"/>
      <w:r/>
      <w:bookmarkStart w:id="169" w:name="_Toc20823346"/>
      <w:r/>
      <w:bookmarkStart w:id="170" w:name="_Toc120614244"/>
      <w:r/>
      <w:bookmarkStart w:id="171" w:name="_Toc462564139"/>
      <w:r/>
      <w:bookmarkStart w:id="172" w:name="_Toc479757211"/>
      <w:r/>
      <w:r/>
    </w:p>
    <w:p>
      <w:pPr>
        <w:ind w:firstLine="600"/>
        <w:keepLines/>
        <w:keepNext/>
        <w:spacing w:line="520" w:lineRule="exact"/>
        <w:rPr>
          <w:rFonts w:hint="eastAsia" w:ascii="黑体" w:hAnsi="宋体" w:eastAsia="黑体" w:cs="Times New Roman"/>
          <w:bCs/>
          <w:color w:val="000000" w:themeColor="text1"/>
          <w:sz w:val="30"/>
          <w:szCs w:val="30"/>
          <w:highlight w:val="none"/>
          <w14:textFill>
            <w14:solidFill>
              <w14:schemeClr w14:val="tx1"/>
            </w14:solidFill>
          </w14:textFill>
        </w:rPr>
        <w:outlineLvl w:val="3"/>
      </w:pPr>
      <w:r>
        <w:rPr>
          <w:rFonts w:hint="eastAsia" w:ascii="黑体" w:hAnsi="宋体" w:eastAsia="黑体" w:cs="Times New Roman"/>
          <w:bCs/>
          <w:color w:val="000000" w:themeColor="text1"/>
          <w:sz w:val="30"/>
          <w:szCs w:val="30"/>
          <w:highlight w:val="none"/>
          <w:lang w:val="en-US" w:eastAsia="zh-CN"/>
          <w14:textFill>
            <w14:solidFill>
              <w14:schemeClr w14:val="tx1"/>
            </w14:solidFill>
          </w14:textFill>
        </w:rPr>
        <w:t xml:space="preserve">八</w:t>
      </w:r>
      <w:r>
        <w:rPr>
          <w:rFonts w:hint="eastAsia" w:ascii="黑体" w:hAnsi="宋体" w:eastAsia="黑体" w:cs="Times New Roman"/>
          <w:bCs/>
          <w:color w:val="000000" w:themeColor="text1"/>
          <w:sz w:val="30"/>
          <w:szCs w:val="30"/>
          <w:highlight w:val="none"/>
          <w14:textFill>
            <w14:solidFill>
              <w14:schemeClr w14:val="tx1"/>
            </w14:solidFill>
          </w14:textFill>
        </w:rPr>
        <w:t xml:space="preserve">、其他事项说明：（落实的相关政策）</w:t>
      </w:r>
      <w:r/>
    </w:p>
    <w:p>
      <w:pPr>
        <w:ind w:firstLine="555"/>
        <w:spacing w:line="520" w:lineRule="exact"/>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（一）采购项目需要落实的政府采购政策：依据《中华人民共和国政府采购法》《中华人民共和国政府采购法实施条例》和《政府采购竞争性磋商采购方式管理办法》的有关规定，落实政府采购政策。</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本次采购标的属于</w:t>
      </w:r>
      <w:r>
        <w:rPr>
          <w:rFonts w:hint="eastAsia" w:ascii="宋体" w:hAnsi="宋体" w:eastAsia="宋体" w:cs="Times New Roman"/>
          <w:b/>
          <w:bCs w:val="0"/>
          <w:color w:val="000000" w:themeColor="text1"/>
          <w:sz w:val="24"/>
          <w:szCs w:val="24"/>
          <w:highlight w:val="none"/>
          <w:u w:val="single"/>
          <w:lang w:val="en-US" w:eastAsia="zh-CN"/>
          <w14:textFill>
            <w14:solidFill>
              <w14:schemeClr w14:val="tx1"/>
            </w14:solidFill>
          </w14:textFill>
        </w:rPr>
        <w:t xml:space="preserve">其他未列明行业</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小微型企业价格扣除</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（1）专门面向中小企业采购的项目，小微企业不再享受价格扣除优惠政策。</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（2）供应商需按照采购文件的要求提供相应的《中小企业声明函》。</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（3）企业标准请参照《关于印发中小企业划型标准规定的通知》（工信部联企业〔2011〕300号）文件规定自行填写。</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（4）在货物采购项目中，供应商提供的货物既有中小企业制造货物，也有大型企业制造货物的，不享受本办法规定的中小企业扶持政策。</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.残疾人福利性单位价格扣除政策</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（1）本项目对残疾人福利性单位视同小型、微型企业，给予10%的价格扣除，用扣除后的价格参与评审。</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（2）残疾人福利性单位需按照采购文件的要求提供《残疾人福利性单位声明函》。</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（3）残疾人福利性单位标准参照《关于促进残疾人就业政府采购政策的通知》（财库〔2017〕141号）。</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.监狱和戒毒企业价格扣除</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（1）本项目对监狱和戒毒企业（简称监狱企业）视同小型、微型企业，给予10%的价格扣除，用扣除后的价格参与评审。</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（3）监狱企业标准参照《关于政府采购支持监狱企业发展有关问题的通知》（财库〔2014〕68号）。</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.残疾人福利性单位、监狱企业属于小型、微型企业的，不重复享受政策。</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14:textFill>
            <w14:solidFill>
              <w14:schemeClr w14:val="tx1"/>
            </w14:solidFill>
          </w14:textFill>
        </w:rPr>
        <w:t xml:space="preserve">.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14:textFill>
            <w14:solidFill>
              <w14:schemeClr w14:val="tx1"/>
            </w14:solidFill>
          </w14:textFill>
        </w:rPr>
        <w:t xml:space="preserve">.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14:textFill>
            <w14:solidFill>
              <w14:schemeClr w14:val="tx1"/>
            </w14:solidFill>
          </w14:textFill>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.未按要求提供相关材料的，不享受相关政策。</w:t>
      </w:r>
      <w:r/>
    </w:p>
    <w:p>
      <w:pPr>
        <w:ind w:firstLine="555"/>
        <w:spacing w:line="520" w:lineRule="exact"/>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（二）采购本国产品的支持政策</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3.本项目政府采购活动中既有本国产品又有非本国产品参与竞争的，依法对本国产品给予价格评审优惠，对本国产品的报价给予20%的价格扣除，用扣除后的价格参与评审。</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5.供应商需按照招标文件的要求提供《关于符合本国产品标准的声明函》（以下简称《声明函》），如不提供将不享受本国产品价格评审优惠。</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keepLines/>
        <w:keepNext/>
        <w:spacing w:line="520" w:lineRule="exact"/>
        <w:rPr>
          <w:rFonts w:hint="eastAsia" w:ascii="黑体" w:hAnsi="宋体" w:eastAsia="黑体" w:cs="Times New Roman"/>
          <w:bCs/>
          <w:color w:val="000000" w:themeColor="text1"/>
          <w:sz w:val="30"/>
          <w:szCs w:val="30"/>
          <w:highlight w:val="none"/>
          <w:lang w:val="en-US" w:eastAsia="zh-CN"/>
          <w14:textFill>
            <w14:solidFill>
              <w14:schemeClr w14:val="tx1"/>
            </w14:solidFill>
          </w14:textFill>
        </w:rPr>
        <w:outlineLvl w:val="3"/>
      </w:pPr>
      <w:r>
        <w:rPr>
          <w:rFonts w:hint="eastAsia" w:ascii="黑体" w:hAnsi="宋体" w:eastAsia="黑体" w:cs="Times New Roman"/>
          <w:bCs/>
          <w:color w:val="000000" w:themeColor="text1"/>
          <w:sz w:val="30"/>
          <w:szCs w:val="30"/>
          <w:highlight w:val="none"/>
          <w:lang w:val="en-US" w:eastAsia="zh-CN"/>
          <w14:textFill>
            <w14:solidFill>
              <w14:schemeClr w14:val="tx1"/>
            </w14:solidFill>
          </w14:textFill>
        </w:rPr>
        <w:t xml:space="preserve">九、关于异常低价的审查</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根据财库〔2026〕2号文《财政部关于推动解决政府采购异常低价问题的通知》：</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1.政府采购评审中出现下列情形之一的，评审委员会应当启动异常低价投标（响应）审查程序：</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1.1投标（响应）报价低于全部通过符合性审查供应商投标（响应）报价平均值50%的，即投标（响应）报价</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全部通过符合性审查供应商投标（响应）报价平均值×50%；</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1.2投标（响应）报价低于通过符合性审查的次低报价供应商投标（响应）报价50%的，即投标（响应）报价</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通过符合性审查的次低报价供应商投标（响应）报价×50%；</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1.3投标（响应）报价低于采购项目最高限价45%的，即投标（响应）报价</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采购项目最高限价×45%；</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1.4评审委员会基于专业判断，认为供应商报价过低，有可能影响产品质量或者不能诚信履约的其他情形。</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5"/>
        <w:rPr>
          <w:rFonts w:hint="eastAsia"/>
          <w:lang w:val="en-US" w:eastAsia="zh-CN"/>
        </w:rPr>
      </w:pPr>
      <w:r>
        <w:rPr>
          <w:rFonts w:hint="eastAsia"/>
          <w:lang w:val="en-US" w:eastAsia="zh-CN"/>
        </w:rPr>
      </w:r>
      <w:r/>
    </w:p>
    <w:p>
      <w:pPr>
        <w:jc w:val="center"/>
        <w:spacing w:line="360" w:lineRule="auto"/>
        <w:rPr>
          <w:rFonts w:hint="eastAsia" w:ascii="仿宋" w:hAnsi="仿宋" w:eastAsia="仿宋"/>
          <w:bCs/>
          <w:color w:val="000000" w:themeColor="text1"/>
          <w:sz w:val="28"/>
          <w:szCs w:val="28"/>
          <w:highlight w:val="none"/>
          <w14:textFill>
            <w14:solidFill>
              <w14:schemeClr w14:val="tx1"/>
            </w14:solidFill>
          </w14:textFill>
        </w:rPr>
        <w:outlineLvl w:val="0"/>
      </w:pPr>
      <w:r>
        <w:rPr>
          <w:rFonts w:hint="eastAsia"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67"/>
      <w:r>
        <w:rPr>
          <w:rFonts w:hint="eastAsia" w:ascii="黑体" w:hAnsi="Courier New" w:eastAsia="黑体" w:cs="Courier New"/>
          <w:bCs/>
          <w:color w:val="000000" w:themeColor="text1"/>
          <w:sz w:val="44"/>
          <w:szCs w:val="21"/>
          <w:highlight w:val="none"/>
          <w14:textFill>
            <w14:solidFill>
              <w14:schemeClr w14:val="tx1"/>
            </w14:solidFill>
          </w14:textFill>
        </w:rPr>
        <w:t xml:space="preserve">三章 </w:t>
      </w:r>
      <w:r>
        <w:rPr>
          <w:rFonts w:hint="eastAsia" w:ascii="黑体" w:hAnsi="Courier New" w:eastAsia="黑体" w:cs="Courier New"/>
          <w:bCs/>
          <w:color w:val="000000" w:themeColor="text1"/>
          <w:sz w:val="44"/>
          <w:szCs w:val="21"/>
          <w:highlight w:val="none"/>
          <w:lang w:val="en-US" w:eastAsia="zh-CN"/>
          <w14:textFill>
            <w14:solidFill>
              <w14:schemeClr w14:val="tx1"/>
            </w14:solidFill>
          </w14:textFill>
        </w:rPr>
        <w:t xml:space="preserve">项目</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需求</w:t>
      </w:r>
      <w:bookmarkEnd w:id="168"/>
      <w:r/>
      <w:bookmarkEnd w:id="169"/>
      <w:r/>
      <w:bookmarkEnd w:id="170"/>
      <w:r/>
      <w:bookmarkStart w:id="173" w:name="_Toc26554093"/>
      <w:r/>
      <w:bookmarkStart w:id="174" w:name="_Toc49090575"/>
      <w:r/>
      <w:r/>
    </w:p>
    <w:p>
      <w:pPr>
        <w:ind w:firstLine="560"/>
        <w:keepLines w:val="0"/>
        <w:keepNext w:val="0"/>
        <w:pageBreakBefore w:val="0"/>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一、维保设备清单</w:t>
      </w:r>
      <w:r/>
    </w:p>
    <w:tbl>
      <w:tblPr>
        <w:tblStyle w:val="772"/>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3655"/>
        <w:gridCol w:w="708"/>
        <w:gridCol w:w="2689"/>
        <w:gridCol w:w="1380"/>
      </w:tblGrid>
      <w:tr>
        <w:trPr>
          <w:jc w:val="center"/>
          <w:trHeight w:val="419"/>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品目</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维保设备名称</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设备型号</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服务类型</w:t>
            </w:r>
            <w:r/>
          </w:p>
        </w:tc>
      </w:tr>
      <w:tr>
        <w:trPr>
          <w:jc w:val="center"/>
          <w:trHeight w:val="425"/>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01</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准分子角膜激光治疗仪</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蔡司 MEL90</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全保</w:t>
            </w:r>
            <w:r/>
          </w:p>
        </w:tc>
      </w:tr>
      <w:tr>
        <w:trPr>
          <w:jc w:val="center"/>
          <w:trHeight w:val="425"/>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02</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眼科手术显微镜</w:t>
            </w:r>
            <w:r>
              <w:rPr>
                <w:rFonts w:hint="eastAsia" w:ascii="宋体" w:hAnsi="宋体" w:cs="宋体"/>
                <w:b w:val="0"/>
                <w:bCs/>
                <w:sz w:val="24"/>
                <w:szCs w:val="24"/>
                <w:lang w:eastAsia="zh-CN"/>
              </w:rPr>
              <w:t xml:space="preserve">（</w:t>
            </w:r>
            <w:r>
              <w:rPr>
                <w:rFonts w:hint="eastAsia" w:ascii="宋体" w:hAnsi="宋体" w:eastAsia="宋体" w:cs="宋体"/>
                <w:b w:val="0"/>
                <w:bCs/>
                <w:sz w:val="24"/>
                <w:szCs w:val="24"/>
              </w:rPr>
              <w:t xml:space="preserve">含导航Callisto eye和Resight700</w:t>
            </w:r>
            <w:r>
              <w:rPr>
                <w:rFonts w:hint="eastAsia" w:ascii="宋体" w:hAnsi="宋体" w:cs="宋体"/>
                <w:b w:val="0"/>
                <w:bCs/>
                <w:sz w:val="24"/>
                <w:szCs w:val="24"/>
                <w:lang w:eastAsia="zh-CN"/>
              </w:rPr>
              <w:t xml:space="preserve">）</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蔡司OPMI Lumera700</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全保</w:t>
            </w:r>
            <w:r/>
          </w:p>
        </w:tc>
      </w:tr>
      <w:tr>
        <w:trPr>
          <w:jc w:val="center"/>
          <w:trHeight w:val="425"/>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03</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手术显微镜</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蔡司Tivato700</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全保</w:t>
            </w:r>
            <w:r/>
          </w:p>
        </w:tc>
      </w:tr>
    </w:tbl>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包含配件、人工、差旅、安装调试及相关技术支持</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全部费用。</w:t>
      </w:r>
      <w:r/>
    </w:p>
    <w:p>
      <w:pPr>
        <w:ind w:firstLine="560"/>
        <w:keepLines w:val="0"/>
        <w:keepNext w:val="0"/>
        <w:pageBreakBefore w:val="0"/>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二、技术要求</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1.▲服务内容：在服务期限内若发生故障，则更换所有有问题的零部件；所更换的零部件必须为原厂全新备件。包含主机所有部件</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，包</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含激光管、扫描器、能量探测器、控制电脑等，不包含移机、耗材费用。准分子角膜激光治疗仪每年提供不少于4次（显微镜每年2次）预防性维护保养，包括但不限于机器清洁、性能测试及校准、必要的机械或电气检查、非紧急性质的补救性维修，确保系统能按照制造商的产品规格运行。</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2.维修响应时间：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2.1报修后工程师电话响应时间不超过2小时，由原厂认证的在职资深工程师提供电话技术支持：答疑、即时诊断机器故障、制定维修方案。</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2.2现场检修：48小时以内到达现场（因不可抗力因素导致无法执行除外），由原厂认证授权的在职工程师提供快速优质的现场服务。</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2.3▲确保所有相关配件（含激光腔）国内有货，承诺院方所有备件的优先使用权，并在48小时之内送达医院。如维修不涉及零配件更换，应在48小时内修复完毕（软件重装除外）；如</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涉及</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零配件更换，应在3日内修复完毕。</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2.4全年开机率≥95%（按照一年365日计算），每年因设备故障原因停机累计不超过18个日历日。任何一台设备停机天数超过约定累计停机天数一天，保修期限延长1天。</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2.5 ▲使用原厂专用校准工具进行保养和维修。核心原厂配件（如：激光腔、扫描器、气体控制板SO1、POLO控制器）在更换时，需提供进口配件的报关单复印件及原厂证明材料。</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3.具备客户服务专线电话，全年可接通，有专人接听。</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4.投标人在国内设有零备件库，提供仓库地址面积等信息，并提供相关证明材料（提供零备件库的产权证明或租赁协议，如为租赁协议的，租赁期限需涵盖本项目服务期）</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5.投标人具有全套维修工具，并提供适用于本次维保设备的相关维修工具图片。</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bookmarkStart w:id="175" w:name="_Hlk193985810"/>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服务期内，每次故障维修及保养，必须提供完整详细的维修、保养记录（含故障原因、解决过程及更换配件情况等，英文书写的需有中文备注），交院方设备处备案。</w:t>
      </w:r>
      <w:bookmarkEnd w:id="175"/>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7.维保期限内，根据临床需求提供准分子氟化氩气体1瓶/年，准分子测试纸1盒/年。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8.维保期限内，根据临床需求提供Tivato 700显微镜原厂300W氙灯，1个/年。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9.维保期限内，根据临床需求提供Lumera700显微镜原厂180W氙灯，4个/年。</w:t>
      </w:r>
      <w:r/>
    </w:p>
    <w:p>
      <w:pPr>
        <w:pStyle w:val="755"/>
        <w:rPr>
          <w:rFonts w:hint="eastAsia"/>
          <w:lang w:val="en-US" w:eastAsia="zh-CN"/>
        </w:rPr>
      </w:pPr>
      <w:r>
        <w:rPr>
          <w:rFonts w:hint="eastAsia"/>
          <w:lang w:val="en-US" w:eastAsia="zh-CN"/>
        </w:rPr>
      </w:r>
      <w:r/>
    </w:p>
    <w:p>
      <w:pPr>
        <w:ind w:firstLine="560"/>
        <w:keepLines w:val="0"/>
        <w:keepNext w:val="0"/>
        <w:pageBreakBefore w:val="0"/>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★三、商务要求</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1.付款方式：</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分四期付款，合同签订后每半年支付一次</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2.服务地点：泰州市人民医院</w:t>
      </w:r>
      <w:r/>
    </w:p>
    <w:p>
      <w:pPr>
        <w:ind w:firstLine="555"/>
        <w:spacing w:line="52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3.合同履行期限：2年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4.履约保证金</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4.1本项目履约保证金额度为成交总价的10%。</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4.2依据泰财购〔2023〕11号精神，供应商应当以支票、汇票、本票或者金融机构、担保机构出具的保函、电子保函、保证保险、电子保证保险等非现金形式提交，履约保证金在合同签订前提交给采购人（具体采用哪种形式由供应商在签订合同前与采购人财务部门对接）。</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4.3履约保证金返还：合同履行完成后无息退还。</w:t>
      </w:r>
      <w:r/>
    </w:p>
    <w:p>
      <w:pPr>
        <w:ind w:firstLine="555"/>
        <w:spacing w:line="52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4.4若成交供应商在执行合同中有任何不履约行为，视情节，采购人可从其履约保证金中取得补偿，不足部分，将依法追究其相应的法律责任。</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jc w:val="center"/>
        <w:keepNext/>
        <w:spacing w:line="360" w:lineRule="auto"/>
        <w:rPr>
          <w:rFonts w:ascii="宋体" w:hAnsi="宋体" w:cs="宋体"/>
          <w:b/>
          <w:bCs/>
          <w:color w:val="000000" w:themeColor="text1"/>
          <w:spacing w:val="-20"/>
          <w:sz w:val="48"/>
          <w:szCs w:val="4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br w:type="page" w:clear="all"/>
      </w:r>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r>
        <w:rPr>
          <w:rFonts w:hint="eastAsia" w:ascii="黑体" w:hAnsi="Courier New" w:eastAsia="黑体" w:cs="Courier New"/>
          <w:bCs/>
          <w:color w:val="000000" w:themeColor="text1"/>
          <w:sz w:val="44"/>
          <w:szCs w:val="21"/>
          <w:highlight w:val="none"/>
          <w:lang w:val="en-US" w:eastAsia="zh-CN"/>
          <w14:textFill>
            <w14:solidFill>
              <w14:schemeClr w14:val="tx1"/>
            </w14:solidFill>
          </w14:textFill>
        </w:rPr>
        <w:t xml:space="preserve">四</w:t>
      </w:r>
      <w:r>
        <w:rPr>
          <w:rFonts w:hint="eastAsia" w:ascii="黑体" w:hAnsi="Courier New" w:eastAsia="黑体" w:cs="Courier New"/>
          <w:bCs/>
          <w:color w:val="000000" w:themeColor="text1"/>
          <w:sz w:val="44"/>
          <w:szCs w:val="21"/>
          <w:highlight w:val="none"/>
          <w14:textFill>
            <w14:solidFill>
              <w14:schemeClr w14:val="tx1"/>
            </w14:solidFill>
          </w14:textFill>
        </w:rPr>
        <w:t xml:space="preserve">章 </w:t>
      </w:r>
      <w:r>
        <w:rPr>
          <w:rFonts w:hint="eastAsia" w:ascii="黑体" w:eastAsia="黑体"/>
          <w:bCs/>
          <w:color w:val="000000" w:themeColor="text1"/>
          <w:sz w:val="44"/>
          <w:szCs w:val="28"/>
          <w:highlight w:val="none"/>
          <w14:textFill>
            <w14:solidFill>
              <w14:schemeClr w14:val="tx1"/>
            </w14:solidFill>
          </w14:textFill>
        </w:rPr>
        <w:t xml:space="preserve">合同条款及格式（参考）</w:t>
      </w:r>
      <w:bookmarkStart w:id="176" w:name="_Hlt16619369"/>
      <w:r/>
      <w:bookmarkEnd w:id="176"/>
      <w:r/>
      <w:bookmarkStart w:id="177" w:name="_Toc3995"/>
      <w:r/>
      <w:bookmarkEnd w:id="177"/>
      <w:r/>
      <w:r/>
    </w:p>
    <w:p>
      <w:pPr>
        <w:ind w:firstLine="480"/>
        <w:keepLines w:val="0"/>
        <w:keepNext w:val="0"/>
        <w:pageBreakBefore w:val="0"/>
        <w:spacing w:line="360" w:lineRule="auto"/>
        <w:widowControl w:val="off"/>
        <w:rPr>
          <w:rFonts w:hAnsi="宋体"/>
          <w:b w:val="0"/>
          <w:bCs/>
          <w:color w:val="000000" w:themeColor="text1"/>
          <w:szCs w:val="24"/>
          <w:highlight w:val="none"/>
          <w14:textFill>
            <w14:solidFill>
              <w14:schemeClr w14:val="tx1"/>
            </w14:solidFill>
          </w14:textFill>
        </w:rPr>
      </w:pPr>
      <w:r/>
      <w:bookmarkStart w:id="178" w:name="_Toc120614281"/>
      <w:r>
        <w:rPr>
          <w:rFonts w:hint="eastAsia" w:hAnsi="宋体"/>
          <w:bCs/>
          <w:color w:val="000000" w:themeColor="text1"/>
          <w:szCs w:val="24"/>
          <w:highlight w:val="none"/>
          <w14:textFill>
            <w14:solidFill>
              <w14:schemeClr w14:val="tx1"/>
            </w14:solidFill>
          </w14:textFill>
        </w:rPr>
        <w:t xml:space="preserve">注：本合同仅为合同的参考文本，合同签订双方可根据项目的具体要求进行修订，但不得更改实质性要求。</w:t>
      </w:r>
      <w:r/>
    </w:p>
    <w:p>
      <w:pPr>
        <w:keepLines w:val="0"/>
        <w:keepNext w:val="0"/>
        <w:pageBreakBefore w:val="0"/>
        <w:spacing w:line="360" w:lineRule="auto"/>
        <w:widowControl w:val="off"/>
        <w:rPr>
          <w:rFonts w:hAnsi="宋体"/>
          <w:bCs/>
          <w:color w:val="000000" w:themeColor="text1"/>
          <w:sz w:val="28"/>
          <w:szCs w:val="28"/>
          <w:highlight w:val="none"/>
          <w14:textFill>
            <w14:solidFill>
              <w14:schemeClr w14:val="tx1"/>
            </w14:solidFill>
          </w14:textFill>
        </w:rPr>
      </w:pPr>
      <w:r>
        <w:rPr>
          <w:rFonts w:hAnsi="宋体"/>
          <w:bCs/>
          <w:color w:val="000000" w:themeColor="text1"/>
          <w:sz w:val="28"/>
          <w:szCs w:val="28"/>
          <w:highlight w:val="none"/>
          <w14:textFill>
            <w14:solidFill>
              <w14:schemeClr w14:val="tx1"/>
            </w14:solidFill>
          </w14:textFill>
        </w:rPr>
      </w:r>
      <w:r/>
    </w:p>
    <w:p>
      <w:pPr>
        <w:jc w:val="center"/>
        <w:keepLines w:val="0"/>
        <w:keepNext w:val="0"/>
        <w:pageBreakBefore w:val="0"/>
        <w:widowControl w:val="off"/>
        <w:rPr>
          <w:rFonts w:ascii="黑体" w:hAnsi="黑体" w:eastAsia="黑体" w:cs="Times New Roman"/>
          <w:bCs/>
          <w:color w:val="000000" w:themeColor="text1"/>
          <w:sz w:val="30"/>
          <w:szCs w:val="20"/>
          <w:highlight w:val="none"/>
          <w14:textFill>
            <w14:solidFill>
              <w14:schemeClr w14:val="tx1"/>
            </w14:solidFill>
          </w14:textFill>
        </w:rPr>
        <w:outlineLvl w:val="0"/>
      </w:pPr>
      <w:r>
        <w:rPr>
          <w:rFonts w:hint="eastAsia" w:ascii="黑体" w:hAnsi="黑体" w:eastAsia="黑体" w:cs="Times New Roman"/>
          <w:color w:val="000000" w:themeColor="text1"/>
          <w:sz w:val="30"/>
          <w:szCs w:val="21"/>
          <w:highlight w:val="none"/>
          <w14:textFill>
            <w14:solidFill>
              <w14:schemeClr w14:val="tx1"/>
            </w14:solidFill>
          </w14:textFill>
        </w:rPr>
        <w:t xml:space="preserve">政府采购合同（服务类）（合同编号）</w:t>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项目名称：                                       项目编号：</w:t>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甲方：（买方）</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乙方：（卖方）</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根据《中华人民共和国民法典（合同编）》、《中华人民共和国政府采购法》等法律法规的规定以及</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项目采购结果，甲乙双方遵循平等、自愿、公平、诚实信用的原则，就</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项目事宜经双方协商一致，订立本合同。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一、</w:t>
      </w:r>
      <w:r>
        <w:rPr>
          <w:rFonts w:hint="eastAsia" w:ascii="宋体" w:hAnsi="宋体" w:eastAsia="宋体" w:cs="Times New Roman"/>
          <w:b/>
          <w:color w:val="000000" w:themeColor="text1"/>
          <w:sz w:val="24"/>
          <w:szCs w:val="24"/>
          <w:highlight w:val="none"/>
          <w14:textFill>
            <w14:solidFill>
              <w14:schemeClr w14:val="tx1"/>
            </w14:solidFill>
          </w14:textFill>
        </w:rPr>
        <w:t xml:space="preserve">合同</w:t>
      </w:r>
      <w:r>
        <w:rPr>
          <w:rFonts w:ascii="宋体" w:hAnsi="宋体" w:eastAsia="宋体" w:cs="Times New Roman"/>
          <w:b/>
          <w:color w:val="000000" w:themeColor="text1"/>
          <w:sz w:val="24"/>
          <w:szCs w:val="24"/>
          <w:highlight w:val="none"/>
          <w14:textFill>
            <w14:solidFill>
              <w14:schemeClr w14:val="tx1"/>
            </w14:solidFill>
          </w14:textFill>
        </w:rPr>
        <w:t xml:space="preserve">内容</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1.1 </w:t>
      </w:r>
      <w:r>
        <w:rPr>
          <w:rFonts w:hint="eastAsia" w:ascii="宋体" w:hAnsi="宋体" w:eastAsia="宋体" w:cs="Times New Roman"/>
          <w:color w:val="000000" w:themeColor="text1"/>
          <w:sz w:val="24"/>
          <w:szCs w:val="24"/>
          <w:highlight w:val="none"/>
          <w14:textFill>
            <w14:solidFill>
              <w14:schemeClr w14:val="tx1"/>
            </w14:solidFill>
          </w14:textFill>
        </w:rPr>
        <w:t xml:space="preserve">标的</w:t>
      </w:r>
      <w:r>
        <w:rPr>
          <w:rFonts w:ascii="宋体" w:hAnsi="宋体" w:eastAsia="宋体" w:cs="Times New Roman"/>
          <w:color w:val="000000" w:themeColor="text1"/>
          <w:sz w:val="24"/>
          <w:szCs w:val="24"/>
          <w:highlight w:val="none"/>
          <w14:textFill>
            <w14:solidFill>
              <w14:schemeClr w14:val="tx1"/>
            </w14:solidFill>
          </w14:textFill>
        </w:rPr>
        <w:t xml:space="preserve">名称：</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1.2</w:t>
      </w:r>
      <w:r>
        <w:rPr>
          <w:rFonts w:hint="eastAsia" w:ascii="宋体" w:hAnsi="宋体" w:eastAsia="宋体" w:cs="Times New Roman"/>
          <w:color w:val="000000" w:themeColor="text1"/>
          <w:sz w:val="24"/>
          <w:szCs w:val="24"/>
          <w:highlight w:val="none"/>
          <w14:textFill>
            <w14:solidFill>
              <w14:schemeClr w14:val="tx1"/>
            </w14:solidFill>
          </w14:textFill>
        </w:rPr>
        <w:t xml:space="preserve">标的质量：</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1.3 服务内容及范围（规模）：</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1.4 履行时间（期限）：</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1.5 履行地点：</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6履行方式：</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二、合同金额</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2.1 本合同金额为（大写）：____________________________________</w:t>
      </w:r>
      <w:r>
        <w:rPr>
          <w:rFonts w:hint="eastAsia" w:ascii="宋体" w:hAnsi="宋体" w:eastAsia="宋体" w:cs="Times New Roman"/>
          <w:color w:val="000000" w:themeColor="text1"/>
          <w:sz w:val="24"/>
          <w:szCs w:val="24"/>
          <w:highlight w:val="none"/>
          <w14:textFill>
            <w14:solidFill>
              <w14:schemeClr w14:val="tx1"/>
            </w14:solidFill>
          </w14:textFill>
        </w:rPr>
        <w:t xml:space="preserve">圆</w:t>
      </w:r>
      <w:r>
        <w:rPr>
          <w:rFonts w:ascii="宋体" w:hAnsi="宋体" w:eastAsia="宋体" w:cs="Times New Roman"/>
          <w:color w:val="000000" w:themeColor="text1"/>
          <w:sz w:val="24"/>
          <w:szCs w:val="24"/>
          <w:highlight w:val="none"/>
          <w14:textFill>
            <w14:solidFill>
              <w14:schemeClr w14:val="tx1"/>
            </w14:solidFill>
          </w14:textFill>
        </w:rPr>
        <w:t xml:space="preserve">（_______________元）人民币。</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三、技术资料</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1 </w:t>
      </w:r>
      <w:r>
        <w:rPr>
          <w:rFonts w:ascii="宋体" w:hAnsi="宋体" w:eastAsia="宋体" w:cs="Times New Roman"/>
          <w:color w:val="000000" w:themeColor="text1"/>
          <w:sz w:val="24"/>
          <w:szCs w:val="24"/>
          <w:highlight w:val="none"/>
          <w14:textFill>
            <w14:solidFill>
              <w14:schemeClr w14:val="tx1"/>
            </w14:solidFill>
          </w14:textFill>
        </w:rPr>
        <w:t xml:space="preserve">乙方应按采购文件规定的时间向甲方提供服务</w:t>
      </w:r>
      <w:r>
        <w:rPr>
          <w:rFonts w:hint="eastAsia" w:ascii="宋体" w:hAnsi="宋体" w:eastAsia="宋体" w:cs="Times New Roman"/>
          <w:color w:val="000000" w:themeColor="text1"/>
          <w:sz w:val="24"/>
          <w:szCs w:val="24"/>
          <w:highlight w:val="none"/>
          <w14:textFill>
            <w14:solidFill>
              <w14:schemeClr w14:val="tx1"/>
            </w14:solidFill>
          </w14:textFill>
        </w:rPr>
        <w:t xml:space="preserve">（包含与服务相关的产品）</w:t>
      </w:r>
      <w:r>
        <w:rPr>
          <w:rFonts w:ascii="宋体" w:hAnsi="宋体" w:eastAsia="宋体" w:cs="Times New Roman"/>
          <w:color w:val="000000" w:themeColor="text1"/>
          <w:sz w:val="24"/>
          <w:szCs w:val="24"/>
          <w:highlight w:val="none"/>
          <w14:textFill>
            <w14:solidFill>
              <w14:schemeClr w14:val="tx1"/>
            </w14:solidFill>
          </w14:textFill>
        </w:rPr>
        <w:t xml:space="preserve">的有关技术资料。</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3.2</w:t>
      </w:r>
      <w:r>
        <w:rPr>
          <w:rFonts w:hint="eastAsia" w:ascii="宋体" w:hAnsi="宋体" w:eastAsia="宋体" w:cs="Times New Roman"/>
          <w:color w:val="000000" w:themeColor="text1"/>
          <w:sz w:val="24"/>
          <w:szCs w:val="24"/>
          <w:highlight w:val="non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四、知识产权</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4.1</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乙</w:t>
      </w:r>
      <w:r>
        <w:rPr>
          <w:rFonts w:hint="eastAsia" w:ascii="宋体" w:hAnsi="宋体" w:eastAsia="宋体" w:cs="Courier New"/>
          <w:color w:val="000000" w:themeColor="text1"/>
          <w:sz w:val="24"/>
          <w:szCs w:val="24"/>
          <w:highlight w:val="none"/>
          <w14:textFill>
            <w14:solidFill>
              <w14:schemeClr w14:val="tx1"/>
            </w14:solidFill>
          </w14:textFill>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keepLines w:val="0"/>
        <w:keepNext w:val="0"/>
        <w:pageBreakBefore w:val="0"/>
        <w:spacing w:before="120" w:after="120"/>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五、产权担保</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5.1 乙方保证所交付的</w:t>
      </w:r>
      <w:r>
        <w:rPr>
          <w:rFonts w:hint="eastAsia" w:ascii="宋体" w:hAnsi="宋体" w:eastAsia="宋体" w:cs="Courier New"/>
          <w:color w:val="000000" w:themeColor="text1"/>
          <w:sz w:val="24"/>
          <w:szCs w:val="24"/>
          <w:highlight w:val="none"/>
          <w14:textFill>
            <w14:solidFill>
              <w14:schemeClr w14:val="tx1"/>
            </w14:solidFill>
          </w14:textFill>
        </w:rPr>
        <w:t xml:space="preserve">服务（包含与服务相关的产品）</w:t>
      </w:r>
      <w:r>
        <w:rPr>
          <w:rFonts w:ascii="宋体" w:hAnsi="宋体" w:eastAsia="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六、合同转包</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6.1 乙方不得将合同标的转包给他人履行。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七</w:t>
      </w:r>
      <w:r>
        <w:rPr>
          <w:rFonts w:ascii="宋体" w:hAnsi="宋体" w:eastAsia="宋体" w:cs="Times New Roman"/>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14:textFill>
            <w14:solidFill>
              <w14:schemeClr w14:val="tx1"/>
            </w14:solidFill>
          </w14:textFill>
        </w:rPr>
        <w:t xml:space="preserve">合同款项</w:t>
      </w:r>
      <w:r>
        <w:rPr>
          <w:rFonts w:ascii="宋体" w:hAnsi="宋体" w:eastAsia="宋体" w:cs="Times New Roman"/>
          <w:b/>
          <w:color w:val="000000" w:themeColor="text1"/>
          <w:sz w:val="24"/>
          <w:szCs w:val="24"/>
          <w:highlight w:val="none"/>
          <w14:textFill>
            <w14:solidFill>
              <w14:schemeClr w14:val="tx1"/>
            </w14:solidFill>
          </w14:textFill>
        </w:rPr>
        <w:t xml:space="preserve">支付</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14:textFill>
            <w14:solidFill>
              <w14:schemeClr w14:val="tx1"/>
            </w14:solidFill>
          </w14:textFill>
        </w:rPr>
        <w:t xml:space="preserve">7</w:t>
      </w:r>
      <w:r>
        <w:rPr>
          <w:rFonts w:ascii="宋体" w:hAnsi="宋体" w:eastAsia="宋体" w:cs="Courier New"/>
          <w:bCs/>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由甲方按下列程序在</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内付款</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7.2对于满足合同约定支付条件的，甲方应当自收到发票后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日内将资金支付到合同约定的乙方账户，不得以机构变动、人员更替、政策调整等为由延迟付款，不得将采购文件和合同中未规定的义务作为向乙方付款的条件。</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八、税费</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8.1 本合同执行中相关的一切税费均由乙方负担。</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九</w:t>
      </w:r>
      <w:r>
        <w:rPr>
          <w:rFonts w:ascii="宋体" w:hAnsi="宋体" w:eastAsia="宋体" w:cs="Times New Roman"/>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14:textFill>
            <w14:solidFill>
              <w14:schemeClr w14:val="tx1"/>
            </w14:solidFill>
          </w14:textFill>
        </w:rPr>
        <w:t xml:space="preserve">项目</w:t>
      </w:r>
      <w:r>
        <w:rPr>
          <w:rFonts w:ascii="宋体" w:hAnsi="宋体" w:eastAsia="宋体" w:cs="Times New Roman"/>
          <w:b/>
          <w:color w:val="000000" w:themeColor="text1"/>
          <w:sz w:val="24"/>
          <w:szCs w:val="24"/>
          <w:highlight w:val="none"/>
          <w14:textFill>
            <w14:solidFill>
              <w14:schemeClr w14:val="tx1"/>
            </w14:solidFill>
          </w14:textFill>
        </w:rPr>
        <w:t xml:space="preserve">验收</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9.1 甲方依法组织履约验收工作。</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9.3 对于实际使用人和甲方分离的项目，甲方邀请实际使用人参与验收。</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9.4 如有必要，甲方邀请参加本项目的其他供应商、服务对象、第三方专业机构及专家参与验收，相关意见将作为验收书的参考资料。</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9.5 甲方成立验收小组，按照采购合同的约定对乙方的履约情况进行验收。验收时</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甲方按照采购合同的约定对每一项技术、服务、安全标准的履约情况进行确认。验收结束后</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验收小组出具验收书</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9.6 验收合格的项目</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甲方将及时报告本级财政部门。</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w:t>
      </w:r>
      <w:r>
        <w:rPr>
          <w:rFonts w:ascii="宋体" w:hAnsi="宋体" w:eastAsia="宋体" w:cs="Times New Roman"/>
          <w:b/>
          <w:color w:val="000000" w:themeColor="text1"/>
          <w:sz w:val="24"/>
          <w:szCs w:val="24"/>
          <w:highlight w:val="none"/>
          <w14:textFill>
            <w14:solidFill>
              <w14:schemeClr w14:val="tx1"/>
            </w14:solidFill>
          </w14:textFill>
        </w:rPr>
        <w:t xml:space="preserve">、违约责任</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.1 甲方无正当理由</w:t>
      </w:r>
      <w:r>
        <w:rPr>
          <w:rFonts w:hint="eastAsia" w:ascii="宋体" w:hAnsi="宋体" w:eastAsia="宋体" w:cs="Courier New"/>
          <w:color w:val="000000" w:themeColor="text1"/>
          <w:sz w:val="24"/>
          <w:szCs w:val="24"/>
          <w:highlight w:val="none"/>
          <w14:textFill>
            <w14:solidFill>
              <w14:schemeClr w14:val="tx1"/>
            </w14:solidFill>
          </w14:textFill>
        </w:rPr>
        <w:t xml:space="preserve">拒绝接受乙方提供服务</w:t>
      </w:r>
      <w:r>
        <w:rPr>
          <w:rFonts w:ascii="宋体" w:hAnsi="宋体" w:eastAsia="宋体" w:cs="Courier New"/>
          <w:color w:val="000000" w:themeColor="text1"/>
          <w:sz w:val="24"/>
          <w:szCs w:val="24"/>
          <w:highlight w:val="none"/>
          <w14:textFill>
            <w14:solidFill>
              <w14:schemeClr w14:val="tx1"/>
            </w14:solidFill>
          </w14:textFill>
        </w:rPr>
        <w:t xml:space="preserve">的，甲方向乙方偿付</w:t>
      </w:r>
      <w:r>
        <w:rPr>
          <w:rFonts w:hint="eastAsia" w:ascii="宋体" w:hAnsi="宋体" w:eastAsia="宋体" w:cs="Courier New"/>
          <w:color w:val="000000" w:themeColor="text1"/>
          <w:sz w:val="24"/>
          <w:szCs w:val="24"/>
          <w:highlight w:val="none"/>
          <w14:textFill>
            <w14:solidFill>
              <w14:schemeClr w14:val="tx1"/>
            </w14:solidFill>
          </w14:textFill>
        </w:rPr>
        <w:t xml:space="preserve">拒绝接受服务合同价款</w:t>
      </w:r>
      <w:r>
        <w:rPr>
          <w:rFonts w:ascii="宋体" w:hAnsi="宋体" w:eastAsia="宋体" w:cs="Courier New"/>
          <w:color w:val="000000" w:themeColor="text1"/>
          <w:sz w:val="24"/>
          <w:szCs w:val="24"/>
          <w:highlight w:val="none"/>
          <w14:textFill>
            <w14:solidFill>
              <w14:schemeClr w14:val="tx1"/>
            </w14:solidFill>
          </w14:textFill>
        </w:rPr>
        <w:t xml:space="preserve">总值</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的违约金。</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.2 甲方无故逾期验收和办理</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w:t>
      </w:r>
      <w:r>
        <w:rPr>
          <w:rFonts w:ascii="宋体" w:hAnsi="宋体" w:eastAsia="宋体" w:cs="Courier New"/>
          <w:color w:val="000000" w:themeColor="text1"/>
          <w:sz w:val="24"/>
          <w:szCs w:val="24"/>
          <w:highlight w:val="none"/>
          <w14:textFill>
            <w14:solidFill>
              <w14:schemeClr w14:val="tx1"/>
            </w14:solidFill>
          </w14:textFill>
        </w:rPr>
        <w:t xml:space="preserve">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eastAsia="宋体" w:cs="Courier New"/>
          <w:color w:val="000000" w:themeColor="text1"/>
          <w:sz w:val="24"/>
          <w:szCs w:val="24"/>
          <w:highlight w:val="none"/>
          <w14:textFill>
            <w14:solidFill>
              <w14:schemeClr w14:val="tx1"/>
            </w14:solidFill>
          </w14:textFill>
        </w:rPr>
        <w:t xml:space="preserve">甲方应按逾期付款总额</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每日</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向乙方支付违约金。</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.3 乙方逾期</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w:t>
      </w:r>
      <w:r>
        <w:rPr>
          <w:rFonts w:ascii="宋体" w:hAnsi="宋体" w:eastAsia="宋体" w:cs="Courier New"/>
          <w:color w:val="000000" w:themeColor="text1"/>
          <w:sz w:val="24"/>
          <w:szCs w:val="24"/>
          <w:highlight w:val="none"/>
          <w14:textFill>
            <w14:solidFill>
              <w14:schemeClr w14:val="tx1"/>
            </w14:solidFill>
          </w14:textFill>
        </w:rPr>
        <w:t xml:space="preserve">的，乙方应按逾期</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提供服务合同</w:t>
      </w:r>
      <w:r>
        <w:rPr>
          <w:rFonts w:ascii="宋体" w:hAnsi="宋体" w:eastAsia="宋体" w:cs="Courier New"/>
          <w:color w:val="000000" w:themeColor="text1"/>
          <w:sz w:val="24"/>
          <w:szCs w:val="24"/>
          <w:highlight w:val="none"/>
          <w14:textFill>
            <w14:solidFill>
              <w14:schemeClr w14:val="tx1"/>
            </w14:solidFill>
          </w14:textFill>
        </w:rPr>
        <w:t xml:space="preserve">总额每日</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向甲方支付违约金，由甲方从待付</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w:t>
      </w:r>
      <w:r>
        <w:rPr>
          <w:rFonts w:ascii="宋体" w:hAnsi="宋体" w:eastAsia="宋体" w:cs="Courier New"/>
          <w:color w:val="000000" w:themeColor="text1"/>
          <w:sz w:val="24"/>
          <w:szCs w:val="24"/>
          <w:highlight w:val="none"/>
          <w14:textFill>
            <w14:solidFill>
              <w14:schemeClr w14:val="tx1"/>
            </w14:solidFill>
          </w14:textFill>
        </w:rPr>
        <w:t xml:space="preserve">中扣除。逾期超过约定日期</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个工作日不能</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w:t>
      </w:r>
      <w:r>
        <w:rPr>
          <w:rFonts w:ascii="宋体" w:hAnsi="宋体" w:eastAsia="宋体" w:cs="Courier New"/>
          <w:color w:val="000000" w:themeColor="text1"/>
          <w:sz w:val="24"/>
          <w:szCs w:val="24"/>
          <w:highlight w:val="none"/>
          <w14:textFill>
            <w14:solidFill>
              <w14:schemeClr w14:val="tx1"/>
            </w14:solidFill>
          </w14:textFill>
        </w:rPr>
        <w:t xml:space="preserve">的，甲方可解除本合同。乙方因逾期</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w:t>
      </w:r>
      <w:r>
        <w:rPr>
          <w:rFonts w:ascii="宋体" w:hAnsi="宋体" w:eastAsia="宋体" w:cs="Courier New"/>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hint="eastAsia" w:ascii="宋体" w:hAnsi="宋体" w:eastAsia="宋体" w:cs="Courier New"/>
          <w:color w:val="000000" w:themeColor="text1"/>
          <w:sz w:val="24"/>
          <w:szCs w:val="24"/>
          <w:highlight w:val="none"/>
          <w14:textFill>
            <w14:solidFill>
              <w14:schemeClr w14:val="tx1"/>
            </w14:solidFill>
          </w14:textFill>
        </w:rPr>
        <w:t xml:space="preserve">价款总额</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.4 乙方</w:t>
      </w:r>
      <w:r>
        <w:rPr>
          <w:rFonts w:hint="eastAsia" w:ascii="宋体" w:hAnsi="宋体" w:eastAsia="宋体" w:cs="Courier New"/>
          <w:color w:val="000000" w:themeColor="text1"/>
          <w:sz w:val="24"/>
          <w:szCs w:val="24"/>
          <w:highlight w:val="none"/>
          <w14:textFill>
            <w14:solidFill>
              <w14:schemeClr w14:val="tx1"/>
            </w14:solidFill>
          </w14:textFill>
        </w:rPr>
        <w:t xml:space="preserve">所提供服务的标准</w:t>
      </w:r>
      <w:r>
        <w:rPr>
          <w:rFonts w:ascii="宋体" w:hAnsi="宋体" w:eastAsia="宋体" w:cs="Courier New"/>
          <w:color w:val="000000" w:themeColor="text1"/>
          <w:sz w:val="24"/>
          <w:szCs w:val="24"/>
          <w:highlight w:val="none"/>
          <w14:textFill>
            <w14:solidFill>
              <w14:schemeClr w14:val="tx1"/>
            </w14:solidFill>
          </w14:textFill>
        </w:rPr>
        <w:t xml:space="preserve">不符合合同规定及采购文件规定标准的，甲方有权</w:t>
      </w:r>
      <w:r>
        <w:rPr>
          <w:rFonts w:hint="eastAsia" w:ascii="宋体" w:hAnsi="宋体" w:eastAsia="宋体" w:cs="Courier New"/>
          <w:color w:val="000000" w:themeColor="text1"/>
          <w:sz w:val="24"/>
          <w:szCs w:val="24"/>
          <w:highlight w:val="none"/>
          <w14:textFill>
            <w14:solidFill>
              <w14:schemeClr w14:val="tx1"/>
            </w14:solidFill>
          </w14:textFill>
        </w:rPr>
        <w:t xml:space="preserve">拒绝接受服务</w:t>
      </w:r>
      <w:r>
        <w:rPr>
          <w:rFonts w:ascii="宋体" w:hAnsi="宋体" w:eastAsia="宋体" w:cs="Courier New"/>
          <w:color w:val="000000" w:themeColor="text1"/>
          <w:sz w:val="24"/>
          <w:szCs w:val="24"/>
          <w:highlight w:val="none"/>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并</w:t>
      </w:r>
      <w:r>
        <w:rPr>
          <w:rFonts w:ascii="宋体" w:hAnsi="宋体" w:eastAsia="宋体" w:cs="Courier New"/>
          <w:color w:val="000000" w:themeColor="text1"/>
          <w:sz w:val="24"/>
          <w:szCs w:val="24"/>
          <w:highlight w:val="none"/>
          <w14:textFill>
            <w14:solidFill>
              <w14:schemeClr w14:val="tx1"/>
            </w14:solidFill>
          </w14:textFill>
        </w:rPr>
        <w:t xml:space="preserve">可单方面解除合同。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十一</w:t>
      </w:r>
      <w:r>
        <w:rPr>
          <w:rFonts w:ascii="宋体" w:hAnsi="宋体" w:eastAsia="宋体" w:cs="Times New Roman"/>
          <w:b/>
          <w:color w:val="000000" w:themeColor="text1"/>
          <w:sz w:val="24"/>
          <w:szCs w:val="24"/>
          <w:highlight w:val="none"/>
          <w14:textFill>
            <w14:solidFill>
              <w14:schemeClr w14:val="tx1"/>
            </w14:solidFill>
          </w14:textFill>
        </w:rPr>
        <w:t xml:space="preserve">、不可抗力事件处理</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11.1 在合同有效期内，任何一方因不可抗力事件导致不能履行合同，则合同履行期可延长，其延长期与不可抗力影响期相同。</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11.2 不可抗力事件发生后，应立即通知对方，并寄送有关权威机构出具的证明。</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11.3 不可抗力事件延续120天以上，双方应通过友好协商，确定是否继续履行合同。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十二</w:t>
      </w:r>
      <w:r>
        <w:rPr>
          <w:rFonts w:ascii="宋体" w:hAnsi="宋体" w:eastAsia="宋体" w:cs="Times New Roman"/>
          <w:b/>
          <w:color w:val="000000" w:themeColor="text1"/>
          <w:sz w:val="24"/>
          <w:szCs w:val="24"/>
          <w:highlight w:val="none"/>
          <w14:textFill>
            <w14:solidFill>
              <w14:schemeClr w14:val="tx1"/>
            </w14:solidFill>
          </w14:textFill>
        </w:rPr>
        <w:t xml:space="preserve">、诉讼</w:t>
      </w:r>
      <w:r/>
    </w:p>
    <w:p>
      <w:pPr>
        <w:ind w:left="0"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w:t>
      </w:r>
      <w:r>
        <w:rPr>
          <w:rFonts w:ascii="宋体" w:hAnsi="宋体" w:eastAsia="宋体" w:cs="Courier New"/>
          <w:color w:val="000000" w:themeColor="text1"/>
          <w:sz w:val="24"/>
          <w:szCs w:val="24"/>
          <w:highlight w:val="none"/>
          <w14:textFill>
            <w14:solidFill>
              <w14:schemeClr w14:val="tx1"/>
            </w14:solidFill>
          </w14:textFill>
        </w:rPr>
        <w:t xml:space="preserve">.1 双方在执行合同中所发生的一切争议，应通过协商解决。</w:t>
      </w:r>
      <w:r>
        <w:rPr>
          <w:rFonts w:ascii="宋体" w:hAnsi="宋体" w:eastAsia="宋体" w:cs="Times New Roman"/>
          <w:color w:val="000000" w:themeColor="text1"/>
          <w:sz w:val="24"/>
          <w:szCs w:val="24"/>
          <w:highlight w:val="none"/>
          <w14:textFill>
            <w14:solidFill>
              <w14:schemeClr w14:val="tx1"/>
            </w14:solidFill>
          </w14:textFill>
        </w:rPr>
        <w:t xml:space="preserve">如协商不成，可向合同签订地法院起诉，合同签订地在此约定为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十三、其他</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13.1 本合同所有附件、招标文件、投标文件、中标通知书均为合同的有效组成部分，与本合同具有同等法律效力。</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13.2 如一方地址、电话、传真号码有变更，应在变更当日内书面通知对方，否则，应承担相应责任。</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13.3 除甲方事先书面同意外，乙方不得部分或全部转让其应履行的合同项下的义务。</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13.4本合同未尽事宜，遵照《中华人民共和国民法典（合同编）》有关条文执行。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十四</w:t>
      </w:r>
      <w:r>
        <w:rPr>
          <w:rFonts w:ascii="宋体" w:hAnsi="宋体" w:eastAsia="宋体" w:cs="Times New Roman"/>
          <w:b/>
          <w:color w:val="000000" w:themeColor="text1"/>
          <w:sz w:val="24"/>
          <w:szCs w:val="24"/>
          <w:highlight w:val="none"/>
          <w14:textFill>
            <w14:solidFill>
              <w14:schemeClr w14:val="tx1"/>
            </w14:solidFill>
          </w14:textFill>
        </w:rPr>
        <w:t xml:space="preserve">、合同生效</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14.1 合同经双方法定代表人或授权委托代表人签字并加盖单位公章后生效。</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14.2 本合同正本一式</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份。</w:t>
      </w:r>
      <w:r/>
    </w:p>
    <w:p>
      <w:pPr>
        <w:ind w:left="480" w:hanging="480"/>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  </w:t>
      </w:r>
      <w:r/>
    </w:p>
    <w:p>
      <w:pPr>
        <w:ind w:left="480" w:hanging="480"/>
        <w:keepLines w:val="0"/>
        <w:keepNext w:val="0"/>
        <w:pageBreakBefore w:val="0"/>
        <w:spacing w:before="120" w:after="120" w:line="0" w:lineRule="atLeast"/>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 </w:t>
      </w:r>
      <w:r/>
    </w:p>
    <w:p>
      <w:pPr>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br w:type="page" w:clear="all"/>
      </w:r>
      <w:r/>
    </w:p>
    <w:p>
      <w:pPr>
        <w:ind w:left="480" w:hanging="480"/>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甲方：                        乙方： </w:t>
      </w:r>
      <w:r/>
    </w:p>
    <w:p>
      <w:pPr>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  地址：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地址： </w:t>
      </w:r>
      <w:r/>
    </w:p>
    <w:p>
      <w:pPr>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  法定代表人</w:t>
      </w:r>
      <w:r>
        <w:rPr>
          <w:rFonts w:hint="eastAsia" w:ascii="宋体" w:hAnsi="宋体" w:eastAsia="宋体" w:cs="Courier New"/>
          <w:color w:val="000000" w:themeColor="text1"/>
          <w:sz w:val="24"/>
          <w:szCs w:val="24"/>
          <w:highlight w:val="none"/>
          <w14:textFill>
            <w14:solidFill>
              <w14:schemeClr w14:val="tx1"/>
            </w14:solidFill>
          </w14:textFill>
        </w:rPr>
        <w:t xml:space="preserve">或授权代表</w:t>
      </w:r>
      <w:r>
        <w:rPr>
          <w:rFonts w:ascii="宋体" w:hAnsi="宋体" w:eastAsia="宋体" w:cs="Courier New"/>
          <w:color w:val="000000" w:themeColor="text1"/>
          <w:sz w:val="24"/>
          <w:szCs w:val="24"/>
          <w:highlight w:val="none"/>
          <w14:textFill>
            <w14:solidFill>
              <w14:schemeClr w14:val="tx1"/>
            </w14:solidFill>
          </w14:textFill>
        </w:rPr>
        <w:t xml:space="preserve">：        法定代表人</w:t>
      </w:r>
      <w:r>
        <w:rPr>
          <w:rFonts w:hint="eastAsia" w:ascii="宋体" w:hAnsi="宋体" w:eastAsia="宋体" w:cs="Courier New"/>
          <w:color w:val="000000" w:themeColor="text1"/>
          <w:sz w:val="24"/>
          <w:szCs w:val="24"/>
          <w:highlight w:val="none"/>
          <w14:textFill>
            <w14:solidFill>
              <w14:schemeClr w14:val="tx1"/>
            </w14:solidFill>
          </w14:textFill>
        </w:rPr>
        <w:t xml:space="preserve">或授权代表</w:t>
      </w:r>
      <w:r>
        <w:rPr>
          <w:rFonts w:ascii="宋体" w:hAnsi="宋体" w:eastAsia="宋体" w:cs="Courier New"/>
          <w:color w:val="000000" w:themeColor="text1"/>
          <w:sz w:val="24"/>
          <w:szCs w:val="24"/>
          <w:highlight w:val="none"/>
          <w14:textFill>
            <w14:solidFill>
              <w14:schemeClr w14:val="tx1"/>
            </w14:solidFill>
          </w14:textFill>
        </w:rPr>
        <w:t xml:space="preserve">：</w:t>
      </w:r>
      <w:r/>
    </w:p>
    <w:p>
      <w:pPr>
        <w:ind w:firstLine="240"/>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联系电话：                    联系电话：         </w:t>
      </w:r>
      <w:r/>
    </w:p>
    <w:p>
      <w:pPr>
        <w:ind w:firstLine="240"/>
        <w:keepLines w:val="0"/>
        <w:keepNext w:val="0"/>
        <w:pageBreakBefore w:val="0"/>
        <w:spacing w:before="120" w:after="120" w:line="0" w:lineRule="atLeast"/>
        <w:widowControl w:val="off"/>
        <w:rPr>
          <w:rFonts w:ascii="宋体" w:hAnsi="Courier New" w:eastAsia="宋体" w:cs="Courier New"/>
          <w:color w:val="000000" w:themeColor="text1"/>
          <w:szCs w:val="21"/>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 </w:t>
      </w:r>
      <w:r/>
    </w:p>
    <w:p>
      <w:pPr>
        <w:keepLines w:val="0"/>
        <w:keepNext w:val="0"/>
        <w:pageBreakBefore w:val="0"/>
        <w:spacing w:before="120" w:after="120" w:line="0" w:lineRule="atLeast"/>
        <w:widowControl w:val="off"/>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签订日期：      年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月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日</w:t>
      </w:r>
      <w:r/>
    </w:p>
    <w:p>
      <w:pPr>
        <w:numPr>
          <w:ilvl w:val="0"/>
          <w:numId w:val="0"/>
        </w:num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ascii="Times New Roman" w:hAnsi="Times New Roman" w:eastAsia="宋体"/>
          <w:b/>
          <w:bCs/>
          <w:color w:val="000000" w:themeColor="text1"/>
          <w:szCs w:val="21"/>
          <w:highlight w:val="none"/>
          <w14:textFill>
            <w14:solidFill>
              <w14:schemeClr w14:val="tx1"/>
            </w14:solidFill>
          </w14:textFill>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b/>
          <w:bCs/>
          <w:color w:val="000000" w:themeColor="text1"/>
          <w:szCs w:val="21"/>
          <w:highlight w:val="none"/>
          <w:lang w:val="en-US" w:eastAsia="zh-CN"/>
          <w14:textFill>
            <w14:solidFill>
              <w14:schemeClr w14:val="tx1"/>
            </w14:solidFill>
          </w14:textFill>
        </w:rPr>
        <w:t xml:space="preserve">注：本项目是维保采购，此合同版本仅供参考，最终签订版在不改变招标实质性条款的前提下以双方协商确认。</w:t>
      </w:r>
      <w:r/>
    </w:p>
    <w:p>
      <w:pPr>
        <w:pStyle w:val="779"/>
        <w:spacing w:line="360" w:lineRule="auto"/>
        <w:rPr>
          <w:rFonts w:hint="eastAsia" w:ascii="黑体" w:hAnsi="Times New Roman" w:eastAsia="黑体"/>
          <w:b/>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t xml:space="preserve">第</w:t>
      </w:r>
      <w:r>
        <w:rPr>
          <w:rFonts w:hint="eastAsia" w:ascii="黑体" w:eastAsia="黑体"/>
          <w:bCs/>
          <w:color w:val="000000" w:themeColor="text1"/>
          <w:sz w:val="44"/>
          <w:szCs w:val="28"/>
          <w:highlight w:val="none"/>
          <w:lang w:val="en-US" w:eastAsia="zh-CN"/>
          <w14:textFill>
            <w14:solidFill>
              <w14:schemeClr w14:val="tx1"/>
            </w14:solidFill>
          </w14:textFill>
        </w:rPr>
        <w:t xml:space="preserve">五</w:t>
      </w:r>
      <w:r>
        <w:rPr>
          <w:rFonts w:hint="eastAsia" w:ascii="黑体" w:hAnsi="Times New Roman" w:eastAsia="黑体"/>
          <w:bCs/>
          <w:color w:val="000000" w:themeColor="text1"/>
          <w:sz w:val="44"/>
          <w:szCs w:val="28"/>
          <w:highlight w:val="none"/>
          <w14:textFill>
            <w14:solidFill>
              <w14:schemeClr w14:val="tx1"/>
            </w14:solidFill>
          </w14:textFill>
        </w:rPr>
        <w:t xml:space="preserve">章  </w:t>
      </w:r>
      <w:r>
        <w:rPr>
          <w:rFonts w:hint="eastAsia" w:ascii="黑体" w:hAnsi="Times New Roman" w:eastAsia="黑体"/>
          <w:b/>
          <w:bCs/>
          <w:color w:val="000000" w:themeColor="text1"/>
          <w:sz w:val="44"/>
          <w:szCs w:val="28"/>
          <w:highlight w:val="none"/>
          <w14:textFill>
            <w14:solidFill>
              <w14:schemeClr w14:val="tx1"/>
            </w14:solidFill>
          </w14:textFill>
        </w:rPr>
        <w:t xml:space="preserve">评审方法与评审标准</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一、评审方法</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评审方法采用综合评分法，总分值为100分。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评审时，对每个合格供应商的响应文件进行评分，对评委的评分进行统计汇总，按算术平均方法计算出每个供应商的评审得分。（保留小数点后2位）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评审结果按评审后得分由高到低顺序排列。评审得分相同的，按照最后报价由低到高的顺序推荐。评审得分且最后报价相同的，按照技术指标优劣顺序推荐。响应文件满足</w:t>
      </w:r>
      <w:r>
        <w:rPr>
          <w:rFonts w:hint="eastAsia"/>
          <w:color w:val="auto"/>
          <w:szCs w:val="21"/>
          <w:highlight w:val="none"/>
        </w:rPr>
        <w:t xml:space="preserve">磋商</w:t>
      </w:r>
      <w:r>
        <w:rPr>
          <w:rFonts w:hint="eastAsia" w:ascii="宋体" w:hAnsi="宋体" w:cs="宋体"/>
          <w:color w:val="auto"/>
          <w:szCs w:val="21"/>
          <w:highlight w:val="none"/>
        </w:rPr>
        <w:t xml:space="preserve">文件全部实质性要求，且综合评分得分最高的供应商为成交供应商。</w:t>
      </w:r>
      <w:r/>
    </w:p>
    <w:p>
      <w:pPr>
        <w:ind w:firstLine="48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二、评</w:t>
      </w:r>
      <w:r>
        <w:rPr>
          <w:rFonts w:hint="eastAsia" w:ascii="宋体" w:hAnsi="宋体" w:eastAsia="宋体" w:cs="宋体"/>
          <w:b/>
          <w:bCs/>
          <w:color w:val="auto"/>
          <w:szCs w:val="21"/>
          <w:highlight w:val="none"/>
          <w:lang w:val="en-US" w:eastAsia="zh-CN"/>
        </w:rPr>
        <w:t xml:space="preserve">审</w:t>
      </w:r>
      <w:r>
        <w:rPr>
          <w:rFonts w:hint="eastAsia" w:ascii="宋体" w:hAnsi="宋体" w:eastAsia="宋体" w:cs="宋体"/>
          <w:b/>
          <w:bCs/>
          <w:color w:val="auto"/>
          <w:szCs w:val="21"/>
          <w:highlight w:val="none"/>
        </w:rPr>
        <w:t xml:space="preserve">标准（总分100分）</w:t>
      </w:r>
      <w:r/>
    </w:p>
    <w:p>
      <w:pPr>
        <w:ind w:firstLine="480"/>
        <w:spacing w:line="24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各供应商得分为磋商小组成员评分的算术平均分，分值保留小数点后两位。</w:t>
      </w:r>
      <w:r/>
    </w:p>
    <w:p>
      <w:pPr>
        <w:pStyle w:val="75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bl>
      <w:tblPr>
        <w:tblStyle w:val="749"/>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1626"/>
        <w:gridCol w:w="6502"/>
      </w:tblGrid>
      <w:tr>
        <w:trPr>
          <w:jc w:val="center"/>
          <w:trHeight w:val="430"/>
        </w:trPr>
        <w:tc>
          <w:tcPr>
            <w:gridSpan w:val="3"/>
            <w:tcW w:w="9368"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报价部分</w:t>
            </w:r>
            <w:r/>
          </w:p>
        </w:tc>
      </w:tr>
      <w:tr>
        <w:trPr>
          <w:jc w:val="center"/>
          <w:trHeight w:val="430"/>
        </w:trPr>
        <w:tc>
          <w:tcPr>
            <w:tcW w:w="124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评分因素</w:t>
            </w:r>
            <w:r/>
          </w:p>
        </w:tc>
        <w:tc>
          <w:tcPr>
            <w:tcW w:w="1626"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c>
          <w:tcPr>
            <w:tcW w:w="650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各评分因素细分项</w:t>
            </w:r>
            <w:r/>
          </w:p>
        </w:tc>
      </w:tr>
      <w:tr>
        <w:trPr>
          <w:jc w:val="center"/>
          <w:trHeight w:val="1691"/>
        </w:trPr>
        <w:tc>
          <w:tcPr>
            <w:tcW w:w="124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报价</w:t>
            </w:r>
            <w:r/>
          </w:p>
        </w:tc>
        <w:tc>
          <w:tcPr>
            <w:tcW w:w="1626" w:type="dxa"/>
            <w:vAlign w:val="center"/>
            <w:textDirection w:val="lrTb"/>
            <w:noWrap w:val="false"/>
          </w:tcPr>
          <w:p>
            <w:pPr>
              <w:jc w:val="center"/>
              <w:spacing w:line="400" w:lineRule="exact"/>
              <w:widowControl/>
              <w:rPr>
                <w:rFonts w:hint="eastAsia" w:eastAsia="宋体"/>
                <w:color w:val="auto"/>
                <w:highlight w:val="none"/>
                <w:lang w:val="en-US" w:eastAsia="zh-CN"/>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en-US" w:eastAsia="zh-CN"/>
              </w:rPr>
              <w:t xml:space="preserve">分</w:t>
            </w:r>
            <w:r/>
          </w:p>
        </w:tc>
        <w:tc>
          <w:tcPr>
            <w:tcW w:w="6502" w:type="dxa"/>
            <w:vAlign w:val="center"/>
            <w:textDirection w:val="lrTb"/>
            <w:noWrap w:val="false"/>
          </w:tcPr>
          <w:p>
            <w:pPr>
              <w:ind w:firstLine="480"/>
              <w:jc w:val="left"/>
              <w:spacing w:line="400" w:lineRule="exact"/>
              <w:widowControl/>
              <w:rPr>
                <w:color w:val="auto"/>
                <w:highlight w:val="none"/>
              </w:rPr>
            </w:pPr>
            <w:r>
              <w:rPr>
                <w:rFonts w:hint="eastAsia"/>
                <w:color w:val="auto"/>
                <w:highlight w:val="none"/>
              </w:rPr>
              <w:t xml:space="preserve">最终有效报价最低的价格为评标基准价，其价格分为满分。其他供应商的价格分统一按照下列公式计算：</w:t>
            </w:r>
            <w:r/>
          </w:p>
          <w:p>
            <w:pPr>
              <w:pStyle w:val="751"/>
              <w:jc w:val="both"/>
              <w:spacing w:line="400" w:lineRule="exact"/>
              <w:rPr>
                <w:color w:val="auto"/>
                <w:highlight w:val="none"/>
              </w:rPr>
            </w:pPr>
            <w:r>
              <w:rPr>
                <w:rFonts w:hint="eastAsia"/>
                <w:color w:val="auto"/>
                <w:highlight w:val="none"/>
              </w:rPr>
              <w:t xml:space="preserve">报价得分=（评标基准价/</w:t>
            </w:r>
            <w:r>
              <w:rPr>
                <w:rFonts w:hint="eastAsia"/>
                <w:color w:val="auto"/>
                <w:highlight w:val="none"/>
                <w:lang w:val="en-US"/>
              </w:rPr>
              <w:t xml:space="preserve">最终</w:t>
            </w:r>
            <w:r>
              <w:rPr>
                <w:rFonts w:hint="eastAsia"/>
                <w:color w:val="auto"/>
                <w:highlight w:val="none"/>
              </w:rPr>
              <w:t xml:space="preserve">报价）×</w:t>
            </w:r>
            <w:r>
              <w:rPr>
                <w:rFonts w:hint="eastAsia"/>
                <w:color w:val="auto"/>
                <w:highlight w:val="none"/>
                <w:lang w:val="en-US"/>
              </w:rPr>
              <w:t xml:space="preserve">30</w:t>
            </w:r>
            <w:r>
              <w:rPr>
                <w:rFonts w:hint="eastAsia"/>
                <w:color w:val="auto"/>
                <w:highlight w:val="none"/>
              </w:rPr>
              <w:t xml:space="preserve">%×100（得分保留两位小数）</w:t>
            </w:r>
            <w:r/>
          </w:p>
        </w:tc>
      </w:tr>
      <w:tr>
        <w:trPr>
          <w:jc w:val="center"/>
          <w:trHeight w:val="436"/>
        </w:trPr>
        <w:tc>
          <w:tcPr>
            <w:gridSpan w:val="3"/>
            <w:tcW w:w="9368" w:type="dxa"/>
            <w:vAlign w:val="center"/>
            <w:textDirection w:val="lrTb"/>
            <w:noWrap w:val="false"/>
          </w:tcPr>
          <w:p>
            <w:pPr>
              <w:jc w:val="center"/>
              <w:spacing w:line="360" w:lineRule="auto"/>
              <w:widowControl/>
              <w:rPr>
                <w:rFonts w:hint="default" w:eastAsia="宋体"/>
                <w:color w:val="auto"/>
                <w:highlight w:val="none"/>
                <w:lang w:val="en-US" w:eastAsia="zh-CN"/>
              </w:rPr>
            </w:pPr>
            <w:r>
              <w:rPr>
                <w:rFonts w:hint="eastAsia" w:ascii="宋体" w:hAnsi="宋体" w:eastAsia="宋体" w:cs="宋体"/>
                <w:b/>
                <w:bCs/>
                <w:color w:val="auto"/>
                <w:szCs w:val="21"/>
                <w:highlight w:val="none"/>
                <w:lang w:val="en-US" w:eastAsia="zh-CN"/>
              </w:rPr>
              <w:t xml:space="preserve">商务部分</w:t>
            </w:r>
            <w:r/>
          </w:p>
        </w:tc>
      </w:tr>
      <w:tr>
        <w:trPr>
          <w:jc w:val="center"/>
          <w:trHeight w:val="1691"/>
        </w:trPr>
        <w:tc>
          <w:tcPr>
            <w:tcW w:w="124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业绩</w:t>
            </w:r>
            <w:r/>
          </w:p>
        </w:tc>
        <w:tc>
          <w:tcPr>
            <w:tcW w:w="1626" w:type="dxa"/>
            <w:vAlign w:val="center"/>
            <w:textDirection w:val="lrTb"/>
            <w:noWrap w:val="false"/>
          </w:tcPr>
          <w:p>
            <w:pPr>
              <w:jc w:val="center"/>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6分</w:t>
            </w:r>
            <w:r/>
          </w:p>
        </w:tc>
        <w:tc>
          <w:tcPr>
            <w:tcW w:w="6502" w:type="dxa"/>
            <w:vAlign w:val="center"/>
            <w:textDirection w:val="lrTb"/>
            <w:noWrap w:val="false"/>
          </w:tcPr>
          <w:p>
            <w:pPr>
              <w:ind w:firstLine="480"/>
              <w:jc w:val="left"/>
              <w:spacing w:line="400" w:lineRule="exact"/>
              <w:widowControl/>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供应商</w:t>
            </w:r>
            <w:r>
              <w:rPr>
                <w:rFonts w:hint="eastAsia" w:ascii="Times New Roman" w:hAnsi="Times New Roman" w:eastAsia="宋体" w:cs="Times New Roman"/>
                <w:color w:val="auto"/>
                <w:highlight w:val="none"/>
              </w:rPr>
              <w:t xml:space="preserve">2023年1月1日</w:t>
            </w:r>
            <w:r>
              <w:rPr>
                <w:rFonts w:hint="eastAsia" w:ascii="宋体" w:hAnsi="宋体" w:cs="宋体"/>
                <w:color w:val="auto"/>
                <w:szCs w:val="21"/>
                <w:highlight w:val="none"/>
              </w:rPr>
              <w:t xml:space="preserve">以来</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以合同复印件为准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lang w:val="en-US" w:eastAsia="zh-CN"/>
              </w:rPr>
              <w:t xml:space="preserve">承担过</w:t>
            </w:r>
            <w:r>
              <w:rPr>
                <w:rFonts w:hint="eastAsia" w:ascii="Times New Roman" w:hAnsi="Times New Roman" w:eastAsia="宋体" w:cs="Times New Roman"/>
                <w:color w:val="auto"/>
                <w:highlight w:val="none"/>
              </w:rPr>
              <w:t xml:space="preserve">与本次维保设备同类项目的维保服务业绩（</w:t>
            </w:r>
            <w:r>
              <w:rPr>
                <w:rFonts w:hint="eastAsia" w:ascii="Times New Roman" w:hAnsi="Times New Roman" w:eastAsia="宋体" w:cs="Times New Roman"/>
                <w:color w:val="auto"/>
                <w:highlight w:val="none"/>
                <w:lang w:val="en-US" w:eastAsia="zh-CN"/>
              </w:rPr>
              <w:t xml:space="preserve">提供合同原件扫描件</w:t>
            </w:r>
            <w:r>
              <w:rPr>
                <w:rFonts w:hint="eastAsia" w:ascii="Times New Roman" w:hAnsi="Times New Roman" w:eastAsia="宋体" w:cs="Times New Roman"/>
                <w:color w:val="auto"/>
                <w:highlight w:val="none"/>
              </w:rPr>
              <w:t xml:space="preserve">。合同中至少包含准分子激光角膜屈光治疗仪维保项目相关字样。合同中的价格和维保费用均无遮挡，否则不得分），每提供一份</w:t>
            </w:r>
            <w:r>
              <w:rPr>
                <w:rFonts w:hint="eastAsia" w:cs="Times New Roman"/>
                <w:color w:val="auto"/>
                <w:highlight w:val="none"/>
                <w:lang w:eastAsia="zh-CN"/>
              </w:rPr>
              <w:t xml:space="preserve">得</w:t>
            </w:r>
            <w:r>
              <w:rPr>
                <w:rFonts w:hint="eastAsia" w:ascii="Times New Roman" w:hAnsi="Times New Roman" w:eastAsia="宋体" w:cs="Times New Roman"/>
                <w:color w:val="auto"/>
                <w:highlight w:val="none"/>
              </w:rPr>
              <w:t xml:space="preserve">2分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本项最高得6分</w:t>
            </w:r>
            <w:r>
              <w:rPr>
                <w:rFonts w:hint="eastAsia" w:ascii="Times New Roman" w:hAnsi="Times New Roman" w:eastAsia="宋体" w:cs="Times New Roman"/>
                <w:color w:val="auto"/>
                <w:highlight w:val="none"/>
              </w:rPr>
              <w:t xml:space="preserve">。</w:t>
            </w:r>
            <w:r/>
          </w:p>
        </w:tc>
      </w:tr>
      <w:tr>
        <w:trPr>
          <w:jc w:val="center"/>
          <w:trHeight w:val="436"/>
        </w:trPr>
        <w:tc>
          <w:tcPr>
            <w:gridSpan w:val="3"/>
            <w:tcW w:w="9368" w:type="dxa"/>
            <w:vAlign w:val="center"/>
            <w:textDirection w:val="lrTb"/>
            <w:noWrap w:val="false"/>
          </w:tcPr>
          <w:p>
            <w:pPr>
              <w:jc w:val="center"/>
              <w:spacing w:line="360" w:lineRule="auto"/>
              <w:widowControl/>
              <w:rPr>
                <w:rFonts w:hint="default" w:ascii="Times New Roman" w:hAnsi="Times New Roman" w:eastAsia="宋体" w:cs="Times New Roman"/>
                <w:color w:val="auto"/>
                <w:highlight w:val="none"/>
                <w:lang w:val="en-US" w:eastAsia="zh-CN"/>
              </w:rPr>
            </w:pPr>
            <w:r>
              <w:rPr>
                <w:rFonts w:hint="eastAsia" w:ascii="宋体" w:hAnsi="宋体" w:eastAsia="宋体" w:cs="宋体"/>
                <w:b/>
                <w:bCs/>
                <w:color w:val="auto"/>
                <w:szCs w:val="21"/>
                <w:highlight w:val="none"/>
                <w:lang w:val="en-US" w:eastAsia="zh-CN"/>
              </w:rPr>
              <w:t xml:space="preserve">技术部分</w:t>
            </w:r>
            <w:r/>
          </w:p>
        </w:tc>
      </w:tr>
      <w:tr>
        <w:trPr>
          <w:jc w:val="center"/>
          <w:trHeight w:val="1691"/>
        </w:trPr>
        <w:tc>
          <w:tcPr>
            <w:tcW w:w="1240" w:type="dxa"/>
            <w:vAlign w:val="center"/>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1626" w:type="dxa"/>
            <w:vAlign w:val="center"/>
            <w:textDirection w:val="lrTb"/>
            <w:noWrap w:val="false"/>
          </w:tcPr>
          <w:p>
            <w:pPr>
              <w:jc w:val="center"/>
              <w:spacing w:line="400" w:lineRule="exac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32分</w:t>
            </w:r>
            <w:r/>
          </w:p>
        </w:tc>
        <w:tc>
          <w:tcPr>
            <w:tcW w:w="6502" w:type="dxa"/>
            <w:vAlign w:val="center"/>
            <w:textDirection w:val="lrTb"/>
            <w:noWrap w:val="false"/>
          </w:tcPr>
          <w:p>
            <w:pPr>
              <w:ind w:firstLine="480"/>
              <w:jc w:val="left"/>
              <w:spacing w:line="400" w:lineRule="exact"/>
              <w:widowControl/>
              <w:rPr>
                <w:rFonts w:hint="eastAsia" w:ascii="Times New Roman" w:hAnsi="Times New Roman" w:eastAsia="宋体" w:cs="Times New Roman"/>
                <w:color w:val="auto"/>
                <w:highlight w:val="none"/>
                <w:lang w:val="en-US" w:eastAsia="zh-CN"/>
              </w:rPr>
            </w:pPr>
            <w:r>
              <w:rPr>
                <w:rFonts w:hint="eastAsia"/>
                <w:b w:val="0"/>
                <w:bCs/>
                <w:color w:val="auto"/>
                <w:lang w:val="en-US" w:eastAsia="zh-CN"/>
              </w:rPr>
              <w:t xml:space="preserve">采购文件第三章中，</w:t>
            </w:r>
            <w:r>
              <w:rPr>
                <w:rFonts w:hint="eastAsia" w:ascii="宋体" w:hAnsi="宋体" w:eastAsia="宋体" w:cs="宋体"/>
                <w:bCs/>
                <w:color w:val="auto"/>
                <w:sz w:val="24"/>
                <w:szCs w:val="24"/>
                <w:highlight w:val="none"/>
                <w:lang w:val="en-US" w:eastAsia="zh-CN"/>
              </w:rPr>
              <w:t xml:space="preserve">加★项为核心条款，存在负偏离的视为无效响应文件；</w:t>
            </w:r>
            <w:r>
              <w:rPr>
                <w:rFonts w:hint="eastAsia"/>
                <w:b w:val="0"/>
                <w:bCs/>
                <w:color w:val="auto"/>
                <w:lang w:val="en-US" w:eastAsia="zh-CN"/>
              </w:rPr>
              <w:t xml:space="preserve">加</w:t>
            </w:r>
            <w:r>
              <w:rPr>
                <w:rFonts w:hint="eastAsia"/>
                <w:b w:val="0"/>
                <w:bCs/>
                <w:color w:val="auto"/>
              </w:rPr>
              <w:t xml:space="preserve">▲号指标</w:t>
            </w:r>
            <w:r>
              <w:rPr>
                <w:rFonts w:hint="eastAsia"/>
                <w:b w:val="0"/>
                <w:bCs/>
                <w:color w:val="auto"/>
                <w:lang w:val="en-US" w:eastAsia="zh-CN"/>
              </w:rPr>
              <w:t xml:space="preserve">每</w:t>
            </w:r>
            <w:r>
              <w:rPr>
                <w:rFonts w:hint="eastAsia"/>
                <w:b w:val="0"/>
                <w:bCs/>
                <w:color w:val="auto"/>
              </w:rPr>
              <w:t xml:space="preserve">有一项负偏离</w:t>
            </w:r>
            <w:r>
              <w:rPr>
                <w:rFonts w:hint="eastAsia"/>
                <w:b w:val="0"/>
                <w:bCs/>
                <w:color w:val="auto"/>
                <w:lang w:val="en-US" w:eastAsia="zh-CN"/>
              </w:rPr>
              <w:t xml:space="preserve">的</w:t>
            </w:r>
            <w:r>
              <w:rPr>
                <w:rFonts w:hint="eastAsia"/>
                <w:b w:val="0"/>
                <w:bCs/>
                <w:color w:val="auto"/>
              </w:rPr>
              <w:t xml:space="preserve">扣4分，</w:t>
            </w:r>
            <w:r>
              <w:rPr>
                <w:rFonts w:hint="eastAsia" w:ascii="宋体" w:hAnsi="宋体" w:eastAsia="宋体" w:cs="宋体"/>
                <w:bCs/>
                <w:color w:val="auto"/>
                <w:sz w:val="24"/>
                <w:szCs w:val="24"/>
                <w:highlight w:val="none"/>
                <w:lang w:val="en-US" w:eastAsia="zh-CN"/>
              </w:rPr>
              <w:t xml:space="preserve">未加★和▲项的指标</w:t>
            </w:r>
            <w:r>
              <w:rPr>
                <w:rFonts w:hint="eastAsia"/>
                <w:b w:val="0"/>
                <w:bCs/>
                <w:color w:val="auto"/>
              </w:rPr>
              <w:t xml:space="preserve">有一项负偏离扣2分，扣完为止。</w:t>
            </w:r>
            <w:r/>
          </w:p>
        </w:tc>
      </w:tr>
      <w:tr>
        <w:trPr>
          <w:jc w:val="center"/>
          <w:trHeight w:val="1691"/>
        </w:trPr>
        <w:tc>
          <w:tcPr>
            <w:tcW w:w="1240" w:type="dxa"/>
            <w:vAlign w:val="center"/>
            <w:vMerge w:val="restart"/>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b w:val="0"/>
                <w:bCs/>
                <w:color w:val="auto"/>
              </w:rPr>
              <w:t xml:space="preserve">服务</w:t>
            </w:r>
            <w:r>
              <w:rPr>
                <w:b w:val="0"/>
                <w:bCs/>
                <w:color w:val="auto"/>
              </w:rPr>
              <w:t xml:space="preserve">方案</w:t>
            </w:r>
            <w:r/>
          </w:p>
        </w:tc>
        <w:tc>
          <w:tcPr>
            <w:tcW w:w="1626" w:type="dxa"/>
            <w:vAlign w:val="center"/>
            <w:vMerge w:val="restart"/>
            <w:textDirection w:val="lrTb"/>
            <w:noWrap w:val="false"/>
          </w:tcPr>
          <w:p>
            <w:pPr>
              <w:jc w:val="center"/>
              <w:spacing w:line="400" w:lineRule="exac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32分</w:t>
            </w:r>
            <w:r/>
          </w:p>
        </w:tc>
        <w:tc>
          <w:tcPr>
            <w:tcW w:w="6502" w:type="dxa"/>
            <w:vAlign w:val="center"/>
            <w:textDirection w:val="lrTb"/>
            <w:noWrap w:val="false"/>
          </w:tcPr>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根据投标人提供的维修维护实施方案综合评分，包括定期维护巡检方案、维修响应时间节点、具体维修流程细则等（7分）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服务方案内容科学合理、完整、切实可行的得7分；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服务方案内容有所缺漏或可行性欠缺合理的得3分；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内容不完整，且可行性差的得1分。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方案不全面、不具备可执行性、未提供服务方案的不得分。</w:t>
            </w: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应急预案：供应商须有能力应对突发事件应急预案，列明服务期内可能设备突发故障/其他突发情况、并做应对处置措施及方案，根据应答情况评审（7分）：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服务方案内容科学合理、完整、切实可行的得7分；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服务方案内容有所缺漏或可行性欠缺合理的得3分；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内容不完整，且可行性差的得1分。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方案不全面、不具备可执行性、未提供服务方案的不得分。</w:t>
            </w: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质量管控：供应商须有一系列保证服务质量的内部制度、实施方案和考核办法，项目现场工作规范要求等内容，根据应答情况评审（6分）：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服务方案内容科学合理、完整、切实可行的得6分；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服务方案内容有所缺漏或可行性欠缺合理的得3分；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内容不完整，且可行性差的得1分。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方案不全面、不具备可执行性、未提供服务方案的不得分。</w:t>
            </w: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团队配置方案：根据供应商为本项目所拟配置的服务人员团队配置（工程师以外人员）进行打分，包括但不限于团队配置的合理性，项目组员的工作经验等（6分）：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服务方案内容科学合理、完整、切实可行的得6分；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服务方案内容有所缺漏或可行性欠缺合理的得3分；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内容不完整，且可行性差的得1分。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方案不全面、不具备可执行性、未提供服务方案的不得分。</w:t>
            </w: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增值服务方案：根据供应商针对采购需求提供的增值服务方案（包括但不限于免费业务咨询、定制化多解决方案、协助医院相关人员业务培训）进行评价（6分）：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服务方案内容科学合理、完整、切实可行的得6分；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服务方案内容有所缺漏或可行性欠缺合理的得3分；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内容不完整，且可行性差的得1分。</w:t>
            </w:r>
            <w:r/>
          </w:p>
          <w:p>
            <w:pPr>
              <w:ind w:firstLine="480"/>
              <w:jc w:val="left"/>
              <w:spacing w:line="400" w:lineRule="exact"/>
              <w:widowControl/>
              <w:rPr>
                <w:rFonts w:hint="eastAsia"/>
                <w:b w:val="0"/>
                <w:bCs/>
                <w:color w:val="auto"/>
                <w:lang w:val="en-US" w:eastAsia="zh-CN"/>
              </w:rPr>
            </w:pPr>
            <w:r>
              <w:rPr>
                <w:rFonts w:hint="eastAsia"/>
                <w:b w:val="0"/>
                <w:bCs/>
                <w:color w:val="auto"/>
                <w:lang w:val="en-US" w:eastAsia="zh-CN"/>
              </w:rPr>
              <w:t xml:space="preserve">方案不全面、不具备可执行性、未提供服务方案的不得分。</w:t>
            </w:r>
            <w:r/>
          </w:p>
        </w:tc>
      </w:tr>
    </w:tbl>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755"/>
        <w:rPr>
          <w:rFonts w:hint="eastAsia"/>
        </w:rPr>
      </w:pPr>
      <w:r>
        <w:rPr>
          <w:rFonts w:hint="eastAsia"/>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br w:type="page" w:clear="all"/>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w:t>
      </w:r>
      <w:r>
        <w:rPr>
          <w:rFonts w:hint="eastAsia" w:ascii="黑体" w:eastAsia="黑体"/>
          <w:bCs/>
          <w:color w:val="000000" w:themeColor="text1"/>
          <w:sz w:val="44"/>
          <w:szCs w:val="28"/>
          <w:highlight w:val="none"/>
          <w:lang w:val="en-US" w:eastAsia="zh-CN"/>
          <w14:textFill>
            <w14:solidFill>
              <w14:schemeClr w14:val="tx1"/>
            </w14:solidFill>
          </w14:textFill>
        </w:rPr>
        <w:t xml:space="preserve">六</w:t>
      </w:r>
      <w:r>
        <w:rPr>
          <w:rFonts w:hint="eastAsia" w:ascii="黑体" w:hAnsi="Times New Roman" w:eastAsia="黑体"/>
          <w:bCs/>
          <w:color w:val="000000" w:themeColor="text1"/>
          <w:sz w:val="44"/>
          <w:szCs w:val="28"/>
          <w:highlight w:val="none"/>
          <w14:textFill>
            <w14:solidFill>
              <w14:schemeClr w14:val="tx1"/>
            </w14:solidFill>
          </w14:textFill>
        </w:rPr>
        <w:t xml:space="preserve">章  </w:t>
      </w:r>
      <w:bookmarkEnd w:id="173"/>
      <w:r/>
      <w:bookmarkEnd w:id="174"/>
      <w:r/>
      <w:bookmarkEnd w:id="178"/>
      <w:r>
        <w:rPr>
          <w:rFonts w:hint="eastAsia" w:ascii="黑体" w:hAnsi="Times New Roman" w:eastAsia="黑体"/>
          <w:bCs/>
          <w:color w:val="000000" w:themeColor="text1"/>
          <w:sz w:val="44"/>
          <w:szCs w:val="28"/>
          <w:highlight w:val="none"/>
          <w14:textFill>
            <w14:solidFill>
              <w14:schemeClr w14:val="tx1"/>
            </w14:solidFill>
          </w14:textFill>
        </w:rPr>
        <w:t xml:space="preserve">响应文件格式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179" w:name="_Hlt26955039"/>
      <w:r/>
      <w:bookmarkEnd w:id="179"/>
      <w:r/>
      <w:bookmarkStart w:id="180" w:name="_Hlt26671244"/>
      <w:r/>
      <w:bookmarkEnd w:id="180"/>
      <w:r/>
      <w:bookmarkStart w:id="181" w:name="_Toc49090576"/>
      <w:r/>
      <w:bookmarkStart w:id="182" w:name="_Toc26554094"/>
      <w:r/>
      <w:bookmarkStart w:id="183" w:name="_Toc120614282"/>
      <w:r/>
      <w:r/>
    </w:p>
    <w:p>
      <w:pPr>
        <w:jc w:val="center"/>
        <w:rPr>
          <w:rFonts w:hint="eastAsia" w:ascii="宋体" w:hAnsi="宋体"/>
          <w:b/>
          <w:color w:val="000000" w:themeColor="text1"/>
          <w:sz w:val="72"/>
          <w:szCs w:val="21"/>
          <w:highlight w:val="none"/>
          <w14:textFill>
            <w14:solidFill>
              <w14:schemeClr w14:val="tx1"/>
            </w14:solidFill>
          </w14:textFill>
        </w:rPr>
        <w:outlineLvl w:val="0"/>
      </w:pPr>
      <w:r>
        <w:rPr>
          <w:rFonts w:hint="eastAsia" w:ascii="宋体" w:hAnsi="宋体"/>
          <w:b/>
          <w:color w:val="000000" w:themeColor="text1"/>
          <w:sz w:val="72"/>
          <w:szCs w:val="21"/>
          <w:highlight w:val="none"/>
          <w14:textFill>
            <w14:solidFill>
              <w14:schemeClr w14:val="tx1"/>
            </w14:solidFill>
          </w14:textFill>
        </w:rPr>
        <w:t xml:space="preserve">响  应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      供应商名称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响应文件目录</w:t>
      </w:r>
      <w:r/>
    </w:p>
    <w:p>
      <w:pPr>
        <w:jc w:val="center"/>
        <w:spacing w:line="56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left="482"/>
        <w:spacing w:line="720" w:lineRule="exact"/>
        <w:rPr>
          <w:rFonts w:ascii="宋体" w:hAnsi="宋体"/>
          <w:i/>
          <w:color w:val="000000" w:themeColor="text1"/>
          <w:sz w:val="24"/>
          <w:szCs w:val="21"/>
          <w:highlight w:val="none"/>
          <w:u w:val="singl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四、其他资料（如有）</w:t>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br w:type="page" w:clear="all"/>
      </w: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满足《中华人民共和国政府采购法》第二十二条规定，并提供下列材料：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1.1具有独立承担民事责任的能力</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提供法人或者其他组织的营业执照等证明文件，自然人的身份证明</w:t>
      </w:r>
      <w:r>
        <w:rPr>
          <w:rFonts w:hint="eastAsia" w:ascii="宋体" w:hAnsi="宋体" w:eastAsia="宋体" w:cs="宋体"/>
          <w:color w:val="auto"/>
          <w:szCs w:val="21"/>
          <w:highlight w:val="none"/>
        </w:rPr>
        <w:t xml:space="preserve">（原件扫描件）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1.2具有良好的商业信誉和健全的财务会计制度</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auto"/>
          <w:szCs w:val="21"/>
          <w:highlight w:val="none"/>
        </w:rPr>
        <w:t xml:space="preserve">近三个月中任意一个月份（不含磋商响应文件递交截止时间当月）的财务状况报表（至少包括资产负债表和利润表）或由会计师事务所出具的近两年中任意一个年度的经审计的财务报告或银行出具的资信证明或财政部门认可的政府采购专业担保机构出具的投标担保函（提供原件扫描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注：供应商单位成立至磋商响应文件递交截止时间不满一个月的可不提供。</w:t>
      </w:r>
      <w:r/>
    </w:p>
    <w:p>
      <w:pPr>
        <w:ind w:firstLine="480"/>
        <w:spacing w:line="560" w:lineRule="exact"/>
        <w:rPr>
          <w:rFonts w:hint="eastAsia" w:ascii="宋体" w:hAnsi="宋体" w:eastAsia="宋体" w:cs="宋体"/>
          <w:color w:val="auto"/>
          <w:szCs w:val="21"/>
          <w:highlight w:val="none"/>
        </w:rPr>
      </w:pPr>
      <w:r>
        <w:rPr>
          <w:rFonts w:hint="eastAsia" w:ascii="宋体" w:hAnsi="宋体"/>
          <w:color w:val="000000" w:themeColor="text1"/>
          <w:sz w:val="24"/>
          <w:szCs w:val="24"/>
          <w:highlight w:val="none"/>
          <w14:textFill>
            <w14:solidFill>
              <w14:schemeClr w14:val="tx1"/>
            </w14:solidFill>
          </w14:textFill>
        </w:rPr>
        <w:t xml:space="preserve">1.3有依法缴纳税收和社会保障资金的良好记录</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Cs w:val="21"/>
          <w:highlight w:val="none"/>
        </w:rPr>
        <w:t xml:space="preserve">近三个月中任意一个月份（不含磋商响应文件递交截止时间当月）的依法缴纳税收</w:t>
      </w:r>
      <w:r>
        <w:rPr>
          <w:rFonts w:hint="eastAsia" w:ascii="宋体" w:hAnsi="宋体"/>
          <w:color w:val="000000" w:themeColor="text1"/>
          <w:sz w:val="24"/>
          <w:szCs w:val="24"/>
          <w:highlight w:val="none"/>
          <w14:textFill>
            <w14:solidFill>
              <w14:schemeClr w14:val="tx1"/>
            </w14:solidFill>
          </w14:textFill>
        </w:rPr>
        <w:t xml:space="preserve">和社会保障资金</w:t>
      </w:r>
      <w:r>
        <w:rPr>
          <w:rFonts w:hint="eastAsia" w:ascii="宋体" w:hAnsi="宋体" w:eastAsia="宋体" w:cs="宋体"/>
          <w:color w:val="auto"/>
          <w:szCs w:val="21"/>
          <w:highlight w:val="none"/>
        </w:rPr>
        <w:t xml:space="preserve">的相关材料（提供相关主管部门证明或银行代扣证明，如免缴或缓缴需提供相关政策文件）原件扫描件；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auto"/>
          <w:szCs w:val="21"/>
          <w:highlight w:val="none"/>
        </w:rPr>
        <w:t xml:space="preserve">注：供应商单位成立至磋商响应文件递交截止时间不满一个月的可不提供。</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1.4具有履行合同所必需的设备和专业技术能力（提供书面声明）；</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1.5参加政府采购活动前3年内在经营活动中没有重大违法记录（提供书面声明）。</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w:t>
      </w:r>
      <w:r>
        <w:rPr>
          <w:rFonts w:hint="eastAsia" w:ascii="宋体" w:hAnsi="宋体" w:eastAsia="宋体" w:cs="宋体"/>
          <w:color w:val="auto"/>
          <w:szCs w:val="21"/>
          <w:highlight w:val="none"/>
        </w:rPr>
        <w:t xml:space="preserve">法定代表人授权书（格式见附件，法定代表人亲自参加的除外）</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.法定代表人身份</w:t>
      </w:r>
      <w:r>
        <w:rPr>
          <w:rFonts w:hint="eastAsia" w:ascii="宋体" w:hAnsi="宋体"/>
          <w:color w:val="000000" w:themeColor="text1"/>
          <w:sz w:val="24"/>
          <w:szCs w:val="24"/>
          <w:highlight w:val="none"/>
          <w:lang w:val="en-US" w:eastAsia="zh-CN"/>
          <w14:textFill>
            <w14:solidFill>
              <w14:schemeClr w14:val="tx1"/>
            </w14:solidFill>
          </w14:textFill>
        </w:rPr>
        <w:t xml:space="preserve">证</w:t>
      </w:r>
      <w:r>
        <w:rPr>
          <w:rFonts w:hint="eastAsia" w:ascii="宋体" w:hAnsi="宋体" w:eastAsia="宋体" w:cs="宋体"/>
          <w:color w:val="auto"/>
          <w:szCs w:val="21"/>
          <w:highlight w:val="none"/>
        </w:rPr>
        <w:t xml:space="preserve">原件扫描件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Cs w:val="21"/>
          <w:highlight w:val="none"/>
        </w:rPr>
        <w:t xml:space="preserve">法定代表人授权代表身份证原件扫描件（法定代表人亲自参加的除外）</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.磋商响应函（格式见附件）；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.采购公告中“落实政府采购政策需满足的资格要求”提供相应的佐证材料；</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.采购公告中“本项目的特定资格要求”提供相应的佐证材料</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7.其他</w:t>
      </w:r>
      <w:r>
        <w:rPr>
          <w:rFonts w:hint="eastAsia" w:ascii="宋体" w:hAnsi="宋体"/>
          <w:color w:val="000000" w:themeColor="text1"/>
          <w:sz w:val="24"/>
          <w:szCs w:val="24"/>
          <w:highlight w:val="none"/>
          <w14:textFill>
            <w14:solidFill>
              <w14:schemeClr w14:val="tx1"/>
            </w14:solidFill>
          </w14:textFill>
        </w:rPr>
        <w:t xml:space="preserve">需要提交的资格审查证明材料</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如有）</w:t>
      </w:r>
      <w:r>
        <w:rPr>
          <w:rFonts w:hint="eastAsia" w:ascii="宋体" w:hAnsi="宋体"/>
          <w:color w:val="000000" w:themeColor="text1"/>
          <w:sz w:val="24"/>
          <w:szCs w:val="24"/>
          <w:highlight w:val="none"/>
          <w14:textFill>
            <w14:solidFill>
              <w14:schemeClr w14:val="tx1"/>
            </w14:solidFill>
          </w14:textFill>
        </w:rPr>
        <w:t xml:space="preserve">。</w:t>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1.商务部分正负偏离表（格式见附件）；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2.技术部分正负偏离表（格式见附件）；</w:t>
      </w:r>
      <w:r/>
    </w:p>
    <w:p>
      <w:pPr>
        <w:ind w:firstLine="480"/>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承诺函；</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商务、技术评分标准中</w:t>
      </w:r>
      <w:r>
        <w:rPr>
          <w:rFonts w:hint="eastAsia" w:ascii="宋体" w:hAnsi="宋体"/>
          <w:color w:val="000000" w:themeColor="text1"/>
          <w:sz w:val="24"/>
          <w:szCs w:val="24"/>
          <w:highlight w:val="none"/>
          <w:lang w:eastAsia="zh-CN"/>
          <w14:textFill>
            <w14:solidFill>
              <w14:schemeClr w14:val="tx1"/>
            </w14:solidFill>
          </w14:textFill>
        </w:rPr>
        <w:t xml:space="preserve">需</w:t>
      </w:r>
      <w:r>
        <w:rPr>
          <w:rFonts w:hint="eastAsia" w:ascii="宋体" w:hAnsi="宋体"/>
          <w:color w:val="000000" w:themeColor="text1"/>
          <w:sz w:val="24"/>
          <w:szCs w:val="24"/>
          <w:highlight w:val="none"/>
          <w14:textFill>
            <w14:solidFill>
              <w14:schemeClr w14:val="tx1"/>
            </w14:solidFill>
          </w14:textFill>
        </w:rPr>
        <w:t xml:space="preserve">提供的相关得分佐证材料；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.供应商认为需要提交的其他商务、技术材料</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如有）</w:t>
      </w:r>
      <w:r>
        <w:rPr>
          <w:rFonts w:hint="eastAsia" w:ascii="宋体" w:hAnsi="宋体"/>
          <w:color w:val="000000" w:themeColor="text1"/>
          <w:sz w:val="24"/>
          <w:szCs w:val="24"/>
          <w:highlight w:val="none"/>
          <w14:textFill>
            <w14:solidFill>
              <w14:schemeClr w14:val="tx1"/>
            </w14:solidFill>
          </w14:textFill>
        </w:rPr>
        <w:t xml:space="preserve">。</w:t>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磋商报价表</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格式详见苏采云系统</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2.分项报价明细表（</w:t>
      </w:r>
      <w:r>
        <w:rPr>
          <w:rFonts w:hint="eastAsia" w:ascii="宋体" w:hAnsi="宋体"/>
          <w:color w:val="000000" w:themeColor="text1"/>
          <w:sz w:val="24"/>
          <w:szCs w:val="24"/>
          <w:highlight w:val="none"/>
          <w:lang w:val="en-US" w:eastAsia="zh-CN"/>
          <w14:textFill>
            <w14:solidFill>
              <w14:schemeClr w14:val="tx1"/>
            </w14:solidFill>
          </w14:textFill>
        </w:rPr>
        <w:t xml:space="preserve">如有</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color w:val="000000" w:themeColor="text1"/>
          <w:sz w:val="24"/>
          <w:szCs w:val="24"/>
          <w:highlight w:val="none"/>
          <w14:textFill>
            <w14:solidFill>
              <w14:schemeClr w14:val="tx1"/>
            </w14:solidFill>
          </w14:textFill>
        </w:rPr>
        <w:t xml:space="preserve">企业声明函（格式见附件）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4.残疾人福利性单位声明函（如有）（格式见附件）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黑体" w:hAnsi="黑体" w:eastAsia="宋体"/>
          <w:color w:val="000000" w:themeColor="text1"/>
          <w:sz w:val="32"/>
          <w:szCs w:val="32"/>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5.监狱和戒毒企业证明材料（如有）（格式见附件）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宋体" w:hAnsi="宋体"/>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附件1</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具备履行合同所必需的设备和专业技术能力的书面声明</w:t>
      </w:r>
      <w:r/>
    </w:p>
    <w:p>
      <w:pPr>
        <w:spacing w:line="400" w:lineRule="exact"/>
        <w:rPr>
          <w:rFonts w:ascii="宋体" w:hAnsi="宋体" w:cs="宋体"/>
          <w:color w:val="auto"/>
          <w:highlight w:val="none"/>
        </w:rPr>
      </w:pPr>
      <w:r>
        <w:rPr>
          <w:rFonts w:ascii="宋体" w:hAnsi="宋体" w:cs="宋体"/>
          <w:color w:val="auto"/>
          <w:highlight w:val="none"/>
        </w:rPr>
      </w:r>
      <w:r/>
    </w:p>
    <w:p>
      <w:pPr>
        <w:spacing w:line="6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（采购单位名称）：</w:t>
      </w:r>
      <w:r/>
    </w:p>
    <w:p>
      <w:pPr>
        <w:ind w:firstLine="732"/>
        <w:spacing w:line="6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   （供应商名称）郑重声明：我公司具备履行本项采购合同所必需的设备和专业技术能力。</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highlight w:val="none"/>
        </w:rPr>
      </w:pPr>
      <w:r>
        <w:rPr>
          <w:rFonts w:ascii="宋体" w:hAnsi="宋体" w:cs="宋体"/>
          <w:color w:val="auto"/>
          <w:highlight w:val="none"/>
        </w:rPr>
      </w:r>
      <w:r/>
    </w:p>
    <w:p>
      <w:pPr>
        <w:jc w:val="right"/>
        <w:rPr>
          <w:rFonts w:ascii="宋体" w:hAnsi="宋体" w:cs="宋体"/>
          <w:color w:val="auto"/>
          <w:sz w:val="24"/>
          <w:szCs w:val="24"/>
          <w:highlight w:val="none"/>
        </w:rPr>
      </w:pPr>
      <w:r>
        <w:rPr>
          <w:rFonts w:hint="eastAsia" w:ascii="宋体" w:hAnsi="宋体"/>
          <w:color w:val="auto"/>
          <w:sz w:val="24"/>
          <w:szCs w:val="24"/>
          <w:highlight w:val="none"/>
        </w:rPr>
        <w:t xml:space="preserve">供应商名称</w:t>
      </w:r>
      <w:r>
        <w:rPr>
          <w:rFonts w:hint="eastAsia" w:ascii="宋体" w:hAnsi="宋体" w:cs="宋体"/>
          <w:color w:val="auto"/>
          <w:sz w:val="24"/>
          <w:szCs w:val="24"/>
          <w:highlight w:val="none"/>
        </w:rPr>
        <w:t xml:space="preserve">（</w:t>
      </w:r>
      <w:r>
        <w:rPr>
          <w:rStyle w:val="1078"/>
          <w:rFonts w:hint="eastAsia" w:ascii="宋体" w:hAnsi="宋体"/>
          <w:color w:val="auto"/>
          <w:sz w:val="24"/>
          <w:highlight w:val="none"/>
        </w:rPr>
        <w:t xml:space="preserve">盖单位章</w:t>
      </w:r>
      <w:r>
        <w:rPr>
          <w:rFonts w:hint="eastAsia" w:ascii="宋体" w:hAnsi="宋体" w:cs="宋体"/>
          <w:color w:val="auto"/>
          <w:sz w:val="24"/>
          <w:szCs w:val="24"/>
          <w:highlight w:val="none"/>
        </w:rPr>
        <w:t xml:space="preserve">）：</w:t>
      </w:r>
      <w:r/>
    </w:p>
    <w:p>
      <w:pPr>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法定代表人或法定代表人授权代表（签字或盖章）：</w:t>
      </w:r>
      <w:r/>
    </w:p>
    <w:p>
      <w:pPr>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contextualSpacing/>
        <w:spacing w:line="400" w:lineRule="exact"/>
        <w:rPr>
          <w:rFonts w:ascii="宋体" w:hAnsi="Times New Roman"/>
          <w:color w:val="000000" w:themeColor="text1"/>
          <w:sz w:val="32"/>
          <w:szCs w:val="32"/>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32"/>
          <w:szCs w:val="32"/>
          <w:highlight w:val="none"/>
          <w:lang w:val="zh-CN"/>
          <w14:textFill>
            <w14:solidFill>
              <w14:schemeClr w14:val="tx1"/>
            </w14:solidFill>
          </w14:textFill>
        </w:rPr>
        <w:t xml:space="preserve">附件2</w:t>
      </w:r>
      <w:r/>
    </w:p>
    <w:p>
      <w:pPr>
        <w:ind w:firstLine="643"/>
        <w:jc w:val="center"/>
        <w:rPr>
          <w:rFonts w:ascii="宋体" w:hAnsi="Times New Roman"/>
          <w:b/>
          <w:color w:val="000000" w:themeColor="text1"/>
          <w:sz w:val="32"/>
          <w:szCs w:val="32"/>
          <w:highlight w:val="none"/>
          <w14:textFill>
            <w14:solidFill>
              <w14:schemeClr w14:val="tx1"/>
            </w14:solidFill>
          </w14:textFill>
        </w:rPr>
      </w:pPr>
      <w:r>
        <w:rPr>
          <w:rFonts w:ascii="宋体" w:hAnsi="Times New Roman"/>
          <w:b/>
          <w:color w:val="000000" w:themeColor="text1"/>
          <w:sz w:val="32"/>
          <w:szCs w:val="32"/>
          <w:highlight w:val="none"/>
          <w14:textFill>
            <w14:solidFill>
              <w14:schemeClr w14:val="tx1"/>
            </w14:solidFill>
          </w14:textFill>
        </w:rPr>
      </w:r>
      <w:r/>
    </w:p>
    <w:p>
      <w:pPr>
        <w:ind w:firstLine="643"/>
        <w:jc w:val="center"/>
        <w:rPr>
          <w:rFonts w:ascii="宋体" w:hAnsi="Times New Roman"/>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参加政府采购活动前</w:t>
      </w:r>
      <w:r>
        <w:rPr>
          <w:rFonts w:ascii="宋体" w:hAnsi="宋体"/>
          <w:b/>
          <w:color w:val="000000" w:themeColor="text1"/>
          <w:sz w:val="32"/>
          <w:szCs w:val="32"/>
          <w:highlight w:val="none"/>
          <w14:textFill>
            <w14:solidFill>
              <w14:schemeClr w14:val="tx1"/>
            </w14:solidFill>
          </w14:textFill>
        </w:rPr>
        <w:t xml:space="preserve"> 3 </w:t>
      </w:r>
      <w:r>
        <w:rPr>
          <w:rFonts w:hint="eastAsia" w:ascii="宋体" w:hAnsi="宋体"/>
          <w:b/>
          <w:color w:val="000000" w:themeColor="text1"/>
          <w:sz w:val="32"/>
          <w:szCs w:val="32"/>
          <w:highlight w:val="none"/>
          <w14:textFill>
            <w14:solidFill>
              <w14:schemeClr w14:val="tx1"/>
            </w14:solidFill>
          </w14:textFill>
        </w:rPr>
        <w:t xml:space="preserve">年内在经营活动中没有重大违法记</w:t>
      </w:r>
      <w:r>
        <w:rPr>
          <w:rFonts w:hint="eastAsia" w:ascii="宋体" w:hAnsi="宋体"/>
          <w:b/>
          <w:bCs/>
          <w:color w:val="000000" w:themeColor="text1"/>
          <w:sz w:val="32"/>
          <w:szCs w:val="32"/>
          <w:highlight w:val="none"/>
          <w14:textFill>
            <w14:solidFill>
              <w14:schemeClr w14:val="tx1"/>
            </w14:solidFill>
          </w14:textFill>
        </w:rPr>
        <w:t xml:space="preserve">录的书面声明</w:t>
      </w:r>
      <w:r/>
    </w:p>
    <w:p>
      <w:pPr>
        <w:spacing w:line="460" w:lineRule="exact"/>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881"/>
        <w:jc w:val="center"/>
        <w:spacing w:line="460" w:lineRule="exact"/>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482"/>
        <w:spacing w:line="500" w:lineRule="exact"/>
        <w:rPr>
          <w:rFonts w:ascii="宋体" w:hAnsi="Times New Roman"/>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我公司（本人）郑重声明：参加本次政府采购活动前</w:t>
      </w:r>
      <w:r>
        <w:rPr>
          <w:rFonts w:ascii="宋体" w:hAnsi="宋体"/>
          <w:bCs/>
          <w:color w:val="000000" w:themeColor="text1"/>
          <w:szCs w:val="21"/>
          <w:highlight w:val="none"/>
          <w14:textFill>
            <w14:solidFill>
              <w14:schemeClr w14:val="tx1"/>
            </w14:solidFill>
          </w14:textFill>
        </w:rPr>
        <w:t xml:space="preserve"> 3 </w:t>
      </w:r>
      <w:r>
        <w:rPr>
          <w:rFonts w:hint="eastAsia" w:ascii="宋体" w:hAnsi="宋体"/>
          <w:bCs/>
          <w:color w:val="000000" w:themeColor="text1"/>
          <w:szCs w:val="21"/>
          <w:highlight w:val="none"/>
          <w14:textFill>
            <w14:solidFill>
              <w14:schemeClr w14:val="tx1"/>
            </w14:solidFill>
          </w14:textFill>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spacing w:line="500" w:lineRule="exact"/>
        <w:rPr>
          <w:rFonts w:ascii="宋体" w:hAnsi="Times New Roman"/>
          <w:bCs/>
          <w:color w:val="000000" w:themeColor="text1"/>
          <w:sz w:val="24"/>
          <w:szCs w:val="21"/>
          <w:highlight w:val="none"/>
          <w14:textFill>
            <w14:solidFill>
              <w14:schemeClr w14:val="tx1"/>
            </w14:solidFill>
          </w14:textFill>
        </w:rPr>
      </w:pPr>
      <w:r>
        <w:rPr>
          <w:rFonts w:ascii="宋体" w:hAnsi="Times New Roman"/>
          <w:bCs/>
          <w:color w:val="000000" w:themeColor="text1"/>
          <w:sz w:val="24"/>
          <w:szCs w:val="21"/>
          <w:highlight w:val="none"/>
          <w14:textFill>
            <w14:solidFill>
              <w14:schemeClr w14:val="tx1"/>
            </w14:solidFill>
          </w14:textFill>
        </w:rPr>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供应商名称（公章）：</w:t>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法定代表人或其授权委托人（签字或盖章）：</w:t>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日期：</w:t>
      </w:r>
      <w:r>
        <w:rPr>
          <w:rFonts w:ascii="宋体" w:hAnsi="宋体"/>
          <w:bCs/>
          <w:color w:val="000000" w:themeColor="text1"/>
          <w:szCs w:val="21"/>
          <w:highlight w:val="none"/>
          <w:u w:val="none"/>
          <w14:textFill>
            <w14:solidFill>
              <w14:schemeClr w14:val="tx1"/>
            </w14:solidFill>
          </w14:textFill>
        </w:rPr>
        <w:t xml:space="preserve">______</w:t>
      </w:r>
      <w:r>
        <w:rPr>
          <w:rFonts w:hint="eastAsia" w:ascii="宋体" w:hAnsi="宋体"/>
          <w:bCs/>
          <w:color w:val="000000" w:themeColor="text1"/>
          <w:szCs w:val="21"/>
          <w:highlight w:val="none"/>
          <w:u w:val="none"/>
          <w14:textFill>
            <w14:solidFill>
              <w14:schemeClr w14:val="tx1"/>
            </w14:solidFill>
          </w14:textFill>
        </w:rPr>
        <w:t xml:space="preserve">年</w:t>
      </w:r>
      <w:r>
        <w:rPr>
          <w:rFonts w:ascii="宋体" w:hAnsi="宋体"/>
          <w:bCs/>
          <w:color w:val="000000" w:themeColor="text1"/>
          <w:szCs w:val="21"/>
          <w:highlight w:val="none"/>
          <w:u w:val="none"/>
          <w14:textFill>
            <w14:solidFill>
              <w14:schemeClr w14:val="tx1"/>
            </w14:solidFill>
          </w14:textFill>
        </w:rPr>
        <w:t xml:space="preserve">_____</w:t>
      </w:r>
      <w:r>
        <w:rPr>
          <w:rFonts w:hint="eastAsia" w:ascii="宋体" w:hAnsi="宋体"/>
          <w:bCs/>
          <w:color w:val="000000" w:themeColor="text1"/>
          <w:szCs w:val="21"/>
          <w:highlight w:val="none"/>
          <w:u w:val="none"/>
          <w14:textFill>
            <w14:solidFill>
              <w14:schemeClr w14:val="tx1"/>
            </w14:solidFill>
          </w14:textFill>
        </w:rPr>
        <w:t xml:space="preserve">月</w:t>
      </w:r>
      <w:r>
        <w:rPr>
          <w:rFonts w:ascii="宋体" w:hAnsi="宋体"/>
          <w:bCs/>
          <w:color w:val="000000" w:themeColor="text1"/>
          <w:szCs w:val="21"/>
          <w:highlight w:val="none"/>
          <w:u w:val="none"/>
          <w14:textFill>
            <w14:solidFill>
              <w14:schemeClr w14:val="tx1"/>
            </w14:solidFill>
          </w14:textFill>
        </w:rPr>
        <w:t xml:space="preserve">_____</w:t>
      </w:r>
      <w:r>
        <w:rPr>
          <w:rFonts w:hint="eastAsia" w:ascii="宋体" w:hAnsi="宋体"/>
          <w:bCs/>
          <w:color w:val="000000" w:themeColor="text1"/>
          <w:szCs w:val="21"/>
          <w:highlight w:val="none"/>
          <w:u w:val="none"/>
          <w14:textFill>
            <w14:solidFill>
              <w14:schemeClr w14:val="tx1"/>
            </w14:solidFill>
          </w14:textFill>
        </w:rPr>
        <w:t xml:space="preserve">日</w:t>
      </w:r>
      <w:r/>
    </w:p>
    <w:p>
      <w:pPr>
        <w:jc w:val="right"/>
        <w:spacing w:line="360" w:lineRule="auto"/>
        <w:rPr>
          <w:rFonts w:ascii="宋体" w:hAnsi="Times New Roman" w:cs="宋体"/>
          <w:color w:val="000000" w:themeColor="text1"/>
          <w:sz w:val="24"/>
          <w:szCs w:val="24"/>
          <w:highlight w:val="none"/>
          <w14:textFill>
            <w14:solidFill>
              <w14:schemeClr w14:val="tx1"/>
            </w14:solidFill>
          </w14:textFill>
        </w:rPr>
      </w:pPr>
      <w:r>
        <w:rPr>
          <w:rFonts w:ascii="宋体" w:hAnsi="Times New Roman" w:cs="宋体"/>
          <w:color w:val="000000" w:themeColor="text1"/>
          <w:sz w:val="24"/>
          <w:szCs w:val="24"/>
          <w:highlight w:val="none"/>
          <w14:textFill>
            <w14:solidFill>
              <w14:schemeClr w14:val="tx1"/>
            </w14:solidFill>
          </w14:textFill>
        </w:rPr>
      </w:r>
      <w:r/>
    </w:p>
    <w:p>
      <w:pPr>
        <w:spacing w:line="46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br w:type="page" w:clear="all"/>
      </w:r>
      <w:bookmarkEnd w:id="181"/>
      <w:r/>
      <w:bookmarkEnd w:id="182"/>
      <w:r/>
      <w:bookmarkEnd w:id="183"/>
      <w:r/>
      <w:bookmarkStart w:id="184" w:name="_Toc120614284"/>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3</w:t>
      </w:r>
      <w:r/>
    </w:p>
    <w:p>
      <w:pPr>
        <w:pStyle w:val="1077"/>
        <w:ind w:firstLine="561"/>
        <w:jc w:val="center"/>
        <w:spacing w:line="360" w:lineRule="auto"/>
        <w:rPr>
          <w:rStyle w:val="1078"/>
          <w:rFonts w:hint="eastAsia" w:ascii="宋体" w:hAnsi="宋体" w:eastAsia="宋体" w:cs="宋体"/>
          <w:b w:val="0"/>
          <w:color w:val="auto"/>
          <w:highlight w:val="none"/>
        </w:rPr>
      </w:pPr>
      <w:r>
        <w:rPr>
          <w:rStyle w:val="1078"/>
          <w:rFonts w:hint="eastAsia" w:ascii="宋体" w:hAnsi="宋体" w:eastAsia="宋体" w:cs="宋体"/>
          <w:b w:val="0"/>
          <w:color w:val="auto"/>
          <w:highlight w:val="none"/>
        </w:rPr>
        <w:t xml:space="preserve">法定代表人授权书</w:t>
      </w:r>
      <w:r/>
    </w:p>
    <w:p>
      <w:pPr>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致：</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（采购人名称）</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我</w:t>
      </w:r>
      <w:r>
        <w:rPr>
          <w:rFonts w:hint="eastAsia" w:ascii="宋体" w:hAnsi="宋体" w:eastAsia="宋体" w:cs="宋体"/>
          <w:color w:val="auto"/>
          <w:spacing w:val="-4"/>
          <w:sz w:val="24"/>
          <w:szCs w:val="24"/>
          <w:highlight w:val="none"/>
          <w:u w:val="single"/>
        </w:rPr>
        <w:t xml:space="preserve"> （姓名）   </w:t>
      </w:r>
      <w:r>
        <w:rPr>
          <w:rFonts w:hint="eastAsia" w:ascii="宋体" w:hAnsi="宋体" w:eastAsia="宋体" w:cs="宋体"/>
          <w:color w:val="auto"/>
          <w:spacing w:val="-4"/>
          <w:sz w:val="24"/>
          <w:szCs w:val="24"/>
          <w:highlight w:val="none"/>
        </w:rPr>
        <w:t xml:space="preserve">系</w:t>
      </w:r>
      <w:r>
        <w:rPr>
          <w:rFonts w:hint="eastAsia" w:ascii="宋体" w:hAnsi="宋体" w:eastAsia="宋体" w:cs="宋体"/>
          <w:color w:val="auto"/>
          <w:spacing w:val="-4"/>
          <w:sz w:val="24"/>
          <w:szCs w:val="24"/>
          <w:highlight w:val="none"/>
          <w:u w:val="single"/>
        </w:rPr>
        <w:t xml:space="preserve"> （响应人名称） </w:t>
      </w:r>
      <w:r>
        <w:rPr>
          <w:rFonts w:hint="eastAsia" w:ascii="宋体" w:hAnsi="宋体" w:eastAsia="宋体" w:cs="宋体"/>
          <w:color w:val="auto"/>
          <w:spacing w:val="-4"/>
          <w:sz w:val="24"/>
          <w:szCs w:val="24"/>
          <w:highlight w:val="none"/>
        </w:rPr>
        <w:t xml:space="preserve">的法定代表人，现授权委托</w:t>
      </w:r>
      <w:r>
        <w:rPr>
          <w:rFonts w:hint="eastAsia" w:ascii="宋体" w:hAnsi="宋体" w:eastAsia="宋体" w:cs="宋体"/>
          <w:color w:val="auto"/>
          <w:spacing w:val="-4"/>
          <w:sz w:val="24"/>
          <w:szCs w:val="24"/>
          <w:highlight w:val="none"/>
          <w:u w:val="single"/>
        </w:rPr>
        <w:t xml:space="preserve">  （姓名）</w:t>
      </w:r>
      <w:r>
        <w:rPr>
          <w:rFonts w:hint="eastAsia" w:ascii="宋体" w:hAnsi="宋体" w:eastAsia="宋体" w:cs="宋体"/>
          <w:color w:val="auto"/>
          <w:spacing w:val="-4"/>
          <w:sz w:val="24"/>
          <w:szCs w:val="24"/>
          <w:highlight w:val="none"/>
        </w:rPr>
        <w:t xml:space="preserve">以我方的名义参加</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项目（项目编号</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     ）的采购活动，以本公司名义全权处理一切与该项目采购有关的事务。</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我方对委托代理人的签名负全部法律责任。</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在撤销授权的书面通知以前，本授权书一直有效。委托代理人在授权书有效期内签署的所有文件不因授权的撤销而失效。</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委托代理人无转委托权，特此委托。</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46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性别：</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电话：</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性别：</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电话：</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6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法定代表人：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（签字或盖章）</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80"/>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rPr>
          <w:rFonts w:hint="eastAsia" w:ascii="宋体" w:hAnsi="宋体"/>
          <w:color w:val="000000" w:themeColor="text1"/>
          <w:sz w:val="24"/>
          <w:szCs w:val="21"/>
          <w:highlight w:val="none"/>
          <w14:textFill>
            <w14:solidFill>
              <w14:schemeClr w14:val="tx1"/>
            </w14:solidFill>
          </w14:textFill>
        </w:rPr>
        <w:t xml:space="preserve">盖公章</w:t>
      </w:r>
      <w:r>
        <w:rPr>
          <w:rFonts w:hint="eastAsia" w:ascii="宋体" w:hAnsi="宋体" w:eastAsia="宋体" w:cs="宋体"/>
          <w:color w:val="auto"/>
          <w:spacing w:val="-4"/>
          <w:sz w:val="24"/>
          <w:szCs w:val="24"/>
          <w:highlight w:val="none"/>
        </w:rPr>
        <w:t xml:space="preserve">）</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                                            年    月    日</w:t>
      </w:r>
      <w:r/>
    </w:p>
    <w:p>
      <w:pPr>
        <w:ind w:firstLine="420"/>
        <w:rPr>
          <w:rFonts w:hint="eastAsia" w:ascii="Times New Roman" w:hAnsi="Times New Roman"/>
          <w:i/>
          <w:color w:val="000000" w:themeColor="text1"/>
          <w:sz w:val="24"/>
          <w:szCs w:val="24"/>
          <w:highlight w:val="none"/>
          <w:u w:val="single"/>
          <w14:textFill>
            <w14:solidFill>
              <w14:schemeClr w14:val="tx1"/>
            </w14:solidFill>
          </w14:textFill>
        </w:rPr>
      </w:pPr>
      <w:r>
        <w:rPr>
          <w:rFonts w:hint="eastAsia" w:ascii="Times New Roman" w:hAnsi="Times New Roman"/>
          <w:i/>
          <w:color w:val="000000" w:themeColor="text1"/>
          <w:sz w:val="24"/>
          <w:szCs w:val="24"/>
          <w:highlight w:val="none"/>
          <w:u w:val="singl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4</w:t>
      </w:r>
      <w:r/>
    </w:p>
    <w:p>
      <w:pPr>
        <w:jc w:val="center"/>
        <w:spacing w:line="56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磋商响应函</w:t>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致：采购人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根据贵方的项目编号：</w:t>
      </w:r>
      <w:r>
        <w:rPr>
          <w:rFonts w:hint="eastAsia" w:ascii="宋体" w:hAnsi="宋体"/>
          <w:b/>
          <w:color w:val="000000" w:themeColor="text1"/>
          <w:sz w:val="36"/>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磋商文件，正式授权下述签字人______</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姓名</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代表我方______________（供应商的名称），全权处理本次项目磋商的有关事宜。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2.我们完全理解贵方不一定将合同授予最低报价的供应商。</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.一旦我方成交</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我方将根据磋商文件的规定，严格履行合同的责任和义务</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并保证在磋商文件规定的时</w:t>
      </w:r>
      <w:r>
        <w:rPr>
          <w:rFonts w:hint="eastAsia" w:ascii="宋体" w:hAnsi="宋体"/>
          <w:color w:val="000000" w:themeColor="text1"/>
          <w:sz w:val="24"/>
          <w:szCs w:val="21"/>
          <w:highlight w:val="none"/>
          <w:lang w:eastAsia="zh-CN"/>
          <w14:textFill>
            <w14:solidFill>
              <w14:schemeClr w14:val="tx1"/>
            </w14:solidFill>
          </w14:textFill>
        </w:rPr>
        <w:t xml:space="preserve">间内</w:t>
      </w:r>
      <w:r>
        <w:rPr>
          <w:rFonts w:hint="eastAsia" w:ascii="宋体" w:hAnsi="宋体"/>
          <w:color w:val="000000" w:themeColor="text1"/>
          <w:sz w:val="24"/>
          <w:szCs w:val="21"/>
          <w:highlight w:val="none"/>
          <w14:textFill>
            <w14:solidFill>
              <w14:schemeClr w14:val="tx1"/>
            </w14:solidFill>
          </w14:textFill>
        </w:rPr>
        <w:t xml:space="preserve">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.我方与本磋商有关的正式通讯地址为：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p>
    <w:p>
      <w:pPr>
        <w:contextualSpacing/>
        <w:spacing w:line="40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left="420" w:firstLine="240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响应供应商全称</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盖公章</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w:t>
      </w:r>
      <w:r/>
    </w:p>
    <w:p>
      <w:pPr>
        <w:ind w:left="420" w:firstLine="240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法定代表人（签字或盖章）：</w:t>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spacing w:line="46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5</w:t>
      </w:r>
      <w:r/>
    </w:p>
    <w:p>
      <w:pPr>
        <w:contextualSpacing/>
        <w:jc w:val="center"/>
        <w:spacing w:line="30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商务部分正负偏离表</w:t>
      </w:r>
      <w:r/>
    </w:p>
    <w:p>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（由供应商据实填写，表格不够自行添加）</w:t>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序号</w:t>
            </w:r>
            <w:r/>
          </w:p>
        </w:tc>
        <w:tc>
          <w:tcPr>
            <w:tcW w:w="2300"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磋商文件要求的商务条款</w:t>
            </w:r>
            <w:r/>
          </w:p>
        </w:tc>
        <w:tc>
          <w:tcPr>
            <w:tcW w:w="2591"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1</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2</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3</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4</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bl>
    <w:p>
      <w:pPr>
        <w:contextualSpacing/>
        <w:spacing w:line="56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1.供应商提交的响应文件中与</w:t>
      </w:r>
      <w:r>
        <w:rPr>
          <w:rFonts w:hint="eastAsia" w:ascii="宋体" w:hAnsi="宋体"/>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color w:val="000000" w:themeColor="text1"/>
          <w:sz w:val="24"/>
          <w:szCs w:val="24"/>
          <w:highlight w:val="none"/>
          <w14:textFill>
            <w14:solidFill>
              <w14:schemeClr w14:val="tx1"/>
            </w14:solidFill>
          </w14:textFill>
        </w:rPr>
        <w:t xml:space="preserve">第三</w:t>
      </w:r>
      <w:r>
        <w:rPr>
          <w:rFonts w:hint="eastAsia" w:ascii="宋体" w:hAnsi="宋体"/>
          <w:color w:val="000000" w:themeColor="text1"/>
          <w:sz w:val="24"/>
          <w:szCs w:val="24"/>
          <w:highlight w:val="none"/>
          <w:lang w:val="en-US" w:eastAsia="zh-CN"/>
          <w14:textFill>
            <w14:solidFill>
              <w14:schemeClr w14:val="tx1"/>
            </w14:solidFill>
          </w14:textFill>
        </w:rPr>
        <w:t xml:space="preserve">章</w:t>
      </w:r>
      <w:r>
        <w:rPr>
          <w:rFonts w:hint="eastAsia" w:ascii="宋体" w:hAnsi="宋体"/>
          <w:color w:val="000000" w:themeColor="text1"/>
          <w:sz w:val="24"/>
          <w:szCs w:val="24"/>
          <w:highlight w:val="none"/>
          <w14:textFill>
            <w14:solidFill>
              <w14:schemeClr w14:val="tx1"/>
            </w14:solidFill>
          </w14:textFill>
        </w:rPr>
        <w:t xml:space="preserve">“项目需求”中的商务部分的要求，应逐条填列在偏离表中。</w:t>
      </w:r>
      <w:r>
        <w:rPr>
          <w:rFonts w:ascii="宋体" w:hAnsi="宋体" w:eastAsia="宋体" w:cs="宋体"/>
          <w:color w:val="000000"/>
          <w:sz w:val="24"/>
        </w:rPr>
        <w:t xml:space="preserve">项目需求中要求提供的证明材料附本表后（如有）</w:t>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w:t>
      </w:r>
      <w:r>
        <w:rPr>
          <w:rFonts w:hint="eastAsia" w:ascii="宋体" w:hAnsi="宋体"/>
          <w:b/>
          <w:bCs/>
          <w:color w:val="000000" w:themeColor="text1"/>
          <w:sz w:val="24"/>
          <w:szCs w:val="24"/>
          <w:highlight w:val="none"/>
          <w14:textFill>
            <w14:solidFill>
              <w14:schemeClr w14:val="tx1"/>
            </w14:solidFill>
          </w14:textFill>
        </w:rPr>
        <w:t xml:space="preserve">“正偏离”“无偏离”“负偏离”</w:t>
      </w:r>
      <w:r>
        <w:rPr>
          <w:rFonts w:hint="eastAsia" w:ascii="宋体" w:hAnsi="宋体"/>
          <w:color w:val="000000" w:themeColor="text1"/>
          <w:sz w:val="24"/>
          <w:szCs w:val="24"/>
          <w:highlight w:val="none"/>
          <w14:textFill>
            <w14:solidFill>
              <w14:schemeClr w14:val="tx1"/>
            </w14:solidFill>
          </w14:textFill>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供应商若提供其他增值服务，可以在表中自行据实填写。</w:t>
      </w:r>
      <w:r/>
    </w:p>
    <w:p>
      <w:pPr>
        <w:contextualSpacing/>
        <w:ind w:firstLine="540"/>
        <w:spacing w:line="56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6</w:t>
      </w:r>
      <w:r/>
    </w:p>
    <w:p>
      <w:pPr>
        <w:contextualSpacing/>
        <w:jc w:val="center"/>
        <w:spacing w:line="30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技术部分正负偏离表</w:t>
      </w:r>
      <w:r/>
    </w:p>
    <w:p>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（由供应商据实填写，表格不够自行添加）</w:t>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序号</w:t>
            </w:r>
            <w:r/>
          </w:p>
        </w:tc>
        <w:tc>
          <w:tcPr>
            <w:tcW w:w="2300"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磋商文件要求的技术要求</w:t>
            </w:r>
            <w:r/>
          </w:p>
        </w:tc>
        <w:tc>
          <w:tcPr>
            <w:tcW w:w="2591"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1</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2</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3</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4</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bl>
    <w:p>
      <w:pPr>
        <w:contextualSpacing/>
        <w:spacing w:line="56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1.供应商提交的响应文件中与磋商文件第三</w:t>
      </w:r>
      <w:r>
        <w:rPr>
          <w:rFonts w:hint="eastAsia" w:ascii="宋体" w:hAnsi="宋体"/>
          <w:color w:val="000000" w:themeColor="text1"/>
          <w:sz w:val="24"/>
          <w:szCs w:val="24"/>
          <w:highlight w:val="none"/>
          <w:lang w:val="en-US" w:eastAsia="zh-CN"/>
          <w14:textFill>
            <w14:solidFill>
              <w14:schemeClr w14:val="tx1"/>
            </w14:solidFill>
          </w14:textFill>
        </w:rPr>
        <w:t xml:space="preserve">章</w:t>
      </w:r>
      <w:r>
        <w:rPr>
          <w:rFonts w:hint="eastAsia" w:ascii="宋体" w:hAnsi="宋体"/>
          <w:color w:val="000000" w:themeColor="text1"/>
          <w:sz w:val="24"/>
          <w:szCs w:val="24"/>
          <w:highlight w:val="none"/>
          <w14:textFill>
            <w14:solidFill>
              <w14:schemeClr w14:val="tx1"/>
            </w14:solidFill>
          </w14:textFill>
        </w:rPr>
        <w:t xml:space="preserve">“项目需求”中的技术部分的要求，应逐条填列在偏离表中。</w:t>
      </w:r>
      <w:r>
        <w:rPr>
          <w:rFonts w:ascii="宋体" w:hAnsi="宋体" w:eastAsia="宋体" w:cs="宋体"/>
          <w:color w:val="000000"/>
          <w:sz w:val="24"/>
        </w:rPr>
        <w:t xml:space="preserve">项目需求中要求提供的证明材料附本表后（如有）</w:t>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w:t>
      </w:r>
      <w:r>
        <w:rPr>
          <w:rFonts w:hint="eastAsia" w:ascii="宋体" w:hAnsi="宋体"/>
          <w:b/>
          <w:bCs/>
          <w:color w:val="000000" w:themeColor="text1"/>
          <w:sz w:val="24"/>
          <w:szCs w:val="24"/>
          <w:highlight w:val="none"/>
          <w14:textFill>
            <w14:solidFill>
              <w14:schemeClr w14:val="tx1"/>
            </w14:solidFill>
          </w14:textFill>
        </w:rPr>
        <w:t xml:space="preserve">“正偏离”“无偏离”“负偏离”</w:t>
      </w:r>
      <w:r>
        <w:rPr>
          <w:rFonts w:hint="eastAsia" w:ascii="宋体" w:hAnsi="宋体"/>
          <w:color w:val="000000" w:themeColor="text1"/>
          <w:sz w:val="24"/>
          <w:szCs w:val="24"/>
          <w:highlight w:val="none"/>
          <w14:textFill>
            <w14:solidFill>
              <w14:schemeClr w14:val="tx1"/>
            </w14:solidFill>
          </w14:textFill>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供应商若提供其他增值服务，可以在表中自行据实填写。</w:t>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7</w:t>
      </w:r>
      <w:r/>
    </w:p>
    <w:p>
      <w:pPr>
        <w:pStyle w:val="740"/>
        <w:jc w:val="center"/>
        <w:keepNext w:val="0"/>
        <w:widowControl/>
        <w:rPr>
          <w:color w:val="auto"/>
          <w:highlight w:val="none"/>
        </w:rPr>
      </w:pPr>
      <w:r>
        <w:rPr>
          <w:rStyle w:val="773"/>
          <w:rFonts w:hint="eastAsia"/>
          <w:b w:val="0"/>
          <w:color w:val="auto"/>
          <w:highlight w:val="none"/>
        </w:rPr>
        <w:t xml:space="preserve">磋商报价表</w:t>
      </w:r>
      <w:r/>
    </w:p>
    <w:p>
      <w:pPr>
        <w:pStyle w:val="770"/>
        <w:rPr>
          <w:color w:val="auto"/>
          <w:highlight w:val="none"/>
        </w:rPr>
      </w:pPr>
      <w:r>
        <w:rPr>
          <w:rFonts w:hint="eastAsia"/>
          <w:color w:val="auto"/>
          <w:highlight w:val="none"/>
        </w:rPr>
        <w:t xml:space="preserve">本次为首次报价                 货币单位：人民币元</w:t>
      </w:r>
      <w:r/>
    </w:p>
    <w:p>
      <w:pPr>
        <w:pStyle w:val="770"/>
        <w:rPr>
          <w:color w:val="auto"/>
          <w:highlight w:val="none"/>
        </w:rPr>
      </w:pPr>
      <w:r>
        <w:rPr>
          <w:rFonts w:hint="eastAsia"/>
          <w:color w:val="auto"/>
          <w:highlight w:val="none"/>
        </w:rPr>
        <w:t xml:space="preserve">项目编号：项目编号 </w:t>
      </w:r>
      <w:r/>
    </w:p>
    <w:tbl>
      <w:tblPr>
        <w:tblStyle w:val="74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559"/>
        <w:gridCol w:w="2401"/>
        <w:gridCol w:w="3979"/>
      </w:tblGrid>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30" w:type="dxa"/>
            <w:vAlign w:val="center"/>
            <w:textDirection w:val="lrTb"/>
            <w:noWrap w:val="false"/>
          </w:tcPr>
          <w:p>
            <w:pPr>
              <w:pStyle w:val="770"/>
              <w:rPr>
                <w:color w:val="auto"/>
                <w:highlight w:val="none"/>
              </w:rPr>
            </w:pPr>
            <w:r>
              <w:rPr>
                <w:rFonts w:hint="eastAsia"/>
                <w:color w:val="auto"/>
                <w:highlight w:val="none"/>
              </w:rPr>
              <w:t xml:space="preserve">项目名称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45" w:type="dxa"/>
            <w:vAlign w:val="center"/>
            <w:textDirection w:val="lrTb"/>
            <w:noWrap w:val="false"/>
          </w:tcPr>
          <w:p>
            <w:pPr>
              <w:pStyle w:val="770"/>
              <w:rPr>
                <w:color w:val="auto"/>
                <w:highlight w:val="none"/>
              </w:rPr>
            </w:pPr>
            <w:r>
              <w:rPr>
                <w:rFonts w:hint="eastAsia"/>
                <w:color w:val="auto"/>
                <w:highlight w:val="none"/>
              </w:rPr>
              <w:t xml:space="preserve">项目内容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4980" w:type="dxa"/>
            <w:vAlign w:val="center"/>
            <w:textDirection w:val="lrTb"/>
            <w:noWrap w:val="false"/>
          </w:tcPr>
          <w:p>
            <w:pPr>
              <w:pStyle w:val="770"/>
              <w:rPr>
                <w:color w:val="auto"/>
                <w:highlight w:val="none"/>
              </w:rPr>
            </w:pPr>
            <w:r>
              <w:rPr>
                <w:rFonts w:hint="eastAsia"/>
                <w:color w:val="auto"/>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30" w:type="dxa"/>
            <w:vAlign w:val="center"/>
            <w:textDirection w:val="lrTb"/>
            <w:noWrap w:val="false"/>
          </w:tcPr>
          <w:p>
            <w:pPr>
              <w:pStyle w:val="770"/>
              <w:rPr>
                <w:color w:val="auto"/>
                <w:highlight w:val="none"/>
              </w:rPr>
            </w:pPr>
            <w:r>
              <w:rPr>
                <w:rFonts w:hint="eastAsia"/>
                <w:color w:val="auto"/>
                <w:highlight w:val="none"/>
              </w:rPr>
              <w:t xml:space="preserve">项目名称  </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45" w:type="dxa"/>
            <w:vAlign w:val="center"/>
            <w:textDirection w:val="lrTb"/>
            <w:noWrap w:val="false"/>
          </w:tcPr>
          <w:p>
            <w:pPr>
              <w:pStyle w:val="770"/>
              <w:rPr>
                <w:color w:val="auto"/>
                <w:highlight w:val="none"/>
              </w:rPr>
            </w:pPr>
            <w:r>
              <w:rPr>
                <w:rFonts w:hint="eastAsia"/>
                <w:color w:val="auto"/>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4980" w:type="dxa"/>
            <w:vAlign w:val="center"/>
            <w:textDirection w:val="lrTb"/>
            <w:noWrap w:val="false"/>
          </w:tcPr>
          <w:p>
            <w:pPr>
              <w:pStyle w:val="770"/>
              <w:rPr>
                <w:color w:val="auto"/>
                <w:highlight w:val="none"/>
              </w:rPr>
            </w:pPr>
            <w:r>
              <w:rPr>
                <w:color w:val="auto"/>
                <w:highlight w:val="none"/>
              </w:rPr>
              <mc:AlternateContent>
                <mc:Choice Requires="wpg">
                  <w:drawing>
                    <wp:inline xmlns:wp="http://schemas.openxmlformats.org/drawingml/2006/wordprocessingDrawing" distT="0" distB="0" distL="0" distR="0">
                      <wp:extent cx="726440" cy="231775"/>
                      <wp:effectExtent l="0" t="0" r="16510" b="158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7"/>
                              <a:stretch/>
                            </pic:blipFill>
                            <pic:spPr bwMode="auto">
                              <a:xfrm>
                                <a:off x="0" y="0"/>
                                <a:ext cx="726440" cy="231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2pt;height:18.2pt;mso-wrap-distance-left:0.0pt;mso-wrap-distance-top:0.0pt;mso-wrap-distance-right:0.0pt;mso-wrap-distance-bottom:0.0pt;" stroked="f">
                      <v:path textboxrect="0,0,0,0"/>
                      <v:imagedata r:id="rId17" o:title=""/>
                    </v:shape>
                  </w:pict>
                </mc:Fallback>
              </mc:AlternateContent>
            </w:r>
            <w:r>
              <w:rPr>
                <w:rFonts w:hint="eastAsia"/>
                <w:color w:val="auto"/>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30" w:type="dxa"/>
            <w:vAlign w:val="center"/>
            <w:textDirection w:val="lrTb"/>
            <w:noWrap w:val="false"/>
          </w:tcPr>
          <w:p>
            <w:pPr>
              <w:pStyle w:val="770"/>
              <w:rPr>
                <w:color w:val="auto"/>
                <w:highlight w:val="none"/>
              </w:rPr>
            </w:pPr>
            <w:r>
              <w:rPr>
                <w:rFonts w:hint="eastAsia"/>
                <w:color w:val="auto"/>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8340" w:type="dxa"/>
            <w:vAlign w:val="center"/>
            <w:textDirection w:val="lrTb"/>
            <w:noWrap w:val="false"/>
          </w:tcPr>
          <w:p>
            <w:pPr>
              <w:pStyle w:val="770"/>
              <w:rPr>
                <w:color w:val="auto"/>
                <w:highlight w:val="none"/>
              </w:rPr>
            </w:pPr>
            <w:r>
              <w:rPr>
                <w:rFonts w:hint="eastAsia"/>
                <w:color w:val="auto"/>
                <w:highlight w:val="none"/>
              </w:rPr>
              <w:t xml:space="preserve">金额大写 </w:t>
            </w:r>
            <w:r/>
          </w:p>
        </w:tc>
      </w:tr>
    </w:tbl>
    <w:p>
      <w:pPr>
        <w:pStyle w:val="770"/>
        <w:rPr>
          <w:color w:val="auto"/>
          <w:highlight w:val="none"/>
        </w:rPr>
      </w:pPr>
      <w:r>
        <w:rPr>
          <w:rFonts w:hint="eastAsia"/>
          <w:color w:val="auto"/>
          <w:highlight w:val="none"/>
        </w:rPr>
        <w:t xml:space="preserve">报价说明：</w:t>
      </w:r>
      <w:r/>
    </w:p>
    <w:p>
      <w:pPr>
        <w:pStyle w:val="77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770"/>
        <w:rPr>
          <w:color w:val="auto"/>
          <w:highlight w:val="none"/>
        </w:rPr>
      </w:pPr>
      <w:r>
        <w:rPr>
          <w:rFonts w:hint="eastAsia"/>
          <w:color w:val="auto"/>
          <w:highlight w:val="none"/>
          <w:lang w:eastAsia="zh-CN"/>
        </w:rPr>
        <w:t xml:space="preserve">2.</w:t>
      </w:r>
      <w:r>
        <w:rPr>
          <w:rFonts w:hint="eastAsia"/>
          <w:color w:val="auto"/>
          <w:highlight w:val="none"/>
        </w:rPr>
        <w:t xml:space="preserve">报价以总价为准，大小写不一致以大写为准；</w:t>
      </w:r>
      <w:r/>
    </w:p>
    <w:p>
      <w:pPr>
        <w:pStyle w:val="770"/>
        <w:rPr>
          <w:color w:val="auto"/>
          <w:highlight w:val="none"/>
        </w:rPr>
      </w:pPr>
      <w:r>
        <w:rPr>
          <w:rFonts w:hint="eastAsia"/>
          <w:color w:val="auto"/>
          <w:highlight w:val="none"/>
          <w:lang w:eastAsia="zh-CN"/>
        </w:rPr>
        <w:t xml:space="preserve">3.</w:t>
      </w:r>
      <w:r>
        <w:rPr>
          <w:rFonts w:hint="eastAsia"/>
          <w:color w:val="auto"/>
          <w:highlight w:val="none"/>
        </w:rPr>
        <w:t xml:space="preserve">偏离说明：详见《偏离表》；</w:t>
      </w:r>
      <w:r/>
    </w:p>
    <w:p>
      <w:pPr>
        <w:pStyle w:val="770"/>
        <w:rPr>
          <w:color w:val="auto"/>
          <w:highlight w:val="none"/>
        </w:rPr>
      </w:pPr>
      <w:r>
        <w:rPr>
          <w:rFonts w:hint="eastAsia"/>
          <w:color w:val="auto"/>
          <w:szCs w:val="24"/>
          <w:highlight w:val="none"/>
          <w:lang w:eastAsia="zh-CN"/>
        </w:rPr>
        <w:t xml:space="preserve">4.</w:t>
      </w:r>
      <w:r>
        <w:rPr>
          <w:rFonts w:hint="eastAsia"/>
          <w:color w:val="auto"/>
          <w:szCs w:val="24"/>
          <w:highlight w:val="none"/>
        </w:rPr>
        <w:t xml:space="preserve">如最后报价未列明单价，则最后所报各项单价计算方法为：（最后报价/ 最初报价）* 各项最初报价的单价。</w:t>
      </w:r>
      <w:r/>
    </w:p>
    <w:p>
      <w:pPr>
        <w:pStyle w:val="770"/>
        <w:rPr>
          <w:color w:val="auto"/>
          <w:highlight w:val="none"/>
        </w:rPr>
      </w:pPr>
      <w:r>
        <w:rPr>
          <w:rFonts w:hint="eastAsia"/>
          <w:color w:val="auto"/>
          <w:highlight w:val="none"/>
        </w:rPr>
        <w:t xml:space="preserve">供应商（电子签章）：</w:t>
      </w:r>
      <w:r/>
    </w:p>
    <w:p>
      <w:pPr>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注：《磋商报价表》与苏采云系统格式不一致的以苏采云系统格式为准。</w:t>
      </w:r>
      <w:r/>
    </w:p>
    <w:p>
      <w:pPr>
        <w:contextualSpacing/>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contextualSpacing/>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300" w:lineRule="auto"/>
        <w:rPr>
          <w:rFonts w:hint="eastAsia" w:eastAsia="方正黑体_GBK"/>
          <w:sz w:val="32"/>
          <w:szCs w:val="32"/>
          <w:highlight w:val="none"/>
          <w:lang w:val="en-US"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8</w:t>
      </w:r>
      <w:r/>
    </w:p>
    <w:p>
      <w:pPr>
        <w:spacing w:line="300" w:lineRule="auto"/>
        <w:rPr>
          <w:rFonts w:hint="eastAsia" w:ascii="Times New Roman" w:hAnsi="Times New Roman" w:eastAsia="方正黑体_GBK"/>
          <w:sz w:val="32"/>
          <w:szCs w:val="32"/>
          <w:highlight w:val="none"/>
          <w:lang w:eastAsia="zh-CN"/>
          <w14:textFill>
            <w14:solidFill>
              <w14:schemeClr w14:val="tx1"/>
            </w14:solidFill>
          </w14:textFill>
        </w:rPr>
        <w:outlineLvl w:val="0"/>
      </w:pPr>
      <w:r>
        <w:rPr>
          <w:rFonts w:hint="eastAsia" w:eastAsia="方正黑体_GBK"/>
          <w:color w:val="000000" w:themeColor="text1"/>
          <w:sz w:val="22"/>
          <w:szCs w:val="22"/>
          <w:highlight w:val="none"/>
          <w:lang w:val="en-US" w:eastAsia="zh-CN"/>
          <w14:textFill>
            <w14:solidFill>
              <w14:schemeClr w14:val="tx1"/>
            </w14:solidFill>
          </w14:textFill>
        </w:rPr>
        <w:t xml:space="preserve">（</w:t>
      </w:r>
      <w:r>
        <w:rPr>
          <w:rFonts w:hint="eastAsia" w:eastAsia="方正黑体_GBK"/>
          <w:color w:val="000000" w:themeColor="text1"/>
          <w:sz w:val="22"/>
          <w:szCs w:val="22"/>
          <w:highlight w:val="none"/>
          <w:lang w:val="en-US" w:eastAsia="zh-CN"/>
          <w14:textFill>
            <w14:solidFill>
              <w14:schemeClr w14:val="tx1"/>
            </w14:solidFill>
          </w14:textFill>
        </w:rPr>
        <w:t xml:space="preserve">如有</w:t>
      </w:r>
      <w:r>
        <w:rPr>
          <w:rFonts w:hint="eastAsia" w:eastAsia="方正黑体_GBK"/>
          <w:color w:val="000000" w:themeColor="text1"/>
          <w:sz w:val="22"/>
          <w:szCs w:val="22"/>
          <w:highlight w:val="none"/>
          <w:lang w:val="en-US" w:eastAsia="zh-CN"/>
          <w14:textFill>
            <w14:solidFill>
              <w14:schemeClr w14:val="tx1"/>
            </w14:solidFill>
          </w14:textFill>
        </w:rPr>
        <w:t xml:space="preserve">）</w:t>
      </w:r>
      <w:r>
        <w:rPr>
          <w:rFonts w:hint="eastAsia" w:eastAsia="方正黑体_GBK"/>
          <w:color w:val="000000" w:themeColor="text1"/>
          <w:sz w:val="32"/>
          <w:szCs w:val="32"/>
          <w:highlight w:val="none"/>
          <w:lang w:val="en-US" w:eastAsia="zh-CN"/>
          <w14:textFill>
            <w14:solidFill>
              <w14:schemeClr w14:val="tx1"/>
            </w14:solidFill>
          </w14:textFill>
        </w:rPr>
      </w:r>
      <w:r/>
    </w:p>
    <w:p>
      <w:pPr>
        <w:pStyle w:val="739"/>
        <w:jc w:val="center"/>
        <w:tabs>
          <w:tab w:val="left" w:pos="420" w:leader="none"/>
        </w:tabs>
        <w:rPr>
          <w:rFonts w:ascii="宋体" w:hAnsi="宋体" w:cs="宋体"/>
          <w:szCs w:val="28"/>
          <w:highlight w:val="none"/>
        </w:rPr>
      </w:pPr>
      <w:r>
        <w:rPr>
          <w:rFonts w:hint="eastAsia" w:ascii="宋体" w:hAnsi="宋体" w:eastAsia="宋体" w:cs="宋体"/>
          <w:b/>
          <w:bCs/>
          <w:color w:val="auto"/>
          <w:sz w:val="30"/>
          <w:szCs w:val="30"/>
          <w:highlight w:val="none"/>
          <w:lang w:val="en-US" w:eastAsia="zh-CN" w:bidi="ar-SA"/>
        </w:rPr>
        <w:t xml:space="preserve">中小企业声明函（服务）</w:t>
      </w:r>
      <w:r/>
    </w:p>
    <w:p>
      <w:pPr>
        <w:pStyle w:val="755"/>
        <w:spacing w:before="5"/>
        <w:rPr>
          <w:rFonts w:ascii="宋体" w:hAnsi="宋体" w:eastAsia="宋体" w:cs="宋体"/>
          <w:b/>
          <w:szCs w:val="28"/>
          <w:highlight w:val="none"/>
        </w:rPr>
      </w:pPr>
      <w:r>
        <w:rPr>
          <w:rFonts w:ascii="宋体" w:hAnsi="宋体" w:eastAsia="宋体" w:cs="宋体"/>
          <w:b/>
          <w:szCs w:val="28"/>
          <w:highlight w:val="none"/>
        </w:rPr>
      </w:r>
      <w:r/>
    </w:p>
    <w:p>
      <w:pPr>
        <w:pStyle w:val="755"/>
        <w:ind w:right="415" w:firstLine="640"/>
        <w:spacing w:line="302" w:lineRule="auto"/>
        <w:rPr>
          <w:rFonts w:ascii="宋体" w:hAnsi="宋体" w:eastAsia="宋体" w:cs="宋体"/>
          <w:szCs w:val="28"/>
          <w:highlight w:val="none"/>
        </w:rPr>
      </w:pPr>
      <w:r>
        <w:rPr>
          <w:rFonts w:hint="eastAsia" w:ascii="宋体" w:hAnsi="宋体" w:eastAsia="宋体" w:cs="宋体"/>
          <w:spacing w:val="-2"/>
          <w:szCs w:val="28"/>
          <w:highlight w:val="none"/>
        </w:rPr>
        <w:t xml:space="preserve">本公司</w:t>
      </w:r>
      <w:r>
        <w:rPr>
          <w:rFonts w:hint="eastAsia" w:ascii="宋体" w:hAnsi="宋体" w:eastAsia="宋体" w:cs="宋体"/>
          <w:szCs w:val="28"/>
          <w:highlight w:val="none"/>
        </w:rPr>
        <w:t xml:space="preserve">（联合体</w:t>
      </w:r>
      <w:r>
        <w:rPr>
          <w:rFonts w:hint="eastAsia" w:ascii="宋体" w:hAnsi="宋体" w:eastAsia="宋体" w:cs="宋体"/>
          <w:spacing w:val="-5"/>
          <w:szCs w:val="28"/>
          <w:highlight w:val="none"/>
        </w:rPr>
        <w:t xml:space="preserve">）</w:t>
      </w:r>
      <w:r>
        <w:rPr>
          <w:rFonts w:hint="eastAsia" w:ascii="宋体" w:hAnsi="宋体" w:eastAsia="宋体" w:cs="宋体"/>
          <w:spacing w:val="-2"/>
          <w:szCs w:val="28"/>
          <w:highlight w:val="none"/>
        </w:rPr>
        <w:t xml:space="preserve">郑重声明，根据《政府采购促进中小</w:t>
      </w:r>
      <w:r>
        <w:rPr>
          <w:rFonts w:hint="eastAsia" w:ascii="宋体" w:hAnsi="宋体" w:eastAsia="宋体" w:cs="宋体"/>
          <w:spacing w:val="-18"/>
          <w:szCs w:val="28"/>
          <w:highlight w:val="none"/>
        </w:rPr>
        <w:t xml:space="preserve">企业发展管理办法》</w:t>
      </w:r>
      <w:r>
        <w:rPr>
          <w:rFonts w:hint="eastAsia" w:ascii="宋体" w:hAnsi="宋体" w:eastAsia="宋体" w:cs="宋体"/>
          <w:szCs w:val="28"/>
          <w:highlight w:val="none"/>
        </w:rPr>
        <w:t xml:space="preserve">（</w:t>
      </w:r>
      <w:r>
        <w:rPr>
          <w:rFonts w:hint="eastAsia" w:ascii="宋体" w:hAnsi="宋体" w:eastAsia="宋体" w:cs="宋体"/>
          <w:spacing w:val="5"/>
          <w:szCs w:val="28"/>
          <w:highlight w:val="none"/>
        </w:rPr>
        <w:t xml:space="preserve">财库</w:t>
      </w:r>
      <w:r>
        <w:rPr>
          <w:rFonts w:hint="eastAsia" w:ascii="宋体" w:hAnsi="宋体" w:eastAsia="宋体" w:cs="宋体"/>
          <w:szCs w:val="28"/>
          <w:highlight w:val="none"/>
        </w:rPr>
        <w:t xml:space="preserve">﹝2020﹞46</w:t>
      </w:r>
      <w:r>
        <w:rPr>
          <w:rFonts w:hint="eastAsia" w:ascii="宋体" w:hAnsi="宋体" w:eastAsia="宋体" w:cs="宋体"/>
          <w:spacing w:val="-38"/>
          <w:szCs w:val="28"/>
          <w:highlight w:val="none"/>
        </w:rPr>
        <w:t xml:space="preserve"> 号</w:t>
      </w:r>
      <w:r>
        <w:rPr>
          <w:rFonts w:hint="eastAsia" w:ascii="宋体" w:hAnsi="宋体" w:eastAsia="宋体" w:cs="宋体"/>
          <w:spacing w:val="5"/>
          <w:szCs w:val="28"/>
          <w:highlight w:val="none"/>
        </w:rPr>
        <w:t xml:space="preserve">）</w:t>
      </w:r>
      <w:r>
        <w:rPr>
          <w:rFonts w:hint="eastAsia" w:ascii="宋体" w:hAnsi="宋体" w:eastAsia="宋体" w:cs="宋体"/>
          <w:szCs w:val="28"/>
          <w:highlight w:val="none"/>
        </w:rPr>
        <w:t xml:space="preserve">的规定，本公司（联合体）</w:t>
      </w:r>
      <w:r>
        <w:rPr>
          <w:rFonts w:hint="eastAsia" w:ascii="宋体" w:hAnsi="宋体" w:eastAsia="宋体" w:cs="宋体"/>
          <w:spacing w:val="-8"/>
          <w:szCs w:val="28"/>
          <w:highlight w:val="none"/>
        </w:rPr>
        <w:t xml:space="preserve">参加</w:t>
      </w:r>
      <w:r>
        <w:rPr>
          <w:rFonts w:hint="eastAsia" w:ascii="宋体" w:hAnsi="宋体" w:eastAsia="宋体" w:cs="宋体"/>
          <w:spacing w:val="-8"/>
          <w:szCs w:val="28"/>
          <w:highlight w:val="none"/>
          <w:u w:val="single"/>
        </w:rPr>
        <w:t xml:space="preserve">     （采购单位名称）</w:t>
      </w:r>
      <w:r>
        <w:rPr>
          <w:rFonts w:hint="eastAsia" w:ascii="宋体" w:hAnsi="宋体" w:eastAsia="宋体" w:cs="宋体"/>
          <w:spacing w:val="-8"/>
          <w:szCs w:val="28"/>
          <w:highlight w:val="none"/>
        </w:rPr>
        <w:t xml:space="preserve">的</w:t>
      </w:r>
      <w:r>
        <w:rPr>
          <w:rFonts w:hint="eastAsia" w:ascii="宋体" w:hAnsi="宋体" w:eastAsia="宋体" w:cs="宋体"/>
          <w:spacing w:val="-8"/>
          <w:szCs w:val="28"/>
          <w:highlight w:val="none"/>
          <w:u w:val="single"/>
        </w:rPr>
        <w:t xml:space="preserve">       （项目名称）</w:t>
      </w:r>
      <w:r>
        <w:rPr>
          <w:rFonts w:hint="eastAsia" w:ascii="宋体" w:hAnsi="宋体" w:eastAsia="宋体" w:cs="宋体"/>
          <w:spacing w:val="-8"/>
          <w:szCs w:val="28"/>
          <w:highlight w:val="none"/>
        </w:rPr>
        <w:t xml:space="preserve">采购活动</w:t>
      </w:r>
      <w:r>
        <w:rPr>
          <w:rFonts w:hint="eastAsia" w:ascii="宋体" w:hAnsi="宋体" w:eastAsia="宋体" w:cs="宋体"/>
          <w:spacing w:val="-1"/>
          <w:szCs w:val="28"/>
          <w:highlight w:val="none"/>
        </w:rPr>
        <w:t xml:space="preserve">，工</w:t>
      </w:r>
      <w:r>
        <w:rPr>
          <w:rFonts w:hint="eastAsia" w:ascii="宋体" w:hAnsi="宋体" w:eastAsia="宋体" w:cs="宋体"/>
          <w:spacing w:val="-2"/>
          <w:szCs w:val="28"/>
          <w:highlight w:val="none"/>
        </w:rPr>
        <w:t xml:space="preserve">程的施工单位全部为符合政策要求的中小企业</w:t>
      </w:r>
      <w:r>
        <w:rPr>
          <w:rFonts w:hint="eastAsia" w:ascii="宋体" w:hAnsi="宋体" w:eastAsia="宋体" w:cs="宋体"/>
          <w:szCs w:val="28"/>
          <w:highlight w:val="none"/>
        </w:rPr>
        <w:t xml:space="preserve">（</w:t>
      </w:r>
      <w:r>
        <w:rPr>
          <w:rFonts w:hint="eastAsia" w:ascii="宋体" w:hAnsi="宋体" w:eastAsia="宋体" w:cs="宋体"/>
          <w:spacing w:val="-3"/>
          <w:szCs w:val="28"/>
          <w:highlight w:val="none"/>
        </w:rPr>
        <w:t xml:space="preserve">或者：服务</w:t>
      </w:r>
      <w:r>
        <w:rPr>
          <w:rFonts w:hint="eastAsia" w:ascii="宋体" w:hAnsi="宋体" w:eastAsia="宋体" w:cs="宋体"/>
          <w:spacing w:val="5"/>
          <w:szCs w:val="28"/>
          <w:highlight w:val="none"/>
        </w:rPr>
        <w:t xml:space="preserve">全部由符合政策要求的中小企业承接</w:t>
      </w:r>
      <w:r>
        <w:rPr>
          <w:rFonts w:hint="eastAsia" w:ascii="宋体" w:hAnsi="宋体" w:eastAsia="宋体" w:cs="宋体"/>
          <w:spacing w:val="-8"/>
          <w:szCs w:val="28"/>
          <w:highlight w:val="none"/>
          <w:u w:val="none"/>
        </w:rPr>
        <w:t xml:space="preserve">）。</w:t>
      </w:r>
      <w:r>
        <w:rPr>
          <w:rFonts w:hint="eastAsia" w:ascii="宋体" w:hAnsi="宋体" w:eastAsia="宋体" w:cs="宋体"/>
          <w:spacing w:val="6"/>
          <w:szCs w:val="28"/>
          <w:highlight w:val="none"/>
        </w:rPr>
        <w:t xml:space="preserve">相关企业</w:t>
      </w:r>
      <w:r>
        <w:rPr>
          <w:rFonts w:hint="eastAsia" w:ascii="宋体" w:hAnsi="宋体" w:eastAsia="宋体" w:cs="宋体"/>
          <w:spacing w:val="7"/>
          <w:szCs w:val="28"/>
          <w:highlight w:val="none"/>
        </w:rPr>
        <w:t xml:space="preserve">（</w:t>
      </w:r>
      <w:r>
        <w:rPr>
          <w:rFonts w:hint="eastAsia" w:ascii="宋体" w:hAnsi="宋体" w:eastAsia="宋体" w:cs="宋体"/>
          <w:spacing w:val="4"/>
          <w:szCs w:val="28"/>
          <w:highlight w:val="none"/>
        </w:rPr>
        <w:t xml:space="preserve">含联合</w:t>
      </w:r>
      <w:r>
        <w:rPr>
          <w:rFonts w:hint="eastAsia" w:ascii="宋体" w:hAnsi="宋体" w:eastAsia="宋体" w:cs="宋体"/>
          <w:szCs w:val="28"/>
          <w:highlight w:val="none"/>
        </w:rPr>
        <w:t xml:space="preserve">体中的中小企业、签订分包意向协议的中小企业</w:t>
      </w:r>
      <w:r>
        <w:rPr>
          <w:rFonts w:hint="eastAsia" w:ascii="宋体" w:hAnsi="宋体" w:eastAsia="宋体" w:cs="宋体"/>
          <w:spacing w:val="-7"/>
          <w:szCs w:val="28"/>
          <w:highlight w:val="none"/>
        </w:rPr>
        <w:t xml:space="preserve">）</w:t>
      </w:r>
      <w:r>
        <w:rPr>
          <w:rFonts w:hint="eastAsia" w:ascii="宋体" w:hAnsi="宋体" w:eastAsia="宋体" w:cs="宋体"/>
          <w:szCs w:val="28"/>
          <w:highlight w:val="none"/>
        </w:rPr>
        <w:t xml:space="preserve">的具体情况如下：</w:t>
      </w:r>
      <w:r/>
    </w:p>
    <w:p>
      <w:pPr>
        <w:pStyle w:val="755"/>
        <w:numPr>
          <w:ilvl w:val="0"/>
          <w:numId w:val="5"/>
        </w:numPr>
        <w:ind w:right="417" w:firstLine="645"/>
        <w:spacing w:before="108" w:line="304" w:lineRule="auto"/>
        <w:rPr>
          <w:rFonts w:ascii="宋体" w:hAnsi="宋体" w:eastAsia="宋体" w:cs="宋体"/>
          <w:spacing w:val="-3"/>
          <w:szCs w:val="28"/>
          <w:highlight w:val="none"/>
          <w:u w:val="single"/>
        </w:rPr>
      </w:pPr>
      <w:r>
        <w:rPr>
          <w:rFonts w:hint="eastAsia" w:ascii="宋体" w:hAnsi="宋体" w:eastAsia="宋体" w:cs="宋体"/>
          <w:spacing w:val="-3"/>
          <w:szCs w:val="28"/>
          <w:highlight w:val="none"/>
          <w:u w:val="single"/>
        </w:rPr>
        <w:t xml:space="preserve"> 泰州市人民医院蔡司设备维保服务采购项目 </w:t>
      </w:r>
      <w:r>
        <w:rPr>
          <w:rFonts w:hint="eastAsia" w:ascii="宋体" w:hAnsi="宋体" w:eastAsia="宋体" w:cs="宋体"/>
          <w:spacing w:val="-3"/>
          <w:szCs w:val="28"/>
          <w:highlight w:val="none"/>
        </w:rPr>
        <w:t xml:space="preserve">，属于</w:t>
      </w:r>
      <w:r>
        <w:rPr>
          <w:rFonts w:hint="eastAsia" w:ascii="宋体" w:hAnsi="宋体" w:eastAsia="宋体" w:cs="宋体"/>
          <w:spacing w:val="-3"/>
          <w:szCs w:val="28"/>
          <w:highlight w:val="none"/>
          <w:u w:val="single"/>
        </w:rPr>
        <w:t xml:space="preserve">其他未列明行业</w:t>
      </w:r>
      <w:r>
        <w:rPr>
          <w:rFonts w:hint="eastAsia" w:ascii="宋体" w:hAnsi="宋体" w:eastAsia="宋体" w:cs="宋体"/>
          <w:spacing w:val="-3"/>
          <w:szCs w:val="28"/>
          <w:highlight w:val="none"/>
        </w:rPr>
        <w:t xml:space="preserve">；承建（承接）企业为</w:t>
      </w:r>
      <w:r>
        <w:rPr>
          <w:rFonts w:hint="eastAsia" w:ascii="宋体" w:hAnsi="宋体" w:eastAsia="宋体" w:cs="宋体"/>
          <w:spacing w:val="-3"/>
          <w:szCs w:val="28"/>
          <w:highlight w:val="none"/>
          <w:u w:val="single"/>
        </w:rPr>
        <w:t xml:space="preserve">（企业名称），</w:t>
      </w:r>
      <w:r>
        <w:rPr>
          <w:rFonts w:hint="eastAsia" w:ascii="宋体" w:hAnsi="宋体" w:eastAsia="宋体" w:cs="宋体"/>
          <w:spacing w:val="-3"/>
          <w:szCs w:val="28"/>
          <w:highlight w:val="none"/>
        </w:rPr>
        <w:t xml:space="preserve">从业人员</w:t>
      </w:r>
      <w:r>
        <w:rPr>
          <w:rFonts w:hint="eastAsia" w:ascii="宋体" w:hAnsi="宋体" w:eastAsia="宋体" w:cs="宋体"/>
          <w:spacing w:val="-3"/>
          <w:szCs w:val="28"/>
          <w:highlight w:val="none"/>
          <w:u w:val="single"/>
        </w:rPr>
        <w:t xml:space="preserve">   人</w:t>
      </w:r>
      <w:r>
        <w:rPr>
          <w:rFonts w:hint="eastAsia" w:ascii="宋体" w:hAnsi="宋体" w:eastAsia="宋体" w:cs="宋体"/>
          <w:spacing w:val="-3"/>
          <w:szCs w:val="28"/>
          <w:highlight w:val="none"/>
        </w:rPr>
        <w:t xml:space="preserve">，营业收入为</w:t>
      </w:r>
      <w:r>
        <w:rPr>
          <w:rFonts w:hint="eastAsia" w:ascii="宋体" w:hAnsi="宋体" w:eastAsia="宋体" w:cs="宋体"/>
          <w:spacing w:val="-3"/>
          <w:szCs w:val="28"/>
          <w:highlight w:val="none"/>
          <w:u w:val="single"/>
        </w:rPr>
        <w:t xml:space="preserve">    万元</w:t>
      </w:r>
      <w:r>
        <w:rPr>
          <w:rFonts w:hint="eastAsia" w:ascii="宋体" w:hAnsi="宋体" w:eastAsia="宋体" w:cs="宋体"/>
          <w:spacing w:val="-3"/>
          <w:szCs w:val="28"/>
          <w:highlight w:val="none"/>
        </w:rPr>
        <w:t xml:space="preserve">，资产总额为</w:t>
      </w:r>
      <w:r>
        <w:rPr>
          <w:rFonts w:hint="eastAsia" w:ascii="宋体" w:hAnsi="宋体" w:eastAsia="宋体" w:cs="宋体"/>
          <w:spacing w:val="-3"/>
          <w:szCs w:val="28"/>
          <w:highlight w:val="none"/>
          <w:u w:val="single"/>
        </w:rPr>
        <w:t xml:space="preserve">     万元</w:t>
      </w:r>
      <w:r>
        <w:rPr>
          <w:rFonts w:hint="eastAsia" w:ascii="宋体" w:hAnsi="宋体" w:eastAsia="宋体" w:cs="宋体"/>
          <w:spacing w:val="-3"/>
          <w:szCs w:val="28"/>
          <w:highlight w:val="none"/>
        </w:rPr>
        <w:t xml:space="preserve">，属于</w:t>
      </w:r>
      <w:r>
        <w:rPr>
          <w:rFonts w:hint="eastAsia" w:ascii="宋体" w:hAnsi="宋体" w:eastAsia="宋体" w:cs="宋体"/>
          <w:spacing w:val="-3"/>
          <w:szCs w:val="28"/>
          <w:highlight w:val="none"/>
          <w:u w:val="single"/>
        </w:rPr>
        <w:t xml:space="preserve">     （中型企业、小型企业、微型企业）。</w:t>
      </w:r>
      <w:r/>
    </w:p>
    <w:p>
      <w:pPr>
        <w:pStyle w:val="755"/>
        <w:ind w:right="417" w:firstLine="645"/>
        <w:spacing w:before="108" w:line="304" w:lineRule="auto"/>
        <w:rPr>
          <w:rFonts w:ascii="宋体" w:hAnsi="宋体" w:eastAsia="宋体" w:cs="宋体"/>
          <w:szCs w:val="28"/>
          <w:highlight w:val="none"/>
        </w:rPr>
      </w:pPr>
      <w:r>
        <w:rPr>
          <w:rFonts w:hint="eastAsia" w:ascii="宋体" w:hAnsi="宋体" w:eastAsia="宋体" w:cs="宋体"/>
          <w:spacing w:val="-3"/>
          <w:szCs w:val="28"/>
          <w:highlight w:val="none"/>
        </w:rPr>
        <w:t xml:space="preserve">以上企业，不属于大企业的分支机构，不存在控股股东</w:t>
      </w:r>
      <w:r>
        <w:rPr>
          <w:rFonts w:hint="eastAsia" w:ascii="宋体" w:hAnsi="宋体" w:eastAsia="宋体" w:cs="宋体"/>
          <w:spacing w:val="-5"/>
          <w:szCs w:val="28"/>
          <w:highlight w:val="none"/>
        </w:rPr>
        <w:t xml:space="preserve">为大企业的情形，也不存在与大企业的负责人为同一人的情形。</w:t>
      </w:r>
      <w:r/>
    </w:p>
    <w:p>
      <w:pPr>
        <w:pStyle w:val="755"/>
        <w:ind w:right="375" w:firstLine="640"/>
        <w:spacing w:line="304" w:lineRule="auto"/>
        <w:rPr>
          <w:rFonts w:ascii="宋体" w:hAnsi="宋体" w:eastAsia="宋体" w:cs="宋体"/>
          <w:szCs w:val="28"/>
          <w:highlight w:val="none"/>
        </w:rPr>
      </w:pPr>
      <w:r>
        <w:rPr>
          <w:rFonts w:hint="eastAsia" w:ascii="宋体" w:hAnsi="宋体" w:eastAsia="宋体" w:cs="宋体"/>
          <w:szCs w:val="28"/>
          <w:highlight w:val="none"/>
        </w:rPr>
        <w:t xml:space="preserve">本企业对上述声明内容的真实性负责。如有虚假，将依法承担相应责任。</w:t>
      </w:r>
      <w:r/>
    </w:p>
    <w:p>
      <w:pPr>
        <w:pStyle w:val="755"/>
        <w:ind w:left="4060" w:right="2166"/>
        <w:spacing w:before="29" w:line="316" w:lineRule="auto"/>
        <w:rPr>
          <w:rFonts w:ascii="宋体" w:hAnsi="宋体" w:eastAsia="宋体" w:cs="宋体"/>
          <w:spacing w:val="2"/>
          <w:szCs w:val="28"/>
          <w:highlight w:val="none"/>
        </w:rPr>
      </w:pPr>
      <w:r>
        <w:rPr>
          <w:rFonts w:hint="eastAsia" w:ascii="宋体" w:hAnsi="宋体" w:eastAsia="宋体" w:cs="宋体"/>
          <w:szCs w:val="28"/>
          <w:highlight w:val="none"/>
        </w:rPr>
        <w:t xml:space="preserve">企业名称</w:t>
      </w:r>
      <w:r>
        <w:rPr>
          <w:rFonts w:hint="eastAsia" w:ascii="宋体" w:hAnsi="宋体" w:eastAsia="宋体" w:cs="宋体"/>
          <w:spacing w:val="2"/>
          <w:szCs w:val="28"/>
          <w:highlight w:val="none"/>
        </w:rPr>
        <w:t xml:space="preserve">（</w:t>
      </w:r>
      <w:r>
        <w:rPr>
          <w:rFonts w:hint="eastAsia" w:ascii="宋体" w:hAnsi="宋体" w:eastAsia="宋体" w:cs="宋体"/>
          <w:szCs w:val="28"/>
          <w:highlight w:val="none"/>
        </w:rPr>
        <w:t xml:space="preserve">盖章</w:t>
      </w:r>
      <w:r>
        <w:rPr>
          <w:rFonts w:hint="eastAsia" w:ascii="宋体" w:hAnsi="宋体" w:eastAsia="宋体" w:cs="宋体"/>
          <w:spacing w:val="2"/>
          <w:szCs w:val="28"/>
          <w:highlight w:val="none"/>
        </w:rPr>
        <w:t xml:space="preserve">）：</w:t>
      </w:r>
      <w:r/>
    </w:p>
    <w:p>
      <w:pPr>
        <w:pStyle w:val="755"/>
        <w:ind w:left="4060" w:right="2166"/>
        <w:spacing w:before="29" w:line="316" w:lineRule="auto"/>
        <w:rPr>
          <w:rFonts w:ascii="宋体" w:hAnsi="宋体" w:eastAsia="宋体" w:cs="宋体"/>
          <w:spacing w:val="24"/>
          <w:szCs w:val="28"/>
          <w:highlight w:val="none"/>
        </w:rPr>
      </w:pPr>
      <w:r>
        <w:rPr>
          <w:rFonts w:hint="eastAsia" w:ascii="宋体" w:hAnsi="宋体" w:eastAsia="宋体" w:cs="宋体"/>
          <w:spacing w:val="24"/>
          <w:szCs w:val="28"/>
          <w:highlight w:val="none"/>
        </w:rPr>
        <w:t xml:space="preserve">日期：</w:t>
      </w:r>
      <w:r/>
    </w:p>
    <w:p>
      <w:pPr>
        <w:pStyle w:val="1079"/>
        <w:jc w:val="both"/>
        <w:spacing w:line="360" w:lineRule="auto"/>
        <w:rPr>
          <w:rFonts w:hint="eastAsia" w:ascii="宋体" w:hAnsi="宋体" w:cs="宋体"/>
          <w:b/>
          <w:bCs/>
          <w:highlight w:val="none"/>
        </w:rPr>
      </w:pPr>
      <w:r>
        <w:rPr>
          <w:rFonts w:hint="eastAsia" w:ascii="宋体" w:hAnsi="宋体" w:cs="宋体"/>
          <w:highlight w:val="none"/>
        </w:rPr>
        <w:t xml:space="preserve">注：从业人员、营业收入、资产总额填报上一年度数据，无上一年度数据的新成立企业可不填报</w:t>
      </w:r>
      <w:r/>
    </w:p>
    <w:p>
      <w:pPr>
        <w:pStyle w:val="818"/>
        <w:rPr>
          <w:rFonts w:hint="eastAsia" w:ascii="Times New Roman" w:hAnsi="Times New Roman"/>
          <w:b/>
          <w:bCs/>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14:textFill>
            <w14:solidFill>
              <w14:schemeClr w14:val="tx1"/>
            </w14:solidFill>
          </w14:textFill>
        </w:rPr>
      </w:r>
      <w:r/>
    </w:p>
    <w:p>
      <w:pPr>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p>
    <w:p>
      <w:pPr>
        <w:spacing w:line="300" w:lineRule="auto"/>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9</w:t>
      </w:r>
      <w:r/>
    </w:p>
    <w:p>
      <w:pPr>
        <w:rPr>
          <w:color w:val="auto"/>
          <w:highlight w:val="none"/>
        </w:rPr>
      </w:pPr>
      <w:r>
        <w:rPr>
          <w:rFonts w:hint="eastAsia"/>
          <w:color w:val="auto"/>
          <w:highlight w:val="none"/>
        </w:rPr>
        <w:t xml:space="preserve">（如有）</w:t>
      </w:r>
      <w:r/>
    </w:p>
    <w:p>
      <w:pPr>
        <w:pStyle w:val="811"/>
        <w:numPr>
          <w:ilvl w:val="0"/>
          <w:numId w:val="0"/>
        </w:numPr>
        <w:ind w:left="0" w:firstLine="0"/>
        <w:jc w:val="center"/>
        <w:spacing w:line="360" w:lineRule="auto"/>
        <w:tabs>
          <w:tab w:val="left" w:pos="720" w:leader="none"/>
          <w:tab w:val="clear" w:pos="907" w:leader="none"/>
          <w:tab w:val="clear" w:pos="1145" w:leader="none"/>
        </w:tabs>
        <w:rPr>
          <w:rFonts w:ascii="宋体" w:hAnsi="宋体" w:cs="宋体"/>
          <w:color w:val="auto"/>
          <w:sz w:val="28"/>
          <w:szCs w:val="24"/>
          <w:highlight w:val="none"/>
        </w:rPr>
      </w:pPr>
      <w:r>
        <w:rPr>
          <w:rFonts w:hint="eastAsia" w:ascii="宋体" w:hAnsi="宋体" w:cs="宋体"/>
          <w:color w:val="auto"/>
          <w:sz w:val="28"/>
          <w:szCs w:val="24"/>
          <w:highlight w:val="none"/>
        </w:rPr>
        <w:t xml:space="preserve">残疾人福利性单位声明函</w:t>
      </w:r>
      <w:r/>
    </w:p>
    <w:p>
      <w:pPr>
        <w:ind w:firstLine="562"/>
        <w:jc w:val="center"/>
        <w:spacing w:line="360" w:lineRule="auto"/>
        <w:widowControl/>
        <w:rPr>
          <w:rFonts w:ascii="宋体" w:hAnsi="宋体" w:cs="宋体"/>
          <w:b/>
          <w:bCs/>
          <w:color w:val="auto"/>
          <w:sz w:val="28"/>
          <w:szCs w:val="24"/>
          <w:highlight w:val="none"/>
        </w:rPr>
      </w:pPr>
      <w:r>
        <w:rPr>
          <w:rFonts w:ascii="宋体" w:hAnsi="宋体" w:cs="宋体"/>
          <w:b/>
          <w:bCs/>
          <w:color w:val="auto"/>
          <w:sz w:val="28"/>
          <w:szCs w:val="24"/>
          <w:highlight w:val="none"/>
        </w:rPr>
      </w:r>
      <w:r/>
    </w:p>
    <w:p>
      <w:pPr>
        <w:ind w:firstLine="480"/>
        <w:spacing w:line="48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firstLine="480"/>
        <w:spacing w:line="48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 </w:t>
      </w:r>
      <w:r/>
    </w:p>
    <w:p>
      <w:pPr>
        <w:ind w:firstLine="2880"/>
        <w:spacing w:line="48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单位名称（盖章）： </w:t>
      </w:r>
      <w:r/>
    </w:p>
    <w:p>
      <w:pPr>
        <w:ind w:right="1560" w:firstLine="560"/>
        <w:jc w:val="center"/>
        <w:spacing w:line="588" w:lineRule="exact"/>
        <w:tabs>
          <w:tab w:val="left" w:pos="4860" w:leader="none"/>
        </w:tabs>
        <w:rPr>
          <w:rFonts w:hint="eastAsia" w:ascii="宋体" w:hAnsi="宋体"/>
          <w:color w:val="000000" w:themeColor="text1"/>
          <w:sz w:val="28"/>
          <w:szCs w:val="28"/>
          <w:highlight w:val="none"/>
          <w14:textFill>
            <w14:solidFill>
              <w14:schemeClr w14:val="tx1"/>
            </w14:solidFill>
          </w14:textFill>
        </w:rPr>
      </w:pPr>
      <w:r>
        <w:rPr>
          <w:rFonts w:hint="eastAsia" w:ascii="宋体" w:hAnsi="宋体" w:cs="宋体"/>
          <w:color w:val="auto"/>
          <w:sz w:val="24"/>
          <w:szCs w:val="24"/>
          <w:highlight w:val="none"/>
        </w:rPr>
        <w:t xml:space="preserve">日 期：</w:t>
      </w:r>
      <w:r/>
    </w:p>
    <w:p>
      <w:pPr>
        <w:ind w:right="1560" w:firstLine="560"/>
        <w:jc w:val="center"/>
        <w:spacing w:line="588" w:lineRule="exact"/>
        <w:tabs>
          <w:tab w:val="left" w:pos="4860" w:leader="none"/>
        </w:tabs>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right="1560" w:firstLine="560"/>
        <w:jc w:val="center"/>
        <w:spacing w:line="588" w:lineRule="exact"/>
        <w:tabs>
          <w:tab w:val="left" w:pos="4860" w:leader="none"/>
        </w:tabs>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p>
    <w:p>
      <w:pPr>
        <w:spacing w:line="300" w:lineRule="auto"/>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eastAsia="方正黑体_GBK"/>
          <w:color w:val="000000" w:themeColor="text1"/>
          <w:sz w:val="32"/>
          <w:szCs w:val="32"/>
          <w:highlight w:val="none"/>
          <w:lang w:val="en-US" w:eastAsia="zh-CN"/>
          <w14:textFill>
            <w14:solidFill>
              <w14:schemeClr w14:val="tx1"/>
            </w14:solidFill>
          </w14:textFill>
        </w:rPr>
        <w:t xml:space="preserve">0</w:t>
      </w:r>
      <w:r/>
    </w:p>
    <w:p>
      <w:pPr>
        <w:jc w:val="center"/>
        <w:spacing w:line="420" w:lineRule="exact"/>
        <w:rPr>
          <w:b/>
          <w:bCs/>
          <w:color w:val="000000" w:themeColor="text1"/>
          <w:sz w:val="32"/>
          <w:szCs w:val="32"/>
          <w:highlight w:val="none"/>
          <w14:textFill>
            <w14:solidFill>
              <w14:schemeClr w14:val="tx1"/>
            </w14:solidFill>
          </w14:textFill>
        </w:rPr>
        <w:outlineLvl w:val="3"/>
      </w:pPr>
      <w:r>
        <w:rPr>
          <w:rFonts w:hint="eastAsia"/>
          <w:b/>
          <w:bCs/>
          <w:color w:val="000000" w:themeColor="text1"/>
          <w:sz w:val="32"/>
          <w:szCs w:val="32"/>
          <w:highlight w:val="none"/>
          <w14:textFill>
            <w14:solidFill>
              <w14:schemeClr w14:val="tx1"/>
            </w14:solidFill>
          </w14:textFill>
        </w:rPr>
        <w:t xml:space="preserve">监狱和戒毒企业证明材料</w:t>
      </w:r>
      <w:r/>
    </w:p>
    <w:p>
      <w:pPr>
        <w:ind w:firstLine="495"/>
        <w:spacing w:line="42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498"/>
        <w:spacing w:line="42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如有，</w:t>
      </w:r>
      <w:r>
        <w:rPr>
          <w:rFonts w:hint="eastAsia" w:ascii="宋体" w:hAnsi="宋体" w:cs="宋体"/>
          <w:b/>
          <w:color w:val="000000" w:themeColor="text1"/>
          <w:sz w:val="28"/>
          <w:szCs w:val="28"/>
          <w:highlight w:val="none"/>
          <w14:textFill>
            <w14:solidFill>
              <w14:schemeClr w14:val="tx1"/>
            </w14:solidFill>
          </w14:textFill>
        </w:rPr>
        <w:t xml:space="preserve">格式自拟）</w:t>
      </w:r>
      <w:r/>
    </w:p>
    <w:p>
      <w:pPr>
        <w:ind w:firstLine="495"/>
        <w:spacing w:line="4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66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注：1</w:t>
      </w:r>
      <w:r>
        <w:rPr>
          <w:rFonts w:hint="eastAsia"/>
          <w:color w:val="000000" w:themeColor="text1"/>
          <w:sz w:val="28"/>
          <w:szCs w:val="28"/>
          <w:highlight w:val="none"/>
          <w:lang w:val="en-US" w:eastAsia="zh-CN"/>
          <w14:textFill>
            <w14:solidFill>
              <w14:schemeClr w14:val="tx1"/>
            </w14:solidFill>
          </w14:textFill>
        </w:rPr>
        <w:t xml:space="preserve">.</w:t>
      </w:r>
      <w:r>
        <w:rPr>
          <w:rFonts w:hint="eastAsia" w:ascii="Times New Roman" w:hAnsi="Times New Roman"/>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2</w:t>
      </w:r>
      <w:r>
        <w:rPr>
          <w:rFonts w:hint="eastAsia"/>
          <w:color w:val="000000" w:themeColor="text1"/>
          <w:sz w:val="28"/>
          <w:szCs w:val="28"/>
          <w:highlight w:val="none"/>
          <w:lang w:val="en-US" w:eastAsia="zh-CN"/>
          <w14:textFill>
            <w14:solidFill>
              <w14:schemeClr w14:val="tx1"/>
            </w14:solidFill>
          </w14:textFill>
        </w:rPr>
        <w:t xml:space="preserve">.</w:t>
      </w:r>
      <w:r>
        <w:rPr>
          <w:rFonts w:hint="eastAsia" w:ascii="Times New Roman" w:hAnsi="Times New Roman"/>
          <w:color w:val="000000" w:themeColor="text1"/>
          <w:sz w:val="28"/>
          <w:szCs w:val="28"/>
          <w:highlight w:val="none"/>
          <w14:textFill>
            <w14:solidFill>
              <w14:schemeClr w14:val="tx1"/>
            </w14:solidFill>
          </w14:textFill>
        </w:rPr>
        <w:t xml:space="preserve">成交供应商为监狱企业的，此声明函将随成交结果同时公告，</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接受社会监督。供应商按照本办法规定提供声明函内容不实的，属于</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提供虚假材料谋取中标、成交，依照《中华人民共和国政府采购法》</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等国家有关规定追究相应责任。</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rPr>
          <w:rFonts w:hint="eastAsia" w:ascii="华文新魏" w:hAnsi="宋体" w:eastAsia="华文新魏"/>
          <w:color w:val="000000" w:themeColor="text1"/>
          <w:sz w:val="36"/>
          <w:szCs w:val="36"/>
          <w:highlight w:val="none"/>
          <w14:textFill>
            <w14:solidFill>
              <w14:schemeClr w14:val="tx1"/>
            </w14:solidFill>
          </w14:textFill>
        </w:rPr>
      </w:pPr>
      <w:r>
        <w:rPr>
          <w:rFonts w:hint="eastAsia" w:ascii="华文新魏" w:hAnsi="宋体" w:eastAsia="华文新魏"/>
          <w:color w:val="000000" w:themeColor="text1"/>
          <w:sz w:val="36"/>
          <w:szCs w:val="36"/>
          <w:highlight w:val="none"/>
          <w14:textFill>
            <w14:solidFill>
              <w14:schemeClr w14:val="tx1"/>
            </w14:solidFill>
          </w14:textFill>
        </w:rPr>
        <w:br w:type="page" w:clear="all"/>
      </w:r>
      <w:r/>
    </w:p>
    <w:p>
      <w:pPr>
        <w:spacing w:line="300" w:lineRule="auto"/>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eastAsia="方正黑体_GBK"/>
          <w:color w:val="000000" w:themeColor="text1"/>
          <w:sz w:val="32"/>
          <w:szCs w:val="32"/>
          <w:highlight w:val="none"/>
          <w:lang w:val="en-US" w:eastAsia="zh-CN"/>
          <w14:textFill>
            <w14:solidFill>
              <w14:schemeClr w14:val="tx1"/>
            </w14:solidFill>
          </w14:textFill>
        </w:rPr>
        <w:t xml:space="preserve">1</w:t>
      </w:r>
      <w:r/>
    </w:p>
    <w:p>
      <w:pPr>
        <w:jc w:val="center"/>
        <w:spacing w:line="360" w:lineRule="auto"/>
        <w:rPr>
          <w:rStyle w:val="1078"/>
          <w:b/>
          <w:color w:val="auto"/>
          <w:sz w:val="32"/>
          <w:szCs w:val="32"/>
          <w:highlight w:val="none"/>
        </w:rPr>
      </w:pPr>
      <w:r>
        <w:rPr>
          <w:rStyle w:val="1078"/>
          <w:rFonts w:hint="eastAsia" w:ascii="宋体" w:hAnsi="宋体"/>
          <w:b/>
          <w:color w:val="auto"/>
          <w:sz w:val="32"/>
          <w:szCs w:val="32"/>
          <w:highlight w:val="none"/>
        </w:rPr>
        <w:t xml:space="preserve">承诺函</w:t>
      </w:r>
      <w:r/>
    </w:p>
    <w:p>
      <w:pPr>
        <w:spacing w:line="360" w:lineRule="auto"/>
        <w:rPr>
          <w:rStyle w:val="1078"/>
          <w:rFonts w:ascii="宋体" w:hAnsi="宋体"/>
          <w:color w:val="auto"/>
          <w:sz w:val="24"/>
          <w:highlight w:val="none"/>
          <w:u w:val="single"/>
        </w:rPr>
      </w:pPr>
      <w:r>
        <w:rPr>
          <w:rStyle w:val="1078"/>
          <w:rFonts w:hint="eastAsia" w:ascii="宋体" w:hAnsi="宋体"/>
          <w:color w:val="auto"/>
          <w:sz w:val="24"/>
          <w:highlight w:val="none"/>
          <w:u w:val="single"/>
        </w:rPr>
        <w:t xml:space="preserve">               （采购单位名称）：</w:t>
      </w:r>
      <w:r/>
    </w:p>
    <w:p>
      <w:pPr>
        <w:spacing w:line="360" w:lineRule="auto"/>
        <w:rPr>
          <w:rStyle w:val="1078"/>
          <w:rFonts w:ascii="宋体" w:hAnsi="宋体"/>
          <w:color w:val="auto"/>
          <w:sz w:val="24"/>
          <w:highlight w:val="none"/>
        </w:rPr>
      </w:pPr>
      <w:r>
        <w:rPr>
          <w:rFonts w:ascii="宋体" w:hAnsi="宋体"/>
          <w:color w:val="auto"/>
          <w:sz w:val="24"/>
          <w:highlight w:val="none"/>
        </w:rPr>
      </w:r>
      <w:r/>
    </w:p>
    <w:p>
      <w:pPr>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本单位</w:t>
      </w:r>
      <w:r>
        <w:rPr>
          <w:rStyle w:val="1078"/>
          <w:rFonts w:hint="eastAsia" w:ascii="宋体" w:hAnsi="宋体"/>
          <w:color w:val="auto"/>
          <w:sz w:val="24"/>
          <w:highlight w:val="none"/>
          <w:u w:val="single"/>
        </w:rPr>
        <w:t xml:space="preserve">           （</w:t>
      </w:r>
      <w:r>
        <w:rPr>
          <w:rStyle w:val="1078"/>
          <w:rFonts w:hint="eastAsia" w:ascii="宋体" w:hAnsi="宋体"/>
          <w:color w:val="auto"/>
          <w:sz w:val="24"/>
          <w:highlight w:val="none"/>
        </w:rPr>
        <w:t xml:space="preserve">单位名称）参加 </w:t>
      </w:r>
      <w:r>
        <w:rPr>
          <w:rStyle w:val="1078"/>
          <w:rFonts w:hint="eastAsia" w:ascii="宋体" w:hAnsi="宋体"/>
          <w:color w:val="auto"/>
          <w:sz w:val="24"/>
          <w:highlight w:val="none"/>
          <w:u w:val="single"/>
        </w:rPr>
        <w:t xml:space="preserve">   （项目名称和项目编号）</w:t>
      </w:r>
      <w:r>
        <w:rPr>
          <w:rStyle w:val="1078"/>
          <w:rFonts w:hint="eastAsia" w:ascii="宋体" w:hAnsi="宋体"/>
          <w:color w:val="auto"/>
          <w:sz w:val="24"/>
          <w:highlight w:val="none"/>
        </w:rPr>
        <w:t xml:space="preserve">的政府采购活动，郑重承诺：</w:t>
      </w:r>
      <w:r/>
    </w:p>
    <w:p>
      <w:pPr>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（一）我单位承诺拟派服务人员及管理人员的一切人身安全责任由我单位自行负责；</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（二）我单位承诺采购人不承担我单位所派服务人员及管理人员的一切安全责任；</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（三）</w:t>
      </w:r>
      <w:r>
        <w:rPr>
          <w:rFonts w:hint="eastAsia" w:ascii="宋体" w:hAnsi="宋体"/>
          <w:color w:val="auto"/>
          <w:sz w:val="24"/>
          <w:highlight w:val="none"/>
        </w:rPr>
        <w:t xml:space="preserve">我单位承诺在合同期内出现的一切意外（包括造成的采购人及其他第三方单位人身、建筑、设施、设备、材料、绿化等一切损坏）情况，均由本单位承担全部责任；</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（四）我单位承诺如果服务过程中未按上述要求履行，我单位承担违约责任，双倍赔偿</w:t>
      </w:r>
      <w:r>
        <w:rPr>
          <w:rStyle w:val="1078"/>
          <w:rFonts w:hint="eastAsia" w:ascii="宋体" w:hAnsi="宋体"/>
          <w:color w:val="auto"/>
          <w:sz w:val="24"/>
          <w:highlight w:val="none"/>
          <w:lang w:eastAsia="zh-CN"/>
        </w:rPr>
        <w:t xml:space="preserve">采购人</w:t>
      </w:r>
      <w:r>
        <w:rPr>
          <w:rStyle w:val="1078"/>
          <w:rFonts w:hint="eastAsia" w:ascii="宋体" w:hAnsi="宋体"/>
          <w:color w:val="auto"/>
          <w:sz w:val="24"/>
          <w:highlight w:val="none"/>
        </w:rPr>
        <w:t xml:space="preserve">损失，</w:t>
      </w:r>
      <w:r>
        <w:rPr>
          <w:rStyle w:val="1078"/>
          <w:rFonts w:hint="eastAsia" w:ascii="宋体" w:hAnsi="宋体"/>
          <w:color w:val="auto"/>
          <w:sz w:val="24"/>
          <w:highlight w:val="none"/>
          <w:lang w:eastAsia="zh-CN"/>
        </w:rPr>
        <w:t xml:space="preserve">采购人</w:t>
      </w:r>
      <w:r>
        <w:rPr>
          <w:rStyle w:val="1078"/>
          <w:rFonts w:hint="eastAsia" w:ascii="宋体" w:hAnsi="宋体"/>
          <w:color w:val="auto"/>
          <w:sz w:val="24"/>
          <w:highlight w:val="none"/>
        </w:rPr>
        <w:t xml:space="preserve">可直接解除合同，并没收履约保证金；</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（五）与本次参加磋商的其他供应商不存在“单位负责人为同一人或者存在直接控股、管理关系”的情形；</w:t>
      </w:r>
      <w:r/>
    </w:p>
    <w:p>
      <w:pPr>
        <w:ind w:firstLine="480"/>
        <w:jc w:val="left"/>
        <w:spacing w:line="360" w:lineRule="auto"/>
        <w:rPr>
          <w:rStyle w:val="1078"/>
          <w:rFonts w:ascii="宋体" w:hAnsi="宋体"/>
          <w:color w:val="auto"/>
          <w:sz w:val="24"/>
          <w:highlight w:val="none"/>
        </w:rPr>
      </w:pPr>
      <w:r>
        <w:rPr>
          <w:rFonts w:hint="eastAsia" w:ascii="宋体" w:hAnsi="宋体"/>
          <w:color w:val="auto"/>
          <w:sz w:val="24"/>
          <w:szCs w:val="24"/>
          <w:highlight w:val="none"/>
        </w:rPr>
        <w:t xml:space="preserve">（六）如违背上述承诺，本公司（单位）将承担一切法律责任。</w:t>
      </w:r>
      <w:r/>
    </w:p>
    <w:p>
      <w:pPr>
        <w:spacing w:line="360" w:lineRule="auto"/>
        <w:rPr>
          <w:rStyle w:val="1078"/>
          <w:rFonts w:ascii="宋体" w:hAnsi="宋体"/>
          <w:color w:val="auto"/>
          <w:sz w:val="24"/>
          <w:highlight w:val="none"/>
        </w:rPr>
      </w:pPr>
      <w:r>
        <w:rPr>
          <w:rFonts w:ascii="宋体" w:hAnsi="宋体"/>
          <w:color w:val="auto"/>
          <w:sz w:val="24"/>
          <w:highlight w:val="none"/>
        </w:rPr>
      </w:r>
      <w:r/>
    </w:p>
    <w:p>
      <w:pPr>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本单位对上述承诺的真实性负责。如有虚假，将依法承担相应责任。同时我们同意如贵方要求，可以出示相关证明文件。</w:t>
      </w:r>
      <w:r/>
    </w:p>
    <w:p>
      <w:pPr>
        <w:spacing w:line="360" w:lineRule="auto"/>
        <w:rPr>
          <w:rStyle w:val="1078"/>
          <w:rFonts w:ascii="宋体" w:hAnsi="宋体"/>
          <w:color w:val="auto"/>
          <w:sz w:val="24"/>
          <w:highlight w:val="none"/>
        </w:rPr>
      </w:pPr>
      <w:r>
        <w:rPr>
          <w:rFonts w:ascii="宋体" w:hAnsi="宋体"/>
          <w:color w:val="auto"/>
          <w:sz w:val="24"/>
          <w:highlight w:val="none"/>
        </w:rPr>
      </w:r>
      <w:r/>
    </w:p>
    <w:p>
      <w:pPr>
        <w:spacing w:line="360" w:lineRule="auto"/>
        <w:rPr>
          <w:rStyle w:val="1078"/>
          <w:rFonts w:ascii="宋体" w:hAnsi="宋体"/>
          <w:color w:val="auto"/>
          <w:sz w:val="24"/>
          <w:highlight w:val="none"/>
        </w:rPr>
      </w:pPr>
      <w:r>
        <w:rPr>
          <w:rFonts w:ascii="宋体" w:hAnsi="宋体"/>
          <w:color w:val="auto"/>
          <w:sz w:val="24"/>
          <w:highlight w:val="none"/>
        </w:rPr>
      </w:r>
      <w:r/>
    </w:p>
    <w:p>
      <w:pPr>
        <w:jc w:val="righ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供应商名称：（盖单位章）</w:t>
      </w:r>
      <w:r/>
    </w:p>
    <w:p>
      <w:pPr>
        <w:jc w:val="right"/>
        <w:spacing w:line="360" w:lineRule="auto"/>
        <w:rPr>
          <w:rStyle w:val="1078"/>
          <w:rFonts w:ascii="宋体" w:hAnsi="宋体"/>
          <w:color w:val="auto"/>
          <w:sz w:val="24"/>
          <w:highlight w:val="none"/>
        </w:rPr>
      </w:pPr>
      <w:r>
        <w:rPr>
          <w:rFonts w:ascii="宋体" w:hAnsi="宋体"/>
          <w:color w:val="auto"/>
          <w:sz w:val="24"/>
          <w:highlight w:val="none"/>
        </w:rPr>
      </w:r>
      <w:r/>
    </w:p>
    <w:p>
      <w:pPr>
        <w:jc w:val="righ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法定代表人或授权委托人：（签字或盖章）</w:t>
      </w:r>
      <w:r/>
    </w:p>
    <w:p>
      <w:pPr>
        <w:ind w:right="480" w:firstLine="4440"/>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日  期：</w:t>
      </w:r>
      <w:bookmarkEnd w:id="171"/>
      <w:r/>
      <w:bookmarkEnd w:id="172"/>
      <w:r/>
      <w:bookmarkEnd w:id="184"/>
      <w:r/>
      <w:r/>
    </w:p>
    <w:p>
      <w:pPr>
        <w:pStyle w:val="755"/>
        <w:rPr>
          <w:rFonts w:hint="eastAsia"/>
        </w:rPr>
      </w:pPr>
      <w:r>
        <w:rPr>
          <w:rFonts w:hint="eastAsia"/>
        </w:rPr>
      </w:r>
      <w:r/>
    </w:p>
    <w:p>
      <w:pP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p>
    <w:p>
      <w:pPr>
        <w:pStyle w:val="755"/>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eastAsia="方正黑体_GBK"/>
          <w:color w:val="000000" w:themeColor="text1"/>
          <w:sz w:val="32"/>
          <w:szCs w:val="32"/>
          <w:highlight w:val="none"/>
          <w:lang w:val="en-US" w:eastAsia="zh-CN"/>
          <w14:textFill>
            <w14:solidFill>
              <w14:schemeClr w14:val="tx1"/>
            </w14:solidFill>
          </w14:textFill>
        </w:rPr>
        <w:t xml:space="preserve">2</w:t>
      </w:r>
      <w:r/>
    </w:p>
    <w:p>
      <w:pPr>
        <w:pStyle w:val="770"/>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auto" w:sz="0" w:space="0"/>
          <w:left w:val="none" w:color="auto" w:sz="0" w:space="0"/>
          <w:bottom w:val="none" w:color="auto" w:sz="0" w:space="0"/>
          <w:right w:val="none" w:color="auto" w:sz="0" w:space="0"/>
        </w:pBdr>
        <w:suppressLineNumbers w:val="0"/>
      </w:pPr>
      <w:r>
        <w:rPr>
          <w:rStyle w:val="773"/>
          <w:rFonts w:hint="eastAsia" w:ascii="宋体" w:hAnsi="宋体" w:eastAsia="宋体" w:cs="宋体"/>
          <w:i w:val="0"/>
          <w:iCs w:val="0"/>
          <w:caps w:val="0"/>
          <w:color w:val="333333"/>
          <w:spacing w:val="0"/>
          <w:sz w:val="30"/>
          <w:szCs w:val="30"/>
          <w:shd w:val="clear" w:color="auto" w:fill="ffffff"/>
        </w:rPr>
        <w:t xml:space="preserve">关于符合本国产品标准的声明函</w:t>
      </w:r>
      <w:r/>
    </w:p>
    <w:p>
      <w:pPr>
        <w:pStyle w:val="770"/>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2"/>
          <w:szCs w:val="12"/>
        </w:rPr>
      </w:r>
      <w:r/>
    </w:p>
    <w:p>
      <w:pPr>
        <w:pStyle w:val="770"/>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0"/>
        <w:numPr>
          <w:ilvl w:val="0"/>
          <w:numId w:val="6"/>
        </w:numPr>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7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7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7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70"/>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70"/>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70"/>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年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  月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 日         </w:t>
      </w:r>
      <w:r/>
    </w:p>
    <w:p>
      <w:pPr>
        <w:pStyle w:val="77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77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pStyle w:val="770"/>
        <w:ind w:right="0"/>
        <w:keepLines w:val="0"/>
        <w:keepNext w:val="0"/>
        <w:pageBreakBefore w:val="0"/>
        <w:spacing w:before="30" w:beforeAutospacing="0" w:after="30" w:afterAutospacing="0" w:line="360" w:lineRule="auto"/>
        <w:shd w:val="clear" w:color="auto" w:fill="auto"/>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789"/>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82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1</w:t>
    </w:r>
    <w:r>
      <w:fldChar w:fldCharType="end"/>
    </w:r>
    <w:r/>
  </w:p>
  <w:p>
    <w:pPr>
      <w:pStyle w:val="8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9"/>
      <w:isLgl w:val="false"/>
      <w:suff w:val="nothing"/>
      <w:lvlText w:val=""/>
      <w:lvlJc w:val="left"/>
      <w:pPr>
        <w:ind w:left="0" w:firstLine="0"/>
      </w:pPr>
      <w:rPr>
        <w:rFonts w:hint="eastAsia"/>
      </w:rPr>
    </w:lvl>
    <w:lvl w:ilvl="6">
      <w:start w:val="1"/>
      <w:numFmt w:val="decimal"/>
      <w:pStyle w:val="847"/>
      <w:isLgl w:val="false"/>
      <w:suff w:val="nothing"/>
      <w:lvlText w:val=""/>
      <w:lvlJc w:val="left"/>
      <w:pPr>
        <w:ind w:left="0" w:firstLine="0"/>
      </w:pPr>
      <w:rPr>
        <w:rFonts w:hint="eastAsia"/>
      </w:rPr>
    </w:lvl>
    <w:lvl w:ilvl="7">
      <w:start w:val="1"/>
      <w:numFmt w:val="decimal"/>
      <w:pStyle w:val="845"/>
      <w:isLgl w:val="false"/>
      <w:suff w:val="nothing"/>
      <w:lvlText w:val=""/>
      <w:lvlJc w:val="left"/>
      <w:pPr>
        <w:ind w:left="0" w:firstLine="0"/>
      </w:pPr>
      <w:rPr>
        <w:rFonts w:hint="eastAsia"/>
      </w:rPr>
    </w:lvl>
    <w:lvl w:ilvl="8">
      <w:start w:val="1"/>
      <w:numFmt w:val="decimal"/>
      <w:pStyle w:val="843"/>
      <w:isLgl w:val="false"/>
      <w:suff w:val="nothing"/>
      <w:lvlText w:val=""/>
      <w:lvlJc w:val="left"/>
      <w:pPr>
        <w:ind w:left="0" w:firstLine="0"/>
      </w:pPr>
      <w:rPr>
        <w:rFonts w:hint="eastAsia"/>
      </w:rPr>
    </w:lvl>
  </w:abstractNum>
  <w:abstractNum w:abstractNumId="3">
    <w:multiLevelType w:val="hybridMultilevel"/>
    <w:lvl w:ilvl="0">
      <w:start w:val="1"/>
      <w:numFmt w:val="upperLetter"/>
      <w:pStyle w:val="8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884"/>
    <w:uiPriority w:val="0"/>
    <w:qFormat/>
    <w:rPr>
      <w:rFonts w:hint="default" w:ascii="Times New Roman" w:hAnsi="Times New Roman" w:eastAsia="宋体" w:cs="Times New Roman"/>
      <w:sz w:val="24"/>
      <w:szCs w:val="24"/>
    </w:rPr>
  </w:style>
  <w:style w:type="paragraph" w:styleId="739">
    <w:name w:val="Heading 1"/>
    <w:basedOn w:val="738"/>
    <w:next w:val="738"/>
    <w:link w:val="87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6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71"/>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64"/>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8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8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63"/>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83"/>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Note Heading"/>
    <w:basedOn w:val="738"/>
    <w:next w:val="738"/>
    <w:uiPriority w:val="99"/>
    <w:semiHidden/>
    <w:unhideWhenUsed/>
    <w:qFormat/>
    <w:pPr>
      <w:ind w:firstLine="480"/>
      <w:jc w:val="center"/>
      <w:spacing w:line="360" w:lineRule="auto"/>
    </w:pPr>
    <w:rPr>
      <w:szCs w:val="24"/>
      <w:lang w:val="zh-CN"/>
    </w:rPr>
  </w:style>
  <w:style w:type="paragraph" w:styleId="752">
    <w:name w:val="Normal Indent"/>
    <w:basedOn w:val="738"/>
    <w:next w:val="738"/>
    <w:uiPriority w:val="0"/>
    <w:qFormat/>
    <w:pPr>
      <w:ind w:firstLine="420"/>
    </w:pPr>
    <w:rPr>
      <w:rFonts w:ascii="Times New Roman"/>
    </w:r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8"/>
    <w:uiPriority w:val="99"/>
    <w:semiHidden/>
    <w:unhideWhenUsed/>
    <w:qFormat/>
    <w:pPr>
      <w:jc w:val="left"/>
    </w:pPr>
  </w:style>
  <w:style w:type="paragraph" w:styleId="755">
    <w:name w:val="Body Text"/>
    <w:basedOn w:val="738"/>
    <w:next w:val="738"/>
    <w:uiPriority w:val="0"/>
    <w:semiHidden/>
    <w:unhideWhenUsed/>
    <w:qFormat/>
    <w:rPr>
      <w:rFonts w:ascii="楷体_GB2312" w:hAnsi="Arial" w:eastAsia="楷体_GB2312"/>
      <w:sz w:val="28"/>
      <w:szCs w:val="20"/>
    </w:rPr>
  </w:style>
  <w:style w:type="paragraph" w:styleId="756">
    <w:name w:val="toc 5"/>
    <w:basedOn w:val="738"/>
    <w:next w:val="738"/>
    <w:uiPriority w:val="39"/>
    <w:unhideWhenUsed/>
    <w:qFormat/>
    <w:pPr>
      <w:ind w:left="1134" w:right="0" w:firstLine="0"/>
      <w:spacing w:after="57"/>
    </w:pPr>
  </w:style>
  <w:style w:type="paragraph" w:styleId="757">
    <w:name w:val="toc 3"/>
    <w:basedOn w:val="738"/>
    <w:next w:val="738"/>
    <w:uiPriority w:val="39"/>
    <w:unhideWhenUsed/>
    <w:qFormat/>
    <w:pPr>
      <w:ind w:left="567" w:right="0" w:firstLine="0"/>
      <w:spacing w:after="57"/>
    </w:pPr>
  </w:style>
  <w:style w:type="paragraph" w:styleId="758">
    <w:name w:val="toc 8"/>
    <w:basedOn w:val="738"/>
    <w:next w:val="738"/>
    <w:uiPriority w:val="39"/>
    <w:unhideWhenUsed/>
    <w:qFormat/>
    <w:pPr>
      <w:ind w:left="1984" w:right="0" w:firstLine="0"/>
      <w:spacing w:after="57"/>
    </w:pPr>
  </w:style>
  <w:style w:type="paragraph" w:styleId="759">
    <w:name w:val="endnote text"/>
    <w:basedOn w:val="738"/>
    <w:uiPriority w:val="99"/>
    <w:semiHidden/>
    <w:unhideWhenUsed/>
    <w:qFormat/>
    <w:pPr>
      <w:spacing w:after="0" w:line="240" w:lineRule="auto"/>
    </w:pPr>
    <w:rPr>
      <w:sz w:val="20"/>
    </w:rPr>
  </w:style>
  <w:style w:type="paragraph" w:styleId="760">
    <w:name w:val="Footer"/>
    <w:basedOn w:val="738"/>
    <w:uiPriority w:val="99"/>
    <w:unhideWhenUsed/>
    <w:qFormat/>
    <w:pPr>
      <w:spacing w:after="0" w:line="240" w:lineRule="auto"/>
      <w:tabs>
        <w:tab w:val="center" w:pos="7143" w:leader="none"/>
        <w:tab w:val="right" w:pos="14287" w:leader="none"/>
      </w:tabs>
    </w:pPr>
  </w:style>
  <w:style w:type="paragraph" w:styleId="761">
    <w:name w:val="Header"/>
    <w:basedOn w:val="738"/>
    <w:uiPriority w:val="99"/>
    <w:unhideWhenUsed/>
    <w:qFormat/>
    <w:pPr>
      <w:spacing w:after="0" w:line="240" w:lineRule="auto"/>
      <w:tabs>
        <w:tab w:val="center" w:pos="7143" w:leader="none"/>
        <w:tab w:val="right" w:pos="14287" w:leader="none"/>
      </w:tabs>
    </w:pPr>
  </w:style>
  <w:style w:type="paragraph" w:styleId="762">
    <w:name w:val="toc 1"/>
    <w:basedOn w:val="738"/>
    <w:next w:val="738"/>
    <w:uiPriority w:val="39"/>
    <w:unhideWhenUsed/>
    <w:qFormat/>
    <w:pPr>
      <w:ind w:left="0" w:right="0" w:firstLine="0"/>
      <w:spacing w:after="57"/>
    </w:pPr>
  </w:style>
  <w:style w:type="paragraph" w:styleId="763">
    <w:name w:val="toc 4"/>
    <w:basedOn w:val="738"/>
    <w:next w:val="738"/>
    <w:uiPriority w:val="39"/>
    <w:unhideWhenUsed/>
    <w:qFormat/>
    <w:pPr>
      <w:ind w:left="850" w:right="0" w:firstLine="0"/>
      <w:spacing w:after="57"/>
    </w:pPr>
  </w:style>
  <w:style w:type="paragraph" w:styleId="764">
    <w:name w:val="Subtitle"/>
    <w:basedOn w:val="738"/>
    <w:next w:val="738"/>
    <w:uiPriority w:val="11"/>
    <w:qFormat/>
    <w:pPr>
      <w:spacing w:before="200" w:after="200"/>
    </w:pPr>
    <w:rPr>
      <w:sz w:val="24"/>
      <w:szCs w:val="24"/>
    </w:rPr>
  </w:style>
  <w:style w:type="paragraph" w:styleId="765">
    <w:name w:val="footnote text"/>
    <w:basedOn w:val="738"/>
    <w:uiPriority w:val="99"/>
    <w:semiHidden/>
    <w:unhideWhenUsed/>
    <w:qFormat/>
    <w:pPr>
      <w:spacing w:after="40" w:line="240" w:lineRule="auto"/>
    </w:pPr>
    <w:rPr>
      <w:sz w:val="18"/>
    </w:rPr>
  </w:style>
  <w:style w:type="paragraph" w:styleId="766">
    <w:name w:val="toc 6"/>
    <w:basedOn w:val="738"/>
    <w:next w:val="738"/>
    <w:uiPriority w:val="39"/>
    <w:unhideWhenUsed/>
    <w:qFormat/>
    <w:pPr>
      <w:ind w:left="1417" w:right="0" w:firstLine="0"/>
      <w:spacing w:after="57"/>
    </w:pPr>
  </w:style>
  <w:style w:type="paragraph" w:styleId="767">
    <w:name w:val="table of figures"/>
    <w:basedOn w:val="738"/>
    <w:next w:val="738"/>
    <w:uiPriority w:val="99"/>
    <w:unhideWhenUsed/>
    <w:qFormat/>
    <w:pPr>
      <w:spacing w:after="0" w:afterAutospacing="0"/>
    </w:pPr>
  </w:style>
  <w:style w:type="paragraph" w:styleId="768">
    <w:name w:val="toc 2"/>
    <w:basedOn w:val="738"/>
    <w:next w:val="738"/>
    <w:uiPriority w:val="39"/>
    <w:unhideWhenUsed/>
    <w:qFormat/>
    <w:pPr>
      <w:ind w:left="283" w:right="0" w:firstLine="0"/>
      <w:spacing w:after="57"/>
    </w:pPr>
  </w:style>
  <w:style w:type="paragraph" w:styleId="769">
    <w:name w:val="toc 9"/>
    <w:basedOn w:val="738"/>
    <w:next w:val="738"/>
    <w:uiPriority w:val="39"/>
    <w:unhideWhenUsed/>
    <w:qFormat/>
    <w:pPr>
      <w:ind w:left="2268" w:right="0" w:firstLine="0"/>
      <w:spacing w:after="57"/>
    </w:pPr>
  </w:style>
  <w:style w:type="paragraph" w:styleId="770">
    <w:name w:val="Normal (Web)"/>
    <w:basedOn w:val="738"/>
    <w:uiPriority w:val="0"/>
    <w:qFormat/>
    <w:pPr>
      <w:ind w:left="0" w:right="0"/>
      <w:jc w:val="left"/>
      <w:spacing w:before="0" w:beforeAutospacing="1" w:after="0" w:afterAutospacing="1"/>
    </w:pPr>
    <w:rPr>
      <w:sz w:val="24"/>
      <w:lang w:val="en-US" w:eastAsia="zh-CN" w:bidi="ar"/>
    </w:rPr>
  </w:style>
  <w:style w:type="paragraph" w:styleId="771">
    <w:name w:val="Title"/>
    <w:basedOn w:val="738"/>
    <w:next w:val="738"/>
    <w:uiPriority w:val="10"/>
    <w:qFormat/>
    <w:pPr>
      <w:contextualSpacing/>
      <w:spacing w:before="300" w:after="200"/>
    </w:pPr>
    <w:rPr>
      <w:sz w:val="48"/>
      <w:szCs w:val="48"/>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8"/>
    <w:uiPriority w:val="0"/>
    <w:qFormat/>
    <w:rPr>
      <w:rFonts w:hint="default" w:ascii="Times New Roman" w:hAnsi="Times New Roman" w:eastAsia="宋体" w:cs="Times New Roman"/>
      <w:b/>
      <w:bCs/>
    </w:rPr>
  </w:style>
  <w:style w:type="character" w:styleId="774">
    <w:name w:val="endnote reference"/>
    <w:uiPriority w:val="99"/>
    <w:semiHidden/>
    <w:unhideWhenUsed/>
    <w:qFormat/>
    <w:rPr>
      <w:vertAlign w:val="superscript"/>
    </w:rPr>
  </w:style>
  <w:style w:type="character" w:styleId="775">
    <w:name w:val="Emphasis"/>
    <w:basedOn w:val="748"/>
    <w:uiPriority w:val="0"/>
    <w:qFormat/>
    <w:rPr>
      <w:i/>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_Style 1"/>
    <w:basedOn w:val="738"/>
    <w:uiPriority w:val="34"/>
    <w:qFormat/>
    <w:pPr>
      <w:ind w:firstLine="420"/>
    </w:pPr>
  </w:style>
  <w:style w:type="paragraph" w:styleId="779" w:customStyle="1">
    <w:name w:val="标题 111"/>
    <w:basedOn w:val="738"/>
    <w:next w:val="738"/>
    <w:uiPriority w:val="0"/>
    <w:qFormat/>
    <w:pPr>
      <w:jc w:val="center"/>
      <w:keepNext/>
      <w:outlineLvl w:val="0"/>
    </w:pPr>
    <w:rPr>
      <w:rFonts w:ascii="楷体_GB2312" w:eastAsia="楷体_GB2312"/>
      <w:position w:val="0"/>
      <w:sz w:val="28"/>
      <w:szCs w:val="28"/>
    </w:rPr>
  </w:style>
  <w:style w:type="character" w:styleId="780" w:customStyle="1">
    <w:name w:val="默认段落字体11"/>
    <w:link w:val="738"/>
    <w:uiPriority w:val="1"/>
    <w:unhideWhenUsed/>
    <w:qFormat/>
  </w:style>
  <w:style w:type="table" w:styleId="781" w:customStyle="1">
    <w:name w:val="普通表格11"/>
    <w:uiPriority w:val="99"/>
    <w:unhideWhenUsed/>
    <w:qFormat/>
    <w:tblPr/>
  </w:style>
  <w:style w:type="paragraph" w:styleId="782" w:customStyle="1">
    <w:name w:val="目录 711"/>
    <w:basedOn w:val="738"/>
    <w:next w:val="738"/>
    <w:uiPriority w:val="39"/>
    <w:unhideWhenUsed/>
    <w:qFormat/>
    <w:pPr>
      <w:ind w:left="1701" w:right="0" w:firstLine="0"/>
      <w:spacing w:after="57"/>
    </w:pPr>
  </w:style>
  <w:style w:type="paragraph" w:styleId="783" w:customStyle="1">
    <w:name w:val="正文文本111"/>
    <w:basedOn w:val="738"/>
    <w:uiPriority w:val="0"/>
    <w:qFormat/>
    <w:rPr>
      <w:rFonts w:ascii="楷体_GB2312" w:hAnsi="Arial"/>
      <w:sz w:val="28"/>
    </w:rPr>
  </w:style>
  <w:style w:type="paragraph" w:styleId="784" w:customStyle="1">
    <w:name w:val="目录 511"/>
    <w:basedOn w:val="738"/>
    <w:next w:val="738"/>
    <w:uiPriority w:val="39"/>
    <w:unhideWhenUsed/>
    <w:qFormat/>
    <w:pPr>
      <w:ind w:left="1134" w:right="0" w:firstLine="0"/>
      <w:spacing w:after="57"/>
    </w:pPr>
  </w:style>
  <w:style w:type="paragraph" w:styleId="785" w:customStyle="1">
    <w:name w:val="目录 311"/>
    <w:basedOn w:val="738"/>
    <w:next w:val="738"/>
    <w:uiPriority w:val="39"/>
    <w:unhideWhenUsed/>
    <w:qFormat/>
    <w:pPr>
      <w:ind w:left="567" w:right="0" w:firstLine="0"/>
      <w:spacing w:after="57"/>
    </w:pPr>
  </w:style>
  <w:style w:type="paragraph" w:styleId="786" w:customStyle="1">
    <w:name w:val="目录 811"/>
    <w:basedOn w:val="738"/>
    <w:next w:val="738"/>
    <w:uiPriority w:val="39"/>
    <w:unhideWhenUsed/>
    <w:qFormat/>
    <w:pPr>
      <w:ind w:left="1984" w:right="0" w:firstLine="0"/>
      <w:spacing w:after="57"/>
    </w:pPr>
  </w:style>
  <w:style w:type="paragraph" w:styleId="787" w:customStyle="1">
    <w:name w:val="尾注文本1"/>
    <w:basedOn w:val="738"/>
    <w:link w:val="788"/>
    <w:uiPriority w:val="99"/>
    <w:unhideWhenUsed/>
    <w:qFormat/>
    <w:pPr>
      <w:spacing w:after="0" w:line="240" w:lineRule="auto"/>
    </w:pPr>
    <w:rPr>
      <w:sz w:val="20"/>
    </w:rPr>
  </w:style>
  <w:style w:type="character" w:styleId="788" w:customStyle="1">
    <w:name w:val="Endnote Text Char"/>
    <w:link w:val="787"/>
    <w:uiPriority w:val="99"/>
    <w:qFormat/>
    <w:rPr>
      <w:sz w:val="20"/>
    </w:rPr>
  </w:style>
  <w:style w:type="paragraph" w:styleId="789" w:customStyle="1">
    <w:name w:val="页脚11"/>
    <w:basedOn w:val="738"/>
    <w:uiPriority w:val="99"/>
    <w:unhideWhenUsed/>
    <w:qFormat/>
    <w:pPr>
      <w:tabs>
        <w:tab w:val="center" w:pos="7143" w:leader="none"/>
        <w:tab w:val="right" w:pos="14287" w:leader="none"/>
      </w:tabs>
    </w:pPr>
  </w:style>
  <w:style w:type="paragraph" w:styleId="790" w:customStyle="1">
    <w:name w:val="页眉11"/>
    <w:basedOn w:val="738"/>
    <w:uiPriority w:val="0"/>
    <w:qFormat/>
    <w:pPr>
      <w:jc w:val="center"/>
      <w:tabs>
        <w:tab w:val="center" w:pos="4153" w:leader="none"/>
        <w:tab w:val="right" w:pos="8306" w:leader="none"/>
      </w:tabs>
    </w:pPr>
    <w:rPr>
      <w:sz w:val="18"/>
      <w:szCs w:val="18"/>
    </w:rPr>
  </w:style>
  <w:style w:type="paragraph" w:styleId="791" w:customStyle="1">
    <w:name w:val="目录 111"/>
    <w:basedOn w:val="738"/>
    <w:next w:val="738"/>
    <w:uiPriority w:val="39"/>
    <w:unhideWhenUsed/>
    <w:qFormat/>
    <w:pPr>
      <w:ind w:left="0" w:right="0" w:firstLine="0"/>
      <w:spacing w:after="57"/>
    </w:pPr>
  </w:style>
  <w:style w:type="paragraph" w:styleId="792" w:customStyle="1">
    <w:name w:val="目录 411"/>
    <w:basedOn w:val="738"/>
    <w:next w:val="738"/>
    <w:uiPriority w:val="39"/>
    <w:unhideWhenUsed/>
    <w:qFormat/>
    <w:pPr>
      <w:ind w:left="850" w:right="0" w:firstLine="0"/>
      <w:spacing w:after="57"/>
    </w:pPr>
  </w:style>
  <w:style w:type="paragraph" w:styleId="793" w:customStyle="1">
    <w:name w:val="副标题1"/>
    <w:basedOn w:val="738"/>
    <w:next w:val="738"/>
    <w:link w:val="794"/>
    <w:uiPriority w:val="11"/>
    <w:qFormat/>
    <w:pPr>
      <w:spacing w:before="200" w:after="200"/>
    </w:pPr>
    <w:rPr>
      <w:sz w:val="24"/>
      <w:szCs w:val="24"/>
    </w:rPr>
  </w:style>
  <w:style w:type="character" w:styleId="794" w:customStyle="1">
    <w:name w:val="Subtitle Char"/>
    <w:link w:val="793"/>
    <w:uiPriority w:val="11"/>
    <w:qFormat/>
    <w:rPr>
      <w:sz w:val="24"/>
      <w:szCs w:val="24"/>
    </w:rPr>
  </w:style>
  <w:style w:type="paragraph" w:styleId="795" w:customStyle="1">
    <w:name w:val="脚注文本1"/>
    <w:basedOn w:val="738"/>
    <w:link w:val="796"/>
    <w:uiPriority w:val="99"/>
    <w:unhideWhenUsed/>
    <w:qFormat/>
    <w:pPr>
      <w:spacing w:after="40" w:line="240" w:lineRule="auto"/>
    </w:pPr>
    <w:rPr>
      <w:sz w:val="18"/>
    </w:rPr>
  </w:style>
  <w:style w:type="character" w:styleId="796" w:customStyle="1">
    <w:name w:val="Footnote Text Char"/>
    <w:link w:val="795"/>
    <w:uiPriority w:val="99"/>
    <w:qFormat/>
    <w:rPr>
      <w:sz w:val="18"/>
    </w:rPr>
  </w:style>
  <w:style w:type="paragraph" w:styleId="797" w:customStyle="1">
    <w:name w:val="目录 611"/>
    <w:basedOn w:val="738"/>
    <w:next w:val="738"/>
    <w:uiPriority w:val="39"/>
    <w:unhideWhenUsed/>
    <w:qFormat/>
    <w:pPr>
      <w:ind w:left="1417" w:right="0" w:firstLine="0"/>
      <w:spacing w:after="57"/>
    </w:pPr>
  </w:style>
  <w:style w:type="paragraph" w:styleId="798" w:customStyle="1">
    <w:name w:val="图表目录11"/>
    <w:basedOn w:val="738"/>
    <w:next w:val="738"/>
    <w:uiPriority w:val="99"/>
    <w:unhideWhenUsed/>
    <w:qFormat/>
    <w:pPr>
      <w:spacing w:after="0" w:afterAutospacing="0"/>
    </w:pPr>
  </w:style>
  <w:style w:type="paragraph" w:styleId="799" w:customStyle="1">
    <w:name w:val="目录 211"/>
    <w:basedOn w:val="738"/>
    <w:next w:val="738"/>
    <w:uiPriority w:val="39"/>
    <w:unhideWhenUsed/>
    <w:qFormat/>
    <w:pPr>
      <w:ind w:left="283" w:right="0" w:firstLine="0"/>
      <w:spacing w:after="57"/>
    </w:pPr>
  </w:style>
  <w:style w:type="paragraph" w:styleId="800" w:customStyle="1">
    <w:name w:val="目录 911"/>
    <w:basedOn w:val="738"/>
    <w:next w:val="738"/>
    <w:uiPriority w:val="39"/>
    <w:unhideWhenUsed/>
    <w:qFormat/>
    <w:pPr>
      <w:ind w:left="2268" w:right="0" w:firstLine="0"/>
      <w:spacing w:after="57"/>
    </w:pPr>
  </w:style>
  <w:style w:type="paragraph" w:styleId="801" w:customStyle="1">
    <w:name w:val="标题11"/>
    <w:basedOn w:val="738"/>
    <w:next w:val="738"/>
    <w:link w:val="802"/>
    <w:uiPriority w:val="10"/>
    <w:qFormat/>
    <w:pPr>
      <w:contextualSpacing/>
      <w:spacing w:before="300" w:after="200"/>
    </w:pPr>
    <w:rPr>
      <w:sz w:val="48"/>
      <w:szCs w:val="48"/>
    </w:rPr>
  </w:style>
  <w:style w:type="character" w:styleId="802" w:customStyle="1">
    <w:name w:val="Title Char"/>
    <w:link w:val="801"/>
    <w:uiPriority w:val="10"/>
    <w:qFormat/>
    <w:rPr>
      <w:sz w:val="48"/>
      <w:szCs w:val="48"/>
    </w:rPr>
  </w:style>
  <w:style w:type="table" w:styleId="803" w:customStyle="1">
    <w:name w:val="网格型11"/>
    <w:uiPriority w:val="59"/>
    <w:qFormat/>
    <w:pPr>
      <w:spacing w:after="0" w:line="240" w:lineRule="auto"/>
    </w:pPr>
    <w:tblPr/>
  </w:style>
  <w:style w:type="character" w:styleId="804" w:customStyle="1">
    <w:name w:val="尾注引用1"/>
    <w:link w:val="738"/>
    <w:uiPriority w:val="99"/>
    <w:unhideWhenUsed/>
    <w:qFormat/>
    <w:rPr>
      <w:vertAlign w:val="superscript"/>
    </w:rPr>
  </w:style>
  <w:style w:type="character" w:styleId="805" w:customStyle="1">
    <w:name w:val="页码11"/>
    <w:basedOn w:val="780"/>
    <w:link w:val="738"/>
    <w:uiPriority w:val="0"/>
    <w:qFormat/>
  </w:style>
  <w:style w:type="character" w:styleId="806" w:customStyle="1">
    <w:name w:val="超链接11"/>
    <w:link w:val="738"/>
    <w:uiPriority w:val="99"/>
    <w:unhideWhenUsed/>
    <w:qFormat/>
    <w:rPr>
      <w:color w:val="0000ff"/>
      <w:u w:val="single"/>
    </w:rPr>
  </w:style>
  <w:style w:type="character" w:styleId="807" w:customStyle="1">
    <w:name w:val="脚注引用1"/>
    <w:link w:val="738"/>
    <w:uiPriority w:val="99"/>
    <w:unhideWhenUsed/>
    <w:qFormat/>
    <w:rPr>
      <w:vertAlign w:val="superscript"/>
    </w:rPr>
  </w:style>
  <w:style w:type="character" w:styleId="808" w:customStyle="1">
    <w:name w:val="列出段落 Char"/>
    <w:link w:val="809"/>
    <w:uiPriority w:val="0"/>
    <w:qFormat/>
    <w:rPr>
      <w:rFonts w:ascii="Calibri" w:hAnsi="Calibri" w:eastAsia="宋体" w:cs="Times New Roman"/>
      <w:sz w:val="24"/>
      <w:szCs w:val="24"/>
      <w:lang w:eastAsia="en-US" w:bidi="en-US"/>
    </w:rPr>
  </w:style>
  <w:style w:type="paragraph" w:styleId="809" w:customStyle="1">
    <w:name w:val="列出段落1"/>
    <w:basedOn w:val="738"/>
    <w:link w:val="808"/>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810" w:customStyle="1">
    <w:name w:val="二级目录 Char"/>
    <w:link w:val="811"/>
    <w:uiPriority w:val="0"/>
    <w:qFormat/>
    <w:rPr>
      <w:rFonts w:ascii="Times New Roman" w:hAnsi="Times New Roman" w:eastAsia="宋体" w:cs="Times New Roman"/>
      <w:b/>
      <w:sz w:val="30"/>
      <w:szCs w:val="28"/>
      <w:lang w:val="en-US" w:eastAsia="zh-CN" w:bidi="ar-SA"/>
    </w:rPr>
  </w:style>
  <w:style w:type="paragraph" w:styleId="811" w:customStyle="1">
    <w:name w:val="二级目录"/>
    <w:next w:val="738"/>
    <w:link w:val="810"/>
    <w:uiPriority w:val="0"/>
    <w:qFormat/>
    <w:pPr>
      <w:numPr>
        <w:ilvl w:val="0"/>
        <w:numId w:val="1"/>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12" w:customStyle="1">
    <w:name w:val="font5 Char"/>
    <w:link w:val="738"/>
    <w:uiPriority w:val="0"/>
    <w:qFormat/>
    <w:rPr>
      <w:rFonts w:ascii="宋体" w:hAnsi="宋体" w:eastAsia="宋体" w:cs="Times New Roman"/>
      <w:sz w:val="28"/>
      <w:szCs w:val="28"/>
      <w:lang w:val="en-US" w:eastAsia="zh-CN" w:bidi="ar-SA"/>
    </w:rPr>
  </w:style>
  <w:style w:type="character" w:styleId="813" w:customStyle="1">
    <w:name w:val="批注引用1"/>
    <w:link w:val="738"/>
    <w:uiPriority w:val="0"/>
    <w:qFormat/>
    <w:rPr>
      <w:rFonts w:ascii="Times New Roman" w:hAnsi="Times New Roman" w:eastAsia="宋体" w:cs="Times New Roman"/>
      <w:sz w:val="21"/>
      <w:szCs w:val="21"/>
    </w:rPr>
  </w:style>
  <w:style w:type="character" w:styleId="814" w:customStyle="1">
    <w:name w:val="超链接1"/>
    <w:link w:val="738"/>
    <w:uiPriority w:val="0"/>
    <w:qFormat/>
    <w:rPr>
      <w:rFonts w:ascii="Times New Roman" w:hAnsi="Times New Roman" w:eastAsia="宋体" w:cs="Times New Roman"/>
      <w:color w:val="0000ff"/>
      <w:u w:val="single"/>
    </w:rPr>
  </w:style>
  <w:style w:type="character" w:styleId="815" w:customStyle="1">
    <w:name w:val="要点1"/>
    <w:link w:val="738"/>
    <w:uiPriority w:val="0"/>
    <w:qFormat/>
    <w:rPr>
      <w:rFonts w:ascii="Times New Roman" w:hAnsi="Times New Roman" w:eastAsia="宋体" w:cs="Times New Roman"/>
      <w:b/>
      <w:bCs/>
    </w:rPr>
  </w:style>
  <w:style w:type="character" w:styleId="816" w:customStyle="1">
    <w:name w:val="正文首行缩进 2 Char"/>
    <w:link w:val="817"/>
    <w:uiPriority w:val="0"/>
    <w:qFormat/>
    <w:rPr>
      <w:rFonts w:ascii="宋体" w:hAnsi="宋体" w:eastAsia="宋体" w:cs="Times New Roman"/>
      <w:szCs w:val="20"/>
    </w:rPr>
  </w:style>
  <w:style w:type="paragraph" w:styleId="817" w:customStyle="1">
    <w:name w:val="正文首行缩进 21"/>
    <w:basedOn w:val="818"/>
    <w:link w:val="816"/>
    <w:uiPriority w:val="0"/>
    <w:qFormat/>
    <w:pPr>
      <w:ind w:left="0" w:firstLine="420"/>
      <w:spacing w:after="0" w:line="360" w:lineRule="auto"/>
    </w:pPr>
    <w:rPr>
      <w:rFonts w:ascii="宋体" w:hAnsi="宋体" w:eastAsia="宋体" w:cs="Times New Roman"/>
      <w:sz w:val="20"/>
      <w:szCs w:val="20"/>
    </w:rPr>
  </w:style>
  <w:style w:type="paragraph" w:styleId="818" w:customStyle="1">
    <w:name w:val="正文文本缩进1"/>
    <w:basedOn w:val="738"/>
    <w:next w:val="819"/>
    <w:link w:val="820"/>
    <w:uiPriority w:val="0"/>
    <w:qFormat/>
    <w:pPr>
      <w:ind w:left="420"/>
      <w:spacing w:after="120"/>
    </w:pPr>
    <w:rPr>
      <w:rFonts w:ascii="Times New Roman" w:hAnsi="Times New Roman" w:eastAsia="宋体" w:cs="Times New Roman"/>
    </w:rPr>
  </w:style>
  <w:style w:type="paragraph" w:styleId="819" w:customStyle="1">
    <w:name w:val="寄信人地址1"/>
    <w:basedOn w:val="738"/>
    <w:uiPriority w:val="0"/>
    <w:qFormat/>
    <w:rPr>
      <w:rFonts w:ascii="Arial" w:hAnsi="Arial" w:eastAsia="宋体" w:cs="Times New Roman"/>
    </w:rPr>
  </w:style>
  <w:style w:type="character" w:styleId="820" w:customStyle="1">
    <w:name w:val="正文文本缩进 Char"/>
    <w:basedOn w:val="821"/>
    <w:link w:val="818"/>
    <w:uiPriority w:val="0"/>
    <w:qFormat/>
    <w:rPr>
      <w:rFonts w:ascii="Times New Roman" w:hAnsi="Times New Roman" w:eastAsia="宋体" w:cs="Times New Roman"/>
    </w:rPr>
  </w:style>
  <w:style w:type="character" w:styleId="821" w:customStyle="1">
    <w:name w:val="默认段落字体1"/>
    <w:link w:val="738"/>
    <w:uiPriority w:val="0"/>
    <w:qFormat/>
    <w:rPr>
      <w:rFonts w:ascii="Times New Roman" w:hAnsi="Times New Roman" w:eastAsia="宋体" w:cs="Times New Roman"/>
    </w:rPr>
  </w:style>
  <w:style w:type="character" w:styleId="822" w:customStyle="1">
    <w:name w:val="正文首行缩进 Char"/>
    <w:link w:val="823"/>
    <w:uiPriority w:val="0"/>
    <w:qFormat/>
    <w:rPr>
      <w:rFonts w:ascii="仿宋_GB2312" w:hAnsi="Times New Roman" w:eastAsia="仿宋_GB2312" w:cs="Times New Roman"/>
      <w:sz w:val="30"/>
      <w:szCs w:val="30"/>
    </w:rPr>
  </w:style>
  <w:style w:type="paragraph" w:styleId="823" w:customStyle="1">
    <w:name w:val="正文首行缩进1"/>
    <w:basedOn w:val="738"/>
    <w:link w:val="822"/>
    <w:uiPriority w:val="0"/>
    <w:qFormat/>
    <w:pPr>
      <w:ind w:firstLine="200"/>
      <w:spacing w:line="360" w:lineRule="auto"/>
    </w:pPr>
    <w:rPr>
      <w:rFonts w:ascii="仿宋_GB2312" w:hAnsi="Times New Roman" w:eastAsia="仿宋_GB2312" w:cs="Times New Roman"/>
      <w:sz w:val="30"/>
      <w:szCs w:val="30"/>
    </w:rPr>
  </w:style>
  <w:style w:type="character" w:styleId="824" w:customStyle="1">
    <w:name w:val="正文文本缩进 3 Char"/>
    <w:link w:val="825"/>
    <w:uiPriority w:val="0"/>
    <w:qFormat/>
    <w:rPr>
      <w:rFonts w:ascii="Arial" w:hAnsi="Arial" w:eastAsia="仿宋_GB2312" w:cs="Arial"/>
      <w:color w:val="ffff00"/>
      <w:sz w:val="32"/>
      <w:szCs w:val="32"/>
    </w:rPr>
  </w:style>
  <w:style w:type="paragraph" w:styleId="825" w:customStyle="1">
    <w:name w:val="正文文本缩进 31"/>
    <w:basedOn w:val="738"/>
    <w:link w:val="824"/>
    <w:uiPriority w:val="0"/>
    <w:qFormat/>
    <w:pPr>
      <w:ind w:left="645" w:firstLine="645"/>
    </w:pPr>
    <w:rPr>
      <w:rFonts w:ascii="Arial" w:hAnsi="Arial" w:eastAsia="仿宋_GB2312" w:cs="Times New Roman"/>
      <w:color w:val="ffff00"/>
      <w:sz w:val="32"/>
      <w:szCs w:val="32"/>
    </w:rPr>
  </w:style>
  <w:style w:type="character" w:styleId="826" w:customStyle="1">
    <w:name w:val="页眉 Char"/>
    <w:link w:val="827"/>
    <w:uiPriority w:val="0"/>
    <w:qFormat/>
    <w:rPr>
      <w:rFonts w:ascii="Times New Roman" w:hAnsi="Times New Roman" w:eastAsia="宋体" w:cs="Times New Roman"/>
      <w:sz w:val="18"/>
      <w:szCs w:val="18"/>
    </w:rPr>
  </w:style>
  <w:style w:type="paragraph" w:styleId="827" w:customStyle="1">
    <w:name w:val="页眉1"/>
    <w:basedOn w:val="738"/>
    <w:link w:val="82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28" w:customStyle="1">
    <w:name w:val="页脚 Char"/>
    <w:link w:val="829"/>
    <w:uiPriority w:val="0"/>
    <w:qFormat/>
    <w:rPr>
      <w:rFonts w:ascii="Times New Roman" w:hAnsi="Times New Roman" w:eastAsia="宋体" w:cs="Times New Roman"/>
      <w:sz w:val="18"/>
      <w:szCs w:val="18"/>
    </w:rPr>
  </w:style>
  <w:style w:type="paragraph" w:styleId="829" w:customStyle="1">
    <w:name w:val="页脚1"/>
    <w:basedOn w:val="738"/>
    <w:link w:val="82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30" w:customStyle="1">
    <w:name w:val="正文文本缩进 2 Char"/>
    <w:link w:val="831"/>
    <w:uiPriority w:val="0"/>
    <w:qFormat/>
    <w:rPr>
      <w:rFonts w:ascii="Arial" w:hAnsi="Arial" w:eastAsia="仿宋_GB2312" w:cs="Arial"/>
      <w:sz w:val="32"/>
      <w:szCs w:val="32"/>
    </w:rPr>
  </w:style>
  <w:style w:type="paragraph" w:styleId="831" w:customStyle="1">
    <w:name w:val="正文文本缩进 21"/>
    <w:basedOn w:val="738"/>
    <w:link w:val="830"/>
    <w:uiPriority w:val="0"/>
    <w:qFormat/>
    <w:pPr>
      <w:ind w:left="630" w:firstLine="645"/>
    </w:pPr>
    <w:rPr>
      <w:rFonts w:ascii="Arial" w:hAnsi="Arial" w:eastAsia="仿宋_GB2312" w:cs="Times New Roman"/>
      <w:sz w:val="32"/>
      <w:szCs w:val="32"/>
    </w:rPr>
  </w:style>
  <w:style w:type="character" w:styleId="832" w:customStyle="1">
    <w:name w:val="日期 Char"/>
    <w:link w:val="833"/>
    <w:uiPriority w:val="0"/>
    <w:qFormat/>
    <w:rPr>
      <w:rFonts w:ascii="Times New Roman" w:hAnsi="Times New Roman" w:eastAsia="宋体" w:cs="Times New Roman"/>
      <w:sz w:val="24"/>
      <w:szCs w:val="24"/>
    </w:rPr>
  </w:style>
  <w:style w:type="paragraph" w:styleId="833" w:customStyle="1">
    <w:name w:val="日期1"/>
    <w:basedOn w:val="738"/>
    <w:next w:val="738"/>
    <w:link w:val="832"/>
    <w:uiPriority w:val="0"/>
    <w:qFormat/>
    <w:rPr>
      <w:rFonts w:ascii="Times New Roman" w:hAnsi="Times New Roman" w:eastAsia="宋体" w:cs="Times New Roman"/>
      <w:sz w:val="24"/>
      <w:szCs w:val="24"/>
    </w:rPr>
  </w:style>
  <w:style w:type="character" w:styleId="834" w:customStyle="1">
    <w:name w:val="纯文本 Char"/>
    <w:link w:val="835"/>
    <w:uiPriority w:val="0"/>
    <w:qFormat/>
    <w:rPr>
      <w:rFonts w:ascii="宋体" w:hAnsi="Courier New" w:eastAsia="宋体" w:cs="Courier New"/>
      <w:szCs w:val="21"/>
    </w:rPr>
  </w:style>
  <w:style w:type="paragraph" w:styleId="835" w:customStyle="1">
    <w:name w:val="纯文本1"/>
    <w:basedOn w:val="738"/>
    <w:link w:val="834"/>
    <w:uiPriority w:val="0"/>
    <w:qFormat/>
    <w:rPr>
      <w:rFonts w:ascii="宋体" w:hAnsi="Courier New" w:eastAsia="宋体" w:cs="Times New Roman"/>
      <w:sz w:val="20"/>
      <w:szCs w:val="21"/>
    </w:rPr>
  </w:style>
  <w:style w:type="character" w:styleId="836" w:customStyle="1">
    <w:name w:val="正文文本 3 Char"/>
    <w:link w:val="837"/>
    <w:uiPriority w:val="0"/>
    <w:qFormat/>
    <w:rPr>
      <w:rFonts w:ascii="仿宋_GB2312" w:hAnsi="Arial" w:eastAsia="仿宋_GB2312" w:cs="Times New Roman"/>
      <w:sz w:val="32"/>
      <w:szCs w:val="32"/>
    </w:rPr>
  </w:style>
  <w:style w:type="paragraph" w:styleId="837" w:customStyle="1">
    <w:name w:val="正文文本 31"/>
    <w:basedOn w:val="738"/>
    <w:link w:val="836"/>
    <w:uiPriority w:val="0"/>
    <w:qFormat/>
    <w:rPr>
      <w:rFonts w:ascii="仿宋_GB2312" w:hAnsi="Arial" w:eastAsia="仿宋_GB2312" w:cs="Times New Roman"/>
      <w:sz w:val="32"/>
      <w:szCs w:val="32"/>
    </w:rPr>
  </w:style>
  <w:style w:type="character" w:styleId="838" w:customStyle="1">
    <w:name w:val="批注文字 Char"/>
    <w:basedOn w:val="821"/>
    <w:link w:val="839"/>
    <w:uiPriority w:val="0"/>
    <w:qFormat/>
    <w:rPr>
      <w:rFonts w:ascii="Times New Roman" w:hAnsi="Times New Roman" w:eastAsia="宋体" w:cs="Times New Roman"/>
    </w:rPr>
  </w:style>
  <w:style w:type="paragraph" w:styleId="839" w:customStyle="1">
    <w:name w:val="批注文字1"/>
    <w:basedOn w:val="738"/>
    <w:link w:val="838"/>
    <w:uiPriority w:val="0"/>
    <w:qFormat/>
    <w:pPr>
      <w:jc w:val="left"/>
    </w:pPr>
    <w:rPr>
      <w:rFonts w:ascii="Times New Roman" w:hAnsi="Times New Roman" w:eastAsia="宋体" w:cs="Times New Roman"/>
    </w:rPr>
  </w:style>
  <w:style w:type="character" w:styleId="840" w:customStyle="1">
    <w:name w:val="文档结构图 Char"/>
    <w:link w:val="841"/>
    <w:uiPriority w:val="0"/>
    <w:qFormat/>
    <w:rPr>
      <w:rFonts w:ascii="Times New Roman" w:hAnsi="Times New Roman" w:eastAsia="宋体" w:cs="Times New Roman"/>
      <w:szCs w:val="21"/>
      <w:shd w:val="clear" w:color="auto" w:fill="000080"/>
    </w:rPr>
  </w:style>
  <w:style w:type="paragraph" w:styleId="841" w:customStyle="1">
    <w:name w:val="文档结构图1"/>
    <w:basedOn w:val="738"/>
    <w:link w:val="840"/>
    <w:uiPriority w:val="0"/>
    <w:qFormat/>
    <w:pPr>
      <w:shd w:val="clear" w:color="auto" w:fill="000080"/>
    </w:pPr>
    <w:rPr>
      <w:rFonts w:ascii="Times New Roman" w:hAnsi="Times New Roman" w:eastAsia="宋体" w:cs="Times New Roman"/>
      <w:sz w:val="20"/>
      <w:szCs w:val="21"/>
    </w:rPr>
  </w:style>
  <w:style w:type="character" w:styleId="842" w:customStyle="1">
    <w:name w:val="标题 9 Char"/>
    <w:link w:val="843"/>
    <w:uiPriority w:val="0"/>
    <w:qFormat/>
    <w:rPr>
      <w:rFonts w:ascii="Arial" w:hAnsi="Arial" w:eastAsia="黑体" w:cs="Times New Roman"/>
      <w:szCs w:val="21"/>
    </w:rPr>
  </w:style>
  <w:style w:type="paragraph" w:styleId="843" w:customStyle="1">
    <w:name w:val="标题 91"/>
    <w:basedOn w:val="738"/>
    <w:next w:val="738"/>
    <w:link w:val="842"/>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844" w:customStyle="1">
    <w:name w:val="标题 8 Char"/>
    <w:link w:val="845"/>
    <w:uiPriority w:val="0"/>
    <w:qFormat/>
    <w:rPr>
      <w:rFonts w:ascii="Arial" w:hAnsi="Arial" w:eastAsia="黑体" w:cs="Times New Roman"/>
      <w:sz w:val="24"/>
      <w:szCs w:val="24"/>
    </w:rPr>
  </w:style>
  <w:style w:type="paragraph" w:styleId="845" w:customStyle="1">
    <w:name w:val="标题 81"/>
    <w:basedOn w:val="738"/>
    <w:next w:val="738"/>
    <w:link w:val="844"/>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character" w:styleId="846" w:customStyle="1">
    <w:name w:val="标题 7 Char"/>
    <w:link w:val="847"/>
    <w:uiPriority w:val="0"/>
    <w:qFormat/>
    <w:rPr>
      <w:rFonts w:ascii="Times New Roman" w:hAnsi="Times New Roman" w:eastAsia="宋体" w:cs="Times New Roman"/>
      <w:b/>
      <w:bCs/>
      <w:sz w:val="24"/>
      <w:szCs w:val="24"/>
    </w:rPr>
  </w:style>
  <w:style w:type="paragraph" w:styleId="847" w:customStyle="1">
    <w:name w:val="标题 71"/>
    <w:basedOn w:val="738"/>
    <w:next w:val="738"/>
    <w:link w:val="846"/>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848" w:customStyle="1">
    <w:name w:val="标题 6 Char"/>
    <w:link w:val="849"/>
    <w:uiPriority w:val="0"/>
    <w:qFormat/>
    <w:rPr>
      <w:rFonts w:ascii="Arial" w:hAnsi="Arial" w:eastAsia="黑体" w:cs="Times New Roman"/>
      <w:b/>
      <w:bCs/>
      <w:sz w:val="24"/>
      <w:szCs w:val="24"/>
    </w:rPr>
  </w:style>
  <w:style w:type="paragraph" w:styleId="849" w:customStyle="1">
    <w:name w:val="标题 61"/>
    <w:basedOn w:val="738"/>
    <w:next w:val="738"/>
    <w:link w:val="848"/>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850" w:customStyle="1">
    <w:name w:val="标题 5 Char"/>
    <w:link w:val="851"/>
    <w:uiPriority w:val="0"/>
    <w:qFormat/>
    <w:rPr>
      <w:rFonts w:ascii="宋体" w:hAnsi="Times New Roman" w:eastAsia="宋体" w:cs="Times New Roman"/>
      <w:color w:val="000000"/>
      <w:sz w:val="28"/>
      <w:szCs w:val="28"/>
    </w:rPr>
  </w:style>
  <w:style w:type="paragraph" w:styleId="851" w:customStyle="1">
    <w:name w:val="标题 51"/>
    <w:basedOn w:val="738"/>
    <w:next w:val="852"/>
    <w:link w:val="850"/>
    <w:uiPriority w:val="0"/>
    <w:qFormat/>
    <w:pPr>
      <w:keepNext/>
      <w:outlineLvl w:val="4"/>
    </w:pPr>
    <w:rPr>
      <w:rFonts w:ascii="宋体" w:hAnsi="Times New Roman" w:eastAsia="宋体" w:cs="Times New Roman"/>
      <w:color w:val="000000"/>
      <w:sz w:val="28"/>
      <w:szCs w:val="28"/>
    </w:rPr>
  </w:style>
  <w:style w:type="paragraph" w:styleId="852" w:customStyle="1">
    <w:name w:val="正文缩进1"/>
    <w:basedOn w:val="738"/>
    <w:link w:val="853"/>
    <w:uiPriority w:val="0"/>
    <w:qFormat/>
    <w:pPr>
      <w:ind w:firstLine="420"/>
    </w:pPr>
    <w:rPr>
      <w:rFonts w:ascii="Times New Roman" w:hAnsi="Times New Roman" w:eastAsia="宋体" w:cs="Times New Roman"/>
      <w:sz w:val="20"/>
      <w:szCs w:val="21"/>
    </w:rPr>
  </w:style>
  <w:style w:type="character" w:styleId="853" w:customStyle="1">
    <w:name w:val="正文缩进 Char"/>
    <w:link w:val="852"/>
    <w:uiPriority w:val="0"/>
    <w:qFormat/>
    <w:rPr>
      <w:rFonts w:ascii="Times New Roman" w:hAnsi="Times New Roman" w:eastAsia="宋体" w:cs="Times New Roman"/>
      <w:szCs w:val="21"/>
    </w:rPr>
  </w:style>
  <w:style w:type="character" w:styleId="854" w:customStyle="1">
    <w:name w:val="标题 4 Char"/>
    <w:link w:val="855"/>
    <w:uiPriority w:val="0"/>
    <w:qFormat/>
    <w:rPr>
      <w:rFonts w:ascii="Arial" w:hAnsi="Arial" w:eastAsia="黑体" w:cs="Arial"/>
      <w:b/>
      <w:bCs/>
      <w:sz w:val="28"/>
      <w:szCs w:val="28"/>
    </w:rPr>
  </w:style>
  <w:style w:type="paragraph" w:styleId="855" w:customStyle="1">
    <w:name w:val="标题 41"/>
    <w:basedOn w:val="738"/>
    <w:next w:val="852"/>
    <w:link w:val="854"/>
    <w:uiPriority w:val="0"/>
    <w:qFormat/>
    <w:pPr>
      <w:keepLines/>
      <w:keepNext/>
      <w:spacing w:before="280" w:after="290" w:line="376" w:lineRule="auto"/>
      <w:outlineLvl w:val="3"/>
    </w:pPr>
    <w:rPr>
      <w:rFonts w:ascii="Arial" w:hAnsi="Arial" w:eastAsia="黑体" w:cs="Times New Roman"/>
      <w:b/>
      <w:bCs/>
      <w:sz w:val="28"/>
      <w:szCs w:val="28"/>
    </w:rPr>
  </w:style>
  <w:style w:type="character" w:styleId="856" w:customStyle="1">
    <w:name w:val="标题 1 Char"/>
    <w:link w:val="857"/>
    <w:uiPriority w:val="0"/>
    <w:qFormat/>
    <w:rPr>
      <w:rFonts w:ascii="楷体_GB2312" w:hAnsi="Times New Roman" w:eastAsia="楷体_GB2312" w:cs="Times New Roman"/>
      <w:sz w:val="28"/>
      <w:szCs w:val="28"/>
    </w:rPr>
  </w:style>
  <w:style w:type="paragraph" w:styleId="857" w:customStyle="1">
    <w:name w:val="标题 11"/>
    <w:basedOn w:val="738"/>
    <w:next w:val="738"/>
    <w:link w:val="856"/>
    <w:uiPriority w:val="0"/>
    <w:qFormat/>
    <w:pPr>
      <w:jc w:val="center"/>
      <w:keepNext/>
      <w:outlineLvl w:val="0"/>
    </w:pPr>
    <w:rPr>
      <w:rFonts w:ascii="楷体_GB2312" w:hAnsi="Times New Roman" w:eastAsia="楷体_GB2312" w:cs="Times New Roman"/>
      <w:sz w:val="28"/>
      <w:szCs w:val="28"/>
    </w:rPr>
  </w:style>
  <w:style w:type="character" w:styleId="858" w:customStyle="1">
    <w:name w:val="Footer Char"/>
    <w:link w:val="738"/>
    <w:uiPriority w:val="99"/>
    <w:qFormat/>
  </w:style>
  <w:style w:type="character" w:styleId="859" w:customStyle="1">
    <w:name w:val="Caption Char"/>
    <w:link w:val="860"/>
    <w:uiPriority w:val="99"/>
    <w:qFormat/>
  </w:style>
  <w:style w:type="paragraph" w:styleId="860" w:customStyle="1">
    <w:name w:val="Footer1"/>
    <w:basedOn w:val="738"/>
    <w:link w:val="859"/>
    <w:uiPriority w:val="99"/>
    <w:unhideWhenUsed/>
    <w:qFormat/>
    <w:pPr>
      <w:spacing w:after="0" w:line="240" w:lineRule="auto"/>
      <w:tabs>
        <w:tab w:val="center" w:pos="7143" w:leader="none"/>
        <w:tab w:val="right" w:pos="14287" w:leader="none"/>
      </w:tabs>
    </w:pPr>
  </w:style>
  <w:style w:type="character" w:styleId="861" w:customStyle="1">
    <w:name w:val="Quote Char"/>
    <w:link w:val="862"/>
    <w:uiPriority w:val="29"/>
    <w:qFormat/>
    <w:rPr>
      <w:i/>
    </w:rPr>
  </w:style>
  <w:style w:type="paragraph" w:styleId="862">
    <w:name w:val="Quote"/>
    <w:basedOn w:val="738"/>
    <w:next w:val="738"/>
    <w:link w:val="861"/>
    <w:uiPriority w:val="29"/>
    <w:qFormat/>
    <w:pPr>
      <w:ind w:left="720" w:right="720"/>
    </w:pPr>
    <w:rPr>
      <w:i/>
    </w:rPr>
  </w:style>
  <w:style w:type="character" w:styleId="863" w:customStyle="1">
    <w:name w:val="Heading 8 Char"/>
    <w:link w:val="746"/>
    <w:uiPriority w:val="9"/>
    <w:qFormat/>
    <w:rPr>
      <w:rFonts w:ascii="Arial" w:hAnsi="Arial" w:eastAsia="Arial" w:cs="Arial"/>
      <w:i/>
      <w:iCs/>
      <w:sz w:val="22"/>
      <w:szCs w:val="22"/>
    </w:rPr>
  </w:style>
  <w:style w:type="character" w:styleId="864" w:customStyle="1">
    <w:name w:val="Heading 4 Char"/>
    <w:link w:val="742"/>
    <w:uiPriority w:val="9"/>
    <w:qFormat/>
    <w:rPr>
      <w:rFonts w:ascii="Arial" w:hAnsi="Arial" w:eastAsia="Arial" w:cs="Arial"/>
      <w:b/>
      <w:bCs/>
      <w:sz w:val="26"/>
      <w:szCs w:val="26"/>
    </w:rPr>
  </w:style>
  <w:style w:type="character" w:styleId="865" w:customStyle="1">
    <w:name w:val="Heading 2 Char"/>
    <w:link w:val="740"/>
    <w:uiPriority w:val="9"/>
    <w:qFormat/>
    <w:rPr>
      <w:rFonts w:ascii="Arial" w:hAnsi="Arial" w:eastAsia="Arial" w:cs="Arial"/>
      <w:sz w:val="34"/>
    </w:rPr>
  </w:style>
  <w:style w:type="character" w:styleId="866" w:customStyle="1">
    <w:name w:val="Heading 7 Char"/>
    <w:link w:val="745"/>
    <w:uiPriority w:val="9"/>
    <w:qFormat/>
    <w:rPr>
      <w:rFonts w:ascii="Arial" w:hAnsi="Arial" w:eastAsia="Arial" w:cs="Arial"/>
      <w:b/>
      <w:bCs/>
      <w:i/>
      <w:iCs/>
      <w:sz w:val="22"/>
      <w:szCs w:val="22"/>
    </w:rPr>
  </w:style>
  <w:style w:type="character" w:styleId="867" w:customStyle="1">
    <w:name w:val="正文文本 Char"/>
    <w:link w:val="868"/>
    <w:uiPriority w:val="0"/>
    <w:qFormat/>
    <w:rPr>
      <w:rFonts w:ascii="楷体_GB2312" w:hAnsi="Arial" w:eastAsia="楷体_GB2312" w:cs="Times New Roman"/>
      <w:sz w:val="28"/>
      <w:szCs w:val="28"/>
    </w:rPr>
  </w:style>
  <w:style w:type="paragraph" w:styleId="868" w:customStyle="1">
    <w:name w:val="正文文本1"/>
    <w:basedOn w:val="738"/>
    <w:next w:val="738"/>
    <w:link w:val="867"/>
    <w:uiPriority w:val="0"/>
    <w:qFormat/>
    <w:rPr>
      <w:rFonts w:ascii="楷体_GB2312" w:hAnsi="Arial" w:eastAsia="楷体_GB2312" w:cs="Times New Roman"/>
      <w:sz w:val="28"/>
      <w:szCs w:val="28"/>
    </w:rPr>
  </w:style>
  <w:style w:type="character" w:styleId="869" w:customStyle="1">
    <w:name w:val="Header Char"/>
    <w:link w:val="870"/>
    <w:uiPriority w:val="99"/>
    <w:qFormat/>
  </w:style>
  <w:style w:type="paragraph" w:styleId="870" w:customStyle="1">
    <w:name w:val="Header1"/>
    <w:basedOn w:val="738"/>
    <w:link w:val="869"/>
    <w:uiPriority w:val="99"/>
    <w:unhideWhenUsed/>
    <w:qFormat/>
    <w:pPr>
      <w:spacing w:after="0" w:line="240" w:lineRule="auto"/>
      <w:tabs>
        <w:tab w:val="center" w:pos="7143" w:leader="none"/>
        <w:tab w:val="right" w:pos="14287" w:leader="none"/>
      </w:tabs>
    </w:pPr>
  </w:style>
  <w:style w:type="character" w:styleId="871" w:customStyle="1">
    <w:name w:val="Heading 3 Char"/>
    <w:link w:val="741"/>
    <w:uiPriority w:val="9"/>
    <w:qFormat/>
    <w:rPr>
      <w:rFonts w:ascii="Arial" w:hAnsi="Arial" w:eastAsia="Arial" w:cs="Arial"/>
      <w:sz w:val="30"/>
      <w:szCs w:val="30"/>
    </w:rPr>
  </w:style>
  <w:style w:type="character" w:styleId="872" w:customStyle="1">
    <w:name w:val="页码1"/>
    <w:link w:val="738"/>
    <w:uiPriority w:val="0"/>
    <w:qFormat/>
    <w:rPr>
      <w:rFonts w:ascii="Times New Roman" w:hAnsi="Times New Roman" w:eastAsia="宋体" w:cs="Times New Roman"/>
    </w:rPr>
  </w:style>
  <w:style w:type="character" w:styleId="873" w:customStyle="1">
    <w:name w:val="批注框文本 Char"/>
    <w:link w:val="874"/>
    <w:uiPriority w:val="0"/>
    <w:qFormat/>
    <w:rPr>
      <w:rFonts w:ascii="Times New Roman" w:hAnsi="Times New Roman" w:eastAsia="宋体" w:cs="Times New Roman"/>
      <w:sz w:val="18"/>
      <w:szCs w:val="18"/>
    </w:rPr>
  </w:style>
  <w:style w:type="paragraph" w:styleId="874" w:customStyle="1">
    <w:name w:val="批注框文本1"/>
    <w:basedOn w:val="738"/>
    <w:link w:val="873"/>
    <w:uiPriority w:val="0"/>
    <w:qFormat/>
    <w:rPr>
      <w:rFonts w:ascii="Times New Roman" w:hAnsi="Times New Roman" w:eastAsia="宋体" w:cs="Times New Roman"/>
      <w:sz w:val="18"/>
      <w:szCs w:val="18"/>
    </w:rPr>
  </w:style>
  <w:style w:type="character" w:styleId="875" w:customStyle="1">
    <w:name w:val="标题 3 Char"/>
    <w:link w:val="876"/>
    <w:uiPriority w:val="0"/>
    <w:qFormat/>
    <w:rPr>
      <w:rFonts w:ascii="Times New Roman" w:hAnsi="Times New Roman" w:eastAsia="宋体" w:cs="Times New Roman"/>
      <w:b/>
      <w:bCs/>
      <w:sz w:val="32"/>
      <w:szCs w:val="32"/>
    </w:rPr>
  </w:style>
  <w:style w:type="paragraph" w:styleId="876" w:customStyle="1">
    <w:name w:val="标题 31"/>
    <w:basedOn w:val="738"/>
    <w:next w:val="852"/>
    <w:link w:val="875"/>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77" w:customStyle="1">
    <w:name w:val="Heading 1 Char"/>
    <w:link w:val="739"/>
    <w:uiPriority w:val="9"/>
    <w:qFormat/>
    <w:rPr>
      <w:rFonts w:ascii="Arial" w:hAnsi="Arial" w:eastAsia="Arial" w:cs="Arial"/>
      <w:sz w:val="40"/>
      <w:szCs w:val="40"/>
    </w:rPr>
  </w:style>
  <w:style w:type="character" w:styleId="878" w:customStyle="1">
    <w:name w:val="标题 2 Char"/>
    <w:link w:val="879"/>
    <w:uiPriority w:val="0"/>
    <w:qFormat/>
    <w:rPr>
      <w:rFonts w:ascii="Arial" w:hAnsi="Arial" w:eastAsia="幼圆" w:cs="Arial"/>
      <w:b/>
      <w:bCs/>
      <w:sz w:val="44"/>
      <w:szCs w:val="44"/>
    </w:rPr>
  </w:style>
  <w:style w:type="paragraph" w:styleId="879" w:customStyle="1">
    <w:name w:val="标题 21"/>
    <w:basedOn w:val="738"/>
    <w:next w:val="738"/>
    <w:link w:val="878"/>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880" w:customStyle="1">
    <w:name w:val="正文文本 2 Char"/>
    <w:link w:val="881"/>
    <w:uiPriority w:val="0"/>
    <w:qFormat/>
    <w:rPr>
      <w:rFonts w:ascii="楷体_GB2312" w:hAnsi="Times New Roman" w:eastAsia="楷体_GB2312" w:cs="Times New Roman"/>
      <w:sz w:val="28"/>
      <w:szCs w:val="28"/>
    </w:rPr>
  </w:style>
  <w:style w:type="paragraph" w:styleId="881" w:customStyle="1">
    <w:name w:val="正文文本 21"/>
    <w:basedOn w:val="738"/>
    <w:link w:val="880"/>
    <w:uiPriority w:val="0"/>
    <w:qFormat/>
    <w:pPr>
      <w:jc w:val="center"/>
      <w:widowControl/>
    </w:pPr>
    <w:rPr>
      <w:rFonts w:ascii="楷体_GB2312" w:hAnsi="Times New Roman" w:eastAsia="楷体_GB2312" w:cs="Times New Roman"/>
      <w:sz w:val="28"/>
      <w:szCs w:val="28"/>
    </w:rPr>
  </w:style>
  <w:style w:type="character" w:styleId="882" w:customStyle="1">
    <w:name w:val="Heading 5 Char"/>
    <w:link w:val="743"/>
    <w:uiPriority w:val="9"/>
    <w:qFormat/>
    <w:rPr>
      <w:rFonts w:ascii="Arial" w:hAnsi="Arial" w:eastAsia="Arial" w:cs="Arial"/>
      <w:b/>
      <w:bCs/>
      <w:sz w:val="24"/>
      <w:szCs w:val="24"/>
    </w:rPr>
  </w:style>
  <w:style w:type="character" w:styleId="883" w:customStyle="1">
    <w:name w:val="Heading 9 Char"/>
    <w:link w:val="747"/>
    <w:uiPriority w:val="9"/>
    <w:qFormat/>
    <w:rPr>
      <w:rFonts w:ascii="Arial" w:hAnsi="Arial" w:eastAsia="Arial" w:cs="Arial"/>
      <w:i/>
      <w:iCs/>
      <w:sz w:val="21"/>
      <w:szCs w:val="21"/>
    </w:rPr>
  </w:style>
  <w:style w:type="character" w:styleId="884" w:customStyle="1">
    <w:name w:val="已访问的超链接1"/>
    <w:link w:val="738"/>
    <w:uiPriority w:val="0"/>
    <w:qFormat/>
    <w:rPr>
      <w:rFonts w:ascii="Times New Roman" w:hAnsi="Times New Roman" w:eastAsia="宋体" w:cs="Times New Roman"/>
      <w:color w:val="800080"/>
      <w:u w:val="single"/>
    </w:rPr>
  </w:style>
  <w:style w:type="character" w:styleId="885" w:customStyle="1">
    <w:name w:val="Intense Quote Char"/>
    <w:link w:val="886"/>
    <w:uiPriority w:val="30"/>
    <w:qFormat/>
    <w:rPr>
      <w:i/>
    </w:rPr>
  </w:style>
  <w:style w:type="paragraph" w:styleId="886">
    <w:name w:val="Intense Quote"/>
    <w:basedOn w:val="738"/>
    <w:next w:val="738"/>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批注主题 Char"/>
    <w:link w:val="888"/>
    <w:uiPriority w:val="0"/>
    <w:qFormat/>
    <w:rPr>
      <w:rFonts w:ascii="Times New Roman" w:hAnsi="Times New Roman" w:eastAsia="宋体" w:cs="Times New Roman"/>
      <w:b/>
      <w:bCs/>
      <w:szCs w:val="21"/>
    </w:rPr>
  </w:style>
  <w:style w:type="paragraph" w:styleId="888" w:customStyle="1">
    <w:name w:val="批注主题1"/>
    <w:basedOn w:val="839"/>
    <w:next w:val="839"/>
    <w:link w:val="887"/>
    <w:uiPriority w:val="0"/>
    <w:qFormat/>
    <w:rPr>
      <w:rFonts w:ascii="Times New Roman" w:hAnsi="Times New Roman" w:eastAsia="宋体" w:cs="Times New Roman"/>
      <w:b/>
      <w:bCs/>
      <w:sz w:val="20"/>
      <w:szCs w:val="21"/>
    </w:rPr>
  </w:style>
  <w:style w:type="character" w:styleId="889" w:customStyle="1">
    <w:name w:val="Heading 6 Char"/>
    <w:link w:val="744"/>
    <w:uiPriority w:val="9"/>
    <w:qFormat/>
    <w:rPr>
      <w:rFonts w:ascii="Arial" w:hAnsi="Arial" w:eastAsia="Arial" w:cs="Arial"/>
      <w:b/>
      <w:bCs/>
      <w:sz w:val="22"/>
      <w:szCs w:val="22"/>
    </w:rPr>
  </w:style>
  <w:style w:type="paragraph" w:styleId="890" w:customStyle="1">
    <w:name w:val="p16"/>
    <w:basedOn w:val="738"/>
    <w:uiPriority w:val="0"/>
    <w:qFormat/>
    <w:pPr>
      <w:jc w:val="left"/>
      <w:widowControl/>
    </w:pPr>
    <w:rPr>
      <w:sz w:val="24"/>
      <w:szCs w:val="24"/>
    </w:rPr>
  </w:style>
  <w:style w:type="paragraph" w:styleId="891" w:customStyle="1">
    <w:name w:val="Table Text"/>
    <w:basedOn w:val="738"/>
    <w:uiPriority w:val="0"/>
    <w:semiHidden/>
    <w:qFormat/>
    <w:pPr>
      <w:spacing w:line="360" w:lineRule="auto"/>
      <w:widowControl/>
    </w:pPr>
    <w:rPr>
      <w:rFonts w:ascii="宋体" w:hAnsi="宋体" w:cs="宋体"/>
      <w:color w:val="000000"/>
      <w:szCs w:val="21"/>
    </w:rPr>
  </w:style>
  <w:style w:type="paragraph" w:styleId="892" w:customStyle="1">
    <w:name w:val="无间隔"/>
    <w:uiPriority w:val="0"/>
    <w:qFormat/>
    <w:pPr>
      <w:jc w:val="both"/>
      <w:widowControl w:val="off"/>
    </w:pPr>
    <w:rPr>
      <w:rFonts w:hint="default" w:ascii="Times New Roman" w:hAnsi="Times New Roman" w:eastAsia="宋体" w:cs="Times New Roman"/>
      <w:sz w:val="21"/>
      <w:szCs w:val="21"/>
      <w:lang w:eastAsia="zh-CN"/>
    </w:rPr>
  </w:style>
  <w:style w:type="paragraph" w:styleId="893" w:customStyle="1">
    <w:name w:val="修订"/>
    <w:uiPriority w:val="0"/>
    <w:qFormat/>
    <w:rPr>
      <w:rFonts w:hint="default" w:ascii="Times New Roman" w:hAnsi="Times New Roman" w:eastAsia="宋体" w:cs="Times New Roman"/>
      <w:sz w:val="21"/>
      <w:szCs w:val="21"/>
      <w:lang w:eastAsia="zh-CN"/>
    </w:rPr>
  </w:style>
  <w:style w:type="paragraph" w:styleId="894"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95"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896" w:customStyle="1">
    <w:name w:val="Char Char Char Char"/>
    <w:basedOn w:val="841"/>
    <w:uiPriority w:val="0"/>
    <w:qFormat/>
    <w:pPr>
      <w:spacing w:line="360" w:lineRule="auto"/>
    </w:pPr>
    <w:rPr>
      <w:rFonts w:ascii="Tahoma" w:hAnsi="Tahoma" w:eastAsia="宋体" w:cs="Times New Roman"/>
      <w:sz w:val="24"/>
      <w:szCs w:val="24"/>
    </w:rPr>
  </w:style>
  <w:style w:type="paragraph" w:styleId="897"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98" w:customStyle="1">
    <w:name w:val=" 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899"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0" w:customStyle="1">
    <w:name w:val="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901"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2" w:customStyle="1">
    <w:name w:val="标题3"/>
    <w:basedOn w:val="738"/>
    <w:next w:val="738"/>
    <w:uiPriority w:val="0"/>
    <w:qFormat/>
    <w:pPr>
      <w:ind w:firstLine="624"/>
      <w:spacing w:line="590" w:lineRule="atLeast"/>
    </w:pPr>
    <w:rPr>
      <w:rFonts w:ascii="方正黑体_GBK" w:hAnsi="Times New Roman" w:eastAsia="方正黑体_GBK" w:cs="Times New Roman"/>
      <w:sz w:val="32"/>
      <w:szCs w:val="32"/>
    </w:rPr>
  </w:style>
  <w:style w:type="paragraph" w:styleId="903"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04" w:customStyle="1">
    <w:name w:val="font6"/>
    <w:basedOn w:val="73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05" w:customStyle="1">
    <w:name w:val="普通 (Web)"/>
    <w:basedOn w:val="738"/>
    <w:uiPriority w:val="0"/>
    <w:qFormat/>
    <w:pPr>
      <w:jc w:val="left"/>
      <w:spacing w:before="100" w:beforeAutospacing="1" w:after="100" w:afterAutospacing="1"/>
      <w:widowControl/>
    </w:pPr>
    <w:rPr>
      <w:rFonts w:ascii="宋体" w:hAnsi="宋体" w:eastAsia="宋体" w:cs="Times New Roman"/>
      <w:sz w:val="24"/>
      <w:szCs w:val="24"/>
    </w:rPr>
  </w:style>
  <w:style w:type="paragraph" w:styleId="906" w:customStyle="1">
    <w:name w:val=" Char Char Char Char"/>
    <w:basedOn w:val="841"/>
    <w:uiPriority w:val="0"/>
    <w:qFormat/>
    <w:pPr>
      <w:spacing w:line="360" w:lineRule="auto"/>
    </w:pPr>
    <w:rPr>
      <w:rFonts w:ascii="Tahoma" w:hAnsi="Tahoma" w:eastAsia="宋体" w:cs="Times New Roman"/>
      <w:sz w:val="24"/>
      <w:szCs w:val="24"/>
    </w:rPr>
  </w:style>
  <w:style w:type="paragraph" w:styleId="907" w:customStyle="1">
    <w:name w:val="font7"/>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08" w:customStyle="1">
    <w:name w:val="附录1"/>
    <w:uiPriority w:val="0"/>
    <w:qFormat/>
    <w:pPr>
      <w:numPr>
        <w:ilvl w:val="0"/>
        <w:numId w:val="1"/>
      </w:numPr>
      <w:ind w:left="907" w:hanging="907"/>
      <w:spacing w:before="240" w:line="600" w:lineRule="atLeast"/>
    </w:pPr>
    <w:rPr>
      <w:rFonts w:hint="default" w:ascii="Times New Roman" w:hAnsi="Times New Roman" w:eastAsia="宋体" w:cs="Times New Roman"/>
      <w:b/>
      <w:i/>
      <w:sz w:val="28"/>
      <w:lang w:eastAsia="zh-CN"/>
    </w:rPr>
  </w:style>
  <w:style w:type="paragraph" w:styleId="909" w:customStyle="1">
    <w:name w:val="table_lines"/>
    <w:basedOn w:val="738"/>
    <w:uiPriority w:val="0"/>
    <w:qFormat/>
    <w:pPr>
      <w:jc w:val="left"/>
      <w:widowControl/>
    </w:pPr>
    <w:rPr>
      <w:rFonts w:ascii="Times New Roman" w:hAnsi="Times New Roman" w:eastAsia="宋体" w:cs="Times New Roman"/>
      <w:sz w:val="20"/>
      <w:szCs w:val="20"/>
      <w:lang w:val="de-DE" w:eastAsia="de-DE"/>
    </w:rPr>
  </w:style>
  <w:style w:type="paragraph" w:styleId="910" w:customStyle="1">
    <w:name w:val="普通正文"/>
    <w:basedOn w:val="738"/>
    <w:uiPriority w:val="0"/>
    <w:qFormat/>
    <w:pPr>
      <w:ind w:firstLine="480"/>
      <w:jc w:val="left"/>
      <w:spacing w:before="120" w:after="120" w:line="360" w:lineRule="auto"/>
    </w:pPr>
    <w:rPr>
      <w:rFonts w:ascii="Arial" w:hAnsi="Arial" w:eastAsia="宋体" w:cs="Times New Roman"/>
      <w:sz w:val="24"/>
      <w:szCs w:val="24"/>
    </w:rPr>
  </w:style>
  <w:style w:type="paragraph" w:styleId="911" w:customStyle="1">
    <w:name w:val=" Char"/>
    <w:basedOn w:val="841"/>
    <w:uiPriority w:val="0"/>
    <w:qFormat/>
    <w:rPr>
      <w:rFonts w:ascii="Tahoma" w:hAnsi="Tahoma" w:eastAsia="宋体" w:cs="Times New Roman"/>
      <w:sz w:val="24"/>
      <w:szCs w:val="24"/>
    </w:rPr>
  </w:style>
  <w:style w:type="paragraph" w:styleId="912" w:customStyle="1">
    <w:name w:val="Char"/>
    <w:basedOn w:val="738"/>
    <w:uiPriority w:val="0"/>
    <w:qFormat/>
    <w:pPr>
      <w:ind w:firstLine="200"/>
      <w:tabs>
        <w:tab w:val="left" w:pos="360" w:leader="none"/>
      </w:tabs>
    </w:pPr>
    <w:rPr>
      <w:rFonts w:ascii="Times New Roman" w:hAnsi="Times New Roman" w:eastAsia="宋体" w:cs="Times New Roman"/>
      <w:sz w:val="28"/>
      <w:szCs w:val="30"/>
    </w:rPr>
  </w:style>
  <w:style w:type="paragraph" w:styleId="913"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4" w:customStyle="1">
    <w:name w:val="Body Text(ch)"/>
    <w:basedOn w:val="738"/>
    <w:next w:val="868"/>
    <w:uiPriority w:val="0"/>
    <w:qFormat/>
    <w:pPr>
      <w:spacing w:after="120"/>
    </w:pPr>
    <w:rPr>
      <w:rFonts w:ascii="宋体" w:hAnsi="Arial" w:eastAsia="宋体" w:cs="Times New Roman"/>
      <w:bCs/>
      <w:iCs/>
      <w:szCs w:val="24"/>
    </w:rPr>
  </w:style>
  <w:style w:type="paragraph" w:styleId="915"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6" w:customStyle="1">
    <w:name w:val="彩色列表1"/>
    <w:basedOn w:val="738"/>
    <w:uiPriority w:val="0"/>
    <w:qFormat/>
    <w:pPr>
      <w:ind w:firstLine="420"/>
    </w:pPr>
    <w:rPr>
      <w:rFonts w:ascii="Times New Roman" w:hAnsi="Times New Roman" w:eastAsia="宋体" w:cs="Times New Roman"/>
      <w:szCs w:val="24"/>
    </w:rPr>
  </w:style>
  <w:style w:type="paragraph" w:styleId="917" w:customStyle="1">
    <w:name w:val="正文文本11"/>
    <w:basedOn w:val="738"/>
    <w:next w:val="738"/>
    <w:uiPriority w:val="0"/>
    <w:qFormat/>
    <w:rPr>
      <w:rFonts w:ascii="楷体_GB2312" w:hAnsi="Arial" w:eastAsia="楷体_GB2312" w:cs="Times New Roman"/>
      <w:sz w:val="28"/>
      <w:szCs w:val="28"/>
    </w:rPr>
  </w:style>
  <w:style w:type="paragraph" w:styleId="918" w:customStyle="1">
    <w:name w:val="样式1"/>
    <w:basedOn w:val="738"/>
    <w:next w:val="738"/>
    <w:uiPriority w:val="0"/>
    <w:qFormat/>
    <w:pPr>
      <w:numPr>
        <w:ilvl w:val="0"/>
        <w:numId w:val="3"/>
      </w:numPr>
    </w:pPr>
    <w:rPr>
      <w:rFonts w:ascii="宋体" w:hAnsi="宋体" w:eastAsia="宋体" w:cs="Times New Roman"/>
      <w:szCs w:val="21"/>
    </w:rPr>
  </w:style>
  <w:style w:type="paragraph" w:styleId="919" w:customStyle="1">
    <w:name w:val="索引 11"/>
    <w:basedOn w:val="738"/>
    <w:next w:val="738"/>
    <w:uiPriority w:val="0"/>
    <w:qFormat/>
    <w:pPr>
      <w:spacing w:line="240" w:lineRule="atLeast"/>
    </w:pPr>
    <w:rPr>
      <w:rFonts w:ascii="Times New Roman" w:hAnsi="Times New Roman" w:eastAsia="宋体" w:cs="Times New Roman"/>
      <w:b/>
      <w:bCs/>
      <w:szCs w:val="21"/>
    </w:rPr>
  </w:style>
  <w:style w:type="paragraph" w:styleId="920" w:customStyle="1">
    <w:name w:val="普通(网站)1"/>
    <w:basedOn w:val="738"/>
    <w:uiPriority w:val="0"/>
    <w:qFormat/>
    <w:pPr>
      <w:jc w:val="left"/>
      <w:spacing w:before="100" w:beforeAutospacing="1" w:after="100" w:afterAutospacing="1"/>
      <w:widowControl/>
    </w:pPr>
    <w:rPr>
      <w:rFonts w:ascii="宋体" w:hAnsi="宋体" w:eastAsia="宋体" w:cs="宋体"/>
      <w:sz w:val="24"/>
      <w:szCs w:val="24"/>
    </w:rPr>
  </w:style>
  <w:style w:type="paragraph" w:styleId="921" w:customStyle="1">
    <w:name w:val="目录 91"/>
    <w:basedOn w:val="738"/>
    <w:next w:val="738"/>
    <w:uiPriority w:val="0"/>
    <w:qFormat/>
    <w:pPr>
      <w:ind w:left="1680"/>
      <w:jc w:val="left"/>
    </w:pPr>
    <w:rPr>
      <w:rFonts w:ascii="Times New Roman" w:hAnsi="Times New Roman" w:eastAsia="宋体" w:cs="Times New Roman"/>
      <w:szCs w:val="21"/>
    </w:rPr>
  </w:style>
  <w:style w:type="paragraph" w:styleId="922" w:customStyle="1">
    <w:name w:val="目录 21"/>
    <w:basedOn w:val="738"/>
    <w:next w:val="738"/>
    <w:uiPriority w:val="0"/>
    <w:qFormat/>
    <w:pPr>
      <w:ind w:left="210"/>
      <w:jc w:val="left"/>
    </w:pPr>
    <w:rPr>
      <w:rFonts w:ascii="Times New Roman" w:hAnsi="Times New Roman" w:eastAsia="宋体" w:cs="Times New Roman"/>
      <w:smallCaps/>
      <w:szCs w:val="24"/>
    </w:rPr>
  </w:style>
  <w:style w:type="paragraph" w:styleId="923" w:customStyle="1">
    <w:name w:val="列表1"/>
    <w:basedOn w:val="738"/>
    <w:uiPriority w:val="0"/>
    <w:qFormat/>
    <w:pPr>
      <w:ind w:left="200" w:hanging="200"/>
    </w:pPr>
    <w:rPr>
      <w:rFonts w:ascii="Times New Roman" w:hAnsi="Times New Roman" w:eastAsia="宋体" w:cs="Times New Roman"/>
      <w:szCs w:val="21"/>
    </w:rPr>
  </w:style>
  <w:style w:type="paragraph" w:styleId="924" w:customStyle="1">
    <w:name w:val="目录 41"/>
    <w:basedOn w:val="738"/>
    <w:next w:val="738"/>
    <w:uiPriority w:val="0"/>
    <w:qFormat/>
    <w:pPr>
      <w:ind w:left="630"/>
      <w:jc w:val="left"/>
    </w:pPr>
    <w:rPr>
      <w:rFonts w:ascii="Times New Roman" w:hAnsi="Times New Roman" w:eastAsia="宋体" w:cs="Times New Roman"/>
      <w:szCs w:val="21"/>
    </w:rPr>
  </w:style>
  <w:style w:type="paragraph" w:styleId="925" w:customStyle="1">
    <w:name w:val="目录 11"/>
    <w:basedOn w:val="738"/>
    <w:next w:val="738"/>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6"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7" w:customStyle="1">
    <w:name w:val="目录 81"/>
    <w:basedOn w:val="738"/>
    <w:next w:val="738"/>
    <w:uiPriority w:val="0"/>
    <w:qFormat/>
    <w:pPr>
      <w:ind w:left="1470"/>
      <w:jc w:val="left"/>
    </w:pPr>
    <w:rPr>
      <w:rFonts w:ascii="Times New Roman" w:hAnsi="Times New Roman" w:eastAsia="宋体" w:cs="Times New Roman"/>
      <w:szCs w:val="21"/>
    </w:rPr>
  </w:style>
  <w:style w:type="paragraph" w:styleId="928"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9" w:customStyle="1">
    <w:name w:val="目录 31"/>
    <w:basedOn w:val="738"/>
    <w:next w:val="738"/>
    <w:uiPriority w:val="0"/>
    <w:qFormat/>
    <w:pPr>
      <w:ind w:left="420"/>
      <w:jc w:val="left"/>
    </w:pPr>
    <w:rPr>
      <w:rFonts w:ascii="Times New Roman" w:hAnsi="Times New Roman" w:eastAsia="宋体" w:cs="Times New Roman"/>
      <w:i/>
      <w:iCs/>
      <w:szCs w:val="24"/>
    </w:rPr>
  </w:style>
  <w:style w:type="paragraph" w:styleId="930" w:customStyle="1">
    <w:name w:val="目录 51"/>
    <w:basedOn w:val="738"/>
    <w:next w:val="738"/>
    <w:uiPriority w:val="0"/>
    <w:qFormat/>
    <w:pPr>
      <w:ind w:left="840"/>
      <w:jc w:val="left"/>
    </w:pPr>
    <w:rPr>
      <w:rFonts w:ascii="Times New Roman" w:hAnsi="Times New Roman" w:eastAsia="宋体" w:cs="Times New Roman"/>
      <w:szCs w:val="21"/>
    </w:rPr>
  </w:style>
  <w:style w:type="paragraph" w:styleId="931"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932" w:customStyle="1">
    <w:name w:val="列表 21"/>
    <w:basedOn w:val="738"/>
    <w:uiPriority w:val="0"/>
    <w:qFormat/>
    <w:pPr>
      <w:ind w:left="100" w:hanging="200"/>
    </w:pPr>
    <w:rPr>
      <w:rFonts w:ascii="Times New Roman" w:hAnsi="Times New Roman" w:eastAsia="宋体" w:cs="Times New Roman"/>
      <w:szCs w:val="21"/>
    </w:rPr>
  </w:style>
  <w:style w:type="paragraph" w:styleId="933" w:customStyle="1">
    <w:name w:val="目录 71"/>
    <w:basedOn w:val="738"/>
    <w:next w:val="738"/>
    <w:uiPriority w:val="0"/>
    <w:qFormat/>
    <w:pPr>
      <w:ind w:left="1260"/>
      <w:jc w:val="left"/>
    </w:pPr>
    <w:rPr>
      <w:rFonts w:ascii="Times New Roman" w:hAnsi="Times New Roman" w:eastAsia="宋体" w:cs="Times New Roman"/>
      <w:szCs w:val="21"/>
    </w:rPr>
  </w:style>
  <w:style w:type="paragraph" w:styleId="934" w:customStyle="1">
    <w:name w:val="目录 61"/>
    <w:basedOn w:val="738"/>
    <w:next w:val="738"/>
    <w:uiPriority w:val="0"/>
    <w:qFormat/>
    <w:pPr>
      <w:ind w:left="1050"/>
      <w:jc w:val="left"/>
    </w:pPr>
    <w:rPr>
      <w:rFonts w:ascii="Times New Roman" w:hAnsi="Times New Roman" w:eastAsia="宋体" w:cs="Times New Roman"/>
      <w:szCs w:val="21"/>
    </w:rPr>
  </w:style>
  <w:style w:type="paragraph" w:styleId="935" w:customStyle="1">
    <w:name w:val="列表 31"/>
    <w:basedOn w:val="738"/>
    <w:uiPriority w:val="0"/>
    <w:qFormat/>
    <w:pPr>
      <w:ind w:left="100" w:hanging="200"/>
    </w:pPr>
    <w:rPr>
      <w:rFonts w:ascii="Times New Roman" w:hAnsi="Times New Roman" w:eastAsia="宋体" w:cs="Times New Roman"/>
      <w:szCs w:val="21"/>
    </w:rPr>
  </w:style>
  <w:style w:type="paragraph" w:styleId="936" w:customStyle="1">
    <w:name w:val=" Char Char Char Char Char Char Char Char Char Char"/>
    <w:basedOn w:val="738"/>
    <w:uiPriority w:val="0"/>
    <w:qFormat/>
    <w:pPr>
      <w:spacing w:line="360" w:lineRule="auto"/>
    </w:pPr>
    <w:rPr>
      <w:rFonts w:ascii="Times New Roman" w:hAnsi="Times New Roman" w:eastAsia="宋体" w:cs="Times New Roman"/>
      <w:sz w:val="24"/>
      <w:szCs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Caption1"/>
    <w:basedOn w:val="738"/>
    <w:next w:val="738"/>
    <w:uiPriority w:val="35"/>
    <w:unhideWhenUsed/>
    <w:qFormat/>
    <w:pPr>
      <w:spacing w:line="276" w:lineRule="auto"/>
    </w:pPr>
    <w:rPr>
      <w:b/>
      <w:bCs/>
      <w:color w:val="4f81bd"/>
      <w:sz w:val="18"/>
      <w:szCs w:val="18"/>
    </w:rPr>
  </w:style>
  <w:style w:type="paragraph" w:styleId="939">
    <w:name w:val="No Spacing"/>
    <w:uiPriority w:val="1"/>
    <w:qFormat/>
    <w:pPr>
      <w:spacing w:before="0" w:after="0" w:line="240" w:lineRule="auto"/>
    </w:pPr>
    <w:rPr>
      <w:rFonts w:hint="default" w:ascii="Times New Roman" w:hAnsi="Times New Roman" w:eastAsia="宋体" w:cs="Times New Roman"/>
    </w:rPr>
  </w:style>
  <w:style w:type="paragraph" w:styleId="940">
    <w:name w:val="List Paragraph"/>
    <w:basedOn w:val="738"/>
    <w:uiPriority w:val="34"/>
    <w:qFormat/>
    <w:pPr>
      <w:contextualSpacing/>
      <w:ind w:left="720"/>
    </w:pPr>
  </w:style>
  <w:style w:type="paragraph" w:styleId="941" w:customStyle="1">
    <w:name w:val="图表目录1"/>
    <w:basedOn w:val="738"/>
    <w:next w:val="738"/>
    <w:uiPriority w:val="0"/>
    <w:qFormat/>
    <w:pPr>
      <w:ind w:left="840" w:hanging="420"/>
    </w:pPr>
    <w:rPr>
      <w:rFonts w:ascii="Times New Roman" w:hAnsi="Times New Roman" w:eastAsia="宋体" w:cs="Times New Roman"/>
      <w:szCs w:val="21"/>
    </w:rPr>
  </w:style>
  <w:style w:type="paragraph" w:styleId="942"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3" w:customStyle="1">
    <w:name w:val="Normal_17_1"/>
    <w:uiPriority w:val="0"/>
    <w:qFormat/>
    <w:pPr>
      <w:jc w:val="both"/>
      <w:widowControl w:val="off"/>
    </w:pPr>
    <w:rPr>
      <w:rFonts w:hint="default" w:ascii="Calibri" w:hAnsi="Calibri" w:eastAsia="宋体" w:cs="Times New Roman"/>
      <w:sz w:val="21"/>
      <w:szCs w:val="22"/>
    </w:rPr>
  </w:style>
  <w:style w:type="paragraph" w:styleId="944" w:customStyle="1">
    <w:name w:val="4"/>
    <w:basedOn w:val="738"/>
    <w:next w:val="825"/>
    <w:uiPriority w:val="0"/>
    <w:qFormat/>
    <w:pPr>
      <w:ind w:firstLine="420"/>
      <w:spacing w:line="360" w:lineRule="auto"/>
    </w:pPr>
    <w:rPr>
      <w:rFonts w:ascii="Times New Roman" w:hAnsi="Times New Roman" w:eastAsia="宋体" w:cs="Times New Roman"/>
      <w:color w:val="ff0000"/>
      <w:sz w:val="24"/>
      <w:szCs w:val="24"/>
    </w:rPr>
  </w:style>
  <w:style w:type="table" w:styleId="945" w:customStyle="1">
    <w:name w:val="网格型1"/>
    <w:basedOn w:val="946"/>
    <w:uiPriority w:val="0"/>
    <w:qFormat/>
    <w:pPr>
      <w:jc w:val="both"/>
      <w:widowControl w:val="off"/>
    </w:pPr>
    <w:rPr>
      <w:rFonts w:ascii="Times New Roman" w:hAnsi="Times New Roman" w:eastAsia="宋体" w:cs="Times New Roman"/>
      <w:sz w:val="20"/>
      <w:szCs w:val="20"/>
    </w:rPr>
    <w:tblPr/>
  </w:style>
  <w:style w:type="table" w:styleId="946" w:customStyle="1">
    <w:name w:val="普通表格1"/>
    <w:uiPriority w:val="0"/>
    <w:qFormat/>
    <w:rPr>
      <w:rFonts w:ascii="Times New Roman" w:hAnsi="Times New Roman" w:eastAsia="宋体" w:cs="Times New Roman"/>
    </w:rPr>
    <w:tblPr/>
  </w:style>
  <w:style w:type="table" w:styleId="947" w:customStyle="1">
    <w:name w:val="Bordered - Accent 3"/>
    <w:uiPriority w:val="99"/>
    <w:qFormat/>
    <w:pPr>
      <w:spacing w:after="0" w:line="240" w:lineRule="auto"/>
    </w:pPr>
    <w:tblPr/>
  </w:style>
  <w:style w:type="table" w:styleId="948" w:customStyle="1">
    <w:name w:val="Bordered"/>
    <w:uiPriority w:val="99"/>
    <w:qFormat/>
    <w:pPr>
      <w:spacing w:after="0" w:line="240" w:lineRule="auto"/>
    </w:pPr>
    <w:tblPr/>
  </w:style>
  <w:style w:type="table" w:styleId="949" w:customStyle="1">
    <w:name w:val="Bordered &amp; Lined - Accent 6"/>
    <w:uiPriority w:val="99"/>
    <w:qFormat/>
    <w:pPr>
      <w:spacing w:after="0" w:line="240" w:lineRule="auto"/>
    </w:pPr>
    <w:rPr>
      <w:color w:val="404040"/>
    </w:rPr>
    <w:tblPr/>
  </w:style>
  <w:style w:type="table" w:styleId="950" w:customStyle="1">
    <w:name w:val="Bordered &amp; Lined - Accent 5"/>
    <w:uiPriority w:val="99"/>
    <w:qFormat/>
    <w:pPr>
      <w:spacing w:after="0" w:line="240" w:lineRule="auto"/>
    </w:pPr>
    <w:rPr>
      <w:color w:val="404040"/>
    </w:rPr>
    <w:tblPr/>
  </w:style>
  <w:style w:type="table" w:styleId="951" w:customStyle="1">
    <w:name w:val="Bordered &amp; Lined - Accent 3"/>
    <w:uiPriority w:val="99"/>
    <w:qFormat/>
    <w:pPr>
      <w:spacing w:after="0" w:line="240" w:lineRule="auto"/>
    </w:pPr>
    <w:rPr>
      <w:color w:val="404040"/>
    </w:rPr>
    <w:tblPr/>
  </w:style>
  <w:style w:type="table" w:styleId="952" w:customStyle="1">
    <w:name w:val="Bordered &amp; Lined - Accent"/>
    <w:uiPriority w:val="99"/>
    <w:qFormat/>
    <w:pPr>
      <w:spacing w:after="0" w:line="240" w:lineRule="auto"/>
    </w:pPr>
    <w:rPr>
      <w:color w:val="404040"/>
    </w:rPr>
    <w:tblPr/>
  </w:style>
  <w:style w:type="table" w:styleId="953" w:customStyle="1">
    <w:name w:val="Lined - Accent 4"/>
    <w:uiPriority w:val="99"/>
    <w:qFormat/>
    <w:pPr>
      <w:spacing w:after="0" w:line="240" w:lineRule="auto"/>
    </w:pPr>
    <w:rPr>
      <w:color w:val="404040"/>
    </w:rPr>
    <w:tblPr/>
  </w:style>
  <w:style w:type="table" w:styleId="954" w:customStyle="1">
    <w:name w:val="Lined - Accent 3"/>
    <w:uiPriority w:val="99"/>
    <w:qFormat/>
    <w:pPr>
      <w:spacing w:after="0" w:line="240" w:lineRule="auto"/>
    </w:pPr>
    <w:rPr>
      <w:color w:val="404040"/>
    </w:rPr>
    <w:tblPr/>
  </w:style>
  <w:style w:type="table" w:styleId="955" w:customStyle="1">
    <w:name w:val="Lined - Accent 2"/>
    <w:uiPriority w:val="99"/>
    <w:qFormat/>
    <w:pPr>
      <w:spacing w:after="0" w:line="240" w:lineRule="auto"/>
    </w:pPr>
    <w:rPr>
      <w:color w:val="404040"/>
    </w:rPr>
    <w:tblPr/>
  </w:style>
  <w:style w:type="table" w:styleId="956" w:customStyle="1">
    <w:name w:val="Lined - Accent 1"/>
    <w:uiPriority w:val="99"/>
    <w:qFormat/>
    <w:pPr>
      <w:spacing w:after="0" w:line="240" w:lineRule="auto"/>
    </w:pPr>
    <w:rPr>
      <w:color w:val="404040"/>
    </w:rPr>
    <w:tblPr/>
  </w:style>
  <w:style w:type="table" w:styleId="957" w:customStyle="1">
    <w:name w:val="List Table 7 Colorful - Accent 6"/>
    <w:uiPriority w:val="99"/>
    <w:qFormat/>
    <w:pPr>
      <w:spacing w:after="0" w:line="240" w:lineRule="auto"/>
    </w:pPr>
    <w:tblPr/>
  </w:style>
  <w:style w:type="table" w:styleId="958" w:customStyle="1">
    <w:name w:val="List Table 7 Colorful - Accent 2"/>
    <w:uiPriority w:val="99"/>
    <w:qFormat/>
    <w:pPr>
      <w:spacing w:after="0" w:line="240" w:lineRule="auto"/>
    </w:pPr>
    <w:tblPr/>
  </w:style>
  <w:style w:type="table" w:styleId="959" w:customStyle="1">
    <w:name w:val="List Table 7 Colorful - Accent 1"/>
    <w:uiPriority w:val="99"/>
    <w:qFormat/>
    <w:pPr>
      <w:spacing w:after="0" w:line="240" w:lineRule="auto"/>
    </w:pPr>
    <w:tblPr/>
  </w:style>
  <w:style w:type="table" w:styleId="960" w:customStyle="1">
    <w:name w:val="List Table 7 Colorful"/>
    <w:uiPriority w:val="99"/>
    <w:qFormat/>
    <w:pPr>
      <w:spacing w:after="0" w:line="240" w:lineRule="auto"/>
    </w:pPr>
    <w:tblPr/>
  </w:style>
  <w:style w:type="table" w:styleId="961" w:customStyle="1">
    <w:name w:val="List Table 6 Colorful - Accent 3"/>
    <w:uiPriority w:val="99"/>
    <w:qFormat/>
    <w:pPr>
      <w:spacing w:after="0" w:line="240" w:lineRule="auto"/>
    </w:pPr>
    <w:tblPr/>
  </w:style>
  <w:style w:type="table" w:styleId="962" w:customStyle="1">
    <w:name w:val="List Table 6 Colorful - Accent 2"/>
    <w:uiPriority w:val="99"/>
    <w:qFormat/>
    <w:pPr>
      <w:spacing w:after="0" w:line="240" w:lineRule="auto"/>
    </w:pPr>
    <w:tblPr/>
  </w:style>
  <w:style w:type="table" w:styleId="963" w:customStyle="1">
    <w:name w:val="List Table 6 Colorful - Accent 1"/>
    <w:uiPriority w:val="99"/>
    <w:qFormat/>
    <w:pPr>
      <w:spacing w:after="0" w:line="240" w:lineRule="auto"/>
    </w:pPr>
    <w:tblPr/>
  </w:style>
  <w:style w:type="table" w:styleId="964" w:customStyle="1">
    <w:name w:val="List Table 6 Colorful"/>
    <w:uiPriority w:val="99"/>
    <w:qFormat/>
    <w:pPr>
      <w:spacing w:after="0" w:line="240" w:lineRule="auto"/>
    </w:pPr>
    <w:tblPr/>
  </w:style>
  <w:style w:type="table" w:styleId="965" w:customStyle="1">
    <w:name w:val="List Table 5 Dark - Accent 5"/>
    <w:uiPriority w:val="99"/>
    <w:qFormat/>
    <w:pPr>
      <w:spacing w:after="0" w:line="240" w:lineRule="auto"/>
    </w:pPr>
    <w:tblPr/>
  </w:style>
  <w:style w:type="table" w:styleId="966" w:customStyle="1">
    <w:name w:val="List Table 4 - Accent 6"/>
    <w:uiPriority w:val="99"/>
    <w:qFormat/>
    <w:pPr>
      <w:spacing w:after="0" w:line="240" w:lineRule="auto"/>
    </w:pPr>
    <w:tblPr/>
  </w:style>
  <w:style w:type="table" w:styleId="967" w:customStyle="1">
    <w:name w:val="List Table 4 - Accent 5"/>
    <w:uiPriority w:val="99"/>
    <w:qFormat/>
    <w:pPr>
      <w:spacing w:after="0" w:line="240" w:lineRule="auto"/>
    </w:pPr>
    <w:tblPr/>
  </w:style>
  <w:style w:type="table" w:styleId="968" w:customStyle="1">
    <w:name w:val="List Table 4 - Accent 2"/>
    <w:uiPriority w:val="99"/>
    <w:qFormat/>
    <w:pPr>
      <w:spacing w:after="0" w:line="240" w:lineRule="auto"/>
    </w:pPr>
    <w:tblPr/>
  </w:style>
  <w:style w:type="table" w:styleId="969" w:customStyle="1">
    <w:name w:val="List Table 4 - Accent 1"/>
    <w:uiPriority w:val="99"/>
    <w:qFormat/>
    <w:pPr>
      <w:spacing w:after="0" w:line="240" w:lineRule="auto"/>
    </w:pPr>
    <w:tblPr/>
  </w:style>
  <w:style w:type="table" w:styleId="970" w:customStyle="1">
    <w:name w:val="List Table 3 - Accent 6"/>
    <w:uiPriority w:val="99"/>
    <w:qFormat/>
    <w:pPr>
      <w:spacing w:after="0" w:line="240" w:lineRule="auto"/>
    </w:pPr>
    <w:tblPr/>
  </w:style>
  <w:style w:type="table" w:styleId="971" w:customStyle="1">
    <w:name w:val="List Table 3 - Accent 3"/>
    <w:uiPriority w:val="99"/>
    <w:qFormat/>
    <w:pPr>
      <w:spacing w:after="0" w:line="240" w:lineRule="auto"/>
    </w:pPr>
    <w:tblPr/>
  </w:style>
  <w:style w:type="table" w:styleId="972" w:customStyle="1">
    <w:name w:val="List Table 3 - Accent 2"/>
    <w:uiPriority w:val="99"/>
    <w:qFormat/>
    <w:pPr>
      <w:spacing w:after="0" w:line="240" w:lineRule="auto"/>
    </w:pPr>
    <w:tblPr/>
  </w:style>
  <w:style w:type="table" w:styleId="973" w:customStyle="1">
    <w:name w:val="List Table 4 - Accent 3"/>
    <w:uiPriority w:val="99"/>
    <w:qFormat/>
    <w:pPr>
      <w:spacing w:after="0" w:line="240" w:lineRule="auto"/>
    </w:pPr>
    <w:tblPr/>
  </w:style>
  <w:style w:type="table" w:styleId="974" w:customStyle="1">
    <w:name w:val="List Table 3 - Accent 1"/>
    <w:uiPriority w:val="99"/>
    <w:qFormat/>
    <w:pPr>
      <w:spacing w:after="0" w:line="240" w:lineRule="auto"/>
    </w:pPr>
    <w:tblPr/>
  </w:style>
  <w:style w:type="table" w:styleId="975" w:customStyle="1">
    <w:name w:val="List Table 3"/>
    <w:uiPriority w:val="99"/>
    <w:qFormat/>
    <w:pPr>
      <w:spacing w:after="0" w:line="240" w:lineRule="auto"/>
    </w:pPr>
    <w:tblPr/>
  </w:style>
  <w:style w:type="table" w:styleId="976" w:customStyle="1">
    <w:name w:val="List Table 2 - Accent 6"/>
    <w:uiPriority w:val="99"/>
    <w:qFormat/>
    <w:pPr>
      <w:spacing w:after="0" w:line="240" w:lineRule="auto"/>
    </w:pPr>
    <w:tblPr/>
  </w:style>
  <w:style w:type="table" w:styleId="977" w:customStyle="1">
    <w:name w:val="List Table 2 - Accent 5"/>
    <w:uiPriority w:val="99"/>
    <w:qFormat/>
    <w:pPr>
      <w:spacing w:after="0" w:line="240" w:lineRule="auto"/>
    </w:pPr>
    <w:tblPr/>
  </w:style>
  <w:style w:type="table" w:styleId="978" w:customStyle="1">
    <w:name w:val="List Table 2 - Accent 3"/>
    <w:uiPriority w:val="99"/>
    <w:qFormat/>
    <w:pPr>
      <w:spacing w:after="0" w:line="240" w:lineRule="auto"/>
    </w:pPr>
    <w:tblPr/>
  </w:style>
  <w:style w:type="table" w:styleId="979" w:customStyle="1">
    <w:name w:val="List Table 2 - Accent 2"/>
    <w:uiPriority w:val="99"/>
    <w:qFormat/>
    <w:pPr>
      <w:spacing w:after="0" w:line="240" w:lineRule="auto"/>
    </w:pPr>
    <w:tblPr/>
  </w:style>
  <w:style w:type="table" w:styleId="980" w:customStyle="1">
    <w:name w:val="List Table 1 Light - Accent 6"/>
    <w:uiPriority w:val="99"/>
    <w:qFormat/>
    <w:pPr>
      <w:spacing w:after="0" w:line="240" w:lineRule="auto"/>
    </w:pPr>
    <w:tblPr/>
  </w:style>
  <w:style w:type="table" w:styleId="981" w:customStyle="1">
    <w:name w:val="List Table 1 Light - Accent 2"/>
    <w:uiPriority w:val="99"/>
    <w:qFormat/>
    <w:pPr>
      <w:spacing w:after="0" w:line="240" w:lineRule="auto"/>
    </w:pPr>
    <w:tblPr/>
  </w:style>
  <w:style w:type="table" w:styleId="982" w:customStyle="1">
    <w:name w:val="List Table 7 Colorful - Accent 4"/>
    <w:uiPriority w:val="99"/>
    <w:qFormat/>
    <w:pPr>
      <w:spacing w:after="0" w:line="240" w:lineRule="auto"/>
    </w:pPr>
    <w:tblPr/>
  </w:style>
  <w:style w:type="table" w:styleId="983" w:customStyle="1">
    <w:name w:val="Grid Table 7 Colorful - Accent 5"/>
    <w:uiPriority w:val="99"/>
    <w:qFormat/>
    <w:pPr>
      <w:spacing w:after="0" w:line="240" w:lineRule="auto"/>
    </w:pPr>
    <w:tblPr/>
  </w:style>
  <w:style w:type="table" w:styleId="984" w:customStyle="1">
    <w:name w:val="Grid Table 7 Colorful - Accent 4"/>
    <w:uiPriority w:val="99"/>
    <w:qFormat/>
    <w:pPr>
      <w:spacing w:after="0" w:line="240" w:lineRule="auto"/>
    </w:pPr>
    <w:tblPr/>
  </w:style>
  <w:style w:type="table" w:styleId="985" w:customStyle="1">
    <w:name w:val="Grid Table 7 Colorful - Accent 1"/>
    <w:uiPriority w:val="99"/>
    <w:qFormat/>
    <w:pPr>
      <w:spacing w:after="0" w:line="240" w:lineRule="auto"/>
    </w:pPr>
    <w:tblPr/>
  </w:style>
  <w:style w:type="table" w:styleId="986" w:customStyle="1">
    <w:name w:val="Grid Table 6 Colorful - Accent 6"/>
    <w:uiPriority w:val="99"/>
    <w:qFormat/>
    <w:pPr>
      <w:spacing w:after="0" w:line="240" w:lineRule="auto"/>
    </w:pPr>
    <w:tblPr/>
  </w:style>
  <w:style w:type="table" w:styleId="987" w:customStyle="1">
    <w:name w:val="Grid Table 6 Colorful - Accent 1"/>
    <w:uiPriority w:val="99"/>
    <w:qFormat/>
    <w:pPr>
      <w:spacing w:after="0" w:line="240" w:lineRule="auto"/>
    </w:pPr>
    <w:tblPr/>
  </w:style>
  <w:style w:type="table" w:styleId="988" w:customStyle="1">
    <w:name w:val="Grid Table 5 Dark - Accent 6"/>
    <w:uiPriority w:val="99"/>
    <w:qFormat/>
    <w:pPr>
      <w:spacing w:after="0" w:line="240" w:lineRule="auto"/>
    </w:pPr>
    <w:tblPr/>
  </w:style>
  <w:style w:type="table" w:styleId="989" w:customStyle="1">
    <w:name w:val="Grid Table 5 Dark - Accent 5"/>
    <w:uiPriority w:val="99"/>
    <w:qFormat/>
    <w:pPr>
      <w:spacing w:after="0" w:line="240" w:lineRule="auto"/>
    </w:pPr>
    <w:tblPr/>
  </w:style>
  <w:style w:type="table" w:styleId="990" w:customStyle="1">
    <w:name w:val="Grid Table 5 Dark- Accent 4"/>
    <w:uiPriority w:val="99"/>
    <w:qFormat/>
    <w:pPr>
      <w:spacing w:after="0" w:line="240" w:lineRule="auto"/>
    </w:pPr>
    <w:tblPr/>
  </w:style>
  <w:style w:type="table" w:styleId="991" w:customStyle="1">
    <w:name w:val="Grid Table 5 Dark- Accent 1"/>
    <w:uiPriority w:val="99"/>
    <w:qFormat/>
    <w:pPr>
      <w:spacing w:after="0" w:line="240" w:lineRule="auto"/>
    </w:pPr>
    <w:tblPr/>
  </w:style>
  <w:style w:type="table" w:styleId="992" w:customStyle="1">
    <w:name w:val="Grid Table 5 Dark"/>
    <w:uiPriority w:val="99"/>
    <w:qFormat/>
    <w:pPr>
      <w:spacing w:after="0" w:line="240" w:lineRule="auto"/>
    </w:pPr>
    <w:tblPr/>
  </w:style>
  <w:style w:type="table" w:styleId="993" w:customStyle="1">
    <w:name w:val="Lined - Accent 5"/>
    <w:uiPriority w:val="99"/>
    <w:qFormat/>
    <w:pPr>
      <w:spacing w:after="0" w:line="240" w:lineRule="auto"/>
    </w:pPr>
    <w:rPr>
      <w:color w:val="404040"/>
    </w:rPr>
    <w:tblPr/>
  </w:style>
  <w:style w:type="table" w:styleId="994" w:customStyle="1">
    <w:name w:val="Grid Table 4 - Accent 6"/>
    <w:uiPriority w:val="59"/>
    <w:qFormat/>
    <w:pPr>
      <w:spacing w:after="0" w:line="240" w:lineRule="auto"/>
    </w:pPr>
    <w:tblPr/>
  </w:style>
  <w:style w:type="table" w:styleId="995" w:customStyle="1">
    <w:name w:val="Grid Table 4 - Accent 5"/>
    <w:uiPriority w:val="59"/>
    <w:qFormat/>
    <w:pPr>
      <w:spacing w:after="0" w:line="240" w:lineRule="auto"/>
    </w:pPr>
    <w:tblPr/>
  </w:style>
  <w:style w:type="table" w:styleId="996" w:customStyle="1">
    <w:name w:val="List Table 2 - Accent 4"/>
    <w:uiPriority w:val="99"/>
    <w:qFormat/>
    <w:pPr>
      <w:spacing w:after="0" w:line="240" w:lineRule="auto"/>
    </w:pPr>
    <w:tblPr/>
  </w:style>
  <w:style w:type="table" w:styleId="997" w:customStyle="1">
    <w:name w:val="Grid Table 4 - Accent 3"/>
    <w:uiPriority w:val="59"/>
    <w:qFormat/>
    <w:pPr>
      <w:spacing w:after="0" w:line="240" w:lineRule="auto"/>
    </w:pPr>
    <w:tblPr/>
  </w:style>
  <w:style w:type="table" w:styleId="998" w:customStyle="1">
    <w:name w:val="List Table 1 Light - Accent 3"/>
    <w:uiPriority w:val="99"/>
    <w:qFormat/>
    <w:pPr>
      <w:spacing w:after="0" w:line="240" w:lineRule="auto"/>
    </w:pPr>
    <w:tblPr/>
  </w:style>
  <w:style w:type="table" w:styleId="999" w:customStyle="1">
    <w:name w:val="Grid Table 4 - Accent 2"/>
    <w:uiPriority w:val="59"/>
    <w:qFormat/>
    <w:pPr>
      <w:spacing w:after="0" w:line="240" w:lineRule="auto"/>
    </w:pPr>
    <w:tblPr/>
  </w:style>
  <w:style w:type="table" w:styleId="1000" w:customStyle="1">
    <w:name w:val="Grid Table 4"/>
    <w:uiPriority w:val="59"/>
    <w:qFormat/>
    <w:pPr>
      <w:spacing w:after="0" w:line="240" w:lineRule="auto"/>
    </w:pPr>
    <w:tblPr/>
  </w:style>
  <w:style w:type="table" w:styleId="1001" w:customStyle="1">
    <w:name w:val="Grid Table 7 Colorful - Accent 2"/>
    <w:uiPriority w:val="99"/>
    <w:qFormat/>
    <w:pPr>
      <w:spacing w:after="0" w:line="240" w:lineRule="auto"/>
    </w:pPr>
    <w:tblPr/>
  </w:style>
  <w:style w:type="table" w:styleId="1002" w:customStyle="1">
    <w:name w:val="Grid Table 3 - Accent 5"/>
    <w:uiPriority w:val="99"/>
    <w:qFormat/>
    <w:pPr>
      <w:spacing w:after="0" w:line="240" w:lineRule="auto"/>
    </w:pPr>
    <w:tblPr/>
  </w:style>
  <w:style w:type="table" w:styleId="1003" w:customStyle="1">
    <w:name w:val="List Table 5 Dark - Accent 3"/>
    <w:uiPriority w:val="99"/>
    <w:qFormat/>
    <w:pPr>
      <w:spacing w:after="0" w:line="240" w:lineRule="auto"/>
    </w:pPr>
    <w:tblPr/>
  </w:style>
  <w:style w:type="table" w:styleId="1004" w:customStyle="1">
    <w:name w:val="Grid Table 3 - Accent 2"/>
    <w:uiPriority w:val="99"/>
    <w:qFormat/>
    <w:pPr>
      <w:spacing w:after="0" w:line="240" w:lineRule="auto"/>
    </w:pPr>
    <w:tblPr/>
  </w:style>
  <w:style w:type="table" w:styleId="1005" w:customStyle="1">
    <w:name w:val="Grid Table 3"/>
    <w:uiPriority w:val="99"/>
    <w:qFormat/>
    <w:pPr>
      <w:spacing w:after="0" w:line="240" w:lineRule="auto"/>
    </w:pPr>
    <w:tblPr/>
  </w:style>
  <w:style w:type="table" w:styleId="1006" w:customStyle="1">
    <w:name w:val="List Table 1 Light"/>
    <w:uiPriority w:val="99"/>
    <w:qFormat/>
    <w:pPr>
      <w:spacing w:after="0" w:line="240" w:lineRule="auto"/>
    </w:pPr>
    <w:tblPr/>
  </w:style>
  <w:style w:type="table" w:styleId="1007" w:customStyle="1">
    <w:name w:val="Grid Table 2 - Accent 6"/>
    <w:uiPriority w:val="99"/>
    <w:qFormat/>
    <w:pPr>
      <w:spacing w:after="0" w:line="240" w:lineRule="auto"/>
    </w:pPr>
    <w:tblPr/>
  </w:style>
  <w:style w:type="table" w:styleId="1008" w:customStyle="1">
    <w:name w:val="Grid Table 2 - Accent 4"/>
    <w:uiPriority w:val="99"/>
    <w:qFormat/>
    <w:pPr>
      <w:spacing w:after="0" w:line="240" w:lineRule="auto"/>
    </w:pPr>
    <w:tblPr/>
  </w:style>
  <w:style w:type="table" w:styleId="1009" w:customStyle="1">
    <w:name w:val="List Table 7 Colorful - Accent 5"/>
    <w:uiPriority w:val="99"/>
    <w:qFormat/>
    <w:pPr>
      <w:spacing w:after="0" w:line="240" w:lineRule="auto"/>
    </w:pPr>
    <w:tblPr/>
  </w:style>
  <w:style w:type="table" w:styleId="1010" w:customStyle="1">
    <w:name w:val="Grid Table 2 - Accent 3"/>
    <w:uiPriority w:val="99"/>
    <w:qFormat/>
    <w:pPr>
      <w:spacing w:after="0" w:line="240" w:lineRule="auto"/>
    </w:pPr>
    <w:tblPr/>
  </w:style>
  <w:style w:type="table" w:styleId="1011" w:customStyle="1">
    <w:name w:val="Bordered - Accent 4"/>
    <w:uiPriority w:val="99"/>
    <w:qFormat/>
    <w:pPr>
      <w:spacing w:after="0" w:line="240" w:lineRule="auto"/>
    </w:pPr>
    <w:tblPr/>
  </w:style>
  <w:style w:type="table" w:styleId="1012" w:customStyle="1">
    <w:name w:val="Bordered - Accent 2"/>
    <w:uiPriority w:val="99"/>
    <w:qFormat/>
    <w:pPr>
      <w:spacing w:after="0" w:line="240" w:lineRule="auto"/>
    </w:pPr>
    <w:tblPr/>
  </w:style>
  <w:style w:type="table" w:styleId="1013" w:customStyle="1">
    <w:name w:val="Grid Table 2 - Accent 2"/>
    <w:uiPriority w:val="99"/>
    <w:qFormat/>
    <w:pPr>
      <w:spacing w:after="0" w:line="240" w:lineRule="auto"/>
    </w:pPr>
    <w:tblPr/>
  </w:style>
  <w:style w:type="table" w:styleId="1014" w:customStyle="1">
    <w:name w:val="Grid Table 2 - Accent 1"/>
    <w:uiPriority w:val="99"/>
    <w:qFormat/>
    <w:pPr>
      <w:spacing w:after="0" w:line="240" w:lineRule="auto"/>
    </w:pPr>
    <w:tblPr/>
  </w:style>
  <w:style w:type="table" w:styleId="1015" w:customStyle="1">
    <w:name w:val="Grid Table 2"/>
    <w:uiPriority w:val="99"/>
    <w:qFormat/>
    <w:pPr>
      <w:spacing w:after="0" w:line="240" w:lineRule="auto"/>
    </w:pPr>
    <w:tblPr/>
  </w:style>
  <w:style w:type="table" w:styleId="1016" w:customStyle="1">
    <w:name w:val="Grid Table 1 Light - Accent 6"/>
    <w:uiPriority w:val="99"/>
    <w:qFormat/>
    <w:pPr>
      <w:spacing w:after="0" w:line="240" w:lineRule="auto"/>
    </w:pPr>
    <w:tblPr/>
  </w:style>
  <w:style w:type="table" w:styleId="1017" w:customStyle="1">
    <w:name w:val="Grid Table 6 Colorful - Accent 2"/>
    <w:uiPriority w:val="99"/>
    <w:qFormat/>
    <w:pPr>
      <w:spacing w:after="0" w:line="240" w:lineRule="auto"/>
    </w:pPr>
    <w:tblPr/>
  </w:style>
  <w:style w:type="table" w:styleId="1018" w:customStyle="1">
    <w:name w:val="Grid Table 1 Light - Accent 4"/>
    <w:uiPriority w:val="99"/>
    <w:qFormat/>
    <w:pPr>
      <w:spacing w:after="0" w:line="240" w:lineRule="auto"/>
    </w:pPr>
    <w:tblPr/>
  </w:style>
  <w:style w:type="table" w:styleId="1019" w:customStyle="1">
    <w:name w:val="Bordered - Accent 6"/>
    <w:uiPriority w:val="99"/>
    <w:qFormat/>
    <w:pPr>
      <w:spacing w:after="0" w:line="240" w:lineRule="auto"/>
    </w:pPr>
    <w:tblPr/>
  </w:style>
  <w:style w:type="table" w:styleId="1020" w:customStyle="1">
    <w:name w:val="Grid Table 1 Light - Accent 2"/>
    <w:uiPriority w:val="99"/>
    <w:qFormat/>
    <w:pPr>
      <w:spacing w:after="0" w:line="240" w:lineRule="auto"/>
    </w:pPr>
    <w:tblPr/>
  </w:style>
  <w:style w:type="table" w:styleId="1021" w:customStyle="1">
    <w:name w:val="Grid Table 1 Light - Accent 1"/>
    <w:uiPriority w:val="99"/>
    <w:qFormat/>
    <w:pPr>
      <w:spacing w:after="0" w:line="240" w:lineRule="auto"/>
    </w:pPr>
    <w:tblPr/>
  </w:style>
  <w:style w:type="table" w:styleId="1022" w:customStyle="1">
    <w:name w:val="Grid Table 1 Light"/>
    <w:uiPriority w:val="99"/>
    <w:qFormat/>
    <w:pPr>
      <w:spacing w:after="0" w:line="240" w:lineRule="auto"/>
    </w:pPr>
    <w:tblPr/>
  </w:style>
  <w:style w:type="table" w:styleId="1023" w:customStyle="1">
    <w:name w:val="Plain Table 3"/>
    <w:uiPriority w:val="99"/>
    <w:qFormat/>
    <w:pPr>
      <w:spacing w:after="0" w:line="240" w:lineRule="auto"/>
    </w:pPr>
    <w:tblPr/>
  </w:style>
  <w:style w:type="table" w:styleId="1024" w:customStyle="1">
    <w:name w:val="Plain Table 1"/>
    <w:uiPriority w:val="59"/>
    <w:qFormat/>
    <w:pPr>
      <w:spacing w:after="0" w:line="240" w:lineRule="auto"/>
    </w:pPr>
    <w:tblPr/>
  </w:style>
  <w:style w:type="table" w:styleId="1025" w:customStyle="1">
    <w:name w:val="Table Grid Light"/>
    <w:uiPriority w:val="59"/>
    <w:qFormat/>
    <w:pPr>
      <w:spacing w:after="0" w:line="240" w:lineRule="auto"/>
    </w:pPr>
    <w:tblPr/>
  </w:style>
  <w:style w:type="table" w:styleId="1026" w:customStyle="1">
    <w:name w:val="List Table 1 Light - Accent 1"/>
    <w:uiPriority w:val="99"/>
    <w:qFormat/>
    <w:pPr>
      <w:spacing w:after="0" w:line="240" w:lineRule="auto"/>
    </w:pPr>
    <w:tblPr/>
  </w:style>
  <w:style w:type="table" w:styleId="1027" w:customStyle="1">
    <w:name w:val="Grid Table 6 Colorful - Accent 5"/>
    <w:uiPriority w:val="99"/>
    <w:qFormat/>
    <w:pPr>
      <w:spacing w:after="0" w:line="240" w:lineRule="auto"/>
    </w:pPr>
    <w:tblPr/>
  </w:style>
  <w:style w:type="table" w:styleId="1028" w:customStyle="1">
    <w:name w:val="Grid Table 6 Colorful - Accent 3"/>
    <w:uiPriority w:val="99"/>
    <w:qFormat/>
    <w:pPr>
      <w:spacing w:after="0" w:line="240" w:lineRule="auto"/>
    </w:pPr>
    <w:tblPr/>
  </w:style>
  <w:style w:type="table" w:styleId="1029" w:customStyle="1">
    <w:name w:val="Grid Table 7 Colorful"/>
    <w:uiPriority w:val="99"/>
    <w:qFormat/>
    <w:pPr>
      <w:spacing w:after="0" w:line="240" w:lineRule="auto"/>
    </w:pPr>
    <w:tblPr/>
  </w:style>
  <w:style w:type="table" w:styleId="1030" w:customStyle="1">
    <w:name w:val="Grid Table 2 - Accent 5"/>
    <w:uiPriority w:val="99"/>
    <w:qFormat/>
    <w:pPr>
      <w:spacing w:after="0" w:line="240" w:lineRule="auto"/>
    </w:pPr>
    <w:tblPr/>
  </w:style>
  <w:style w:type="table" w:styleId="1031" w:customStyle="1">
    <w:name w:val="List Table 5 Dark - Accent 4"/>
    <w:uiPriority w:val="99"/>
    <w:qFormat/>
    <w:pPr>
      <w:spacing w:after="0" w:line="240" w:lineRule="auto"/>
    </w:pPr>
    <w:tblPr/>
  </w:style>
  <w:style w:type="table" w:styleId="1032" w:customStyle="1">
    <w:name w:val="Grid Table 7 Colorful - Accent 6"/>
    <w:uiPriority w:val="99"/>
    <w:qFormat/>
    <w:pPr>
      <w:spacing w:after="0" w:line="240" w:lineRule="auto"/>
    </w:pPr>
    <w:tblPr/>
  </w:style>
  <w:style w:type="table" w:styleId="1033" w:customStyle="1">
    <w:name w:val="Table Normal"/>
    <w:uiPriority w:val="0"/>
    <w:unhideWhenUsed/>
    <w:qFormat/>
    <w:tblPr/>
  </w:style>
  <w:style w:type="table" w:styleId="1034" w:customStyle="1">
    <w:name w:val="Bordered - Accent 1"/>
    <w:uiPriority w:val="99"/>
    <w:qFormat/>
    <w:pPr>
      <w:spacing w:after="0" w:line="240" w:lineRule="auto"/>
    </w:pPr>
    <w:tblPr/>
  </w:style>
  <w:style w:type="table" w:styleId="1035" w:customStyle="1">
    <w:name w:val="Grid Table 3 - Accent 6"/>
    <w:uiPriority w:val="99"/>
    <w:qFormat/>
    <w:pPr>
      <w:spacing w:after="0" w:line="240" w:lineRule="auto"/>
    </w:pPr>
    <w:tblPr/>
  </w:style>
  <w:style w:type="table" w:styleId="1036" w:customStyle="1">
    <w:name w:val="List Table 5 Dark - Accent 2"/>
    <w:uiPriority w:val="99"/>
    <w:qFormat/>
    <w:pPr>
      <w:spacing w:after="0" w:line="240" w:lineRule="auto"/>
    </w:pPr>
    <w:tblPr/>
  </w:style>
  <w:style w:type="table" w:styleId="1037" w:customStyle="1">
    <w:name w:val="Grid Table 3 - Accent 4"/>
    <w:uiPriority w:val="99"/>
    <w:qFormat/>
    <w:pPr>
      <w:spacing w:after="0" w:line="240" w:lineRule="auto"/>
    </w:pPr>
    <w:tblPr/>
  </w:style>
  <w:style w:type="table" w:styleId="1038" w:customStyle="1">
    <w:name w:val="Bordered &amp; Lined - Accent 4"/>
    <w:uiPriority w:val="99"/>
    <w:qFormat/>
    <w:pPr>
      <w:spacing w:after="0" w:line="240" w:lineRule="auto"/>
    </w:pPr>
    <w:rPr>
      <w:color w:val="404040"/>
    </w:rPr>
    <w:tblPr/>
  </w:style>
  <w:style w:type="table" w:styleId="1039" w:customStyle="1">
    <w:name w:val="List Table 6 Colorful - Accent 5"/>
    <w:uiPriority w:val="99"/>
    <w:qFormat/>
    <w:pPr>
      <w:spacing w:after="0" w:line="240" w:lineRule="auto"/>
    </w:pPr>
    <w:tblPr/>
  </w:style>
  <w:style w:type="table" w:styleId="1040" w:customStyle="1">
    <w:name w:val="Plain Table 5"/>
    <w:uiPriority w:val="99"/>
    <w:qFormat/>
    <w:pPr>
      <w:spacing w:after="0" w:line="240" w:lineRule="auto"/>
    </w:pPr>
    <w:tblPr/>
  </w:style>
  <w:style w:type="table" w:styleId="1041" w:customStyle="1">
    <w:name w:val="List Table 4"/>
    <w:uiPriority w:val="99"/>
    <w:qFormat/>
    <w:pPr>
      <w:spacing w:after="0" w:line="240" w:lineRule="auto"/>
    </w:pPr>
    <w:tblPr/>
  </w:style>
  <w:style w:type="table" w:styleId="1042" w:customStyle="1">
    <w:name w:val="List Table 3 - Accent 4"/>
    <w:uiPriority w:val="99"/>
    <w:qFormat/>
    <w:pPr>
      <w:spacing w:after="0" w:line="240" w:lineRule="auto"/>
    </w:pPr>
    <w:tblPr/>
  </w:style>
  <w:style w:type="table" w:styleId="1043" w:customStyle="1">
    <w:name w:val="Grid Table 1 Light - Accent 3"/>
    <w:uiPriority w:val="99"/>
    <w:qFormat/>
    <w:pPr>
      <w:spacing w:after="0" w:line="240" w:lineRule="auto"/>
    </w:pPr>
    <w:tblPr/>
  </w:style>
  <w:style w:type="table" w:styleId="1044" w:customStyle="1">
    <w:name w:val="Grid Table 6 Colorful - Accent 4"/>
    <w:uiPriority w:val="99"/>
    <w:qFormat/>
    <w:pPr>
      <w:spacing w:after="0" w:line="240" w:lineRule="auto"/>
    </w:pPr>
    <w:tblPr/>
  </w:style>
  <w:style w:type="table" w:styleId="1045" w:customStyle="1">
    <w:name w:val="Lined - Accent 6"/>
    <w:uiPriority w:val="99"/>
    <w:qFormat/>
    <w:pPr>
      <w:spacing w:after="0" w:line="240" w:lineRule="auto"/>
    </w:pPr>
    <w:rPr>
      <w:color w:val="404040"/>
    </w:rPr>
    <w:tblPr/>
  </w:style>
  <w:style w:type="table" w:styleId="1046" w:customStyle="1">
    <w:name w:val="List Table 6 Colorful - Accent 6"/>
    <w:uiPriority w:val="99"/>
    <w:qFormat/>
    <w:pPr>
      <w:spacing w:after="0" w:line="240" w:lineRule="auto"/>
    </w:pPr>
    <w:tblPr/>
  </w:style>
  <w:style w:type="table" w:styleId="1047" w:customStyle="1">
    <w:name w:val="List Table 5 Dark - Accent 1"/>
    <w:uiPriority w:val="99"/>
    <w:qFormat/>
    <w:pPr>
      <w:spacing w:after="0" w:line="240" w:lineRule="auto"/>
    </w:pPr>
    <w:tblPr/>
  </w:style>
  <w:style w:type="table" w:styleId="1048" w:customStyle="1">
    <w:name w:val="Grid Table 1 Light - Accent 5"/>
    <w:uiPriority w:val="99"/>
    <w:qFormat/>
    <w:pPr>
      <w:spacing w:after="0" w:line="240" w:lineRule="auto"/>
    </w:pPr>
    <w:tblPr/>
  </w:style>
  <w:style w:type="table" w:styleId="1049" w:customStyle="1">
    <w:name w:val="List Table 5 Dark"/>
    <w:uiPriority w:val="99"/>
    <w:qFormat/>
    <w:pPr>
      <w:spacing w:after="0" w:line="240" w:lineRule="auto"/>
    </w:pPr>
    <w:tblPr/>
  </w:style>
  <w:style w:type="table" w:styleId="1050" w:customStyle="1">
    <w:name w:val="List Table 1 Light - Accent 4"/>
    <w:uiPriority w:val="99"/>
    <w:qFormat/>
    <w:pPr>
      <w:spacing w:after="0" w:line="240" w:lineRule="auto"/>
    </w:pPr>
    <w:tblPr/>
  </w:style>
  <w:style w:type="table" w:styleId="1051" w:customStyle="1">
    <w:name w:val="Bordered &amp; Lined - Accent 2"/>
    <w:uiPriority w:val="99"/>
    <w:qFormat/>
    <w:pPr>
      <w:spacing w:after="0" w:line="240" w:lineRule="auto"/>
    </w:pPr>
    <w:rPr>
      <w:color w:val="404040"/>
    </w:rPr>
    <w:tblPr/>
  </w:style>
  <w:style w:type="table" w:styleId="1052" w:customStyle="1">
    <w:name w:val="Grid Table 7 Colorful - Accent 3"/>
    <w:uiPriority w:val="99"/>
    <w:qFormat/>
    <w:pPr>
      <w:spacing w:after="0" w:line="240" w:lineRule="auto"/>
    </w:pPr>
    <w:tblPr/>
  </w:style>
  <w:style w:type="table" w:styleId="1053" w:customStyle="1">
    <w:name w:val="List Table 3 - Accent 5"/>
    <w:uiPriority w:val="99"/>
    <w:qFormat/>
    <w:pPr>
      <w:spacing w:after="0" w:line="240" w:lineRule="auto"/>
    </w:pPr>
    <w:tblPr/>
  </w:style>
  <w:style w:type="table" w:styleId="1054" w:customStyle="1">
    <w:name w:val="Grid Table 4 - Accent 4"/>
    <w:uiPriority w:val="59"/>
    <w:qFormat/>
    <w:pPr>
      <w:spacing w:after="0" w:line="240" w:lineRule="auto"/>
    </w:pPr>
    <w:tblPr/>
  </w:style>
  <w:style w:type="table" w:styleId="1055" w:customStyle="1">
    <w:name w:val="Grid Table 6 Colorful"/>
    <w:uiPriority w:val="99"/>
    <w:qFormat/>
    <w:pPr>
      <w:spacing w:after="0" w:line="240" w:lineRule="auto"/>
    </w:pPr>
    <w:tblPr/>
  </w:style>
  <w:style w:type="table" w:styleId="1056" w:customStyle="1">
    <w:name w:val="List Table 1 Light - Accent 5"/>
    <w:uiPriority w:val="99"/>
    <w:qFormat/>
    <w:pPr>
      <w:spacing w:after="0" w:line="240" w:lineRule="auto"/>
    </w:pPr>
    <w:tblPr/>
  </w:style>
  <w:style w:type="table" w:styleId="1057" w:customStyle="1">
    <w:name w:val="List Table 6 Colorful - Accent 4"/>
    <w:uiPriority w:val="99"/>
    <w:qFormat/>
    <w:pPr>
      <w:spacing w:after="0" w:line="240" w:lineRule="auto"/>
    </w:pPr>
    <w:tblPr/>
  </w:style>
  <w:style w:type="table" w:styleId="1058" w:customStyle="1">
    <w:name w:val="List Table 2 - Accent 1"/>
    <w:uiPriority w:val="99"/>
    <w:qFormat/>
    <w:pPr>
      <w:spacing w:after="0" w:line="240" w:lineRule="auto"/>
    </w:pPr>
    <w:tblPr/>
  </w:style>
  <w:style w:type="table" w:styleId="1059" w:customStyle="1">
    <w:name w:val="Grid Table 5 Dark - Accent 3"/>
    <w:uiPriority w:val="99"/>
    <w:qFormat/>
    <w:pPr>
      <w:spacing w:after="0" w:line="240" w:lineRule="auto"/>
    </w:pPr>
    <w:tblPr/>
  </w:style>
  <w:style w:type="table" w:styleId="1060" w:customStyle="1">
    <w:name w:val="List Table 2"/>
    <w:uiPriority w:val="99"/>
    <w:qFormat/>
    <w:pPr>
      <w:spacing w:after="0" w:line="240" w:lineRule="auto"/>
    </w:pPr>
    <w:tblPr/>
  </w:style>
  <w:style w:type="table" w:styleId="1061" w:customStyle="1">
    <w:name w:val="Grid Table 3 - Accent 1"/>
    <w:uiPriority w:val="99"/>
    <w:qFormat/>
    <w:pPr>
      <w:spacing w:after="0" w:line="240" w:lineRule="auto"/>
    </w:pPr>
    <w:tblPr/>
  </w:style>
  <w:style w:type="table" w:styleId="1062" w:customStyle="1">
    <w:name w:val="Grid Table 4 - Accent 1"/>
    <w:uiPriority w:val="59"/>
    <w:qFormat/>
    <w:pPr>
      <w:spacing w:after="0" w:line="240" w:lineRule="auto"/>
    </w:pPr>
    <w:tblPr/>
  </w:style>
  <w:style w:type="table" w:styleId="1063" w:customStyle="1">
    <w:name w:val="Grid Table 3 - Accent 3"/>
    <w:uiPriority w:val="99"/>
    <w:qFormat/>
    <w:pPr>
      <w:spacing w:after="0" w:line="240" w:lineRule="auto"/>
    </w:pPr>
    <w:tblPr/>
  </w:style>
  <w:style w:type="table" w:styleId="1064" w:customStyle="1">
    <w:name w:val="Plain Table 2"/>
    <w:uiPriority w:val="59"/>
    <w:qFormat/>
    <w:pPr>
      <w:spacing w:after="0" w:line="240" w:lineRule="auto"/>
    </w:pPr>
    <w:tblPr/>
  </w:style>
  <w:style w:type="table" w:styleId="1065" w:customStyle="1">
    <w:name w:val="List Table 7 Colorful - Accent 3"/>
    <w:uiPriority w:val="99"/>
    <w:qFormat/>
    <w:pPr>
      <w:spacing w:after="0" w:line="240" w:lineRule="auto"/>
    </w:pPr>
    <w:tblPr/>
  </w:style>
  <w:style w:type="table" w:styleId="1066" w:customStyle="1">
    <w:name w:val="Bordered &amp; Lined - Accent 1"/>
    <w:uiPriority w:val="99"/>
    <w:qFormat/>
    <w:pPr>
      <w:spacing w:after="0" w:line="240" w:lineRule="auto"/>
    </w:pPr>
    <w:rPr>
      <w:color w:val="404040"/>
    </w:rPr>
    <w:tblPr/>
  </w:style>
  <w:style w:type="table" w:styleId="1067" w:customStyle="1">
    <w:name w:val="Lined - Accent"/>
    <w:uiPriority w:val="99"/>
    <w:qFormat/>
    <w:pPr>
      <w:spacing w:after="0" w:line="240" w:lineRule="auto"/>
    </w:pPr>
    <w:rPr>
      <w:color w:val="404040"/>
    </w:rPr>
    <w:tblPr/>
  </w:style>
  <w:style w:type="table" w:styleId="1068" w:customStyle="1">
    <w:name w:val="Grid Table 5 Dark - Accent 2"/>
    <w:uiPriority w:val="99"/>
    <w:qFormat/>
    <w:pPr>
      <w:spacing w:after="0" w:line="240" w:lineRule="auto"/>
    </w:pPr>
    <w:tblPr/>
  </w:style>
  <w:style w:type="table" w:styleId="1069" w:customStyle="1">
    <w:name w:val="List Table 4 - Accent 4"/>
    <w:uiPriority w:val="99"/>
    <w:qFormat/>
    <w:pPr>
      <w:spacing w:after="0" w:line="240" w:lineRule="auto"/>
    </w:pPr>
    <w:tblPr/>
  </w:style>
  <w:style w:type="table" w:styleId="1070" w:customStyle="1">
    <w:name w:val="Bordered - Accent 5"/>
    <w:uiPriority w:val="99"/>
    <w:qFormat/>
    <w:pPr>
      <w:spacing w:after="0" w:line="240" w:lineRule="auto"/>
    </w:pPr>
    <w:tblPr/>
  </w:style>
  <w:style w:type="table" w:styleId="1071" w:customStyle="1">
    <w:name w:val="List Table 5 Dark - Accent 6"/>
    <w:uiPriority w:val="99"/>
    <w:qFormat/>
    <w:pPr>
      <w:spacing w:after="0" w:line="240" w:lineRule="auto"/>
    </w:pPr>
    <w:tblPr/>
  </w:style>
  <w:style w:type="table" w:styleId="1072" w:customStyle="1">
    <w:name w:val="Plain Table 4"/>
    <w:uiPriority w:val="99"/>
    <w:qFormat/>
    <w:pPr>
      <w:spacing w:after="0" w:line="240" w:lineRule="auto"/>
    </w:pPr>
    <w:tblPr/>
  </w:style>
  <w:style w:type="paragraph" w:styleId="1073" w:customStyle="1">
    <w:name w:val="Default"/>
    <w:uiPriority w:val="0"/>
    <w:qFormat/>
    <w:pPr>
      <w:widowControl w:val="off"/>
    </w:pPr>
    <w:rPr>
      <w:rFonts w:hint="default" w:ascii="仿宋" w:hAnsi="Times New Roman" w:eastAsia="仿宋" w:cs="仿宋"/>
      <w:color w:val="000000"/>
      <w:sz w:val="24"/>
      <w:szCs w:val="24"/>
    </w:rPr>
  </w:style>
  <w:style w:type="paragraph" w:styleId="1074" w:customStyle="1">
    <w:name w:val="无间隔1"/>
    <w:uiPriority w:val="0"/>
    <w:qFormat/>
    <w:rPr>
      <w:rFonts w:hint="default" w:ascii="Times New Roman" w:hAnsi="Times New Roman" w:eastAsia="宋体" w:cs="Times New Roman"/>
      <w:sz w:val="22"/>
      <w:szCs w:val="22"/>
      <w:lang w:val="en-US" w:eastAsia="en-US" w:bidi="en-US"/>
    </w:rPr>
  </w:style>
  <w:style w:type="paragraph" w:styleId="1075" w:customStyle="1">
    <w:name w:val="段"/>
    <w:next w:val="738"/>
    <w:uiPriority w:val="0"/>
    <w:qFormat/>
    <w:pPr>
      <w:ind w:firstLine="200"/>
      <w:jc w:val="both"/>
    </w:pPr>
    <w:rPr>
      <w:rFonts w:hint="default" w:ascii="宋体" w:hAnsi="Times New Roman" w:eastAsia="宋体" w:cs="Times New Roman"/>
      <w:sz w:val="21"/>
      <w:lang w:val="en-US" w:eastAsia="zh-CN" w:bidi="ar-SA"/>
    </w:rPr>
  </w:style>
  <w:style w:type="paragraph" w:styleId="1076" w:customStyle="1">
    <w:name w:val="Plain Text1"/>
    <w:basedOn w:val="738"/>
    <w:uiPriority w:val="0"/>
    <w:qFormat/>
    <w:pPr>
      <w:jc w:val="left"/>
      <w:widowControl/>
    </w:pPr>
    <w:rPr>
      <w:rFonts w:hAnsi="Courier New" w:eastAsia="楷体_GB2312"/>
      <w:position w:val="0"/>
      <w:sz w:val="26"/>
    </w:rPr>
  </w:style>
  <w:style w:type="paragraph" w:styleId="1077" w:customStyle="1">
    <w:name w:val="UserStyle_82"/>
    <w:basedOn w:val="738"/>
    <w:uiPriority w:val="0"/>
    <w:qFormat/>
    <w:pPr>
      <w:widowControl/>
    </w:pPr>
    <w:rPr>
      <w:rFonts w:ascii="仿宋_GB2312" w:eastAsia="仿宋_GB2312"/>
      <w:b/>
      <w:sz w:val="32"/>
      <w:szCs w:val="32"/>
    </w:rPr>
  </w:style>
  <w:style w:type="character" w:styleId="1078" w:customStyle="1">
    <w:name w:val="NormalCharacter"/>
    <w:uiPriority w:val="0"/>
    <w:qFormat/>
  </w:style>
  <w:style w:type="paragraph" w:styleId="1079"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6dfb3eda-466d-4fdb-82f1-768f26907f48</errorID>
      <errorWord>，</errorWord>
      <group>L1_Word</group>
      <groupName>字词问题</groupName>
      <ability>L2_Typo</ability>
      <abilityName>字词错误</abilityName>
      <candidateList>
        <item>，并</item>
      </candidateList>
      <explain/>
      <paraID>5CD54AFF</paraID>
      <start>74</start>
      <end>75</end>
      <status>ignored</status>
      <modifiedWord/>
      <trackRevisions>false</trackRevisions>
    </reviewItem>
    <reviewItem>
      <errorID>535320c5-10e5-4d7c-92b2-59dded2fc389</errorID>
      <errorWord>做</errorWord>
      <group>L1_Word</group>
      <groupName>字词问题</groupName>
      <ability>L2_Typo</ability>
      <abilityName>字词错误</abilityName>
      <candidateList>
        <item>做好</item>
      </candidateList>
      <explain/>
      <paraID>34A7E746</paraID>
      <start>46</start>
      <end>47</end>
      <status>ignored</status>
      <modifiedWord/>
      <trackRevisions>false</trackRevisions>
    </reviewItem>
    <reviewItem>
      <errorID>293f0869-f97f-404e-946c-f4fc8d7ee31c</errorID>
      <errorWord>标</errorWord>
      <group>L1_Word</group>
      <groupName>字词问题</groupName>
      <ability>L2_Typo</ability>
      <abilityName>字词错误</abilityName>
      <candidateList>
        <item>标准</item>
      </candidateList>
      <explain/>
      <paraID>494F3608</paraID>
      <start>4</start>
      <end>5</end>
      <status>ignored</status>
      <modifiedWord/>
      <trackRevisions>false</trackRevisions>
    </reviewItem>
    <reviewItem>
      <errorID>685ca9f7-6960-46ae-8082-fd896ad93685</errorID>
      <errorWord>标</errorWord>
      <group>L1_Word</group>
      <groupName>字词问题</groupName>
      <ability>L2_Typo</ability>
      <abilityName>字词错误</abilityName>
      <candidateList>
        <item>标准</item>
      </candidateList>
      <explain/>
      <paraID>598CC78B</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9D52C4A-9818-468C-8E88-8F02424201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陈增贵</cp:lastModifiedBy>
  <cp:revision>9</cp:revision>
  <dcterms:created xsi:type="dcterms:W3CDTF">2023-12-07T06:21:00Z</dcterms:created>
  <dcterms:modified xsi:type="dcterms:W3CDTF">2026-09-21T01:55:58Z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898144D31227490E8E931362F6114969_13</vt:lpwstr>
  </property>
  <property fmtid="{D5CDD505-2E9C-101B-9397-08002B2CF9AE}" pid="4" name="KSOTemplateDocerSaveRecord">
    <vt:lpwstr>eyJoZGlkIjoiNDRiYTZlYzNiYzEwY2IyMTQ3ODRkNTgyNTU4OWYxZGMiLCJ1c2VySWQiOiIyMjc1Nzg1MDEifQ==</vt:lpwstr>
  </property>
</Properties>
</file>