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ab/>
      </w:r>
      <w:r>
        <w:rPr>
          <w:highlight w:val="none"/>
        </w:rP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 </w:t>
      </w:r>
      <w:r>
        <w:rPr>
          <w:highlight w:val="none"/>
        </w:rP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72"/>
          <w:highlight w:val="none"/>
        </w:rPr>
        <w:t xml:space="preserve">泰州市政府采购</w:t>
      </w:r>
      <w:r>
        <w:rPr>
          <w:highlight w:val="none"/>
        </w:rPr>
      </w:r>
    </w:p>
    <w:p>
      <w:pPr>
        <w:ind w:left="0" w:right="0" w:firstLine="0"/>
        <w:jc w:val="center"/>
        <w:spacing w:before="0" w:after="0" w:line="85" w:lineRule="atLeast"/>
        <w:tabs>
          <w:tab w:val="left" w:pos="7198"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52"/>
          <w:highlight w:val="none"/>
        </w:rPr>
        <w:t xml:space="preserve">公开</w:t>
      </w:r>
      <w:r>
        <w:rPr>
          <w:rFonts w:ascii="宋体" w:hAnsi="宋体" w:eastAsia="宋体" w:cs="宋体"/>
          <w:color w:val="000000"/>
          <w:spacing w:val="20"/>
          <w:sz w:val="52"/>
          <w:highlight w:val="none"/>
        </w:rPr>
        <mc:AlternateContent>
          <mc:Choice Requires="wpg">
            <w:drawing>
              <wp:inline xmlns:wp="http://schemas.openxmlformats.org/drawingml/2006/wordprocessingDrawing" distT="0" distB="0" distL="0" distR="0">
                <wp:extent cx="9525" cy="9525"/>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w:r>
      <w:r>
        <w:rPr>
          <w:rFonts w:ascii="宋体" w:hAnsi="宋体" w:eastAsia="宋体" w:cs="宋体"/>
          <w:color w:val="000000"/>
          <w:spacing w:val="20"/>
          <w:sz w:val="52"/>
          <w:highlight w:val="none"/>
        </w:rPr>
        <w:t xml:space="preserve">招标文件</w:t>
      </w:r>
      <w:r>
        <w:rPr>
          <w:highlight w:val="none"/>
        </w:rP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（全流程电子化不见面开标）</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 </w:t>
      </w:r>
      <w:r>
        <w:rPr>
          <w:highlight w:val="none"/>
        </w:rPr>
      </w:r>
    </w:p>
    <w:p>
      <w:pPr>
        <w:ind w:left="0" w:right="0" w:firstLine="568"/>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 </w:t>
      </w:r>
      <w:r>
        <w:rPr>
          <w:highlight w:val="none"/>
        </w:rPr>
      </w:r>
    </w:p>
    <w:p>
      <w:pPr>
        <w:ind w:left="0" w:right="0" w:firstLine="568"/>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 </w:t>
      </w:r>
      <w:r>
        <w:rPr>
          <w:highlight w:val="none"/>
        </w:rPr>
      </w:r>
    </w:p>
    <w:p>
      <w:pPr>
        <w:ind w:left="0" w:right="0" w:firstLine="0"/>
        <w:jc w:val="center"/>
        <w:spacing w:before="0" w:after="0"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项目编号：</w:t>
      </w:r>
      <w:r>
        <w:rPr>
          <w:rFonts w:hint="eastAsia" w:ascii="宋体" w:hAnsi="宋体" w:eastAsia="宋体" w:cs="宋体"/>
          <w:b/>
          <w:color w:val="000000"/>
          <w:sz w:val="28"/>
          <w:highlight w:val="none"/>
          <w:lang w:eastAsia="zh-CN"/>
        </w:rPr>
        <w:t xml:space="preserve">JSZC-321283-JSHY-G2026-0189</w:t>
      </w:r>
      <w:r>
        <w:rPr>
          <w:highlight w:val="none"/>
        </w:rPr>
      </w:r>
    </w:p>
    <w:p>
      <w:pPr>
        <w:ind w:left="0" w:right="0" w:firstLine="0"/>
        <w:jc w:val="center"/>
        <w:spacing w:before="0" w:after="0"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项目名称：</w:t>
      </w:r>
      <w:r>
        <w:rPr>
          <w:rFonts w:hint="eastAsia" w:ascii="宋体" w:hAnsi="宋体" w:eastAsia="宋体" w:cs="宋体"/>
          <w:b/>
          <w:color w:val="000000"/>
          <w:sz w:val="28"/>
          <w:highlight w:val="none"/>
          <w:lang w:eastAsia="zh-CN"/>
        </w:rPr>
        <w:t xml:space="preserve">泰兴市人民医院全自动生化分析仪采购项目</w:t>
      </w:r>
      <w:r>
        <w:rPr>
          <w:highlight w:val="none"/>
        </w:rPr>
      </w:r>
    </w:p>
    <w:p>
      <w:pPr>
        <w:ind w:left="0" w:right="0" w:firstLine="419"/>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p>
    <w:p>
      <w:pPr>
        <w:ind w:left="0" w:right="0" w:firstLine="419"/>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p>
    <w:p>
      <w:pPr>
        <w:ind w:left="0" w:right="0" w:firstLine="419"/>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p>
    <w:p>
      <w:pPr>
        <w:ind w:left="0" w:right="0" w:firstLine="419"/>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采购人：泰兴市人民医院</w:t>
      </w:r>
      <w:r>
        <w:rPr>
          <w:highlight w:val="none"/>
        </w:rP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rPr>
          <w:highlight w:val="none"/>
        </w:rP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采购代理机构：江苏弘业国际技术工程有限公司</w:t>
      </w:r>
      <w:r>
        <w:rPr>
          <w:highlight w:val="none"/>
        </w:rP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2026年</w:t>
      </w:r>
      <w:r>
        <w:rPr>
          <w:rFonts w:hint="eastAsia" w:ascii="宋体" w:hAnsi="宋体" w:eastAsia="宋体" w:cs="宋体"/>
          <w:b/>
          <w:color w:val="000000"/>
          <w:sz w:val="28"/>
          <w:highlight w:val="none"/>
          <w:lang w:val="en-US" w:eastAsia="zh-CN"/>
        </w:rPr>
        <w:t xml:space="preserve">9</w:t>
      </w:r>
      <w:r>
        <w:rPr>
          <w:rFonts w:ascii="宋体" w:hAnsi="宋体" w:eastAsia="宋体" w:cs="宋体"/>
          <w:b/>
          <w:color w:val="000000"/>
          <w:sz w:val="28"/>
          <w:highlight w:val="none"/>
        </w:rPr>
        <w:t xml:space="preserve">月</w:t>
      </w:r>
      <w:r>
        <w:rPr>
          <w:highlight w:val="none"/>
        </w:rP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目录</w:t>
      </w:r>
      <w:r>
        <w:rPr>
          <w:highlight w:val="none"/>
        </w:rP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p>
    <w:p>
      <w:pPr>
        <w:ind w:left="0" w:right="0" w:firstLine="0"/>
        <w:spacing w:before="240" w:after="240" w:line="113" w:lineRule="atLeast"/>
        <w:tabs>
          <w:tab w:val="left" w:pos="9344"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第一章 招标公告</w:t>
      </w:r>
      <w:r>
        <w:rPr>
          <w:highlight w:val="none"/>
        </w:rPr>
      </w:r>
    </w:p>
    <w:p>
      <w:pPr>
        <w:ind w:left="0" w:right="0" w:firstLine="0"/>
        <w:spacing w:before="240" w:after="240" w:line="113" w:lineRule="atLeast"/>
        <w:tabs>
          <w:tab w:val="left" w:pos="9344"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第二章 投标人须知</w:t>
      </w:r>
      <w:r>
        <w:rPr>
          <w:highlight w:val="none"/>
        </w:rPr>
      </w:r>
    </w:p>
    <w:p>
      <w:pPr>
        <w:ind w:left="0" w:right="0" w:firstLine="0"/>
        <w:spacing w:before="240" w:after="240" w:line="113" w:lineRule="atLeast"/>
        <w:tabs>
          <w:tab w:val="left" w:pos="9344"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第三章 采购需求</w:t>
      </w:r>
      <w:r>
        <w:rPr>
          <w:highlight w:val="none"/>
        </w:rPr>
      </w:r>
    </w:p>
    <w:p>
      <w:pPr>
        <w:ind w:left="0" w:right="0" w:firstLine="0"/>
        <w:spacing w:before="240" w:after="240" w:line="113" w:lineRule="atLeast"/>
        <w:tabs>
          <w:tab w:val="left" w:pos="9344"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第四章 评标办法及标准</w:t>
      </w:r>
      <w:r>
        <w:rPr>
          <w:highlight w:val="none"/>
        </w:rPr>
      </w:r>
    </w:p>
    <w:p>
      <w:pPr>
        <w:ind w:left="0" w:right="0" w:firstLine="0"/>
        <w:spacing w:before="240" w:after="240" w:line="113" w:lineRule="atLeast"/>
        <w:tabs>
          <w:tab w:val="left" w:pos="9344"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第五章 合同条款</w:t>
      </w:r>
      <w:r>
        <w:rPr>
          <w:highlight w:val="none"/>
        </w:rPr>
      </w:r>
    </w:p>
    <w:p>
      <w:pPr>
        <w:ind w:left="0" w:right="0" w:firstLine="0"/>
        <w:spacing w:before="240" w:after="240" w:line="113" w:lineRule="atLeast"/>
        <w:tabs>
          <w:tab w:val="left" w:pos="9344"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第六章 投标文件格式</w:t>
      </w:r>
      <w:r>
        <w:rPr>
          <w:highlight w:val="none"/>
        </w:rP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5"/>
          <w:sz w:val="32"/>
          <w:highlight w:val="none"/>
          <w:u w:val="none"/>
        </w:rPr>
        <w:t xml:space="preserve">第一章</w:t>
      </w:r>
      <w:r>
        <w:rPr>
          <w:rFonts w:ascii="宋体" w:hAnsi="宋体" w:eastAsia="宋体" w:cs="宋体"/>
          <w:color w:val="000000"/>
          <w:sz w:val="32"/>
          <w:highlight w:val="none"/>
        </w:rPr>
        <w:t xml:space="preserve"> </w:t>
      </w:r>
      <w:r>
        <w:rPr>
          <w:rFonts w:ascii="宋体" w:hAnsi="宋体" w:eastAsia="宋体" w:cs="宋体"/>
          <w:b/>
          <w:color w:val="000000"/>
          <w:spacing w:val="15"/>
          <w:sz w:val="32"/>
          <w:highlight w:val="none"/>
        </w:rPr>
        <w:t xml:space="preserve">招标公告</w:t>
      </w:r>
      <w:r>
        <w:rPr>
          <w:highlight w:val="none"/>
        </w:rPr>
      </w:r>
    </w:p>
    <w:p>
      <w:pPr>
        <w:ind w:left="0" w:right="0" w:firstLine="0"/>
        <w:jc w:val="both"/>
        <w:spacing w:before="0" w:after="0" w:line="85" w:lineRule="atLeast"/>
        <w:rPr>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highlight w:val="none"/>
        </w:rPr>
        <w:t xml:space="preserve">项目概况</w:t>
      </w:r>
      <w:r>
        <w:rPr>
          <w:highlight w:val="none"/>
        </w:rPr>
      </w:r>
    </w:p>
    <w:p>
      <w:pPr>
        <w:ind w:left="0" w:right="0" w:firstLine="488"/>
        <w:jc w:val="both"/>
        <w:spacing w:before="0" w:after="0" w:line="85" w:lineRule="atLeast"/>
        <w:rPr>
          <w:color w:val="000000" w:themeColor="text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highlight w:val="none"/>
          <w:u w:val="single"/>
          <w:lang w:eastAsia="zh-CN"/>
        </w:rPr>
        <w:t xml:space="preserve">泰兴市人民医院全自动生化分析仪采购项目</w:t>
      </w:r>
      <w:r>
        <w:rPr>
          <w:rFonts w:ascii="宋体" w:hAnsi="宋体" w:eastAsia="宋体" w:cs="宋体"/>
          <w:color w:val="000000"/>
          <w:sz w:val="24"/>
          <w:highlight w:val="none"/>
        </w:rPr>
        <w:t xml:space="preserve">招标项目的潜在投标人可在“江苏政府采购网</w:t>
      </w:r>
      <w:r>
        <w:rPr>
          <w:rFonts w:ascii="宋体" w:hAnsi="宋体" w:eastAsia="宋体" w:cs="宋体"/>
          <w:color w:val="000000"/>
          <w:sz w:val="24"/>
          <w:highlight w:val="none"/>
          <w:u w:val="single"/>
        </w:rPr>
        <w:t xml:space="preserve">-苏采云”系统</w:t>
      </w:r>
      <w:r>
        <w:rPr>
          <w:rFonts w:ascii="宋体" w:hAnsi="宋体" w:eastAsia="宋体" w:cs="宋体"/>
          <w:color w:val="000000"/>
          <w:sz w:val="24"/>
          <w:highlight w:val="none"/>
        </w:rPr>
        <w:t xml:space="preserve">自行下载招标文件</w:t>
      </w:r>
      <w:r>
        <w:rPr>
          <w:highlight w:val="none"/>
        </w:rPr>
        <w:fldChar w:fldCharType="begin"/>
      </w:r>
      <w:r>
        <w:rPr>
          <w:highlight w:val="none"/>
        </w:rPr>
        <w:instrText xml:space="preserve"> HYPERLINK "http://jszfcg.jsczt.cn/%EF%BC%89%E8%8E%B7%E5%8F%96%E6%8B%9B%E6%A0%87%E6%96%87%E4%BB%B6%EF%BC%8C%E5%B9%B6%E4%BA%8E2023%E5%B9%B411%E6%9C%88" \o "http://jszfcg.jsczt.cn/）获取招标文件，并于2023年11月" </w:instrText>
      </w:r>
      <w:r>
        <w:rPr>
          <w:highlight w:val="none"/>
        </w:rPr>
        <w:fldChar w:fldCharType="separate"/>
      </w:r>
      <w:r>
        <w:rPr>
          <w:rStyle w:val="785"/>
          <w:rFonts w:ascii="宋体" w:hAnsi="宋体" w:eastAsia="宋体" w:cs="宋体"/>
          <w:color w:val="000000" w:themeColor="text1"/>
          <w:sz w:val="24"/>
          <w:highlight w:val="none"/>
          <w:u w:val="single"/>
          <w14:textFill>
            <w14:solidFill>
              <w14:schemeClr w14:val="tx1"/>
            </w14:solidFill>
          </w14:textFill>
        </w:rPr>
        <w:t xml:space="preserve">，并于2026年10</w:t>
      </w:r>
      <w:r>
        <w:rPr>
          <w:rStyle w:val="785"/>
          <w:rFonts w:ascii="宋体" w:hAnsi="宋体" w:eastAsia="宋体" w:cs="宋体"/>
          <w:color w:val="000000" w:themeColor="text1"/>
          <w:sz w:val="24"/>
          <w:highlight w:val="none"/>
          <w:u w:val="single"/>
          <w14:textFill>
            <w14:solidFill>
              <w14:schemeClr w14:val="tx1"/>
            </w14:solidFill>
          </w14:textFill>
        </w:rPr>
        <w:t xml:space="preserve">月</w:t>
      </w:r>
      <w:r>
        <w:rPr>
          <w:rStyle w:val="785"/>
          <w:rFonts w:ascii="宋体" w:hAnsi="宋体" w:eastAsia="宋体" w:cs="宋体"/>
          <w:color w:val="000000" w:themeColor="text1"/>
          <w:sz w:val="24"/>
          <w:highlight w:val="none"/>
          <w:u w:val="single"/>
          <w14:textFill>
            <w14:solidFill>
              <w14:schemeClr w14:val="tx1"/>
            </w14:solidFill>
          </w14:textFill>
        </w:rPr>
        <w:fldChar w:fldCharType="end"/>
        <w:t xml:space="preserve">9</w:t>
      </w:r>
      <w:r>
        <w:rPr>
          <w:rFonts w:ascii="宋体" w:hAnsi="宋体" w:eastAsia="宋体" w:cs="宋体"/>
          <w:color w:val="000000" w:themeColor="text1"/>
          <w:sz w:val="24"/>
          <w:highlight w:val="none"/>
          <w:u w:val="single"/>
          <w14:textFill>
            <w14:solidFill>
              <w14:schemeClr w14:val="tx1"/>
            </w14:solidFill>
          </w14:textFill>
        </w:rPr>
        <w:t xml:space="preserve">日</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14</w:t>
      </w:r>
      <w:r>
        <w:rPr>
          <w:rFonts w:ascii="宋体" w:hAnsi="宋体" w:eastAsia="宋体" w:cs="宋体"/>
          <w:color w:val="000000" w:themeColor="text1"/>
          <w:sz w:val="24"/>
          <w:highlight w:val="none"/>
          <w:u w:val="single"/>
          <w14:textFill>
            <w14:solidFill>
              <w14:schemeClr w14:val="tx1"/>
            </w14:solidFill>
          </w14:textFill>
        </w:rPr>
        <w:t xml:space="preserve">时</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4"/>
          <w:highlight w:val="none"/>
          <w:u w:val="single"/>
          <w14:textFill>
            <w14:solidFill>
              <w14:schemeClr w14:val="tx1"/>
            </w14:solidFill>
          </w14:textFill>
        </w:rPr>
        <w:t xml:space="preserve">00分</w:t>
      </w:r>
      <w:r>
        <w:rPr>
          <w:rFonts w:ascii="宋体" w:hAnsi="宋体" w:eastAsia="宋体" w:cs="宋体"/>
          <w:color w:val="000000" w:themeColor="text1"/>
          <w:sz w:val="24"/>
          <w:highlight w:val="none"/>
          <w14:textFill>
            <w14:solidFill>
              <w14:schemeClr w14:val="tx1"/>
            </w14:solidFill>
          </w14:textFill>
        </w:rPr>
        <w:t xml:space="preserve">（北京时间）前上传投标文件。</w:t>
      </w:r>
      <w:r>
        <w:rPr>
          <w:highlight w:val="none"/>
        </w:rPr>
      </w:r>
    </w:p>
    <w:p>
      <w:pPr>
        <w:ind w:left="0" w:right="0" w:firstLine="0"/>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一、项目基本情况</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JSZC-321283-JSHY-G2026-0189</w:t>
      </w:r>
      <w:r>
        <w:rPr>
          <w:rFonts w:ascii="宋体" w:hAnsi="宋体" w:eastAsia="宋体" w:cs="宋体"/>
          <w:color w:val="000000"/>
          <w:sz w:val="24"/>
          <w:highlight w:val="none"/>
        </w:rPr>
        <w:t xml:space="preserve">  </w:t>
      </w:r>
      <w:r>
        <w:rPr>
          <w:highlight w:val="none"/>
        </w:rPr>
      </w:r>
    </w:p>
    <w:p>
      <w:pPr>
        <w:ind w:left="0" w:right="0" w:firstLine="480"/>
        <w:jc w:val="both"/>
        <w:spacing w:before="0" w:after="0" w:line="499"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泰兴市人民医院全自动生化分析仪采购项目</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预算金额：</w:t>
      </w:r>
      <w:r>
        <w:rPr>
          <w:rFonts w:hint="eastAsia" w:ascii="宋体" w:hAnsi="宋体" w:eastAsia="宋体" w:cs="宋体"/>
          <w:color w:val="000000"/>
          <w:sz w:val="24"/>
          <w:highlight w:val="none"/>
          <w:lang w:val="en-US" w:eastAsia="zh-CN"/>
        </w:rPr>
        <w:t xml:space="preserve">240万元</w:t>
      </w:r>
      <w:r>
        <w:rPr>
          <w:highlight w:val="none"/>
        </w:rPr>
      </w:r>
    </w:p>
    <w:p>
      <w:pPr>
        <w:ind w:left="0" w:right="0" w:firstLine="480"/>
        <w:jc w:val="both"/>
        <w:spacing w:before="0" w:afterAutospacing="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最高限价：</w:t>
      </w:r>
      <w:r>
        <w:rPr>
          <w:rFonts w:hint="eastAsia" w:ascii="宋体" w:hAnsi="宋体" w:eastAsia="宋体" w:cs="宋体"/>
          <w:color w:val="000000"/>
          <w:sz w:val="24"/>
          <w:highlight w:val="none"/>
          <w:lang w:val="en-US" w:eastAsia="zh-CN"/>
        </w:rPr>
        <w:t xml:space="preserve">240</w:t>
      </w:r>
      <w:r>
        <w:rPr>
          <w:rFonts w:ascii="宋体" w:hAnsi="宋体" w:eastAsia="宋体" w:cs="宋体"/>
          <w:color w:val="000000"/>
          <w:sz w:val="24"/>
          <w:highlight w:val="none"/>
        </w:rPr>
        <w:t xml:space="preserve">元</w:t>
      </w:r>
      <w:r>
        <w:rPr>
          <w:highlight w:val="none"/>
        </w:rPr>
      </w:r>
    </w:p>
    <w:p>
      <w:pPr>
        <w:ind w:left="0" w:right="0" w:firstLine="480"/>
        <w:spacing w:beforeAutospacing="0" w:afterAutospacing="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采购需求：</w:t>
      </w:r>
      <w:r>
        <w:rPr>
          <w:highlight w:val="none"/>
        </w:rPr>
      </w:r>
    </w:p>
    <w:tbl>
      <w:tblPr>
        <w:tblStyle w:val="749"/>
        <w:tblW w:w="84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2" w:type="dxa"/>
          <w:top w:w="80" w:type="dxa"/>
          <w:right w:w="102" w:type="dxa"/>
          <w:bottom w:w="80" w:type="dxa"/>
        </w:tblCellMar>
        <w:tblLook w:val="04A0" w:firstRow="1" w:lastRow="0" w:firstColumn="1" w:lastColumn="0" w:noHBand="0" w:noVBand="1"/>
      </w:tblPr>
      <w:tblGrid>
        <w:gridCol w:w="798"/>
        <w:gridCol w:w="2280"/>
        <w:gridCol w:w="798"/>
        <w:gridCol w:w="1403"/>
        <w:gridCol w:w="1575"/>
        <w:gridCol w:w="1575"/>
      </w:tblGrid>
      <w:tr>
        <w:trPr>
          <w:jc w:val="center"/>
          <w:trHeight w:val="0"/>
          <w:tblHeader/>
        </w:trPr>
        <w:tc>
          <w:tcPr>
            <w:tcW w:w="798" w:type="dxa"/>
            <w:vAlign w:val="center"/>
            <w:textDirection w:val="lrTb"/>
            <w:noWrap w:val="false"/>
          </w:tcPr>
          <w:p>
            <w:pPr>
              <w:jc w:val="center"/>
              <w:spacing w:beforeAutospacing="0" w:line="360" w:lineRule="auto"/>
              <w:rPr>
                <w:rFonts w:hint="eastAsia" w:ascii="宋体" w:hAnsi="宋体" w:eastAsia="宋体" w:cs="宋体"/>
                <w:b/>
                <w:color w:val="auto"/>
                <w:position w:val="0"/>
                <w:szCs w:val="21"/>
                <w:highlight w:val="none"/>
              </w:rPr>
            </w:pPr>
            <w:r>
              <w:rPr>
                <w:rFonts w:hint="eastAsia" w:ascii="宋体" w:hAnsi="宋体" w:eastAsia="宋体" w:cs="宋体"/>
                <w:b/>
                <w:color w:val="auto"/>
                <w:position w:val="0"/>
                <w:szCs w:val="21"/>
                <w:highlight w:val="none"/>
                <w:lang w:eastAsia="zh-CN"/>
              </w:rPr>
              <w:t xml:space="preserve">包号</w:t>
            </w:r>
            <w:r>
              <w:rPr>
                <w:highlight w:val="none"/>
              </w:rPr>
            </w:r>
          </w:p>
        </w:tc>
        <w:tc>
          <w:tcPr>
            <w:tcW w:w="2280" w:type="dxa"/>
            <w:vAlign w:val="center"/>
            <w:textDirection w:val="lrTb"/>
            <w:noWrap w:val="false"/>
          </w:tcPr>
          <w:p>
            <w:pPr>
              <w:jc w:val="center"/>
              <w:spacing w:line="360" w:lineRule="auto"/>
              <w:rPr>
                <w:rFonts w:hint="eastAsia" w:ascii="宋体" w:hAnsi="宋体" w:eastAsia="宋体" w:cs="宋体"/>
                <w:b/>
                <w:color w:val="auto"/>
                <w:position w:val="0"/>
                <w:szCs w:val="21"/>
                <w:highlight w:val="none"/>
              </w:rPr>
            </w:pPr>
            <w:r>
              <w:rPr>
                <w:rFonts w:hint="eastAsia" w:ascii="宋体" w:hAnsi="宋体" w:eastAsia="宋体" w:cs="宋体"/>
                <w:b/>
                <w:color w:val="auto"/>
                <w:position w:val="0"/>
                <w:szCs w:val="21"/>
                <w:highlight w:val="none"/>
                <w:lang w:eastAsia="zh-CN"/>
              </w:rPr>
              <w:t xml:space="preserve">项目名称</w:t>
            </w:r>
            <w:r>
              <w:rPr>
                <w:highlight w:val="none"/>
              </w:rPr>
            </w:r>
          </w:p>
        </w:tc>
        <w:tc>
          <w:tcPr>
            <w:tcW w:w="798" w:type="dxa"/>
            <w:vAlign w:val="center"/>
            <w:textDirection w:val="lrTb"/>
            <w:noWrap w:val="false"/>
          </w:tcPr>
          <w:p>
            <w:pPr>
              <w:jc w:val="center"/>
              <w:spacing w:line="360" w:lineRule="auto"/>
              <w:rPr>
                <w:rFonts w:hint="eastAsia" w:ascii="宋体" w:hAnsi="宋体" w:eastAsia="宋体" w:cs="宋体"/>
                <w:b/>
                <w:color w:val="auto"/>
                <w:position w:val="0"/>
                <w:szCs w:val="21"/>
                <w:highlight w:val="none"/>
              </w:rPr>
            </w:pPr>
            <w:r>
              <w:rPr>
                <w:rFonts w:hint="eastAsia" w:ascii="宋体" w:hAnsi="宋体" w:eastAsia="宋体" w:cs="宋体"/>
                <w:b/>
                <w:color w:val="auto"/>
                <w:position w:val="0"/>
                <w:szCs w:val="21"/>
                <w:highlight w:val="none"/>
                <w:lang w:eastAsia="zh-CN"/>
              </w:rPr>
              <w:t xml:space="preserve">数量</w:t>
            </w:r>
            <w:r>
              <w:rPr>
                <w:highlight w:val="none"/>
              </w:rPr>
            </w:r>
          </w:p>
        </w:tc>
        <w:tc>
          <w:tcPr>
            <w:tcW w:w="1403" w:type="dxa"/>
            <w:vAlign w:val="center"/>
            <w:textDirection w:val="lrTb"/>
            <w:noWrap w:val="false"/>
          </w:tcPr>
          <w:p>
            <w:pPr>
              <w:jc w:val="center"/>
              <w:spacing w:line="360" w:lineRule="auto"/>
              <w:rPr>
                <w:rFonts w:hint="eastAsia" w:ascii="宋体" w:hAnsi="宋体" w:eastAsia="宋体" w:cs="宋体"/>
                <w:b/>
                <w:color w:val="auto"/>
                <w:position w:val="0"/>
                <w:szCs w:val="21"/>
                <w:highlight w:val="none"/>
              </w:rPr>
            </w:pPr>
            <w:r>
              <w:rPr>
                <w:rFonts w:hint="eastAsia" w:ascii="宋体" w:hAnsi="宋体" w:eastAsia="宋体" w:cs="宋体"/>
                <w:b/>
                <w:color w:val="auto"/>
                <w:position w:val="0"/>
                <w:szCs w:val="21"/>
                <w:highlight w:val="none"/>
                <w:lang w:eastAsia="zh-CN"/>
              </w:rPr>
              <w:t xml:space="preserve">预算金额（万元）</w:t>
            </w:r>
            <w:r>
              <w:rPr>
                <w:highlight w:val="none"/>
              </w:rPr>
            </w:r>
          </w:p>
        </w:tc>
        <w:tc>
          <w:tcPr>
            <w:tcW w:w="1575" w:type="dxa"/>
            <w:vAlign w:val="center"/>
            <w:textDirection w:val="lrTb"/>
            <w:noWrap w:val="false"/>
          </w:tcPr>
          <w:p>
            <w:pPr>
              <w:jc w:val="center"/>
              <w:spacing w:line="360" w:lineRule="auto"/>
              <w:rPr>
                <w:rFonts w:hint="eastAsia" w:ascii="宋体" w:hAnsi="宋体" w:eastAsia="宋体" w:cs="宋体"/>
                <w:b/>
                <w:color w:val="auto"/>
                <w:position w:val="0"/>
                <w:szCs w:val="21"/>
                <w:highlight w:val="none"/>
              </w:rPr>
            </w:pPr>
            <w:r>
              <w:rPr>
                <w:rFonts w:hint="eastAsia" w:ascii="宋体" w:hAnsi="宋体" w:eastAsia="宋体" w:cs="宋体"/>
                <w:b/>
                <w:color w:val="auto"/>
                <w:highlight w:val="none"/>
                <w:lang w:val="en-US" w:eastAsia="zh-CN"/>
              </w:rPr>
              <w:t xml:space="preserve">最高限价（万元）</w:t>
            </w:r>
            <w:r>
              <w:rPr>
                <w:highlight w:val="none"/>
              </w:rPr>
            </w:r>
          </w:p>
        </w:tc>
        <w:tc>
          <w:tcPr>
            <w:tcW w:w="1575" w:type="dxa"/>
            <w:vAlign w:val="center"/>
            <w:textDirection w:val="lrTb"/>
            <w:noWrap w:val="false"/>
          </w:tcPr>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是否接受进口产品投标</w:t>
            </w:r>
            <w:r>
              <w:rPr>
                <w:highlight w:val="none"/>
              </w:rPr>
            </w:r>
          </w:p>
        </w:tc>
      </w:tr>
      <w:tr>
        <w:trPr>
          <w:jc w:val="center"/>
          <w:trHeight w:val="0"/>
        </w:trPr>
        <w:tc>
          <w:tcPr>
            <w:tcW w:w="798" w:type="dxa"/>
            <w:vAlign w:val="center"/>
            <w:textDirection w:val="lrTb"/>
            <w:noWrap w:val="false"/>
          </w:tcPr>
          <w:p>
            <w:pPr>
              <w:jc w:val="center"/>
              <w:spacing w:line="360" w:lineRule="auto"/>
              <w:rPr>
                <w:rFonts w:hint="eastAsia" w:ascii="宋体" w:hAnsi="宋体" w:eastAsia="宋体" w:cs="宋体"/>
                <w:b w:val="0"/>
                <w:color w:val="auto"/>
                <w:position w:val="0"/>
                <w:szCs w:val="21"/>
                <w:highlight w:val="none"/>
              </w:rPr>
            </w:pPr>
            <w:r>
              <w:rPr>
                <w:rFonts w:hint="eastAsia" w:ascii="宋体" w:hAnsi="宋体" w:eastAsia="宋体" w:cs="宋体"/>
                <w:b w:val="0"/>
                <w:color w:val="auto"/>
                <w:position w:val="0"/>
                <w:szCs w:val="21"/>
                <w:highlight w:val="none"/>
              </w:rPr>
              <w:t xml:space="preserve">1</w:t>
            </w:r>
            <w:r>
              <w:rPr>
                <w:highlight w:val="none"/>
              </w:rPr>
            </w:r>
          </w:p>
        </w:tc>
        <w:tc>
          <w:tcPr>
            <w:tcW w:w="2280" w:type="dxa"/>
            <w:vAlign w:val="center"/>
            <w:textDirection w:val="lrTb"/>
            <w:noWrap w:val="false"/>
          </w:tcPr>
          <w:p>
            <w:pPr>
              <w:jc w:val="center"/>
              <w:rPr>
                <w:rFonts w:hint="eastAsia" w:ascii="宋体" w:hAnsi="宋体" w:eastAsia="宋体" w:cs="宋体"/>
                <w:b w:val="0"/>
                <w:color w:val="auto"/>
                <w:position w:val="0"/>
                <w:szCs w:val="21"/>
                <w:highlight w:val="none"/>
              </w:rPr>
            </w:pPr>
            <w:r>
              <w:rPr>
                <w:rFonts w:hint="eastAsia" w:ascii="宋体" w:hAnsi="宋体" w:eastAsia="宋体" w:cs="宋体"/>
                <w:color w:val="auto"/>
                <w:highlight w:val="none"/>
                <w:lang w:eastAsia="zh-CN"/>
              </w:rPr>
              <w:t xml:space="preserve">全自动生化分析仪</w:t>
            </w:r>
            <w:r>
              <w:rPr>
                <w:highlight w:val="none"/>
              </w:rPr>
            </w:r>
          </w:p>
        </w:tc>
        <w:tc>
          <w:tcPr>
            <w:tcW w:w="798" w:type="dxa"/>
            <w:vAlign w:val="center"/>
            <w:textDirection w:val="lrTb"/>
            <w:noWrap w:val="false"/>
          </w:tcPr>
          <w:p>
            <w:pPr>
              <w:jc w:val="center"/>
              <w:rPr>
                <w:rFonts w:hint="eastAsia" w:ascii="宋体" w:hAnsi="宋体" w:eastAsia="宋体" w:cs="宋体"/>
                <w:b w:val="0"/>
                <w:color w:val="auto"/>
                <w:position w:val="0"/>
                <w:szCs w:val="21"/>
                <w:highlight w:val="none"/>
              </w:rPr>
            </w:pPr>
            <w:r>
              <w:rPr>
                <w:rFonts w:hint="eastAsia" w:ascii="宋体" w:hAnsi="宋体" w:eastAsia="宋体" w:cs="宋体"/>
                <w:b w:val="0"/>
                <w:color w:val="auto"/>
                <w:position w:val="0"/>
                <w:szCs w:val="21"/>
                <w:highlight w:val="none"/>
                <w:lang w:val="en-US" w:eastAsia="zh-CN"/>
              </w:rPr>
              <w:t xml:space="preserve">1套</w:t>
            </w:r>
            <w:r>
              <w:rPr>
                <w:highlight w:val="none"/>
              </w:rPr>
            </w:r>
          </w:p>
        </w:tc>
        <w:tc>
          <w:tcPr>
            <w:tcW w:w="1403" w:type="dxa"/>
            <w:vAlign w:val="center"/>
            <w:textDirection w:val="lrTb"/>
            <w:noWrap w:val="false"/>
          </w:tcPr>
          <w:p>
            <w:pPr>
              <w:jc w:val="center"/>
              <w:rPr>
                <w:rFonts w:hint="eastAsia" w:ascii="宋体" w:hAnsi="宋体" w:eastAsia="宋体" w:cs="宋体"/>
                <w:b w:val="0"/>
                <w:color w:val="auto"/>
                <w:position w:val="0"/>
                <w:szCs w:val="21"/>
                <w:highlight w:val="none"/>
              </w:rPr>
            </w:pPr>
            <w:r>
              <w:rPr>
                <w:rFonts w:hint="eastAsia" w:ascii="宋体" w:hAnsi="宋体" w:eastAsia="宋体" w:cs="宋体"/>
                <w:b w:val="0"/>
                <w:color w:val="auto"/>
                <w:position w:val="0"/>
                <w:szCs w:val="21"/>
                <w:highlight w:val="none"/>
                <w:lang w:val="en-US" w:eastAsia="zh-CN"/>
              </w:rPr>
              <w:t xml:space="preserve">240</w:t>
            </w:r>
            <w:r>
              <w:rPr>
                <w:highlight w:val="none"/>
              </w:rPr>
            </w:r>
          </w:p>
        </w:tc>
        <w:tc>
          <w:tcPr>
            <w:tcW w:w="1575" w:type="dxa"/>
            <w:vAlign w:val="center"/>
            <w:textDirection w:val="lrTb"/>
            <w:noWrap w:val="false"/>
          </w:tcPr>
          <w:p>
            <w:pPr>
              <w:jc w:val="center"/>
              <w:rPr>
                <w:rFonts w:hint="eastAsia" w:ascii="宋体" w:hAnsi="宋体" w:eastAsia="宋体" w:cs="宋体"/>
                <w:b w:val="0"/>
                <w:color w:val="auto"/>
                <w:position w:val="0"/>
                <w:szCs w:val="21"/>
                <w:highlight w:val="none"/>
              </w:rPr>
            </w:pPr>
            <w:r>
              <w:rPr>
                <w:rFonts w:hint="eastAsia" w:ascii="宋体" w:hAnsi="宋体" w:eastAsia="宋体" w:cs="宋体"/>
                <w:b w:val="0"/>
                <w:color w:val="auto"/>
                <w:position w:val="0"/>
                <w:szCs w:val="21"/>
                <w:highlight w:val="none"/>
                <w:lang w:val="en-US" w:eastAsia="zh-CN"/>
              </w:rPr>
              <w:t xml:space="preserve">240</w:t>
            </w:r>
            <w:r>
              <w:rPr>
                <w:highlight w:val="none"/>
              </w:rPr>
            </w:r>
          </w:p>
        </w:tc>
        <w:tc>
          <w:tcPr>
            <w:tcW w:w="1575" w:type="dxa"/>
            <w:vAlign w:val="center"/>
            <w:textDirection w:val="lrTb"/>
            <w:noWrap w:val="false"/>
          </w:tcPr>
          <w:p>
            <w:pPr>
              <w:jc w:val="center"/>
              <w:rPr>
                <w:rFonts w:hint="eastAsia" w:ascii="宋体" w:hAnsi="宋体" w:eastAsia="宋体" w:cs="宋体"/>
                <w:b w:val="0"/>
                <w:color w:val="auto"/>
                <w:position w:val="0"/>
                <w:szCs w:val="21"/>
                <w:highlight w:val="none"/>
              </w:rPr>
            </w:pPr>
            <w:r>
              <w:rPr>
                <w:rFonts w:hint="eastAsia" w:ascii="宋体" w:hAnsi="宋体" w:eastAsia="宋体" w:cs="宋体"/>
                <w:b w:val="0"/>
                <w:color w:val="auto"/>
                <w:position w:val="0"/>
                <w:szCs w:val="21"/>
                <w:highlight w:val="none"/>
                <w:lang w:val="en-US" w:eastAsia="zh-CN"/>
              </w:rPr>
              <w:t xml:space="preserve">否</w:t>
            </w:r>
            <w:r>
              <w:rPr>
                <w:highlight w:val="none"/>
              </w:rPr>
            </w:r>
          </w:p>
        </w:tc>
      </w:tr>
    </w:tbl>
    <w:p>
      <w:pPr>
        <w:ind w:left="0" w:right="0" w:firstLine="480"/>
        <w:spacing w:before="240" w:afterAutospacing="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详见招标文件</w:t>
      </w:r>
      <w:r>
        <w:rPr>
          <w:highlight w:val="none"/>
        </w:rPr>
      </w:r>
    </w:p>
    <w:p>
      <w:pPr>
        <w:ind w:left="0" w:right="0" w:firstLine="480"/>
        <w:spacing w:beforeAutospacing="0" w:afterAutospacing="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合同履行期限：合同签订后30天内</w:t>
      </w:r>
      <w:r>
        <w:rPr>
          <w:highlight w:val="none"/>
        </w:rPr>
      </w:r>
    </w:p>
    <w:p>
      <w:pPr>
        <w:ind w:left="0" w:right="0" w:firstLine="480"/>
        <w:spacing w:beforeAutospacing="0" w:afterAutospacing="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本项目不接受进口产品投标。</w:t>
      </w:r>
      <w:r>
        <w:rPr>
          <w:highlight w:val="none"/>
        </w:rPr>
      </w:r>
    </w:p>
    <w:p>
      <w:pPr>
        <w:ind w:left="0" w:right="0" w:firstLine="480"/>
        <w:spacing w:beforeAutospacing="0" w:afterAutospacing="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本项目不接受联合体投标。</w:t>
      </w:r>
      <w:r>
        <w:rPr>
          <w:highlight w:val="none"/>
        </w:rPr>
      </w:r>
    </w:p>
    <w:p>
      <w:pPr>
        <w:ind w:left="0" w:right="0" w:firstLine="0"/>
        <w:spacing w:beforeAutospacing="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二、申请人的资格要求：</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1.满足《中华人民共和国政府采购法》第二十二条规定；</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1）具有独立承担民事责任的能力（提供法人或者其他组织的营业执照等证明文件；供应商为自然人的，提供其身份证）；</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2）具有良好的商业信誉和健全的财务会计制度（提供2025年度财务报告，至少包含资产负债表、利润表，或投标截止时间前六个月内银行出具的资信证明，成立不满一年的无须提供）；</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3）具有履行合同所必需的设备和专业技术能力（供应商根据履行采购项目合同需要，提供履行合同所必需的设备和专业技术能力的声明函或证明材料）；</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有依法缴纳税收和社会保障资金的良好记录（提供投标截止时间前六个月内）中任一月份的依法缴纳税收和社会保险费的相关材料（提供相关主管部门证明或银行代扣证明的复印件，根据国家相关政策免缴或迟缴的需提供相关证明材料）；</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5）参加政府采购活动前三年内，在经营活动中没有重大违法记录（提供承诺书）；</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6）法律、行政法规规定的其他条件。</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2.落实政府采购政策满足的资格要求：</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3.本项目的特定资格要求：</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（一）拒绝被“信用中国”（www.creditchina.gov.cn）、“中国政府采购网”(www.ccgp.gov.cn）列入失信被执行人、重大税收违法案件当事人、政府采购严重失信行为的供应商参加投标。</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（二）其它：</w:t>
      </w:r>
      <w:r>
        <w:rPr>
          <w:highlight w:val="none"/>
        </w:rPr>
      </w:r>
    </w:p>
    <w:p>
      <w:pPr>
        <w:ind w:left="0" w:right="0" w:firstLine="480"/>
        <w:spacing w:before="240" w:after="240" w:line="49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如投标产品为医疗器械：</w:t>
      </w:r>
      <w:r>
        <w:rPr>
          <w:highlight w:val="none"/>
        </w:rPr>
      </w:r>
    </w:p>
    <w:p>
      <w:pPr>
        <w:ind w:left="0" w:right="0" w:firstLine="480"/>
        <w:spacing w:before="240" w:after="240" w:line="49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.1.投标人须根据投标产品类别，提供有效的医疗器械产品注册证或产品备案凭证，投标时提供复印件加盖公章。</w:t>
      </w:r>
      <w:r>
        <w:rPr>
          <w:highlight w:val="none"/>
        </w:rPr>
      </w:r>
    </w:p>
    <w:p>
      <w:pPr>
        <w:ind w:left="0" w:right="0" w:firstLine="480"/>
        <w:spacing w:before="240" w:after="240" w:line="49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.2若投标人为代理商，须根据投标产品类别，提供有效的《医疗器械经营许可证》或医疗器械经营备案凭证，投标时提供复印件加盖公章。</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.3.医疗器械生产企业投标本企业产品的，须提供《医疗器械生产许可证》，投标时提供复印件加盖公章。</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highlight w:val="none"/>
        </w:rPr>
      </w:r>
    </w:p>
    <w:p>
      <w:pPr>
        <w:ind w:left="0" w:right="0" w:firstLine="0"/>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三、获取招标文件</w:t>
      </w:r>
      <w:r>
        <w:rPr>
          <w:rFonts w:ascii="宋体" w:hAnsi="宋体" w:eastAsia="宋体" w:cs="宋体"/>
          <w:b/>
          <w:color w:val="000000"/>
          <w:sz w:val="24"/>
          <w:highlight w:val="none"/>
        </w:rPr>
        <w:t xml:space="preserve">：</w:t>
      </w:r>
      <w:r>
        <w:rPr>
          <w:highlight w:val="none"/>
        </w:rPr>
      </w:r>
    </w:p>
    <w:p>
      <w:pPr>
        <w:ind w:left="0" w:right="0" w:firstLine="480"/>
        <w:jc w:val="both"/>
        <w:spacing w:before="0" w:after="0" w:line="499" w:lineRule="atLeast"/>
        <w:rPr>
          <w:rFonts w:hint="default"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时间：自招标文件公告发布之日起</w:t>
      </w:r>
      <w:r>
        <w:rPr>
          <w:rFonts w:hint="eastAsia" w:ascii="宋体" w:hAnsi="宋体" w:eastAsia="宋体" w:cs="宋体"/>
          <w:color w:val="000000"/>
          <w:sz w:val="24"/>
          <w:highlight w:val="none"/>
          <w:lang w:val="en-US" w:eastAsia="zh-CN"/>
        </w:rPr>
        <w:t xml:space="preserve">五个工作日</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地点：投标人完成注册并办理CA证书后登录“江苏政府采购‘苏采云’系统”下载本项目招标文件。</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方式：登录江苏政府采购“苏采云”系统免费下载。</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售价：免费。</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注意事项：</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本项目采用网上注册登记方式。</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1.潜在投标人访问电子招标投标交易平台的网络地址和方法：</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（1）登录 https:</w:t>
      </w:r>
      <w:r>
        <w:rPr>
          <w:rFonts w:hint="default" w:ascii="宋体" w:hAnsi="宋体" w:eastAsia="宋体" w:cs="宋体"/>
          <w:color w:val="000000"/>
          <w:sz w:val="24"/>
          <w:highlight w:val="none"/>
        </w:rPr>
        <w:t xml:space="preserve">//jszfcg.jsczt.cn/jszc/login</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点击“苏采云”进入系统。</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CA数字证书”的获取：投标人需办理CA锁（原国信CA须更换新CA）。投标客户端工具及投标人操作手册可访问江苏省政府采购网，“资料下载”进行下载《江苏省政府采购管理交易系统（苏采云）供应商操作手册及政府采购客户端》。</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2.采购代理机构将数据电文形式的招标文件加载至电子招标投标交易平台，供潜在投标人下载或者查阅。</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3.如潜在投标人未按上述要求操作，将自行承担所产生的风险。</w:t>
      </w:r>
      <w:r>
        <w:rPr>
          <w:highlight w:val="none"/>
        </w:rPr>
      </w:r>
    </w:p>
    <w:p>
      <w:pPr>
        <w:ind w:left="0" w:right="0" w:firstLine="0"/>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四、提交投标文件</w:t>
      </w:r>
      <w:r>
        <w:rPr>
          <w:rFonts w:ascii="宋体" w:hAnsi="宋体" w:eastAsia="宋体" w:cs="宋体"/>
          <w:b/>
          <w:color w:val="000000"/>
          <w:sz w:val="24"/>
          <w:highlight w:val="none"/>
        </w:rPr>
        <w:t xml:space="preserve">截止时间、开标时间和地点</w:t>
      </w:r>
      <w:r>
        <w:rPr>
          <w:highlight w:val="none"/>
        </w:rPr>
      </w:r>
    </w:p>
    <w:p>
      <w:pPr>
        <w:ind w:left="0" w:right="0" w:firstLine="488"/>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w:t>
      </w:r>
      <w:r>
        <w:rPr>
          <w:rFonts w:ascii="宋体" w:hAnsi="宋体" w:eastAsia="宋体" w:cs="宋体"/>
          <w:color w:val="000000"/>
          <w:sz w:val="24"/>
          <w:highlight w:val="none"/>
        </w:rPr>
        <w:t xml:space="preserve">2026年</w:t>
      </w:r>
      <w:r>
        <w:rPr>
          <w:rFonts w:hint="eastAsia" w:ascii="宋体" w:hAnsi="宋体" w:eastAsia="宋体" w:cs="宋体"/>
          <w:color w:val="000000"/>
          <w:sz w:val="24"/>
          <w:highlight w:val="none"/>
          <w:lang w:val="en-US" w:eastAsia="zh-CN"/>
        </w:rPr>
        <w:t xml:space="preserve">10</w:t>
      </w:r>
      <w:r>
        <w:rPr>
          <w:rFonts w:ascii="宋体" w:hAnsi="宋体" w:eastAsia="宋体" w:cs="宋体"/>
          <w:color w:val="000000"/>
          <w:sz w:val="24"/>
          <w:highlight w:val="none"/>
        </w:rPr>
        <w:t xml:space="preserve">月9</w:t>
      </w:r>
      <w:r>
        <w:rPr>
          <w:rFonts w:ascii="宋体" w:hAnsi="宋体" w:eastAsia="宋体" w:cs="宋体"/>
          <w:color w:val="000000"/>
          <w:sz w:val="24"/>
          <w:highlight w:val="none"/>
        </w:rPr>
        <w:t xml:space="preserve">日14时00分</w:t>
      </w:r>
      <w:r>
        <w:rPr>
          <w:rFonts w:ascii="宋体" w:hAnsi="宋体" w:eastAsia="宋体" w:cs="宋体"/>
          <w:color w:val="000000"/>
          <w:sz w:val="24"/>
          <w:highlight w:val="none"/>
        </w:rPr>
        <w:t xml:space="preserve">（北京时间）</w:t>
      </w:r>
      <w:r>
        <w:rPr>
          <w:highlight w:val="none"/>
        </w:rPr>
      </w:r>
    </w:p>
    <w:p>
      <w:pPr>
        <w:ind w:left="0" w:right="0" w:firstLine="54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地点：江苏政府采购“苏采云”系统不见面开标大厅</w:t>
      </w:r>
      <w:r>
        <w:rPr>
          <w:highlight w:val="none"/>
        </w:rPr>
      </w:r>
    </w:p>
    <w:p>
      <w:pPr>
        <w:ind w:left="0" w:right="0" w:firstLine="0"/>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五、公告期限</w:t>
      </w:r>
      <w:r>
        <w:rPr>
          <w:highlight w:val="none"/>
        </w:rPr>
      </w:r>
    </w:p>
    <w:p>
      <w:pPr>
        <w:ind w:left="0" w:right="0" w:firstLine="488"/>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自本公告发布之日起5个工作日。</w:t>
      </w:r>
      <w:r>
        <w:rPr>
          <w:highlight w:val="none"/>
        </w:rPr>
      </w:r>
    </w:p>
    <w:p>
      <w:pPr>
        <w:ind w:left="0" w:right="0" w:firstLine="0"/>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六、其他补充事宜</w:t>
      </w:r>
      <w:r>
        <w:rPr>
          <w:highlight w:val="none"/>
        </w:rPr>
      </w:r>
    </w:p>
    <w:p>
      <w:pPr>
        <w:ind w:left="0" w:right="0" w:firstLine="480"/>
        <w:jc w:val="both"/>
        <w:spacing w:before="0" w:after="0" w:line="85" w:lineRule="atLeast"/>
        <w:rPr>
          <w:rFonts w:ascii="宋体" w:hAnsi="宋体" w:eastAsia="宋体" w:cs="宋体"/>
          <w:color w:val="000000"/>
          <w:sz w:val="24"/>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1、本项目不收取投标保证金；</w:t>
      </w:r>
      <w:r>
        <w:rPr>
          <w:highlight w:val="none"/>
        </w:rPr>
      </w:r>
    </w:p>
    <w:p>
      <w:pPr>
        <w:ind w:left="0" w:right="0" w:firstLine="480"/>
        <w:jc w:val="both"/>
        <w:spacing w:before="0" w:after="0" w:line="85" w:lineRule="atLeast"/>
        <w:rPr>
          <w:rFonts w:ascii="宋体" w:hAnsi="宋体" w:eastAsia="宋体" w:cs="宋体"/>
          <w:color w:val="000000"/>
          <w:sz w:val="24"/>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2、本项目支持1）.小微企业价格扣除《江苏省财政厅关于进一</w:t>
      </w:r>
      <w:r>
        <w:rPr>
          <w:rFonts w:ascii="宋体" w:hAnsi="宋体" w:eastAsia="宋体" w:cs="宋体"/>
          <w:color w:val="000000"/>
          <w:sz w:val="24"/>
          <w:highlight w:val="none"/>
          <w:u w:val="none"/>
        </w:rPr>
        <w:t xml:space="preserve">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w:t>
      </w:r>
      <w:r>
        <w:rPr>
          <w:highlight w:val="none"/>
        </w:rPr>
      </w:r>
    </w:p>
    <w:p>
      <w:pPr>
        <w:ind w:left="0" w:right="0" w:firstLine="480"/>
        <w:jc w:val="both"/>
        <w:spacing w:before="0" w:after="0" w:line="85" w:lineRule="atLeast"/>
        <w:rPr>
          <w:rFonts w:ascii="宋体" w:hAnsi="宋体" w:eastAsia="宋体" w:cs="宋体"/>
          <w:color w:val="000000"/>
          <w:sz w:val="24"/>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3、本项目不属于专门面向中小企业采购的项目</w:t>
      </w:r>
      <w:r>
        <w:rPr>
          <w:highlight w:val="none"/>
        </w:rPr>
      </w:r>
    </w:p>
    <w:p>
      <w:pPr>
        <w:ind w:left="0" w:right="0" w:firstLine="480"/>
        <w:jc w:val="both"/>
        <w:spacing w:before="0" w:after="0" w:line="85" w:lineRule="atLeast"/>
        <w:rPr>
          <w:rFonts w:hint="eastAsia" w:ascii="宋体" w:hAnsi="宋体" w:eastAsia="宋体" w:cs="宋体"/>
          <w:color w:val="000000"/>
          <w:sz w:val="24"/>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4、项目演示、样品、答辩等：</w:t>
      </w:r>
      <w:r>
        <w:rPr>
          <w:rFonts w:hint="eastAsia" w:ascii="宋体" w:hAnsi="宋体" w:eastAsia="宋体" w:cs="宋体"/>
          <w:color w:val="000000"/>
          <w:sz w:val="24"/>
          <w:highlight w:val="none"/>
          <w:u w:val="none"/>
          <w:lang w:val="en-US" w:eastAsia="zh-CN"/>
        </w:rPr>
        <w:t xml:space="preserve">无。</w:t>
      </w:r>
      <w:r>
        <w:rPr>
          <w:highlight w:val="none"/>
        </w:rP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七、对本次招标提出询问，请按以下方式联系。</w:t>
      </w:r>
      <w:r>
        <w:rPr>
          <w:highlight w:val="none"/>
        </w:rP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1.采购人信息</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 称：泰兴市人民医院　</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地址：江苏省泰兴市长征路1号（泰兴市润泰南路98号）</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联系方式：0523-87919687  </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2.采购代理机构信息</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 称：江苏弘业国际技术工程有限公司</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　址：南京市秦淮区中华路50号弘业大厦10楼</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联系方式：025-52278761　</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3.项目联系方式</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项目联系人：王苏琪</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　话：18352665859 </w:t>
      </w:r>
      <w:r>
        <w:rPr>
          <w:highlight w:val="none"/>
        </w:rPr>
      </w:r>
    </w:p>
    <w:p>
      <w:pPr>
        <w:ind w:left="0" w:right="840" w:firstLine="53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highlight w:val="none"/>
        </w:rPr>
        <w:t xml:space="preserve"> </w:t>
      </w:r>
      <w:r>
        <w:rPr>
          <w:highlight w:val="none"/>
        </w:rPr>
      </w:r>
    </w:p>
    <w:p>
      <w:pPr>
        <w:ind w:left="0" w:right="0" w:firstLine="0"/>
        <w:jc w:val="center"/>
        <w:spacing w:before="0" w:after="0" w:line="49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ind w:left="0" w:right="0" w:firstLine="0"/>
        <w:jc w:val="center"/>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第二章 投标人须知</w:t>
      </w:r>
      <w:r>
        <w:rPr>
          <w:highlight w:val="none"/>
        </w:rPr>
      </w:r>
    </w:p>
    <w:p>
      <w:pPr>
        <w:ind w:left="0" w:right="0" w:firstLine="0"/>
        <w:jc w:val="center"/>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投标人须知前附表</w:t>
      </w:r>
      <w:r>
        <w:rPr>
          <w:highlight w:val="none"/>
        </w:rP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1447"/>
        <w:gridCol w:w="6290"/>
      </w:tblGrid>
      <w:tr>
        <w:trPr>
          <w:trHeight w:val="5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内容</w:t>
            </w:r>
            <w:r>
              <w:rPr>
                <w:highlight w:val="none"/>
              </w:rP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rFonts w:hint="eastAsia" w:eastAsia="楷体_GB231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泰兴市人民医院全自动生化分析仪采购项目</w:t>
            </w:r>
            <w:r>
              <w:rPr>
                <w:highlight w:val="none"/>
              </w:rPr>
            </w:r>
          </w:p>
        </w:tc>
      </w:tr>
      <w:tr>
        <w:trPr>
          <w:trHeight w:val="5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招标内容</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详见第三章采购需求</w:t>
            </w:r>
            <w:r>
              <w:rPr>
                <w:highlight w:val="none"/>
              </w:rPr>
            </w:r>
          </w:p>
        </w:tc>
      </w:tr>
      <w:tr>
        <w:trPr>
          <w:trHeight w:val="2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供货期及供货地点</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交货期：合同签订后30天内 </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本项目实施过程中涉及的产品包装及运输事宜，要严格执行《商品包装政府采购需求标准（试行）》《快递包装政府采购需求标准（试行）》（财办库〔2020〕123 号）的要求。</w:t>
            </w:r>
            <w:r>
              <w:rPr>
                <w:highlight w:val="none"/>
              </w:rPr>
            </w:r>
          </w:p>
        </w:tc>
      </w:tr>
      <w:tr>
        <w:trPr>
          <w:trHeight w:val="11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最高投标限价</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最高限价：</w:t>
            </w:r>
            <w:r>
              <w:rPr>
                <w:rFonts w:hint="eastAsia" w:ascii="宋体" w:hAnsi="宋体" w:eastAsia="宋体" w:cs="宋体"/>
                <w:color w:val="000000"/>
                <w:sz w:val="24"/>
                <w:highlight w:val="none"/>
                <w:lang w:val="en-US" w:eastAsia="zh-CN"/>
              </w:rPr>
              <w:t xml:space="preserve">240万元</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投标单位报价不得高于最高限价且投标单价不得高于清单单价，否则视为无效投标文件。</w:t>
            </w:r>
            <w:r>
              <w:rPr>
                <w:highlight w:val="none"/>
              </w:rP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合格投标人资格要求</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详见招标公告</w:t>
            </w:r>
            <w:r>
              <w:rPr>
                <w:highlight w:val="none"/>
              </w:rPr>
            </w:r>
          </w:p>
        </w:tc>
      </w:tr>
      <w:tr>
        <w:trPr>
          <w:trHeight w:val="8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联合体投标</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000000"/>
                <w:sz w:val="26"/>
                <w:highlight w:val="none"/>
              </w:rPr>
              <w:t xml:space="preserve">☑</w:t>
            </w:r>
            <w:r>
              <w:rPr>
                <w:rFonts w:ascii="宋体" w:hAnsi="宋体" w:eastAsia="宋体" w:cs="宋体"/>
                <w:color w:val="000000"/>
                <w:sz w:val="24"/>
                <w:highlight w:val="none"/>
              </w:rPr>
              <w:t xml:space="preserve">不接受，招标文件中有关联合体规定均不适用。</w:t>
            </w:r>
            <w:r>
              <w:rPr>
                <w:highlight w:val="none"/>
              </w:rPr>
            </w:r>
          </w:p>
          <w:p>
            <w:pPr>
              <w:numPr>
                <w:ilvl w:val="0"/>
                <w:numId w:val="1"/>
              </w:num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接受</w:t>
            </w:r>
            <w:r>
              <w:rPr>
                <w:highlight w:val="none"/>
              </w:rPr>
            </w:r>
          </w:p>
        </w:tc>
      </w:tr>
      <w:tr>
        <w:trPr>
          <w:trHeight w:val="1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现场勘察</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000000"/>
                <w:sz w:val="26"/>
                <w:highlight w:val="none"/>
              </w:rPr>
              <w:t xml:space="preserve">☑</w:t>
            </w:r>
            <w:r>
              <w:rPr>
                <w:rFonts w:ascii="宋体" w:hAnsi="宋体" w:eastAsia="宋体" w:cs="宋体"/>
                <w:color w:val="000000"/>
                <w:sz w:val="24"/>
                <w:highlight w:val="none"/>
              </w:rPr>
              <w:t xml:space="preserve">不组织，自行勘察;如投标人需自行勘察,费用自理。</w:t>
            </w:r>
            <w:r>
              <w:rPr>
                <w:highlight w:val="none"/>
              </w:rPr>
            </w:r>
          </w:p>
          <w:p>
            <w:pPr>
              <w:numPr>
                <w:ilvl w:val="0"/>
                <w:numId w:val="1"/>
              </w:num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组织，勘察时间： 年月日时</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集合地点：</w:t>
            </w:r>
            <w:r>
              <w:rPr>
                <w:highlight w:val="none"/>
              </w:rPr>
            </w:r>
          </w:p>
          <w:p>
            <w:pPr>
              <w:ind w:left="0" w:right="0" w:firstLine="975"/>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联系人：联系电话：</w:t>
            </w:r>
            <w:r>
              <w:rPr>
                <w:highlight w:val="none"/>
              </w:rPr>
            </w:r>
          </w:p>
        </w:tc>
      </w:tr>
      <w:tr>
        <w:trPr>
          <w:trHeight w:val="10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投标答疑会</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000000"/>
                <w:sz w:val="26"/>
                <w:highlight w:val="none"/>
              </w:rPr>
              <w:t xml:space="preserve">☑</w:t>
            </w:r>
            <w:r>
              <w:rPr>
                <w:rFonts w:ascii="宋体" w:hAnsi="宋体" w:eastAsia="宋体" w:cs="宋体"/>
                <w:color w:val="000000"/>
                <w:sz w:val="24"/>
                <w:highlight w:val="none"/>
              </w:rPr>
              <w:t xml:space="preserve">不召开</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口召开，召开时间：年月日时</w:t>
            </w:r>
            <w:r>
              <w:rPr>
                <w:highlight w:val="none"/>
              </w:rPr>
            </w:r>
          </w:p>
          <w:p>
            <w:pPr>
              <w:ind w:left="0" w:right="0" w:firstLine="975"/>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召开地点：</w:t>
            </w:r>
            <w:r>
              <w:rPr>
                <w:highlight w:val="none"/>
              </w:rP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投标货币</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w:t>
            </w:r>
            <w:r>
              <w:rPr>
                <w:highlight w:val="none"/>
              </w:rP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核心产品</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rPr>
                <w:rFonts w:hint="default" w:eastAsia="楷体_GB231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全自动生化分析仪</w:t>
            </w:r>
            <w:r>
              <w:rPr>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投标保证金</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本项目不收取投标保证金。</w:t>
            </w:r>
            <w:r>
              <w:rPr>
                <w:highlight w:val="none"/>
              </w:rP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投标文件有效期</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 90 </w:t>
            </w:r>
            <w:r>
              <w:rPr>
                <w:rFonts w:ascii="宋体" w:hAnsi="宋体" w:eastAsia="宋体" w:cs="宋体"/>
                <w:color w:val="000000"/>
                <w:sz w:val="24"/>
                <w:highlight w:val="none"/>
              </w:rPr>
              <w:t xml:space="preserve">日历天（从投标截止之日算起）</w:t>
            </w:r>
            <w:r>
              <w:rPr>
                <w:highlight w:val="none"/>
              </w:rP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vMerge w:val="restart"/>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投标截止时间</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rFonts w:hint="default" w:eastAsia="楷体_GB231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详见招标公告</w:t>
            </w:r>
            <w:r>
              <w:rPr>
                <w:highlight w:val="none"/>
              </w:rPr>
            </w:r>
          </w:p>
        </w:tc>
      </w:tr>
      <w:tr>
        <w:trPr>
          <w:trHeight w:val="53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投标地点</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地点：江苏政府采购“苏采云”系统不见面开标大厅 </w:t>
            </w:r>
            <w:r>
              <w:rPr>
                <w:highlight w:val="none"/>
              </w:rP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开标时间和地点</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详见招标公告</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地点：江苏政府采购“苏采云”系统不见面开标大厅 </w:t>
            </w:r>
            <w:r>
              <w:rPr>
                <w:highlight w:val="none"/>
              </w:rP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评标办法</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000000"/>
                <w:sz w:val="24"/>
                <w:highlight w:val="none"/>
              </w:rPr>
              <w:t xml:space="preserve">☑</w:t>
            </w:r>
            <w:r>
              <w:rPr>
                <w:rFonts w:ascii="宋体" w:hAnsi="宋体" w:eastAsia="宋体" w:cs="宋体"/>
                <w:color w:val="000000"/>
                <w:sz w:val="24"/>
                <w:highlight w:val="none"/>
              </w:rPr>
              <w:t xml:space="preserve">综合评分法</w:t>
            </w:r>
            <w:r>
              <w:rPr>
                <w:highlight w:val="none"/>
              </w:rP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定标办法</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采购人根据评标委员会推荐的中标候选供应商顺序确定中标人。</w:t>
            </w:r>
            <w:r>
              <w:rPr>
                <w:highlight w:val="none"/>
              </w:rPr>
            </w:r>
          </w:p>
        </w:tc>
      </w:tr>
      <w:tr>
        <w:trPr>
          <w:trHeight w:val="20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履约保证金</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6"/>
                <w:highlight w:val="none"/>
                <w:lang w:eastAsia="zh-CN"/>
              </w:rPr>
              <w:t xml:space="preserve">☑</w:t>
            </w:r>
            <w:r>
              <w:rPr>
                <w:rFonts w:ascii="宋体" w:hAnsi="宋体" w:eastAsia="宋体" w:cs="宋体"/>
                <w:color w:val="000000"/>
                <w:sz w:val="24"/>
                <w:highlight w:val="none"/>
              </w:rPr>
              <w:t xml:space="preserve">不提交，招标文件中有关履约保证金的规定均不适用</w:t>
            </w:r>
            <w:r>
              <w:rPr>
                <w:highlight w:val="none"/>
              </w:rPr>
            </w:r>
          </w:p>
          <w:p>
            <w:pPr>
              <w:ind w:left="0" w:right="0" w:firstLine="0"/>
              <w:spacing w:before="200" w:after="20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6"/>
                <w:highlight w:val="none"/>
                <w:lang w:eastAsia="zh-CN"/>
              </w:rPr>
              <w:t xml:space="preserve">□</w:t>
            </w:r>
            <w:r>
              <w:rPr>
                <w:rFonts w:ascii="宋体" w:hAnsi="宋体" w:eastAsia="宋体" w:cs="宋体"/>
                <w:color w:val="000000"/>
                <w:sz w:val="24"/>
                <w:highlight w:val="none"/>
              </w:rPr>
              <w:t xml:space="preserve">提交</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金额：</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rPr>
              <w:t xml:space="preserve"> </w:t>
            </w:r>
            <w:r>
              <w:rPr>
                <w:highlight w:val="none"/>
              </w:rPr>
            </w:r>
          </w:p>
          <w:p>
            <w:pPr>
              <w:ind w:left="0" w:right="0" w:firstLine="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形式：保证保险、保函、电汇、转账、汇票、支票、本票等非现金形式</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提交时间：收到中标通知书后签订合同前。</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退还时间：服务期满且经验收合格后无息退还。</w:t>
            </w:r>
            <w:r>
              <w:rPr>
                <w:highlight w:val="none"/>
              </w:rPr>
            </w:r>
          </w:p>
        </w:tc>
      </w:tr>
      <w:tr>
        <w:trPr>
          <w:trHeight w:val="7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签订合同</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中标通知书发出之日起</w:t>
            </w:r>
            <w:r>
              <w:rPr>
                <w:rFonts w:ascii="宋体" w:hAnsi="宋体" w:eastAsia="宋体" w:cs="宋体"/>
                <w:color w:val="000000"/>
                <w:sz w:val="24"/>
                <w:highlight w:val="none"/>
                <w:u w:val="single"/>
              </w:rPr>
              <w:t xml:space="preserve"> 30 </w:t>
            </w:r>
            <w:r>
              <w:rPr>
                <w:rFonts w:ascii="宋体" w:hAnsi="宋体" w:eastAsia="宋体" w:cs="宋体"/>
                <w:color w:val="000000"/>
                <w:sz w:val="24"/>
                <w:highlight w:val="none"/>
              </w:rPr>
              <w:t xml:space="preserve">日内</w:t>
            </w:r>
            <w:r>
              <w:rPr>
                <w:highlight w:val="none"/>
              </w:rPr>
            </w:r>
          </w:p>
        </w:tc>
      </w:tr>
      <w:tr>
        <w:trPr>
          <w:trHeight w:val="8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付款方式</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117" w:firstLine="0"/>
              <w:spacing w:before="0" w:after="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设备安装、调试、验收合格后凭验收合格报告付合同价的90%，余款2026年年底付款。</w:t>
            </w:r>
            <w:r>
              <w:rPr>
                <w:highlight w:val="none"/>
              </w:rPr>
            </w:r>
          </w:p>
        </w:tc>
      </w:tr>
      <w:tr>
        <w:trPr>
          <w:trHeight w:val="1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中标服务费</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top"/>
            <w:textDirection w:val="lrTb"/>
            <w:noWrap w:val="false"/>
          </w:tcPr>
          <w:p>
            <w:pPr>
              <w:ind w:left="0" w:right="0" w:firstLine="240"/>
              <w:jc w:val="both"/>
              <w:spacing w:before="200" w:after="20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项目采购预算仅列支标的物购置经费，无单独列支政府采购代理服务费专项经费；经采购人研究决定，本项目代理服务费由成交供应商承担，该费用全额计入供应商投标报价，不额外增收。                             </w:t>
            </w:r>
            <w:r>
              <w:rPr>
                <w:highlight w:val="none"/>
              </w:rPr>
            </w:r>
          </w:p>
          <w:p>
            <w:pPr>
              <w:ind w:left="0" w:right="0" w:firstLine="240"/>
              <w:jc w:val="both"/>
              <w:spacing w:before="200" w:after="20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采购代理服务费按照《江苏省招标代理服务收费的指导意见》（苏招协[2022]002号）收取，成交供应商应在领取中标通知书前缴纳。</w:t>
            </w:r>
            <w:r>
              <w:rPr>
                <w:highlight w:val="none"/>
              </w:rPr>
            </w:r>
          </w:p>
          <w:p>
            <w:pPr>
              <w:ind w:left="0" w:right="0" w:firstLine="0"/>
              <w:jc w:val="both"/>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ab/>
            </w:r>
            <w:r>
              <w:rPr>
                <w:rFonts w:ascii="宋体" w:hAnsi="宋体" w:eastAsia="宋体" w:cs="宋体"/>
                <w:color w:val="000000"/>
                <w:sz w:val="24"/>
                <w:highlight w:val="none"/>
              </w:rPr>
              <w:t xml:space="preserve">账户信息：</w:t>
            </w:r>
            <w:r>
              <w:rPr>
                <w:highlight w:val="none"/>
              </w:rPr>
            </w:r>
          </w:p>
          <w:p>
            <w:pPr>
              <w:ind w:left="0" w:right="0" w:firstLine="0"/>
              <w:jc w:val="both"/>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ab/>
            </w:r>
            <w:r>
              <w:rPr>
                <w:rFonts w:ascii="宋体" w:hAnsi="宋体" w:eastAsia="宋体" w:cs="宋体"/>
                <w:color w:val="000000"/>
                <w:sz w:val="24"/>
                <w:highlight w:val="none"/>
              </w:rPr>
              <w:t xml:space="preserve">户    名：江苏弘业国际技术工程有限公司</w:t>
            </w:r>
            <w:r>
              <w:rPr>
                <w:highlight w:val="none"/>
              </w:rPr>
            </w:r>
          </w:p>
          <w:p>
            <w:pPr>
              <w:ind w:left="0" w:right="0" w:firstLine="0"/>
              <w:jc w:val="both"/>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ab/>
            </w:r>
            <w:r>
              <w:rPr>
                <w:rFonts w:ascii="宋体" w:hAnsi="宋体" w:eastAsia="宋体" w:cs="宋体"/>
                <w:color w:val="000000"/>
                <w:sz w:val="24"/>
                <w:highlight w:val="none"/>
              </w:rPr>
              <w:t xml:space="preserve">开户银行：中国银行南京市中华路支行   </w:t>
            </w:r>
            <w:r>
              <w:rPr>
                <w:highlight w:val="none"/>
              </w:rPr>
            </w:r>
          </w:p>
          <w:p>
            <w:pPr>
              <w:ind w:left="0" w:right="0" w:firstLine="0"/>
              <w:jc w:val="both"/>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ab/>
            </w:r>
            <w:r>
              <w:rPr>
                <w:rFonts w:ascii="宋体" w:hAnsi="宋体" w:eastAsia="宋体" w:cs="宋体"/>
                <w:color w:val="000000"/>
                <w:sz w:val="24"/>
                <w:highlight w:val="none"/>
              </w:rPr>
              <w:t xml:space="preserve">账    号：527460884999</w:t>
            </w:r>
            <w:r>
              <w:rPr>
                <w:highlight w:val="none"/>
              </w:rPr>
            </w:r>
          </w:p>
        </w:tc>
      </w:tr>
      <w:tr>
        <w:trPr>
          <w:trHeight w:val="1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投标文件的制作要求</w:t>
            </w:r>
            <w:r>
              <w:rPr>
                <w:highlight w:val="none"/>
              </w:rPr>
            </w:r>
          </w:p>
          <w:p>
            <w:pPr>
              <w:ind w:left="0" w:right="0" w:firstLine="24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本次采购采用“苏采云”系统进行政府采购活动。</w:t>
            </w:r>
            <w:r>
              <w:rPr>
                <w:highlight w:val="none"/>
              </w:rPr>
            </w:r>
          </w:p>
          <w:p>
            <w:pPr>
              <w:ind w:left="0" w:right="0" w:firstLine="24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投标人如确定参加投标，可自行下载招标文件及有关资料，按</w:t>
            </w:r>
            <w:r>
              <w:rPr>
                <w:rFonts w:ascii="宋体" w:hAnsi="宋体" w:eastAsia="宋体" w:cs="宋体"/>
                <w:color w:val="000000"/>
                <w:sz w:val="24"/>
                <w:highlight w:val="none"/>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rPr>
                <w:highlight w:val="none"/>
              </w:rPr>
            </w:r>
          </w:p>
        </w:tc>
      </w:tr>
    </w:tbl>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一、说明和释义</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1.说明  </w:t>
      </w:r>
      <w:r>
        <w:rPr>
          <w:highlight w:val="none"/>
        </w:rP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1.1本招标文件仅适用于本采购项目的招标、投标、评审、确定中标单位、验收、合同履约、付款等（法律、法规另有规定的，从其规定）。</w:t>
      </w:r>
      <w:r>
        <w:rPr>
          <w:highlight w:val="none"/>
        </w:rP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1.2本次招标活动及因本次招标产生的合同受中国法律制约和保护。</w:t>
      </w:r>
      <w:r>
        <w:rPr>
          <w:highlight w:val="none"/>
        </w:rP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1.3本招标文件的解释权属于采购人（代理机构）。</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2.词语释义</w:t>
      </w:r>
      <w:r>
        <w:rPr>
          <w:highlight w:val="none"/>
        </w:rP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2.1采购人：指依法进行采购的国家机关、事业单位、团体组织。</w:t>
      </w:r>
      <w:r>
        <w:rPr>
          <w:highlight w:val="none"/>
        </w:rP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 供应商、投标人：指向采购人提供货物、工程或服务的法人、其他组织或者自然人，不包括其分公司。</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2.3采购代理机构：指依法接受采购人委托，从事货物、工程和服务等采购招标代理业务的社会中介机构。</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2.4招标采购单位：采购人及采购代理机构的统称。</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2.5评标委员会：是指在招标投标和采购活动中，依法由采购人代表和有关技术、经济等方面的专家组建，负责对投标文件进行评审并提出评审意见的临时性权威机构。</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2.6响应：投标人根据采购人或采购代理机构发售的招标文件，编制投标文件并按规定投标的行为。</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2.7知识产权：指专利权、商标权、著作权等无形财产专有权的统称。</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2.8天：日历天。</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2.9服务地点：合同中明确约定的乙方履行服务的最终地点。</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2.10不可抗力：不能预见、不能避免并且不能克服的客观情况。</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 实质性响应：满足有关本次采购标的、数量、质量、价款或者报酬、履行期限、履行地点和方式、违约责任和解决争议方法等要求。</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2.12书面形式：指书面文字、合同书、信件等可以有形地表现所载内容的形式。</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二、投标人</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3.合格投标人资格要求</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3.1详见投标人须知前附表规定。</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w:t>
      </w:r>
      <w:r>
        <w:rPr>
          <w:rFonts w:ascii="宋体" w:hAnsi="宋体" w:eastAsia="宋体" w:cs="宋体"/>
          <w:color w:val="000000"/>
          <w:sz w:val="24"/>
          <w:highlight w:val="none"/>
        </w:rPr>
        <w:t xml:space="preserve">投标人应在江苏政府采购“苏采云”系统（</w:t>
      </w:r>
      <w:r>
        <w:rPr>
          <w:rFonts w:hint="eastAsia" w:ascii="宋体" w:hAnsi="宋体" w:eastAsia="宋体" w:cs="宋体"/>
          <w:color w:val="000000"/>
          <w:sz w:val="24"/>
          <w:highlight w:val="none"/>
        </w:rPr>
        <w:t xml:space="preserve">https://jszfcg.jsczt.cn/jszc/login</w:t>
      </w:r>
      <w:r>
        <w:rPr>
          <w:rFonts w:ascii="宋体" w:hAnsi="宋体" w:eastAsia="宋体" w:cs="宋体"/>
          <w:color w:val="000000"/>
          <w:sz w:val="24"/>
          <w:highlight w:val="none"/>
        </w:rPr>
        <w:t xml:space="preserve">，下同）下载招标文件及有关资料，按招标文件要求提交全部资料并对招标文件各项内容做出实质性响应。</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5.投标人代表</w:t>
      </w:r>
      <w:r>
        <w:rPr>
          <w:highlight w:val="none"/>
        </w:rPr>
      </w:r>
    </w:p>
    <w:p>
      <w:pPr>
        <w:ind w:left="0" w:right="0" w:firstLine="366"/>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5.1指全权代表投标人参加投标活动并签署投标文件的人，如果投标人代表不是法人代表，须具有《法人代表授权委托书》（详见统一格式）。</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6.不接受联合体投标。</w:t>
      </w:r>
      <w:r>
        <w:rPr>
          <w:highlight w:val="none"/>
        </w:rP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7.投标人有下列情形之一的不能参加本次投标：</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（1）因重大经济问题正在接受国家有关部门审查的；</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（2）正在被其他企业兼并（或收购）或因重大经济纠纷正在进行诉讼或仲裁的；</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（3）因腐败和欺诈行为而被有关部门处理的。</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（4）被责令停业的； </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（5）被暂停或取消投标资格的； </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（6）财产被接管或冻结的；</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（7）在最近三年内有骗取中标或严重违约或重大工程质量问题的；</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（8）在投标过程中弄虚作假、行贿或有其他违法违规行为的；</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（9）违反法律法规相关规定的。</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三、招标文件说明</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8.招标文件</w:t>
      </w:r>
      <w:r>
        <w:rPr>
          <w:highlight w:val="none"/>
        </w:rPr>
      </w:r>
    </w:p>
    <w:p>
      <w:pPr>
        <w:ind w:left="0" w:right="0" w:firstLine="509"/>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9.现场勘察 </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9.1投标人应按招标文件中所述时间对有关现场和周围环境进行勘察，以获取编制投标文件和签署合同所需的信息。勘察现场所发生的费用由投标人自己承担。</w:t>
      </w:r>
      <w:r>
        <w:rPr>
          <w:highlight w:val="none"/>
        </w:rP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rPr>
          <w:highlight w:val="none"/>
        </w:rP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9.3 经招标采购单位允许，投标人可为勘察目的进入招标采购单位的项目现场，但投标人不得因此使招标采购单位承担有关的责任和蒙受损失。投标人应承担勘察现场的责任和风险。</w:t>
      </w:r>
      <w:r>
        <w:rPr>
          <w:highlight w:val="none"/>
        </w:rP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9.4采购人不组织勘察现场或答疑，各投标人可在每天9：00-11：30，14：00-17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10.招标文件的澄清和修改</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10.1 投标人应认真阅读本招标文件，发现其中有误或有不合理要求的，投标人应当于收到招标文件之日或者招标文件公告期限届满之日后7个工作日内以书面形式要求招标人或代理机构澄清。</w:t>
      </w:r>
      <w:r>
        <w:rPr>
          <w:highlight w:val="none"/>
        </w:rPr>
      </w:r>
    </w:p>
    <w:p>
      <w:pPr>
        <w:ind w:left="0" w:right="0" w:firstLine="42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10.2招标人或代理机构对已发出的招标文件进行必要澄清、答复、修改或补充的，将在江苏政府采购网上发布更正公告，请投标人自行到网上查看和下载，投标人因漏看带来的后果由投标人自行承担。</w:t>
      </w:r>
      <w:r>
        <w:rPr>
          <w:highlight w:val="none"/>
        </w:rPr>
      </w:r>
    </w:p>
    <w:p>
      <w:pPr>
        <w:ind w:left="0" w:right="0" w:firstLine="42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10.3招标文件澄清、答复、修改、补充的内容为本文件的组成部分。当招标文件与招标文件的答复、澄清、修改、补充通知就同一内容的表述不一致时，以最后发出的文件为准。</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四、投标文件说明</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11.投标文件计量单位和使用文字</w:t>
      </w:r>
      <w:r>
        <w:rPr>
          <w:highlight w:val="none"/>
        </w:rPr>
      </w:r>
    </w:p>
    <w:p>
      <w:pPr>
        <w:ind w:left="0" w:right="0" w:firstLine="509"/>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11.1投标文件中所使用的计量单位，除招标文件中有特殊要求外，均应使用中华人民共和国法定计量单位。</w:t>
      </w:r>
      <w:r>
        <w:rPr>
          <w:highlight w:val="none"/>
        </w:rPr>
      </w:r>
    </w:p>
    <w:p>
      <w:pPr>
        <w:ind w:left="0" w:right="0" w:firstLine="509"/>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rPr>
          <w:highlight w:val="none"/>
        </w:rPr>
      </w:r>
    </w:p>
    <w:p>
      <w:pPr>
        <w:ind w:left="0" w:right="0" w:firstLine="488"/>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11.3投标人应当同时凭CA数字证书登录“江苏政府采购“苏采云”系统”，并在投标截止时间前上传电子投标文件。</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w:t>
      </w:r>
      <w:r>
        <w:rPr>
          <w:rFonts w:ascii="宋体" w:hAnsi="宋体" w:eastAsia="宋体" w:cs="宋体"/>
          <w:b/>
          <w:color w:val="000000"/>
          <w:sz w:val="24"/>
          <w:highlight w:val="none"/>
          <w:u w:val="none"/>
        </w:rPr>
        <w:t xml:space="preserve">2.知识产权</w:t>
      </w:r>
      <w:r>
        <w:rPr>
          <w:highlight w:val="none"/>
        </w:rPr>
      </w:r>
    </w:p>
    <w:p>
      <w:pPr>
        <w:ind w:left="0" w:right="0" w:firstLine="509"/>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13.投标文件的组成</w:t>
      </w:r>
      <w:r>
        <w:rPr>
          <w:highlight w:val="none"/>
        </w:rP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投标函（格式见附件）</w:t>
      </w:r>
      <w:r>
        <w:rPr>
          <w:highlight w:val="none"/>
        </w:rP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资格、资信证明文件：</w:t>
      </w:r>
      <w:r>
        <w:rPr>
          <w:highlight w:val="none"/>
        </w:rPr>
      </w:r>
    </w:p>
    <w:p>
      <w:pPr>
        <w:numPr>
          <w:ilvl w:val="1"/>
          <w:numId w:val="2"/>
        </w:numPr>
        <w:spacing w:before="240" w:after="240" w:line="85" w:lineRule="atLeast"/>
        <w:tabs>
          <w:tab w:val="left" w:pos="360" w:leader="none"/>
          <w:tab w:val="left" w:pos="1276"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资格证明文件（格式见附件）</w:t>
      </w:r>
      <w:r>
        <w:rPr>
          <w:highlight w:val="none"/>
        </w:rPr>
      </w:r>
    </w:p>
    <w:p>
      <w:pPr>
        <w:numPr>
          <w:ilvl w:val="1"/>
          <w:numId w:val="2"/>
        </w:numPr>
        <w:spacing w:before="240" w:after="240" w:line="85" w:lineRule="atLeast"/>
        <w:tabs>
          <w:tab w:val="left" w:pos="360" w:leader="none"/>
          <w:tab w:val="left" w:pos="1276"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法人或其他组织的营业执照或相关部门的登记证明文件； </w:t>
      </w:r>
      <w:r>
        <w:rPr>
          <w:highlight w:val="none"/>
        </w:rPr>
      </w:r>
    </w:p>
    <w:p>
      <w:pPr>
        <w:numPr>
          <w:ilvl w:val="1"/>
          <w:numId w:val="2"/>
        </w:numPr>
        <w:jc w:val="both"/>
        <w:spacing w:before="0" w:after="0" w:line="85" w:lineRule="atLeast"/>
        <w:tabs>
          <w:tab w:val="left" w:pos="360" w:leader="none"/>
          <w:tab w:val="left" w:pos="945" w:leader="none"/>
          <w:tab w:val="left" w:pos="1276"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投标人法定代表人授权委托书（格式见附件，法定代表人亲自参加投标的提供法定代表人身份证扫描件）、投标人法定代表人授权代表身份证扫描件（法定代表人亲自参加投标的除外）；</w:t>
      </w:r>
      <w:r>
        <w:rPr>
          <w:highlight w:val="none"/>
        </w:rPr>
      </w:r>
    </w:p>
    <w:p>
      <w:pPr>
        <w:numPr>
          <w:ilvl w:val="1"/>
          <w:numId w:val="2"/>
        </w:numPr>
        <w:jc w:val="both"/>
        <w:spacing w:before="0" w:after="0" w:line="85" w:lineRule="atLeast"/>
        <w:tabs>
          <w:tab w:val="left" w:pos="360" w:leader="none"/>
          <w:tab w:val="left" w:pos="945" w:leader="none"/>
          <w:tab w:val="left" w:pos="1276"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具有良好的商业信誉和健全的财务会计制度（提供2025年度财务报告，至少包含资产负债表、利润表，或投标截止时间前六个月内银行出具的资信证明，成立不满一年的无须提供）； </w:t>
      </w:r>
      <w:r>
        <w:rPr>
          <w:highlight w:val="none"/>
        </w:rPr>
      </w:r>
    </w:p>
    <w:p>
      <w:pPr>
        <w:numPr>
          <w:ilvl w:val="1"/>
          <w:numId w:val="2"/>
        </w:numPr>
        <w:jc w:val="both"/>
        <w:spacing w:before="0" w:after="0" w:line="85" w:lineRule="atLeast"/>
        <w:tabs>
          <w:tab w:val="left" w:pos="360" w:leader="none"/>
          <w:tab w:val="left" w:pos="945" w:leader="none"/>
          <w:tab w:val="left" w:pos="1276"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有依法缴纳税收和社会保障资金的良好记录（</w:t>
      </w:r>
      <w:r>
        <w:rPr>
          <w:rFonts w:ascii="宋体" w:hAnsi="宋体" w:eastAsia="宋体" w:cs="宋体"/>
          <w:color w:val="000000"/>
          <w:sz w:val="26"/>
          <w:highlight w:val="none"/>
        </w:rPr>
        <w:t xml:space="preserve">投标截止时间前六个月内</w:t>
      </w:r>
      <w:r>
        <w:rPr>
          <w:rFonts w:ascii="宋体" w:hAnsi="宋体" w:eastAsia="宋体" w:cs="宋体"/>
          <w:color w:val="000000"/>
          <w:sz w:val="24"/>
          <w:highlight w:val="none"/>
        </w:rPr>
        <w:t xml:space="preserve">）中任一月份的依法缴纳税收和社会保险费的相关材料（提供相关主管部门证明或银行代扣证明的复印件，根据国家相关政策免缴或迟缴的需提供相关证明材料）；</w:t>
      </w:r>
      <w:r>
        <w:rPr>
          <w:highlight w:val="none"/>
        </w:rPr>
      </w:r>
    </w:p>
    <w:p>
      <w:pPr>
        <w:numPr>
          <w:ilvl w:val="1"/>
          <w:numId w:val="2"/>
        </w:numPr>
        <w:jc w:val="both"/>
        <w:spacing w:before="0" w:after="0" w:line="85" w:lineRule="atLeast"/>
        <w:tabs>
          <w:tab w:val="left" w:pos="360" w:leader="none"/>
          <w:tab w:val="left" w:pos="945" w:leader="none"/>
          <w:tab w:val="left" w:pos="1276"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采购人要求的特定资质证明</w:t>
      </w:r>
      <w:r>
        <w:rPr>
          <w:rFonts w:hint="eastAsia" w:ascii="宋体" w:hAnsi="宋体" w:eastAsia="宋体" w:cs="宋体"/>
          <w:color w:val="000000"/>
          <w:sz w:val="24"/>
          <w:highlight w:val="none"/>
          <w:lang w:val="en-US" w:eastAsia="zh-CN"/>
        </w:rPr>
        <w:t xml:space="preserve">:</w:t>
      </w:r>
      <w:r>
        <w:rPr>
          <w:highlight w:val="none"/>
        </w:rPr>
      </w:r>
    </w:p>
    <w:p>
      <w:pPr>
        <w:numPr>
          <w:ilvl w:val="0"/>
          <w:numId w:val="0"/>
        </w:numPr>
        <w:ind w:firstLine="480"/>
        <w:keepLines w:val="0"/>
        <w:keepNext w:val="0"/>
        <w:pageBreakBefore w:val="0"/>
        <w:spacing w:before="240" w:after="240" w:line="85" w:lineRule="atLeast"/>
        <w:widowControl w:val="off"/>
        <w:tabs>
          <w:tab w:val="left" w:pos="360" w:leader="none"/>
          <w:tab w:val="left" w:pos="1276" w:leader="none"/>
        </w:tabs>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6.1</w:t>
      </w:r>
      <w:r>
        <w:rPr>
          <w:rFonts w:ascii="宋体" w:hAnsi="宋体" w:eastAsia="宋体" w:cs="宋体"/>
          <w:color w:val="000000"/>
          <w:sz w:val="24"/>
          <w:highlight w:val="none"/>
        </w:rPr>
        <w:t xml:space="preserve">）拒绝被“信用中国”（www.creditchina.gov.cn）、“中国政府采购网”(www.ccgp.gov.cn）列入失信被执行人、重大税收违法案件当事人、政府采购严重失信行为的供应商参加投标。</w:t>
      </w:r>
      <w:r>
        <w:rPr>
          <w:highlight w:val="none"/>
        </w:rPr>
      </w:r>
    </w:p>
    <w:p>
      <w:pPr>
        <w:numPr>
          <w:ilvl w:val="0"/>
          <w:numId w:val="0"/>
        </w:numPr>
        <w:ind w:firstLine="480"/>
        <w:keepLines w:val="0"/>
        <w:keepNext w:val="0"/>
        <w:pageBreakBefore w:val="0"/>
        <w:spacing w:before="240" w:after="240" w:line="85" w:lineRule="atLeast"/>
        <w:widowControl w:val="off"/>
        <w:tabs>
          <w:tab w:val="left" w:pos="360" w:leader="none"/>
          <w:tab w:val="left" w:pos="1276" w:leader="none"/>
        </w:tabs>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6.2</w:t>
      </w:r>
      <w:r>
        <w:rPr>
          <w:rFonts w:ascii="宋体" w:hAnsi="宋体" w:eastAsia="宋体" w:cs="宋体"/>
          <w:color w:val="000000"/>
          <w:sz w:val="24"/>
          <w:highlight w:val="none"/>
        </w:rPr>
        <w:t xml:space="preserve">）其它：</w:t>
      </w:r>
      <w:r>
        <w:rPr>
          <w:highlight w:val="none"/>
        </w:rPr>
      </w:r>
    </w:p>
    <w:p>
      <w:pPr>
        <w:numPr>
          <w:ilvl w:val="0"/>
          <w:numId w:val="0"/>
        </w:numPr>
        <w:ind w:firstLine="480"/>
        <w:keepLines w:val="0"/>
        <w:keepNext w:val="0"/>
        <w:pageBreakBefore w:val="0"/>
        <w:spacing w:before="240" w:after="240" w:line="85" w:lineRule="atLeast"/>
        <w:widowControl w:val="off"/>
        <w:tabs>
          <w:tab w:val="left" w:pos="360" w:leader="none"/>
          <w:tab w:val="left" w:pos="1276" w:leader="none"/>
        </w:tabs>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如投标产品为医疗器械：</w:t>
      </w:r>
      <w:r>
        <w:rPr>
          <w:highlight w:val="none"/>
        </w:rPr>
      </w:r>
    </w:p>
    <w:p>
      <w:pPr>
        <w:numPr>
          <w:ilvl w:val="0"/>
          <w:numId w:val="0"/>
        </w:numPr>
        <w:ind w:firstLine="480"/>
        <w:keepLines w:val="0"/>
        <w:keepNext w:val="0"/>
        <w:pageBreakBefore w:val="0"/>
        <w:spacing w:before="240" w:after="240" w:line="85" w:lineRule="atLeast"/>
        <w:widowControl w:val="off"/>
        <w:tabs>
          <w:tab w:val="left" w:pos="360" w:leader="none"/>
          <w:tab w:val="left" w:pos="1276" w:leader="none"/>
        </w:tabs>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6.2</w:t>
      </w:r>
      <w:r>
        <w:rPr>
          <w:rFonts w:hint="eastAsia" w:ascii="宋体" w:hAnsi="宋体" w:eastAsia="宋体" w:cs="宋体"/>
          <w:color w:val="000000"/>
          <w:sz w:val="24"/>
          <w:highlight w:val="none"/>
        </w:rPr>
        <w:t xml:space="preserve">.1.投标人须根据投标产品类别，提供有效的医疗器械产品注册证或产品备案凭证，投标时提供复印件加盖公章。</w:t>
      </w:r>
      <w:r>
        <w:rPr>
          <w:highlight w:val="none"/>
        </w:rPr>
      </w:r>
    </w:p>
    <w:p>
      <w:pPr>
        <w:numPr>
          <w:ilvl w:val="0"/>
          <w:numId w:val="0"/>
        </w:numPr>
        <w:ind w:firstLine="480"/>
        <w:keepLines w:val="0"/>
        <w:keepNext w:val="0"/>
        <w:pageBreakBefore w:val="0"/>
        <w:spacing w:before="240" w:after="240" w:line="85" w:lineRule="atLeast"/>
        <w:widowControl w:val="off"/>
        <w:tabs>
          <w:tab w:val="left" w:pos="360" w:leader="none"/>
          <w:tab w:val="left" w:pos="1276" w:leader="none"/>
        </w:tabs>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6.2</w:t>
      </w:r>
      <w:r>
        <w:rPr>
          <w:rFonts w:hint="eastAsia" w:ascii="宋体" w:hAnsi="宋体" w:eastAsia="宋体" w:cs="宋体"/>
          <w:color w:val="000000"/>
          <w:sz w:val="24"/>
          <w:highlight w:val="none"/>
        </w:rPr>
        <w:t xml:space="preserve">.2若投标人为代理商，须根据投标产品类别，提供有效的《医疗器械经营许可证》或医疗器械经营备案凭证，投标时提供复印件加盖公章。</w:t>
      </w:r>
      <w:r>
        <w:rPr>
          <w:highlight w:val="none"/>
        </w:rPr>
      </w:r>
    </w:p>
    <w:p>
      <w:pPr>
        <w:numPr>
          <w:ilvl w:val="0"/>
          <w:numId w:val="0"/>
        </w:numPr>
        <w:ind w:firstLine="480"/>
        <w:keepLines w:val="0"/>
        <w:keepNext w:val="0"/>
        <w:pageBreakBefore w:val="0"/>
        <w:spacing w:before="240" w:after="240" w:line="85" w:lineRule="atLeast"/>
        <w:widowControl w:val="off"/>
        <w:tabs>
          <w:tab w:val="left" w:pos="360" w:leader="none"/>
          <w:tab w:val="left" w:pos="1276" w:leader="none"/>
        </w:tabs>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6.2</w:t>
      </w:r>
      <w:r>
        <w:rPr>
          <w:rFonts w:hint="eastAsia" w:ascii="宋体" w:hAnsi="宋体" w:eastAsia="宋体" w:cs="宋体"/>
          <w:color w:val="000000"/>
          <w:sz w:val="24"/>
          <w:highlight w:val="none"/>
        </w:rPr>
        <w:t xml:space="preserve">.3.医疗器械生产企业投标本企业产品的，须提供《医疗器械生产许可证》，投标时提供复印件加盖公章。</w:t>
      </w:r>
      <w:r>
        <w:rPr>
          <w:highlight w:val="none"/>
        </w:rPr>
      </w:r>
    </w:p>
    <w:p>
      <w:pPr>
        <w:numPr>
          <w:ilvl w:val="0"/>
          <w:numId w:val="0"/>
        </w:numPr>
        <w:ind w:firstLine="480"/>
        <w:keepLines w:val="0"/>
        <w:keepNext w:val="0"/>
        <w:pageBreakBefore w:val="0"/>
        <w:spacing w:before="240" w:after="240" w:line="85" w:lineRule="atLeast"/>
        <w:widowControl w:val="off"/>
        <w:tabs>
          <w:tab w:val="left" w:pos="360" w:leader="none"/>
          <w:tab w:val="left" w:pos="1276" w:leader="none"/>
        </w:tabs>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6.3</w:t>
      </w:r>
      <w:r>
        <w:rPr>
          <w:rFonts w:ascii="宋体" w:hAnsi="宋体" w:eastAsia="宋体" w:cs="宋体"/>
          <w:color w:val="000000"/>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highlight w:val="none"/>
        </w:rP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开标一览表（格式见附件）</w:t>
      </w:r>
      <w:r>
        <w:rPr>
          <w:highlight w:val="none"/>
        </w:rP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投标报价明细表（格式见附件）</w:t>
      </w:r>
      <w:r>
        <w:rPr>
          <w:highlight w:val="none"/>
        </w:rP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商务偏离表（格式见附件）</w:t>
      </w:r>
      <w:r>
        <w:rPr>
          <w:highlight w:val="none"/>
        </w:rP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技术偏离表（格式见附件）</w:t>
      </w:r>
      <w:r>
        <w:rPr>
          <w:highlight w:val="none"/>
        </w:rP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评分标准中对应的其它所需证明材料（如有自行添加）</w:t>
      </w:r>
      <w:r>
        <w:rPr>
          <w:highlight w:val="none"/>
        </w:rP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其它（投标人认为有必要提供的声明和文件，如有自拟并自行添加）</w:t>
      </w:r>
      <w:r>
        <w:rPr>
          <w:highlight w:val="none"/>
        </w:rPr>
      </w:r>
    </w:p>
    <w:p>
      <w:pPr>
        <w:ind w:left="0" w:right="0" w:firstLine="609"/>
        <w:jc w:val="both"/>
        <w:spacing w:before="0" w:after="0" w:line="85" w:lineRule="atLeast"/>
        <w:tabs>
          <w:tab w:val="left" w:pos="2850" w:leader="none"/>
          <w:tab w:val="left" w:pos="41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14.投标文件编制及递交要求</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14.1所有文件、往来函件均应使用</w:t>
      </w:r>
      <w:r>
        <w:rPr>
          <w:rFonts w:ascii="宋体" w:hAnsi="宋体" w:eastAsia="宋体" w:cs="宋体"/>
          <w:b/>
          <w:color w:val="000000"/>
          <w:sz w:val="24"/>
          <w:highlight w:val="none"/>
        </w:rPr>
        <w:t xml:space="preserve">简体中文</w:t>
      </w:r>
      <w:r>
        <w:rPr>
          <w:rFonts w:ascii="宋体" w:hAnsi="宋体" w:eastAsia="宋体" w:cs="宋体"/>
          <w:color w:val="000000"/>
          <w:sz w:val="24"/>
          <w:highlight w:val="none"/>
        </w:rPr>
        <w:t xml:space="preserve">（规格、型号辅助符号例外）。</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14.2投标文件由投标人按要求参考给定格式如实填写（编写），须有投标人（盖章）、法定代表人或法定代表人授权代表签字或盖章，方为有效，未尽事宜可自行补充。</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14.3如无特别说明，投标人报价一律以人民币为投标结算货币,结算单位为“元”。</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14.4投标文件不应有涂改、增删和潦草之处，如有必须修改时，修改处必须有投标人盖章、法定代表人或法定代表人授权代表的签字。</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14.5投标费用自理。</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14.6投标人应当同时凭CA数字证书登录“江苏政府采购“苏采云”系统”，并在投标截止时间前上传电子投标文件。</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15.投标报价（编制）要求的说明</w:t>
      </w:r>
      <w:r>
        <w:rPr>
          <w:highlight w:val="none"/>
        </w:rPr>
      </w:r>
    </w:p>
    <w:p>
      <w:pPr>
        <w:ind w:left="0" w:right="0" w:firstLine="505"/>
        <w:jc w:val="both"/>
        <w:spacing w:before="240" w:afterAutospacing="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rPr>
          <w:highlight w:val="none"/>
        </w:rPr>
      </w:r>
    </w:p>
    <w:p>
      <w:pPr>
        <w:ind w:left="0" w:right="0" w:firstLine="505"/>
        <w:jc w:val="both"/>
        <w:spacing w:beforeAutospacing="0" w:afterAutospacing="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投标人要认真阅读清单，慎重报价。采购人不再支付报价以外的任何费用。</w:t>
      </w:r>
      <w:r>
        <w:rPr>
          <w:highlight w:val="none"/>
        </w:rPr>
      </w:r>
    </w:p>
    <w:p>
      <w:pPr>
        <w:ind w:left="0" w:right="0" w:firstLine="505"/>
        <w:jc w:val="both"/>
        <w:spacing w:beforeAutospacing="0" w:afterAutospacing="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15.2投标人应对招标文件内所要采购的全部内容进行报价，只投其中部分内容者，其标书将被拒绝。</w:t>
      </w:r>
      <w:r>
        <w:rPr>
          <w:highlight w:val="none"/>
        </w:rPr>
      </w:r>
    </w:p>
    <w:p>
      <w:pPr>
        <w:ind w:left="0" w:right="0" w:firstLine="505"/>
        <w:jc w:val="both"/>
        <w:spacing w:beforeAutospacing="0" w:afterAutospacing="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15.3一项投标内容只允许一个报价，招标采购单位不接受任何有选择性的投标报价。</w:t>
      </w:r>
      <w:r>
        <w:rPr>
          <w:highlight w:val="none"/>
        </w:rPr>
      </w:r>
    </w:p>
    <w:p>
      <w:pPr>
        <w:ind w:left="0" w:right="0" w:firstLine="502"/>
        <w:jc w:val="both"/>
        <w:spacing w:beforeAutospacing="0" w:afterAutospacing="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15.4投标文件报价中的单价和总价全部采用人民币表示，除非合同的特殊条款另有规定。</w:t>
      </w:r>
      <w:r>
        <w:rPr>
          <w:highlight w:val="none"/>
        </w:rPr>
      </w:r>
    </w:p>
    <w:p>
      <w:pPr>
        <w:ind w:left="0" w:right="0" w:firstLine="0"/>
        <w:jc w:val="both"/>
        <w:spacing w:beforeAutospacing="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16.投标保证金</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本项目不收取投标保证金。 </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17.投标文件的有效期</w:t>
      </w:r>
      <w:r>
        <w:rPr>
          <w:highlight w:val="none"/>
        </w:rPr>
      </w:r>
    </w:p>
    <w:p>
      <w:pPr>
        <w:ind w:left="0" w:right="0" w:firstLine="50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17.1在本招标文件前附表规定的投标文件有效期内，投标人所提交的投标文件应保持有效。有效期短于这个规定期限的投标文件，将被认定为未实质性响应招标文件要求。</w:t>
      </w:r>
      <w:r>
        <w:rPr>
          <w:highlight w:val="none"/>
        </w:rPr>
      </w:r>
    </w:p>
    <w:p>
      <w:pPr>
        <w:ind w:left="0" w:right="0" w:firstLine="50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18.投标文件的拒收</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采购人拒绝接收在其规定的投标截止时间后上传的任何投标文件。</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五、投标文件的递交</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19.投标文件的递交</w:t>
      </w:r>
      <w:r>
        <w:rPr>
          <w:highlight w:val="none"/>
        </w:rPr>
      </w:r>
    </w:p>
    <w:p>
      <w:pPr>
        <w:ind w:left="0" w:right="0" w:firstLine="426"/>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19.1电子投标文件的递交</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投标人应当按照《江苏省政府采购管理交易系统（苏采云）供应商操作手册及政府采购客户端》规定，在投标截止时间前制作并上传电子投标文件。</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20.投标截止日期</w:t>
      </w:r>
      <w:r>
        <w:rPr>
          <w:highlight w:val="none"/>
        </w:rPr>
      </w:r>
    </w:p>
    <w:p>
      <w:pPr>
        <w:ind w:left="0" w:right="0" w:firstLine="426"/>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highlight w:val="none"/>
        </w:rPr>
      </w:r>
    </w:p>
    <w:p>
      <w:pPr>
        <w:ind w:left="0" w:right="0" w:firstLine="426"/>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20.2采购人可以按照规定，通过修改招标文件酌情延长投标截止日期，在此情况下，投标人的所有权利和义务以及投标人受制的截止日期均应以延长后新的截止日期为准。</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21.投标文件的修改和撤回</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21.1投标文件的撤回</w:t>
      </w:r>
      <w:r>
        <w:rPr>
          <w:highlight w:val="none"/>
        </w:rPr>
      </w:r>
    </w:p>
    <w:p>
      <w:pPr>
        <w:ind w:left="0" w:right="0" w:firstLine="426"/>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投标人可在投标截止时间前，撤回其电子投标文件，具体操作方法见《江苏省政府采购管理交易系统（苏采云）供应商操作手册及政府采购客户端》。</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21.2 投标文件的修改</w:t>
      </w:r>
      <w:r>
        <w:rPr>
          <w:highlight w:val="none"/>
        </w:rPr>
      </w:r>
    </w:p>
    <w:p>
      <w:pPr>
        <w:ind w:left="0" w:right="0" w:firstLine="426"/>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投标人可在投标截止时间前，对其电子投标文件进行修改，具体操作方法见《江苏省政府采购管理交易系统（苏采云）供应商操作手册及政府采购客户端》。</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21.3在投标截止时间之后，投标人不得对其电子投标文件作任何修改。</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六、开标和评标</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22.开标</w:t>
      </w:r>
      <w:r>
        <w:rPr>
          <w:highlight w:val="none"/>
        </w:rPr>
      </w:r>
    </w:p>
    <w:p>
      <w:pPr>
        <w:ind w:left="0" w:right="0" w:firstLine="488"/>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22.1采购人将在招标公告中规定的时间和地点组织公开开标。投标人应当按照《江苏省政府采购管理交易系统（苏采云）供应商操作手册及政府采购客户端》规定，参加开标活动。</w:t>
      </w:r>
      <w:r>
        <w:rPr>
          <w:highlight w:val="none"/>
        </w:rPr>
      </w:r>
    </w:p>
    <w:p>
      <w:pPr>
        <w:ind w:left="0" w:right="0" w:firstLine="488"/>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22.2开标仪式由采购代理机构组织。“江苏政府采购“苏采云”系统”将自动对项目进行开标，并宣读各投标人的《开标一览表》。</w:t>
      </w:r>
      <w:r>
        <w:rPr>
          <w:highlight w:val="none"/>
        </w:rPr>
      </w:r>
    </w:p>
    <w:p>
      <w:pPr>
        <w:ind w:left="0" w:right="0" w:firstLine="488"/>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rPr>
          <w:highlight w:val="none"/>
        </w:rPr>
      </w:r>
    </w:p>
    <w:p>
      <w:pPr>
        <w:ind w:left="0" w:right="0" w:firstLine="488"/>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rPr>
          <w:highlight w:val="none"/>
        </w:rPr>
      </w:r>
    </w:p>
    <w:p>
      <w:pPr>
        <w:ind w:left="0" w:right="0" w:firstLine="488"/>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22.5开标时，投标文件中开标一览表内容与投标文件中明细表内容不一致的，以开标一览表为准。</w:t>
      </w:r>
      <w:r>
        <w:rPr>
          <w:highlight w:val="none"/>
        </w:rPr>
      </w:r>
    </w:p>
    <w:p>
      <w:pPr>
        <w:ind w:left="0" w:right="0" w:firstLine="480"/>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highlight w:val="none"/>
        </w:rPr>
      </w:r>
    </w:p>
    <w:p>
      <w:pPr>
        <w:ind w:left="0" w:right="0" w:firstLine="488"/>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22.6投标人未参加开标的，视同认可开标结果。</w:t>
      </w:r>
      <w:r>
        <w:rPr>
          <w:highlight w:val="none"/>
        </w:rPr>
      </w:r>
    </w:p>
    <w:p>
      <w:pPr>
        <w:ind w:left="0" w:right="0" w:firstLine="0"/>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23.评标委员会</w:t>
      </w:r>
      <w:r>
        <w:rPr>
          <w:rFonts w:ascii="宋体" w:hAnsi="宋体" w:eastAsia="宋体" w:cs="宋体"/>
          <w:b/>
          <w:color w:val="000000"/>
          <w:sz w:val="24"/>
          <w:highlight w:val="none"/>
        </w:rPr>
        <w:tab/>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23.1评标委员会由招标采购单位依法组建，负责本项目的评标事务。</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23.2评标委员会独立履行下列职责：</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23.2.1审查投标文件是否符合招标文件的要求，并作出评价；</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23.2.2可以要求投标供应商对投标文件有关事项作出解释或澄清；</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23.2.3推荐中标候选供应商名单，或者受采购人委托按照事先确定的办法直接确定中标供应商；</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23.2.4向招标采购单位或者有关部门报告非法干预评标工作的行为。</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23.3评标委员会成员应当履行下列义务：</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23.3.1遵纪守法，客观、公正、廉洁地履行职责；</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23.3.2按照招标文件规定的评标办法和评标标准进行评标，对评审意见承担个人责任；</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23.3.3对评标过程和结果，以及投标人的商业秘密保密；</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23.3.4参与评标报告的起草；</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23.3.5配合相关部门的投诉处理工作；</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23.3.6配合招标采购单位答复投标供应商提出的质疑。</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24.评标内容的保密</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24.1公开开标后，直到宣布授予中标人合同为止，凡属于审查、澄清、评价和比较投标的所有资料，有关授予合同的信息都不应向投标人或与评标无关的其他人泄露。</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24.2 在投标文件的审查、澄清、评价和比较以及授予合同的过程中，投标人对招标采购单位和评标委员会成员施加影响的任何行为，都将取消其投标资格。</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24.3在评标期间，招标采购单位将通过指定联络人与投标人进行联系。</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25.对投标文件初审</w:t>
      </w:r>
      <w:r>
        <w:rPr>
          <w:highlight w:val="none"/>
        </w:rPr>
      </w:r>
    </w:p>
    <w:p>
      <w:pPr>
        <w:ind w:left="0" w:right="0" w:firstLine="488"/>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25.1投标文件初审分为资格性检查和符合性检查。</w:t>
      </w:r>
      <w:r>
        <w:rPr>
          <w:highlight w:val="none"/>
        </w:rPr>
      </w:r>
    </w:p>
    <w:p>
      <w:pPr>
        <w:ind w:left="0" w:right="0" w:firstLine="488"/>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25.1.1资格性检查。依据法律法规和招标文件的规定，对投标文件中的资格证明、投标保证金等进行审查，以确定投标供应商是否具备投标资格。</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25.1.2符合性检查。依据招标文件的规定，从投标文件的有效性、完整性和对招标文件的响应程度进行审查，以确定是否对招标文件的实质性要求作出响应。</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投标人有下列情况之一者，投标文件无效：</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1）投标人未在规定时间内成功解密电子投标文件的；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2）投标人未按照招标文件要求上传电子投标文件的；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3）投标文件未按照招标文件要求加盖电子签章；</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4）招标人的法定代表人授权代表，无法定代表人授权委托书的；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5）不具备招标文件中规定的资格要求或未按招标文件规定的要求提供资格、资信证明文件的；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6）被“信用中国”网站（www.creditchina.gov.cn）列入失信执行人、重大税收违法案件当事人名单、中国政府采购网(www.ccgp.gov.cn)政府采购严重违法失信行为记录名单的；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7）投标文件未按招标文件规定的内容和要求填写的；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8）投标文件中有招标文件未允许提供的选择性内容；</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9）不同投标人的投标文件由同一单位或者个人编制的；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10）不同投标人委托同一单位或者个人办理投标事宜的；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11）不同投标人的投标文件载明的项目管理成员为同一人的；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12）不同投标人的投标文件异常一致或者投标报价呈规律性差异的；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13）不同投标人的单位负责人为同一人或者存在直接控股、管理关系的；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14）项目（标段）投标总价或单价超过本项目（标段）预算或最高限价的；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15）提供虚假材料的（包括工商营业执照、财务报表、资格证明文件等）；</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16）投标文件含有采购人不能接受的附加条件的；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18）除单一来源采购项目外，为采购项目提供整体设计、规范编制或者项目管理、监理、检测等服务的；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19）投标文件内容不全或不符合招标文件中规定的其它实质性要求的；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20）法律法规和招标文件规定的其它无效情形；</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21）改变招标文件清单给出的名称、实施范围、工作内容、计量单位、工程量、养护标准等。</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25.5招标采购单位对投标文件的判定，只依据投标内容本身，不依靠开标后的任何外来证明。</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25.6招标采购单位将拒绝被确定为非实质性响应的投标，投标人不能通过修正或撤销不符之处而使其投标成为实质性响应的投标。</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26.投标的澄清</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26.1对投标文件中含义不明确</w:t>
      </w:r>
      <w:r>
        <w:rPr>
          <w:rFonts w:ascii="宋体" w:hAnsi="宋体" w:eastAsia="宋体" w:cs="宋体"/>
          <w:color w:val="000000"/>
          <w:sz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27.废标</w:t>
      </w:r>
      <w:r>
        <w:rPr>
          <w:highlight w:val="none"/>
        </w:rPr>
      </w:r>
    </w:p>
    <w:p>
      <w:pPr>
        <w:ind w:left="0" w:right="0" w:firstLine="57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27.1 在招标采购中，出现下列情形之一的，应予废标：</w:t>
      </w:r>
      <w:r>
        <w:rPr>
          <w:highlight w:val="none"/>
        </w:rPr>
      </w:r>
    </w:p>
    <w:p>
      <w:pPr>
        <w:ind w:left="0" w:right="0" w:firstLine="57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1．符合专业条件的投标人或者对招标文件作出实质性响应的投标人不足三家；</w:t>
      </w:r>
      <w:r>
        <w:rPr>
          <w:highlight w:val="none"/>
        </w:rPr>
      </w:r>
    </w:p>
    <w:p>
      <w:pPr>
        <w:ind w:left="0" w:right="0" w:firstLine="57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2．出现影响采购公正的违法、违规行为；</w:t>
      </w:r>
      <w:r>
        <w:rPr>
          <w:highlight w:val="none"/>
        </w:rPr>
      </w:r>
    </w:p>
    <w:p>
      <w:pPr>
        <w:ind w:left="0" w:right="0" w:firstLine="57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3．投标人的报价均超过采购预算，采购人不能支付的；</w:t>
      </w:r>
      <w:r>
        <w:rPr>
          <w:highlight w:val="none"/>
        </w:rPr>
      </w:r>
    </w:p>
    <w:p>
      <w:pPr>
        <w:ind w:left="0" w:right="0" w:firstLine="57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4．因重大变故，采购任务取消。</w:t>
      </w:r>
      <w:r>
        <w:rPr>
          <w:highlight w:val="none"/>
        </w:rPr>
      </w:r>
    </w:p>
    <w:p>
      <w:pPr>
        <w:ind w:left="485" w:right="0" w:firstLine="8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5．因“江苏政府采购“苏采云”系统”系统重大故障原因无法继续开评标的。</w:t>
      </w:r>
      <w:r>
        <w:rPr>
          <w:highlight w:val="none"/>
        </w:rPr>
      </w:r>
    </w:p>
    <w:p>
      <w:pPr>
        <w:ind w:left="485" w:right="0" w:firstLine="85"/>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6.评审过程中出现下列情形之一的，评审委员会应当启动异常低价投标(响应)审查程序:</w:t>
      </w:r>
      <w:r>
        <w:rPr>
          <w:highlight w:val="none"/>
        </w:rPr>
      </w:r>
    </w:p>
    <w:p>
      <w:pPr>
        <w:ind w:left="485" w:right="0" w:firstLine="85"/>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(1)投标(响应)报价低于采购项目预算50%的，即投标(响应)报价&lt;采购项目预算x50%;</w:t>
      </w:r>
      <w:r>
        <w:rPr>
          <w:highlight w:val="none"/>
        </w:rPr>
      </w:r>
    </w:p>
    <w:p>
      <w:pPr>
        <w:ind w:left="485" w:right="0" w:firstLine="85"/>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(2)投标(响应)报价低于采购项目最高限价45%的，即投标(响应)报价&lt;采购项目最高限价x45%:</w:t>
      </w:r>
      <w:r>
        <w:rPr>
          <w:highlight w:val="none"/>
        </w:rPr>
      </w:r>
    </w:p>
    <w:p>
      <w:pPr>
        <w:ind w:left="485" w:right="0" w:firstLine="85"/>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(3)评审委员会认定的供应商报价过低、有可能影响产品质量或者不能诚信履约的其他情形。</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28.投标文件的评价和比较</w:t>
      </w:r>
      <w:r>
        <w:rPr>
          <w:highlight w:val="none"/>
        </w:rPr>
      </w:r>
    </w:p>
    <w:p>
      <w:pPr>
        <w:ind w:left="0" w:right="0" w:firstLine="609"/>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28.1评标委员会按招标文件规定的评标方法和标准，对符合性检查合格的投标文件进行商务和技术评估，综合比较与评价。</w:t>
      </w:r>
      <w:r>
        <w:rPr>
          <w:highlight w:val="none"/>
        </w:rPr>
      </w:r>
    </w:p>
    <w:p>
      <w:pPr>
        <w:ind w:left="0" w:right="0" w:firstLine="609"/>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28.2最低的投标报价或最高的折扣比例是中标的重要条件，但不是唯一条件。</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七、授予合同</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29.中标人的确认</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29.1评标委员会按招标文件规定的评标方法和标准进行详细评审后，按招标采购单位的委托向招标采购单位推荐中标候选单位或根据采购人授权直接确定中标供应商。</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29.2中标无效的确认：</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（1）提供虚假材料谋取中标的；</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（2）采取不正当手段诋毁、排挤其他投标人的；</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（3）与招标采购单位、其他投标人恶意串通的；</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（4）向招标采购单位行贿或者提供其他不正当利益的；</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（5）在招标过程中与招标采购单位进行协商谈判、不按照招标文件和中标供应商的投标文件订立合同，或者与采购人另行订立背离合同实质性内容的协议的；</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（6）拒绝有关部门监督检查或者提供虚假情况的。</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29.3经评标委员</w:t>
      </w:r>
      <w:r>
        <w:rPr>
          <w:rFonts w:ascii="宋体" w:hAnsi="宋体" w:eastAsia="宋体" w:cs="宋体"/>
          <w:color w:val="000000"/>
          <w:sz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29.4供应商应当在法定质疑期内一次性提出针对同一采购程序环节的质疑。供应商如在法定期限内对同一采购程序环节提出多次质疑的，招标人（或代理机构）将只对供应商第一次质疑作出答复。</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29.5质疑函必须按照《质疑函范本》要求的格式和内容进行填写。投标人如组成联合体参加的，则《质疑函范本》中要求签字、盖章、加盖公章之处，联合体各方均须按要求签字、盖章、加盖公章。</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29.6本项目只接收以纸质原件形式送达的质疑，联系方式详见招标公告。</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29.7以下情形的质疑不予受理</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（1）质疑主体和内容不符合《政府采购质疑和投诉办法》第十一条、第十二条规定的；</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（2）供应商超过法定质疑期提出质疑的；</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（3）供应商以传真、电子邮件等方式递交的非原件形式的；</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（4）供应商组成联合体参加投标（响应）的，联合体中任何一方或多方未按要求签字、盖章、加盖公章的；</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（5）供应商对自身提出质疑的。</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29.8供应商提出书面质疑必须有理、有据，不得捏造事实、提供虚假材料进行恶意质疑。否则，报请政府采购监管部门对该供应商进行相应的行政处罚和记录该供应商的失信信息。</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30.合同授予标准</w:t>
      </w:r>
      <w:r>
        <w:rPr>
          <w:highlight w:val="none"/>
        </w:rPr>
      </w:r>
    </w:p>
    <w:p>
      <w:pPr>
        <w:ind w:left="0" w:right="0" w:firstLine="50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30.1招标采购单位将把合同授予其投标文件在实质上响应招标文件要求且综合评分得分最高的投标人。</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31.中标通知书</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31.2中标通知书将成为合同的组成部分。</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31.3招标采购单位对未中标供应商不承担解释未中标原因的义务。</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32.履约保证金</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32.1中标人应按规定提交履约保证金，履约保证金的金额为中标金额的6%。</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32.2中标人必须在合同签订前按规定将履约保证金交至采购人指定账户。中标人未按上述要求提交履约保证金的,采购人可取消其中标资格。</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32.3履约保证金（无息）将在合同期结束且经双方验收合格后，采购人凭中标人的收款收据无息退返给中标单位。</w:t>
      </w:r>
      <w:r>
        <w:rPr>
          <w:highlight w:val="none"/>
        </w:rPr>
      </w:r>
    </w:p>
    <w:p>
      <w:pPr>
        <w:ind w:left="0" w:right="0" w:firstLine="478"/>
        <w:jc w:val="both"/>
        <w:spacing w:before="0" w:after="0" w:line="85"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32.3履约保证金用以约束供应商在合同履行中的行为，弥补合同执行中由于自身行为可能给采购人带来的各种损失。</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33.合同的签订</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33.1中标人应按中标通知书中规定的时间和地点，由法定代表人或委托代理人与采购人代表签订合同。</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33.2签订合同及合同条款应以招标文件和中标人的投标文件及其澄清文件为依据。</w:t>
      </w:r>
      <w:r>
        <w:rPr>
          <w:highlight w:val="none"/>
        </w:rPr>
      </w:r>
    </w:p>
    <w:p>
      <w:pPr>
        <w:ind w:left="0" w:right="0" w:firstLine="431"/>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33.3中标人无正当理由拒签合同的，或在签订合同时向采购人提出附加条件或者更改合同实质性内容的，采购人可取消其中标资格，同时由中标人承担相应的法律责任。</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34.特别提醒</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34.1投标单位如有提供不实评审材料，弄虚作假者，一律作废标处理，该不良行为将予以公示。</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34.3政府采购线上合同信用融资功能告知提醒</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我区已正式启用“苏采云”系统，目前已全面开通政府采购线上合同信用融资（以下简称“政采贷”）功能。成交供应商可凭政府采购合同在中征平台发起贷款申请贷款。</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34.3.1.“政采贷”业务流程</w:t>
      </w:r>
      <w:r>
        <w:rPr>
          <w:highlight w:val="none"/>
        </w:rPr>
      </w:r>
    </w:p>
    <w:p>
      <w:pPr>
        <w:ind w:left="0" w:right="0" w:firstLine="431"/>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r/>
                      </pic:nvPicPr>
                      <pic:blipFill>
                        <a:blip r:embed="rId14"/>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4" o:title=""/>
              </v:shape>
            </w:pict>
          </mc:Fallback>
        </mc:AlternateContent>
      </w:r>
      <w:r>
        <w:rPr>
          <w:rFonts w:ascii="宋体" w:hAnsi="宋体" w:eastAsia="宋体" w:cs="宋体"/>
          <w:color w:val="000000"/>
          <w:sz w:val="24"/>
          <w:highlight w:val="none"/>
        </w:rPr>
        <w:t xml:space="preserve"> </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34.3.2.操作流程</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34.3.3.常见问题</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Q1：哪些企业能申请“政采贷”？</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答：江苏省内采用国库集中支付的政府采购项目的中标供应商，可凭政府采购合同申请"政采贷"。</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Q2：供应商在哪里申请“政采贷”？</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答：中标供应商在“中征应收账款融资服务平台”（简称“中征平台”）上向意向银行发起融资申请</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Q3：中标供应商要注意什么？</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答：中标供应商要加强和采购单位的沟通协调，尽早确定融资需求。需要“政采贷”融资的，政府采购合同付款账号应当空置。</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Q4：采购单位要做什么？</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Q5：“政采贷”融资失败怎么办？</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答：经合作银行审核后不予放款，或者贷款审核时间超过10个工作日的，视为融资失败，该项目回到财政预算管理一体化系统中支付资金。融资失败的，无法重新线上申请“政采贷”。</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34.3.4.网址及联系方式</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政采贷：http://www.ccgp-jiangsu.gov.cn/jiangsu/paying.html</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中征平台：https://www.crcrfsp.com/</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联系人：翟先生联系电话：0523-88816349</w:t>
      </w:r>
      <w:r>
        <w:rPr>
          <w:highlight w:val="none"/>
        </w:rPr>
      </w:r>
    </w:p>
    <w:p>
      <w:pPr>
        <w:numPr>
          <w:ilvl w:val="0"/>
          <w:numId w:val="3"/>
        </w:numPr>
        <w:jc w:val="both"/>
        <w:spacing w:before="240" w:after="240" w:line="85" w:lineRule="atLeast"/>
        <w:tabs>
          <w:tab w:val="left" w:pos="312"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货物（包含与货物相关的服务）的追加</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第三章 采购需求</w:t>
      </w:r>
      <w:r>
        <w:rPr>
          <w:highlight w:val="none"/>
        </w:rPr>
      </w:r>
    </w:p>
    <w:tbl>
      <w:tblPr>
        <w:tblW w:w="102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fixed"/>
        <w:tblCellMar>
          <w:left w:w="108" w:type="dxa"/>
          <w:top w:w="0" w:type="dxa"/>
          <w:right w:w="108" w:type="dxa"/>
          <w:bottom w:w="0" w:type="dxa"/>
        </w:tblCellMar>
        <w:tblLook w:val="04A0" w:firstRow="1" w:lastRow="0" w:firstColumn="1" w:lastColumn="0" w:noHBand="0" w:noVBand="1"/>
      </w:tblPr>
      <w:tblGrid>
        <w:gridCol w:w="1038"/>
        <w:gridCol w:w="9247"/>
      </w:tblGrid>
      <w:tr>
        <w:trPr>
          <w:jc w:val="center"/>
          <w:trHeight w:val="607"/>
        </w:trPr>
        <w:tc>
          <w:tcPr>
            <w:gridSpan w:val="2"/>
            <w:shd w:val="clear" w:color="auto"/>
            <w:tcBorders>
              <w:top w:val="none" w:color="000000" w:sz="4" w:space="0"/>
              <w:left w:val="none" w:color="000000" w:sz="4" w:space="0"/>
              <w:bottom w:val="none" w:color="000000" w:sz="4" w:space="0"/>
              <w:right w:val="none" w:color="000000" w:sz="4" w:space="0"/>
            </w:tcBorders>
            <w:tcW w:w="10285" w:type="dxa"/>
            <w:vAlign w:val="center"/>
            <w:textDirection w:val="lrTb"/>
            <w:noWrap/>
          </w:tcPr>
          <w:p>
            <w:pPr>
              <w:jc w:val="both"/>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一、全自动生化分析仪招标技术参数</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比色法速度：≥4000测试/小时，单个电解质模块速度：≥900测试/小时，总速度：≥4900测试/小时</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双试剂同时分析项目：≥110项（含ISE）</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样品种类：血清、血浆、尿液或其他类型</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分析方法：终点法、两点法、动力学法、比浊法等多种方法</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钾钠氯电极寿命：</w:t>
            </w:r>
            <w:r>
              <w:rPr>
                <w:rFonts w:hint="eastAsia" w:ascii="宋体" w:hAnsi="宋体" w:eastAsia="宋体" w:cs="宋体"/>
                <w:i w:val="0"/>
                <w:iCs w:val="0"/>
                <w:color w:val="000000"/>
                <w:sz w:val="24"/>
                <w:szCs w:val="24"/>
                <w:highlight w:val="none"/>
                <w:u w:val="none"/>
                <w:lang w:val="en-US" w:eastAsia="zh-CN" w:bidi="ar"/>
              </w:rPr>
              <w:t xml:space="preserve">≥6个月</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波长个数：＞</w:t>
            </w:r>
            <w:r>
              <w:rPr>
                <w:rFonts w:hint="eastAsia" w:ascii="宋体" w:hAnsi="宋体" w:eastAsia="宋体" w:cs="宋体"/>
                <w:i w:val="0"/>
                <w:iCs w:val="0"/>
                <w:color w:val="000000"/>
                <w:sz w:val="24"/>
                <w:szCs w:val="24"/>
                <w:highlight w:val="none"/>
                <w:u w:val="none"/>
                <w:lang w:val="en-US" w:eastAsia="zh-CN" w:bidi="ar"/>
              </w:rPr>
              <w:t xml:space="preserve">12个</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分光系统：光栅后分光技术</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吸光度线性范围：</w:t>
            </w:r>
            <w:r>
              <w:rPr>
                <w:rFonts w:hint="eastAsia" w:ascii="宋体" w:hAnsi="宋体" w:eastAsia="宋体" w:cs="宋体"/>
                <w:i w:val="0"/>
                <w:iCs w:val="0"/>
                <w:color w:val="000000"/>
                <w:sz w:val="24"/>
                <w:szCs w:val="24"/>
                <w:highlight w:val="none"/>
                <w:u w:val="none"/>
                <w:lang w:val="en-US" w:eastAsia="zh-CN" w:bidi="ar"/>
              </w:rPr>
              <w:t xml:space="preserve">0-3.0 OD</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常规样本进样区容量：≥350管，不含缓冲区</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 </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样本容器：多种规格的原始管（真空采血管）或样品杯可混合使用</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具备样本凝块检出功能及样品探针堵孔报警系统和探针防撞保护功能</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进样方式：三条轨道处理进样，具备独立急诊轨道，可连续、随机进样</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急诊样本位：</w:t>
            </w:r>
            <w:r>
              <w:rPr>
                <w:rStyle w:val="1027"/>
                <w:rFonts w:hint="eastAsia" w:ascii="宋体" w:hAnsi="宋体" w:eastAsia="宋体" w:cs="宋体"/>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20管</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采用干式孵育，无需耗材，节约成本</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试剂仓：冷藏功能，R1+R2试剂位≥100个</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配备样本和试剂条形码，具备试管液面自动跟踪功能</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采用石英玻璃反应杯，反应杯数量≥408个/模块</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最小总反应体积：</w:t>
            </w:r>
            <w:r>
              <w:rPr>
                <w:rFonts w:hint="eastAsia" w:ascii="宋体" w:hAnsi="宋体" w:eastAsia="宋体" w:cs="宋体"/>
                <w:i w:val="0"/>
                <w:iCs w:val="0"/>
                <w:color w:val="000000"/>
                <w:sz w:val="24"/>
                <w:szCs w:val="24"/>
                <w:highlight w:val="none"/>
                <w:u w:val="none"/>
                <w:lang w:val="en-US" w:eastAsia="zh-CN" w:bidi="ar"/>
              </w:rPr>
              <w:t xml:space="preserve">≤80uL</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最小样品体积：</w:t>
            </w:r>
            <w:r>
              <w:rPr>
                <w:rFonts w:hint="eastAsia" w:ascii="宋体" w:hAnsi="宋体" w:eastAsia="宋体" w:cs="宋体"/>
                <w:i w:val="0"/>
                <w:iCs w:val="0"/>
                <w:color w:val="000000"/>
                <w:sz w:val="24"/>
                <w:szCs w:val="24"/>
                <w:highlight w:val="none"/>
                <w:u w:val="none"/>
                <w:lang w:val="en-US" w:eastAsia="zh-CN" w:bidi="ar"/>
              </w:rPr>
              <w:t xml:space="preserve">≤1.0uL（0.1 uL步进）</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R1</w:t>
            </w:r>
            <w:r>
              <w:rPr>
                <w:rFonts w:hint="eastAsia" w:ascii="宋体" w:hAnsi="宋体" w:eastAsia="宋体" w:cs="宋体"/>
                <w:i w:val="0"/>
                <w:iCs w:val="0"/>
                <w:color w:val="000000"/>
                <w:sz w:val="24"/>
                <w:szCs w:val="24"/>
                <w:highlight w:val="none"/>
                <w:u w:val="none"/>
                <w:lang w:val="en-US" w:eastAsia="zh-CN" w:bidi="ar"/>
              </w:rPr>
              <w:t xml:space="preserve">和R2最小试剂体积均：≤10uL（1 uL步进）</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样本识别：具有样本ID识别功能，满足各种条码格式</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温控精度：37±0.1℃</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试剂管理：既可识别条码也可以手工设定</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联机：可进行单向和双向通讯，满足LIS端口需要，可进行远程诊断</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内置Westgard质控规则和Levey Jennings图形规则</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试剂全开放，并且可提供同品牌全套原装试剂、校准品和质控品供用户选择，保证完整溯源性</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内置</w:t>
            </w:r>
            <w:r>
              <w:rPr>
                <w:rFonts w:hint="eastAsia" w:ascii="宋体" w:hAnsi="宋体" w:eastAsia="宋体" w:cs="宋体"/>
                <w:i w:val="0"/>
                <w:iCs w:val="0"/>
                <w:color w:val="000000"/>
                <w:sz w:val="24"/>
                <w:szCs w:val="24"/>
                <w:highlight w:val="none"/>
                <w:u w:val="none"/>
                <w:lang w:val="en-US" w:eastAsia="zh-CN" w:bidi="ar"/>
              </w:rPr>
              <w:t xml:space="preserve">Westgard质控规则和Levey Jennings图形规则</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标准配置</w:t>
            </w:r>
            <w:r>
              <w:rPr>
                <w:rFonts w:hint="eastAsia" w:ascii="宋体" w:hAnsi="宋体" w:eastAsia="宋体" w:cs="宋体"/>
                <w:i w:val="0"/>
                <w:iCs w:val="0"/>
                <w:color w:val="000000"/>
                <w:sz w:val="24"/>
                <w:szCs w:val="24"/>
                <w:highlight w:val="none"/>
                <w:u w:val="none"/>
                <w:lang w:val="en-US" w:eastAsia="zh-CN" w:bidi="ar"/>
              </w:rPr>
              <w:t xml:space="preserve">RS-232C接口，具备单/双向通讯，可进行远程诊断，投标人承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担医院网络连接产生的一切费用和电脑</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设备必须能与医院检验科目前使用的生化流水线轨道无缝连接</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Windows</w:t>
            </w:r>
            <w:r>
              <w:rPr>
                <w:rFonts w:hint="eastAsia" w:ascii="宋体" w:hAnsi="宋体" w:eastAsia="宋体" w:cs="宋体"/>
                <w:i w:val="0"/>
                <w:iCs w:val="0"/>
                <w:color w:val="000000"/>
                <w:sz w:val="24"/>
                <w:szCs w:val="24"/>
                <w:highlight w:val="none"/>
                <w:u w:val="none"/>
                <w:lang w:val="en-US" w:eastAsia="zh-CN" w:bidi="ar"/>
              </w:rPr>
              <w:t xml:space="preserve">图形化全中文操作平台</w:t>
            </w:r>
            <w:r>
              <w:rPr>
                <w:highlight w:val="none"/>
              </w:rPr>
            </w:r>
          </w:p>
        </w:tc>
      </w:tr>
      <w:tr>
        <w:trPr>
          <w:jc w:val="center"/>
          <w:trHeight w:val="600"/>
        </w:trPr>
        <w:tc>
          <w:tcPr>
            <w:shd w:val="clear" w:color="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highlight w:val="none"/>
              </w:rPr>
            </w:r>
          </w:p>
        </w:tc>
        <w:tc>
          <w:tcPr>
            <w:shd w:val="clear" w:color="auto"/>
            <w:tcBorders>
              <w:top w:val="single" w:color="000000" w:sz="4" w:space="0"/>
              <w:left w:val="single" w:color="000000" w:sz="4" w:space="0"/>
              <w:bottom w:val="single" w:color="000000" w:sz="4" w:space="0"/>
              <w:right w:val="single" w:color="000000" w:sz="4" w:space="0"/>
            </w:tcBorders>
            <w:tcW w:w="92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故障诊断：具备智能故障检测及在线帮助功能，可提示软硬件系统的故障原因和部位</w:t>
            </w:r>
            <w:r>
              <w:rPr>
                <w:highlight w:val="none"/>
              </w:rPr>
            </w:r>
          </w:p>
        </w:tc>
      </w:tr>
    </w:tbl>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jc w:val="left"/>
        <w:spacing w:line="360" w:lineRule="auto"/>
        <w:tabs>
          <w:tab w:val="left" w:pos="1260" w:leader="none"/>
        </w:tabs>
        <w:rPr>
          <w:rFonts w:hint="default"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二</w:t>
      </w:r>
      <w:r>
        <w:rPr>
          <w:rFonts w:ascii="宋体" w:hAnsi="宋体" w:eastAsia="宋体" w:cs="宋体"/>
          <w:b/>
          <w:bCs/>
          <w:sz w:val="28"/>
          <w:szCs w:val="28"/>
          <w:highlight w:val="none"/>
        </w:rPr>
        <w:t xml:space="preserve">、商务需求</w:t>
      </w: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lang w:val="en-US" w:eastAsia="zh-CN"/>
        </w:rPr>
        <w:t xml:space="preserve">商务需求需逐条相应，不得负偏离）</w:t>
      </w:r>
      <w:r>
        <w:rPr>
          <w:highlight w:val="none"/>
        </w:rPr>
      </w:r>
    </w:p>
    <w:tbl>
      <w:tblPr>
        <w:tblStyle w:val="749"/>
        <w:tblW w:w="60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2122"/>
        <w:gridCol w:w="6769"/>
      </w:tblGrid>
      <w:tr>
        <w:trPr>
          <w:jc w:val="center"/>
          <w:trHeight w:val="750"/>
        </w:trPr>
        <w:tc>
          <w:tcPr>
            <w:tcW w:w="1344"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序号</w:t>
            </w:r>
            <w:r>
              <w:rPr>
                <w:highlight w:val="none"/>
              </w:rPr>
            </w:r>
          </w:p>
        </w:tc>
        <w:tc>
          <w:tcPr>
            <w:tcW w:w="2122"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商务和服务项目</w:t>
            </w:r>
            <w:r>
              <w:rPr>
                <w:highlight w:val="none"/>
              </w:rPr>
            </w:r>
          </w:p>
        </w:tc>
        <w:tc>
          <w:tcPr>
            <w:tcW w:w="6769"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商务和服务要求</w:t>
            </w:r>
            <w:r>
              <w:rPr>
                <w:highlight w:val="none"/>
              </w:rPr>
            </w:r>
          </w:p>
        </w:tc>
      </w:tr>
      <w:tr>
        <w:trPr>
          <w:jc w:val="center"/>
          <w:trHeight w:val="759"/>
        </w:trPr>
        <w:tc>
          <w:tcPr>
            <w:tcW w:w="1344"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1</w:t>
            </w:r>
            <w:r>
              <w:rPr>
                <w:highlight w:val="none"/>
              </w:rPr>
            </w:r>
          </w:p>
        </w:tc>
        <w:tc>
          <w:tcPr>
            <w:tcW w:w="2122"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交货期</w:t>
            </w:r>
            <w:r>
              <w:rPr>
                <w:highlight w:val="none"/>
              </w:rPr>
            </w:r>
          </w:p>
        </w:tc>
        <w:tc>
          <w:tcPr>
            <w:tcW w:w="6769"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合同签订后</w:t>
            </w:r>
            <w:r>
              <w:rPr>
                <w:rFonts w:hint="eastAsia" w:ascii="宋体" w:hAnsi="宋体" w:eastAsia="宋体" w:cs="宋体"/>
                <w:bCs/>
                <w:sz w:val="24"/>
                <w:szCs w:val="24"/>
                <w:highlight w:val="none"/>
                <w:lang w:val="en-US" w:eastAsia="zh-CN"/>
              </w:rPr>
              <w:t xml:space="preserve">30</w:t>
            </w:r>
            <w:r>
              <w:rPr>
                <w:rFonts w:hint="eastAsia" w:ascii="宋体" w:hAnsi="宋体" w:eastAsia="宋体" w:cs="宋体"/>
                <w:bCs/>
                <w:sz w:val="24"/>
                <w:szCs w:val="24"/>
                <w:highlight w:val="none"/>
              </w:rPr>
              <w:t xml:space="preserve">天内</w:t>
            </w:r>
            <w:r>
              <w:rPr>
                <w:highlight w:val="none"/>
              </w:rPr>
            </w:r>
          </w:p>
        </w:tc>
      </w:tr>
      <w:tr>
        <w:trPr>
          <w:jc w:val="center"/>
          <w:trHeight w:val="867"/>
        </w:trPr>
        <w:tc>
          <w:tcPr>
            <w:tcW w:w="1344"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highlight w:val="none"/>
              </w:rPr>
            </w:r>
          </w:p>
        </w:tc>
        <w:tc>
          <w:tcPr>
            <w:tcW w:w="2122"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售后服务</w:t>
            </w:r>
            <w:r>
              <w:rPr>
                <w:highlight w:val="none"/>
              </w:rPr>
            </w:r>
          </w:p>
        </w:tc>
        <w:tc>
          <w:tcPr>
            <w:tcW w:w="6769" w:type="dxa"/>
            <w:vAlign w:val="center"/>
            <w:textDirection w:val="lrTb"/>
            <w:noWrap w:val="false"/>
          </w:tcPr>
          <w:p>
            <w:pPr>
              <w:pStyle w:val="754"/>
              <w:spacing w:line="360" w:lineRule="auto"/>
              <w:rPr>
                <w:rFonts w:hint="eastAsia" w:asciiTheme="minorEastAsia" w:hAnsiTheme="minorEastAsia" w:eastAsiaTheme="minorEastAsia"/>
                <w:sz w:val="24"/>
                <w:szCs w:val="24"/>
                <w:highlight w:val="none"/>
              </w:rPr>
            </w:pPr>
            <w:r>
              <w:rPr>
                <w:rFonts w:hint="eastAsia" w:ascii="宋体" w:hAnsi="宋体" w:eastAsia="宋体" w:cs="宋体"/>
                <w:bCs/>
                <w:sz w:val="24"/>
                <w:szCs w:val="24"/>
                <w:highlight w:val="none"/>
              </w:rPr>
              <w:t xml:space="preserve">1、质保期：</w:t>
            </w:r>
            <w:r>
              <w:rPr>
                <w:rFonts w:hint="eastAsia" w:ascii="宋体" w:hAnsi="宋体" w:eastAsia="宋体" w:cs="宋体"/>
                <w:bCs/>
                <w:sz w:val="24"/>
                <w:szCs w:val="24"/>
                <w:highlight w:val="none"/>
              </w:rPr>
              <w:t xml:space="preserve">原厂整机免费质保</w:t>
            </w:r>
            <w:r>
              <w:rPr>
                <w:rFonts w:hint="eastAsia" w:ascii="宋体" w:hAnsi="宋体" w:eastAsia="宋体" w:cs="宋体"/>
                <w:bCs/>
                <w:sz w:val="24"/>
                <w:szCs w:val="24"/>
                <w:highlight w:val="none"/>
                <w:lang w:val="en-US" w:eastAsia="zh-CN"/>
              </w:rPr>
              <w:t xml:space="preserve">≥六</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rPr>
              <w:t xml:space="preserve">（含配件及易损件）；质保期后的维修只收取零备件费。接到客户反馈后半小时响应，24小时内赶到现场维修。</w:t>
            </w:r>
            <w:r>
              <w:rPr>
                <w:highlight w:val="none"/>
              </w:rPr>
            </w:r>
          </w:p>
          <w:p>
            <w:pPr>
              <w:pStyle w:val="754"/>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2、免费送货至医院指定地点安装调试，免费培训工程师、操作人员至能熟练操作为止。</w:t>
            </w:r>
            <w:r>
              <w:rPr>
                <w:highlight w:val="none"/>
              </w:rPr>
            </w:r>
          </w:p>
          <w:p>
            <w:pPr>
              <w:pStyle w:val="754"/>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3、设备交付使用后，定期对设备进行维护保养，在保修期内提供免费维护保养服务两次。</w:t>
            </w:r>
            <w:r>
              <w:rPr>
                <w:highlight w:val="none"/>
              </w:rPr>
            </w:r>
          </w:p>
          <w:p>
            <w:pPr>
              <w:pStyle w:val="754"/>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4、保证所提供设备的配件</w:t>
            </w:r>
            <w:r>
              <w:rPr>
                <w:rFonts w:asciiTheme="minorEastAsia" w:hAnsiTheme="minorEastAsia" w:eastAsiaTheme="minorEastAsia"/>
                <w:sz w:val="24"/>
                <w:szCs w:val="24"/>
                <w:highlight w:val="none"/>
              </w:rPr>
              <w:t xml:space="preserve">10</w:t>
            </w:r>
            <w:r>
              <w:rPr>
                <w:rFonts w:hint="eastAsia" w:asciiTheme="minorEastAsia" w:hAnsiTheme="minorEastAsia" w:eastAsiaTheme="minorEastAsia"/>
                <w:sz w:val="24"/>
                <w:szCs w:val="24"/>
                <w:highlight w:val="none"/>
              </w:rPr>
              <w:t xml:space="preserve">年供货期，承诺期内保证配件需求。</w:t>
            </w:r>
            <w:r>
              <w:rPr>
                <w:highlight w:val="none"/>
              </w:rPr>
            </w:r>
          </w:p>
          <w:p>
            <w:pPr>
              <w:pStyle w:val="754"/>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5、定期对机器清洁、性能测试及校准、必要的机械或电气的检查。</w:t>
            </w:r>
            <w:r>
              <w:rPr>
                <w:highlight w:val="none"/>
              </w:rPr>
            </w:r>
          </w:p>
        </w:tc>
      </w:tr>
      <w:tr>
        <w:trPr>
          <w:jc w:val="center"/>
          <w:trHeight w:val="810"/>
        </w:trPr>
        <w:tc>
          <w:tcPr>
            <w:tcW w:w="1344"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highlight w:val="none"/>
              </w:rPr>
            </w:r>
          </w:p>
        </w:tc>
        <w:tc>
          <w:tcPr>
            <w:tcW w:w="2122"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交货地点</w:t>
            </w:r>
            <w:r>
              <w:rPr>
                <w:highlight w:val="none"/>
              </w:rPr>
            </w:r>
          </w:p>
        </w:tc>
        <w:tc>
          <w:tcPr>
            <w:tcW w:w="6769"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泰兴市人民医院</w:t>
            </w:r>
            <w:r>
              <w:rPr>
                <w:rFonts w:hint="eastAsia" w:ascii="宋体" w:hAnsi="宋体" w:eastAsia="宋体" w:cs="宋体"/>
                <w:bCs/>
                <w:sz w:val="24"/>
                <w:szCs w:val="24"/>
                <w:highlight w:val="none"/>
              </w:rPr>
              <w:t xml:space="preserve">指定地点</w:t>
            </w:r>
            <w:r>
              <w:rPr>
                <w:highlight w:val="none"/>
              </w:rPr>
            </w:r>
          </w:p>
        </w:tc>
      </w:tr>
      <w:tr>
        <w:trPr>
          <w:jc w:val="center"/>
          <w:trHeight w:val="837"/>
        </w:trPr>
        <w:tc>
          <w:tcPr>
            <w:tcW w:w="1344"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highlight w:val="none"/>
              </w:rPr>
            </w:r>
          </w:p>
        </w:tc>
        <w:tc>
          <w:tcPr>
            <w:tcW w:w="2122"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包装运输</w:t>
            </w:r>
            <w:r>
              <w:rPr>
                <w:highlight w:val="none"/>
              </w:rPr>
            </w:r>
          </w:p>
        </w:tc>
        <w:tc>
          <w:tcPr>
            <w:tcW w:w="6769"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由供应商承担</w:t>
            </w:r>
            <w:r>
              <w:rPr>
                <w:highlight w:val="none"/>
              </w:rPr>
            </w:r>
          </w:p>
        </w:tc>
      </w:tr>
      <w:tr>
        <w:trPr>
          <w:jc w:val="center"/>
          <w:trHeight w:val="692"/>
        </w:trPr>
        <w:tc>
          <w:tcPr>
            <w:tcW w:w="1344"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ascii="宋体" w:hAnsi="宋体" w:eastAsia="宋体" w:cs="宋体"/>
                <w:bCs/>
                <w:sz w:val="24"/>
                <w:szCs w:val="24"/>
                <w:highlight w:val="none"/>
              </w:rPr>
              <w:t xml:space="preserve">5</w:t>
            </w:r>
            <w:r>
              <w:rPr>
                <w:highlight w:val="none"/>
              </w:rPr>
            </w:r>
          </w:p>
        </w:tc>
        <w:tc>
          <w:tcPr>
            <w:shd w:val="clear" w:color="auto" w:fill="ffffff" w:themeFill="background1"/>
            <w:tcW w:w="2122"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付款方式</w:t>
            </w:r>
            <w:r>
              <w:rPr>
                <w:highlight w:val="none"/>
              </w:rPr>
            </w:r>
          </w:p>
        </w:tc>
        <w:tc>
          <w:tcPr>
            <w:shd w:val="clear" w:color="auto" w:fill="ffffff" w:themeFill="background1"/>
            <w:tcW w:w="6769"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设备安装、调试、验收合格后凭验收合格报告付合同价的90%，余款202</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6</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年年底付</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款</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w:t>
            </w:r>
            <w:r>
              <w:rPr>
                <w:highlight w:val="none"/>
              </w:rPr>
            </w:r>
          </w:p>
        </w:tc>
      </w:tr>
      <w:tr>
        <w:trPr>
          <w:jc w:val="center"/>
          <w:trHeight w:val="692"/>
        </w:trPr>
        <w:tc>
          <w:tcPr>
            <w:tcW w:w="1344"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highlight w:val="none"/>
              </w:rPr>
            </w:r>
          </w:p>
        </w:tc>
        <w:tc>
          <w:tcPr>
            <w:shd w:val="clear" w:color="auto" w:fill="ffffff" w:themeFill="background1"/>
            <w:tcW w:w="2122" w:type="dxa"/>
            <w:vAlign w:val="center"/>
            <w:textDirection w:val="lrTb"/>
            <w:noWrap w:val="false"/>
          </w:tcPr>
          <w:p>
            <w:pPr>
              <w:jc w:val="center"/>
              <w:spacing w:line="340" w:lineRule="exact"/>
              <w:widowControl/>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设备出厂日期</w:t>
            </w:r>
            <w:r>
              <w:rPr>
                <w:highlight w:val="none"/>
              </w:rPr>
            </w:r>
          </w:p>
        </w:tc>
        <w:tc>
          <w:tcPr>
            <w:shd w:val="clear" w:color="auto" w:fill="ffffff" w:themeFill="background1"/>
            <w:tcW w:w="6769" w:type="dxa"/>
            <w:vAlign w:val="center"/>
            <w:textDirection w:val="lrTb"/>
            <w:noWrap w:val="false"/>
          </w:tcPr>
          <w:p>
            <w:pPr>
              <w:jc w:val="center"/>
              <w:spacing w:line="340" w:lineRule="exact"/>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设备交付日期距出厂日期≤半年(进口设备≤九个月)。</w:t>
            </w:r>
            <w:r>
              <w:rPr>
                <w:highlight w:val="none"/>
              </w:rPr>
            </w:r>
          </w:p>
        </w:tc>
      </w:tr>
    </w:tbl>
    <w:p>
      <w:pPr>
        <w:jc w:val="left"/>
        <w:spacing w:line="360" w:lineRule="auto"/>
        <w:tabs>
          <w:tab w:val="left" w:pos="1260" w:leader="none"/>
        </w:tabs>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、采购标的的所属行业</w:t>
      </w:r>
      <w:r>
        <w:rPr>
          <w:highlight w:val="none"/>
        </w:rPr>
      </w:r>
    </w:p>
    <w:p>
      <w:pPr>
        <w:rPr>
          <w:rFonts w:ascii="宋体" w:hAnsi="宋体" w:eastAsia="宋体" w:cs="宋体"/>
          <w:b/>
          <w:color w:val="000000"/>
          <w:sz w:val="32"/>
          <w:highlight w:val="none"/>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工业  </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w:t>
      </w:r>
      <w:r>
        <w:rPr>
          <w:rFonts w:ascii="宋体" w:hAnsi="宋体" w:eastAsia="宋体" w:cs="宋体"/>
          <w:b/>
          <w:color w:val="000000"/>
          <w:sz w:val="32"/>
          <w:highlight w:val="none"/>
        </w:rPr>
        <w:br w:type="page" w:clear="all"/>
      </w:r>
      <w:r>
        <w:rPr>
          <w:highlight w:val="none"/>
        </w:rP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第四章 评标办法及标准</w:t>
      </w:r>
      <w:r>
        <w:rPr>
          <w:highlight w:val="none"/>
        </w:rPr>
      </w:r>
    </w:p>
    <w:p>
      <w:pPr>
        <w:ind w:left="0" w:right="0" w:firstLine="56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一、资格审查。</w:t>
      </w:r>
      <w:r>
        <w:rPr>
          <w:rFonts w:ascii="宋体" w:hAnsi="宋体" w:eastAsia="宋体" w:cs="宋体"/>
          <w:color w:val="000000"/>
          <w:sz w:val="24"/>
          <w:highlight w:val="none"/>
        </w:rPr>
        <w:t xml:space="preserve">资格审查人员按照下列指标对各供应商的资格进行审查，未通过审查的为无效标，不参与评审。</w:t>
      </w:r>
      <w:r>
        <w:rPr>
          <w:highlight w:val="none"/>
        </w:rP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64"/>
        <w:gridCol w:w="414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资格审查因素</w:t>
            </w:r>
            <w:r>
              <w:rPr>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审查标准</w:t>
            </w:r>
            <w:r>
              <w:rPr>
                <w:highlight w:val="none"/>
              </w:rPr>
            </w:r>
          </w:p>
        </w:tc>
      </w:tr>
      <w:tr>
        <w:trPr>
          <w:trHeight w:val="1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具有独立承担民事责任的能力</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具有良好的商业信誉和健全的财务会计制度</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具有履行合同所必需的设备和专业技术能力</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有依法缴纳税收和社会保障资金的良好记录</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无重大违法行为声明</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 </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法律、行政法规规定的其他条件</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 </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符合联合体规定</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特定资格要求</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p>
        </w:tc>
      </w:tr>
    </w:tbl>
    <w:p>
      <w:pPr>
        <w:ind w:left="0" w:right="0" w:firstLine="56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二、符合性审查。</w:t>
      </w:r>
      <w:r>
        <w:rPr>
          <w:rFonts w:ascii="宋体" w:hAnsi="宋体" w:eastAsia="宋体" w:cs="宋体"/>
          <w:color w:val="000000"/>
          <w:sz w:val="24"/>
          <w:highlight w:val="none"/>
        </w:rPr>
        <w:t xml:space="preserve">采购小组首先按照下列指标对各供应商进行初步评审，未通过评审的为无效标，不再参与评审。</w:t>
      </w:r>
      <w:r>
        <w:rPr>
          <w:highlight w:val="none"/>
        </w:rP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53"/>
        <w:gridCol w:w="415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评审因素</w:t>
            </w:r>
            <w:r>
              <w:rPr>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评审标准</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投标声明及承诺函</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法定代表人身份证明或授权委托书</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开标一览表及投标报价</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其他（实质性条款的响应性）</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p>
        </w:tc>
      </w:tr>
    </w:tbl>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p>
    <w:p>
      <w:pPr>
        <w:ind w:left="0" w:right="0" w:firstLine="56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三、评标办法：</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本项目评标采用综合评分法，总分为100分。合格投标人的综合得分为各评分项目汇总</w:t>
      </w:r>
      <w:r>
        <w:rPr>
          <w:rFonts w:ascii="宋体" w:hAnsi="宋体" w:eastAsia="宋体" w:cs="宋体"/>
          <w:color w:val="000000"/>
          <w:sz w:val="24"/>
          <w:highlight w:val="none"/>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政府采购政策功能落实</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1、小微型企业价格扣除</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（1）本项目对小型和微型企业产品给予10%的扣除价格，用扣除后的价格参与评审。</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（2）供应商需按照采购文件的要求提供相应的《中小企业声明函》。</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（3）企业标准请参照《关于印发中小企业划型标准规定的通知》（工信部联企业[2011]300号）文件规定自行填写。</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2、残疾人福利单位价格扣除</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（1）本项目对残疾人福利性单位视同小型、微型企业，给予10%的价格扣除，用扣除后的价格参与评审。</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（2）残疾人福利单位需按照采购文件的要求提供《残疾人福利性单位声明函》。</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（3）残疾人福利单位标准请参照《关于促进残疾人就业政府采购政策的通知》（财库〔2017〕141号）。</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3、监狱和戒毒企业价格扣除</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（1）本项目对监狱和戒毒企业（简称监狱企业）视同小型、微型企业，给予10%的价格扣除，用扣除后的价格参与评审。</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（3）监狱企业标准请参照《关于政府采购支持监狱企业发展有关问题的通知》（财库[2014]68号）。</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4、残疾人福利单位、监狱企业属于小型、微型企业的，不重复享受政策。</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highlight w:val="none"/>
        </w:rPr>
      </w:r>
    </w:p>
    <w:p>
      <w:pPr>
        <w:ind w:left="0" w:right="0" w:firstLine="420"/>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对国家认定的节能产品和环保产品分别给予投标价的5%价格扣除，用扣除后的价格参与评审（特别说明：节能、环保产品必须纳入“中国政府采购网</w:t>
      </w:r>
      <w:r>
        <w:rPr>
          <w:rFonts w:ascii="宋体" w:hAnsi="宋体" w:eastAsia="宋体" w:cs="宋体"/>
          <w:color w:val="000000"/>
          <w:sz w:val="24"/>
          <w:highlight w:val="none"/>
        </w:rPr>
        <w:br/>
      </w:r>
      <w:r>
        <w:rPr>
          <w:highlight w:val="none"/>
        </w:rPr>
        <w:fldChar w:fldCharType="begin"/>
      </w:r>
      <w:r>
        <w:rPr>
          <w:highlight w:val="none"/>
        </w:rPr>
        <w:instrText xml:space="preserve"> HYPERLINK "http://www.ccgp.gov.cn/" \o "http://www.ccgp.gov.cn/" </w:instrText>
      </w:r>
      <w:r>
        <w:rPr>
          <w:highlight w:val="none"/>
        </w:rPr>
        <w:fldChar w:fldCharType="separate"/>
      </w:r>
      <w:r>
        <w:rPr>
          <w:rStyle w:val="785"/>
          <w:rFonts w:ascii="宋体" w:hAnsi="宋体" w:eastAsia="宋体" w:cs="宋体"/>
          <w:color w:val="0000ee"/>
          <w:sz w:val="24"/>
          <w:highlight w:val="none"/>
          <w:u w:val="single"/>
        </w:rPr>
        <w:t xml:space="preserve">http://www.ccgp.gov.cn”等官方网站“节能、环保产品查询系统”</w:t>
      </w:r>
      <w:r>
        <w:rPr>
          <w:rStyle w:val="785"/>
          <w:rFonts w:ascii="宋体" w:hAnsi="宋体" w:eastAsia="宋体" w:cs="宋体"/>
          <w:color w:val="0000ee"/>
          <w:sz w:val="24"/>
          <w:highlight w:val="none"/>
          <w:u w:val="single"/>
        </w:rPr>
        <w:fldChar w:fldCharType="end"/>
      </w:r>
      <w:r>
        <w:rPr>
          <w:rFonts w:ascii="宋体" w:hAnsi="宋体" w:eastAsia="宋体" w:cs="宋体"/>
          <w:color w:val="000000"/>
          <w:sz w:val="24"/>
          <w:highlight w:val="none"/>
        </w:rPr>
        <w:t xml:space="preserve">，且以提供的证书复印件为准）。</w:t>
      </w:r>
      <w:r>
        <w:rPr>
          <w:rFonts w:ascii="宋体" w:hAnsi="宋体" w:eastAsia="宋体" w:cs="宋体"/>
          <w:color w:val="000000"/>
          <w:sz w:val="24"/>
          <w:highlight w:val="none"/>
        </w:rPr>
        <w:br/>
      </w:r>
      <w:r>
        <w:rPr>
          <w:rFonts w:ascii="宋体" w:hAnsi="宋体" w:eastAsia="宋体" w:cs="宋体"/>
          <w:color w:val="000000"/>
          <w:sz w:val="24"/>
          <w:highlight w:val="none"/>
        </w:rPr>
        <w:t xml:space="preserve">   6、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7、联合体各方均为小型、微型企业（残疾人福利单位、监狱企业）的，联合体享受10%价格扣除，用扣除后的价格参与评审。</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8、专门面向中小企业采购的项目，小微企业不再享受价格扣除优惠政策。</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9、采购本国产品的支持政策</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9.1 本项目政府采购活动中既有本国产品又有非本国产品参与竞争的，依法对本国产品给予价格评审优惠，对本国产品的报价给予20%的价格扣除，用扣除后的价格参与评审。</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9.3 供应商需按照招标文件的要求提供《关于符合本国产品标准的声明函》（以下简称《声明函》），如不提供将不享受本国产品价格评审优惠。</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9.4 供应商需在《声明函》中逐一、准确填写产品名称、厂名、生产厂址三项信息（《声明函》中用横线     划除的地方无需填写），三项信息中任意一项未填写的视为该项产品不符合本国产品标准，不享受本国产品价格评审优惠。</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p>
    <w:p>
      <w:pPr>
        <w:ind w:left="0" w:right="0" w:firstLine="56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四、评标内容及标准： </w:t>
      </w:r>
      <w:r>
        <w:rPr>
          <w:highlight w:val="none"/>
        </w:rPr>
      </w:r>
    </w:p>
    <w:tbl>
      <w:tblPr>
        <w:tblStyle w:val="781"/>
        <w:tblW w:w="507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1194"/>
        <w:gridCol w:w="5562"/>
        <w:gridCol w:w="791"/>
      </w:tblGrid>
      <w:tr>
        <w:trPr>
          <w:jc w:val="center"/>
        </w:trPr>
        <w:tc>
          <w:tcPr>
            <w:tcBorders>
              <w:top w:val="single" w:color="000000" w:sz="8" w:space="0"/>
              <w:left w:val="single" w:color="000000" w:sz="8" w:space="0"/>
              <w:bottom w:val="single" w:color="000000" w:sz="8" w:space="0"/>
              <w:right w:val="single" w:color="000000" w:sz="8" w:space="0"/>
            </w:tcBorders>
            <w:tcW w:w="1104" w:type="dxa"/>
            <w:vAlign w:val="center"/>
            <w:textDirection w:val="lrTb"/>
            <w:noWrap w:val="false"/>
          </w:tcPr>
          <w:p>
            <w:pPr>
              <w:ind w:firstLine="22"/>
              <w:jc w:val="center"/>
              <w:rPr>
                <w:rFonts w:hint="eastAsia" w:cs="宋体" w:asciiTheme="minorEastAsia" w:hAnsiTheme="minorEastAsia" w:eastAsia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highlight w:val="none"/>
              </w:rPr>
              <w:t xml:space="preserve">序号</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rPr>
                <w:rFonts w:hint="eastAsia"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highlight w:val="none"/>
              </w:rPr>
              <w:t xml:space="preserve">评标项</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val="false"/>
          </w:tcPr>
          <w:p>
            <w:pPr>
              <w:jc w:val="center"/>
              <w:rPr>
                <w:rFonts w:hint="eastAsia"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highlight w:val="none"/>
              </w:rPr>
              <w:t xml:space="preserve">评标标准及细则</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eastAsia"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highlight w:val="none"/>
              </w:rPr>
              <w:t xml:space="preserve">分值</w:t>
            </w:r>
            <w:r>
              <w:rPr>
                <w:highlight w:val="none"/>
              </w:rPr>
            </w:r>
          </w:p>
        </w:tc>
      </w:tr>
      <w:tr>
        <w:trPr>
          <w:jc w:val="center"/>
        </w:trPr>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pPr>
              <w:ind w:firstLine="22"/>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1</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rPr>
                <w:rFonts w:hint="eastAsia" w:cs="宋体" w:asciiTheme="minorEastAsia" w:hAnsiTheme="minorEastAsia" w:eastAsia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价格</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val="false"/>
          </w:tcPr>
          <w:p>
            <w:pPr>
              <w:rPr>
                <w:rFonts w:hint="eastAsia"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采用低价优先法计算，即满足招标文件要求且投标价格最低的投标报价为评标基准价，其价格分为满分。其他供应商的价格分统一按照下列公式计算:投标报价得分=(评标基准价/投标报价)×30（小数点保留两位）评标过程中，不得去掉报价中的最高报价和最低报价。</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eastAsia" w:cs="宋体" w:asciiTheme="minorEastAsia" w:hAnsiTheme="minorEastAsia" w:eastAsia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30</w:t>
            </w:r>
            <w:r>
              <w:rPr>
                <w:highlight w:val="none"/>
              </w:rPr>
            </w:r>
          </w:p>
        </w:tc>
      </w:tr>
      <w:tr>
        <w:trPr>
          <w:jc w:val="center"/>
        </w:trPr>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pPr>
              <w:ind w:left="24"/>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2</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91"/>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技术</w:t>
            </w:r>
            <w:r>
              <w:rPr>
                <w:rFonts w:hint="eastAsia" w:cs="宋体" w:asciiTheme="minorEastAsia" w:hAnsiTheme="minorEastAsia" w:eastAsiaTheme="minorEastAsia"/>
                <w:bCs/>
                <w:color w:val="000000"/>
                <w:sz w:val="24"/>
                <w:szCs w:val="24"/>
                <w:highlight w:val="none"/>
                <w:lang w:val="en-US" w:eastAsia="zh-CN"/>
              </w:rPr>
              <w:t xml:space="preserve">参数</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val="false"/>
          </w:tcPr>
          <w:p>
            <w:pPr>
              <w:rPr>
                <w:rFonts w:hint="eastAsia"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满足文件基本要求得45分，</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项条款为实质性条款，必须无条件响应，否则作无效投标文件处理。</w:t>
            </w:r>
            <w:r>
              <w:rPr>
                <w:rFonts w:hint="eastAsia" w:cs="宋体" w:asciiTheme="minorEastAsia" w:hAnsiTheme="minorEastAsia" w:eastAsiaTheme="minorEastAsia"/>
                <w:bCs/>
                <w:color w:val="auto"/>
                <w:sz w:val="24"/>
                <w:szCs w:val="24"/>
                <w:highlight w:val="none"/>
              </w:rPr>
              <w:t xml:space="preserve">▲项为重要参数，每负偏离一项扣</w:t>
            </w:r>
            <w:r>
              <w:rPr>
                <w:rFonts w:hint="eastAsia" w:cs="宋体" w:asciiTheme="minorEastAsia" w:hAnsiTheme="minorEastAsia" w:eastAsiaTheme="minorEastAsia"/>
                <w:bCs/>
                <w:color w:val="auto"/>
                <w:sz w:val="24"/>
                <w:szCs w:val="24"/>
                <w:highlight w:val="none"/>
                <w:lang w:val="en-US" w:eastAsia="zh-CN"/>
              </w:rPr>
              <w:t xml:space="preserve">5</w:t>
            </w:r>
            <w:r>
              <w:rPr>
                <w:rFonts w:hint="eastAsia" w:cs="宋体" w:asciiTheme="minorEastAsia" w:hAnsiTheme="minorEastAsia" w:eastAsiaTheme="minorEastAsia"/>
                <w:bCs/>
                <w:color w:val="auto"/>
                <w:sz w:val="24"/>
                <w:szCs w:val="24"/>
                <w:highlight w:val="none"/>
              </w:rPr>
              <w:t xml:space="preserve">分。其他技术参数每负偏离一项扣</w:t>
            </w:r>
            <w:r>
              <w:rPr>
                <w:rFonts w:hint="eastAsia" w:cs="宋体" w:asciiTheme="minorEastAsia" w:hAnsiTheme="minorEastAsia" w:eastAsiaTheme="minorEastAsia"/>
                <w:bCs/>
                <w:color w:val="auto"/>
                <w:sz w:val="24"/>
                <w:szCs w:val="24"/>
                <w:highlight w:val="none"/>
                <w:lang w:val="en-US" w:eastAsia="zh-CN"/>
              </w:rPr>
              <w:t xml:space="preserve">2</w:t>
            </w:r>
            <w:r>
              <w:rPr>
                <w:rFonts w:hint="eastAsia" w:cs="宋体" w:asciiTheme="minorEastAsia" w:hAnsiTheme="minorEastAsia" w:eastAsiaTheme="minorEastAsia"/>
                <w:bCs/>
                <w:color w:val="auto"/>
                <w:sz w:val="24"/>
                <w:szCs w:val="24"/>
                <w:highlight w:val="none"/>
              </w:rPr>
              <w:t xml:space="preserve">分，正偏离不加分，最高分45分，最低分0分。</w:t>
            </w:r>
            <w:r>
              <w:rPr>
                <w:highlight w:val="none"/>
              </w:rPr>
            </w:r>
          </w:p>
          <w:p>
            <w:pP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bCs/>
                <w:color w:val="auto"/>
                <w:sz w:val="24"/>
                <w:szCs w:val="24"/>
                <w:highlight w:val="none"/>
              </w:rPr>
              <w:t xml:space="preserve">说明：供应商对于技术参数的响应，需提供制造商印发的技术白皮书或彩页资料等进行佐证或提供其他证明材料；对于投标过程中出现的虚假响应及证明材料不足以认定的情形，经评标委员会评定可按无效响应处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default"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lang w:val="en-US" w:eastAsia="zh-CN"/>
              </w:rPr>
              <w:t xml:space="preserve">45</w:t>
            </w:r>
            <w:r>
              <w:rPr>
                <w:highlight w:val="none"/>
              </w:rPr>
            </w:r>
          </w:p>
        </w:tc>
      </w:tr>
      <w:tr>
        <w:trPr>
          <w:jc w:val="center"/>
        </w:trPr>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pPr>
              <w:ind w:left="24"/>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lang w:val="en-US" w:eastAsia="zh-CN"/>
              </w:rPr>
              <w:t xml:space="preserve">3</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91"/>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lang w:val="en-US" w:eastAsia="zh-CN"/>
              </w:rPr>
              <w:t xml:space="preserve">业绩</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val="false"/>
          </w:tcPr>
          <w:p>
            <w:pPr>
              <w:numPr>
                <w:ilvl w:val="0"/>
                <w:numId w:val="0"/>
              </w:num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lang w:val="en-US" w:eastAsia="zh-CN" w:bidi="ar-SA"/>
              </w:rPr>
              <w:t xml:space="preserve">1、</w:t>
            </w:r>
            <w:r>
              <w:rPr>
                <w:rFonts w:hint="eastAsia" w:cs="宋体" w:asciiTheme="minorEastAsia" w:hAnsiTheme="minorEastAsia" w:eastAsiaTheme="minorEastAsia"/>
                <w:bCs/>
                <w:color w:val="000000"/>
                <w:sz w:val="24"/>
                <w:szCs w:val="24"/>
                <w:highlight w:val="none"/>
              </w:rPr>
              <w:t xml:space="preserve">提供自202</w:t>
            </w:r>
            <w:r>
              <w:rPr>
                <w:rFonts w:hint="eastAsia" w:cs="宋体" w:asciiTheme="minorEastAsia" w:hAnsiTheme="minorEastAsia" w:eastAsiaTheme="minorEastAsia"/>
                <w:bCs/>
                <w:color w:val="000000"/>
                <w:sz w:val="24"/>
                <w:szCs w:val="24"/>
                <w:highlight w:val="none"/>
                <w:lang w:val="en-US" w:eastAsia="zh-CN"/>
              </w:rPr>
              <w:t xml:space="preserve">3</w:t>
            </w:r>
            <w:r>
              <w:rPr>
                <w:rFonts w:hint="eastAsia" w:cs="宋体" w:asciiTheme="minorEastAsia" w:hAnsiTheme="minorEastAsia" w:eastAsiaTheme="minorEastAsia"/>
                <w:bCs/>
                <w:color w:val="000000"/>
                <w:sz w:val="24"/>
                <w:szCs w:val="24"/>
                <w:highlight w:val="none"/>
              </w:rPr>
              <w:t xml:space="preserve">年01月01日以来（以合同签订时间为准）的投标产品业绩，有1项得1分。</w:t>
            </w:r>
            <w:r>
              <w:rPr>
                <w:highlight w:val="none"/>
              </w:rPr>
            </w:r>
          </w:p>
          <w:p>
            <w:pPr>
              <w:numPr>
                <w:ilvl w:val="0"/>
                <w:numId w:val="0"/>
              </w:num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rPr>
              <w:t xml:space="preserve">（投标时须提供合同扫描件加盖公章，同一采购单位业绩的不重复计分。合同须体现货物名称以及品牌型号，如合同未体现，须提供采购单位出具的证明文件扫描件）。如未按要求提供，不得分。</w:t>
            </w:r>
            <w:r>
              <w:rPr>
                <w:highlight w:val="none"/>
              </w:rPr>
            </w:r>
          </w:p>
          <w:p>
            <w:pPr>
              <w:numPr>
                <w:ilvl w:val="0"/>
                <w:numId w:val="0"/>
              </w:numPr>
              <w:ind w:left="0" w:firstLine="0"/>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lang w:val="en-US" w:eastAsia="zh-CN" w:bidi="ar-SA"/>
              </w:rPr>
              <w:t xml:space="preserve">2、</w:t>
            </w:r>
            <w:r>
              <w:rPr>
                <w:rFonts w:hint="eastAsia" w:cs="宋体" w:asciiTheme="minorEastAsia" w:hAnsiTheme="minorEastAsia" w:eastAsiaTheme="minorEastAsia"/>
                <w:bCs/>
                <w:color w:val="000000"/>
                <w:sz w:val="24"/>
                <w:szCs w:val="24"/>
                <w:highlight w:val="none"/>
                <w:lang w:val="en-US" w:eastAsia="zh-CN"/>
              </w:rPr>
              <w:t xml:space="preserve">若投标产品首次注册时间为2025年1月之后，无需提供相应业绩，得5分。</w:t>
            </w:r>
            <w:r>
              <w:rPr>
                <w:highlight w:val="none"/>
              </w:rPr>
            </w:r>
          </w:p>
          <w:p>
            <w:pPr>
              <w:numPr>
                <w:ilvl w:val="0"/>
                <w:numId w:val="0"/>
              </w:numPr>
              <w:ind w:left="0" w:firstLine="0"/>
              <w:rPr>
                <w:rFonts w:hint="default"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lang w:val="en-US" w:eastAsia="zh-CN" w:bidi="ar-SA"/>
              </w:rPr>
              <w:t xml:space="preserve">注：上述两种计分方案为互斥条款，同一投标产品只可选取其中一种得分方式核算分值，不可合并、叠加计分。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lang w:val="en-US" w:eastAsia="zh-CN"/>
              </w:rPr>
              <w:t xml:space="preserve">5</w:t>
            </w:r>
            <w:r>
              <w:rPr>
                <w:highlight w:val="none"/>
              </w:rPr>
            </w:r>
          </w:p>
        </w:tc>
      </w:tr>
      <w:tr>
        <w:trPr>
          <w:jc w:val="center"/>
          <w:trHeight w:val="585"/>
        </w:trPr>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pPr>
              <w:ind w:firstLine="22"/>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4</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hanging="8"/>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技术培训方案</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val="false"/>
          </w:tcPr>
          <w:p>
            <w:pP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投标人提供对用户的操作培训、业务功能培训等相关培训计划方案，除正常操作培训外，针对甲方是教学培训单位的特点，提出其他技术培训保障方案；</w:t>
            </w:r>
            <w:r>
              <w:rPr>
                <w:highlight w:val="none"/>
              </w:rPr>
            </w:r>
          </w:p>
          <w:p>
            <w:pP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1、技术培训保障方案内容详实、科学、合理，考虑周全，培训计划针对性强、内容详实，培训人员配备齐全、技术水平高、分工明确、岗位设置科学合理，培训率承诺高，得</w:t>
            </w:r>
            <w:r>
              <w:rPr>
                <w:rFonts w:hint="eastAsia" w:cs="宋体" w:asciiTheme="minorEastAsia" w:hAnsiTheme="minorEastAsia" w:eastAsiaTheme="minorEastAsia"/>
                <w:bCs/>
                <w:color w:val="000000"/>
                <w:sz w:val="24"/>
                <w:szCs w:val="24"/>
                <w:highlight w:val="none"/>
                <w:lang w:val="en-US" w:eastAsia="zh-CN"/>
              </w:rPr>
              <w:t xml:space="preserve">8</w:t>
            </w:r>
            <w:r>
              <w:rPr>
                <w:rFonts w:hint="eastAsia" w:cs="宋体" w:asciiTheme="minorEastAsia" w:hAnsiTheme="minorEastAsia" w:eastAsiaTheme="minorEastAsia"/>
                <w:bCs/>
                <w:color w:val="000000"/>
                <w:sz w:val="24"/>
                <w:szCs w:val="24"/>
                <w:highlight w:val="none"/>
              </w:rPr>
              <w:t xml:space="preserve">分。</w:t>
            </w:r>
            <w:r>
              <w:rPr>
                <w:highlight w:val="none"/>
              </w:rPr>
            </w:r>
          </w:p>
          <w:p>
            <w:pP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2、技术培训保障方案内容详实、考虑较全，培训计划具体，培训人员齐全，培训率承诺较高，得</w:t>
            </w:r>
            <w:r>
              <w:rPr>
                <w:rFonts w:hint="eastAsia" w:cs="宋体" w:asciiTheme="minorEastAsia" w:hAnsiTheme="minorEastAsia" w:eastAsiaTheme="minorEastAsia"/>
                <w:bCs/>
                <w:color w:val="000000"/>
                <w:sz w:val="24"/>
                <w:szCs w:val="24"/>
                <w:highlight w:val="none"/>
                <w:lang w:val="en-US" w:eastAsia="zh-CN"/>
              </w:rPr>
              <w:t xml:space="preserve">5</w:t>
            </w:r>
            <w:r>
              <w:rPr>
                <w:rFonts w:hint="eastAsia" w:cs="宋体" w:asciiTheme="minorEastAsia" w:hAnsiTheme="minorEastAsia" w:eastAsiaTheme="minorEastAsia"/>
                <w:bCs/>
                <w:color w:val="000000"/>
                <w:sz w:val="24"/>
                <w:szCs w:val="24"/>
                <w:highlight w:val="none"/>
              </w:rPr>
              <w:t xml:space="preserve">分。</w:t>
            </w:r>
            <w:r>
              <w:rPr>
                <w:highlight w:val="none"/>
              </w:rPr>
            </w:r>
          </w:p>
          <w:p>
            <w:pP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3、技术培训保障方案表述简单，培训计划简单、培训人员较少，培训率承诺一般，得</w:t>
            </w:r>
            <w:r>
              <w:rPr>
                <w:rFonts w:hint="eastAsia" w:cs="宋体" w:asciiTheme="minorEastAsia" w:hAnsiTheme="minorEastAsia" w:eastAsiaTheme="minorEastAsia"/>
                <w:bCs/>
                <w:color w:val="000000"/>
                <w:sz w:val="24"/>
                <w:szCs w:val="24"/>
                <w:highlight w:val="none"/>
                <w:lang w:val="en-US" w:eastAsia="zh-CN"/>
              </w:rPr>
              <w:t xml:space="preserve">3</w:t>
            </w:r>
            <w:r>
              <w:rPr>
                <w:rFonts w:hint="eastAsia" w:cs="宋体" w:asciiTheme="minorEastAsia" w:hAnsiTheme="minorEastAsia" w:eastAsiaTheme="minorEastAsia"/>
                <w:bCs/>
                <w:color w:val="000000"/>
                <w:sz w:val="24"/>
                <w:szCs w:val="24"/>
                <w:highlight w:val="none"/>
              </w:rPr>
              <w:t xml:space="preserve">分。</w:t>
            </w:r>
            <w:r>
              <w:rPr>
                <w:highlight w:val="none"/>
              </w:rPr>
            </w:r>
          </w:p>
          <w:p>
            <w:pP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4、未提供方案或方案无可行性不得分。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lang w:val="en-US" w:eastAsia="zh-CN"/>
              </w:rPr>
              <w:t xml:space="preserve">8</w:t>
            </w:r>
            <w:r>
              <w:rPr>
                <w:highlight w:val="none"/>
              </w:rPr>
            </w:r>
          </w:p>
        </w:tc>
      </w:tr>
      <w:tr>
        <w:trPr>
          <w:jc w:val="center"/>
        </w:trPr>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pPr>
              <w:ind w:firstLine="22"/>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5</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售后服务实施方案</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val="false"/>
          </w:tcPr>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rPr>
              <w:t xml:space="preserve">售后服务实施响应：根据投标人质保期内售后服务（响应时间，回访巡检方案、故障解决措施、技术人员保障、备品配件价格等）、</w:t>
            </w:r>
            <w:r>
              <w:rPr>
                <w:rFonts w:hint="eastAsia" w:cs="宋体" w:asciiTheme="minorEastAsia" w:hAnsiTheme="minorEastAsia" w:eastAsiaTheme="minorEastAsia"/>
                <w:bCs/>
                <w:color w:val="000000"/>
                <w:sz w:val="24"/>
                <w:szCs w:val="24"/>
                <w:highlight w:val="none"/>
                <w:lang w:val="en-US" w:eastAsia="zh-CN"/>
              </w:rPr>
              <w:t xml:space="preserve">驻地</w:t>
            </w:r>
            <w:r>
              <w:rPr>
                <w:rFonts w:hint="eastAsia" w:cs="宋体" w:asciiTheme="minorEastAsia" w:hAnsiTheme="minorEastAsia" w:eastAsiaTheme="minorEastAsia"/>
                <w:bCs/>
                <w:color w:val="000000"/>
                <w:sz w:val="24"/>
                <w:szCs w:val="24"/>
                <w:highlight w:val="none"/>
              </w:rPr>
              <w:t xml:space="preserve">服务方案（各服务网点、维修网点设置情况以及技术人员安排情况）等服务内容</w:t>
            </w:r>
            <w:r>
              <w:rPr>
                <w:highlight w:val="none"/>
              </w:rP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rPr>
              <w:t xml:space="preserve">1）售后方案内容详实、科学、合理，考虑周全，对产品质量管控措施要求全面到位，相关服务承诺内容详实，人员配备齐全，分工明确、岗位设置科学合理，人员配备齐全、设备配备齐全、先进者得</w:t>
            </w:r>
            <w:r>
              <w:rPr>
                <w:rFonts w:hint="eastAsia" w:cs="宋体" w:asciiTheme="minorEastAsia" w:hAnsiTheme="minorEastAsia" w:eastAsiaTheme="minorEastAsia"/>
                <w:bCs/>
                <w:color w:val="000000"/>
                <w:sz w:val="24"/>
                <w:szCs w:val="24"/>
                <w:highlight w:val="none"/>
                <w:lang w:val="en-US" w:eastAsia="zh-CN"/>
              </w:rPr>
              <w:t xml:space="preserve">7</w:t>
            </w:r>
            <w:r>
              <w:rPr>
                <w:rFonts w:hint="eastAsia" w:cs="宋体" w:asciiTheme="minorEastAsia" w:hAnsiTheme="minorEastAsia" w:eastAsiaTheme="minorEastAsia"/>
                <w:bCs/>
                <w:color w:val="000000"/>
                <w:sz w:val="24"/>
                <w:szCs w:val="24"/>
                <w:highlight w:val="none"/>
              </w:rPr>
              <w:t xml:space="preserve">分；</w:t>
            </w:r>
            <w:r>
              <w:rPr>
                <w:highlight w:val="none"/>
              </w:rP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rPr>
              <w:t xml:space="preserve">2）售后方案内容详实、考虑较全，对产品质量管控措施要求到位，相关服务承诺内容具体，人员配备齐全、设备配备齐全者得</w:t>
            </w:r>
            <w:r>
              <w:rPr>
                <w:rFonts w:hint="eastAsia" w:cs="宋体" w:asciiTheme="minorEastAsia" w:hAnsiTheme="minorEastAsia" w:eastAsiaTheme="minorEastAsia"/>
                <w:bCs/>
                <w:color w:val="000000"/>
                <w:sz w:val="24"/>
                <w:szCs w:val="24"/>
                <w:highlight w:val="none"/>
                <w:lang w:val="en-US" w:eastAsia="zh-CN"/>
              </w:rPr>
              <w:t xml:space="preserve">4</w:t>
            </w:r>
            <w:r>
              <w:rPr>
                <w:rFonts w:hint="eastAsia" w:cs="宋体" w:asciiTheme="minorEastAsia" w:hAnsiTheme="minorEastAsia" w:eastAsiaTheme="minorEastAsia"/>
                <w:bCs/>
                <w:color w:val="000000"/>
                <w:sz w:val="24"/>
                <w:szCs w:val="24"/>
                <w:highlight w:val="none"/>
              </w:rPr>
              <w:t xml:space="preserve">分；</w:t>
            </w:r>
            <w:r>
              <w:rPr>
                <w:highlight w:val="none"/>
              </w:rP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rPr>
              <w:t xml:space="preserve">3）技术培训保障方案表述简单，培训计划简单、培训人员较少，培训率承诺一般者得1分；</w:t>
            </w:r>
            <w:r>
              <w:rPr>
                <w:highlight w:val="none"/>
              </w:rP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rPr>
              <w:t xml:space="preserve">4）未提供服务方案的不得分。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lang w:val="en-US" w:eastAsia="zh-CN"/>
              </w:rPr>
              <w:t xml:space="preserve">7</w:t>
            </w:r>
            <w:r>
              <w:rPr>
                <w:highlight w:val="none"/>
              </w:rPr>
            </w:r>
          </w:p>
        </w:tc>
      </w:tr>
      <w:tr>
        <w:trPr>
          <w:jc w:val="center"/>
        </w:trPr>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pPr>
              <w:ind w:firstLine="22"/>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highlight w:val="none"/>
              </w:rPr>
            </w:r>
            <w:bookmarkStart w:id="20" w:name="_GoBack"/>
            <w:r>
              <w:rPr>
                <w:rFonts w:hint="eastAsia" w:cs="宋体" w:asciiTheme="minorEastAsia" w:hAnsiTheme="minorEastAsia" w:eastAsiaTheme="minorEastAsia"/>
                <w:bCs/>
                <w:color w:val="000000"/>
                <w:sz w:val="24"/>
                <w:szCs w:val="24"/>
                <w:highlight w:val="none"/>
                <w:lang w:val="en-US" w:eastAsia="zh-CN"/>
              </w:rPr>
              <w:t xml:space="preserve">6</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rPr>
                <w:rFonts w:hint="default"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产品</w:t>
            </w:r>
            <w:r>
              <w:rPr>
                <w:rFonts w:hint="eastAsia" w:cs="宋体" w:asciiTheme="minorEastAsia" w:hAnsiTheme="minorEastAsia" w:eastAsiaTheme="minorEastAsia"/>
                <w:bCs/>
                <w:color w:val="000000"/>
                <w:sz w:val="24"/>
                <w:szCs w:val="24"/>
                <w:highlight w:val="none"/>
                <w:lang w:val="en-US" w:eastAsia="zh-CN"/>
              </w:rPr>
              <w:t xml:space="preserve">性能的先进性</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val="false"/>
          </w:tcPr>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rPr>
              <w:t xml:space="preserve">产品综合性能评价：由评委根据根据所投设备的配置选型及品牌、所投产品的设计、制造</w:t>
            </w:r>
            <w:r>
              <w:rPr>
                <w:rFonts w:hint="eastAsia" w:cs="宋体" w:asciiTheme="minorEastAsia" w:hAnsiTheme="minorEastAsia" w:eastAsiaTheme="minorEastAsia"/>
                <w:bCs/>
                <w:color w:val="000000"/>
                <w:sz w:val="24"/>
                <w:szCs w:val="24"/>
                <w:highlight w:val="none"/>
                <w:lang w:val="en-US" w:eastAsia="zh-CN"/>
              </w:rPr>
              <w:t xml:space="preserve">技术以及产品性能先进性</w:t>
            </w:r>
            <w:r>
              <w:rPr>
                <w:rFonts w:hint="eastAsia" w:cs="宋体" w:asciiTheme="minorEastAsia" w:hAnsiTheme="minorEastAsia" w:eastAsiaTheme="minorEastAsia"/>
                <w:bCs/>
                <w:color w:val="000000"/>
                <w:sz w:val="24"/>
                <w:szCs w:val="24"/>
                <w:highlight w:val="none"/>
              </w:rPr>
              <w:t xml:space="preserve">等因素，结合投标文件提供的佐证材料等进行评审。佐证材料包括但不限于产品技术彩页、技术指标的描述、检测文件及证明照片等内容。</w:t>
            </w:r>
            <w:r>
              <w:rPr>
                <w:highlight w:val="none"/>
              </w:rP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lang w:val="en-US" w:eastAsia="zh-CN"/>
              </w:rPr>
              <w:t xml:space="preserve">1）佐证材料全面、产品性能先进性优</w:t>
            </w:r>
            <w:r>
              <w:rPr>
                <w:rFonts w:hint="eastAsia" w:cs="宋体" w:asciiTheme="minorEastAsia" w:hAnsiTheme="minorEastAsia" w:eastAsiaTheme="minorEastAsia"/>
                <w:bCs/>
                <w:color w:val="000000"/>
                <w:sz w:val="24"/>
                <w:szCs w:val="24"/>
                <w:highlight w:val="none"/>
              </w:rPr>
              <w:t xml:space="preserve">得</w:t>
            </w:r>
            <w:r>
              <w:rPr>
                <w:rFonts w:hint="eastAsia" w:cs="宋体" w:asciiTheme="minorEastAsia" w:hAnsiTheme="minorEastAsia" w:eastAsiaTheme="minorEastAsia"/>
                <w:bCs/>
                <w:color w:val="000000"/>
                <w:sz w:val="24"/>
                <w:szCs w:val="24"/>
                <w:highlight w:val="none"/>
                <w:lang w:val="en-US" w:eastAsia="zh-CN"/>
              </w:rPr>
              <w:t xml:space="preserve">5</w:t>
            </w:r>
            <w:r>
              <w:rPr>
                <w:rFonts w:hint="eastAsia" w:cs="宋体" w:asciiTheme="minorEastAsia" w:hAnsiTheme="minorEastAsia" w:eastAsiaTheme="minorEastAsia"/>
                <w:bCs/>
                <w:color w:val="000000"/>
                <w:sz w:val="24"/>
                <w:szCs w:val="24"/>
                <w:highlight w:val="none"/>
              </w:rPr>
              <w:t xml:space="preserve">分；</w:t>
            </w:r>
            <w:r>
              <w:rPr>
                <w:highlight w:val="none"/>
              </w:rP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lang w:val="en-US" w:eastAsia="zh-CN"/>
              </w:rPr>
              <w:t xml:space="preserve">2）佐证材料</w:t>
            </w:r>
            <w:r>
              <w:rPr>
                <w:rFonts w:hint="eastAsia" w:cs="宋体" w:asciiTheme="minorEastAsia" w:hAnsiTheme="minorEastAsia" w:eastAsiaTheme="minorEastAsia"/>
                <w:bCs/>
                <w:color w:val="000000"/>
                <w:sz w:val="24"/>
                <w:szCs w:val="24"/>
                <w:highlight w:val="none"/>
              </w:rPr>
              <w:t xml:space="preserve">符合招标文件要求</w:t>
            </w:r>
            <w:r>
              <w:rPr>
                <w:rFonts w:hint="eastAsia" w:cs="宋体" w:asciiTheme="minorEastAsia" w:hAnsiTheme="minorEastAsia" w:eastAsiaTheme="minorEastAsia"/>
                <w:bCs/>
                <w:color w:val="000000"/>
                <w:sz w:val="24"/>
                <w:szCs w:val="24"/>
                <w:highlight w:val="none"/>
                <w:lang w:eastAsia="zh-CN"/>
              </w:rPr>
              <w:t xml:space="preserve">，</w:t>
            </w:r>
            <w:r>
              <w:rPr>
                <w:rFonts w:hint="eastAsia" w:cs="宋体" w:asciiTheme="minorEastAsia" w:hAnsiTheme="minorEastAsia" w:eastAsiaTheme="minorEastAsia"/>
                <w:bCs/>
                <w:color w:val="000000"/>
                <w:sz w:val="24"/>
                <w:szCs w:val="24"/>
                <w:highlight w:val="none"/>
                <w:lang w:val="en-US" w:eastAsia="zh-CN"/>
              </w:rPr>
              <w:t xml:space="preserve">产品性能先进性较优</w:t>
            </w:r>
            <w:r>
              <w:rPr>
                <w:rFonts w:hint="eastAsia" w:cs="宋体" w:asciiTheme="minorEastAsia" w:hAnsiTheme="minorEastAsia" w:eastAsiaTheme="minorEastAsia"/>
                <w:bCs/>
                <w:color w:val="000000"/>
                <w:sz w:val="24"/>
                <w:szCs w:val="24"/>
                <w:highlight w:val="none"/>
              </w:rPr>
              <w:t xml:space="preserve">得</w:t>
            </w:r>
            <w:r>
              <w:rPr>
                <w:rFonts w:hint="eastAsia" w:cs="宋体" w:asciiTheme="minorEastAsia" w:hAnsiTheme="minorEastAsia" w:eastAsiaTheme="minorEastAsia"/>
                <w:bCs/>
                <w:color w:val="000000"/>
                <w:sz w:val="24"/>
                <w:szCs w:val="24"/>
                <w:highlight w:val="none"/>
                <w:lang w:val="en-US" w:eastAsia="zh-CN"/>
              </w:rPr>
              <w:t xml:space="preserve">3</w:t>
            </w:r>
            <w:r>
              <w:rPr>
                <w:rFonts w:hint="eastAsia" w:cs="宋体" w:asciiTheme="minorEastAsia" w:hAnsiTheme="minorEastAsia" w:eastAsiaTheme="minorEastAsia"/>
                <w:bCs/>
                <w:color w:val="000000"/>
                <w:sz w:val="24"/>
                <w:szCs w:val="24"/>
                <w:highlight w:val="none"/>
              </w:rPr>
              <w:t xml:space="preserve">分；</w:t>
            </w:r>
            <w:r>
              <w:rPr>
                <w:highlight w:val="none"/>
              </w:rP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lang w:val="en-US" w:eastAsia="zh-CN"/>
              </w:rPr>
              <w:t xml:space="preserve">3）佐证材料准备不够齐全，产品性能先进性一般</w:t>
            </w:r>
            <w:r>
              <w:rPr>
                <w:rFonts w:hint="eastAsia" w:cs="宋体" w:asciiTheme="minorEastAsia" w:hAnsiTheme="minorEastAsia" w:eastAsiaTheme="minorEastAsia"/>
                <w:bCs/>
                <w:color w:val="000000"/>
                <w:sz w:val="24"/>
                <w:szCs w:val="24"/>
                <w:highlight w:val="none"/>
              </w:rPr>
              <w:t xml:space="preserve">得1分，</w:t>
            </w:r>
            <w:r>
              <w:rPr>
                <w:highlight w:val="none"/>
              </w:rP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lang w:val="en-US" w:eastAsia="zh-CN"/>
              </w:rPr>
              <w:t xml:space="preserve">4）</w:t>
            </w:r>
            <w:r>
              <w:rPr>
                <w:rFonts w:hint="eastAsia" w:cs="宋体" w:asciiTheme="minorEastAsia" w:hAnsiTheme="minorEastAsia" w:eastAsiaTheme="minorEastAsia"/>
                <w:bCs/>
                <w:color w:val="000000"/>
                <w:sz w:val="24"/>
                <w:szCs w:val="24"/>
                <w:highlight w:val="none"/>
              </w:rPr>
              <w:t xml:space="preserve">未提供有效佐证材料不得分。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default"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lang w:val="en-US" w:eastAsia="zh-CN"/>
              </w:rPr>
              <w:t xml:space="preserve">5</w:t>
            </w:r>
            <w:bookmarkEnd w:id="20"/>
            <w:r>
              <w:rPr>
                <w:highlight w:val="none"/>
              </w:rPr>
            </w:r>
            <w:r>
              <w:rPr>
                <w:highlight w:val="none"/>
              </w:rPr>
            </w:r>
          </w:p>
        </w:tc>
      </w:tr>
      <w:tr>
        <w:trPr>
          <w:jc w:val="center"/>
        </w:trPr>
        <w:tc>
          <w:tcPr>
            <w:gridSpan w:val="3"/>
            <w:tcBorders>
              <w:top w:val="none" w:color="000000" w:sz="4" w:space="0"/>
              <w:left w:val="single" w:color="000000" w:sz="8" w:space="0"/>
              <w:bottom w:val="single" w:color="000000" w:sz="8" w:space="0"/>
              <w:right w:val="single" w:color="000000" w:sz="8" w:space="0"/>
            </w:tcBorders>
            <w:tcW w:w="7860" w:type="dxa"/>
            <w:textDirection w:val="lrTb"/>
            <w:noWrap w:val="false"/>
          </w:tcPr>
          <w:p>
            <w:pPr>
              <w:jc w:val="center"/>
              <w:rPr>
                <w:rFonts w:hint="eastAsia"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合计</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eastAsia" w:cs="宋体" w:asciiTheme="minorEastAsia" w:hAnsiTheme="minorEastAsia" w:eastAsia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highlight w:val="none"/>
              </w:rPr>
              <w:t xml:space="preserve">100</w:t>
            </w:r>
            <w:r>
              <w:rPr>
                <w:highlight w:val="none"/>
              </w:rPr>
            </w:r>
          </w:p>
        </w:tc>
      </w:tr>
    </w:tbl>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五、推荐中标候选人:</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汇总上述各项分值（保留两位小数,小数点后第三位四舍五入），按总得分由高到低的顺序排列,综合得分最高的为中标候选人。</w:t>
      </w:r>
      <w:r>
        <w:rPr>
          <w:highlight w:val="none"/>
        </w:rP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spacing w:line="300" w:lineRule="auto"/>
        <w:rPr>
          <w:rFonts w:hint="eastAsia" w:cs="仿宋" w:asciiTheme="minorEastAsia" w:hAnsiTheme="minorEastAsia" w:eastAsiaTheme="minorEastAsia"/>
          <w:b/>
          <w:color w:val="000000" w:themeColor="text1"/>
          <w:sz w:val="32"/>
          <w:szCs w:val="32"/>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rPr>
          <w:highlight w:val="none"/>
        </w:rPr>
      </w:r>
    </w:p>
    <w:p>
      <w:pPr>
        <w:jc w:val="center"/>
        <w:spacing w:line="300" w:lineRule="auto"/>
        <w:rPr>
          <w:rFonts w:hint="eastAsia" w:cs="仿宋" w:asciiTheme="minorEastAsia" w:hAnsiTheme="minorEastAsia" w:eastAsiaTheme="minorEastAsia"/>
          <w:b/>
          <w:color w:val="000000" w:themeColor="text1"/>
          <w:sz w:val="32"/>
          <w:szCs w:val="32"/>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t xml:space="preserve">第五章 合同条款</w:t>
      </w:r>
      <w:r>
        <w:rPr>
          <w:highlight w:val="none"/>
        </w:rPr>
      </w:r>
    </w:p>
    <w:p>
      <w:pPr>
        <w:ind w:firstLine="567"/>
        <w:jc w:val="center"/>
        <w:rPr>
          <w:rFonts w:hint="eastAsia" w:ascii="宋体" w:hAnsi="宋体" w:eastAsia="宋体" w:cs="仿宋"/>
          <w:bCs/>
          <w:color w:val="000000" w:themeColor="text1"/>
          <w:sz w:val="24"/>
          <w:szCs w:val="24"/>
          <w:highlight w:val="none"/>
          <w14:textFill>
            <w14:solidFill>
              <w14:schemeClr w14:val="tx1"/>
            </w14:solidFill>
          </w14:textFill>
        </w:rPr>
      </w:pPr>
      <w:r>
        <w:rPr>
          <w:rFonts w:hint="eastAsia" w:ascii="宋体" w:hAnsi="宋体" w:eastAsia="宋体" w:cs="仿宋"/>
          <w:bCs/>
          <w:color w:val="000000" w:themeColor="text1"/>
          <w:sz w:val="24"/>
          <w:szCs w:val="24"/>
          <w:highlight w:val="none"/>
          <w14:textFill>
            <w14:solidFill>
              <w14:schemeClr w14:val="tx1"/>
            </w14:solidFill>
          </w14:textFill>
        </w:rPr>
      </w:r>
      <w:r>
        <w:rPr>
          <w:highlight w:val="none"/>
        </w:rPr>
      </w:r>
    </w:p>
    <w:p>
      <w:pPr>
        <w:ind w:firstLine="480"/>
        <w:spacing w:line="360" w:lineRule="auto"/>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 xml:space="preserve">注：本合同仅为合同的参考文本，合同签订双方可根据项目的具体要求进行修订，但不得更改实质性要求。</w:t>
      </w:r>
      <w:r>
        <w:rPr>
          <w:highlight w:val="none"/>
        </w:rPr>
      </w:r>
    </w:p>
    <w:p>
      <w:pPr>
        <w:ind w:firstLine="480"/>
        <w:spacing w:line="360" w:lineRule="auto"/>
        <w:rPr>
          <w:rFonts w:hint="eastAsia" w:ascii="宋体" w:hAnsi="宋体" w:eastAsia="宋体" w:cs="宋体"/>
          <w:bCs/>
          <w:position w:val="-10"/>
          <w:sz w:val="24"/>
          <w:highlight w:val="none"/>
        </w:rPr>
      </w:pPr>
      <w:r>
        <w:rPr>
          <w:highlight w:val="none"/>
        </w:rPr>
      </w:r>
      <w:bookmarkStart w:id="0" w:name="_Toc16938559"/>
      <w:r>
        <w:rPr>
          <w:highlight w:val="none"/>
        </w:rPr>
      </w:r>
      <w:bookmarkStart w:id="1" w:name="_Toc20823315"/>
      <w:r>
        <w:rPr>
          <w:highlight w:val="none"/>
        </w:rPr>
      </w:r>
      <w:bookmarkStart w:id="2" w:name="_Toc513029243"/>
      <w:r>
        <w:rPr>
          <w:rFonts w:hint="eastAsia" w:ascii="宋体" w:hAnsi="宋体" w:eastAsia="宋体" w:cs="宋体"/>
          <w:bCs/>
          <w:position w:val="-10"/>
          <w:sz w:val="24"/>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0"/>
      <w:r>
        <w:rPr>
          <w:highlight w:val="none"/>
        </w:rPr>
      </w:r>
      <w:bookmarkEnd w:id="1"/>
      <w:r>
        <w:rPr>
          <w:highlight w:val="none"/>
        </w:rPr>
      </w:r>
      <w:bookmarkEnd w:id="2"/>
      <w:r>
        <w:rPr>
          <w:highlight w:val="none"/>
        </w:rPr>
      </w:r>
      <w:r>
        <w:rPr>
          <w:highlight w:val="none"/>
        </w:rPr>
      </w:r>
    </w:p>
    <w:p>
      <w:pPr>
        <w:rPr>
          <w:rFonts w:hint="eastAsia"/>
          <w:b/>
          <w:color w:val="auto"/>
          <w:sz w:val="30"/>
          <w:szCs w:val="30"/>
          <w:highlight w:val="none"/>
        </w:rPr>
      </w:pPr>
      <w:r>
        <w:rPr>
          <w:rFonts w:hint="eastAsia"/>
          <w:b/>
          <w:color w:val="auto"/>
          <w:sz w:val="30"/>
          <w:szCs w:val="30"/>
          <w:highlight w:val="none"/>
        </w:rPr>
        <w:br w:type="page" w:clear="all"/>
      </w:r>
      <w:r>
        <w:rPr>
          <w:highlight w:val="none"/>
        </w:rPr>
      </w:r>
    </w:p>
    <w:p>
      <w:pPr>
        <w:jc w:val="center"/>
        <w:keepLines w:val="0"/>
        <w:keepNext w:val="0"/>
        <w:pageBreakBefore w:val="0"/>
        <w:spacing w:line="440" w:lineRule="exact"/>
        <w:rPr>
          <w:rFonts w:hint="eastAsia" w:eastAsia="宋体"/>
          <w:b/>
          <w:color w:val="auto"/>
          <w:sz w:val="30"/>
          <w:szCs w:val="30"/>
          <w:highlight w:val="none"/>
        </w:rPr>
      </w:pPr>
      <w:r>
        <w:rPr>
          <w:rFonts w:hint="eastAsia"/>
          <w:b/>
          <w:color w:val="auto"/>
          <w:sz w:val="30"/>
          <w:szCs w:val="30"/>
          <w:highlight w:val="none"/>
        </w:rPr>
        <w:t xml:space="preserve">合   同</w:t>
      </w:r>
      <w:r>
        <w:rPr>
          <w:highlight w:val="none"/>
        </w:rPr>
      </w:r>
    </w:p>
    <w:p>
      <w:pPr>
        <w:ind w:left="5565" w:hanging="5565"/>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甲方：泰兴市人民医院                           </w:t>
      </w:r>
      <w:r>
        <w:rPr>
          <w:rFonts w:hint="eastAsia"/>
          <w:color w:val="auto"/>
          <w:sz w:val="21"/>
          <w:szCs w:val="21"/>
          <w:highlight w:val="none"/>
          <w:lang w:val="en-US" w:eastAsia="zh-CN"/>
        </w:rPr>
        <w:t xml:space="preserve">   </w:t>
      </w:r>
      <w:r>
        <w:rPr>
          <w:rFonts w:hint="eastAsia"/>
          <w:color w:val="auto"/>
          <w:sz w:val="21"/>
          <w:szCs w:val="21"/>
          <w:highlight w:val="none"/>
        </w:rPr>
        <w:t xml:space="preserve">乙方： </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ab/>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经甲、乙双方协商，就乙方销售给甲方设备，特订立本合同。</w:t>
      </w:r>
      <w:r>
        <w:rPr>
          <w:highlight w:val="none"/>
        </w:rPr>
      </w:r>
    </w:p>
    <w:p>
      <w:pPr>
        <w:numPr>
          <w:ilvl w:val="0"/>
          <w:numId w:val="4"/>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设备名称、型号、数量和价格</w:t>
      </w:r>
      <w:r>
        <w:rPr>
          <w:highlight w:val="none"/>
        </w:rPr>
      </w:r>
    </w:p>
    <w:tbl>
      <w:tblPr>
        <w:tblStyle w:val="749"/>
        <w:tblW w:w="0" w:type="auto"/>
        <w:jc w:val="center"/>
        <w:tblLayout w:type="fixed"/>
        <w:tblCellMar>
          <w:left w:w="15" w:type="dxa"/>
          <w:top w:w="15" w:type="dxa"/>
          <w:right w:w="15" w:type="dxa"/>
          <w:bottom w:w="15" w:type="dxa"/>
        </w:tblCellMar>
        <w:tblLook w:val="04A0" w:firstRow="1" w:lastRow="0" w:firstColumn="1" w:lastColumn="0" w:noHBand="0" w:noVBand="1"/>
      </w:tblPr>
      <w:tblGrid>
        <w:gridCol w:w="2181"/>
        <w:gridCol w:w="1552"/>
        <w:gridCol w:w="1095"/>
        <w:gridCol w:w="683"/>
        <w:gridCol w:w="705"/>
        <w:gridCol w:w="1185"/>
        <w:gridCol w:w="765"/>
        <w:gridCol w:w="2055"/>
      </w:tblGrid>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设备名称</w:t>
            </w:r>
            <w:r>
              <w:rPr>
                <w:highlight w:val="none"/>
              </w:rP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规格型号</w:t>
            </w:r>
            <w:r>
              <w:rPr>
                <w:highlight w:val="none"/>
              </w:rP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rPr>
              <w:t xml:space="preserve">生产厂家</w:t>
            </w:r>
            <w:r>
              <w:rPr>
                <w:highlight w:val="none"/>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440" w:lineRule="exact"/>
              <w:widowControl/>
              <w:rPr>
                <w:rFonts w:hint="eastAsia" w:hAnsi="宋体" w:eastAsia="宋体" w:cs="宋体"/>
                <w:color w:val="auto"/>
                <w:sz w:val="21"/>
                <w:szCs w:val="21"/>
                <w:highlight w:val="none"/>
              </w:rPr>
            </w:pPr>
            <w:r>
              <w:rPr>
                <w:rFonts w:hint="eastAsia" w:hAnsi="宋体" w:cs="宋体"/>
                <w:color w:val="auto"/>
                <w:sz w:val="21"/>
                <w:szCs w:val="21"/>
                <w:highlight w:val="none"/>
                <w:lang w:eastAsia="zh-CN"/>
              </w:rPr>
              <w:t xml:space="preserve">注册证号</w:t>
            </w:r>
            <w:r>
              <w:rPr>
                <w:highlight w:val="none"/>
              </w:rP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40" w:lineRule="exact"/>
              <w:widowControl/>
              <w:rPr>
                <w:rFonts w:hint="eastAsia" w:hAnsi="宋体" w:eastAsia="宋体" w:cs="宋体"/>
                <w:color w:val="auto"/>
                <w:sz w:val="21"/>
                <w:szCs w:val="21"/>
                <w:highlight w:val="none"/>
              </w:rPr>
            </w:pPr>
            <w:r>
              <w:rPr>
                <w:rFonts w:hint="eastAsia" w:hAnsi="宋体" w:cs="宋体"/>
                <w:color w:val="auto"/>
                <w:sz w:val="21"/>
                <w:szCs w:val="21"/>
                <w:highlight w:val="none"/>
                <w:lang w:bidi="ar"/>
              </w:rPr>
              <w:t xml:space="preserve">单</w:t>
            </w:r>
            <w:r>
              <w:rPr>
                <w:rFonts w:hint="eastAsia" w:hAnsi="宋体" w:cs="宋体"/>
                <w:color w:val="auto"/>
                <w:sz w:val="21"/>
                <w:szCs w:val="21"/>
                <w:highlight w:val="none"/>
                <w:lang w:eastAsia="zh-CN" w:bidi="ar"/>
              </w:rPr>
              <w:t xml:space="preserve">位</w:t>
            </w:r>
            <w:r>
              <w:rPr>
                <w:highlight w:val="none"/>
              </w:rP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单价（元）</w:t>
            </w:r>
            <w:r>
              <w:rPr>
                <w:highlight w:val="none"/>
              </w:rP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数量</w:t>
            </w:r>
            <w:r>
              <w:rPr>
                <w:highlight w:val="none"/>
              </w:rP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成交总价（元）</w:t>
            </w:r>
            <w:r>
              <w:rPr>
                <w:highlight w:val="none"/>
              </w:rPr>
            </w:r>
          </w:p>
        </w:tc>
      </w:tr>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firstLine="210"/>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210"/>
              <w:keepLines w:val="0"/>
              <w:keepNext w:val="0"/>
              <w:pageBreakBefore w:val="0"/>
              <w:spacing w:line="440" w:lineRule="exact"/>
              <w:widowControl/>
              <w:rPr>
                <w:rFonts w:hint="eastAsia" w:hAnsi="宋体" w:eastAsia="宋体" w:cs="宋体"/>
                <w:color w:val="auto"/>
                <w:sz w:val="21"/>
                <w:szCs w:val="21"/>
                <w:highlight w:val="none"/>
              </w:rPr>
            </w:pPr>
            <w:r>
              <w:rPr>
                <w:rFonts w:hint="eastAsia" w:hAnsi="宋体" w:cs="宋体"/>
                <w:color w:val="auto"/>
                <w:sz w:val="21"/>
                <w:szCs w:val="21"/>
                <w:highlight w:val="none"/>
                <w:lang w:val="en-US" w:eastAsia="zh-CN" w:bidi="ar"/>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firstLine="210"/>
              <w:keepLines w:val="0"/>
              <w:keepNext w:val="0"/>
              <w:pageBreakBefore w:val="0"/>
              <w:spacing w:line="440" w:lineRule="exact"/>
              <w:widowControl/>
              <w:rPr>
                <w:rFonts w:hint="eastAsia" w:hAnsi="宋体" w:cs="宋体"/>
                <w:color w:val="auto"/>
                <w:sz w:val="18"/>
                <w:szCs w:val="18"/>
                <w:highlight w:val="none"/>
              </w:rPr>
            </w:pPr>
            <w:r>
              <w:rPr>
                <w:rFonts w:hint="eastAsia" w:hAnsi="宋体" w:cs="宋体"/>
                <w:color w:val="auto"/>
                <w:sz w:val="21"/>
                <w:szCs w:val="21"/>
                <w:highlight w:val="none"/>
                <w:lang w:bidi="ar"/>
              </w:rPr>
              <w:t xml:space="preserve">￥</w:t>
            </w:r>
            <w:r>
              <w:rPr>
                <w:highlight w:val="none"/>
              </w:rP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lang w:bidi="ar"/>
              </w:rPr>
            </w:r>
            <w:r>
              <w:rPr>
                <w:highlight w:val="none"/>
              </w:rP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w:t>
            </w:r>
            <w:r>
              <w:rPr>
                <w:highlight w:val="none"/>
              </w:rPr>
            </w:r>
          </w:p>
        </w:tc>
      </w:tr>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rPr>
                <w:highlight w:val="none"/>
              </w:rPr>
            </w:r>
          </w:p>
        </w:tc>
      </w:tr>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rPr>
                <w:highlight w:val="none"/>
              </w:rPr>
            </w:r>
          </w:p>
        </w:tc>
        <w:tc>
          <w:tcPr>
            <w:tcBorders>
              <w:top w:val="single" w:color="000000" w:sz="4" w:space="0"/>
              <w:left w:val="single" w:color="000000" w:sz="4" w:space="0"/>
              <w:bottom w:val="single" w:color="auto" w:sz="4" w:space="0"/>
              <w:right w:val="single" w:color="000000" w:sz="4" w:space="0"/>
            </w:tcBorders>
            <w:tcW w:w="76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rPr>
                <w:highlight w:val="none"/>
              </w:rPr>
            </w:r>
          </w:p>
        </w:tc>
        <w:tc>
          <w:tcPr>
            <w:tcBorders>
              <w:top w:val="single" w:color="000000" w:sz="4" w:space="0"/>
              <w:left w:val="single" w:color="000000" w:sz="4" w:space="0"/>
              <w:bottom w:val="single" w:color="auto" w:sz="4" w:space="0"/>
              <w:right w:val="single" w:color="000000" w:sz="4" w:space="0"/>
            </w:tcBorders>
            <w:tcW w:w="205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rPr>
                <w:highlight w:val="none"/>
              </w:rPr>
            </w:r>
          </w:p>
        </w:tc>
      </w:tr>
      <w:tr>
        <w:trPr>
          <w:jc w:val="center"/>
          <w:trHeight w:val="283"/>
        </w:trPr>
        <w:tc>
          <w:tcPr>
            <w:gridSpan w:val="5"/>
            <w:tcBorders>
              <w:top w:val="single" w:color="000000" w:sz="4" w:space="0"/>
              <w:left w:val="single" w:color="000000" w:sz="4" w:space="0"/>
              <w:bottom w:val="single" w:color="000000" w:sz="4" w:space="0"/>
              <w:right w:val="single" w:color="auto" w:sz="4" w:space="0"/>
            </w:tcBorders>
            <w:tcW w:w="6216" w:type="dxa"/>
            <w:vAlign w:val="center"/>
            <w:textDirection w:val="lrTb"/>
            <w:noWrap w:val="false"/>
          </w:tcPr>
          <w:p>
            <w:pPr>
              <w:jc w:val="left"/>
              <w:keepLines w:val="0"/>
              <w:keepNext w:val="0"/>
              <w:pageBreakBefore w:val="0"/>
              <w:spacing w:line="440" w:lineRule="exact"/>
              <w:widowControl/>
              <w:rPr>
                <w:rFonts w:hint="eastAsia" w:hAnsi="宋体" w:cs="宋体"/>
                <w:color w:val="auto"/>
                <w:sz w:val="18"/>
                <w:szCs w:val="18"/>
                <w:highlight w:val="none"/>
              </w:rPr>
            </w:pPr>
            <w:r>
              <w:rPr>
                <w:rFonts w:hint="eastAsia" w:hAnsi="宋体" w:cs="宋体"/>
                <w:color w:val="auto"/>
                <w:sz w:val="18"/>
                <w:szCs w:val="18"/>
                <w:highlight w:val="none"/>
                <w:lang w:bidi="ar"/>
              </w:rPr>
              <w:t xml:space="preserve">总计（大写）：人民币</w:t>
            </w:r>
            <w:r>
              <w:rPr>
                <w:highlight w:val="none"/>
              </w:rPr>
            </w:r>
          </w:p>
        </w:tc>
        <w:tc>
          <w:tcPr>
            <w:gridSpan w:val="2"/>
            <w:tcBorders>
              <w:top w:val="single" w:color="auto" w:sz="4" w:space="0"/>
              <w:left w:val="single" w:color="auto" w:sz="4" w:space="0"/>
              <w:bottom w:val="single" w:color="auto" w:sz="4" w:space="0"/>
              <w:right w:val="none" w:color="000000" w:sz="4" w:space="0"/>
            </w:tcBorders>
            <w:tcW w:w="1950" w:type="dxa"/>
            <w:vAlign w:val="center"/>
            <w:textDirection w:val="lrTb"/>
            <w:noWrap w:val="false"/>
          </w:tcPr>
          <w:p>
            <w:pPr>
              <w:jc w:val="left"/>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（小写）：￥</w:t>
            </w:r>
            <w:r>
              <w:rPr>
                <w:highlight w:val="none"/>
              </w:rPr>
            </w:r>
          </w:p>
        </w:tc>
        <w:tc>
          <w:tcPr>
            <w:tcBorders>
              <w:top w:val="single" w:color="auto" w:sz="4" w:space="0"/>
              <w:left w:val="none" w:color="000000" w:sz="4" w:space="0"/>
              <w:bottom w:val="single" w:color="auto" w:sz="4" w:space="0"/>
              <w:right w:val="single" w:color="auto" w:sz="4" w:space="0"/>
            </w:tcBorders>
            <w:tcW w:w="2055" w:type="dxa"/>
            <w:vAlign w:val="center"/>
            <w:textDirection w:val="lrTb"/>
            <w:noWrap w:val="false"/>
          </w:tcPr>
          <w:p>
            <w:pPr>
              <w:jc w:val="left"/>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r>
            <w:r>
              <w:rPr>
                <w:highlight w:val="none"/>
              </w:rPr>
            </w:r>
          </w:p>
        </w:tc>
      </w:tr>
    </w:tbl>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二、设备详细配置清单见附件。</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此设备于________年________月_________日已招标。</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三、付款方式：设备安装、调试、验收合格后凭验收合格报告付合同价的90%，余款2025年年底付款。</w:t>
      </w:r>
      <w:r>
        <w:rPr>
          <w:highlight w:val="none"/>
        </w:rPr>
      </w:r>
    </w:p>
    <w:p>
      <w:pPr>
        <w:numPr>
          <w:ilvl w:val="0"/>
          <w:numId w:val="5"/>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交货期：合同签定之日起</w:t>
      </w:r>
      <w:r>
        <w:rPr>
          <w:rFonts w:hint="eastAsia"/>
          <w:color w:val="auto"/>
          <w:sz w:val="21"/>
          <w:szCs w:val="21"/>
          <w:highlight w:val="none"/>
          <w:u w:val="single"/>
        </w:rPr>
        <w:t xml:space="preserve">   </w:t>
      </w:r>
      <w:r>
        <w:rPr>
          <w:rFonts w:hint="eastAsia"/>
          <w:color w:val="auto"/>
          <w:sz w:val="21"/>
          <w:szCs w:val="21"/>
          <w:highlight w:val="none"/>
        </w:rPr>
        <w:t xml:space="preserve"> 天之内货物运抵医院。</w:t>
      </w:r>
      <w:r>
        <w:rPr>
          <w:highlight w:val="none"/>
        </w:rPr>
      </w:r>
    </w:p>
    <w:p>
      <w:pPr>
        <w:numPr>
          <w:ilvl w:val="0"/>
          <w:numId w:val="5"/>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交货地点：泰兴市人民医院，使用科室____________</w:t>
      </w:r>
      <w:r>
        <w:rPr>
          <w:highlight w:val="none"/>
        </w:rPr>
      </w:r>
    </w:p>
    <w:p>
      <w:pPr>
        <w:numPr>
          <w:ilvl w:val="0"/>
          <w:numId w:val="5"/>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质保期：上述设备免费原厂</w:t>
      </w:r>
      <w:r>
        <w:rPr>
          <w:rFonts w:hint="eastAsia"/>
          <w:color w:val="auto"/>
          <w:sz w:val="21"/>
          <w:szCs w:val="21"/>
          <w:highlight w:val="none"/>
          <w:lang w:eastAsia="zh-CN"/>
        </w:rPr>
        <w:t xml:space="preserve">整机</w:t>
      </w:r>
      <w:r>
        <w:rPr>
          <w:rFonts w:hint="eastAsia"/>
          <w:color w:val="auto"/>
          <w:sz w:val="21"/>
          <w:szCs w:val="21"/>
          <w:highlight w:val="none"/>
        </w:rPr>
        <w:t xml:space="preserve">保修</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000000" w:themeColor="text1"/>
          <w:sz w:val="21"/>
          <w:szCs w:val="21"/>
          <w:highlight w:val="none"/>
          <w:lang w:eastAsia="zh-CN"/>
          <w14:textFill>
            <w14:solidFill>
              <w14:schemeClr w14:val="tx1"/>
            </w14:solidFill>
          </w14:textFill>
        </w:rPr>
        <w:t xml:space="preserve">出保后每年的整机维保费用</w:t>
      </w:r>
      <w:r>
        <w:rPr>
          <w:rFonts w:hint="eastAsia"/>
          <w:color w:val="000000" w:themeColor="text1"/>
          <w:sz w:val="21"/>
          <w:szCs w:val="21"/>
          <w:highlight w:val="none"/>
          <w:u w:val="single"/>
          <w:lang w:val="en-US" w:eastAsia="zh-CN"/>
          <w14:textFill>
            <w14:solidFill>
              <w14:schemeClr w14:val="tx1"/>
            </w14:solidFill>
          </w14:textFill>
        </w:rPr>
        <w:t xml:space="preserve">    </w:t>
      </w:r>
      <w:r>
        <w:rPr>
          <w:rFonts w:hint="eastAsia"/>
          <w:color w:val="000000" w:themeColor="text1"/>
          <w:sz w:val="21"/>
          <w:szCs w:val="21"/>
          <w:highlight w:val="none"/>
          <w:u w:val="none"/>
          <w:lang w:val="en-US" w:eastAsia="zh-CN"/>
          <w14:textFill>
            <w14:solidFill>
              <w14:schemeClr w14:val="tx1"/>
            </w14:solidFill>
          </w14:textFill>
        </w:rPr>
        <w:t xml:space="preserve">万元/年；</w:t>
      </w:r>
      <w:r>
        <w:rPr>
          <w:rFonts w:hint="eastAsia"/>
          <w:color w:val="auto"/>
          <w:sz w:val="21"/>
          <w:szCs w:val="21"/>
          <w:highlight w:val="none"/>
        </w:rPr>
        <w:t xml:space="preserve">保修期外乙方对本设备终身负责维修。</w:t>
      </w:r>
      <w:r>
        <w:rPr>
          <w:highlight w:val="none"/>
        </w:rPr>
      </w:r>
    </w:p>
    <w:p>
      <w:pPr>
        <w:numPr>
          <w:ilvl w:val="0"/>
          <w:numId w:val="5"/>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资质、质量要求及技术标准：</w:t>
      </w:r>
      <w:r>
        <w:rPr>
          <w:highlight w:val="none"/>
        </w:rPr>
      </w:r>
    </w:p>
    <w:p>
      <w:pPr>
        <w:keepLines w:val="0"/>
        <w:keepNext w:val="0"/>
        <w:pageBreakBefore w:val="0"/>
        <w:spacing w:line="440" w:lineRule="exact"/>
        <w:rPr>
          <w:rFonts w:hint="eastAsia"/>
          <w:b/>
          <w:color w:val="auto"/>
          <w:sz w:val="21"/>
          <w:szCs w:val="21"/>
          <w:highlight w:val="none"/>
        </w:rPr>
      </w:pPr>
      <w:r>
        <w:rPr>
          <w:rFonts w:hint="eastAsia"/>
          <w:color w:val="auto"/>
          <w:sz w:val="21"/>
          <w:szCs w:val="21"/>
          <w:highlight w:val="none"/>
        </w:rPr>
        <w:t xml:space="preserve">1．特别提醒条款：</w:t>
      </w:r>
      <w:r>
        <w:rPr>
          <w:rFonts w:hint="eastAsia"/>
          <w:b/>
          <w:color w:val="auto"/>
          <w:sz w:val="21"/>
          <w:szCs w:val="21"/>
          <w:highlight w:val="none"/>
        </w:rPr>
        <w:t xml:space="preserve">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市场监督管理总局的相关规定。以上条款必须满足，否则由此引起的一切责任由乙方负责。</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2．乙方保证向甲方提供的设备满足中国国家标准或相关行业标准。根据国家规定，如需要提供3</w:t>
      </w:r>
      <w:r>
        <w:rPr>
          <w:color w:val="auto"/>
          <w:sz w:val="21"/>
          <w:szCs w:val="21"/>
          <w:highlight w:val="none"/>
        </w:rPr>
        <w:t xml:space="preserve">C</w:t>
      </w:r>
      <w:r>
        <w:rPr>
          <w:rFonts w:hint="eastAsia"/>
          <w:color w:val="auto"/>
          <w:sz w:val="21"/>
          <w:szCs w:val="21"/>
          <w:highlight w:val="none"/>
        </w:rPr>
        <w:t xml:space="preserve">认证证书和标记的设备及有关配置，必须提供上述证书和标记。</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3．乙方保证所供设备型号是最新的，且是用上等材料和工艺制成、全新，并严格保持原包装，否则造成的一切损失由乙方负全部责任。</w:t>
      </w:r>
      <w:r>
        <w:rPr>
          <w:highlight w:val="none"/>
        </w:rPr>
      </w:r>
    </w:p>
    <w:p>
      <w:pPr>
        <w:keepLines w:val="0"/>
        <w:keepNext w:val="0"/>
        <w:pageBreakBefore w:val="0"/>
        <w:spacing w:line="440" w:lineRule="exact"/>
        <w:rPr>
          <w:rFonts w:hint="eastAsia"/>
          <w:color w:val="auto"/>
          <w:sz w:val="21"/>
          <w:szCs w:val="21"/>
          <w:highlight w:val="none"/>
          <w:u w:val="single"/>
        </w:rPr>
      </w:pPr>
      <w:r>
        <w:rPr>
          <w:rFonts w:hint="eastAsia"/>
          <w:color w:val="auto"/>
          <w:sz w:val="21"/>
          <w:szCs w:val="21"/>
          <w:highlight w:val="none"/>
        </w:rPr>
        <w:t xml:space="preserve">4．乙方所供设备如验收不合格，根据甲方的要求，乙方必须无条件换货或退货，由此引起的一切损失由乙方承担。</w:t>
      </w:r>
      <w:r>
        <w:rPr>
          <w:highlight w:val="none"/>
        </w:rPr>
      </w:r>
    </w:p>
    <w:p>
      <w:pPr>
        <w:numPr>
          <w:ilvl w:val="0"/>
          <w:numId w:val="5"/>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设备到货、安装和验收要求：</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1．设备到货时间，请乙方提前一周通知甲方，以便甲方安排好接收工作。设备到货后，甲方及时通知乙方，乙方接到通知一周内到达现场，负责设备的免费安装和调试。设备安装时，乙方必须事先与甲方联系，并与各部门人员共同参与，否则引起的一切责任由乙方承担。</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2．如乙方提供的设备设有维修软件密码，乙方应保证无条件地为甲方永久免费打开。同时乙方要免费开放设备数据接口，便于甲方设备设施的互联互通。</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3．设备安装、调试结束后，甲方对设备试用2周后进行验收（时间由甲、乙双方商定），乙方免费派工程师到达现场协助验收工作。</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4．保修期自我院验收合格之日算起，保修期外只收配件费，免收人工费。</w:t>
      </w:r>
      <w:r>
        <w:rPr>
          <w:highlight w:val="none"/>
        </w:rPr>
      </w:r>
    </w:p>
    <w:p>
      <w:pPr>
        <w:numPr>
          <w:ilvl w:val="0"/>
          <w:numId w:val="5"/>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售后服务要求：</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1．确保设备保修期内开机率≥9</w:t>
      </w:r>
      <w:r>
        <w:rPr>
          <w:color w:val="auto"/>
          <w:sz w:val="21"/>
          <w:szCs w:val="21"/>
          <w:highlight w:val="none"/>
        </w:rPr>
        <w:t xml:space="preserve">5</w:t>
      </w:r>
      <w:r>
        <w:rPr>
          <w:rFonts w:hint="eastAsia"/>
          <w:color w:val="auto"/>
          <w:sz w:val="21"/>
          <w:szCs w:val="21"/>
          <w:highlight w:val="none"/>
        </w:rPr>
        <w:t xml:space="preserve">%，如设备故障停机率超过</w:t>
      </w:r>
      <w:r>
        <w:rPr>
          <w:color w:val="auto"/>
          <w:sz w:val="21"/>
          <w:szCs w:val="21"/>
          <w:highlight w:val="none"/>
        </w:rPr>
        <w:t xml:space="preserve">5</w:t>
      </w:r>
      <w:r>
        <w:rPr>
          <w:rFonts w:hint="eastAsia"/>
          <w:color w:val="auto"/>
          <w:sz w:val="21"/>
          <w:szCs w:val="21"/>
          <w:highlight w:val="none"/>
        </w:rPr>
        <w:t xml:space="preserve">%（一年按365天计算，每年18天），每超过一天，保修期延长两周。</w:t>
      </w:r>
      <w:r>
        <w:rPr>
          <w:highlight w:val="none"/>
        </w:rPr>
      </w:r>
    </w:p>
    <w:p>
      <w:pPr>
        <w:rPr>
          <w:rFonts w:hint="eastAsia"/>
          <w:b/>
          <w:bCs/>
          <w:color w:val="auto"/>
          <w:sz w:val="21"/>
          <w:szCs w:val="21"/>
          <w:highlight w:val="none"/>
        </w:rPr>
      </w:pPr>
      <w:r>
        <w:rPr>
          <w:rFonts w:hint="eastAsia"/>
          <w:color w:val="auto"/>
          <w:sz w:val="21"/>
          <w:szCs w:val="21"/>
          <w:highlight w:val="none"/>
        </w:rPr>
        <w:t xml:space="preserve">2．</w:t>
      </w:r>
      <w:r>
        <w:rPr>
          <w:rFonts w:hint="eastAsia"/>
          <w:b/>
          <w:bCs/>
          <w:color w:val="auto"/>
          <w:sz w:val="21"/>
          <w:szCs w:val="21"/>
          <w:highlight w:val="none"/>
        </w:rPr>
        <w:t xml:space="preserve">如设备发生故障，乙方在接到甲方报修电话后24小时内予以响应</w:t>
      </w:r>
      <w:r>
        <w:rPr>
          <w:rFonts w:hint="eastAsia"/>
          <w:b/>
          <w:bCs/>
          <w:color w:val="auto"/>
          <w:sz w:val="21"/>
          <w:szCs w:val="21"/>
          <w:highlight w:val="none"/>
          <w:lang w:eastAsia="zh-CN"/>
        </w:rPr>
        <w:t xml:space="preserve">，</w:t>
      </w:r>
      <w:r>
        <w:rPr>
          <w:rFonts w:hint="eastAsia"/>
          <w:b/>
          <w:bCs/>
          <w:color w:val="auto"/>
          <w:sz w:val="21"/>
          <w:szCs w:val="21"/>
          <w:highlight w:val="none"/>
        </w:rPr>
        <w:t xml:space="preserve">如有特殊情况，乙方应立即电话通知甲方不能响应的原因，在获得甲方同意后，才可推迟响应时间</w:t>
      </w:r>
      <w:r>
        <w:rPr>
          <w:rFonts w:hint="eastAsia"/>
          <w:b/>
          <w:bCs/>
          <w:color w:val="auto"/>
          <w:sz w:val="21"/>
          <w:szCs w:val="21"/>
          <w:highlight w:val="none"/>
          <w:lang w:eastAsia="zh-CN"/>
        </w:rPr>
        <w:t xml:space="preserve">，</w:t>
      </w:r>
      <w:r>
        <w:rPr>
          <w:rFonts w:hint="eastAsia"/>
          <w:b/>
          <w:bCs/>
          <w:color w:val="auto"/>
          <w:sz w:val="21"/>
          <w:szCs w:val="21"/>
          <w:highlight w:val="none"/>
        </w:rPr>
        <w:t xml:space="preserve">否则甲方可自行采取必要的措施，</w:t>
      </w:r>
      <w:r>
        <w:rPr>
          <w:rFonts w:hint="eastAsia"/>
          <w:b/>
          <w:bCs/>
          <w:color w:val="auto"/>
          <w:sz w:val="21"/>
          <w:szCs w:val="21"/>
          <w:highlight w:val="none"/>
          <w:lang w:eastAsia="zh-CN"/>
        </w:rPr>
        <w:t xml:space="preserve">自行组织维修，</w:t>
      </w:r>
      <w:r>
        <w:rPr>
          <w:rFonts w:hint="eastAsia"/>
          <w:b/>
          <w:bCs/>
          <w:color w:val="auto"/>
          <w:sz w:val="21"/>
          <w:szCs w:val="21"/>
          <w:highlight w:val="none"/>
        </w:rPr>
        <w:t xml:space="preserve">由此产生的风险和费用由乙方承担</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甲方可在货款和其他应付乙方的款项（关联账户）中扣除，同时扣除一年的维保费用作为处罚。</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3．无论在保修期内还是保修期外，乙方必须上门维修，乙方工程师来我院维修本设备，必须事先与我院医学装备科取得联系；在维修过程中与甲方工程师共同完成维修工作。否则由此引起的一切责任由乙方负责。</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4．乙方免费提供全套技术资料（维修说明书包括详细电路图、操作说明书及光盘），如技术资料不全，甲方有权不支付货款。</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十、技术培训：</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在安装过程中或安装结束后，乙方工程师或有关人员有义务对甲方工程师和操作人员进行现场维修、保养、</w:t>
      </w:r>
      <w:r>
        <w:rPr>
          <w:rFonts w:hint="eastAsia"/>
          <w:color w:val="auto"/>
          <w:sz w:val="21"/>
          <w:szCs w:val="21"/>
          <w:highlight w:val="none"/>
          <w:lang w:eastAsia="zh-CN"/>
        </w:rPr>
        <w:t xml:space="preserve">注意事项、</w:t>
      </w:r>
      <w:r>
        <w:rPr>
          <w:rFonts w:hint="eastAsia"/>
          <w:color w:val="auto"/>
          <w:sz w:val="21"/>
          <w:szCs w:val="21"/>
          <w:highlight w:val="none"/>
        </w:rPr>
        <w:t xml:space="preserve">操作培训，解答甲方人员提出的问题，并填</w:t>
      </w:r>
      <w:r>
        <w:rPr>
          <w:rFonts w:hint="eastAsia"/>
          <w:color w:val="auto"/>
          <w:sz w:val="21"/>
          <w:szCs w:val="21"/>
          <w:highlight w:val="none"/>
          <w:lang w:eastAsia="zh-CN"/>
        </w:rPr>
        <w:t xml:space="preserve">写培训报告，包含</w:t>
      </w:r>
      <w:r>
        <w:rPr>
          <w:rFonts w:hint="eastAsia"/>
          <w:color w:val="auto"/>
          <w:sz w:val="21"/>
          <w:szCs w:val="21"/>
          <w:highlight w:val="none"/>
        </w:rPr>
        <w:t xml:space="preserve">培训时间、参加培训人员以及培训的具体内容等。</w:t>
      </w:r>
      <w:r>
        <w:rPr>
          <w:highlight w:val="none"/>
        </w:rPr>
      </w:r>
    </w:p>
    <w:p>
      <w:pPr>
        <w:keepLines w:val="0"/>
        <w:keepNext w:val="0"/>
        <w:pageBreakBefore w:val="0"/>
        <w:spacing w:line="440" w:lineRule="exact"/>
        <w:rPr>
          <w:rFonts w:hint="eastAsia" w:eastAsia="宋体"/>
          <w:color w:val="auto"/>
          <w:sz w:val="21"/>
          <w:szCs w:val="21"/>
          <w:highlight w:val="none"/>
        </w:rPr>
      </w:pPr>
      <w:r>
        <w:rPr>
          <w:rFonts w:hint="eastAsia"/>
          <w:color w:val="auto"/>
          <w:sz w:val="21"/>
          <w:szCs w:val="21"/>
          <w:highlight w:val="none"/>
        </w:rPr>
        <w:t xml:space="preserve">十一、廉政</w:t>
      </w:r>
      <w:r>
        <w:rPr>
          <w:rFonts w:hint="eastAsia"/>
          <w:color w:val="auto"/>
          <w:sz w:val="21"/>
          <w:szCs w:val="21"/>
          <w:highlight w:val="none"/>
          <w:lang w:eastAsia="zh-CN"/>
        </w:rPr>
        <w:t xml:space="preserve">条款：</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乙方必须认真执行各项廉政要求，乙方出现违反廉政法律、法规等情况（包括与</w:t>
      </w:r>
      <w:r>
        <w:rPr>
          <w:rFonts w:hint="eastAsia"/>
          <w:color w:val="auto"/>
          <w:sz w:val="21"/>
          <w:szCs w:val="21"/>
          <w:highlight w:val="none"/>
          <w:lang w:eastAsia="zh-CN"/>
        </w:rPr>
        <w:t xml:space="preserve">甲</w:t>
      </w:r>
      <w:r>
        <w:rPr>
          <w:rFonts w:hint="eastAsia"/>
          <w:color w:val="auto"/>
          <w:sz w:val="21"/>
          <w:szCs w:val="21"/>
          <w:highlight w:val="none"/>
        </w:rPr>
        <w:t xml:space="preserve">方聘请的其他服务单位），经纪检监察机关查实确认的，除其他违约责任外，从发现之日起一年内，乙方无条件支付甲方本合同总价的10%作为违约金。 </w:t>
      </w:r>
      <w:r>
        <w:rPr>
          <w:highlight w:val="none"/>
        </w:rPr>
      </w:r>
    </w:p>
    <w:p>
      <w:pPr>
        <w:numPr>
          <w:ilvl w:val="0"/>
          <w:numId w:val="6"/>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lang w:val="en-US" w:eastAsia="zh-CN"/>
        </w:rPr>
        <w:t xml:space="preserve">合同争议:</w:t>
      </w:r>
      <w:r>
        <w:rPr>
          <w:highlight w:val="none"/>
        </w:rPr>
      </w:r>
    </w:p>
    <w:p>
      <w:pPr>
        <w:numPr>
          <w:ilvl w:val="0"/>
          <w:numId w:val="0"/>
        </w:numPr>
        <w:keepLines w:val="0"/>
        <w:keepNext w:val="0"/>
        <w:pageBreakBefore w:val="0"/>
        <w:spacing w:line="440" w:lineRule="exact"/>
        <w:rPr>
          <w:rFonts w:hint="eastAsia" w:eastAsia="宋体"/>
          <w:color w:val="auto"/>
          <w:sz w:val="21"/>
          <w:szCs w:val="21"/>
          <w:highlight w:val="none"/>
        </w:rPr>
      </w:pPr>
      <w:r>
        <w:rPr>
          <w:rFonts w:hint="eastAsia"/>
          <w:color w:val="auto"/>
          <w:sz w:val="21"/>
          <w:szCs w:val="21"/>
          <w:highlight w:val="none"/>
          <w:lang w:val="en-US" w:eastAsia="zh-CN"/>
        </w:rPr>
        <w:t xml:space="preserve">双方如发生争议，不能协商解决，则通过合同执行地人民法院诉讼处理。</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本合同一式四份，甲方执三份，乙方执一份。</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协议签署地点:泰兴</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r>
      <w:r>
        <w:rPr>
          <w:highlight w:val="none"/>
        </w:rPr>
      </w:r>
    </w:p>
    <w:p>
      <w:pPr>
        <w:ind w:left="5565" w:hanging="5565"/>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甲方：泰兴市人民医院                            </w:t>
      </w:r>
      <w:r>
        <w:rPr>
          <w:rFonts w:hint="eastAsia"/>
          <w:color w:val="auto"/>
          <w:sz w:val="21"/>
          <w:szCs w:val="21"/>
          <w:highlight w:val="none"/>
          <w:lang w:val="en-US" w:eastAsia="zh-CN"/>
        </w:rPr>
        <w:t xml:space="preserve">     </w:t>
      </w:r>
      <w:r>
        <w:rPr>
          <w:rFonts w:hint="eastAsia"/>
          <w:color w:val="auto"/>
          <w:sz w:val="21"/>
          <w:szCs w:val="21"/>
          <w:highlight w:val="none"/>
        </w:rPr>
        <w:t xml:space="preserve">  乙方：</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甲方代表：                                             乙方代表：</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业务部门代表：                                         业务部门代表：</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经办人:                                                经办人:</w:t>
      </w:r>
      <w:r>
        <w:rPr>
          <w:highlight w:val="none"/>
        </w:rPr>
      </w:r>
    </w:p>
    <w:p>
      <w:pPr>
        <w:keepLines w:val="0"/>
        <w:keepNext w:val="0"/>
        <w:pageBreakBefore w:val="0"/>
        <w:spacing w:line="440" w:lineRule="exact"/>
        <w:rPr>
          <w:rFonts w:hint="default" w:eastAsia="宋体"/>
          <w:color w:val="auto"/>
          <w:sz w:val="21"/>
          <w:szCs w:val="21"/>
          <w:highlight w:val="none"/>
        </w:rPr>
      </w:pPr>
      <w:r>
        <w:rPr>
          <w:rFonts w:hint="eastAsia"/>
          <w:color w:val="auto"/>
          <w:sz w:val="21"/>
          <w:szCs w:val="21"/>
          <w:highlight w:val="none"/>
          <w:lang w:val="en-US" w:eastAsia="zh-CN"/>
        </w:rPr>
        <w:t xml:space="preserve">                                                       联系电话：</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lang w:val="en-US" w:eastAsia="zh-CN"/>
        </w:rPr>
        <w:t xml:space="preserve">                                                       开户行：             </w:t>
      </w:r>
      <w:r>
        <w:rPr>
          <w:highlight w:val="none"/>
        </w:rPr>
      </w:r>
    </w:p>
    <w:p>
      <w:pPr>
        <w:ind w:firstLine="5880"/>
        <w:keepLines w:val="0"/>
        <w:keepNext w:val="0"/>
        <w:pageBreakBefore w:val="0"/>
        <w:spacing w:line="440" w:lineRule="exact"/>
        <w:rPr>
          <w:rFonts w:hint="default"/>
          <w:color w:val="auto"/>
          <w:sz w:val="21"/>
          <w:szCs w:val="21"/>
          <w:highlight w:val="none"/>
        </w:rPr>
      </w:pPr>
      <w:r>
        <w:rPr>
          <w:rFonts w:hint="eastAsia"/>
          <w:color w:val="auto"/>
          <w:sz w:val="21"/>
          <w:szCs w:val="21"/>
          <w:highlight w:val="none"/>
          <w:lang w:val="en-US" w:eastAsia="zh-CN"/>
        </w:rPr>
        <w:t xml:space="preserve">账号：</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 </w:t>
      </w:r>
      <w:r>
        <w:rPr>
          <w:highlight w:val="none"/>
        </w:rPr>
      </w:r>
    </w:p>
    <w:p>
      <w:pPr>
        <w:ind w:left="0" w:right="0" w:firstLine="0"/>
        <w:jc w:val="both"/>
        <w:spacing w:before="0" w:after="0"/>
        <w:rPr>
          <w:rFonts w:hint="eastAsia"/>
          <w:color w:val="auto"/>
          <w:sz w:val="21"/>
          <w:szCs w:val="21"/>
          <w:highlight w:val="none"/>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olor w:val="auto"/>
          <w:sz w:val="21"/>
          <w:szCs w:val="21"/>
          <w:highlight w:val="none"/>
        </w:rPr>
        <w:t xml:space="preserve">____年__ 月__日                                </w:t>
      </w:r>
      <w:r>
        <w:rPr>
          <w:rFonts w:hint="eastAsia"/>
          <w:color w:val="auto"/>
          <w:sz w:val="21"/>
          <w:szCs w:val="21"/>
          <w:highlight w:val="none"/>
          <w:lang w:val="en-US" w:eastAsia="zh-CN"/>
        </w:rPr>
        <w:t xml:space="preserve">      </w:t>
      </w:r>
      <w:r>
        <w:rPr>
          <w:rFonts w:hint="eastAsia"/>
          <w:color w:val="auto"/>
          <w:sz w:val="21"/>
          <w:szCs w:val="21"/>
          <w:highlight w:val="none"/>
        </w:rPr>
        <w:t xml:space="preserve"> ____年__月__日</w:t>
      </w:r>
      <w:r>
        <w:rPr>
          <w:highlight w:val="none"/>
        </w:rPr>
      </w:r>
    </w:p>
    <w:p>
      <w:pPr>
        <w:jc w:val="center"/>
        <w:keepNext/>
        <w:rPr>
          <w:rFonts w:eastAsia="黑体"/>
          <w:bCs/>
          <w:sz w:val="44"/>
          <w:szCs w:val="28"/>
          <w:highlight w:val="none"/>
        </w:rPr>
        <w:outlineLvl w:val="0"/>
      </w:pPr>
      <w:r>
        <w:rPr>
          <w:rFonts w:hint="eastAsia" w:eastAsia="黑体"/>
          <w:bCs/>
          <w:sz w:val="44"/>
          <w:szCs w:val="28"/>
          <w:highlight w:val="none"/>
        </w:rPr>
        <w:t xml:space="preserve">第六章  投标文件格式 </w:t>
      </w:r>
      <w:r>
        <w:rPr>
          <w:highlight w:val="none"/>
        </w:rPr>
      </w:r>
    </w:p>
    <w:p>
      <w:pPr>
        <w:jc w:val="center"/>
        <w:rPr>
          <w:rFonts w:eastAsia="宋体"/>
          <w:b/>
          <w:sz w:val="72"/>
          <w:szCs w:val="21"/>
          <w:highlight w:val="none"/>
        </w:rPr>
      </w:pPr>
      <w:r>
        <w:rPr>
          <w:highlight w:val="none"/>
        </w:rPr>
      </w:r>
      <w:bookmarkStart w:id="3" w:name="_Hlt26671244"/>
      <w:r>
        <w:rPr>
          <w:highlight w:val="none"/>
        </w:rPr>
      </w:r>
      <w:bookmarkEnd w:id="3"/>
      <w:r>
        <w:rPr>
          <w:highlight w:val="none"/>
        </w:rPr>
      </w:r>
      <w:bookmarkStart w:id="4" w:name="_Hlt26955039"/>
      <w:r>
        <w:rPr>
          <w:highlight w:val="none"/>
        </w:rPr>
      </w:r>
      <w:bookmarkEnd w:id="4"/>
      <w:r>
        <w:rPr>
          <w:highlight w:val="none"/>
        </w:rPr>
      </w:r>
      <w:bookmarkStart w:id="5" w:name="_Toc26554094"/>
      <w:r>
        <w:rPr>
          <w:highlight w:val="none"/>
        </w:rPr>
      </w:r>
      <w:bookmarkStart w:id="6" w:name="_Toc49090576"/>
      <w:r>
        <w:rPr>
          <w:highlight w:val="none"/>
        </w:rPr>
      </w:r>
      <w:bookmarkStart w:id="7" w:name="_Toc120614282"/>
      <w:r>
        <w:rPr>
          <w:highlight w:val="none"/>
        </w:rPr>
      </w:r>
      <w:r>
        <w:rPr>
          <w:highlight w:val="none"/>
        </w:rPr>
      </w:r>
    </w:p>
    <w:p>
      <w:pPr>
        <w:jc w:val="center"/>
        <w:rPr>
          <w:rFonts w:eastAsia="宋体"/>
          <w:b/>
          <w:sz w:val="72"/>
          <w:szCs w:val="21"/>
          <w:highlight w:val="none"/>
        </w:rPr>
      </w:pPr>
      <w:r>
        <w:rPr>
          <w:rFonts w:hint="eastAsia" w:eastAsia="宋体"/>
          <w:b/>
          <w:sz w:val="72"/>
          <w:szCs w:val="21"/>
          <w:highlight w:val="none"/>
        </w:rPr>
        <w:t xml:space="preserve">投  标  文  件</w:t>
      </w:r>
      <w:r>
        <w:rPr>
          <w:highlight w:val="none"/>
        </w:rPr>
      </w:r>
    </w:p>
    <w:p>
      <w:pPr>
        <w:jc w:val="center"/>
        <w:rPr>
          <w:rFonts w:eastAsia="宋体"/>
          <w:b/>
          <w:sz w:val="72"/>
          <w:szCs w:val="21"/>
          <w:highlight w:val="none"/>
        </w:rPr>
      </w:pPr>
      <w:r>
        <w:rPr>
          <w:rFonts w:eastAsia="宋体"/>
          <w:b/>
          <w:sz w:val="72"/>
          <w:szCs w:val="21"/>
          <w:highlight w:val="none"/>
        </w:rPr>
      </w:r>
      <w:r>
        <w:rPr>
          <w:highlight w:val="none"/>
        </w:rPr>
      </w:r>
    </w:p>
    <w:p>
      <w:pPr>
        <w:jc w:val="center"/>
        <w:rPr>
          <w:rFonts w:eastAsia="宋体"/>
          <w:b/>
          <w:sz w:val="72"/>
          <w:szCs w:val="21"/>
          <w:highlight w:val="none"/>
        </w:rPr>
      </w:pPr>
      <w:r>
        <w:rPr>
          <w:rFonts w:eastAsia="宋体"/>
          <w:b/>
          <w:sz w:val="72"/>
          <w:szCs w:val="21"/>
          <w:highlight w:val="none"/>
        </w:rPr>
      </w:r>
      <w:r>
        <w:rPr>
          <w:highlight w:val="none"/>
        </w:rPr>
      </w:r>
    </w:p>
    <w:p>
      <w:pPr>
        <w:jc w:val="center"/>
        <w:rPr>
          <w:rFonts w:eastAsia="宋体"/>
          <w:b/>
          <w:sz w:val="36"/>
          <w:szCs w:val="21"/>
          <w:highlight w:val="none"/>
        </w:rPr>
      </w:pPr>
      <w:r>
        <w:rPr>
          <w:rFonts w:eastAsia="宋体"/>
          <w:b/>
          <w:sz w:val="36"/>
          <w:szCs w:val="21"/>
          <w:highlight w:val="none"/>
        </w:rPr>
      </w:r>
      <w:r>
        <w:rPr>
          <w:highlight w:val="none"/>
        </w:rPr>
      </w:r>
    </w:p>
    <w:p>
      <w:pPr>
        <w:jc w:val="center"/>
        <w:rPr>
          <w:rFonts w:eastAsia="宋体"/>
          <w:b/>
          <w:sz w:val="36"/>
          <w:szCs w:val="21"/>
          <w:highlight w:val="none"/>
        </w:rPr>
      </w:pPr>
      <w:r>
        <w:rPr>
          <w:rFonts w:eastAsia="宋体"/>
          <w:b/>
          <w:sz w:val="36"/>
          <w:szCs w:val="21"/>
          <w:highlight w:val="none"/>
        </w:rPr>
      </w:r>
      <w:r>
        <w:rPr>
          <w:highlight w:val="none"/>
        </w:rPr>
      </w:r>
    </w:p>
    <w:p>
      <w:pPr>
        <w:jc w:val="center"/>
        <w:rPr>
          <w:rFonts w:eastAsia="宋体"/>
          <w:b/>
          <w:sz w:val="36"/>
          <w:szCs w:val="21"/>
          <w:highlight w:val="none"/>
        </w:rPr>
      </w:pPr>
      <w:r>
        <w:rPr>
          <w:rFonts w:eastAsia="宋体"/>
          <w:b/>
          <w:sz w:val="36"/>
          <w:szCs w:val="21"/>
          <w:highlight w:val="none"/>
        </w:rPr>
      </w:r>
      <w:r>
        <w:rPr>
          <w:highlight w:val="none"/>
        </w:rPr>
      </w:r>
    </w:p>
    <w:p>
      <w:pPr>
        <w:ind w:firstLine="1084"/>
        <w:rPr>
          <w:rFonts w:eastAsia="宋体"/>
          <w:b/>
          <w:sz w:val="36"/>
          <w:szCs w:val="21"/>
          <w:highlight w:val="none"/>
        </w:rPr>
      </w:pPr>
      <w:r>
        <w:rPr>
          <w:rFonts w:hint="eastAsia" w:eastAsia="宋体"/>
          <w:b/>
          <w:sz w:val="36"/>
          <w:szCs w:val="21"/>
          <w:highlight w:val="none"/>
        </w:rPr>
        <w:t xml:space="preserve">项 目 名 称：</w:t>
      </w:r>
      <w:r>
        <w:rPr>
          <w:rFonts w:hint="eastAsia" w:eastAsia="宋体"/>
          <w:b/>
          <w:sz w:val="36"/>
          <w:szCs w:val="21"/>
          <w:highlight w:val="none"/>
          <w:u w:val="single"/>
        </w:rPr>
        <w:t xml:space="preserve">               </w:t>
      </w:r>
      <w:r>
        <w:rPr>
          <w:highlight w:val="none"/>
        </w:rPr>
      </w:r>
    </w:p>
    <w:p>
      <w:pPr>
        <w:ind w:firstLine="1084"/>
        <w:rPr>
          <w:rFonts w:eastAsia="宋体"/>
          <w:b/>
          <w:sz w:val="36"/>
          <w:szCs w:val="21"/>
          <w:highlight w:val="none"/>
          <w:u w:val="single"/>
        </w:rPr>
      </w:pPr>
      <w:r>
        <w:rPr>
          <w:rFonts w:hint="eastAsia" w:eastAsia="宋体"/>
          <w:b/>
          <w:sz w:val="36"/>
          <w:szCs w:val="21"/>
          <w:highlight w:val="none"/>
        </w:rPr>
        <w:t xml:space="preserve">项 目 编 号：</w:t>
      </w:r>
      <w:r>
        <w:rPr>
          <w:rFonts w:hint="eastAsia" w:eastAsia="宋体"/>
          <w:b/>
          <w:sz w:val="36"/>
          <w:szCs w:val="21"/>
          <w:highlight w:val="none"/>
          <w:u w:val="single"/>
        </w:rPr>
        <w:t xml:space="preserve">               </w:t>
      </w:r>
      <w:r>
        <w:rPr>
          <w:highlight w:val="none"/>
        </w:rPr>
      </w:r>
    </w:p>
    <w:p>
      <w:pPr>
        <w:rPr>
          <w:rFonts w:eastAsia="宋体"/>
          <w:b/>
          <w:sz w:val="36"/>
          <w:szCs w:val="21"/>
          <w:highlight w:val="none"/>
          <w:u w:val="single"/>
        </w:rPr>
      </w:pPr>
      <w:r>
        <w:rPr>
          <w:rFonts w:hint="eastAsia" w:eastAsia="宋体"/>
          <w:b/>
          <w:sz w:val="36"/>
          <w:szCs w:val="21"/>
          <w:highlight w:val="none"/>
        </w:rPr>
        <w:t xml:space="preserve">      投标人名称 ：</w:t>
      </w:r>
      <w:r>
        <w:rPr>
          <w:rFonts w:hint="eastAsia" w:eastAsia="宋体"/>
          <w:b/>
          <w:sz w:val="36"/>
          <w:szCs w:val="21"/>
          <w:highlight w:val="none"/>
          <w:u w:val="single"/>
        </w:rPr>
        <w:t xml:space="preserve">（加盖CA电子公章）</w:t>
      </w:r>
      <w:r>
        <w:rPr>
          <w:highlight w:val="none"/>
        </w:rPr>
      </w:r>
    </w:p>
    <w:p>
      <w:pPr>
        <w:rPr>
          <w:rFonts w:eastAsia="宋体"/>
          <w:b/>
          <w:sz w:val="36"/>
          <w:szCs w:val="21"/>
          <w:highlight w:val="none"/>
          <w:u w:val="single"/>
        </w:rPr>
      </w:pPr>
      <w:r>
        <w:rPr>
          <w:rFonts w:hint="eastAsia" w:eastAsia="宋体"/>
          <w:b/>
          <w:sz w:val="36"/>
          <w:szCs w:val="21"/>
          <w:highlight w:val="none"/>
        </w:rPr>
        <w:t xml:space="preserve">      日      期 ：</w:t>
      </w:r>
      <w:r>
        <w:rPr>
          <w:rFonts w:hint="eastAsia" w:eastAsia="宋体"/>
          <w:b/>
          <w:sz w:val="36"/>
          <w:szCs w:val="21"/>
          <w:highlight w:val="none"/>
          <w:u w:val="single"/>
        </w:rPr>
        <w:t xml:space="preserve">               </w:t>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bCs/>
          <w:sz w:val="32"/>
          <w:szCs w:val="32"/>
          <w:highlight w:val="none"/>
        </w:rPr>
      </w:pPr>
      <w:r>
        <w:rPr>
          <w:rFonts w:hint="eastAsia" w:eastAsia="宋体"/>
          <w:b/>
          <w:bCs/>
          <w:sz w:val="32"/>
          <w:szCs w:val="32"/>
          <w:highlight w:val="none"/>
        </w:rPr>
        <w:t xml:space="preserve">投标文件目录</w:t>
      </w:r>
      <w:r>
        <w:rPr>
          <w:highlight w:val="none"/>
        </w:rPr>
      </w:r>
    </w:p>
    <w:p>
      <w:pPr>
        <w:jc w:val="center"/>
        <w:spacing w:line="440" w:lineRule="exact"/>
        <w:rPr>
          <w:rFonts w:eastAsia="宋体"/>
          <w:b/>
          <w:bCs/>
          <w:sz w:val="32"/>
          <w:szCs w:val="32"/>
          <w:highlight w:val="none"/>
        </w:rPr>
      </w:pPr>
      <w:r>
        <w:rPr>
          <w:rFonts w:eastAsia="宋体"/>
          <w:b/>
          <w:bCs/>
          <w:sz w:val="32"/>
          <w:szCs w:val="32"/>
          <w:highlight w:val="none"/>
        </w:rPr>
      </w:r>
      <w:r>
        <w:rPr>
          <w:highlight w:val="none"/>
        </w:rP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一、投标声明及承诺函</w:t>
      </w:r>
      <w:r>
        <w:rPr>
          <w:highlight w:val="none"/>
        </w:rP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二、投标人基本情况</w:t>
      </w:r>
      <w:r>
        <w:rPr>
          <w:highlight w:val="none"/>
        </w:rP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三、满足特定资格要求的证明文件（如果设置特定资格要求，则需要提供）</w:t>
      </w:r>
      <w:r>
        <w:rPr>
          <w:highlight w:val="none"/>
        </w:rP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四、法人授权书</w:t>
      </w:r>
      <w:r>
        <w:rPr>
          <w:highlight w:val="none"/>
        </w:rP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五、开标一览表</w:t>
      </w:r>
      <w:r>
        <w:rPr>
          <w:highlight w:val="none"/>
        </w:rP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六、投标报价明细表</w:t>
      </w:r>
      <w:r>
        <w:rPr>
          <w:highlight w:val="none"/>
        </w:rP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七、符合本国产品标准及中小企业声明函</w:t>
      </w:r>
      <w:r>
        <w:rPr>
          <w:highlight w:val="none"/>
        </w:rP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八、技术要求响应及偏离表</w:t>
      </w:r>
      <w:r>
        <w:rPr>
          <w:highlight w:val="none"/>
        </w:rP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九、项目组成员</w:t>
      </w:r>
      <w:r>
        <w:rPr>
          <w:highlight w:val="none"/>
        </w:rP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十、企业业绩</w:t>
      </w:r>
      <w:r>
        <w:rPr>
          <w:highlight w:val="none"/>
        </w:rP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十一、投标所需其他材料</w:t>
      </w:r>
      <w:r>
        <w:rPr>
          <w:highlight w:val="none"/>
        </w:rPr>
      </w:r>
    </w:p>
    <w:p>
      <w:pPr>
        <w:pStyle w:val="754"/>
        <w:spacing w:line="360" w:lineRule="auto"/>
        <w:rPr>
          <w:rFonts w:hint="eastAsia" w:asciiTheme="minorEastAsia" w:hAnsiTheme="minorEastAsia" w:eastAsiaTheme="minorEastAsia"/>
          <w:szCs w:val="28"/>
          <w:highlight w:val="none"/>
        </w:rPr>
      </w:pPr>
      <w:r>
        <w:rPr>
          <w:rFonts w:hint="eastAsia"/>
          <w:highlight w:val="none"/>
        </w:rPr>
        <w:t xml:space="preserve">    </w:t>
      </w:r>
      <w:r>
        <w:rPr>
          <w:rFonts w:hint="eastAsia" w:asciiTheme="minorEastAsia" w:hAnsiTheme="minorEastAsia" w:eastAsiaTheme="minorEastAsia"/>
          <w:szCs w:val="28"/>
          <w:highlight w:val="none"/>
        </w:rPr>
        <w:t xml:space="preserve">十二、资格证明文件参考格式</w:t>
      </w:r>
      <w:r>
        <w:rPr>
          <w:highlight w:val="none"/>
        </w:rPr>
      </w:r>
    </w:p>
    <w:p>
      <w:pPr>
        <w:jc w:val="left"/>
        <w:spacing w:before="120" w:after="120" w:line="400" w:lineRule="exact"/>
        <w:tabs>
          <w:tab w:val="right" w:pos="8720" w:leader="dot"/>
        </w:tabs>
        <w:rPr>
          <w:rFonts w:eastAsia="宋体"/>
          <w:sz w:val="24"/>
          <w:szCs w:val="24"/>
          <w:highlight w:val="none"/>
        </w:rPr>
      </w:pPr>
      <w:r>
        <w:rPr>
          <w:rFonts w:eastAsia="宋体"/>
          <w:sz w:val="24"/>
          <w:szCs w:val="24"/>
          <w:highlight w:val="none"/>
        </w:rPr>
      </w:r>
      <w:r>
        <w:rPr>
          <w:highlight w:val="none"/>
        </w:rPr>
      </w:r>
    </w:p>
    <w:p>
      <w:pPr>
        <w:ind w:firstLine="480"/>
        <w:spacing w:line="440" w:lineRule="exact"/>
        <w:rPr>
          <w:rFonts w:eastAsia="宋体"/>
          <w:sz w:val="24"/>
          <w:szCs w:val="21"/>
          <w:highlight w:val="none"/>
        </w:rPr>
      </w:pPr>
      <w:r>
        <w:rPr>
          <w:rFonts w:eastAsia="宋体"/>
          <w:sz w:val="24"/>
          <w:szCs w:val="21"/>
          <w:highlight w:val="none"/>
        </w:rPr>
      </w:r>
      <w:r>
        <w:rPr>
          <w:highlight w:val="none"/>
        </w:rPr>
      </w:r>
    </w:p>
    <w:p>
      <w:pPr>
        <w:ind w:firstLine="480"/>
        <w:spacing w:line="440" w:lineRule="exact"/>
        <w:rPr>
          <w:rFonts w:eastAsia="宋体"/>
          <w:sz w:val="24"/>
          <w:szCs w:val="21"/>
          <w:highlight w:val="none"/>
        </w:rPr>
      </w:pPr>
      <w:r>
        <w:rPr>
          <w:rFonts w:eastAsia="宋体"/>
          <w:sz w:val="24"/>
          <w:szCs w:val="21"/>
          <w:highlight w:val="none"/>
        </w:rPr>
      </w:r>
      <w:r>
        <w:rPr>
          <w:highlight w:val="none"/>
        </w:rPr>
      </w:r>
    </w:p>
    <w:p>
      <w:pPr>
        <w:ind w:firstLine="480"/>
        <w:spacing w:line="440" w:lineRule="exact"/>
        <w:rPr>
          <w:rFonts w:eastAsia="宋体"/>
          <w:sz w:val="24"/>
          <w:szCs w:val="21"/>
          <w:highlight w:val="none"/>
        </w:rPr>
      </w:pPr>
      <w:r>
        <w:rPr>
          <w:rFonts w:eastAsia="宋体"/>
          <w:sz w:val="24"/>
          <w:szCs w:val="21"/>
          <w:highlight w:val="none"/>
        </w:rPr>
      </w:r>
      <w:r>
        <w:rPr>
          <w:highlight w:val="none"/>
        </w:rPr>
      </w:r>
    </w:p>
    <w:p>
      <w:pPr>
        <w:ind w:firstLine="480"/>
        <w:spacing w:line="440" w:lineRule="exact"/>
        <w:rPr>
          <w:rFonts w:eastAsia="宋体"/>
          <w:sz w:val="24"/>
          <w:szCs w:val="21"/>
          <w:highlight w:val="none"/>
        </w:rPr>
      </w:pPr>
      <w:r>
        <w:rPr>
          <w:rFonts w:eastAsia="宋体"/>
          <w:sz w:val="24"/>
          <w:szCs w:val="21"/>
          <w:highlight w:val="none"/>
        </w:rPr>
      </w:r>
      <w:r>
        <w:rPr>
          <w:highlight w:val="none"/>
        </w:rPr>
      </w:r>
    </w:p>
    <w:p>
      <w:pPr>
        <w:ind w:firstLine="480"/>
        <w:spacing w:line="440" w:lineRule="exact"/>
        <w:rPr>
          <w:rFonts w:eastAsia="宋体"/>
          <w:sz w:val="24"/>
          <w:szCs w:val="21"/>
          <w:highlight w:val="none"/>
        </w:rPr>
      </w:pPr>
      <w:r>
        <w:rPr>
          <w:rFonts w:eastAsia="宋体"/>
          <w:sz w:val="24"/>
          <w:szCs w:val="21"/>
          <w:highlight w:val="none"/>
        </w:rPr>
      </w:r>
      <w:r>
        <w:rPr>
          <w:highlight w:val="none"/>
        </w:rPr>
      </w:r>
    </w:p>
    <w:p>
      <w:pPr>
        <w:jc w:val="left"/>
        <w:widowControl/>
        <w:rPr>
          <w:rFonts w:eastAsia="Times New Roman"/>
          <w:sz w:val="24"/>
          <w:szCs w:val="24"/>
          <w:highlight w:val="none"/>
        </w:rPr>
      </w:pPr>
      <w:r>
        <w:rPr>
          <w:highlight w:val="none"/>
        </w:rPr>
      </w:r>
      <w:bookmarkStart w:id="8" w:name="_Toc23838"/>
      <w:r>
        <w:rPr>
          <w:highlight w:val="none"/>
        </w:rPr>
      </w:r>
      <w:r>
        <w:rPr>
          <w:highlight w:val="none"/>
        </w:rPr>
      </w:r>
    </w:p>
    <w:p>
      <w:pPr>
        <w:jc w:val="left"/>
        <w:widowControl/>
        <w:rPr>
          <w:rFonts w:eastAsia="Times New Roman"/>
          <w:sz w:val="24"/>
          <w:szCs w:val="24"/>
          <w:highlight w:val="none"/>
        </w:rPr>
      </w:pPr>
      <w:r>
        <w:rPr>
          <w:rFonts w:eastAsia="Times New Roman"/>
          <w:sz w:val="24"/>
          <w:szCs w:val="24"/>
          <w:highlight w:val="none"/>
        </w:rPr>
      </w:r>
      <w:r>
        <w:rPr>
          <w:highlight w:val="none"/>
        </w:rPr>
      </w:r>
    </w:p>
    <w:p>
      <w:pPr>
        <w:jc w:val="left"/>
        <w:widowControl/>
        <w:rPr>
          <w:rFonts w:eastAsia="Times New Roman"/>
          <w:sz w:val="24"/>
          <w:szCs w:val="24"/>
          <w:highlight w:val="none"/>
        </w:rPr>
      </w:pPr>
      <w:r>
        <w:rPr>
          <w:rFonts w:eastAsia="Times New Roman"/>
          <w:sz w:val="24"/>
          <w:szCs w:val="24"/>
          <w:highlight w:val="none"/>
        </w:rPr>
      </w:r>
      <w:r>
        <w:rPr>
          <w:highlight w:val="none"/>
        </w:rPr>
      </w:r>
    </w:p>
    <w:p>
      <w:pPr>
        <w:jc w:val="left"/>
        <w:widowControl/>
        <w:rPr>
          <w:rFonts w:eastAsia="Times New Roman"/>
          <w:sz w:val="24"/>
          <w:szCs w:val="24"/>
          <w:highlight w:val="none"/>
        </w:rPr>
      </w:pPr>
      <w:r>
        <w:rPr>
          <w:rFonts w:eastAsia="Times New Roman"/>
          <w:sz w:val="24"/>
          <w:szCs w:val="24"/>
          <w:highlight w:val="none"/>
        </w:rPr>
        <w:br w:type="page" w:clear="all"/>
      </w:r>
      <w:bookmarkEnd w:id="8"/>
      <w:r>
        <w:rPr>
          <w:highlight w:val="none"/>
        </w:rPr>
      </w:r>
      <w:r>
        <w:rPr>
          <w:highlight w:val="none"/>
        </w:rPr>
      </w:r>
    </w:p>
    <w:p>
      <w:pPr>
        <w:rPr>
          <w:rFonts w:hint="eastAsia" w:ascii="宋体" w:hAnsi="宋体" w:eastAsia="宋体"/>
          <w:b/>
          <w:sz w:val="32"/>
          <w:szCs w:val="32"/>
          <w:highlight w:val="none"/>
        </w:rPr>
      </w:pPr>
      <w:r>
        <w:rPr>
          <w:rFonts w:hint="eastAsia" w:ascii="宋体" w:hAnsi="宋体" w:eastAsia="宋体"/>
          <w:b/>
          <w:sz w:val="32"/>
          <w:szCs w:val="32"/>
          <w:highlight w:val="none"/>
        </w:rPr>
        <w:t xml:space="preserve">一、</w:t>
      </w:r>
      <w:bookmarkEnd w:id="5"/>
      <w:r>
        <w:rPr>
          <w:highlight w:val="none"/>
        </w:rPr>
      </w:r>
      <w:bookmarkEnd w:id="6"/>
      <w:r>
        <w:rPr>
          <w:highlight w:val="none"/>
        </w:rPr>
      </w:r>
      <w:bookmarkEnd w:id="7"/>
      <w:r>
        <w:rPr>
          <w:highlight w:val="none"/>
        </w:rPr>
      </w:r>
      <w:bookmarkStart w:id="9" w:name="_Toc120614284"/>
      <w:r>
        <w:rPr>
          <w:rFonts w:hint="eastAsia" w:ascii="宋体" w:hAnsi="宋体" w:eastAsia="宋体"/>
          <w:b/>
          <w:sz w:val="32"/>
          <w:szCs w:val="32"/>
          <w:highlight w:val="none"/>
        </w:rPr>
        <w:t xml:space="preserve">投标声明及承诺函</w:t>
      </w:r>
      <w:r>
        <w:rPr>
          <w:highlight w:val="none"/>
        </w:rPr>
      </w:r>
    </w:p>
    <w:p>
      <w:pPr>
        <w:jc w:val="left"/>
        <w:spacing w:line="500" w:lineRule="exact"/>
        <w:rPr>
          <w:rFonts w:hint="eastAsia" w:ascii="宋体" w:hAnsi="宋体" w:eastAsia="宋体"/>
          <w:sz w:val="24"/>
          <w:szCs w:val="24"/>
          <w:highlight w:val="none"/>
          <w:u w:val="single"/>
        </w:rPr>
      </w:pPr>
      <w:r>
        <w:rPr>
          <w:rFonts w:hint="eastAsia" w:ascii="宋体" w:hAnsi="宋体" w:eastAsia="宋体"/>
          <w:sz w:val="24"/>
          <w:szCs w:val="24"/>
          <w:highlight w:val="none"/>
          <w:u w:val="single"/>
        </w:rPr>
        <w:t xml:space="preserve">（采购单位名称）：</w:t>
      </w:r>
      <w:r>
        <w:rPr>
          <w:highlight w:val="none"/>
        </w:rP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根据已收到的项目编号为</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的</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项目的招标文件，我方在参加本项目招投标活动中，特做出如下承诺：</w:t>
      </w:r>
      <w:r>
        <w:rPr>
          <w:highlight w:val="none"/>
        </w:rPr>
      </w:r>
    </w:p>
    <w:p>
      <w:pPr>
        <w:ind w:firstLine="480"/>
        <w:jc w:val="left"/>
        <w:spacing w:line="500" w:lineRule="exact"/>
        <w:rPr>
          <w:rFonts w:hint="eastAsia" w:ascii="宋体" w:hAnsi="宋体" w:eastAsia="宋体"/>
          <w:sz w:val="24"/>
          <w:szCs w:val="22"/>
          <w:highlight w:val="none"/>
        </w:rPr>
      </w:pPr>
      <w:r>
        <w:rPr>
          <w:rFonts w:hint="eastAsia" w:ascii="宋体" w:hAnsi="宋体" w:eastAsia="宋体"/>
          <w:sz w:val="24"/>
          <w:szCs w:val="24"/>
          <w:highlight w:val="none"/>
        </w:rPr>
        <w:t xml:space="preserve">一、我方</w:t>
      </w:r>
      <w:r>
        <w:rPr>
          <w:rFonts w:ascii="宋体" w:hAnsi="宋体" w:eastAsia="宋体"/>
          <w:sz w:val="24"/>
          <w:szCs w:val="22"/>
          <w:highlight w:val="none"/>
        </w:rPr>
        <w:t xml:space="preserve">具备《中华人民共和国政府采购法》第二十二条第一款规定的6项条件；</w:t>
      </w:r>
      <w:r>
        <w:rPr>
          <w:highlight w:val="none"/>
        </w:rP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highlight w:val="none"/>
        </w:rP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三、我方按招标文件要求提交投标文件，响应招标文件规定的投标有效期；</w:t>
      </w:r>
      <w:r>
        <w:rPr>
          <w:highlight w:val="none"/>
        </w:rP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四、如果我方的投标文件被接受，我方将按《中华人民共和国民法典（第三编合同）》及其他有关法律、法规的规定，按期、按质、按量交付采购单位，全面做到履约守信；</w:t>
      </w:r>
      <w:r>
        <w:rPr>
          <w:highlight w:val="none"/>
        </w:rP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五、我方若违背本声明及承诺约定，经查实，自愿接受采购人及相关主管部门相应的规定处理，并依法承担相应的法律责任。</w:t>
      </w:r>
      <w:r>
        <w:rPr>
          <w:highlight w:val="none"/>
        </w:rP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六、我方同意采购人、采购代理机构将本声明及承诺函上网公开。</w:t>
      </w:r>
      <w:r>
        <w:rPr>
          <w:highlight w:val="none"/>
        </w:rP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p>
      <w:pPr>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投标人名称：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（加盖CA电子公章）</w:t>
      </w:r>
      <w:r>
        <w:rPr>
          <w:highlight w:val="none"/>
        </w:rPr>
      </w:r>
    </w:p>
    <w:p>
      <w:pPr>
        <w:ind w:firstLine="480"/>
        <w:rPr>
          <w:rFonts w:hint="eastAsia" w:ascii="宋体" w:hAnsi="宋体" w:eastAsia="宋体"/>
          <w:sz w:val="21"/>
          <w:szCs w:val="22"/>
          <w:highlight w:val="none"/>
        </w:rPr>
      </w:pPr>
      <w:r>
        <w:rPr>
          <w:rFonts w:hint="eastAsia" w:ascii="宋体" w:hAnsi="宋体" w:eastAsia="宋体"/>
          <w:sz w:val="24"/>
          <w:szCs w:val="24"/>
          <w:highlight w:val="none"/>
        </w:rPr>
        <w:t xml:space="preserve">日期：    年    月   日</w:t>
      </w:r>
      <w:r>
        <w:rPr>
          <w:highlight w:val="none"/>
        </w:rPr>
      </w:r>
    </w:p>
    <w:p>
      <w:pPr>
        <w:jc w:val="left"/>
        <w:widowControl/>
        <w:rPr>
          <w:rFonts w:hint="eastAsia" w:ascii="宋体" w:hAnsi="宋体" w:eastAsia="宋体"/>
          <w:sz w:val="24"/>
          <w:szCs w:val="24"/>
          <w:highlight w:val="none"/>
        </w:rPr>
      </w:pPr>
      <w:r>
        <w:rPr>
          <w:rFonts w:ascii="宋体" w:hAnsi="宋体" w:eastAsia="宋体"/>
          <w:sz w:val="24"/>
          <w:szCs w:val="24"/>
          <w:highlight w:val="none"/>
        </w:rPr>
        <w:br w:type="page" w:clear="all"/>
      </w:r>
      <w:r>
        <w:rPr>
          <w:rFonts w:hint="eastAsia" w:ascii="宋体" w:hAnsi="宋体" w:eastAsia="宋体"/>
          <w:b/>
          <w:sz w:val="32"/>
          <w:szCs w:val="32"/>
          <w:highlight w:val="none"/>
        </w:rPr>
        <w:t xml:space="preserve">二、投标人基本情况</w:t>
      </w:r>
      <w:r>
        <w:rPr>
          <w:highlight w:val="none"/>
        </w:rPr>
      </w:r>
    </w:p>
    <w:p>
      <w:pPr>
        <w:jc w:val="center"/>
        <w:rPr>
          <w:rFonts w:hint="eastAsia" w:ascii="宋体" w:hAnsi="宋体" w:eastAsia="宋体"/>
          <w:sz w:val="44"/>
          <w:szCs w:val="44"/>
          <w:highlight w:val="none"/>
        </w:rPr>
      </w:pPr>
      <w:r>
        <w:rPr>
          <w:rFonts w:hint="eastAsia" w:ascii="宋体" w:hAnsi="宋体" w:eastAsia="宋体"/>
          <w:sz w:val="44"/>
          <w:szCs w:val="44"/>
          <w:highlight w:val="none"/>
        </w:rPr>
        <w:t xml:space="preserve">投标人基本情况表</w:t>
      </w:r>
      <w:r>
        <w:rPr>
          <w:highlight w:val="none"/>
        </w:rPr>
      </w:r>
    </w:p>
    <w:tbl>
      <w:tblPr>
        <w:tblStyle w:val="7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投标人名称</w:t>
            </w:r>
            <w:r>
              <w:rPr>
                <w:highlight w:val="none"/>
              </w:rPr>
            </w:r>
          </w:p>
        </w:tc>
        <w:tc>
          <w:tcPr>
            <w:gridSpan w:val="3"/>
            <w:tcW w:w="699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法定代表人</w:t>
            </w:r>
            <w:r>
              <w:rPr>
                <w:highlight w:val="none"/>
              </w:rP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注册地区</w:t>
            </w:r>
            <w:r>
              <w:rPr>
                <w:highlight w:val="none"/>
              </w:rP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地址</w:t>
            </w:r>
            <w:r>
              <w:rPr>
                <w:highlight w:val="none"/>
              </w:rP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邮政编码</w:t>
            </w:r>
            <w:r>
              <w:rPr>
                <w:highlight w:val="none"/>
              </w:rP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成立时间</w:t>
            </w:r>
            <w:r>
              <w:rPr>
                <w:highlight w:val="none"/>
              </w:rP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单位性质</w:t>
            </w:r>
            <w:r>
              <w:rPr>
                <w:highlight w:val="none"/>
              </w:rP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注册号或社会信用代码</w:t>
            </w:r>
            <w:r>
              <w:rPr>
                <w:highlight w:val="none"/>
              </w:rP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注册资本（万元）</w:t>
            </w:r>
            <w:r>
              <w:rPr>
                <w:highlight w:val="none"/>
              </w:rP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投标人类别</w:t>
            </w:r>
            <w:r>
              <w:rPr>
                <w:highlight w:val="none"/>
              </w:rPr>
            </w:r>
          </w:p>
        </w:tc>
        <w:tc>
          <w:tcPr>
            <w:gridSpan w:val="3"/>
            <w:tcW w:w="699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开户银行</w:t>
            </w:r>
            <w:r>
              <w:rPr>
                <w:highlight w:val="none"/>
              </w:rP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账号</w:t>
            </w:r>
            <w:r>
              <w:rPr>
                <w:highlight w:val="none"/>
              </w:rP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联系人</w:t>
            </w:r>
            <w:r>
              <w:rPr>
                <w:highlight w:val="none"/>
              </w:rP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联系电话</w:t>
            </w:r>
            <w:r>
              <w:rPr>
                <w:highlight w:val="none"/>
              </w:rP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r>
      <w:tr>
        <w:trPr>
          <w:trHeight w:val="2376"/>
        </w:trPr>
        <w:tc>
          <w:tcPr>
            <w:tcW w:w="1526" w:type="dxa"/>
            <w:vAlign w:val="center"/>
            <w:textDirection w:val="lrTb"/>
            <w:noWrap w:val="false"/>
          </w:tcPr>
          <w:p>
            <w:pPr>
              <w:jc w:val="center"/>
              <w:spacing w:line="56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经营范围</w:t>
            </w:r>
            <w:r>
              <w:rPr>
                <w:highlight w:val="none"/>
              </w:rPr>
            </w:r>
          </w:p>
        </w:tc>
        <w:tc>
          <w:tcPr>
            <w:gridSpan w:val="3"/>
            <w:tcW w:w="6998" w:type="dxa"/>
            <w:textDirection w:val="lrTb"/>
            <w:noWrap w:val="false"/>
          </w:tcPr>
          <w:p>
            <w:pPr>
              <w:ind w:firstLine="1432"/>
              <w:spacing w:line="56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r>
      <w:tr>
        <w:trPr>
          <w:trHeight w:val="1134"/>
        </w:trPr>
        <w:tc>
          <w:tcPr>
            <w:tcW w:w="1526" w:type="dxa"/>
            <w:vAlign w:val="center"/>
            <w:textDirection w:val="lrTb"/>
            <w:noWrap w:val="false"/>
          </w:tcPr>
          <w:p>
            <w:pPr>
              <w:jc w:val="center"/>
              <w:spacing w:line="56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备注</w:t>
            </w:r>
            <w:r>
              <w:rPr>
                <w:highlight w:val="none"/>
              </w:rPr>
            </w:r>
          </w:p>
        </w:tc>
        <w:tc>
          <w:tcPr>
            <w:gridSpan w:val="3"/>
            <w:tcW w:w="6998" w:type="dxa"/>
            <w:vAlign w:val="center"/>
            <w:textDirection w:val="lrTb"/>
            <w:noWrap w:val="false"/>
          </w:tcPr>
          <w:p>
            <w:pPr>
              <w:jc w:val="center"/>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无需提供营业执照等证明材料</w:t>
            </w:r>
            <w:r>
              <w:rPr>
                <w:highlight w:val="none"/>
              </w:rPr>
            </w:r>
          </w:p>
        </w:tc>
      </w:tr>
    </w:tbl>
    <w:p>
      <w:pPr>
        <w:ind w:firstLine="480"/>
        <w:spacing w:line="440" w:lineRule="exact"/>
        <w:rPr>
          <w:rFonts w:hint="eastAsia" w:ascii="宋体" w:hAnsi="宋体" w:eastAsia="宋体"/>
          <w:sz w:val="24"/>
          <w:szCs w:val="21"/>
          <w:highlight w:val="none"/>
        </w:rPr>
      </w:pPr>
      <w:r>
        <w:rPr>
          <w:rFonts w:hint="eastAsia" w:ascii="宋体" w:hAnsi="宋体" w:eastAsia="宋体"/>
          <w:sz w:val="24"/>
          <w:szCs w:val="21"/>
          <w:highlight w:val="none"/>
        </w:rPr>
      </w:r>
      <w:r>
        <w:rPr>
          <w:highlight w:val="none"/>
        </w:rPr>
      </w:r>
    </w:p>
    <w:p>
      <w:pPr>
        <w:ind w:firstLine="480"/>
        <w:spacing w:line="440" w:lineRule="exact"/>
        <w:rPr>
          <w:rFonts w:hint="eastAsia" w:ascii="宋体" w:hAnsi="宋体" w:eastAsia="宋体"/>
          <w:sz w:val="24"/>
          <w:szCs w:val="21"/>
          <w:highlight w:val="none"/>
        </w:rPr>
      </w:pPr>
      <w:r>
        <w:rPr>
          <w:rFonts w:hint="eastAsia" w:ascii="宋体" w:hAnsi="宋体" w:eastAsia="宋体"/>
          <w:sz w:val="24"/>
          <w:szCs w:val="21"/>
          <w:highlight w:val="none"/>
        </w:rPr>
      </w:r>
      <w:r>
        <w:rPr>
          <w:highlight w:val="none"/>
        </w:rPr>
      </w:r>
    </w:p>
    <w:p>
      <w:pPr>
        <w:ind w:firstLine="480"/>
        <w:spacing w:line="440" w:lineRule="exact"/>
        <w:rPr>
          <w:rFonts w:hint="eastAsia" w:ascii="宋体" w:hAnsi="宋体" w:eastAsia="宋体"/>
          <w:sz w:val="24"/>
          <w:szCs w:val="21"/>
          <w:highlight w:val="none"/>
        </w:rPr>
      </w:pPr>
      <w:r>
        <w:rPr>
          <w:rFonts w:hint="eastAsia" w:ascii="宋体" w:hAnsi="宋体" w:eastAsia="宋体"/>
          <w:sz w:val="24"/>
          <w:szCs w:val="21"/>
          <w:highlight w:val="none"/>
        </w:rPr>
      </w:r>
      <w:r>
        <w:rPr>
          <w:highlight w:val="none"/>
        </w:rPr>
      </w:r>
    </w:p>
    <w:p>
      <w:pP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rPr>
          <w:rFonts w:hint="eastAsia" w:ascii="宋体" w:hAnsi="宋体" w:eastAsia="宋体"/>
          <w:i/>
          <w:sz w:val="32"/>
          <w:szCs w:val="32"/>
          <w:highlight w:val="none"/>
          <w:u w:val="single"/>
        </w:rPr>
      </w:pPr>
      <w:r>
        <w:rPr>
          <w:rFonts w:ascii="宋体" w:hAnsi="宋体" w:eastAsia="宋体"/>
          <w:sz w:val="21"/>
          <w:szCs w:val="21"/>
          <w:highlight w:val="none"/>
        </w:rPr>
        <w:br w:type="page" w:clear="all"/>
      </w:r>
      <w:r>
        <w:rPr>
          <w:rFonts w:hint="eastAsia" w:ascii="宋体" w:hAnsi="宋体" w:eastAsia="宋体"/>
          <w:b/>
          <w:sz w:val="32"/>
          <w:szCs w:val="32"/>
          <w:highlight w:val="none"/>
        </w:rPr>
        <w:t xml:space="preserve">三、特定资格要求的证明文件</w:t>
      </w:r>
      <w:r>
        <w:rPr>
          <w:highlight w:val="none"/>
        </w:rPr>
      </w:r>
    </w:p>
    <w:p>
      <w:pPr>
        <w:spacing w:line="460" w:lineRule="exact"/>
        <w:rPr>
          <w:rFonts w:hint="eastAsia" w:ascii="宋体" w:hAnsi="宋体" w:eastAsia="宋体"/>
          <w:bCs/>
          <w:sz w:val="24"/>
          <w:szCs w:val="21"/>
          <w:highlight w:val="none"/>
        </w:rPr>
      </w:pPr>
      <w:r>
        <w:rPr>
          <w:rFonts w:hint="eastAsia" w:ascii="宋体" w:hAnsi="宋体" w:eastAsia="宋体"/>
          <w:sz w:val="24"/>
          <w:szCs w:val="21"/>
          <w:highlight w:val="none"/>
        </w:rPr>
        <w:t xml:space="preserve">    如果本项目申请人的特定资格要求中要求提供的，必须提供。</w:t>
      </w:r>
      <w:r>
        <w:rPr>
          <w:highlight w:val="none"/>
        </w:rPr>
      </w:r>
    </w:p>
    <w:p>
      <w:pPr>
        <w:spacing w:line="460" w:lineRule="exact"/>
        <w:rPr>
          <w:rFonts w:hint="eastAsia" w:ascii="宋体" w:hAnsi="宋体" w:eastAsia="宋体"/>
          <w:bCs/>
          <w:sz w:val="24"/>
          <w:szCs w:val="21"/>
          <w:highlight w:val="none"/>
        </w:rPr>
      </w:pPr>
      <w:r>
        <w:rPr>
          <w:rFonts w:hint="eastAsia" w:ascii="宋体" w:hAnsi="宋体" w:eastAsia="宋体"/>
          <w:bCs/>
          <w:sz w:val="24"/>
          <w:szCs w:val="21"/>
          <w:highlight w:val="non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ind w:firstLine="640"/>
        <w:jc w:val="left"/>
        <w:spacing w:line="560" w:lineRule="exact"/>
        <w:rPr>
          <w:rFonts w:hint="eastAsia" w:ascii="宋体" w:hAnsi="宋体" w:eastAsia="宋体" w:cs="仿宋_GB2312"/>
          <w:i/>
          <w:sz w:val="32"/>
          <w:szCs w:val="32"/>
          <w:highlight w:val="none"/>
          <w:u w:val="single"/>
        </w:rPr>
      </w:pPr>
      <w:r>
        <w:rPr>
          <w:rFonts w:hint="eastAsia" w:ascii="宋体" w:hAnsi="宋体" w:eastAsia="宋体" w:cs="仿宋_GB2312"/>
          <w:i/>
          <w:sz w:val="32"/>
          <w:szCs w:val="32"/>
          <w:highlight w:val="none"/>
          <w:u w:val="single"/>
        </w:rPr>
      </w:r>
      <w:r>
        <w:rPr>
          <w:highlight w:val="none"/>
        </w:rPr>
      </w:r>
    </w:p>
    <w:p>
      <w:pPr>
        <w:ind w:firstLine="640"/>
        <w:jc w:val="left"/>
        <w:spacing w:line="560" w:lineRule="exact"/>
        <w:rPr>
          <w:rFonts w:hint="eastAsia" w:ascii="宋体" w:hAnsi="宋体" w:eastAsia="宋体" w:cs="仿宋_GB2312"/>
          <w:i/>
          <w:sz w:val="32"/>
          <w:szCs w:val="32"/>
          <w:highlight w:val="none"/>
          <w:u w:val="single"/>
        </w:rPr>
      </w:pPr>
      <w:r>
        <w:rPr>
          <w:rFonts w:hint="eastAsia" w:ascii="宋体" w:hAnsi="宋体" w:eastAsia="宋体" w:cs="仿宋_GB2312"/>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Theme="minorEastAsia" w:hAnsiTheme="minorEastAsia" w:eastAsiaTheme="minorEastAsia"/>
          <w:i/>
          <w:sz w:val="32"/>
          <w:szCs w:val="32"/>
          <w:highlight w:val="none"/>
          <w:u w:val="single"/>
        </w:rPr>
      </w:pPr>
      <w:r>
        <w:rPr>
          <w:rFonts w:hint="eastAsia" w:asciiTheme="minorEastAsia" w:hAnsiTheme="minorEastAsia" w:eastAsiaTheme="minorEastAsia"/>
          <w:i/>
          <w:sz w:val="32"/>
          <w:szCs w:val="32"/>
          <w:highlight w:val="none"/>
          <w:u w:val="single"/>
        </w:rPr>
      </w:r>
      <w:r>
        <w:rPr>
          <w:highlight w:val="none"/>
        </w:rP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pStyle w:val="754"/>
        <w:rPr>
          <w:rFonts w:hint="eastAsia" w:ascii="宋体" w:hAnsi="宋体" w:eastAsia="宋体"/>
          <w:highlight w:val="none"/>
        </w:rPr>
      </w:pPr>
      <w:r>
        <w:rPr>
          <w:rFonts w:hint="eastAsia" w:ascii="宋体" w:hAnsi="宋体" w:eastAsia="宋体"/>
          <w:highlight w:val="non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rPr>
          <w:rFonts w:hint="eastAsia" w:ascii="宋体" w:hAnsi="宋体" w:eastAsia="宋体"/>
          <w:b/>
          <w:sz w:val="32"/>
          <w:szCs w:val="32"/>
          <w:highlight w:val="none"/>
        </w:rPr>
      </w:pPr>
      <w:r>
        <w:rPr>
          <w:rFonts w:hint="eastAsia" w:ascii="宋体" w:hAnsi="宋体" w:eastAsia="宋体"/>
          <w:b/>
          <w:sz w:val="32"/>
          <w:szCs w:val="32"/>
          <w:highlight w:val="none"/>
        </w:rPr>
        <w:t xml:space="preserve">四、法人授权书</w:t>
      </w:r>
      <w:r>
        <w:rPr>
          <w:highlight w:val="none"/>
        </w:rPr>
      </w:r>
    </w:p>
    <w:p>
      <w:pPr>
        <w:ind w:firstLine="480"/>
        <w:tabs>
          <w:tab w:val="left" w:pos="36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本授权书声明：____________（投标人名称）授权________________（被授权人的姓名）为我方就JSZC-</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号项目采购活动的合法代理人，以本单位名义全权处理一切与该项目采购有关的事务。</w:t>
      </w:r>
      <w:r>
        <w:rPr>
          <w:highlight w:val="none"/>
        </w:rPr>
      </w:r>
    </w:p>
    <w:p>
      <w:pPr>
        <w:ind w:firstLine="480"/>
        <w:tabs>
          <w:tab w:val="left" w:pos="36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本授权书于______年____月____日起生效，特此声明。</w:t>
      </w:r>
      <w:r>
        <w:rPr>
          <w:highlight w:val="none"/>
        </w:rPr>
      </w:r>
    </w:p>
    <w:p>
      <w:pPr>
        <w:tabs>
          <w:tab w:val="left" w:pos="360" w:leader="none"/>
        </w:tabs>
        <w:rPr>
          <w:rFonts w:hint="eastAsia" w:ascii="宋体" w:hAnsi="宋体" w:eastAsia="宋体"/>
          <w:sz w:val="24"/>
          <w:szCs w:val="24"/>
          <w:highlight w:val="none"/>
          <w:u w:val="single"/>
        </w:rPr>
      </w:pPr>
      <w:r>
        <w:rPr>
          <w:rFonts w:hint="eastAsia" w:ascii="宋体" w:hAnsi="宋体" w:eastAsia="宋体"/>
          <w:sz w:val="24"/>
          <w:szCs w:val="24"/>
          <w:highlight w:val="none"/>
        </w:rPr>
        <w:t xml:space="preserve">          被授权人身份证号码：</w:t>
      </w:r>
      <w:r>
        <w:rPr>
          <w:rFonts w:hint="eastAsia" w:ascii="宋体" w:hAnsi="宋体" w:eastAsia="宋体"/>
          <w:sz w:val="24"/>
          <w:szCs w:val="24"/>
          <w:highlight w:val="none"/>
          <w:u w:val="single"/>
        </w:rPr>
        <w:t xml:space="preserve">                              </w:t>
      </w:r>
      <w:r>
        <w:rPr>
          <w:highlight w:val="none"/>
        </w:rPr>
      </w:r>
    </w:p>
    <w:p>
      <w:pPr>
        <w:tabs>
          <w:tab w:val="left" w:pos="360" w:leader="none"/>
        </w:tabs>
        <w:rPr>
          <w:rFonts w:hint="eastAsia" w:ascii="宋体" w:hAnsi="宋体" w:eastAsia="宋体"/>
          <w:sz w:val="24"/>
          <w:szCs w:val="24"/>
          <w:highlight w:val="none"/>
          <w:u w:val="single"/>
        </w:rPr>
      </w:pPr>
      <w:r>
        <w:rPr>
          <w:rFonts w:hint="eastAsia" w:ascii="宋体" w:hAnsi="宋体" w:eastAsia="宋体"/>
          <w:sz w:val="24"/>
          <w:szCs w:val="24"/>
          <w:highlight w:val="none"/>
        </w:rPr>
        <w:t xml:space="preserve">          被授权人联系电话：（手机）</w:t>
      </w:r>
      <w:r>
        <w:rPr>
          <w:rFonts w:hint="eastAsia" w:ascii="宋体" w:hAnsi="宋体" w:eastAsia="宋体"/>
          <w:sz w:val="24"/>
          <w:szCs w:val="24"/>
          <w:highlight w:val="none"/>
          <w:u w:val="single"/>
        </w:rPr>
        <w:t xml:space="preserve">                          </w:t>
      </w:r>
      <w:r>
        <w:rPr>
          <w:highlight w:val="none"/>
        </w:rPr>
      </w:r>
    </w:p>
    <w:p>
      <w:pPr>
        <w:ind w:firstLine="1200"/>
        <w:tabs>
          <w:tab w:val="left" w:pos="36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授权单位名称：</w:t>
      </w:r>
      <w:r>
        <w:rPr>
          <w:rFonts w:hint="eastAsia" w:ascii="宋体" w:hAnsi="宋体" w:eastAsia="宋体"/>
          <w:sz w:val="24"/>
          <w:szCs w:val="24"/>
          <w:highlight w:val="none"/>
          <w:u w:val="single"/>
        </w:rPr>
        <w:t xml:space="preserve">（加盖CA电子公章）</w:t>
      </w:r>
      <w:r>
        <w:rPr>
          <w:highlight w:val="none"/>
        </w:rPr>
      </w:r>
    </w:p>
    <w:p>
      <w:pPr>
        <w:ind w:firstLine="480"/>
        <w:tabs>
          <w:tab w:val="left" w:pos="360" w:leader="none"/>
        </w:tabs>
        <w:rPr>
          <w:rFonts w:hint="eastAsia" w:ascii="宋体" w:hAnsi="宋体" w:eastAsia="宋体"/>
          <w:sz w:val="24"/>
          <w:szCs w:val="24"/>
          <w:highlight w:val="none"/>
          <w:u w:val="single"/>
        </w:rPr>
      </w:pPr>
      <w:r>
        <w:rPr>
          <w:rFonts w:hint="eastAsia" w:ascii="宋体" w:hAnsi="宋体" w:eastAsia="宋体"/>
          <w:sz w:val="24"/>
          <w:szCs w:val="24"/>
          <w:highlight w:val="none"/>
        </w:rPr>
        <w:t xml:space="preserve">      单位地址：</w:t>
      </w:r>
      <w:r>
        <w:rPr>
          <w:rFonts w:hint="eastAsia" w:ascii="宋体" w:hAnsi="宋体" w:eastAsia="宋体"/>
          <w:sz w:val="24"/>
          <w:szCs w:val="24"/>
          <w:highlight w:val="none"/>
          <w:u w:val="single"/>
        </w:rPr>
        <w:t xml:space="preserve">                                         </w:t>
      </w:r>
      <w:r>
        <w:rPr>
          <w:highlight w:val="none"/>
        </w:rPr>
      </w:r>
    </w:p>
    <w:p>
      <w:pPr>
        <w:ind w:firstLine="480"/>
        <w:tabs>
          <w:tab w:val="left" w:pos="36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      日期：</w:t>
      </w:r>
      <w:bookmarkStart w:id="10" w:name="_格式3__银行出具的资信证明"/>
      <w:r>
        <w:rPr>
          <w:highlight w:val="none"/>
        </w:rPr>
      </w:r>
      <w:bookmarkEnd w:id="10"/>
      <w:r>
        <w:rPr>
          <w:highlight w:val="none"/>
        </w:rPr>
      </w:r>
      <w:bookmarkStart w:id="11" w:name="_Hlt26955070"/>
      <w:r>
        <w:rPr>
          <w:highlight w:val="none"/>
        </w:rPr>
      </w:r>
      <w:bookmarkEnd w:id="11"/>
      <w:r>
        <w:rPr>
          <w:highlight w:val="none"/>
        </w:rPr>
      </w:r>
      <w:bookmarkStart w:id="12" w:name="_Hlt26671380"/>
      <w:r>
        <w:rPr>
          <w:highlight w:val="none"/>
        </w:rPr>
      </w:r>
      <w:bookmarkEnd w:id="12"/>
      <w:r>
        <w:rPr>
          <w:rFonts w:hint="eastAsia" w:ascii="宋体" w:hAnsi="宋体" w:eastAsia="宋体"/>
          <w:sz w:val="24"/>
          <w:szCs w:val="24"/>
          <w:highlight w:val="none"/>
          <w:u w:val="single"/>
        </w:rPr>
        <w:t xml:space="preserve">                                         </w:t>
      </w:r>
      <w:r>
        <w:rPr>
          <w:highlight w:val="none"/>
        </w:rPr>
      </w:r>
    </w:p>
    <w:p>
      <w:pPr>
        <w:ind w:firstLine="420"/>
        <w:rPr>
          <w:rFonts w:hint="eastAsia" w:ascii="宋体" w:hAnsi="宋体" w:eastAsia="宋体"/>
          <w:i/>
          <w:sz w:val="24"/>
          <w:szCs w:val="24"/>
          <w:highlight w:val="none"/>
          <w:u w:val="single"/>
        </w:rPr>
      </w:pPr>
      <w:r>
        <w:rPr>
          <w:rFonts w:hint="eastAsia" w:ascii="宋体" w:hAnsi="宋体" w:eastAsia="宋体"/>
          <w:i/>
          <w:sz w:val="24"/>
          <w:szCs w:val="24"/>
          <w:highlight w:val="none"/>
          <w:u w:val="single"/>
        </w:rPr>
      </w:r>
      <w:r>
        <w:rPr>
          <w:highlight w:val="none"/>
        </w:rPr>
      </w:r>
    </w:p>
    <w:p>
      <w:pPr>
        <w:rPr>
          <w:rFonts w:hint="eastAsia" w:ascii="宋体" w:hAnsi="宋体" w:eastAsia="宋体"/>
          <w:sz w:val="20"/>
          <w:szCs w:val="21"/>
          <w:highlight w:val="none"/>
        </w:rPr>
      </w:pPr>
      <w:r>
        <w:rPr>
          <w:rFonts w:hint="eastAsia" w:ascii="宋体" w:hAnsi="宋体" w:eastAsia="宋体"/>
          <w:sz w:val="20"/>
          <w:szCs w:val="21"/>
          <w:highlight w:val="none"/>
        </w:rPr>
      </w:r>
      <w:r>
        <w:rPr>
          <w:highlight w:val="none"/>
        </w:rPr>
      </w:r>
    </w:p>
    <w:p>
      <w:pPr>
        <w:spacing w:line="460" w:lineRule="exact"/>
        <w:rPr>
          <w:rFonts w:hint="eastAsia" w:ascii="宋体" w:hAnsi="宋体" w:eastAsia="宋体"/>
          <w:bCs/>
          <w:sz w:val="24"/>
          <w:szCs w:val="21"/>
          <w:highlight w:val="none"/>
        </w:rPr>
      </w:pPr>
      <w:r>
        <w:rPr>
          <w:rFonts w:hint="eastAsia" w:ascii="宋体" w:hAnsi="宋体" w:eastAsia="宋体"/>
          <w:bCs/>
          <w:sz w:val="24"/>
          <w:szCs w:val="21"/>
          <w:highlight w:val="none"/>
        </w:rPr>
      </w:r>
      <w:r>
        <w:rPr>
          <w:highlight w:val="none"/>
        </w:rPr>
      </w:r>
    </w:p>
    <w:p>
      <w:pPr>
        <w:jc w:val="center"/>
        <w:rPr>
          <w:rFonts w:hint="eastAsia" w:ascii="宋体" w:hAnsi="宋体" w:eastAsia="宋体"/>
          <w:b/>
          <w:sz w:val="32"/>
          <w:szCs w:val="32"/>
          <w:highlight w:val="none"/>
        </w:rPr>
      </w:pPr>
      <w:r>
        <w:rPr>
          <w:rFonts w:ascii="宋体" w:hAnsi="宋体" w:eastAsia="宋体"/>
          <w:bCs/>
          <w:sz w:val="24"/>
          <w:szCs w:val="21"/>
          <w:highlight w:val="none"/>
        </w:rPr>
        <w:br w:type="page" w:clear="all"/>
      </w:r>
      <w:r>
        <w:rPr>
          <w:rFonts w:hint="eastAsia" w:ascii="宋体" w:hAnsi="宋体" w:eastAsia="宋体"/>
          <w:b/>
          <w:sz w:val="32"/>
          <w:szCs w:val="32"/>
          <w:highlight w:val="none"/>
        </w:rPr>
        <w:t xml:space="preserve">五、开标一览表</w:t>
      </w:r>
      <w:r>
        <w:rPr>
          <w:highlight w:val="none"/>
        </w:rPr>
      </w:r>
    </w:p>
    <w:p>
      <w:pPr>
        <w:jc w:val="center"/>
        <w:rPr>
          <w:rFonts w:hint="eastAsia" w:ascii="宋体" w:hAnsi="宋体" w:eastAsia="宋体"/>
          <w:b/>
          <w:sz w:val="32"/>
          <w:szCs w:val="32"/>
          <w:highlight w:val="none"/>
        </w:rPr>
      </w:pPr>
      <w:r>
        <w:rPr>
          <w:rFonts w:hint="eastAsia" w:ascii="宋体" w:hAnsi="宋体" w:eastAsia="宋体"/>
          <w:b/>
          <w:sz w:val="32"/>
          <w:szCs w:val="32"/>
          <w:highlight w:val="none"/>
        </w:rPr>
      </w:r>
      <w:r>
        <w:rPr>
          <w:highlight w:val="none"/>
        </w:rPr>
      </w:r>
    </w:p>
    <w:p>
      <w:pPr>
        <w:jc w:val="center"/>
        <w:rPr>
          <w:rFonts w:hint="eastAsia" w:ascii="宋体" w:hAnsi="宋体" w:eastAsia="宋体"/>
          <w:b/>
          <w:sz w:val="32"/>
          <w:szCs w:val="32"/>
          <w:highlight w:val="none"/>
        </w:rPr>
      </w:pPr>
      <w:r>
        <w:rPr>
          <w:rFonts w:hint="eastAsia" w:ascii="宋体" w:hAnsi="宋体" w:eastAsia="宋体"/>
          <w:b/>
          <w:sz w:val="32"/>
          <w:szCs w:val="32"/>
          <w:highlight w:val="none"/>
        </w:rPr>
        <w:t xml:space="preserve">直接在苏采云系统里填写</w:t>
      </w:r>
      <w:r>
        <w:rPr>
          <w:highlight w:val="none"/>
        </w:rPr>
      </w:r>
    </w:p>
    <w:p>
      <w:pPr>
        <w:pStyle w:val="754"/>
        <w:rPr>
          <w:highlight w:val="none"/>
        </w:rPr>
      </w:pPr>
      <w:r>
        <w:rPr>
          <w:highlight w:val="none"/>
        </w:rPr>
      </w:r>
      <w:r>
        <w:rPr>
          <w:highlight w:val="none"/>
        </w:rPr>
      </w:r>
    </w:p>
    <w:p>
      <w:pPr>
        <w:pStyle w:val="754"/>
        <w:rPr>
          <w:highlight w:val="none"/>
        </w:rPr>
      </w:pPr>
      <w:r>
        <w:rPr>
          <w:highlight w:val="none"/>
        </w:rPr>
      </w:r>
      <w:r>
        <w:rPr>
          <w:highlight w:val="none"/>
        </w:rPr>
      </w:r>
    </w:p>
    <w:p>
      <w:pPr>
        <w:jc w:val="center"/>
        <w:rPr>
          <w:rFonts w:hint="eastAsia" w:ascii="宋体" w:hAnsi="宋体" w:eastAsia="宋体"/>
          <w:sz w:val="24"/>
          <w:highlight w:val="none"/>
        </w:rPr>
      </w:pPr>
      <w:r>
        <w:rPr>
          <w:rFonts w:hint="eastAsia" w:ascii="宋体" w:hAnsi="宋体" w:eastAsia="宋体"/>
          <w:sz w:val="24"/>
          <w:highlight w:val="none"/>
        </w:rPr>
      </w:r>
      <w:r>
        <w:rPr>
          <w:highlight w:val="none"/>
        </w:rPr>
      </w:r>
    </w:p>
    <w:p>
      <w:pPr>
        <w:ind w:firstLine="480"/>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p>
      <w:pPr>
        <w:ind w:firstLine="480"/>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p>
      <w:pPr>
        <w:ind w:firstLine="480"/>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Theme="minorEastAsia" w:hAnsiTheme="minorEastAsia" w:eastAsiaTheme="minorEastAsia"/>
          <w:bCs/>
          <w:sz w:val="24"/>
          <w:szCs w:val="21"/>
          <w:highlight w:val="none"/>
        </w:rPr>
      </w:pPr>
      <w:r>
        <w:rPr>
          <w:rFonts w:hint="eastAsia" w:asciiTheme="minorEastAsia" w:hAnsiTheme="minorEastAsia" w:eastAsiaTheme="minorEastAsia"/>
          <w:bCs/>
          <w:sz w:val="24"/>
          <w:szCs w:val="21"/>
          <w:highlight w:val="none"/>
        </w:rPr>
      </w:r>
      <w:r>
        <w:rPr>
          <w:highlight w:val="none"/>
        </w:rP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pStyle w:val="754"/>
        <w:rPr>
          <w:rFonts w:hint="eastAsia" w:ascii="宋体" w:hAnsi="宋体" w:eastAsia="宋体"/>
          <w:highlight w:val="none"/>
        </w:rPr>
      </w:pPr>
      <w:r>
        <w:rPr>
          <w:rFonts w:hint="eastAsia" w:ascii="宋体" w:hAnsi="宋体" w:eastAsia="宋体"/>
          <w:highlight w:val="none"/>
        </w:rPr>
      </w:r>
      <w:r>
        <w:rPr>
          <w:highlight w:val="none"/>
        </w:rPr>
      </w:r>
    </w:p>
    <w:p>
      <w:pPr>
        <w:rPr>
          <w:highlight w:val="none"/>
        </w:rPr>
      </w:pPr>
      <w:r>
        <w:rPr>
          <w:highlight w:val="none"/>
        </w:rPr>
      </w:r>
      <w:r>
        <w:rPr>
          <w:highlight w:val="none"/>
        </w:rPr>
      </w:r>
    </w:p>
    <w:p>
      <w:pPr>
        <w:pStyle w:val="754"/>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jc w:val="center"/>
        <w:spacing w:line="560" w:lineRule="exact"/>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t xml:space="preserve">六、分项报价表（分包号：**）（货物类）</w:t>
      </w:r>
      <w:r>
        <w:rPr>
          <w:highlight w:val="none"/>
        </w:rPr>
      </w:r>
    </w:p>
    <w:p>
      <w:pPr>
        <w:numPr>
          <w:ilvl w:val="0"/>
          <w:numId w:val="0"/>
        </w:numPr>
        <w:jc w:val="both"/>
        <w:spacing w:line="560" w:lineRule="exact"/>
        <w:rPr>
          <w:rFonts w:hint="default" w:ascii="宋体" w:hAnsi="宋体" w:eastAsia="宋体"/>
          <w:b/>
          <w:color w:val="000000"/>
          <w:sz w:val="32"/>
          <w:szCs w:val="32"/>
          <w:highlight w:val="none"/>
        </w:rPr>
      </w:pPr>
      <w:r>
        <w:rPr>
          <w:rFonts w:hint="eastAsia" w:ascii="宋体" w:hAnsi="宋体" w:eastAsia="宋体"/>
          <w:b/>
          <w:color w:val="000000"/>
          <w:sz w:val="32"/>
          <w:szCs w:val="32"/>
          <w:highlight w:val="none"/>
          <w:lang w:val="en-US" w:eastAsia="zh-CN"/>
        </w:rPr>
        <w:t xml:space="preserve">1、设备报价表</w:t>
      </w:r>
      <w:r>
        <w:rPr>
          <w:highlight w:val="none"/>
        </w:rPr>
      </w:r>
    </w:p>
    <w:tbl>
      <w:tblPr>
        <w:tblStyle w:val="74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rPr>
                <w:highlight w:val="none"/>
              </w:rPr>
            </w:r>
          </w:p>
        </w:tc>
        <w:tc>
          <w:tcPr>
            <w:tcW w:w="103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highlight w:val="none"/>
              </w:rPr>
            </w:r>
          </w:p>
        </w:tc>
        <w:tc>
          <w:tcPr>
            <w:tcW w:w="96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highlight w:val="none"/>
              </w:rPr>
            </w:r>
          </w:p>
        </w:tc>
        <w:tc>
          <w:tcPr>
            <w:tcW w:w="1414"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highlight w:val="none"/>
              </w:rPr>
            </w:r>
          </w:p>
        </w:tc>
        <w:tc>
          <w:tcPr>
            <w:tcW w:w="784"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w:t>
            </w:r>
            <w:r>
              <w:rPr>
                <w:highlight w:val="none"/>
              </w:rPr>
            </w:r>
          </w:p>
        </w:tc>
        <w:tc>
          <w:tcPr>
            <w:tcW w:w="980"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w:t>
            </w:r>
            <w:r>
              <w:rPr>
                <w:highlight w:val="none"/>
              </w:rPr>
            </w:r>
          </w:p>
        </w:tc>
        <w:tc>
          <w:tcPr>
            <w:tcW w:w="727"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w:t>
            </w:r>
            <w:r>
              <w:rPr>
                <w:highlight w:val="none"/>
              </w:rPr>
            </w:r>
          </w:p>
        </w:tc>
        <w:tc>
          <w:tcPr>
            <w:tcW w:w="1372"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w:t>
            </w:r>
            <w:r>
              <w:rPr>
                <w:highlight w:val="none"/>
              </w:rPr>
            </w:r>
          </w:p>
        </w:tc>
        <w:tc>
          <w:tcPr>
            <w:tcW w:w="124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8</w:t>
            </w:r>
            <w:r>
              <w:rPr>
                <w:highlight w:val="none"/>
              </w:rPr>
            </w:r>
          </w:p>
        </w:tc>
      </w:tr>
      <w:tr>
        <w:trPr>
          <w:cantSplit/>
          <w:trHeight w:val="294"/>
        </w:trPr>
        <w:tc>
          <w:tcPr>
            <w:tcW w:w="55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highlight w:val="none"/>
              </w:rPr>
            </w:r>
          </w:p>
        </w:tc>
        <w:tc>
          <w:tcPr>
            <w:tcW w:w="103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产品</w:t>
            </w:r>
            <w:r>
              <w:rPr>
                <w:highlight w:val="none"/>
              </w:rPr>
            </w:r>
          </w:p>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名称</w:t>
            </w:r>
            <w:r>
              <w:rPr>
                <w:highlight w:val="none"/>
              </w:rPr>
            </w:r>
          </w:p>
        </w:tc>
        <w:tc>
          <w:tcPr>
            <w:tcW w:w="96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品牌</w:t>
            </w:r>
            <w:r>
              <w:rPr>
                <w:highlight w:val="none"/>
              </w:rPr>
            </w:r>
          </w:p>
        </w:tc>
        <w:tc>
          <w:tcPr>
            <w:tcW w:w="1414"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规格</w:t>
            </w:r>
            <w:r>
              <w:rPr>
                <w:highlight w:val="none"/>
              </w:rPr>
            </w:r>
          </w:p>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型号</w:t>
            </w:r>
            <w:r>
              <w:rPr>
                <w:highlight w:val="none"/>
              </w:rPr>
            </w:r>
          </w:p>
        </w:tc>
        <w:tc>
          <w:tcPr>
            <w:tcW w:w="784"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产地</w:t>
            </w:r>
            <w:r>
              <w:rPr>
                <w:highlight w:val="none"/>
              </w:rPr>
            </w:r>
          </w:p>
        </w:tc>
        <w:tc>
          <w:tcPr>
            <w:tcW w:w="980"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交付期</w:t>
            </w:r>
            <w:r>
              <w:rPr>
                <w:highlight w:val="none"/>
              </w:rPr>
            </w:r>
          </w:p>
        </w:tc>
        <w:tc>
          <w:tcPr>
            <w:tcW w:w="727"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数量</w:t>
            </w:r>
            <w:r>
              <w:rPr>
                <w:highlight w:val="none"/>
              </w:rPr>
            </w:r>
          </w:p>
        </w:tc>
        <w:tc>
          <w:tcPr>
            <w:tcW w:w="1372"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分项单价</w:t>
            </w:r>
            <w:r>
              <w:rPr>
                <w:highlight w:val="none"/>
              </w:rPr>
            </w:r>
          </w:p>
        </w:tc>
        <w:tc>
          <w:tcPr>
            <w:tcW w:w="124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分项总价</w:t>
            </w:r>
            <w:r>
              <w:rPr>
                <w:highlight w:val="none"/>
              </w:rPr>
            </w:r>
          </w:p>
        </w:tc>
      </w:tr>
      <w:tr>
        <w:trPr>
          <w:cantSplit/>
          <w:trHeight w:val="696"/>
        </w:trPr>
        <w:tc>
          <w:tcPr>
            <w:tcW w:w="55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highlight w:val="none"/>
              </w:rPr>
            </w:r>
          </w:p>
        </w:tc>
        <w:tc>
          <w:tcPr>
            <w:tcW w:w="103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96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141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78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980"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727"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1372"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124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r>
      <w:tr>
        <w:trPr>
          <w:cantSplit/>
          <w:trHeight w:val="724"/>
        </w:trPr>
        <w:tc>
          <w:tcPr>
            <w:tcW w:w="55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highlight w:val="none"/>
              </w:rPr>
            </w:r>
          </w:p>
        </w:tc>
        <w:tc>
          <w:tcPr>
            <w:tcW w:w="103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96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141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78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980"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727"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1372"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124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r>
      <w:tr>
        <w:trPr>
          <w:cantSplit/>
          <w:trHeight w:val="580"/>
        </w:trPr>
        <w:tc>
          <w:tcPr>
            <w:tcW w:w="55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w:t>
            </w:r>
            <w:r>
              <w:rPr>
                <w:highlight w:val="none"/>
              </w:rPr>
            </w:r>
          </w:p>
        </w:tc>
        <w:tc>
          <w:tcPr>
            <w:tcW w:w="1036" w:type="dxa"/>
            <w:vAlign w:val="center"/>
            <w:textDirection w:val="lrTb"/>
            <w:noWrap w:val="false"/>
          </w:tcPr>
          <w:p>
            <w:pPr>
              <w:spacing w:line="56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w:t>
            </w:r>
            <w:r>
              <w:rPr>
                <w:highlight w:val="none"/>
              </w:rPr>
            </w:r>
          </w:p>
        </w:tc>
        <w:tc>
          <w:tcPr>
            <w:tcW w:w="96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141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78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980"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727"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1372"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124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r>
      <w:tr>
        <w:trPr>
          <w:cantSplit/>
          <w:trHeight w:val="1030"/>
        </w:trPr>
        <w:tc>
          <w:tcPr>
            <w:gridSpan w:val="8"/>
            <w:tcW w:w="7835"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总报价（人民币：元）</w:t>
            </w:r>
            <w:r>
              <w:rPr>
                <w:highlight w:val="none"/>
              </w:rPr>
            </w:r>
          </w:p>
        </w:tc>
        <w:tc>
          <w:tcPr>
            <w:tcW w:w="1246" w:type="dxa"/>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r>
      <w:tr>
        <w:trPr>
          <w:cantSplit/>
          <w:trHeight w:val="1030"/>
        </w:trPr>
        <w:tc>
          <w:tcPr>
            <w:gridSpan w:val="9"/>
            <w:tcW w:w="9081"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本采购包中提供的符合本国产品标准的产品成本之和占该采购包提供的全部产品成本之和的比例为***%。</w:t>
            </w:r>
            <w:r>
              <w:rPr>
                <w:highlight w:val="none"/>
              </w:rPr>
            </w:r>
          </w:p>
        </w:tc>
      </w:tr>
    </w:tbl>
    <w:p>
      <w:pPr>
        <w:numPr>
          <w:ilvl w:val="0"/>
          <w:numId w:val="7"/>
        </w:numPr>
        <w:jc w:val="left"/>
        <w:keepLines/>
        <w:spacing w:before="120" w:after="120" w:line="416" w:lineRule="auto"/>
        <w:rPr>
          <w:rFonts w:hint="eastAsia" w:eastAsia="黑体"/>
          <w:b/>
          <w:sz w:val="32"/>
          <w:szCs w:val="32"/>
          <w:highlight w:val="none"/>
        </w:rPr>
        <w:outlineLvl w:val="1"/>
      </w:pPr>
      <w:r>
        <w:rPr>
          <w:rFonts w:hint="eastAsia" w:eastAsia="黑体"/>
          <w:b/>
          <w:sz w:val="32"/>
          <w:szCs w:val="32"/>
          <w:highlight w:val="none"/>
          <w:lang w:val="en-US" w:eastAsia="zh-CN"/>
        </w:rPr>
        <w:t xml:space="preserve">主要配件和耗材价格</w:t>
      </w:r>
      <w:r>
        <w:rPr>
          <w:highlight w:val="none"/>
        </w:rPr>
      </w:r>
    </w:p>
    <w:p>
      <w:pPr>
        <w:numPr>
          <w:ilvl w:val="0"/>
          <w:numId w:val="0"/>
        </w:numPr>
        <w:jc w:val="left"/>
        <w:keepLines/>
        <w:spacing w:before="120" w:after="120" w:line="416" w:lineRule="auto"/>
        <w:rPr>
          <w:rFonts w:hint="eastAsia" w:eastAsia="黑体"/>
          <w:b/>
          <w:sz w:val="32"/>
          <w:szCs w:val="32"/>
          <w:highlight w:val="none"/>
        </w:rPr>
        <w:outlineLvl w:val="1"/>
      </w:pPr>
      <w:r>
        <w:rPr>
          <w:rFonts w:hint="eastAsia" w:eastAsia="黑体"/>
          <w:b/>
          <w:sz w:val="32"/>
          <w:szCs w:val="32"/>
          <w:highlight w:val="none"/>
          <w:lang w:val="en-US" w:eastAsia="zh-CN"/>
        </w:rPr>
        <w:t xml:space="preserve">注：主要配件和耗材价格包括(一次性耗材和重复消毒耗材价格)如无耗材，填写无耗材即可。</w:t>
      </w:r>
      <w:r>
        <w:rPr>
          <w:highlight w:val="none"/>
        </w:rPr>
      </w:r>
    </w:p>
    <w:tbl>
      <w:tblPr>
        <w:tblStyle w:val="749"/>
        <w:tblW w:w="72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1"/>
        <w:gridCol w:w="1077"/>
        <w:gridCol w:w="1001"/>
        <w:gridCol w:w="1133"/>
        <w:gridCol w:w="1044"/>
        <w:gridCol w:w="779"/>
        <w:gridCol w:w="933"/>
      </w:tblGrid>
      <w:tr>
        <w:trPr>
          <w:cantSplit/>
          <w:trHeight w:val="544"/>
        </w:trPr>
        <w:tc>
          <w:tcPr>
            <w:tcW w:w="1241" w:type="dxa"/>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rPr>
                <w:highlight w:val="none"/>
              </w:rPr>
            </w:r>
          </w:p>
        </w:tc>
        <w:tc>
          <w:tcPr>
            <w:tcW w:w="1077"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产品</w:t>
            </w:r>
            <w:r>
              <w:rPr>
                <w:highlight w:val="none"/>
              </w:rPr>
            </w:r>
          </w:p>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名称</w:t>
            </w:r>
            <w:r>
              <w:rPr>
                <w:highlight w:val="none"/>
              </w:rPr>
            </w:r>
          </w:p>
        </w:tc>
        <w:tc>
          <w:tcPr>
            <w:tcW w:w="1001"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品牌</w:t>
            </w:r>
            <w:r>
              <w:rPr>
                <w:highlight w:val="none"/>
              </w:rPr>
            </w:r>
          </w:p>
        </w:tc>
        <w:tc>
          <w:tcPr>
            <w:tcW w:w="1133"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规格</w:t>
            </w:r>
            <w:r>
              <w:rPr>
                <w:rFonts w:hint="eastAsia" w:ascii="宋体" w:hAnsi="宋体" w:eastAsia="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型号</w:t>
            </w:r>
            <w:r>
              <w:rPr>
                <w:highlight w:val="none"/>
              </w:rPr>
            </w:r>
          </w:p>
        </w:tc>
        <w:tc>
          <w:tcPr>
            <w:tcW w:w="1044"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数量</w:t>
            </w:r>
            <w:r>
              <w:rPr>
                <w:highlight w:val="none"/>
              </w:rPr>
            </w:r>
          </w:p>
        </w:tc>
        <w:tc>
          <w:tcPr>
            <w:tcW w:w="779"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单价</w:t>
            </w:r>
            <w:r>
              <w:rPr>
                <w:highlight w:val="none"/>
              </w:rPr>
            </w:r>
          </w:p>
        </w:tc>
        <w:tc>
          <w:tcPr>
            <w:tcW w:w="933"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备注</w:t>
            </w:r>
            <w:r>
              <w:rPr>
                <w:highlight w:val="none"/>
              </w:rPr>
            </w:r>
          </w:p>
        </w:tc>
      </w:tr>
      <w:tr>
        <w:trPr>
          <w:cantSplit/>
          <w:trHeight w:val="294"/>
        </w:trPr>
        <w:tc>
          <w:tcPr>
            <w:tcW w:w="1241"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 </w:t>
            </w:r>
            <w:r>
              <w:rPr>
                <w:highlight w:val="none"/>
              </w:rPr>
            </w:r>
          </w:p>
        </w:tc>
        <w:tc>
          <w:tcPr>
            <w:tcW w:w="1077"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c>
          <w:tcPr>
            <w:tcW w:w="1001"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c>
          <w:tcPr>
            <w:tcW w:w="1133"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c>
          <w:tcPr>
            <w:tcW w:w="1044"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c>
          <w:tcPr>
            <w:tcW w:w="779"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c>
          <w:tcPr>
            <w:tcW w:w="933"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r>
    </w:tbl>
    <w:p>
      <w:pPr>
        <w:numPr>
          <w:ilvl w:val="0"/>
          <w:numId w:val="0"/>
        </w:numPr>
        <w:jc w:val="left"/>
        <w:keepLines/>
        <w:spacing w:before="120" w:after="120" w:line="416" w:lineRule="auto"/>
        <w:rPr>
          <w:rFonts w:hint="default" w:eastAsia="黑体"/>
          <w:b/>
          <w:sz w:val="32"/>
          <w:szCs w:val="32"/>
          <w:highlight w:val="none"/>
        </w:rPr>
        <w:outlineLvl w:val="1"/>
      </w:pPr>
      <w:r>
        <w:rPr>
          <w:rFonts w:hint="default" w:eastAsia="黑体"/>
          <w:b/>
          <w:sz w:val="32"/>
          <w:szCs w:val="32"/>
          <w:highlight w:val="none"/>
          <w:lang w:val="en-US" w:eastAsia="zh-CN"/>
        </w:rPr>
      </w:r>
      <w:r>
        <w:rPr>
          <w:highlight w:val="none"/>
        </w:rPr>
      </w:r>
    </w:p>
    <w:tbl>
      <w:tblPr>
        <w:tblStyle w:val="749"/>
        <w:tblW w:w="91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5"/>
        <w:gridCol w:w="1075"/>
        <w:gridCol w:w="967"/>
        <w:gridCol w:w="1111"/>
        <w:gridCol w:w="1300"/>
        <w:gridCol w:w="1222"/>
        <w:gridCol w:w="1000"/>
        <w:gridCol w:w="1192"/>
      </w:tblGrid>
      <w:tr>
        <w:trPr>
          <w:cantSplit/>
          <w:trHeight w:val="544"/>
        </w:trPr>
        <w:tc>
          <w:tcPr>
            <w:tcW w:w="1255" w:type="dxa"/>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省平台产品编码</w:t>
            </w:r>
            <w:r>
              <w:rPr>
                <w:highlight w:val="none"/>
              </w:rPr>
            </w:r>
          </w:p>
        </w:tc>
        <w:tc>
          <w:tcPr>
            <w:tcW w:w="1075"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产品</w:t>
            </w:r>
            <w:r>
              <w:rPr>
                <w:highlight w:val="none"/>
              </w:rPr>
            </w:r>
          </w:p>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名称</w:t>
            </w:r>
            <w:r>
              <w:rPr>
                <w:highlight w:val="none"/>
              </w:rPr>
            </w:r>
          </w:p>
        </w:tc>
        <w:tc>
          <w:tcPr>
            <w:tcW w:w="967"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注册证编号</w:t>
            </w:r>
            <w:r>
              <w:rPr>
                <w:highlight w:val="none"/>
              </w:rPr>
            </w:r>
          </w:p>
        </w:tc>
        <w:tc>
          <w:tcPr>
            <w:tcW w:w="1111"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注册证</w:t>
            </w:r>
            <w:r>
              <w:rPr>
                <w:rFonts w:hint="eastAsia" w:ascii="宋体" w:hAnsi="宋体" w:eastAsia="宋体"/>
                <w:color w:val="000000"/>
                <w:sz w:val="24"/>
                <w:szCs w:val="24"/>
                <w:highlight w:val="none"/>
              </w:rPr>
              <w:t xml:space="preserve">名称</w:t>
            </w:r>
            <w:r>
              <w:rPr>
                <w:highlight w:val="none"/>
              </w:rPr>
            </w:r>
          </w:p>
        </w:tc>
        <w:tc>
          <w:tcPr>
            <w:tcW w:w="1300"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生产企业名称/品牌</w:t>
            </w:r>
            <w:r>
              <w:rPr>
                <w:highlight w:val="none"/>
              </w:rPr>
            </w:r>
          </w:p>
        </w:tc>
        <w:tc>
          <w:tcPr>
            <w:tcW w:w="1222" w:type="dxa"/>
            <w:vAlign w:val="center"/>
            <w:textDirection w:val="lrTb"/>
            <w:noWrap w:val="false"/>
          </w:tcPr>
          <w:p>
            <w:pPr>
              <w:jc w:val="center"/>
              <w:spacing w:line="560" w:lineRule="exact"/>
              <w:tabs>
                <w:tab w:val="left" w:pos="259" w:leader="none"/>
              </w:tabs>
              <w:rPr>
                <w:rFonts w:hint="default"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规格/型号</w:t>
            </w:r>
            <w:r>
              <w:rPr>
                <w:highlight w:val="none"/>
              </w:rPr>
            </w:r>
          </w:p>
        </w:tc>
        <w:tc>
          <w:tcPr>
            <w:tcW w:w="1000"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单价</w:t>
            </w:r>
            <w:r>
              <w:rPr>
                <w:highlight w:val="none"/>
              </w:rPr>
            </w:r>
          </w:p>
        </w:tc>
        <w:tc>
          <w:tcPr>
            <w:tcW w:w="1192"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备注</w:t>
            </w:r>
            <w:r>
              <w:rPr>
                <w:highlight w:val="none"/>
              </w:rPr>
            </w:r>
          </w:p>
        </w:tc>
      </w:tr>
      <w:tr>
        <w:trPr>
          <w:cantSplit/>
          <w:trHeight w:val="294"/>
        </w:trPr>
        <w:tc>
          <w:tcPr>
            <w:tcW w:w="1255"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 </w:t>
            </w:r>
            <w:r>
              <w:rPr>
                <w:highlight w:val="none"/>
              </w:rPr>
            </w:r>
          </w:p>
        </w:tc>
        <w:tc>
          <w:tcPr>
            <w:tcW w:w="1075"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c>
          <w:tcPr>
            <w:tcW w:w="967"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c>
          <w:tcPr>
            <w:tcW w:w="1111"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c>
          <w:tcPr>
            <w:tcW w:w="1300"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c>
          <w:tcPr>
            <w:tcW w:w="1222"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c>
          <w:tcPr>
            <w:tcW w:w="1000"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c>
          <w:tcPr>
            <w:tcW w:w="1192"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r>
    </w:tbl>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备注：中标后五个工作日内，耗材需提供耗材目录截图(需在江苏省药品、医用耗材招采管理系统和集采品种范围内)。</w:t>
      </w:r>
      <w:r>
        <w:rPr>
          <w:highlight w:val="none"/>
        </w:rPr>
      </w:r>
    </w:p>
    <w:p>
      <w:pPr>
        <w:rPr>
          <w:rFonts w:hint="eastAsia" w:asciiTheme="minorEastAsia" w:hAnsiTheme="minorEastAsia"/>
          <w:sz w:val="24"/>
          <w:szCs w:val="24"/>
          <w:highlight w:val="none"/>
        </w:rPr>
      </w:pPr>
      <w:r>
        <w:rPr>
          <w:rFonts w:hint="eastAsia" w:asciiTheme="minorEastAsia" w:hAnsiTheme="minorEastAsia"/>
          <w:sz w:val="24"/>
          <w:szCs w:val="24"/>
          <w:highlight w:val="none"/>
          <w:lang w:val="en-US" w:eastAsia="zh-CN"/>
        </w:rPr>
        <w:br w:type="page" w:clear="all"/>
      </w:r>
      <w:r>
        <w:rPr>
          <w:rFonts w:hint="eastAsia" w:ascii="Times New Roman" w:hAnsi="Times New Roman" w:cs="Times New Roman"/>
          <w:b/>
          <w:bCs/>
          <w:iCs/>
          <w:szCs w:val="32"/>
          <w:highlight w:val="none"/>
        </w:rPr>
        <w:t xml:space="preserve">七、符合本国产品标准</w:t>
      </w:r>
      <w:r>
        <w:rPr>
          <w:rFonts w:hint="eastAsia" w:ascii="Times New Roman" w:hAnsi="Times New Roman" w:cs="Times New Roman"/>
          <w:b/>
          <w:bCs/>
          <w:iCs/>
          <w:szCs w:val="32"/>
          <w:highlight w:val="none"/>
          <w:lang w:val="en-US" w:eastAsia="zh-CN"/>
        </w:rPr>
        <w:t xml:space="preserve">及</w:t>
      </w:r>
      <w:r>
        <w:rPr>
          <w:rFonts w:hint="eastAsia" w:ascii="Times New Roman" w:hAnsi="Times New Roman" w:cs="Times New Roman"/>
          <w:b/>
          <w:bCs/>
          <w:iCs/>
          <w:szCs w:val="32"/>
          <w:highlight w:val="none"/>
        </w:rPr>
        <w:t xml:space="preserve">中小企业声明函</w:t>
      </w:r>
      <w:r>
        <w:rPr>
          <w:highlight w:val="none"/>
        </w:rPr>
      </w:r>
    </w:p>
    <w:p>
      <w:pPr>
        <w:pStyle w:val="1015"/>
        <w:jc w:val="center"/>
        <w:rPr>
          <w:rFonts w:hint="eastAsia" w:ascii="宋体" w:hAnsi="宋体"/>
          <w:b/>
          <w:sz w:val="36"/>
          <w:szCs w:val="36"/>
          <w:highlight w:val="none"/>
        </w:rPr>
      </w:pPr>
      <w:r>
        <w:rPr>
          <w:rFonts w:hint="eastAsia" w:ascii="宋体" w:hAnsi="宋体"/>
          <w:b/>
          <w:sz w:val="36"/>
          <w:szCs w:val="36"/>
          <w:highlight w:val="none"/>
        </w:rPr>
        <w:t xml:space="preserve">中小企业声明函（货物）</w:t>
      </w:r>
      <w:r>
        <w:rPr>
          <w:highlight w:val="none"/>
        </w:rPr>
      </w:r>
    </w:p>
    <w:p>
      <w:pPr>
        <w:pStyle w:val="1015"/>
        <w:jc w:val="left"/>
        <w:rPr>
          <w:rFonts w:hint="eastAsia" w:ascii="宋体" w:hAnsi="宋体"/>
          <w:b/>
          <w:sz w:val="32"/>
          <w:szCs w:val="32"/>
          <w:highlight w:val="none"/>
        </w:rPr>
      </w:pPr>
      <w:r>
        <w:rPr>
          <w:rFonts w:hint="eastAsia" w:ascii="宋体" w:hAnsi="宋体"/>
          <w:b/>
          <w:sz w:val="32"/>
          <w:szCs w:val="32"/>
          <w:highlight w:val="none"/>
        </w:rPr>
      </w:r>
      <w:r>
        <w:rPr>
          <w:highlight w:val="none"/>
        </w:rPr>
      </w:r>
    </w:p>
    <w:p>
      <w:pPr>
        <w:pStyle w:val="1015"/>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w:t>
      </w:r>
      <w:r>
        <w:rPr>
          <w:rFonts w:ascii="宋体" w:hAnsi="宋体"/>
          <w:sz w:val="24"/>
          <w:szCs w:val="24"/>
          <w:highlight w:val="none"/>
        </w:rPr>
        <w:t xml:space="preserve">〔2020〕46号）</w:t>
      </w:r>
      <w:r>
        <w:rPr>
          <w:rFonts w:hint="eastAsia" w:ascii="宋体" w:hAnsi="宋体"/>
          <w:sz w:val="24"/>
          <w:szCs w:val="24"/>
          <w:highlight w:val="none"/>
        </w:rPr>
        <w:t xml:space="preserve">的规定，本公司（联合体）参加</w:t>
      </w:r>
      <w:r>
        <w:rPr>
          <w:rFonts w:hint="eastAsia" w:ascii="宋体" w:hAnsi="宋体"/>
          <w:sz w:val="24"/>
          <w:szCs w:val="24"/>
          <w:highlight w:val="none"/>
          <w:u w:val="single"/>
        </w:rPr>
        <w:t xml:space="preserve"> 单位名称  </w:t>
      </w:r>
      <w:r>
        <w:rPr>
          <w:rFonts w:hint="eastAsia" w:ascii="宋体" w:hAnsi="宋体"/>
          <w:sz w:val="24"/>
          <w:szCs w:val="24"/>
          <w:highlight w:val="none"/>
        </w:rPr>
        <w:t xml:space="preserve">的（</w:t>
      </w:r>
      <w:r>
        <w:rPr>
          <w:rFonts w:hint="eastAsia" w:ascii="宋体" w:hAnsi="宋体"/>
          <w:sz w:val="24"/>
          <w:szCs w:val="24"/>
          <w:highlight w:val="none"/>
          <w:u w:val="single"/>
        </w:rPr>
        <w:t xml:space="preserve">项目名称）</w:t>
      </w:r>
      <w:r>
        <w:rPr>
          <w:rFonts w:hint="eastAsia" w:ascii="宋体" w:hAnsi="宋体"/>
          <w:sz w:val="24"/>
          <w:szCs w:val="24"/>
          <w:highlight w:val="none"/>
        </w:rPr>
        <w:t xml:space="preserve"> 采购活动，提供的货物全部由符合政策要求的中小企业制造。相关企业（含联合体中的中小企业、签订分包意向协议的中小企业）的具体情况如下：</w:t>
      </w:r>
      <w:r>
        <w:rPr>
          <w:highlight w:val="none"/>
        </w:rPr>
      </w:r>
    </w:p>
    <w:p>
      <w:pPr>
        <w:pStyle w:val="1015"/>
        <w:ind w:firstLine="480"/>
        <w:jc w:val="left"/>
        <w:spacing w:line="500" w:lineRule="exact"/>
        <w:rPr>
          <w:rFonts w:hint="eastAsia" w:ascii="宋体" w:hAnsi="宋体"/>
          <w:sz w:val="24"/>
          <w:szCs w:val="24"/>
          <w:highlight w:val="none"/>
          <w:u w:val="single"/>
        </w:rPr>
      </w:pPr>
      <w:r>
        <w:rPr>
          <w:rFonts w:hint="eastAsia" w:ascii="宋体" w:hAnsi="宋体"/>
          <w:sz w:val="24"/>
          <w:szCs w:val="24"/>
          <w:highlight w:val="none"/>
        </w:rPr>
        <w:t xml:space="preserve">1. </w:t>
      </w:r>
      <w:r>
        <w:rPr>
          <w:rFonts w:hint="eastAsia" w:ascii="宋体" w:hAnsi="宋体"/>
          <w:sz w:val="24"/>
          <w:szCs w:val="24"/>
          <w:highlight w:val="none"/>
          <w:u w:val="single"/>
        </w:rPr>
        <w:t xml:space="preserve">标的名称          </w:t>
      </w:r>
      <w:r>
        <w:rPr>
          <w:rFonts w:hint="eastAsia" w:ascii="宋体" w:hAnsi="宋体"/>
          <w:sz w:val="24"/>
          <w:szCs w:val="24"/>
          <w:highlight w:val="none"/>
        </w:rPr>
        <w:t xml:space="preserve">，属于（</w:t>
      </w:r>
      <w:r>
        <w:rPr>
          <w:rFonts w:hint="eastAsia" w:ascii="宋体" w:hAnsi="宋体"/>
          <w:i/>
          <w:sz w:val="24"/>
          <w:szCs w:val="24"/>
          <w:highlight w:val="none"/>
          <w:u w:val="single"/>
        </w:rPr>
        <w:t xml:space="preserve">采购文件中明确的所属行业）</w:t>
      </w:r>
      <w:r>
        <w:rPr>
          <w:rFonts w:hint="eastAsia" w:ascii="宋体" w:hAnsi="宋体"/>
          <w:sz w:val="24"/>
          <w:szCs w:val="24"/>
          <w:highlight w:val="none"/>
          <w:u w:val="single"/>
        </w:rPr>
        <w:t xml:space="preserve">行业</w:t>
      </w:r>
      <w:r>
        <w:rPr>
          <w:rFonts w:hint="eastAsia" w:ascii="宋体" w:hAnsi="宋体"/>
          <w:sz w:val="24"/>
          <w:szCs w:val="24"/>
          <w:highlight w:val="none"/>
        </w:rPr>
        <w:t xml:space="preserve">；制造商为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 </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（中型企业、小型企业、微型企业）；</w:t>
      </w:r>
      <w:r>
        <w:rPr>
          <w:highlight w:val="none"/>
        </w:rPr>
      </w:r>
    </w:p>
    <w:p>
      <w:pPr>
        <w:pStyle w:val="1015"/>
        <w:ind w:firstLine="480"/>
        <w:jc w:val="left"/>
        <w:spacing w:line="500" w:lineRule="exact"/>
        <w:rPr>
          <w:rFonts w:hint="eastAsia" w:ascii="宋体" w:hAnsi="宋体"/>
          <w:sz w:val="24"/>
          <w:szCs w:val="24"/>
          <w:highlight w:val="none"/>
          <w:u w:val="single"/>
        </w:rPr>
      </w:pPr>
      <w:r>
        <w:rPr>
          <w:rFonts w:hint="eastAsia" w:ascii="宋体" w:hAnsi="宋体"/>
          <w:sz w:val="24"/>
          <w:szCs w:val="24"/>
          <w:highlight w:val="none"/>
        </w:rPr>
        <w:t xml:space="preserve">2. </w:t>
      </w:r>
      <w:r>
        <w:rPr>
          <w:rFonts w:hint="eastAsia" w:ascii="宋体" w:hAnsi="宋体"/>
          <w:sz w:val="24"/>
          <w:szCs w:val="24"/>
          <w:highlight w:val="none"/>
          <w:u w:val="single"/>
        </w:rPr>
        <w:t xml:space="preserve">标的名称          </w:t>
      </w:r>
      <w:r>
        <w:rPr>
          <w:rFonts w:hint="eastAsia" w:ascii="宋体" w:hAnsi="宋体"/>
          <w:sz w:val="24"/>
          <w:szCs w:val="24"/>
          <w:highlight w:val="none"/>
        </w:rPr>
        <w:t xml:space="preserve">，属于（</w:t>
      </w:r>
      <w:r>
        <w:rPr>
          <w:rFonts w:hint="eastAsia" w:ascii="宋体" w:hAnsi="宋体"/>
          <w:i/>
          <w:sz w:val="24"/>
          <w:szCs w:val="24"/>
          <w:highlight w:val="none"/>
          <w:u w:val="single"/>
        </w:rPr>
        <w:t xml:space="preserve">采购文件中明确的所属行业）</w:t>
      </w:r>
      <w:r>
        <w:rPr>
          <w:rFonts w:hint="eastAsia" w:ascii="宋体" w:hAnsi="宋体"/>
          <w:sz w:val="24"/>
          <w:szCs w:val="24"/>
          <w:highlight w:val="none"/>
          <w:u w:val="single"/>
        </w:rPr>
        <w:t xml:space="preserve">行业</w:t>
      </w:r>
      <w:r>
        <w:rPr>
          <w:rFonts w:hint="eastAsia" w:ascii="宋体" w:hAnsi="宋体"/>
          <w:sz w:val="24"/>
          <w:szCs w:val="24"/>
          <w:highlight w:val="none"/>
        </w:rPr>
        <w:t xml:space="preserve">；制造商为</w:t>
      </w:r>
      <w:r>
        <w:rPr>
          <w:rFonts w:hint="eastAsia" w:ascii="宋体" w:hAnsi="宋体"/>
          <w:sz w:val="24"/>
          <w:szCs w:val="24"/>
          <w:highlight w:val="none"/>
          <w:u w:val="single"/>
        </w:rPr>
        <w:t xml:space="preserve">（企业名称）        </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 </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（中型企业、小型企业、微型企业）；</w:t>
      </w:r>
      <w:r>
        <w:rPr>
          <w:highlight w:val="none"/>
        </w:rPr>
      </w:r>
    </w:p>
    <w:p>
      <w:pPr>
        <w:pStyle w:val="1015"/>
        <w:ind w:firstLine="480"/>
        <w:jc w:val="left"/>
        <w:spacing w:line="500" w:lineRule="exact"/>
        <w:rPr>
          <w:rFonts w:hint="eastAsia" w:ascii="宋体" w:hAnsi="宋体"/>
          <w:sz w:val="24"/>
          <w:szCs w:val="24"/>
          <w:highlight w:val="none"/>
        </w:rPr>
      </w:pPr>
      <w:r>
        <w:rPr>
          <w:rFonts w:ascii="宋体" w:hAnsi="宋体"/>
          <w:sz w:val="24"/>
          <w:szCs w:val="24"/>
          <w:highlight w:val="none"/>
        </w:rPr>
        <w:t xml:space="preserve">……</w:t>
      </w:r>
      <w:r>
        <w:rPr>
          <w:highlight w:val="none"/>
        </w:rPr>
      </w:r>
    </w:p>
    <w:p>
      <w:pPr>
        <w:pStyle w:val="1015"/>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highlight w:val="none"/>
        </w:rPr>
      </w:r>
    </w:p>
    <w:p>
      <w:pPr>
        <w:pStyle w:val="1015"/>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highlight w:val="none"/>
        </w:rPr>
      </w:r>
    </w:p>
    <w:p>
      <w:pPr>
        <w:pStyle w:val="1015"/>
        <w:ind w:firstLine="480"/>
        <w:jc w:val="center"/>
        <w:spacing w:line="500" w:lineRule="exact"/>
        <w:rPr>
          <w:rFonts w:hint="eastAsia" w:ascii="宋体" w:hAnsi="宋体"/>
          <w:sz w:val="24"/>
          <w:szCs w:val="24"/>
          <w:highlight w:val="none"/>
        </w:rPr>
      </w:pPr>
      <w:r>
        <w:rPr>
          <w:rFonts w:hint="eastAsia" w:ascii="宋体" w:hAnsi="宋体"/>
          <w:sz w:val="24"/>
          <w:szCs w:val="24"/>
          <w:highlight w:val="none"/>
        </w:rPr>
      </w:r>
      <w:r>
        <w:rPr>
          <w:highlight w:val="none"/>
        </w:rPr>
      </w:r>
    </w:p>
    <w:p>
      <w:pPr>
        <w:pStyle w:val="1015"/>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企业名称（加盖CA电子公章）：</w:t>
      </w:r>
      <w:r>
        <w:rPr>
          <w:highlight w:val="none"/>
        </w:rPr>
      </w:r>
    </w:p>
    <w:p>
      <w:pPr>
        <w:pStyle w:val="1015"/>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日期：</w:t>
      </w:r>
      <w:r>
        <w:rPr>
          <w:highlight w:val="none"/>
        </w:rPr>
      </w:r>
    </w:p>
    <w:p>
      <w:pPr>
        <w:pStyle w:val="1015"/>
        <w:ind w:firstLine="560"/>
        <w:spacing w:line="560" w:lineRule="exact"/>
        <w:rPr>
          <w:rFonts w:hint="eastAsia" w:ascii="宋体" w:hAnsi="宋体"/>
          <w:sz w:val="28"/>
          <w:szCs w:val="28"/>
          <w:highlight w:val="none"/>
        </w:rPr>
      </w:pPr>
      <w:r>
        <w:rPr>
          <w:rFonts w:hint="eastAsia" w:ascii="宋体" w:hAnsi="宋体"/>
          <w:sz w:val="28"/>
          <w:szCs w:val="28"/>
          <w:highlight w:val="none"/>
        </w:rPr>
      </w:r>
      <w:r>
        <w:rPr>
          <w:highlight w:val="none"/>
        </w:rPr>
      </w:r>
    </w:p>
    <w:p>
      <w:pPr>
        <w:pStyle w:val="1015"/>
        <w:ind w:firstLine="360"/>
        <w:spacing w:line="560" w:lineRule="exact"/>
        <w:rPr>
          <w:rFonts w:hint="eastAsia" w:ascii="宋体" w:hAnsi="宋体"/>
          <w:sz w:val="18"/>
          <w:szCs w:val="18"/>
          <w:highlight w:val="none"/>
        </w:rPr>
      </w:pPr>
      <w:r>
        <w:rPr>
          <w:rFonts w:hint="eastAsia" w:ascii="宋体" w:hAnsi="宋体"/>
          <w:sz w:val="18"/>
          <w:szCs w:val="18"/>
          <w:highlight w:val="none"/>
          <w:vertAlign w:val="superscript"/>
        </w:rPr>
        <w:t xml:space="preserve">1</w:t>
      </w:r>
      <w:r>
        <w:rPr>
          <w:rFonts w:hint="eastAsia" w:ascii="宋体" w:hAnsi="宋体"/>
          <w:sz w:val="18"/>
          <w:szCs w:val="18"/>
          <w:highlight w:val="none"/>
        </w:rPr>
        <w:t xml:space="preserve">从业人员、营业收入、资产总额填报上一年数据，无上一年数据的新成立企业可不填报。</w:t>
      </w:r>
      <w:r>
        <w:rPr>
          <w:highlight w:val="none"/>
        </w:rPr>
      </w:r>
    </w:p>
    <w:p>
      <w:pPr>
        <w:pStyle w:val="1015"/>
        <w:jc w:val="center"/>
        <w:rPr>
          <w:rFonts w:hint="eastAsia" w:ascii="宋体" w:hAnsi="宋体"/>
          <w:b/>
          <w:sz w:val="36"/>
          <w:szCs w:val="36"/>
          <w:highlight w:val="none"/>
        </w:rPr>
      </w:pPr>
      <w:r>
        <w:rPr>
          <w:rFonts w:hint="eastAsia" w:ascii="宋体" w:hAnsi="宋体"/>
          <w:b/>
          <w:sz w:val="36"/>
          <w:szCs w:val="36"/>
          <w:highlight w:val="none"/>
        </w:rPr>
      </w:r>
      <w:r>
        <w:rPr>
          <w:highlight w:val="none"/>
        </w:rPr>
      </w:r>
    </w:p>
    <w:p>
      <w:pPr>
        <w:pStyle w:val="1015"/>
        <w:rPr>
          <w:rFonts w:hint="eastAsia" w:ascii="宋体" w:hAnsi="宋体"/>
          <w:b/>
          <w:sz w:val="36"/>
          <w:szCs w:val="36"/>
          <w:highlight w:val="none"/>
        </w:rPr>
      </w:pPr>
      <w:r>
        <w:rPr>
          <w:rFonts w:hint="eastAsia" w:ascii="宋体" w:hAnsi="宋体"/>
          <w:b/>
          <w:sz w:val="36"/>
          <w:szCs w:val="36"/>
          <w:highlight w:val="none"/>
        </w:rPr>
      </w:r>
      <w:r>
        <w:rPr>
          <w:highlight w:val="none"/>
        </w:rPr>
      </w:r>
    </w:p>
    <w:p>
      <w:pPr>
        <w:pStyle w:val="1015"/>
        <w:jc w:val="center"/>
        <w:rPr>
          <w:rFonts w:hint="eastAsia" w:ascii="宋体" w:hAnsi="宋体"/>
          <w:b/>
          <w:sz w:val="36"/>
          <w:szCs w:val="36"/>
          <w:highlight w:val="none"/>
        </w:rPr>
      </w:pPr>
      <w:r>
        <w:rPr>
          <w:rFonts w:hint="eastAsia" w:ascii="宋体" w:hAnsi="宋体"/>
          <w:b/>
          <w:sz w:val="36"/>
          <w:szCs w:val="36"/>
          <w:highlight w:val="none"/>
        </w:rPr>
      </w:r>
      <w:r>
        <w:rPr>
          <w:highlight w:val="none"/>
        </w:rPr>
      </w:r>
    </w:p>
    <w:p>
      <w:pPr>
        <w:pStyle w:val="1015"/>
        <w:jc w:val="center"/>
        <w:rPr>
          <w:rFonts w:hint="eastAsia" w:ascii="宋体" w:hAnsi="宋体"/>
          <w:b/>
          <w:sz w:val="36"/>
          <w:szCs w:val="36"/>
          <w:highlight w:val="none"/>
        </w:rPr>
      </w:pPr>
      <w:r>
        <w:rPr>
          <w:rFonts w:hint="eastAsia" w:ascii="宋体" w:hAnsi="宋体"/>
          <w:b/>
          <w:sz w:val="36"/>
          <w:szCs w:val="36"/>
          <w:highlight w:val="none"/>
        </w:rPr>
      </w:r>
      <w:r>
        <w:rPr>
          <w:highlight w:val="none"/>
        </w:rPr>
      </w:r>
    </w:p>
    <w:p>
      <w:pPr>
        <w:pStyle w:val="1015"/>
        <w:jc w:val="center"/>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rPr>
          <w:highlight w:val="none"/>
        </w:rPr>
      </w:r>
    </w:p>
    <w:p>
      <w:pPr>
        <w:pStyle w:val="1015"/>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rPr>
          <w:highlight w:val="none"/>
        </w:rPr>
      </w:r>
    </w:p>
    <w:p>
      <w:pPr>
        <w:pStyle w:val="1015"/>
        <w:rPr>
          <w:rFonts w:hint="eastAsia" w:ascii="宋体" w:hAnsi="宋体"/>
          <w:b/>
          <w:sz w:val="36"/>
          <w:szCs w:val="36"/>
          <w:highlight w:val="none"/>
        </w:rPr>
      </w:pPr>
      <w:r>
        <w:rPr>
          <w:rFonts w:hint="eastAsia" w:ascii="宋体" w:hAnsi="宋体"/>
          <w:b/>
          <w:sz w:val="36"/>
          <w:szCs w:val="36"/>
          <w:highlight w:val="none"/>
        </w:rPr>
      </w:r>
      <w:r>
        <w:rPr>
          <w:highlight w:val="none"/>
        </w:rPr>
      </w:r>
    </w:p>
    <w:p>
      <w:pPr>
        <w:pStyle w:val="1017"/>
        <w:jc w:val="center"/>
        <w:spacing w:before="151" w:after="151" w:line="600" w:lineRule="exact"/>
        <w:rPr>
          <w:rFonts w:hint="eastAsia" w:ascii="宋体" w:hAnsi="宋体"/>
          <w:b/>
          <w:bCs/>
          <w:sz w:val="32"/>
          <w:szCs w:val="32"/>
          <w:highlight w:val="none"/>
        </w:rPr>
      </w:pPr>
      <w:r>
        <w:rPr>
          <w:rFonts w:hint="eastAsia" w:ascii="宋体" w:hAnsi="宋体"/>
          <w:b/>
          <w:bCs/>
          <w:sz w:val="32"/>
          <w:szCs w:val="32"/>
          <w:highlight w:val="none"/>
        </w:rPr>
        <w:t xml:space="preserve">残疾人福利性单位声明函</w:t>
      </w:r>
      <w:r>
        <w:rPr>
          <w:highlight w:val="none"/>
        </w:rPr>
      </w:r>
    </w:p>
    <w:p>
      <w:pPr>
        <w:pStyle w:val="1018"/>
        <w:spacing w:line="588" w:lineRule="exact"/>
        <w:rPr>
          <w:rFonts w:hint="eastAsia" w:ascii="宋体" w:hAnsi="宋体"/>
          <w:b/>
          <w:spacing w:val="6"/>
          <w:sz w:val="30"/>
          <w:szCs w:val="30"/>
          <w:highlight w:val="none"/>
        </w:rPr>
      </w:pPr>
      <w:r>
        <w:rPr>
          <w:rFonts w:hint="eastAsia" w:ascii="宋体" w:hAnsi="宋体"/>
          <w:b/>
          <w:spacing w:val="6"/>
          <w:sz w:val="30"/>
          <w:szCs w:val="30"/>
          <w:highlight w:val="none"/>
        </w:rPr>
      </w:r>
      <w:r>
        <w:rPr>
          <w:highlight w:val="none"/>
        </w:rPr>
      </w:r>
    </w:p>
    <w:p>
      <w:pPr>
        <w:pStyle w:val="1017"/>
        <w:ind w:firstLine="480"/>
        <w:spacing w:line="500" w:lineRule="exact"/>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w:t>
      </w:r>
      <w:r>
        <w:rPr>
          <w:rFonts w:hint="eastAsia" w:ascii="宋体" w:hAnsi="宋体"/>
          <w:sz w:val="24"/>
          <w:highlight w:val="none"/>
        </w:rPr>
        <w:t xml:space="preserve">〕</w:t>
      </w:r>
      <w:r>
        <w:rPr>
          <w:rFonts w:ascii="宋体" w:hAnsi="宋体"/>
          <w:sz w:val="24"/>
          <w:highlight w:val="none"/>
        </w:rPr>
        <w:t xml:space="preserve">141</w:t>
      </w:r>
      <w:r>
        <w:rPr>
          <w:rFonts w:hint="eastAsia" w:ascii="宋体" w:hAnsi="宋体"/>
          <w:sz w:val="24"/>
          <w:highlight w:val="none"/>
        </w:rPr>
        <w:t xml:space="preserve">号）的规定，本单位为符合条件的残疾人福利性单位，且本单位参加</w:t>
      </w:r>
      <w:r>
        <w:rPr>
          <w:rFonts w:hint="eastAsia" w:ascii="宋体" w:hAnsi="宋体"/>
          <w:sz w:val="24"/>
          <w:highlight w:val="none"/>
          <w:u w:val="single"/>
        </w:rPr>
        <w:t xml:space="preserve">          </w:t>
      </w:r>
      <w:r>
        <w:rPr>
          <w:rFonts w:hint="eastAsia" w:ascii="宋体" w:hAnsi="宋体"/>
          <w:sz w:val="24"/>
          <w:highlight w:val="none"/>
        </w:rPr>
        <w:t xml:space="preserve">的</w:t>
      </w:r>
      <w:r>
        <w:rPr>
          <w:rFonts w:hint="eastAsia" w:ascii="宋体" w:hAnsi="宋体"/>
          <w:sz w:val="24"/>
          <w:highlight w:val="none"/>
          <w:u w:val="single"/>
        </w:rPr>
        <w:t xml:space="preserve">                  </w:t>
      </w:r>
      <w:r>
        <w:rPr>
          <w:rFonts w:hint="eastAsia" w:ascii="宋体" w:hAnsi="宋体"/>
          <w:sz w:val="24"/>
          <w:highlight w:val="none"/>
        </w:rPr>
        <w:t xml:space="preserve">项目采购活动提供本单位制造的货物（由本单位承担工程/提供服务），或者提供其他残疾人福利性单位制造的货物（不包括使用非残疾人福利性单位注册商标的货物）。</w:t>
      </w:r>
      <w:r>
        <w:rPr>
          <w:highlight w:val="none"/>
        </w:rPr>
      </w:r>
    </w:p>
    <w:p>
      <w:pPr>
        <w:pStyle w:val="1017"/>
        <w:ind w:firstLine="480"/>
        <w:spacing w:line="500" w:lineRule="exact"/>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rPr>
          <w:highlight w:val="none"/>
        </w:rPr>
      </w:r>
    </w:p>
    <w:p>
      <w:pPr>
        <w:pStyle w:val="1019"/>
        <w:ind w:firstLine="3810"/>
        <w:spacing w:line="500" w:lineRule="exact"/>
        <w:rPr>
          <w:rFonts w:hint="eastAsia" w:ascii="宋体" w:hAnsi="宋体"/>
          <w:spacing w:val="6"/>
          <w:sz w:val="24"/>
          <w:szCs w:val="24"/>
          <w:highlight w:val="none"/>
        </w:rPr>
      </w:pPr>
      <w:r>
        <w:rPr>
          <w:rFonts w:hint="eastAsia" w:ascii="宋体" w:hAnsi="宋体"/>
          <w:spacing w:val="6"/>
          <w:sz w:val="24"/>
          <w:szCs w:val="24"/>
          <w:highlight w:val="none"/>
        </w:rPr>
      </w:r>
      <w:r>
        <w:rPr>
          <w:highlight w:val="none"/>
        </w:rPr>
      </w:r>
    </w:p>
    <w:p>
      <w:pPr>
        <w:pStyle w:val="1019"/>
        <w:ind w:firstLine="3629"/>
        <w:jc w:val="left"/>
        <w:spacing w:line="500" w:lineRule="exact"/>
        <w:rPr>
          <w:rFonts w:hint="eastAsia" w:ascii="宋体" w:hAnsi="宋体"/>
          <w:sz w:val="24"/>
          <w:highlight w:val="none"/>
        </w:rPr>
      </w:pPr>
      <w:r>
        <w:rPr>
          <w:rFonts w:hint="eastAsia" w:ascii="宋体" w:hAnsi="宋体"/>
          <w:sz w:val="24"/>
          <w:highlight w:val="none"/>
        </w:rPr>
      </w:r>
      <w:r>
        <w:rPr>
          <w:highlight w:val="none"/>
        </w:rPr>
      </w:r>
    </w:p>
    <w:p>
      <w:pPr>
        <w:pStyle w:val="1019"/>
        <w:ind w:firstLine="480"/>
        <w:jc w:val="left"/>
        <w:spacing w:line="500" w:lineRule="exact"/>
        <w:rPr>
          <w:rFonts w:hint="eastAsia" w:ascii="宋体" w:hAnsi="宋体"/>
          <w:sz w:val="24"/>
          <w:highlight w:val="none"/>
        </w:rPr>
      </w:pP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rPr>
        <w:t xml:space="preserve">（加盖CA电子公章）</w:t>
      </w:r>
      <w:r>
        <w:rPr>
          <w:highlight w:val="none"/>
        </w:rPr>
      </w:r>
    </w:p>
    <w:p>
      <w:pPr>
        <w:pStyle w:val="1015"/>
        <w:ind w:firstLine="480"/>
        <w:jc w:val="left"/>
        <w:spacing w:line="500" w:lineRule="exact"/>
        <w:rPr>
          <w:rFonts w:hint="eastAsia" w:ascii="宋体" w:hAnsi="宋体"/>
          <w:sz w:val="24"/>
          <w:szCs w:val="20"/>
          <w:highlight w:val="none"/>
        </w:rPr>
      </w:pPr>
      <w:r>
        <w:rPr>
          <w:rFonts w:hint="eastAsia" w:ascii="宋体" w:hAnsi="宋体"/>
          <w:sz w:val="24"/>
          <w:szCs w:val="20"/>
          <w:highlight w:val="none"/>
        </w:rPr>
        <w:t xml:space="preserve">日期：  年  月  日</w:t>
      </w:r>
      <w:r>
        <w:rPr>
          <w:highlight w:val="none"/>
        </w:rPr>
      </w:r>
    </w:p>
    <w:p>
      <w:pPr>
        <w:pStyle w:val="1018"/>
        <w:ind w:right="1560" w:firstLine="480"/>
        <w:jc w:val="center"/>
        <w:spacing w:line="588" w:lineRule="exact"/>
        <w:tabs>
          <w:tab w:val="left" w:pos="4860" w:leader="none"/>
        </w:tabs>
        <w:rPr>
          <w:rFonts w:hint="eastAsia" w:ascii="宋体" w:hAnsi="宋体" w:cs="Arial"/>
          <w:sz w:val="24"/>
          <w:szCs w:val="24"/>
          <w:highlight w:val="none"/>
        </w:rPr>
      </w:pPr>
      <w:r>
        <w:rPr>
          <w:rFonts w:hint="eastAsia" w:ascii="宋体" w:hAnsi="宋体" w:cs="Arial"/>
          <w:sz w:val="24"/>
          <w:szCs w:val="24"/>
          <w:highlight w:val="none"/>
        </w:rPr>
      </w:r>
      <w:r>
        <w:rPr>
          <w:highlight w:val="none"/>
        </w:rPr>
      </w:r>
    </w:p>
    <w:p>
      <w:pPr>
        <w:pStyle w:val="1020"/>
        <w:ind w:left="357" w:firstLine="0"/>
        <w:spacing w:line="500" w:lineRule="exact"/>
        <w:rPr>
          <w:rFonts w:hint="eastAsia" w:ascii="宋体" w:hAnsi="宋体" w:cs="Arial"/>
          <w:sz w:val="24"/>
          <w:szCs w:val="24"/>
          <w:highlight w:val="none"/>
        </w:rPr>
      </w:pPr>
      <w:r>
        <w:rPr>
          <w:rFonts w:hint="eastAsia" w:ascii="宋体" w:hAnsi="宋体" w:cs="Arial"/>
          <w:sz w:val="24"/>
          <w:szCs w:val="24"/>
          <w:highlight w:val="none"/>
        </w:rPr>
      </w:r>
      <w:r>
        <w:rPr>
          <w:highlight w:val="none"/>
        </w:rPr>
      </w:r>
    </w:p>
    <w:p>
      <w:pPr>
        <w:pStyle w:val="1017"/>
        <w:ind w:firstLine="445"/>
        <w:spacing w:before="151" w:after="151" w:line="240" w:lineRule="atLeast"/>
        <w:rPr>
          <w:rFonts w:hint="eastAsia" w:ascii="宋体" w:hAnsi="宋体"/>
          <w:sz w:val="24"/>
          <w:highlight w:val="none"/>
        </w:rPr>
      </w:pPr>
      <w:r>
        <w:rPr>
          <w:rFonts w:hint="eastAsia" w:ascii="宋体" w:hAnsi="宋体"/>
          <w:sz w:val="24"/>
          <w:highlight w:val="none"/>
        </w:rPr>
        <w:t xml:space="preserve">注：非残疾人福利性单位不需提供此函。</w:t>
      </w:r>
      <w:r>
        <w:rPr>
          <w:highlight w:val="none"/>
        </w:rPr>
      </w:r>
    </w:p>
    <w:p>
      <w:pPr>
        <w:jc w:val="left"/>
        <w:keepLines/>
        <w:spacing w:before="120" w:after="120" w:line="416" w:lineRule="auto"/>
        <w:rPr>
          <w:rFonts w:eastAsia="黑体"/>
          <w:b/>
          <w:sz w:val="32"/>
          <w:szCs w:val="32"/>
          <w:highlight w:val="none"/>
        </w:rPr>
        <w:sectPr>
          <w:footerReference w:type="default" r:id="rId11"/>
          <w:footerReference w:type="first" r:id="rId12"/>
          <w:footnotePr/>
          <w:endnotePr/>
          <w:type w:val="nextPage"/>
          <w:pgSz w:w="11906" w:h="16838" w:orient="portrait"/>
          <w:pgMar w:top="1440" w:right="1803" w:bottom="1440" w:left="1803" w:header="680" w:footer="737" w:gutter="0"/>
          <w:cols w:num="1" w:sep="0" w:space="1701" w:equalWidth="1"/>
          <w:docGrid w:linePitch="360"/>
          <w:titlePg/>
        </w:sectPr>
        <w:outlineLvl w:val="1"/>
      </w:pPr>
      <w:r>
        <w:rPr>
          <w:rFonts w:eastAsia="黑体"/>
          <w:b/>
          <w:sz w:val="32"/>
          <w:szCs w:val="32"/>
          <w:highlight w:val="none"/>
        </w:rPr>
      </w:r>
      <w:r>
        <w:rPr>
          <w:highlight w:val="none"/>
        </w:rPr>
      </w:r>
    </w:p>
    <w:p>
      <w:pPr>
        <w:ind w:left="0" w:right="0" w:firstLine="643"/>
        <w:spacing w:before="240"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关于符合本国产品标准的声明函（采购包号：如有）</w:t>
      </w:r>
      <w:r>
        <w:rPr>
          <w:highlight w:val="none"/>
        </w:rPr>
      </w:r>
    </w:p>
    <w:p>
      <w:pPr>
        <w:ind w:left="0" w:right="0" w:firstLine="420"/>
        <w:spacing w:before="0" w:after="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rPr>
          <w:highlight w:val="none"/>
        </w:rPr>
      </w:r>
    </w:p>
    <w:p>
      <w:pPr>
        <w:ind w:left="0" w:right="0" w:firstLine="420"/>
        <w:spacing w:before="0" w:after="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rPr>
          <w:highlight w:val="none"/>
        </w:rPr>
      </w:r>
    </w:p>
    <w:p>
      <w:pPr>
        <w:ind w:left="0" w:right="0" w:firstLine="420"/>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p>
    <w:p>
      <w:pPr>
        <w:numPr>
          <w:ilvl w:val="0"/>
          <w:numId w:val="8"/>
        </w:numPr>
        <w:spacing w:before="30" w:after="30" w:line="360" w:lineRule="atLeast"/>
        <w:tabs>
          <w:tab w:val="left" w:pos="312" w:leader="none"/>
        </w:tabs>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u w:val="single"/>
        </w:rPr>
        <w:t xml:space="preserve">（产品名称1）</w:t>
      </w:r>
      <w:r>
        <w:rPr>
          <w:rFonts w:ascii="Arial" w:hAnsi="Arial" w:eastAsia="Arial" w:cs="Arial"/>
          <w:color w:val="000000"/>
          <w:sz w:val="20"/>
          <w:highlight w:val="none"/>
          <w:vertAlign w:val="superscript"/>
        </w:rPr>
        <w:t xml:space="preserve">1</w:t>
      </w:r>
      <w:r>
        <w:rPr>
          <w:rFonts w:ascii="Arial" w:hAnsi="Arial" w:eastAsia="Arial" w:cs="Arial"/>
          <w:color w:val="000000"/>
          <w:sz w:val="24"/>
          <w:highlight w:val="none"/>
        </w:rPr>
        <w:t xml:space="preserve">，生产厂为</w:t>
      </w:r>
      <w:r>
        <w:rPr>
          <w:rFonts w:ascii="Arial" w:hAnsi="Arial" w:eastAsia="Arial" w:cs="Arial"/>
          <w:color w:val="000000"/>
          <w:sz w:val="24"/>
          <w:highlight w:val="none"/>
          <w:u w:val="single"/>
        </w:rPr>
        <w:t xml:space="preserve">（厂名）</w:t>
      </w:r>
      <w:r>
        <w:rPr>
          <w:rFonts w:ascii="Arial" w:hAnsi="Arial" w:eastAsia="Arial" w:cs="Arial"/>
          <w:color w:val="000000"/>
          <w:sz w:val="20"/>
          <w:highlight w:val="none"/>
          <w:vertAlign w:val="superscript"/>
        </w:rPr>
        <w:t xml:space="preserve">2</w:t>
      </w:r>
      <w:r>
        <w:rPr>
          <w:rFonts w:ascii="Arial" w:hAnsi="Arial" w:eastAsia="Arial" w:cs="Arial"/>
          <w:color w:val="000000"/>
          <w:sz w:val="24"/>
          <w:highlight w:val="none"/>
        </w:rPr>
        <w:t xml:space="preserve">，厂址为</w:t>
      </w:r>
      <w:r>
        <w:rPr>
          <w:rFonts w:ascii="Arial" w:hAnsi="Arial" w:eastAsia="Arial" w:cs="Arial"/>
          <w:color w:val="000000"/>
          <w:sz w:val="24"/>
          <w:highlight w:val="none"/>
          <w:u w:val="single"/>
        </w:rPr>
        <w:t xml:space="preserve">（生产厂址）</w:t>
      </w:r>
      <w:r>
        <w:rPr>
          <w:rFonts w:ascii="Arial" w:hAnsi="Arial" w:eastAsia="Arial" w:cs="Arial"/>
          <w:color w:val="000000"/>
          <w:sz w:val="24"/>
          <w:highlight w:val="none"/>
        </w:rPr>
        <w:t xml:space="preserve">。</w:t>
      </w:r>
      <w:r>
        <w:rPr>
          <w:rFonts w:ascii="Arial" w:hAnsi="Arial" w:eastAsia="Arial" w:cs="Arial"/>
          <w:color w:val="000000"/>
          <w:sz w:val="24"/>
          <w:highlight w:val="none"/>
          <w:u w:val="single"/>
        </w:rPr>
        <w:t xml:space="preserve"> （</w:t>
      </w:r>
      <w:r>
        <w:rPr>
          <w:rFonts w:ascii="Arial" w:hAnsi="Arial" w:eastAsia="Arial" w:cs="Arial"/>
          <w:strike/>
          <w:color w:val="000000"/>
          <w:sz w:val="24"/>
          <w:highlight w:val="none"/>
          <w:u w:val="single"/>
        </w:rPr>
        <w:t xml:space="preserve">产品名称1</w:t>
      </w:r>
      <w:r>
        <w:rPr>
          <w:rFonts w:ascii="Arial" w:hAnsi="Arial" w:eastAsia="Arial" w:cs="Arial"/>
          <w:color w:val="000000"/>
          <w:sz w:val="24"/>
          <w:highlight w:val="none"/>
          <w:u w:val="single"/>
        </w:rPr>
        <w:t xml:space="preserve">） </w:t>
      </w:r>
      <w:r>
        <w:rPr>
          <w:rFonts w:ascii="Arial" w:hAnsi="Arial" w:eastAsia="Arial" w:cs="Arial"/>
          <w:color w:val="000000"/>
          <w:sz w:val="24"/>
          <w:highlight w:val="none"/>
        </w:rPr>
        <w:t xml:space="preserve">的中国境内生产的组件成本占比≥</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规定比例</w:t>
      </w:r>
      <w:r>
        <w:rPr>
          <w:rFonts w:ascii="Arial" w:hAnsi="Arial" w:eastAsia="Arial" w:cs="Arial"/>
          <w:color w:val="000000"/>
          <w:sz w:val="24"/>
          <w:highlight w:val="none"/>
          <w:u w:val="single"/>
        </w:rPr>
        <w:t xml:space="preserve">）</w:t>
      </w:r>
      <w:r>
        <w:rPr>
          <w:rFonts w:ascii="Arial" w:hAnsi="Arial" w:eastAsia="Arial" w:cs="Arial"/>
          <w:color w:val="000000"/>
          <w:sz w:val="20"/>
          <w:highlight w:val="none"/>
          <w:vertAlign w:val="superscript"/>
        </w:rPr>
        <w:t xml:space="preserve">3</w:t>
      </w:r>
      <w:r>
        <w:rPr>
          <w:rFonts w:ascii="Arial" w:hAnsi="Arial" w:eastAsia="Arial" w:cs="Arial"/>
          <w:color w:val="000000"/>
          <w:sz w:val="24"/>
          <w:highlight w:val="none"/>
        </w:rPr>
        <w:t xml:space="preserve">。</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产品名称1</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的</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关键组件</w:t>
      </w:r>
      <w:r>
        <w:rPr>
          <w:rFonts w:ascii="Arial" w:hAnsi="Arial" w:eastAsia="Arial" w:cs="Arial"/>
          <w:color w:val="000000"/>
          <w:sz w:val="24"/>
          <w:highlight w:val="none"/>
          <w:u w:val="single"/>
        </w:rPr>
        <w:t xml:space="preserve">）</w:t>
      </w:r>
      <w:r>
        <w:rPr>
          <w:rFonts w:ascii="Arial" w:hAnsi="Arial" w:eastAsia="Arial" w:cs="Arial"/>
          <w:color w:val="000000"/>
          <w:sz w:val="20"/>
          <w:highlight w:val="none"/>
          <w:vertAlign w:val="superscript"/>
        </w:rPr>
        <w:t xml:space="preserve">4</w:t>
      </w:r>
      <w:r>
        <w:rPr>
          <w:rFonts w:ascii="Arial" w:hAnsi="Arial" w:eastAsia="Arial" w:cs="Arial"/>
          <w:color w:val="000000"/>
          <w:sz w:val="24"/>
          <w:highlight w:val="none"/>
        </w:rPr>
        <w:t xml:space="preserve">在中国境内生产。</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产品名称1</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的</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关键工序</w:t>
      </w:r>
      <w:r>
        <w:rPr>
          <w:rFonts w:ascii="Arial" w:hAnsi="Arial" w:eastAsia="Arial" w:cs="Arial"/>
          <w:color w:val="000000"/>
          <w:sz w:val="24"/>
          <w:highlight w:val="none"/>
          <w:u w:val="single"/>
        </w:rPr>
        <w:t xml:space="preserve">）</w:t>
      </w:r>
      <w:r>
        <w:rPr>
          <w:rFonts w:ascii="Arial" w:hAnsi="Arial" w:eastAsia="Arial" w:cs="Arial"/>
          <w:color w:val="000000"/>
          <w:sz w:val="20"/>
          <w:highlight w:val="none"/>
          <w:vertAlign w:val="superscript"/>
        </w:rPr>
        <w:t xml:space="preserve">5</w:t>
      </w:r>
      <w:r>
        <w:rPr>
          <w:rFonts w:ascii="Arial" w:hAnsi="Arial" w:eastAsia="Arial" w:cs="Arial"/>
          <w:color w:val="000000"/>
          <w:sz w:val="24"/>
          <w:highlight w:val="none"/>
        </w:rPr>
        <w:t xml:space="preserve">在中国境内完成。</w:t>
      </w:r>
      <w:r>
        <w:rPr>
          <w:highlight w:val="none"/>
        </w:rPr>
      </w:r>
    </w:p>
    <w:p>
      <w:pPr>
        <w:ind w:left="0" w:right="0" w:firstLine="0"/>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rPr>
          <w:highlight w:val="none"/>
        </w:rPr>
      </w:r>
    </w:p>
    <w:p>
      <w:pPr>
        <w:ind w:left="0" w:right="0" w:firstLine="420"/>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2.</w:t>
      </w:r>
      <w:r>
        <w:rPr>
          <w:rFonts w:ascii="Arial" w:hAnsi="Arial" w:eastAsia="Arial" w:cs="Arial"/>
          <w:color w:val="000000"/>
          <w:sz w:val="24"/>
          <w:highlight w:val="none"/>
          <w:u w:val="single"/>
        </w:rPr>
        <w:t xml:space="preserve">（产品名称2）</w:t>
      </w:r>
      <w:r>
        <w:rPr>
          <w:rFonts w:ascii="Arial" w:hAnsi="Arial" w:eastAsia="Arial" w:cs="Arial"/>
          <w:color w:val="000000"/>
          <w:sz w:val="24"/>
          <w:highlight w:val="none"/>
        </w:rPr>
        <w:t xml:space="preserve">，生产厂为</w:t>
      </w:r>
      <w:r>
        <w:rPr>
          <w:rFonts w:ascii="Arial" w:hAnsi="Arial" w:eastAsia="Arial" w:cs="Arial"/>
          <w:color w:val="000000"/>
          <w:sz w:val="24"/>
          <w:highlight w:val="none"/>
          <w:u w:val="single"/>
        </w:rPr>
        <w:t xml:space="preserve">（厂名）</w:t>
      </w:r>
      <w:r>
        <w:rPr>
          <w:rFonts w:ascii="Arial" w:hAnsi="Arial" w:eastAsia="Arial" w:cs="Arial"/>
          <w:color w:val="000000"/>
          <w:sz w:val="24"/>
          <w:highlight w:val="none"/>
        </w:rPr>
        <w:t xml:space="preserve">，厂址为</w:t>
      </w:r>
      <w:r>
        <w:rPr>
          <w:rFonts w:ascii="Arial" w:hAnsi="Arial" w:eastAsia="Arial" w:cs="Arial"/>
          <w:color w:val="000000"/>
          <w:sz w:val="24"/>
          <w:highlight w:val="none"/>
          <w:u w:val="single"/>
        </w:rPr>
        <w:t xml:space="preserve">（生产厂址）</w:t>
      </w:r>
      <w:r>
        <w:rPr>
          <w:rFonts w:ascii="Arial" w:hAnsi="Arial" w:eastAsia="Arial" w:cs="Arial"/>
          <w:color w:val="000000"/>
          <w:sz w:val="24"/>
          <w:highlight w:val="none"/>
        </w:rPr>
        <w:t xml:space="preserve">。</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产品名称2</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的中国境内生产的组件成本占比≥</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规定比例</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产品名称2</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的</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关键组件</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在中国境内生产。</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产品名称1</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的</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关键工序</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在中国境内完成。</w:t>
      </w:r>
      <w:r>
        <w:rPr>
          <w:highlight w:val="none"/>
        </w:rPr>
      </w:r>
    </w:p>
    <w:p>
      <w:pPr>
        <w:ind w:left="0" w:right="0" w:firstLine="420"/>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w:t>
      </w:r>
      <w:r>
        <w:rPr>
          <w:highlight w:val="none"/>
        </w:rPr>
      </w:r>
    </w:p>
    <w:p>
      <w:pPr>
        <w:ind w:left="0" w:right="0" w:firstLine="420"/>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本公司（单位）对上述声明内容的真实性负责。如有虚假，愿承担相应法律责任。</w:t>
      </w:r>
      <w:r>
        <w:rPr>
          <w:highlight w:val="none"/>
        </w:rPr>
      </w:r>
    </w:p>
    <w:p>
      <w:pPr>
        <w:ind w:left="0" w:right="0" w:firstLine="0"/>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rPr>
          <w:highlight w:val="none"/>
        </w:rPr>
      </w:r>
    </w:p>
    <w:p>
      <w:pPr>
        <w:ind w:left="0" w:right="480" w:firstLine="4200"/>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公司（单位）名称：　</w:t>
      </w:r>
      <w:r>
        <w:rPr>
          <w:rFonts w:ascii="楷体" w:hAnsi="楷体" w:eastAsia="楷体" w:cs="楷体"/>
          <w:color w:val="000000"/>
          <w:sz w:val="24"/>
          <w:highlight w:val="none"/>
        </w:rPr>
        <w:t xml:space="preserve">（</w:t>
      </w:r>
      <w:r>
        <w:rPr>
          <w:rFonts w:ascii="宋体" w:hAnsi="宋体" w:eastAsia="宋体" w:cs="宋体"/>
          <w:color w:val="000000"/>
          <w:sz w:val="24"/>
          <w:highlight w:val="none"/>
        </w:rPr>
        <w:t xml:space="preserve">加盖CA电子公章</w:t>
      </w:r>
      <w:r>
        <w:rPr>
          <w:rFonts w:ascii="楷体" w:hAnsi="楷体" w:eastAsia="楷体" w:cs="楷体"/>
          <w:color w:val="000000"/>
          <w:sz w:val="24"/>
          <w:highlight w:val="none"/>
        </w:rPr>
        <w:t xml:space="preserve">）</w:t>
      </w:r>
      <w:r>
        <w:rPr>
          <w:highlight w:val="none"/>
        </w:rPr>
      </w:r>
    </w:p>
    <w:p>
      <w:pPr>
        <w:ind w:left="0" w:right="480" w:firstLine="3720"/>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p>
    <w:p>
      <w:pPr>
        <w:ind w:left="0" w:right="0" w:firstLine="0"/>
        <w:jc w:val="center"/>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日期：　   年　  月　  日         </w:t>
      </w:r>
      <w:r>
        <w:rPr>
          <w:highlight w:val="none"/>
        </w:rP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__________________</w:t>
      </w:r>
      <w:r>
        <w:rPr>
          <w:highlight w:val="none"/>
        </w:rP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1.产品如有型号，请在“产品名称”栏一并填写。</w:t>
      </w:r>
      <w:r>
        <w:rPr>
          <w:highlight w:val="none"/>
        </w:rP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2.生产厂名与厂址应与生产厂营业执照载明的相关信息保持一致。</w:t>
      </w:r>
      <w:r>
        <w:rPr>
          <w:highlight w:val="none"/>
        </w:rP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3.该产品的中国境内生产的组件成本占比相关要求实施前，“规定比例”栏可不填，下同。</w:t>
      </w:r>
      <w:r>
        <w:rPr>
          <w:highlight w:val="none"/>
        </w:rP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4.该产品的关键组件要求实施前，“关键组件”栏可不填，下同。</w:t>
      </w:r>
      <w:r>
        <w:rPr>
          <w:highlight w:val="none"/>
        </w:rP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5.该产品的关键工序要求实施前，“关键工序”栏可不填，下同。</w:t>
      </w:r>
      <w:r>
        <w:rPr>
          <w:highlight w:val="none"/>
        </w:rP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6.用横线</w:t>
      </w:r>
      <w:r>
        <w:rPr>
          <w:rFonts w:ascii="Arial" w:hAnsi="Arial" w:eastAsia="Arial" w:cs="Arial"/>
          <w:strike/>
          <w:color w:val="000000"/>
          <w:sz w:val="22"/>
          <w:highlight w:val="none"/>
        </w:rPr>
        <w:t xml:space="preserve">     </w:t>
      </w:r>
      <w:r>
        <w:rPr>
          <w:rFonts w:ascii="Arial" w:hAnsi="Arial" w:eastAsia="Arial" w:cs="Arial"/>
          <w:color w:val="000000"/>
          <w:sz w:val="22"/>
          <w:highlight w:val="none"/>
        </w:rPr>
        <w:t xml:space="preserve">划除的地方无需填写。</w:t>
      </w:r>
      <w:r>
        <w:rPr>
          <w:highlight w:val="none"/>
        </w:rP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highlight w:val="none"/>
        </w:rPr>
      </w:r>
    </w:p>
    <w:p>
      <w:pPr>
        <w:jc w:val="left"/>
        <w:keepLines/>
        <w:spacing w:before="120" w:after="120" w:line="416" w:lineRule="auto"/>
        <w:rPr>
          <w:rFonts w:eastAsia="黑体"/>
          <w:b/>
          <w:sz w:val="32"/>
          <w:szCs w:val="32"/>
          <w:highlight w:val="none"/>
        </w:rPr>
        <w:sectPr>
          <w:footnotePr/>
          <w:endnotePr/>
          <w:type w:val="nextPage"/>
          <w:pgSz w:w="11906" w:h="16838" w:orient="portrait"/>
          <w:pgMar w:top="1440" w:right="1803" w:bottom="1440" w:left="1803" w:header="680" w:footer="737" w:gutter="0"/>
          <w:cols w:num="1" w:sep="0" w:space="1701" w:equalWidth="1"/>
          <w:docGrid w:linePitch="360"/>
          <w:titlePg/>
        </w:sectPr>
        <w:outlineLvl w:val="1"/>
      </w:pPr>
      <w:r>
        <w:rPr>
          <w:rFonts w:eastAsia="黑体"/>
          <w:b/>
          <w:sz w:val="32"/>
          <w:szCs w:val="32"/>
          <w:highlight w:val="none"/>
        </w:rPr>
      </w:r>
      <w:r>
        <w:rPr>
          <w:highlight w:val="none"/>
        </w:rPr>
      </w:r>
    </w:p>
    <w:p>
      <w:pPr>
        <w:jc w:val="left"/>
        <w:keepLines/>
        <w:spacing w:before="120" w:after="120" w:line="416" w:lineRule="auto"/>
        <w:rPr>
          <w:rFonts w:eastAsia="黑体"/>
          <w:b/>
          <w:sz w:val="32"/>
          <w:szCs w:val="32"/>
          <w:highlight w:val="none"/>
        </w:rPr>
        <w:outlineLvl w:val="1"/>
      </w:pPr>
      <w:r>
        <w:rPr>
          <w:rFonts w:hint="eastAsia" w:eastAsia="黑体"/>
          <w:b/>
          <w:sz w:val="32"/>
          <w:szCs w:val="32"/>
          <w:highlight w:val="none"/>
        </w:rPr>
        <w:t xml:space="preserve">八、技术及商务要求响应及偏离表（分包号：**）</w:t>
      </w:r>
      <w:r>
        <w:rPr>
          <w:highlight w:val="none"/>
        </w:rPr>
      </w:r>
    </w:p>
    <w:p>
      <w:pPr>
        <w:jc w:val="center"/>
        <w:widowControl/>
        <w:rPr>
          <w:rFonts w:hint="eastAsia" w:ascii="宋体" w:hAnsi="宋体" w:eastAsia="宋体" w:cs="宋体"/>
          <w:sz w:val="24"/>
          <w:szCs w:val="24"/>
          <w:highlight w:val="none"/>
        </w:rPr>
      </w:pPr>
      <w:r>
        <w:rPr>
          <w:rFonts w:hint="eastAsia" w:ascii="黑体" w:hAnsi="黑体" w:eastAsia="黑体" w:cs="宋体"/>
          <w:b/>
          <w:bCs/>
          <w:color w:val="000000"/>
          <w:sz w:val="32"/>
          <w:szCs w:val="32"/>
          <w:highlight w:val="none"/>
        </w:rPr>
        <w:t xml:space="preserve">技术要求响应及偏离表</w:t>
      </w:r>
      <w:r>
        <w:rPr>
          <w:highlight w:val="none"/>
        </w:rPr>
      </w:r>
    </w:p>
    <w:tbl>
      <w:tblPr>
        <w:tblStyle w:val="749"/>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540"/>
        <w:gridCol w:w="3039"/>
        <w:gridCol w:w="2619"/>
        <w:gridCol w:w="1252"/>
        <w:gridCol w:w="1106"/>
      </w:tblGrid>
      <w:tr>
        <w:trPr>
          <w:tblCellSpacing w:w="0" w:type="dxa"/>
        </w:trPr>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序号</w:t>
            </w:r>
            <w:r>
              <w:rPr>
                <w:highlight w:val="none"/>
              </w:rPr>
            </w:r>
          </w:p>
        </w:tc>
        <w:tc>
          <w:tcPr>
            <w:tcBorders>
              <w:top w:val="single" w:color="000000" w:sz="8"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招标文件要求</w:t>
            </w:r>
            <w:r>
              <w:rPr>
                <w:highlight w:val="none"/>
              </w:rPr>
            </w:r>
          </w:p>
        </w:tc>
        <w:tc>
          <w:tcPr>
            <w:tcBorders>
              <w:top w:val="single" w:color="000000" w:sz="8"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投标响应情况</w:t>
            </w:r>
            <w:r>
              <w:rPr>
                <w:highlight w:val="none"/>
              </w:rPr>
            </w:r>
          </w:p>
        </w:tc>
        <w:tc>
          <w:tcPr>
            <w:tcBorders>
              <w:top w:val="single" w:color="000000" w:sz="8"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超出、符合或偏离</w:t>
            </w:r>
            <w:r>
              <w:rPr>
                <w:highlight w:val="none"/>
              </w:rPr>
            </w:r>
          </w:p>
        </w:tc>
        <w:tc>
          <w:tcPr>
            <w:tcBorders>
              <w:top w:val="single" w:color="000000" w:sz="8"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证明</w:t>
            </w:r>
            <w:r>
              <w:rPr>
                <w:highlight w:val="none"/>
              </w:rPr>
            </w:r>
          </w:p>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材料</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bl>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注： 行数不够，可自行添加。</w:t>
      </w:r>
      <w:r>
        <w:rPr>
          <w:highlight w:val="none"/>
        </w:rPr>
      </w:r>
    </w:p>
    <w:p>
      <w:pPr>
        <w:jc w:val="left"/>
        <w:keepLines/>
        <w:spacing w:before="120" w:after="120" w:line="416" w:lineRule="auto"/>
        <w:rPr>
          <w:rFonts w:eastAsia="宋体"/>
          <w:sz w:val="24"/>
          <w:szCs w:val="21"/>
          <w:highlight w:val="none"/>
        </w:rPr>
        <w:outlineLvl w:val="1"/>
      </w:pPr>
      <w:r>
        <w:rPr>
          <w:rFonts w:eastAsia="宋体"/>
          <w:sz w:val="24"/>
          <w:szCs w:val="21"/>
          <w:highlight w:val="none"/>
        </w:rPr>
        <w:t xml:space="preserve">1.</w:t>
      </w:r>
      <w:r>
        <w:rPr>
          <w:rFonts w:hint="eastAsia" w:eastAsia="宋体"/>
          <w:sz w:val="24"/>
          <w:szCs w:val="21"/>
          <w:highlight w:val="none"/>
        </w:rPr>
        <w:t xml:space="preserve">投标人</w:t>
      </w:r>
      <w:r>
        <w:rPr>
          <w:rFonts w:eastAsia="宋体"/>
          <w:sz w:val="24"/>
          <w:szCs w:val="21"/>
          <w:highlight w:val="none"/>
        </w:rPr>
        <w:t xml:space="preserve">必须对技术要求和商务要求中的实质性要求（加斜体下划线内容或打“</w:t>
      </w:r>
      <w:r>
        <w:rPr>
          <w:rFonts w:hint="eastAsia" w:ascii="宋体" w:hAnsi="宋体" w:eastAsia="宋体" w:cs="宋体"/>
          <w:sz w:val="24"/>
          <w:szCs w:val="21"/>
          <w:highlight w:val="none"/>
        </w:rPr>
        <w:t xml:space="preserve">★</w:t>
      </w:r>
      <w:r>
        <w:rPr>
          <w:rFonts w:eastAsia="宋体"/>
          <w:sz w:val="24"/>
          <w:szCs w:val="21"/>
          <w:highlight w:val="none"/>
        </w:rPr>
        <w:t xml:space="preserve">”内容）做出明确响应，否则作无效响应处理。</w:t>
      </w:r>
      <w:r>
        <w:rPr>
          <w:highlight w:val="none"/>
        </w:rPr>
      </w:r>
    </w:p>
    <w:p>
      <w:pPr>
        <w:spacing w:line="588" w:lineRule="exact"/>
        <w:rPr>
          <w:rFonts w:eastAsia="宋体"/>
          <w:sz w:val="24"/>
          <w:szCs w:val="21"/>
          <w:highlight w:val="none"/>
        </w:rPr>
      </w:pPr>
      <w:r>
        <w:rPr>
          <w:rFonts w:eastAsia="宋体"/>
          <w:sz w:val="24"/>
          <w:szCs w:val="21"/>
          <w:highlight w:val="none"/>
        </w:rPr>
        <w:t xml:space="preserve">2.如果采购文件要求提供证明材料，</w:t>
      </w:r>
      <w:r>
        <w:rPr>
          <w:rFonts w:hint="eastAsia" w:eastAsia="宋体"/>
          <w:sz w:val="24"/>
          <w:szCs w:val="21"/>
          <w:highlight w:val="none"/>
        </w:rPr>
        <w:t xml:space="preserve">投标人</w:t>
      </w:r>
      <w:r>
        <w:rPr>
          <w:rFonts w:eastAsia="宋体"/>
          <w:sz w:val="24"/>
          <w:szCs w:val="21"/>
          <w:highlight w:val="none"/>
        </w:rPr>
        <w:t xml:space="preserve">必须将证明材料列于该表之下。</w:t>
      </w:r>
      <w:r>
        <w:rPr>
          <w:highlight w:val="none"/>
        </w:rPr>
      </w:r>
    </w:p>
    <w:p>
      <w:pPr>
        <w:spacing w:line="588" w:lineRule="exact"/>
        <w:rPr>
          <w:rFonts w:eastAsia="宋体"/>
          <w:sz w:val="24"/>
          <w:szCs w:val="21"/>
          <w:highlight w:val="none"/>
        </w:rPr>
      </w:pPr>
      <w:r>
        <w:rPr>
          <w:rFonts w:eastAsia="宋体"/>
          <w:sz w:val="24"/>
          <w:szCs w:val="21"/>
          <w:highlight w:val="none"/>
        </w:rPr>
        <w:t xml:space="preserve">3.</w:t>
      </w:r>
      <w:r>
        <w:rPr>
          <w:rFonts w:hint="eastAsia" w:eastAsia="宋体"/>
          <w:sz w:val="24"/>
          <w:szCs w:val="21"/>
          <w:highlight w:val="none"/>
        </w:rPr>
        <w:t xml:space="preserve">投标人</w:t>
      </w:r>
      <w:r>
        <w:rPr>
          <w:rFonts w:eastAsia="宋体"/>
          <w:sz w:val="24"/>
          <w:szCs w:val="21"/>
          <w:highlight w:val="none"/>
        </w:rPr>
        <w:t xml:space="preserve">未对实质性要求作出明确响应的，或未按采购文件要求提供证明材料的，该分包作无效响应处理。</w:t>
      </w:r>
      <w:r>
        <w:rPr>
          <w:highlight w:val="none"/>
        </w:rPr>
      </w:r>
    </w:p>
    <w:p>
      <w:pPr>
        <w:spacing w:line="588" w:lineRule="exact"/>
        <w:rPr>
          <w:rFonts w:eastAsia="宋体"/>
          <w:sz w:val="24"/>
          <w:szCs w:val="21"/>
          <w:highlight w:val="none"/>
        </w:rPr>
      </w:pPr>
      <w:r>
        <w:rPr>
          <w:rFonts w:hint="eastAsia" w:eastAsia="宋体"/>
          <w:sz w:val="24"/>
          <w:szCs w:val="21"/>
          <w:highlight w:val="none"/>
        </w:rPr>
        <w:t xml:space="preserve">4.行数不够，可自行添加。</w:t>
      </w:r>
      <w:r>
        <w:rPr>
          <w:highlight w:val="none"/>
        </w:rPr>
      </w:r>
    </w:p>
    <w:p>
      <w:pPr>
        <w:jc w:val="center"/>
        <w:rPr>
          <w:rFonts w:eastAsia="黑体"/>
          <w:b/>
          <w:sz w:val="36"/>
          <w:szCs w:val="21"/>
          <w:highlight w:val="none"/>
        </w:rPr>
      </w:pPr>
      <w:r>
        <w:rPr>
          <w:rFonts w:eastAsia="黑体"/>
          <w:b/>
          <w:sz w:val="36"/>
          <w:szCs w:val="21"/>
          <w:highlight w:val="none"/>
        </w:rPr>
      </w:r>
      <w:r>
        <w:rPr>
          <w:highlight w:val="none"/>
        </w:rPr>
      </w:r>
    </w:p>
    <w:p>
      <w:pPr>
        <w:pStyle w:val="754"/>
        <w:rPr>
          <w:highlight w:val="none"/>
        </w:rPr>
      </w:pPr>
      <w:r>
        <w:rPr>
          <w:highlight w:val="none"/>
        </w:rPr>
      </w:r>
      <w:r>
        <w:rPr>
          <w:highlight w:val="none"/>
        </w:rPr>
      </w:r>
    </w:p>
    <w:p>
      <w:pPr>
        <w:rPr>
          <w:highlight w:val="none"/>
        </w:rPr>
      </w:pPr>
      <w:r>
        <w:rPr>
          <w:highlight w:val="none"/>
        </w:rPr>
      </w:r>
      <w:r>
        <w:rPr>
          <w:highlight w:val="none"/>
        </w:rPr>
      </w:r>
    </w:p>
    <w:p>
      <w:pPr>
        <w:pStyle w:val="754"/>
        <w:rPr>
          <w:highlight w:val="none"/>
        </w:rPr>
      </w:pPr>
      <w:r>
        <w:rPr>
          <w:highlight w:val="none"/>
        </w:rPr>
      </w:r>
      <w:r>
        <w:rPr>
          <w:highlight w:val="none"/>
        </w:rPr>
      </w:r>
    </w:p>
    <w:p>
      <w:pPr>
        <w:rPr>
          <w:highlight w:val="none"/>
        </w:rPr>
      </w:pPr>
      <w:r>
        <w:rPr>
          <w:highlight w:val="none"/>
        </w:rPr>
      </w:r>
      <w:r>
        <w:rPr>
          <w:highlight w:val="none"/>
        </w:rPr>
      </w:r>
    </w:p>
    <w:p>
      <w:pPr>
        <w:pStyle w:val="754"/>
        <w:rPr>
          <w:highlight w:val="none"/>
        </w:rPr>
      </w:pPr>
      <w:r>
        <w:rPr>
          <w:highlight w:val="none"/>
        </w:rPr>
      </w:r>
      <w:r>
        <w:rPr>
          <w:highlight w:val="none"/>
        </w:rPr>
      </w:r>
    </w:p>
    <w:p>
      <w:pPr>
        <w:pStyle w:val="754"/>
        <w:rPr>
          <w:highlight w:val="none"/>
        </w:rPr>
      </w:pPr>
      <w:r>
        <w:rPr>
          <w:highlight w:val="none"/>
        </w:rPr>
      </w:r>
      <w:r>
        <w:rPr>
          <w:highlight w:val="none"/>
        </w:rPr>
      </w:r>
    </w:p>
    <w:p>
      <w:pPr>
        <w:jc w:val="center"/>
        <w:widowControl/>
        <w:rPr>
          <w:rFonts w:hint="eastAsia" w:ascii="宋体" w:hAnsi="宋体" w:eastAsia="宋体" w:cs="宋体"/>
          <w:sz w:val="24"/>
          <w:szCs w:val="24"/>
          <w:highlight w:val="none"/>
        </w:rPr>
      </w:pPr>
      <w:r>
        <w:rPr>
          <w:rFonts w:hint="eastAsia" w:ascii="黑体" w:hAnsi="黑体" w:eastAsia="黑体" w:cs="宋体"/>
          <w:b/>
          <w:bCs/>
          <w:color w:val="000000"/>
          <w:sz w:val="32"/>
          <w:szCs w:val="32"/>
          <w:highlight w:val="none"/>
        </w:rPr>
        <w:t xml:space="preserve">商务要求响应及偏离表</w:t>
      </w:r>
      <w:r>
        <w:rPr>
          <w:highlight w:val="none"/>
        </w:rPr>
      </w:r>
    </w:p>
    <w:tbl>
      <w:tblPr>
        <w:tblStyle w:val="749"/>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540"/>
        <w:gridCol w:w="3040"/>
        <w:gridCol w:w="2620"/>
        <w:gridCol w:w="1250"/>
        <w:gridCol w:w="1106"/>
      </w:tblGrid>
      <w:tr>
        <w:trPr>
          <w:tblCellSpacing w:w="0" w:type="dxa"/>
        </w:trPr>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招标文件要求</w:t>
            </w:r>
            <w:r>
              <w:rPr>
                <w:highlight w:val="none"/>
              </w:rPr>
            </w:r>
          </w:p>
        </w:tc>
        <w:tc>
          <w:tcPr>
            <w:tcBorders>
              <w:top w:val="single" w:color="000000" w:sz="8"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投标响应情况</w:t>
            </w:r>
            <w:r>
              <w:rPr>
                <w:highlight w:val="none"/>
              </w:rPr>
            </w:r>
          </w:p>
        </w:tc>
        <w:tc>
          <w:tcPr>
            <w:tcBorders>
              <w:top w:val="single" w:color="000000" w:sz="8"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超出、符合或偏离</w:t>
            </w:r>
            <w:r>
              <w:rPr>
                <w:highlight w:val="none"/>
              </w:rPr>
            </w:r>
          </w:p>
        </w:tc>
        <w:tc>
          <w:tcPr>
            <w:tcBorders>
              <w:top w:val="single" w:color="000000" w:sz="8"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证明</w:t>
            </w:r>
            <w:r>
              <w:rPr>
                <w:highlight w:val="none"/>
              </w:rPr>
            </w:r>
          </w:p>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材料</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bl>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注： 行数不够，可自行添加。</w:t>
      </w:r>
      <w:r>
        <w:rPr>
          <w:highlight w:val="none"/>
        </w:rPr>
      </w:r>
    </w:p>
    <w:p>
      <w:pPr>
        <w:jc w:val="left"/>
        <w:widowControl/>
        <w:rPr>
          <w:rFonts w:eastAsia="黑体" w:cs="黑体"/>
          <w:b/>
          <w:sz w:val="32"/>
          <w:szCs w:val="24"/>
          <w:highlight w:val="none"/>
        </w:rPr>
        <w:outlineLvl w:val="1"/>
      </w:pPr>
      <w:r>
        <w:rPr>
          <w:rFonts w:eastAsia="黑体" w:cs="黑体"/>
          <w:b/>
          <w:sz w:val="32"/>
          <w:szCs w:val="24"/>
          <w:highlight w:val="none"/>
        </w:rPr>
      </w:r>
      <w:r>
        <w:rPr>
          <w:highlight w:val="none"/>
        </w:rPr>
      </w:r>
    </w:p>
    <w:p>
      <w:pPr>
        <w:jc w:val="left"/>
        <w:widowControl/>
        <w:rPr>
          <w:rFonts w:eastAsia="黑体" w:cs="黑体"/>
          <w:b/>
          <w:sz w:val="32"/>
          <w:szCs w:val="24"/>
          <w:highlight w:val="none"/>
        </w:rPr>
        <w:outlineLvl w:val="1"/>
      </w:pPr>
      <w:r>
        <w:rPr>
          <w:rFonts w:eastAsia="黑体" w:cs="黑体"/>
          <w:b/>
          <w:sz w:val="32"/>
          <w:szCs w:val="24"/>
          <w:highlight w:val="none"/>
        </w:rPr>
      </w:r>
      <w:r>
        <w:rPr>
          <w:highlight w:val="none"/>
        </w:rPr>
      </w:r>
    </w:p>
    <w:p>
      <w:pPr>
        <w:jc w:val="left"/>
        <w:widowControl/>
        <w:rPr>
          <w:rFonts w:eastAsia="黑体" w:cs="黑体"/>
          <w:b/>
          <w:sz w:val="32"/>
          <w:szCs w:val="24"/>
          <w:highlight w:val="none"/>
        </w:rPr>
        <w:outlineLvl w:val="1"/>
      </w:pPr>
      <w:r>
        <w:rPr>
          <w:rFonts w:eastAsia="黑体" w:cs="黑体"/>
          <w:b/>
          <w:sz w:val="32"/>
          <w:szCs w:val="24"/>
          <w:highlight w:val="none"/>
        </w:rPr>
      </w:r>
      <w:r>
        <w:rPr>
          <w:highlight w:val="none"/>
        </w:rPr>
      </w:r>
    </w:p>
    <w:p>
      <w:pPr>
        <w:pStyle w:val="754"/>
        <w:rPr>
          <w:highlight w:val="none"/>
        </w:rPr>
      </w:pPr>
      <w:r>
        <w:rPr>
          <w:highlight w:val="none"/>
        </w:rPr>
      </w:r>
      <w:r>
        <w:rPr>
          <w:highlight w:val="none"/>
        </w:rPr>
      </w:r>
    </w:p>
    <w:p>
      <w:pPr>
        <w:rPr>
          <w:highlight w:val="none"/>
        </w:rPr>
      </w:pPr>
      <w:r>
        <w:rPr>
          <w:highlight w:val="none"/>
        </w:rPr>
      </w:r>
      <w:r>
        <w:rPr>
          <w:highlight w:val="none"/>
        </w:rPr>
      </w:r>
    </w:p>
    <w:p>
      <w:pPr>
        <w:pStyle w:val="754"/>
        <w:rPr>
          <w:highlight w:val="none"/>
        </w:rPr>
      </w:pPr>
      <w:r>
        <w:rPr>
          <w:highlight w:val="none"/>
        </w:rPr>
      </w:r>
      <w:r>
        <w:rPr>
          <w:highlight w:val="none"/>
        </w:rPr>
      </w:r>
    </w:p>
    <w:p>
      <w:pPr>
        <w:rPr>
          <w:highlight w:val="none"/>
        </w:rPr>
      </w:pPr>
      <w:r>
        <w:rPr>
          <w:highlight w:val="none"/>
        </w:rPr>
      </w:r>
      <w:r>
        <w:rPr>
          <w:highlight w:val="none"/>
        </w:rPr>
      </w:r>
    </w:p>
    <w:p>
      <w:pPr>
        <w:pStyle w:val="754"/>
        <w:rPr>
          <w:highlight w:val="none"/>
        </w:rPr>
      </w:pPr>
      <w:r>
        <w:rPr>
          <w:highlight w:val="none"/>
        </w:rPr>
      </w:r>
      <w:r>
        <w:rPr>
          <w:highlight w:val="none"/>
        </w:rPr>
      </w:r>
    </w:p>
    <w:p>
      <w:pPr>
        <w:rPr>
          <w:highlight w:val="none"/>
        </w:rPr>
      </w:pPr>
      <w:r>
        <w:rPr>
          <w:highlight w:val="none"/>
        </w:rPr>
      </w:r>
      <w:r>
        <w:rPr>
          <w:highlight w:val="none"/>
        </w:rPr>
      </w:r>
    </w:p>
    <w:p>
      <w:pPr>
        <w:pStyle w:val="754"/>
        <w:rPr>
          <w:highlight w:val="none"/>
        </w:rPr>
      </w:pPr>
      <w:r>
        <w:rPr>
          <w:highlight w:val="none"/>
        </w:rPr>
      </w:r>
      <w:r>
        <w:rPr>
          <w:highlight w:val="none"/>
        </w:rPr>
      </w:r>
    </w:p>
    <w:p>
      <w:pPr>
        <w:rPr>
          <w:highlight w:val="none"/>
        </w:rPr>
      </w:pPr>
      <w:r>
        <w:rPr>
          <w:highlight w:val="none"/>
        </w:rPr>
      </w:r>
      <w:r>
        <w:rPr>
          <w:highlight w:val="none"/>
        </w:rPr>
      </w:r>
    </w:p>
    <w:p>
      <w:pPr>
        <w:pStyle w:val="754"/>
        <w:rPr>
          <w:highlight w:val="none"/>
        </w:rPr>
      </w:pPr>
      <w:r>
        <w:rPr>
          <w:highlight w:val="none"/>
        </w:rPr>
      </w:r>
      <w:r>
        <w:rPr>
          <w:highlight w:val="none"/>
        </w:rPr>
      </w:r>
    </w:p>
    <w:p>
      <w:pPr>
        <w:rPr>
          <w:highlight w:val="none"/>
        </w:rPr>
      </w:pPr>
      <w:r>
        <w:rPr>
          <w:highlight w:val="none"/>
        </w:rPr>
      </w:r>
      <w:r>
        <w:rPr>
          <w:highlight w:val="none"/>
        </w:rPr>
      </w:r>
    </w:p>
    <w:p>
      <w:pPr>
        <w:pStyle w:val="754"/>
        <w:rPr>
          <w:highlight w:val="none"/>
        </w:rPr>
      </w:pPr>
      <w:r>
        <w:rPr>
          <w:highlight w:val="none"/>
        </w:rPr>
      </w:r>
      <w:r>
        <w:rPr>
          <w:highlight w:val="none"/>
        </w:rPr>
      </w:r>
    </w:p>
    <w:p>
      <w:pPr>
        <w:rPr>
          <w:highlight w:val="none"/>
        </w:rPr>
      </w:pPr>
      <w:r>
        <w:rPr>
          <w:highlight w:val="none"/>
        </w:rPr>
      </w:r>
      <w:r>
        <w:rPr>
          <w:highlight w:val="none"/>
        </w:rPr>
      </w:r>
    </w:p>
    <w:p>
      <w:pPr>
        <w:pStyle w:val="754"/>
        <w:rPr>
          <w:highlight w:val="none"/>
        </w:rPr>
      </w:pPr>
      <w:r>
        <w:rPr>
          <w:highlight w:val="none"/>
        </w:rPr>
      </w:r>
      <w:r>
        <w:rPr>
          <w:highlight w:val="none"/>
        </w:rPr>
      </w:r>
    </w:p>
    <w:p>
      <w:pPr>
        <w:rPr>
          <w:highlight w:val="none"/>
        </w:rPr>
      </w:pPr>
      <w:r>
        <w:rPr>
          <w:highlight w:val="none"/>
        </w:rPr>
      </w:r>
      <w:r>
        <w:rPr>
          <w:highlight w:val="none"/>
        </w:rPr>
      </w:r>
    </w:p>
    <w:p>
      <w:pPr>
        <w:pStyle w:val="754"/>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pStyle w:val="754"/>
        <w:rPr>
          <w:highlight w:val="none"/>
        </w:rPr>
      </w:pPr>
      <w:r>
        <w:rPr>
          <w:highlight w:val="none"/>
        </w:rPr>
      </w:r>
      <w:r>
        <w:rPr>
          <w:highlight w:val="none"/>
        </w:rPr>
      </w:r>
    </w:p>
    <w:p>
      <w:pPr>
        <w:jc w:val="left"/>
        <w:widowControl/>
        <w:rPr>
          <w:rFonts w:eastAsia="黑体" w:cs="黑体"/>
          <w:b/>
          <w:sz w:val="32"/>
          <w:szCs w:val="24"/>
          <w:highlight w:val="none"/>
        </w:rPr>
        <w:outlineLvl w:val="1"/>
      </w:pPr>
      <w:r>
        <w:rPr>
          <w:rFonts w:hint="eastAsia" w:eastAsia="黑体" w:cs="黑体"/>
          <w:b/>
          <w:sz w:val="32"/>
          <w:szCs w:val="24"/>
          <w:highlight w:val="none"/>
        </w:rPr>
        <w:t xml:space="preserve">九、</w:t>
      </w:r>
      <w:r>
        <w:rPr>
          <w:rFonts w:eastAsia="黑体" w:cs="黑体"/>
          <w:b/>
          <w:sz w:val="32"/>
          <w:szCs w:val="24"/>
          <w:highlight w:val="none"/>
        </w:rPr>
        <w:t xml:space="preserve">项目组人员</w:t>
      </w:r>
      <w:r>
        <w:rPr>
          <w:rFonts w:hint="eastAsia" w:eastAsia="黑体" w:cs="黑体"/>
          <w:b/>
          <w:sz w:val="32"/>
          <w:szCs w:val="24"/>
          <w:highlight w:val="none"/>
        </w:rPr>
        <w:t xml:space="preserve">（如有）</w:t>
      </w:r>
      <w:r>
        <w:rPr>
          <w:highlight w:val="none"/>
        </w:rPr>
      </w:r>
    </w:p>
    <w:p>
      <w:pPr>
        <w:jc w:val="center"/>
        <w:spacing w:before="100" w:beforeAutospacing="1" w:after="100" w:afterAutospacing="1" w:line="600" w:lineRule="exact"/>
        <w:widowControl/>
        <w:rPr>
          <w:rFonts w:eastAsia="宋体" w:cs="宋体"/>
          <w:b/>
          <w:bCs/>
          <w:sz w:val="32"/>
          <w:szCs w:val="32"/>
          <w:highlight w:val="none"/>
        </w:rPr>
      </w:pPr>
      <w:r>
        <w:rPr>
          <w:rFonts w:hint="eastAsia" w:eastAsia="宋体" w:cs="宋体"/>
          <w:b/>
          <w:bCs/>
          <w:sz w:val="32"/>
          <w:szCs w:val="32"/>
          <w:highlight w:val="none"/>
        </w:rPr>
        <w:t xml:space="preserve">项目组成员</w:t>
      </w:r>
      <w:r>
        <w:rPr>
          <w:highlight w:val="none"/>
        </w:rPr>
      </w:r>
    </w:p>
    <w:tbl>
      <w:tblPr>
        <w:tblStyle w:val="749"/>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姓名</w:t>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职务</w:t>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学历</w:t>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身份证号</w:t>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相关证书</w:t>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备注</w:t>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宋体" w:cs="宋体"/>
                <w:sz w:val="20"/>
                <w:highlight w:val="none"/>
              </w:rPr>
            </w:pPr>
            <w:r>
              <w:rPr>
                <w:rFonts w:hint="eastAsia" w:eastAsia="仿宋_GB2312" w:cs="仿宋_GB2312"/>
                <w:sz w:val="28"/>
                <w:szCs w:val="28"/>
                <w:highlight w:val="none"/>
              </w:rPr>
              <w:t xml:space="preserve">项目经理</w:t>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仿宋_GB2312" w:cs="仿宋_GB2312"/>
                <w:sz w:val="28"/>
                <w:szCs w:val="28"/>
                <w:highlight w:val="none"/>
              </w:rPr>
            </w:pPr>
            <w:r>
              <w:rPr>
                <w:rFonts w:eastAsia="仿宋_GB2312" w:cs="仿宋_GB2312"/>
                <w:sz w:val="28"/>
                <w:szCs w:val="28"/>
                <w:highlight w:val="none"/>
              </w:rPr>
              <w:t xml:space="preserve">......</w:t>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eastAsia="仿宋_GB2312" w:cs="仿宋_GB2312"/>
                <w:sz w:val="28"/>
                <w:szCs w:val="28"/>
                <w:highlight w:val="none"/>
              </w:rPr>
            </w:pPr>
            <w:r>
              <w:rPr>
                <w:rFonts w:eastAsia="仿宋_GB2312" w:cs="仿宋_GB2312"/>
                <w:sz w:val="28"/>
                <w:szCs w:val="28"/>
                <w:highlight w:val="none"/>
              </w:rPr>
              <w:t xml:space="preserve">......</w:t>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r>
    </w:tbl>
    <w:p>
      <w:pPr>
        <w:ind w:firstLine="398"/>
        <w:jc w:val="left"/>
        <w:spacing w:before="100" w:beforeAutospacing="1" w:after="100" w:afterAutospacing="1" w:line="460" w:lineRule="exact"/>
        <w:widowControl/>
        <w:rPr>
          <w:rFonts w:eastAsia="仿宋_GB2312" w:cs="仿宋_GB2312"/>
          <w:sz w:val="24"/>
          <w:szCs w:val="24"/>
          <w:highlight w:val="none"/>
        </w:rPr>
      </w:pPr>
      <w:r>
        <w:rPr>
          <w:rFonts w:eastAsia="仿宋_GB2312" w:cs="仿宋_GB2312"/>
          <w:b/>
          <w:sz w:val="24"/>
          <w:szCs w:val="24"/>
          <w:highlight w:val="none"/>
        </w:rPr>
        <w:t xml:space="preserve">注：如供应商中标，项目组成员必须按本表承诺人员操作，不得随意更换。按投标文件要求附相关人员证书。</w:t>
      </w:r>
      <w:r>
        <w:rPr>
          <w:highlight w:val="none"/>
        </w:rPr>
      </w:r>
    </w:p>
    <w:p>
      <w:pPr>
        <w:ind w:firstLine="280"/>
        <w:jc w:val="left"/>
        <w:spacing w:before="100" w:beforeAutospacing="1" w:after="100" w:afterAutospacing="1" w:line="500" w:lineRule="exact"/>
        <w:widowControl/>
        <w:rPr>
          <w:rFonts w:eastAsia="仿宋_GB2312" w:cs="仿宋_GB2312"/>
          <w:sz w:val="24"/>
          <w:szCs w:val="24"/>
          <w:highlight w:val="none"/>
        </w:rPr>
      </w:pPr>
      <w:r>
        <w:rPr>
          <w:rFonts w:eastAsia="仿宋_GB2312" w:cs="仿宋_GB2312"/>
          <w:sz w:val="24"/>
          <w:szCs w:val="24"/>
          <w:highlight w:val="none"/>
        </w:rPr>
      </w:r>
      <w:r>
        <w:rPr>
          <w:highlight w:val="none"/>
        </w:rPr>
      </w:r>
    </w:p>
    <w:p>
      <w:pPr>
        <w:spacing w:line="500" w:lineRule="exact"/>
        <w:rPr>
          <w:rFonts w:eastAsia="宋体"/>
          <w:sz w:val="21"/>
          <w:szCs w:val="24"/>
          <w:highlight w:val="none"/>
        </w:rPr>
      </w:pPr>
      <w:r>
        <w:rPr>
          <w:rFonts w:eastAsia="宋体"/>
          <w:sz w:val="21"/>
          <w:szCs w:val="24"/>
          <w:highlight w:val="none"/>
        </w:rPr>
        <w:br w:type="page" w:clear="all"/>
      </w:r>
      <w:bookmarkStart w:id="13" w:name="_Toc11176"/>
      <w:r>
        <w:rPr>
          <w:rFonts w:hint="eastAsia" w:eastAsia="黑体" w:cs="黑体"/>
          <w:b/>
          <w:sz w:val="32"/>
          <w:szCs w:val="24"/>
          <w:highlight w:val="none"/>
        </w:rPr>
        <w:t xml:space="preserve">十、</w:t>
      </w:r>
      <w:bookmarkEnd w:id="13"/>
      <w:r>
        <w:rPr>
          <w:rFonts w:hint="eastAsia" w:eastAsia="黑体" w:cs="黑体"/>
          <w:b/>
          <w:sz w:val="32"/>
          <w:szCs w:val="24"/>
          <w:highlight w:val="none"/>
        </w:rPr>
        <w:t xml:space="preserve">企业业绩（如有）</w:t>
      </w:r>
      <w:r>
        <w:rPr>
          <w:highlight w:val="none"/>
        </w:rPr>
      </w:r>
    </w:p>
    <w:p>
      <w:pPr>
        <w:jc w:val="center"/>
        <w:rPr>
          <w:rFonts w:eastAsia="宋体"/>
          <w:b/>
          <w:sz w:val="32"/>
          <w:szCs w:val="32"/>
          <w:highlight w:val="none"/>
        </w:rPr>
      </w:pPr>
      <w:r>
        <w:rPr>
          <w:rFonts w:hint="eastAsia" w:eastAsia="宋体"/>
          <w:b/>
          <w:sz w:val="32"/>
          <w:szCs w:val="32"/>
          <w:highlight w:val="none"/>
        </w:rPr>
        <w:t xml:space="preserve">投标人承担类似项目业绩一览表</w:t>
      </w:r>
      <w:r>
        <w:rPr>
          <w:highlight w:val="none"/>
        </w:rPr>
      </w:r>
    </w:p>
    <w:tbl>
      <w:tblPr>
        <w:tblStyle w:val="749"/>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eastAsia="仿宋_GB2312"/>
                <w:sz w:val="28"/>
                <w:szCs w:val="28"/>
                <w:highlight w:val="none"/>
              </w:rPr>
            </w:pPr>
            <w:r>
              <w:rPr>
                <w:rFonts w:hint="eastAsia" w:eastAsia="仿宋_GB2312"/>
                <w:sz w:val="28"/>
                <w:szCs w:val="28"/>
                <w:highlight w:val="none"/>
              </w:rPr>
              <w:t xml:space="preserve">序号</w:t>
            </w:r>
            <w:r>
              <w:rPr>
                <w:highlight w:val="none"/>
              </w:rPr>
            </w:r>
          </w:p>
        </w:tc>
        <w:tc>
          <w:tcPr>
            <w:tcW w:w="3827" w:type="dxa"/>
            <w:vAlign w:val="center"/>
            <w:textDirection w:val="lrTb"/>
            <w:noWrap w:val="false"/>
          </w:tcPr>
          <w:p>
            <w:pPr>
              <w:jc w:val="center"/>
              <w:spacing w:line="560" w:lineRule="exact"/>
              <w:rPr>
                <w:rFonts w:eastAsia="仿宋_GB2312"/>
                <w:sz w:val="28"/>
                <w:szCs w:val="28"/>
                <w:highlight w:val="none"/>
              </w:rPr>
            </w:pPr>
            <w:r>
              <w:rPr>
                <w:rFonts w:hint="eastAsia" w:eastAsia="仿宋_GB2312"/>
                <w:sz w:val="28"/>
                <w:szCs w:val="28"/>
                <w:highlight w:val="none"/>
              </w:rPr>
              <w:t xml:space="preserve">项目名称</w:t>
            </w:r>
            <w:r>
              <w:rPr>
                <w:highlight w:val="none"/>
              </w:rPr>
            </w:r>
          </w:p>
        </w:tc>
        <w:tc>
          <w:tcPr>
            <w:tcW w:w="2433" w:type="dxa"/>
            <w:vAlign w:val="center"/>
            <w:textDirection w:val="lrTb"/>
            <w:noWrap w:val="false"/>
          </w:tcPr>
          <w:p>
            <w:pPr>
              <w:jc w:val="center"/>
              <w:spacing w:line="560" w:lineRule="exact"/>
              <w:rPr>
                <w:rFonts w:eastAsia="仿宋_GB2312"/>
                <w:sz w:val="28"/>
                <w:szCs w:val="28"/>
                <w:highlight w:val="none"/>
              </w:rPr>
            </w:pPr>
            <w:r>
              <w:rPr>
                <w:rFonts w:hint="eastAsia" w:eastAsia="仿宋_GB2312"/>
                <w:sz w:val="28"/>
                <w:szCs w:val="28"/>
                <w:highlight w:val="none"/>
              </w:rPr>
              <w:t xml:space="preserve">采购单位</w:t>
            </w:r>
            <w:r>
              <w:rPr>
                <w:highlight w:val="none"/>
              </w:rPr>
            </w:r>
          </w:p>
        </w:tc>
        <w:tc>
          <w:tcPr>
            <w:tcW w:w="1395" w:type="dxa"/>
            <w:vAlign w:val="center"/>
            <w:textDirection w:val="lrTb"/>
            <w:noWrap w:val="false"/>
          </w:tcPr>
          <w:p>
            <w:pPr>
              <w:jc w:val="center"/>
              <w:spacing w:line="560" w:lineRule="exact"/>
              <w:rPr>
                <w:rFonts w:eastAsia="仿宋_GB2312"/>
                <w:sz w:val="28"/>
                <w:szCs w:val="28"/>
                <w:highlight w:val="none"/>
              </w:rPr>
            </w:pPr>
            <w:r>
              <w:rPr>
                <w:rFonts w:hint="eastAsia" w:eastAsia="仿宋_GB2312"/>
                <w:sz w:val="28"/>
                <w:szCs w:val="28"/>
                <w:highlight w:val="none"/>
              </w:rPr>
              <w:t xml:space="preserve">合同金额</w:t>
            </w:r>
            <w:r>
              <w:rPr>
                <w:highlight w:val="none"/>
              </w:rPr>
            </w:r>
          </w:p>
        </w:tc>
      </w:tr>
      <w:tr>
        <w:trPr>
          <w:jc w:val="center"/>
          <w:trHeight w:val="1510"/>
        </w:trPr>
        <w:tc>
          <w:tcPr>
            <w:tcW w:w="1229" w:type="dxa"/>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3827"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2433"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1395"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r>
      <w:tr>
        <w:trPr>
          <w:jc w:val="center"/>
          <w:trHeight w:val="1510"/>
        </w:trPr>
        <w:tc>
          <w:tcPr>
            <w:tcW w:w="1229" w:type="dxa"/>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3827"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2433"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1395"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r>
      <w:tr>
        <w:trPr>
          <w:jc w:val="center"/>
          <w:trHeight w:val="1510"/>
        </w:trPr>
        <w:tc>
          <w:tcPr>
            <w:tcW w:w="1229" w:type="dxa"/>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3827"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2433"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1395"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r>
      <w:tr>
        <w:trPr>
          <w:jc w:val="center"/>
          <w:trHeight w:val="1525"/>
        </w:trPr>
        <w:tc>
          <w:tcPr>
            <w:tcW w:w="1229" w:type="dxa"/>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3827"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2433"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1395"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r>
    </w:tbl>
    <w:p>
      <w:pPr>
        <w:rPr>
          <w:rFonts w:eastAsia="宋体"/>
          <w:sz w:val="21"/>
          <w:szCs w:val="22"/>
          <w:highlight w:val="none"/>
        </w:rPr>
      </w:pPr>
      <w:r>
        <w:rPr>
          <w:rFonts w:hint="eastAsia" w:eastAsia="仿宋_GB2312"/>
          <w:b/>
          <w:sz w:val="24"/>
          <w:szCs w:val="22"/>
          <w:highlight w:val="none"/>
        </w:rPr>
        <w:t xml:space="preserve">注：请填写此表，并按要求上传业绩资料电子件。</w:t>
      </w:r>
      <w:r>
        <w:rPr>
          <w:highlight w:val="none"/>
        </w:rPr>
      </w:r>
    </w:p>
    <w:p>
      <w:pPr>
        <w:jc w:val="left"/>
        <w:widowControl/>
        <w:rPr>
          <w:rFonts w:eastAsia="黑体" w:cs="黑体"/>
          <w:b/>
          <w:sz w:val="32"/>
          <w:szCs w:val="24"/>
          <w:highlight w:val="none"/>
        </w:rPr>
        <w:outlineLvl w:val="1"/>
      </w:pPr>
      <w:r>
        <w:rPr>
          <w:rFonts w:eastAsia="黑体" w:cs="黑体"/>
          <w:b/>
          <w:sz w:val="32"/>
          <w:szCs w:val="24"/>
          <w:highlight w:val="none"/>
        </w:rPr>
        <w:br w:type="page" w:clear="all"/>
      </w:r>
      <w:bookmarkStart w:id="14" w:name="_Toc28140"/>
      <w:r>
        <w:rPr>
          <w:rFonts w:hint="eastAsia" w:eastAsia="黑体" w:cs="黑体"/>
          <w:b/>
          <w:sz w:val="32"/>
          <w:szCs w:val="24"/>
          <w:highlight w:val="none"/>
        </w:rPr>
        <w:t xml:space="preserve">十一</w:t>
      </w:r>
      <w:r>
        <w:rPr>
          <w:rFonts w:eastAsia="黑体" w:cs="黑体"/>
          <w:b/>
          <w:sz w:val="32"/>
          <w:szCs w:val="24"/>
          <w:highlight w:val="none"/>
        </w:rPr>
        <w:t xml:space="preserve">、投标所需其他材料</w:t>
      </w:r>
      <w:bookmarkEnd w:id="14"/>
      <w:r>
        <w:rPr>
          <w:highlight w:val="none"/>
        </w:rPr>
      </w:r>
      <w:r>
        <w:rPr>
          <w:highlight w:val="none"/>
        </w:rPr>
      </w:r>
    </w:p>
    <w:p>
      <w:pPr>
        <w:ind w:firstLine="560"/>
        <w:spacing w:line="360" w:lineRule="auto"/>
        <w:rPr>
          <w:rFonts w:eastAsia="仿宋_GB2312"/>
          <w:sz w:val="28"/>
          <w:szCs w:val="28"/>
          <w:highlight w:val="none"/>
        </w:rPr>
      </w:pPr>
      <w:r>
        <w:rPr>
          <w:rFonts w:hint="eastAsia" w:eastAsia="仿宋_GB2312"/>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highlight w:val="none"/>
        </w:rPr>
      </w:r>
    </w:p>
    <w:p>
      <w:pPr>
        <w:rPr>
          <w:rFonts w:eastAsia="宋体"/>
          <w:sz w:val="20"/>
          <w:szCs w:val="21"/>
          <w:highlight w:val="none"/>
        </w:rPr>
      </w:pPr>
      <w:r>
        <w:rPr>
          <w:rFonts w:hint="eastAsia" w:eastAsia="宋体"/>
          <w:sz w:val="20"/>
          <w:szCs w:val="21"/>
          <w:highlight w:val="none"/>
        </w:rPr>
        <w:t xml:space="preserve"> </w:t>
      </w:r>
      <w:r>
        <w:rPr>
          <w:highlight w:val="none"/>
        </w:rPr>
      </w:r>
    </w:p>
    <w:p>
      <w:pPr>
        <w:rPr>
          <w:rFonts w:eastAsia="宋体"/>
          <w:sz w:val="21"/>
          <w:szCs w:val="21"/>
          <w:highlight w:val="none"/>
        </w:rPr>
      </w:pPr>
      <w:r>
        <w:rPr>
          <w:rFonts w:eastAsia="宋体"/>
          <w:sz w:val="21"/>
          <w:szCs w:val="21"/>
          <w:highlight w:val="none"/>
        </w:rPr>
      </w:r>
      <w:r>
        <w:rPr>
          <w:highlight w:val="none"/>
        </w:rPr>
      </w:r>
    </w:p>
    <w:p>
      <w:pPr>
        <w:rPr>
          <w:rFonts w:eastAsia="黑体"/>
          <w:sz w:val="32"/>
          <w:szCs w:val="21"/>
          <w:highlight w:val="none"/>
        </w:rPr>
      </w:pPr>
      <w:r>
        <w:rPr>
          <w:rFonts w:eastAsia="黑体"/>
          <w:sz w:val="32"/>
          <w:szCs w:val="21"/>
          <w:highlight w:val="none"/>
        </w:rPr>
      </w:r>
      <w:bookmarkEnd w:id="9"/>
      <w:r>
        <w:rPr>
          <w:highlight w:val="none"/>
        </w:rPr>
      </w:r>
      <w:r>
        <w:rPr>
          <w:highlight w:val="none"/>
        </w:rPr>
      </w:r>
    </w:p>
    <w:p>
      <w:pPr>
        <w:rPr>
          <w:rFonts w:eastAsia="黑体"/>
          <w:sz w:val="32"/>
          <w:szCs w:val="21"/>
          <w:highlight w:val="none"/>
        </w:rPr>
      </w:pPr>
      <w:r>
        <w:rPr>
          <w:rFonts w:eastAsia="黑体"/>
          <w:sz w:val="32"/>
          <w:szCs w:val="21"/>
          <w:highlight w:val="none"/>
        </w:rPr>
      </w:r>
      <w:r>
        <w:rPr>
          <w:highlight w:val="none"/>
        </w:rPr>
      </w:r>
    </w:p>
    <w:p>
      <w:pPr>
        <w:rPr>
          <w:rFonts w:eastAsia="黑体"/>
          <w:sz w:val="32"/>
          <w:szCs w:val="21"/>
          <w:highlight w:val="none"/>
        </w:rPr>
      </w:pPr>
      <w:r>
        <w:rPr>
          <w:rFonts w:eastAsia="黑体"/>
          <w:sz w:val="32"/>
          <w:szCs w:val="21"/>
          <w:highlight w:val="none"/>
        </w:rPr>
      </w:r>
      <w:r>
        <w:rPr>
          <w:highlight w:val="none"/>
        </w:rPr>
      </w:r>
    </w:p>
    <w:p>
      <w:pPr>
        <w:rPr>
          <w:rFonts w:eastAsia="黑体"/>
          <w:sz w:val="32"/>
          <w:szCs w:val="21"/>
          <w:highlight w:val="none"/>
        </w:rPr>
      </w:pPr>
      <w:r>
        <w:rPr>
          <w:rFonts w:eastAsia="黑体"/>
          <w:sz w:val="32"/>
          <w:szCs w:val="21"/>
          <w:highlight w:val="none"/>
        </w:rPr>
      </w:r>
      <w:r>
        <w:rPr>
          <w:highlight w:val="none"/>
        </w:rPr>
      </w:r>
    </w:p>
    <w:p>
      <w:pPr>
        <w:spacing w:line="480" w:lineRule="auto"/>
        <w:rPr>
          <w:rFonts w:eastAsia="宋体"/>
          <w:sz w:val="24"/>
          <w:szCs w:val="21"/>
          <w:highlight w:val="none"/>
        </w:rPr>
      </w:pPr>
      <w:r>
        <w:rPr>
          <w:rFonts w:eastAsia="宋体"/>
          <w:sz w:val="24"/>
          <w:szCs w:val="21"/>
          <w:highlight w:val="none"/>
        </w:rPr>
      </w:r>
      <w:r>
        <w:rPr>
          <w:highlight w:val="none"/>
        </w:rPr>
      </w:r>
    </w:p>
    <w:p>
      <w:pPr>
        <w:spacing w:line="480" w:lineRule="auto"/>
        <w:rPr>
          <w:rFonts w:eastAsia="宋体"/>
          <w:sz w:val="30"/>
          <w:szCs w:val="21"/>
          <w:highlight w:val="none"/>
        </w:rPr>
      </w:pPr>
      <w:r>
        <w:rPr>
          <w:rFonts w:eastAsia="宋体"/>
          <w:sz w:val="30"/>
          <w:szCs w:val="21"/>
          <w:highlight w:val="none"/>
        </w:rPr>
      </w:r>
      <w:r>
        <w:rPr>
          <w:highlight w:val="none"/>
        </w:rPr>
      </w:r>
    </w:p>
    <w:p>
      <w:pPr>
        <w:rPr>
          <w:rFonts w:eastAsia="宋体"/>
          <w:sz w:val="24"/>
          <w:szCs w:val="21"/>
          <w:highlight w:val="none"/>
        </w:rPr>
      </w:pPr>
      <w:r>
        <w:rPr>
          <w:highlight w:val="none"/>
        </w:rPr>
      </w:r>
      <w:bookmarkStart w:id="15" w:name="_Hlt26671374"/>
      <w:r>
        <w:rPr>
          <w:highlight w:val="none"/>
        </w:rPr>
      </w:r>
      <w:bookmarkEnd w:id="15"/>
      <w:r>
        <w:rPr>
          <w:highlight w:val="none"/>
        </w:rPr>
      </w:r>
      <w:bookmarkStart w:id="16" w:name="_Hlt26609389"/>
      <w:r>
        <w:rPr>
          <w:highlight w:val="none"/>
        </w:rPr>
      </w:r>
      <w:bookmarkEnd w:id="16"/>
      <w:r>
        <w:rPr>
          <w:highlight w:val="none"/>
        </w:rPr>
      </w:r>
      <w:bookmarkStart w:id="17" w:name="_Hlt26955066"/>
      <w:r>
        <w:rPr>
          <w:highlight w:val="none"/>
        </w:rPr>
      </w:r>
      <w:bookmarkEnd w:id="17"/>
      <w:r>
        <w:rPr>
          <w:highlight w:val="none"/>
        </w:rPr>
      </w:r>
      <w:bookmarkStart w:id="18" w:name="_Toc462564146"/>
      <w:r>
        <w:rPr>
          <w:highlight w:val="none"/>
        </w:rPr>
      </w:r>
      <w:r>
        <w:rPr>
          <w:highlight w:val="none"/>
        </w:rPr>
      </w:r>
    </w:p>
    <w:p>
      <w:pPr>
        <w:rPr>
          <w:rFonts w:eastAsia="宋体"/>
          <w:sz w:val="24"/>
          <w:szCs w:val="21"/>
          <w:highlight w:val="none"/>
        </w:rPr>
      </w:pPr>
      <w:r>
        <w:rPr>
          <w:rFonts w:eastAsia="宋体"/>
          <w:sz w:val="24"/>
          <w:szCs w:val="21"/>
          <w:highlight w:val="none"/>
        </w:rPr>
      </w:r>
      <w:r>
        <w:rPr>
          <w:highlight w:val="none"/>
        </w:rPr>
      </w:r>
    </w:p>
    <w:p>
      <w:pPr>
        <w:ind w:firstLine="480"/>
        <w:jc w:val="left"/>
        <w:spacing w:line="560" w:lineRule="exact"/>
        <w:rPr>
          <w:rFonts w:eastAsia="仿宋_GB2312" w:cs="仿宋_GB2312"/>
          <w:sz w:val="24"/>
          <w:szCs w:val="32"/>
          <w:highlight w:val="none"/>
        </w:rPr>
      </w:pPr>
      <w:r>
        <w:rPr>
          <w:rFonts w:eastAsia="仿宋_GB2312" w:cs="仿宋_GB2312"/>
          <w:sz w:val="24"/>
          <w:szCs w:val="32"/>
          <w:highlight w:val="none"/>
          <w:lang w:val="zh-TW"/>
        </w:rPr>
      </w:r>
      <w:r>
        <w:rPr>
          <w:highlight w:val="none"/>
        </w:rPr>
      </w:r>
    </w:p>
    <w:p>
      <w:pPr>
        <w:ind w:firstLine="480"/>
        <w:jc w:val="left"/>
        <w:spacing w:line="560" w:lineRule="exact"/>
        <w:rPr>
          <w:rFonts w:eastAsia="仿宋_GB2312" w:cs="仿宋_GB2312"/>
          <w:sz w:val="24"/>
          <w:szCs w:val="32"/>
          <w:highlight w:val="none"/>
        </w:rPr>
      </w:pPr>
      <w:r>
        <w:rPr>
          <w:rFonts w:eastAsia="仿宋_GB2312" w:cs="仿宋_GB2312"/>
          <w:sz w:val="24"/>
          <w:szCs w:val="32"/>
          <w:highlight w:val="none"/>
          <w:lang w:val="zh-TW"/>
        </w:rPr>
      </w:r>
      <w:r>
        <w:rPr>
          <w:highlight w:val="none"/>
        </w:rPr>
      </w:r>
    </w:p>
    <w:p>
      <w:pPr>
        <w:ind w:firstLine="480"/>
        <w:jc w:val="left"/>
        <w:spacing w:line="560" w:lineRule="exact"/>
        <w:rPr>
          <w:rFonts w:eastAsia="仿宋_GB2312" w:cs="仿宋_GB2312"/>
          <w:sz w:val="24"/>
          <w:szCs w:val="32"/>
          <w:highlight w:val="none"/>
        </w:rPr>
      </w:pPr>
      <w:r>
        <w:rPr>
          <w:rFonts w:eastAsia="仿宋_GB2312" w:cs="仿宋_GB2312"/>
          <w:sz w:val="24"/>
          <w:szCs w:val="32"/>
          <w:highlight w:val="none"/>
          <w:lang w:val="zh-TW"/>
        </w:rPr>
      </w:r>
      <w:r>
        <w:rPr>
          <w:highlight w:val="none"/>
        </w:rPr>
      </w:r>
    </w:p>
    <w:p>
      <w:pPr>
        <w:ind w:firstLine="480"/>
        <w:jc w:val="left"/>
        <w:spacing w:line="560" w:lineRule="exact"/>
        <w:rPr>
          <w:rFonts w:eastAsia="仿宋_GB2312" w:cs="仿宋_GB2312"/>
          <w:sz w:val="24"/>
          <w:szCs w:val="32"/>
          <w:highlight w:val="none"/>
        </w:rPr>
      </w:pPr>
      <w:r>
        <w:rPr>
          <w:rFonts w:eastAsia="仿宋_GB2312" w:cs="仿宋_GB2312"/>
          <w:sz w:val="24"/>
          <w:szCs w:val="32"/>
          <w:highlight w:val="none"/>
          <w:lang w:val="zh-TW"/>
        </w:rPr>
      </w:r>
      <w:bookmarkEnd w:id="18"/>
      <w:r>
        <w:rPr>
          <w:highlight w:val="none"/>
        </w:rPr>
      </w:r>
      <w:r>
        <w:rPr>
          <w:highlight w:val="none"/>
        </w:rPr>
      </w:r>
    </w:p>
    <w:p>
      <w:pPr>
        <w:ind w:firstLine="480"/>
        <w:jc w:val="left"/>
        <w:spacing w:line="560" w:lineRule="exact"/>
        <w:rPr>
          <w:rFonts w:eastAsia="仿宋_GB2312" w:cs="仿宋_GB2312"/>
          <w:sz w:val="24"/>
          <w:szCs w:val="32"/>
          <w:highlight w:val="none"/>
        </w:rPr>
      </w:pPr>
      <w:r>
        <w:rPr>
          <w:rFonts w:eastAsia="仿宋_GB2312" w:cs="仿宋_GB2312"/>
          <w:sz w:val="24"/>
          <w:szCs w:val="32"/>
          <w:highlight w:val="none"/>
          <w:lang w:val="zh-TW"/>
        </w:rPr>
      </w:r>
      <w:r>
        <w:rPr>
          <w:highlight w:val="none"/>
        </w:rPr>
      </w:r>
    </w:p>
    <w:p>
      <w:pPr>
        <w:ind w:firstLine="480"/>
        <w:jc w:val="left"/>
        <w:spacing w:line="560" w:lineRule="exact"/>
        <w:rPr>
          <w:rFonts w:eastAsia="仿宋_GB2312" w:cs="仿宋_GB2312"/>
          <w:sz w:val="24"/>
          <w:szCs w:val="32"/>
          <w:highlight w:val="none"/>
        </w:rPr>
      </w:pPr>
      <w:r>
        <w:rPr>
          <w:rFonts w:eastAsia="仿宋_GB2312" w:cs="仿宋_GB2312"/>
          <w:sz w:val="24"/>
          <w:szCs w:val="32"/>
          <w:highlight w:val="none"/>
          <w:lang w:val="zh-TW"/>
        </w:rPr>
      </w:r>
      <w:r>
        <w:rPr>
          <w:highlight w:val="none"/>
        </w:rPr>
      </w:r>
    </w:p>
    <w:p>
      <w:pPr>
        <w:rPr>
          <w:rFonts w:eastAsia="黑体"/>
          <w:b/>
          <w:sz w:val="32"/>
          <w:szCs w:val="32"/>
          <w:highlight w:val="none"/>
        </w:rPr>
      </w:pPr>
      <w:r>
        <w:rPr>
          <w:highlight w:val="none"/>
        </w:rPr>
      </w:r>
      <w:bookmarkStart w:id="19" w:name="_格式2__法定代表人授权书"/>
      <w:r>
        <w:rPr>
          <w:highlight w:val="none"/>
        </w:rPr>
      </w:r>
      <w:bookmarkEnd w:id="19"/>
      <w:r>
        <w:rPr>
          <w:highlight w:val="none"/>
        </w:rPr>
      </w:r>
      <w:r>
        <w:rPr>
          <w:highlight w:val="none"/>
        </w:rPr>
      </w:r>
    </w:p>
    <w:p>
      <w:pPr>
        <w:rPr>
          <w:rFonts w:eastAsia="黑体"/>
          <w:b/>
          <w:sz w:val="32"/>
          <w:szCs w:val="32"/>
          <w:highlight w:val="none"/>
        </w:rPr>
      </w:pPr>
      <w:r>
        <w:rPr>
          <w:rFonts w:eastAsia="黑体"/>
          <w:b/>
          <w:sz w:val="32"/>
          <w:szCs w:val="32"/>
          <w:highlight w:val="none"/>
        </w:rPr>
      </w:r>
      <w:r>
        <w:rPr>
          <w:highlight w:val="none"/>
        </w:rPr>
      </w:r>
    </w:p>
    <w:p>
      <w:pPr>
        <w:jc w:val="center"/>
        <w:rPr>
          <w:rFonts w:eastAsia="宋体" w:cs="仿宋"/>
          <w:b/>
          <w:bCs/>
          <w:sz w:val="32"/>
          <w:szCs w:val="32"/>
          <w:highlight w:val="none"/>
        </w:rPr>
      </w:pPr>
      <w:r>
        <w:rPr>
          <w:rFonts w:eastAsia="宋体" w:cs="仿宋"/>
          <w:b/>
          <w:bCs/>
          <w:sz w:val="32"/>
          <w:szCs w:val="32"/>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ajorEastAsia" w:hAnsiTheme="majorEastAsia" w:eastAsiaTheme="majorEastAsia"/>
          <w:sz w:val="32"/>
          <w:szCs w:val="32"/>
          <w:highlight w:val="none"/>
        </w:rPr>
      </w:pPr>
      <w:r>
        <w:rPr>
          <w:rFonts w:hint="eastAsia" w:asciiTheme="majorEastAsia" w:hAnsiTheme="majorEastAsia" w:eastAsiaTheme="majorEastAsia"/>
          <w:sz w:val="32"/>
          <w:szCs w:val="32"/>
          <w:highlight w:val="none"/>
        </w:rPr>
        <w:t xml:space="preserve">十二、资格证明文件（参考格式）</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（说明：投标人须按“招标公告”的要求，并按下列格式提供相应的资格证明文件）　　　</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格式一：</w:t>
      </w:r>
      <w:r>
        <w:rPr>
          <w:rFonts w:asciiTheme="minorEastAsia" w:hAnsiTheme="minorEastAsia" w:eastAsiaTheme="minorEastAsia"/>
          <w:sz w:val="24"/>
          <w:szCs w:val="24"/>
          <w:highlight w:val="none"/>
        </w:rPr>
        <w:t xml:space="preserve">法人或者其他组织的营业执照等证明文件，自然人的身份证明</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w:t>
      </w:r>
      <w:r>
        <w:rPr>
          <w:rFonts w:hint="eastAsia" w:asciiTheme="minorEastAsia" w:hAnsiTheme="minorEastAsia" w:eastAsiaTheme="minorEastAsia"/>
          <w:sz w:val="24"/>
          <w:szCs w:val="24"/>
          <w:highlight w:val="none"/>
          <w:lang w:val="en-US" w:eastAsia="zh-CN"/>
        </w:rPr>
        <w:t xml:space="preserve">三</w:t>
      </w:r>
      <w:r>
        <w:rPr>
          <w:rFonts w:hint="eastAsia" w:asciiTheme="minorEastAsia" w:hAnsiTheme="minorEastAsia" w:eastAsiaTheme="minorEastAsia"/>
          <w:sz w:val="24"/>
          <w:szCs w:val="24"/>
          <w:highlight w:val="none"/>
        </w:rPr>
        <w:t xml:space="preserve">：具备履行合同所必需的设备和专业技术能力的书面声明</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w:t>
      </w:r>
      <w:r>
        <w:rPr>
          <w:rFonts w:hint="eastAsia" w:asciiTheme="minorEastAsia" w:hAnsiTheme="minorEastAsia" w:eastAsiaTheme="minorEastAsia"/>
          <w:sz w:val="24"/>
          <w:szCs w:val="24"/>
          <w:highlight w:val="none"/>
          <w:lang w:val="en-US" w:eastAsia="zh-CN"/>
        </w:rPr>
        <w:t xml:space="preserve">四</w:t>
      </w:r>
      <w:r>
        <w:rPr>
          <w:rFonts w:hint="eastAsia" w:asciiTheme="minorEastAsia" w:hAnsiTheme="minorEastAsia" w:eastAsiaTheme="minorEastAsia"/>
          <w:sz w:val="24"/>
          <w:szCs w:val="24"/>
          <w:highlight w:val="none"/>
        </w:rPr>
        <w:t xml:space="preserve">：</w:t>
      </w:r>
      <w:r>
        <w:rPr>
          <w:rFonts w:asciiTheme="minorEastAsia" w:hAnsiTheme="minorEastAsia" w:eastAsiaTheme="minorEastAsia"/>
          <w:sz w:val="24"/>
          <w:szCs w:val="24"/>
          <w:highlight w:val="none"/>
        </w:rPr>
        <w:t xml:space="preserve">参加政府采购活动前3年内在经营活动中没有重大违法记录的书面声明</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br w:type="page" w:clear="all"/>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格式一</w:t>
      </w:r>
      <w:r>
        <w:rPr>
          <w:highlight w:val="none"/>
        </w:rPr>
      </w:r>
    </w:p>
    <w:p>
      <w:pPr>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法人或者其他组织的营业执照等证明文件，自然人的身份证明</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br w:type="page" w:clear="all"/>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w:t>
      </w:r>
      <w:r>
        <w:rPr>
          <w:rFonts w:hint="eastAsia" w:asciiTheme="minorEastAsia" w:hAnsiTheme="minorEastAsia" w:eastAsiaTheme="minorEastAsia"/>
          <w:sz w:val="24"/>
          <w:szCs w:val="24"/>
          <w:highlight w:val="none"/>
          <w:lang w:val="en-US" w:eastAsia="zh-CN"/>
        </w:rPr>
        <w:t xml:space="preserve">二</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具备履行合同所必需的设备和专业技术能力的书面声明</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主要设备有：。</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主要专业技术能力有：。</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投标人名称（电子签章）：</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日期： __年月日</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br w:type="page" w:clear="all"/>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w:t>
      </w:r>
      <w:r>
        <w:rPr>
          <w:rFonts w:hint="eastAsia" w:asciiTheme="minorEastAsia" w:hAnsiTheme="minorEastAsia" w:eastAsiaTheme="minorEastAsia"/>
          <w:sz w:val="24"/>
          <w:szCs w:val="24"/>
          <w:highlight w:val="none"/>
          <w:lang w:val="en-US" w:eastAsia="zh-CN"/>
        </w:rPr>
        <w:t xml:space="preserve">三</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参加政府采购活动前 3 年内在经营活动中没有重大违法记录的书面声明</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声  明</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投标人名称（电子签章）：</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日期：___年月日</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rFonts w:hint="eastAsia"/>
          <w:highlight w:val="none"/>
        </w:rPr>
      </w:pPr>
      <w:r>
        <w:rPr>
          <w:rFonts w:hint="eastAsia"/>
          <w:highlight w:val="none"/>
        </w:rPr>
      </w:r>
      <w:r>
        <w:rPr>
          <w:highlight w:val="none"/>
        </w:rPr>
      </w:r>
    </w:p>
    <w:p>
      <w:pPr>
        <w:ind w:left="0" w:right="0" w:firstLine="0"/>
        <w:jc w:val="both"/>
        <w:spacing w:before="0" w:after="0"/>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rPr>
      </w:r>
      <w:r>
        <w:rPr>
          <w:highlight w:val="none"/>
        </w:rPr>
      </w:r>
    </w:p>
    <w:sectPr>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楷体">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2725" cy="17081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12725" cy="170815"/>
                      </a:xfrm>
                      <a:prstGeom prst="rect">
                        <a:avLst/>
                      </a:prstGeom>
                      <a:noFill/>
                      <a:ln w="6350">
                        <a:noFill/>
                      </a:ln>
                      <a:effectLst/>
                    </wps:spPr>
                    <wps:txbx>
                      <w:txbxContent>
                        <w:p>
                          <w:r>
                            <w:fldChar w:fldCharType="begin"/>
                          </w:r>
                          <w:r>
                            <w:instrText xml:space="preserve"> PAGE  \* MERGEFORMAT </w:instrText>
                          </w:r>
                          <w:r>
                            <w:fldChar w:fldCharType="separate"/>
                          </w:r>
                          <w:r>
                            <w:t xml:space="preserve">44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6.8pt;height:13.4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2725" cy="17081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12725" cy="170815"/>
                      </a:xfrm>
                      <a:prstGeom prst="rect">
                        <a:avLst/>
                      </a:prstGeom>
                      <a:noFill/>
                      <a:ln w="6350">
                        <a:noFill/>
                      </a:ln>
                    </wps:spPr>
                    <wps:txbx>
                      <w:txbxContent>
                        <w:p>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6.8pt;height:13.4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pPr>
    </w:lvl>
    <w:lvl w:ilvl="1">
      <w:start w:val="1"/>
      <w:numFmt w:val="decimal"/>
      <w:isLgl w:val="false"/>
      <w:suff w:val="nothing"/>
      <w:lvlText w:val="（%2）"/>
      <w:lvlJc w:val="left"/>
      <w:pPr>
        <w:ind w:left="360" w:hanging="360"/>
      </w:pPr>
      <w:rPr>
        <w:rFonts w:ascii="宋体" w:hAnsi="宋体" w:eastAsia="宋体" w:cs="宋体"/>
        <w:color w:val="000000"/>
      </w:r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2">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quot;□&quot;"/>
      <w:lvlJc w:val="left"/>
      <w:pPr>
        <w:ind w:left="360" w:hanging="360"/>
      </w:pPr>
      <w:rPr>
        <w:rFonts w:hint="default" w:ascii="Symbol" w:hAnsi="Symbol" w:eastAsia="Symbol" w:cs="Symbol"/>
      </w:rPr>
    </w:lvl>
    <w:lvl w:ilvl="1">
      <w:start w:val="1"/>
      <w:numFmt w:val="bullet"/>
      <w:isLgl w:val="false"/>
      <w:suff w:val="tab"/>
      <w:lvlText w:val="&quot;&quot;"/>
      <w:lvlJc w:val="left"/>
      <w:pPr>
        <w:ind w:left="840" w:hanging="420"/>
      </w:pPr>
      <w:rPr>
        <w:rFonts w:hint="default" w:ascii="Wingdings" w:hAnsi="Wingdings" w:eastAsia="Wingdings" w:cs="Wingdings"/>
      </w:rPr>
    </w:lvl>
    <w:lvl w:ilvl="2">
      <w:start w:val="1"/>
      <w:numFmt w:val="bullet"/>
      <w:isLgl w:val="false"/>
      <w:suff w:val="tab"/>
      <w:lvlText w:val="&quot;&quot;"/>
      <w:lvlJc w:val="left"/>
      <w:pPr>
        <w:ind w:left="1260" w:hanging="420"/>
      </w:pPr>
      <w:rPr>
        <w:rFonts w:hint="default" w:ascii="Wingdings" w:hAnsi="Wingdings" w:eastAsia="Wingdings" w:cs="Wingdings"/>
      </w:rPr>
    </w:lvl>
    <w:lvl w:ilvl="3">
      <w:start w:val="1"/>
      <w:numFmt w:val="bullet"/>
      <w:isLgl w:val="false"/>
      <w:suff w:val="tab"/>
      <w:lvlText w:val="&quot;&quot;"/>
      <w:lvlJc w:val="left"/>
      <w:pPr>
        <w:ind w:left="1680" w:hanging="420"/>
      </w:pPr>
      <w:rPr>
        <w:rFonts w:hint="default" w:ascii="Wingdings" w:hAnsi="Wingdings" w:eastAsia="Wingdings" w:cs="Wingdings"/>
      </w:rPr>
    </w:lvl>
    <w:lvl w:ilvl="4">
      <w:start w:val="1"/>
      <w:numFmt w:val="bullet"/>
      <w:isLgl w:val="false"/>
      <w:suff w:val="tab"/>
      <w:lvlText w:val="&quot;&quot;"/>
      <w:lvlJc w:val="left"/>
      <w:pPr>
        <w:ind w:left="2100" w:hanging="420"/>
      </w:pPr>
      <w:rPr>
        <w:rFonts w:hint="default" w:ascii="Wingdings" w:hAnsi="Wingdings" w:eastAsia="Wingdings" w:cs="Wingdings"/>
      </w:rPr>
    </w:lvl>
    <w:lvl w:ilvl="5">
      <w:start w:val="1"/>
      <w:numFmt w:val="bullet"/>
      <w:isLgl w:val="false"/>
      <w:suff w:val="tab"/>
      <w:lvlText w:val="&quot;&quot;"/>
      <w:lvlJc w:val="left"/>
      <w:pPr>
        <w:ind w:left="2520" w:hanging="420"/>
      </w:pPr>
      <w:rPr>
        <w:rFonts w:hint="default" w:ascii="Wingdings" w:hAnsi="Wingdings" w:eastAsia="Wingdings" w:cs="Wingdings"/>
      </w:rPr>
    </w:lvl>
    <w:lvl w:ilvl="6">
      <w:start w:val="1"/>
      <w:numFmt w:val="bullet"/>
      <w:isLgl w:val="false"/>
      <w:suff w:val="tab"/>
      <w:lvlText w:val="&quot;&quot;"/>
      <w:lvlJc w:val="left"/>
      <w:pPr>
        <w:ind w:left="2940" w:hanging="420"/>
      </w:pPr>
      <w:rPr>
        <w:rFonts w:hint="default" w:ascii="Wingdings" w:hAnsi="Wingdings" w:eastAsia="Wingdings" w:cs="Wingdings"/>
      </w:rPr>
    </w:lvl>
    <w:lvl w:ilvl="7">
      <w:start w:val="1"/>
      <w:numFmt w:val="bullet"/>
      <w:isLgl w:val="false"/>
      <w:suff w:val="tab"/>
      <w:lvlText w:val="&quot;&quot;"/>
      <w:lvlJc w:val="left"/>
      <w:pPr>
        <w:ind w:left="3360" w:hanging="420"/>
      </w:pPr>
      <w:rPr>
        <w:rFonts w:hint="default" w:ascii="Wingdings" w:hAnsi="Wingdings" w:eastAsia="Wingdings" w:cs="Wingdings"/>
      </w:rPr>
    </w:lvl>
    <w:lvl w:ilvl="8">
      <w:start w:val="1"/>
      <w:numFmt w:val="bullet"/>
      <w:isLgl w:val="false"/>
      <w:suff w:val="tab"/>
      <w:lvlText w:val="&quot;&quot;"/>
      <w:lvlJc w:val="left"/>
      <w:pPr>
        <w:ind w:left="3780" w:hanging="42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4"/>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4"/>
  </w:num>
  <w:num w:numId="5">
    <w:abstractNumId w:val="7"/>
  </w:num>
  <w:num w:numId="6">
    <w:abstractNumId w:val="2"/>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739">
    <w:name w:val="Heading 1"/>
    <w:basedOn w:val="738"/>
    <w:next w:val="738"/>
    <w:link w:val="833"/>
    <w:uiPriority w:val="0"/>
    <w:qFormat/>
    <w:pPr>
      <w:jc w:val="center"/>
      <w:keepLines/>
      <w:keepNext/>
      <w:spacing w:line="360" w:lineRule="auto"/>
      <w:outlineLvl w:val="0"/>
    </w:pPr>
    <w:rPr>
      <w:rFonts w:eastAsia="宋体"/>
      <w:b/>
      <w:sz w:val="32"/>
    </w:rPr>
  </w:style>
  <w:style w:type="paragraph" w:styleId="740">
    <w:name w:val="Heading 2"/>
    <w:basedOn w:val="738"/>
    <w:next w:val="738"/>
    <w:link w:val="834"/>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835"/>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836"/>
    <w:uiPriority w:val="9"/>
    <w:unhideWhenUsed/>
    <w:qFormat/>
    <w:pPr>
      <w:keepLines/>
      <w:keepNext/>
      <w:spacing w:before="320" w:after="200"/>
      <w:outlineLvl w:val="3"/>
    </w:pPr>
    <w:rPr>
      <w:rFonts w:ascii="Arial" w:hAnsi="Arial" w:eastAsia="Arial" w:cs="Arial"/>
      <w:b/>
      <w:bCs/>
      <w:szCs w:val="26"/>
    </w:rPr>
  </w:style>
  <w:style w:type="paragraph" w:styleId="743">
    <w:name w:val="Heading 5"/>
    <w:basedOn w:val="738"/>
    <w:next w:val="738"/>
    <w:link w:val="837"/>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838"/>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39"/>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40"/>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41"/>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spacing w:after="57"/>
    </w:pPr>
  </w:style>
  <w:style w:type="paragraph" w:styleId="751">
    <w:name w:val="Normal Indent"/>
    <w:basedOn w:val="738"/>
    <w:next w:val="738"/>
    <w:uiPriority w:val="0"/>
    <w:qFormat/>
    <w:pPr>
      <w:ind w:firstLine="200"/>
    </w:pPr>
  </w:style>
  <w:style w:type="paragraph" w:styleId="752">
    <w:name w:val="Caption"/>
    <w:basedOn w:val="738"/>
    <w:next w:val="738"/>
    <w:uiPriority w:val="35"/>
    <w:unhideWhenUsed/>
    <w:qFormat/>
    <w:pPr>
      <w:spacing w:line="276" w:lineRule="auto"/>
    </w:pPr>
    <w:rPr>
      <w:b/>
      <w:bCs/>
      <w:color w:val="4f81bd"/>
      <w:sz w:val="18"/>
      <w:szCs w:val="18"/>
    </w:rPr>
  </w:style>
  <w:style w:type="paragraph" w:styleId="753">
    <w:name w:val="annotation text"/>
    <w:basedOn w:val="738"/>
    <w:link w:val="1014"/>
    <w:uiPriority w:val="99"/>
    <w:unhideWhenUsed/>
    <w:qFormat/>
    <w:pPr>
      <w:jc w:val="left"/>
    </w:pPr>
  </w:style>
  <w:style w:type="paragraph" w:styleId="754">
    <w:name w:val="Body Text"/>
    <w:basedOn w:val="738"/>
    <w:next w:val="738"/>
    <w:uiPriority w:val="0"/>
    <w:qFormat/>
    <w:rPr>
      <w:rFonts w:ascii="楷体_GB2312" w:hAnsi="Arial"/>
      <w:sz w:val="28"/>
    </w:rPr>
  </w:style>
  <w:style w:type="paragraph" w:styleId="755">
    <w:name w:val="Body Text Indent"/>
    <w:basedOn w:val="738"/>
    <w:next w:val="738"/>
    <w:uiPriority w:val="0"/>
    <w:qFormat/>
    <w:pPr>
      <w:ind w:firstLine="645"/>
    </w:pPr>
    <w:rPr>
      <w:rFonts w:ascii="楷体_GB2312" w:hAnsi="Calibri"/>
      <w:sz w:val="32"/>
      <w:szCs w:val="22"/>
    </w:rPr>
  </w:style>
  <w:style w:type="paragraph" w:styleId="756">
    <w:name w:val="Block Text"/>
    <w:basedOn w:val="738"/>
    <w:uiPriority w:val="0"/>
    <w:qFormat/>
    <w:pPr>
      <w:ind w:left="525" w:right="-1" w:firstLine="525"/>
      <w:spacing w:line="312" w:lineRule="atLeast"/>
    </w:pPr>
    <w:rPr>
      <w:sz w:val="28"/>
      <w:szCs w:val="28"/>
    </w:rPr>
  </w:style>
  <w:style w:type="paragraph" w:styleId="757">
    <w:name w:val="index 4"/>
    <w:basedOn w:val="738"/>
    <w:next w:val="738"/>
    <w:uiPriority w:val="0"/>
    <w:qFormat/>
    <w:pPr>
      <w:ind w:left="600"/>
    </w:pPr>
    <w:rPr>
      <w:rFonts w:ascii="Calibri" w:hAnsi="Calibri"/>
      <w:szCs w:val="22"/>
    </w:rPr>
  </w:style>
  <w:style w:type="paragraph" w:styleId="758">
    <w:name w:val="toc 5"/>
    <w:basedOn w:val="738"/>
    <w:next w:val="738"/>
    <w:uiPriority w:val="39"/>
    <w:unhideWhenUsed/>
    <w:qFormat/>
    <w:pPr>
      <w:ind w:left="1134"/>
      <w:spacing w:after="57"/>
    </w:pPr>
  </w:style>
  <w:style w:type="paragraph" w:styleId="759">
    <w:name w:val="toc 3"/>
    <w:basedOn w:val="738"/>
    <w:next w:val="738"/>
    <w:uiPriority w:val="39"/>
    <w:unhideWhenUsed/>
    <w:qFormat/>
    <w:pPr>
      <w:ind w:left="567"/>
      <w:spacing w:after="57"/>
    </w:pPr>
  </w:style>
  <w:style w:type="paragraph" w:styleId="760">
    <w:name w:val="Plain Text"/>
    <w:basedOn w:val="738"/>
    <w:next w:val="751"/>
    <w:uiPriority w:val="0"/>
    <w:qFormat/>
    <w:rPr>
      <w:rFonts w:ascii="宋体"/>
    </w:rPr>
  </w:style>
  <w:style w:type="paragraph" w:styleId="761">
    <w:name w:val="toc 8"/>
    <w:basedOn w:val="738"/>
    <w:next w:val="738"/>
    <w:uiPriority w:val="39"/>
    <w:unhideWhenUsed/>
    <w:qFormat/>
    <w:pPr>
      <w:ind w:left="1984"/>
      <w:spacing w:after="57"/>
    </w:pPr>
  </w:style>
  <w:style w:type="paragraph" w:styleId="762">
    <w:name w:val="endnote text"/>
    <w:basedOn w:val="738"/>
    <w:link w:val="979"/>
    <w:uiPriority w:val="99"/>
    <w:unhideWhenUsed/>
    <w:qFormat/>
    <w:rPr>
      <w:sz w:val="20"/>
    </w:rPr>
  </w:style>
  <w:style w:type="paragraph" w:styleId="763">
    <w:name w:val="Balloon Text"/>
    <w:basedOn w:val="738"/>
    <w:link w:val="1010"/>
    <w:uiPriority w:val="99"/>
    <w:unhideWhenUsed/>
    <w:qFormat/>
    <w:rPr>
      <w:sz w:val="18"/>
      <w:szCs w:val="18"/>
    </w:rPr>
  </w:style>
  <w:style w:type="paragraph" w:styleId="764">
    <w:name w:val="Footer"/>
    <w:basedOn w:val="738"/>
    <w:link w:val="852"/>
    <w:uiPriority w:val="99"/>
    <w:unhideWhenUsed/>
    <w:qFormat/>
    <w:pPr>
      <w:tabs>
        <w:tab w:val="center" w:pos="7143" w:leader="none"/>
        <w:tab w:val="right" w:pos="14287" w:leader="none"/>
      </w:tabs>
    </w:pPr>
  </w:style>
  <w:style w:type="paragraph" w:styleId="765">
    <w:name w:val="envelope return"/>
    <w:basedOn w:val="766"/>
    <w:uiPriority w:val="99"/>
    <w:unhideWhenUsed/>
    <w:qFormat/>
    <w:rPr>
      <w:rFonts w:ascii="Arial" w:hAnsi="Arial"/>
    </w:rPr>
  </w:style>
  <w:style w:type="paragraph" w:styleId="766" w:customStyle="1">
    <w:name w:val="Normal_19"/>
    <w:next w:val="7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7" w:customStyle="1">
    <w:name w:val="正文文本缩进1"/>
    <w:basedOn w:val="738"/>
    <w:next w:val="765"/>
    <w:uiPriority w:val="0"/>
    <w:unhideWhenUsed/>
    <w:qFormat/>
    <w:pPr>
      <w:ind w:firstLine="570"/>
    </w:pPr>
    <w:rPr>
      <w:rFonts w:ascii="宋体" w:eastAsia="宋体"/>
      <w:sz w:val="28"/>
    </w:rPr>
  </w:style>
  <w:style w:type="paragraph" w:styleId="768">
    <w:name w:val="Header"/>
    <w:basedOn w:val="738"/>
    <w:link w:val="981"/>
    <w:uiPriority w:val="0"/>
    <w:qFormat/>
    <w:pPr>
      <w:jc w:val="center"/>
      <w:tabs>
        <w:tab w:val="center" w:pos="4153" w:leader="none"/>
        <w:tab w:val="right" w:pos="8306" w:leader="none"/>
      </w:tabs>
    </w:pPr>
    <w:rPr>
      <w:sz w:val="18"/>
      <w:szCs w:val="18"/>
    </w:rPr>
  </w:style>
  <w:style w:type="paragraph" w:styleId="769">
    <w:name w:val="toc 1"/>
    <w:basedOn w:val="738"/>
    <w:next w:val="738"/>
    <w:uiPriority w:val="39"/>
    <w:unhideWhenUsed/>
    <w:qFormat/>
    <w:pPr>
      <w:spacing w:after="57"/>
    </w:pPr>
  </w:style>
  <w:style w:type="paragraph" w:styleId="770">
    <w:name w:val="toc 4"/>
    <w:basedOn w:val="738"/>
    <w:next w:val="738"/>
    <w:uiPriority w:val="39"/>
    <w:unhideWhenUsed/>
    <w:qFormat/>
    <w:pPr>
      <w:ind w:left="850"/>
      <w:spacing w:after="57"/>
    </w:pPr>
  </w:style>
  <w:style w:type="paragraph" w:styleId="771">
    <w:name w:val="Subtitle"/>
    <w:basedOn w:val="738"/>
    <w:next w:val="738"/>
    <w:link w:val="845"/>
    <w:uiPriority w:val="11"/>
    <w:qFormat/>
    <w:pPr>
      <w:spacing w:before="200" w:after="200"/>
    </w:pPr>
    <w:rPr>
      <w:sz w:val="24"/>
      <w:szCs w:val="24"/>
    </w:rPr>
  </w:style>
  <w:style w:type="paragraph" w:styleId="772">
    <w:name w:val="footnote text"/>
    <w:basedOn w:val="738"/>
    <w:link w:val="978"/>
    <w:uiPriority w:val="99"/>
    <w:unhideWhenUsed/>
    <w:qFormat/>
    <w:pPr>
      <w:spacing w:after="40"/>
    </w:pPr>
    <w:rPr>
      <w:sz w:val="18"/>
    </w:rPr>
  </w:style>
  <w:style w:type="paragraph" w:styleId="773">
    <w:name w:val="toc 6"/>
    <w:basedOn w:val="738"/>
    <w:next w:val="738"/>
    <w:uiPriority w:val="39"/>
    <w:unhideWhenUsed/>
    <w:qFormat/>
    <w:pPr>
      <w:ind w:left="1417"/>
      <w:spacing w:after="57"/>
    </w:pPr>
  </w:style>
  <w:style w:type="paragraph" w:styleId="774">
    <w:name w:val="table of figures"/>
    <w:basedOn w:val="738"/>
    <w:next w:val="738"/>
    <w:uiPriority w:val="99"/>
    <w:unhideWhenUsed/>
    <w:qFormat/>
  </w:style>
  <w:style w:type="paragraph" w:styleId="775">
    <w:name w:val="toc 2"/>
    <w:basedOn w:val="738"/>
    <w:next w:val="738"/>
    <w:uiPriority w:val="39"/>
    <w:unhideWhenUsed/>
    <w:qFormat/>
    <w:pPr>
      <w:ind w:left="283"/>
      <w:spacing w:after="57"/>
    </w:pPr>
  </w:style>
  <w:style w:type="paragraph" w:styleId="776">
    <w:name w:val="toc 9"/>
    <w:basedOn w:val="738"/>
    <w:next w:val="738"/>
    <w:uiPriority w:val="39"/>
    <w:unhideWhenUsed/>
    <w:qFormat/>
    <w:pPr>
      <w:ind w:left="2268"/>
      <w:spacing w:after="57"/>
    </w:pPr>
  </w:style>
  <w:style w:type="paragraph" w:styleId="777">
    <w:name w:val="Normal (Web)"/>
    <w:basedOn w:val="738"/>
    <w:uiPriority w:val="99"/>
    <w:qFormat/>
    <w:pPr>
      <w:jc w:val="left"/>
      <w:spacing w:before="100" w:beforeAutospacing="1" w:after="100" w:afterAutospacing="1"/>
      <w:widowControl/>
    </w:pPr>
    <w:rPr>
      <w:rFonts w:ascii="宋体" w:hAnsi="宋体"/>
      <w:color w:val="000000"/>
      <w:sz w:val="24"/>
      <w:szCs w:val="24"/>
    </w:rPr>
  </w:style>
  <w:style w:type="paragraph" w:styleId="778">
    <w:name w:val="Title"/>
    <w:basedOn w:val="738"/>
    <w:next w:val="738"/>
    <w:link w:val="844"/>
    <w:uiPriority w:val="10"/>
    <w:qFormat/>
    <w:pPr>
      <w:contextualSpacing/>
      <w:spacing w:before="300" w:after="200"/>
    </w:pPr>
    <w:rPr>
      <w:sz w:val="48"/>
      <w:szCs w:val="48"/>
    </w:rPr>
  </w:style>
  <w:style w:type="paragraph" w:styleId="779">
    <w:name w:val="Body Text First Indent"/>
    <w:basedOn w:val="754"/>
    <w:next w:val="780"/>
    <w:uiPriority w:val="0"/>
    <w:qFormat/>
    <w:pPr>
      <w:ind w:firstLine="420"/>
    </w:pPr>
  </w:style>
  <w:style w:type="paragraph" w:styleId="780">
    <w:name w:val="Body Text First Indent 2"/>
    <w:basedOn w:val="755"/>
    <w:next w:val="738"/>
    <w:uiPriority w:val="99"/>
    <w:unhideWhenUsed/>
    <w:qFormat/>
    <w:pPr>
      <w:ind w:firstLine="200"/>
    </w:pPr>
  </w:style>
  <w:style w:type="table" w:styleId="781">
    <w:name w:val="Table Grid"/>
    <w:basedOn w:val="74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unhideWhenUsed/>
    <w:qFormat/>
    <w:rPr>
      <w:vertAlign w:val="superscript"/>
    </w:rPr>
  </w:style>
  <w:style w:type="character" w:styleId="783">
    <w:name w:val="page number"/>
    <w:basedOn w:val="748"/>
    <w:uiPriority w:val="0"/>
    <w:qFormat/>
  </w:style>
  <w:style w:type="character" w:styleId="784">
    <w:name w:val="Emphasis"/>
    <w:uiPriority w:val="0"/>
    <w:qFormat/>
    <w:rPr>
      <w:rFonts w:ascii="Times New Roman" w:hAnsi="Times New Roman" w:eastAsia="宋体" w:cs="Times New Roman"/>
      <w:i/>
    </w:rPr>
  </w:style>
  <w:style w:type="character" w:styleId="785">
    <w:name w:val="Hyperlink"/>
    <w:uiPriority w:val="99"/>
    <w:unhideWhenUsed/>
    <w:qFormat/>
    <w:rPr>
      <w:color w:val="0563c1"/>
      <w:u w:val="single"/>
    </w:rPr>
  </w:style>
  <w:style w:type="character" w:styleId="786">
    <w:name w:val="annotation reference"/>
    <w:basedOn w:val="748"/>
    <w:uiPriority w:val="99"/>
    <w:unhideWhenUsed/>
    <w:qFormat/>
    <w:rPr>
      <w:rFonts w:ascii="Times New Roman" w:hAnsi="Times New Roman" w:eastAsia="楷体_GB2312" w:cs="Times New Roman"/>
      <w:sz w:val="21"/>
      <w:szCs w:val="21"/>
    </w:rPr>
  </w:style>
  <w:style w:type="character" w:styleId="787">
    <w:name w:val="footnote reference"/>
    <w:uiPriority w:val="99"/>
    <w:unhideWhenUsed/>
    <w:qFormat/>
    <w:rPr>
      <w:vertAlign w:val="superscript"/>
    </w:rPr>
  </w:style>
  <w:style w:type="paragraph" w:styleId="788">
    <w:name w:val="List Paragraph"/>
    <w:basedOn w:val="738"/>
    <w:uiPriority w:val="34"/>
    <w:qFormat/>
    <w:pPr>
      <w:contextualSpacing/>
      <w:ind w:left="720"/>
    </w:pPr>
  </w:style>
  <w:style w:type="paragraph" w:styleId="789">
    <w:name w:val="No Spacing"/>
    <w:uiPriority w:val="1"/>
    <w:qFormat/>
    <w:pPr>
      <w:spacing w:before="0" w:after="0" w:line="240" w:lineRule="auto"/>
    </w:pPr>
    <w:rPr>
      <w:rFonts w:hint="default" w:ascii="Times New Roman" w:hAnsi="Times New Roman" w:eastAsia="宋体" w:cs="Times New Roman"/>
    </w:rPr>
  </w:style>
  <w:style w:type="paragraph" w:styleId="790">
    <w:name w:val="Quote"/>
    <w:basedOn w:val="738"/>
    <w:next w:val="738"/>
    <w:uiPriority w:val="29"/>
    <w:qFormat/>
    <w:pPr>
      <w:ind w:left="720" w:right="720"/>
    </w:pPr>
    <w:rPr>
      <w:i/>
    </w:rPr>
  </w:style>
  <w:style w:type="paragraph" w:styleId="791">
    <w:name w:val="Intense Quote"/>
    <w:basedOn w:val="738"/>
    <w:next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2" w:customStyle="1">
    <w:name w:val="TOC Heading"/>
    <w:uiPriority w:val="39"/>
    <w:unhideWhenUsed/>
    <w:qFormat/>
    <w:rPr>
      <w:rFonts w:hint="default" w:ascii="Times New Roman" w:hAnsi="Times New Roman" w:eastAsia="宋体" w:cs="Times New Roman"/>
    </w:rPr>
  </w:style>
  <w:style w:type="paragraph" w:styleId="793" w:customStyle="1">
    <w:name w:val="正文首行缩进 21"/>
    <w:basedOn w:val="794"/>
    <w:next w:val="738"/>
    <w:uiPriority w:val="99"/>
    <w:unhideWhenUsed/>
    <w:qFormat/>
    <w:pPr>
      <w:ind w:firstLine="420"/>
    </w:pPr>
  </w:style>
  <w:style w:type="paragraph" w:styleId="794" w:customStyle="1">
    <w:name w:val="正文文本缩进11"/>
    <w:basedOn w:val="738"/>
    <w:next w:val="795"/>
    <w:uiPriority w:val="0"/>
    <w:unhideWhenUsed/>
    <w:qFormat/>
    <w:pPr>
      <w:ind w:left="420"/>
      <w:spacing w:after="120"/>
    </w:pPr>
  </w:style>
  <w:style w:type="paragraph" w:styleId="795" w:customStyle="1">
    <w:name w:val="寄信人地址1"/>
    <w:basedOn w:val="738"/>
    <w:uiPriority w:val="0"/>
    <w:qFormat/>
    <w:rPr>
      <w:rFonts w:ascii="Arial" w:hAnsi="Arial" w:eastAsia="宋体" w:cs="宋体"/>
    </w:rPr>
  </w:style>
  <w:style w:type="character" w:styleId="796" w:customStyle="1">
    <w:name w:val="Heading 1 Char"/>
    <w:basedOn w:val="748"/>
    <w:uiPriority w:val="9"/>
    <w:qFormat/>
    <w:rPr>
      <w:rFonts w:ascii="Arial" w:hAnsi="Arial" w:eastAsia="Arial" w:cs="Arial"/>
      <w:sz w:val="40"/>
      <w:szCs w:val="40"/>
    </w:rPr>
  </w:style>
  <w:style w:type="character" w:styleId="797" w:customStyle="1">
    <w:name w:val="Heading 2 Char"/>
    <w:basedOn w:val="748"/>
    <w:uiPriority w:val="9"/>
    <w:qFormat/>
    <w:rPr>
      <w:rFonts w:ascii="Arial" w:hAnsi="Arial" w:eastAsia="Arial" w:cs="Arial"/>
      <w:sz w:val="34"/>
    </w:rPr>
  </w:style>
  <w:style w:type="character" w:styleId="798" w:customStyle="1">
    <w:name w:val="Heading 3 Char"/>
    <w:basedOn w:val="748"/>
    <w:uiPriority w:val="9"/>
    <w:qFormat/>
    <w:rPr>
      <w:rFonts w:ascii="Arial" w:hAnsi="Arial" w:eastAsia="Arial" w:cs="Arial"/>
      <w:sz w:val="30"/>
      <w:szCs w:val="30"/>
    </w:rPr>
  </w:style>
  <w:style w:type="character" w:styleId="799" w:customStyle="1">
    <w:name w:val="Heading 4 Char"/>
    <w:basedOn w:val="748"/>
    <w:uiPriority w:val="9"/>
    <w:qFormat/>
    <w:rPr>
      <w:rFonts w:ascii="Arial" w:hAnsi="Arial" w:eastAsia="Arial" w:cs="Arial"/>
      <w:b/>
      <w:bCs/>
      <w:sz w:val="26"/>
      <w:szCs w:val="26"/>
    </w:rPr>
  </w:style>
  <w:style w:type="character" w:styleId="800" w:customStyle="1">
    <w:name w:val="Heading 5 Char"/>
    <w:basedOn w:val="748"/>
    <w:uiPriority w:val="9"/>
    <w:qFormat/>
    <w:rPr>
      <w:rFonts w:ascii="Arial" w:hAnsi="Arial" w:eastAsia="Arial" w:cs="Arial"/>
      <w:b/>
      <w:bCs/>
      <w:sz w:val="24"/>
      <w:szCs w:val="24"/>
    </w:rPr>
  </w:style>
  <w:style w:type="character" w:styleId="801" w:customStyle="1">
    <w:name w:val="Heading 6 Char"/>
    <w:basedOn w:val="748"/>
    <w:uiPriority w:val="9"/>
    <w:qFormat/>
    <w:rPr>
      <w:rFonts w:ascii="Arial" w:hAnsi="Arial" w:eastAsia="Arial" w:cs="Arial"/>
      <w:b/>
      <w:bCs/>
      <w:sz w:val="22"/>
      <w:szCs w:val="22"/>
    </w:rPr>
  </w:style>
  <w:style w:type="character" w:styleId="802" w:customStyle="1">
    <w:name w:val="Heading 7 Char"/>
    <w:basedOn w:val="748"/>
    <w:uiPriority w:val="9"/>
    <w:qFormat/>
    <w:rPr>
      <w:rFonts w:ascii="Arial" w:hAnsi="Arial" w:eastAsia="Arial" w:cs="Arial"/>
      <w:b/>
      <w:bCs/>
      <w:i/>
      <w:iCs/>
      <w:sz w:val="22"/>
      <w:szCs w:val="22"/>
    </w:rPr>
  </w:style>
  <w:style w:type="character" w:styleId="803" w:customStyle="1">
    <w:name w:val="Heading 8 Char"/>
    <w:basedOn w:val="748"/>
    <w:uiPriority w:val="9"/>
    <w:qFormat/>
    <w:rPr>
      <w:rFonts w:ascii="Arial" w:hAnsi="Arial" w:eastAsia="Arial" w:cs="Arial"/>
      <w:i/>
      <w:iCs/>
      <w:sz w:val="22"/>
      <w:szCs w:val="22"/>
    </w:rPr>
  </w:style>
  <w:style w:type="character" w:styleId="804" w:customStyle="1">
    <w:name w:val="Heading 9 Char"/>
    <w:basedOn w:val="748"/>
    <w:uiPriority w:val="9"/>
    <w:qFormat/>
    <w:rPr>
      <w:rFonts w:ascii="Arial" w:hAnsi="Arial" w:eastAsia="Arial" w:cs="Arial"/>
      <w:i/>
      <w:iCs/>
      <w:sz w:val="21"/>
      <w:szCs w:val="21"/>
    </w:rPr>
  </w:style>
  <w:style w:type="character" w:styleId="805" w:customStyle="1">
    <w:name w:val="Title Char"/>
    <w:basedOn w:val="748"/>
    <w:uiPriority w:val="10"/>
    <w:qFormat/>
    <w:rPr>
      <w:sz w:val="48"/>
      <w:szCs w:val="48"/>
    </w:rPr>
  </w:style>
  <w:style w:type="character" w:styleId="806" w:customStyle="1">
    <w:name w:val="Subtitle Char"/>
    <w:basedOn w:val="748"/>
    <w:uiPriority w:val="11"/>
    <w:qFormat/>
    <w:rPr>
      <w:sz w:val="24"/>
      <w:szCs w:val="24"/>
    </w:rPr>
  </w:style>
  <w:style w:type="character" w:styleId="807" w:customStyle="1">
    <w:name w:val="Quote Char"/>
    <w:uiPriority w:val="29"/>
    <w:qFormat/>
    <w:rPr>
      <w:i/>
    </w:rPr>
  </w:style>
  <w:style w:type="character" w:styleId="808" w:customStyle="1">
    <w:name w:val="Intense Quote Char"/>
    <w:uiPriority w:val="30"/>
    <w:qFormat/>
    <w:rPr>
      <w:i/>
    </w:rPr>
  </w:style>
  <w:style w:type="character" w:styleId="809" w:customStyle="1">
    <w:name w:val="Caption Char"/>
    <w:uiPriority w:val="99"/>
    <w:qFormat/>
  </w:style>
  <w:style w:type="table" w:styleId="810" w:customStyle="1">
    <w:name w:val="Plain Table 1"/>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basedOn w:val="7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basedOn w:val="7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2"/>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3"/>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basedOn w:val="7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5 Dark"/>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6 Colorful"/>
    <w:basedOn w:val="7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7 Colorful"/>
    <w:basedOn w:val="7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1 Light"/>
    <w:basedOn w:val="74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2"/>
    <w:basedOn w:val="7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3"/>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5 Dark"/>
    <w:basedOn w:val="7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w:basedOn w:val="74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7 Colorful"/>
    <w:basedOn w:val="74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9" w:customStyle="1">
    <w:name w:val="Footnote Text Char"/>
    <w:uiPriority w:val="99"/>
    <w:qFormat/>
    <w:rPr>
      <w:sz w:val="18"/>
    </w:rPr>
  </w:style>
  <w:style w:type="character" w:styleId="830" w:customStyle="1">
    <w:name w:val="Endnote Text Char"/>
    <w:uiPriority w:val="99"/>
    <w:qFormat/>
    <w:rPr>
      <w:sz w:val="20"/>
    </w:rPr>
  </w:style>
  <w:style w:type="paragraph" w:styleId="831" w:customStyle="1">
    <w:name w:val="TOC 标题1"/>
    <w:uiPriority w:val="39"/>
    <w:unhideWhenUsed/>
    <w:qFormat/>
    <w:rPr>
      <w:rFonts w:hint="default" w:ascii="Times New Roman" w:hAnsi="Times New Roman" w:eastAsia="宋体" w:cs="Times New Roman"/>
      <w:lang w:val="en-US" w:eastAsia="zh-CN" w:bidi="ar-SA"/>
    </w:rPr>
  </w:style>
  <w:style w:type="paragraph" w:styleId="832" w:customStyle="1">
    <w:name w:val="标题 31"/>
    <w:basedOn w:val="738"/>
    <w:next w:val="738"/>
    <w:uiPriority w:val="0"/>
    <w:qFormat/>
    <w:pPr>
      <w:keepLines/>
      <w:keepNext/>
      <w:spacing w:before="260" w:after="260" w:line="416" w:lineRule="auto"/>
      <w:outlineLvl w:val="2"/>
    </w:pPr>
    <w:rPr>
      <w:b/>
      <w:bCs/>
      <w:sz w:val="32"/>
      <w:szCs w:val="32"/>
    </w:rPr>
  </w:style>
  <w:style w:type="character" w:styleId="833" w:customStyle="1">
    <w:name w:val="标题 1 Char"/>
    <w:link w:val="739"/>
    <w:uiPriority w:val="0"/>
    <w:qFormat/>
    <w:rPr>
      <w:rFonts w:ascii="Arial" w:hAnsi="Arial" w:eastAsia="Arial" w:cs="Arial"/>
      <w:sz w:val="40"/>
      <w:szCs w:val="40"/>
    </w:rPr>
  </w:style>
  <w:style w:type="character" w:styleId="834" w:customStyle="1">
    <w:name w:val="标题 2 Char"/>
    <w:link w:val="740"/>
    <w:uiPriority w:val="9"/>
    <w:qFormat/>
    <w:rPr>
      <w:rFonts w:ascii="Arial" w:hAnsi="Arial" w:eastAsia="Arial" w:cs="Arial"/>
      <w:sz w:val="34"/>
    </w:rPr>
  </w:style>
  <w:style w:type="character" w:styleId="835" w:customStyle="1">
    <w:name w:val="标题 3 Char"/>
    <w:link w:val="741"/>
    <w:uiPriority w:val="9"/>
    <w:qFormat/>
    <w:rPr>
      <w:rFonts w:ascii="Arial" w:hAnsi="Arial" w:eastAsia="Arial" w:cs="Arial"/>
      <w:sz w:val="30"/>
      <w:szCs w:val="30"/>
    </w:rPr>
  </w:style>
  <w:style w:type="character" w:styleId="836" w:customStyle="1">
    <w:name w:val="标题 4 Char"/>
    <w:link w:val="742"/>
    <w:uiPriority w:val="9"/>
    <w:qFormat/>
    <w:rPr>
      <w:rFonts w:ascii="Arial" w:hAnsi="Arial" w:eastAsia="Arial" w:cs="Arial"/>
      <w:b/>
      <w:bCs/>
      <w:sz w:val="26"/>
      <w:szCs w:val="26"/>
    </w:rPr>
  </w:style>
  <w:style w:type="character" w:styleId="837" w:customStyle="1">
    <w:name w:val="标题 5 Char"/>
    <w:link w:val="743"/>
    <w:uiPriority w:val="9"/>
    <w:qFormat/>
    <w:rPr>
      <w:rFonts w:ascii="Arial" w:hAnsi="Arial" w:eastAsia="Arial" w:cs="Arial"/>
      <w:b/>
      <w:bCs/>
      <w:sz w:val="24"/>
      <w:szCs w:val="24"/>
    </w:rPr>
  </w:style>
  <w:style w:type="character" w:styleId="838" w:customStyle="1">
    <w:name w:val="标题 6 Char"/>
    <w:link w:val="744"/>
    <w:uiPriority w:val="9"/>
    <w:qFormat/>
    <w:rPr>
      <w:rFonts w:ascii="Arial" w:hAnsi="Arial" w:eastAsia="Arial" w:cs="Arial"/>
      <w:b/>
      <w:bCs/>
      <w:sz w:val="22"/>
      <w:szCs w:val="22"/>
    </w:rPr>
  </w:style>
  <w:style w:type="character" w:styleId="839" w:customStyle="1">
    <w:name w:val="标题 7 Char"/>
    <w:link w:val="745"/>
    <w:uiPriority w:val="9"/>
    <w:qFormat/>
    <w:rPr>
      <w:rFonts w:ascii="Arial" w:hAnsi="Arial" w:eastAsia="Arial" w:cs="Arial"/>
      <w:b/>
      <w:bCs/>
      <w:i/>
      <w:iCs/>
      <w:sz w:val="22"/>
      <w:szCs w:val="22"/>
    </w:rPr>
  </w:style>
  <w:style w:type="character" w:styleId="840" w:customStyle="1">
    <w:name w:val="标题 8 Char"/>
    <w:link w:val="746"/>
    <w:uiPriority w:val="9"/>
    <w:qFormat/>
    <w:rPr>
      <w:rFonts w:ascii="Arial" w:hAnsi="Arial" w:eastAsia="Arial" w:cs="Arial"/>
      <w:i/>
      <w:iCs/>
      <w:sz w:val="22"/>
      <w:szCs w:val="22"/>
    </w:rPr>
  </w:style>
  <w:style w:type="character" w:styleId="841" w:customStyle="1">
    <w:name w:val="标题 9 Char"/>
    <w:link w:val="747"/>
    <w:uiPriority w:val="9"/>
    <w:qFormat/>
    <w:rPr>
      <w:rFonts w:ascii="Arial" w:hAnsi="Arial" w:eastAsia="Arial" w:cs="Arial"/>
      <w:i/>
      <w:iCs/>
      <w:sz w:val="21"/>
      <w:szCs w:val="21"/>
    </w:rPr>
  </w:style>
  <w:style w:type="paragraph" w:styleId="842" w:customStyle="1">
    <w:name w:val="列出段落1"/>
    <w:basedOn w:val="738"/>
    <w:uiPriority w:val="0"/>
    <w:qFormat/>
    <w:pPr>
      <w:ind w:firstLine="420"/>
    </w:pPr>
  </w:style>
  <w:style w:type="paragraph" w:styleId="843" w:customStyle="1">
    <w:name w:val="无间隔1"/>
    <w:uiPriority w:val="1"/>
    <w:qFormat/>
    <w:rPr>
      <w:rFonts w:hint="default" w:ascii="Times New Roman" w:hAnsi="Times New Roman" w:eastAsia="宋体" w:cs="Times New Roman"/>
      <w:lang w:val="en-US" w:eastAsia="zh-CN" w:bidi="ar-SA"/>
    </w:rPr>
  </w:style>
  <w:style w:type="character" w:styleId="844" w:customStyle="1">
    <w:name w:val="标题 Char"/>
    <w:link w:val="778"/>
    <w:uiPriority w:val="10"/>
    <w:qFormat/>
    <w:rPr>
      <w:sz w:val="48"/>
      <w:szCs w:val="48"/>
    </w:rPr>
  </w:style>
  <w:style w:type="character" w:styleId="845" w:customStyle="1">
    <w:name w:val="副标题 Char"/>
    <w:link w:val="771"/>
    <w:uiPriority w:val="11"/>
    <w:qFormat/>
    <w:rPr>
      <w:sz w:val="24"/>
      <w:szCs w:val="24"/>
    </w:rPr>
  </w:style>
  <w:style w:type="paragraph" w:styleId="846" w:customStyle="1">
    <w:name w:val="引用1"/>
    <w:basedOn w:val="738"/>
    <w:next w:val="738"/>
    <w:link w:val="847"/>
    <w:uiPriority w:val="29"/>
    <w:qFormat/>
    <w:pPr>
      <w:ind w:left="720" w:right="720"/>
    </w:pPr>
    <w:rPr>
      <w:i/>
    </w:rPr>
  </w:style>
  <w:style w:type="character" w:styleId="847" w:customStyle="1">
    <w:name w:val="引用 字符"/>
    <w:link w:val="846"/>
    <w:uiPriority w:val="29"/>
    <w:qFormat/>
    <w:rPr>
      <w:i/>
    </w:rPr>
  </w:style>
  <w:style w:type="paragraph" w:styleId="848" w:customStyle="1">
    <w:name w:val="明显引用1"/>
    <w:basedOn w:val="738"/>
    <w:next w:val="738"/>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字符"/>
    <w:link w:val="848"/>
    <w:uiPriority w:val="30"/>
    <w:qFormat/>
    <w:rPr>
      <w:i/>
    </w:rPr>
  </w:style>
  <w:style w:type="character" w:styleId="850" w:customStyle="1">
    <w:name w:val="Header Char"/>
    <w:uiPriority w:val="99"/>
    <w:qFormat/>
  </w:style>
  <w:style w:type="character" w:styleId="851" w:customStyle="1">
    <w:name w:val="Footer Char"/>
    <w:uiPriority w:val="99"/>
    <w:qFormat/>
  </w:style>
  <w:style w:type="character" w:styleId="852" w:customStyle="1">
    <w:name w:val="页脚 Char"/>
    <w:link w:val="764"/>
    <w:uiPriority w:val="99"/>
    <w:qFormat/>
  </w:style>
  <w:style w:type="table" w:styleId="85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6" w:customStyle="1">
    <w:name w:val="无格式表格 31"/>
    <w:uiPriority w:val="99"/>
    <w:qFormat/>
    <w:tblPr>
      <w:tblCellMar>
        <w:left w:w="0" w:type="dxa"/>
        <w:top w:w="0" w:type="dxa"/>
        <w:right w:w="0" w:type="dxa"/>
        <w:bottom w:w="0" w:type="dxa"/>
      </w:tblCellMar>
    </w:tblPr>
  </w:style>
  <w:style w:type="table" w:styleId="857" w:customStyle="1">
    <w:name w:val="无格式表格 41"/>
    <w:uiPriority w:val="99"/>
    <w:qFormat/>
    <w:tblPr>
      <w:tblCellMar>
        <w:left w:w="0" w:type="dxa"/>
        <w:top w:w="0" w:type="dxa"/>
        <w:right w:w="0" w:type="dxa"/>
        <w:bottom w:w="0" w:type="dxa"/>
      </w:tblCellMar>
    </w:tblPr>
  </w:style>
  <w:style w:type="table" w:styleId="858" w:customStyle="1">
    <w:name w:val="无格式表格 51"/>
    <w:uiPriority w:val="99"/>
    <w:qFormat/>
    <w:tblPr>
      <w:tblCellMar>
        <w:left w:w="0" w:type="dxa"/>
        <w:top w:w="0" w:type="dxa"/>
        <w:right w:w="0" w:type="dxa"/>
        <w:bottom w:w="0" w:type="dxa"/>
      </w:tblCellMar>
    </w:tblPr>
  </w:style>
  <w:style w:type="table" w:styleId="85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8" w:customStyle="1">
    <w:name w:val="清单表 1 浅色1"/>
    <w:uiPriority w:val="99"/>
    <w:qFormat/>
    <w:tblPr>
      <w:tblCellMar>
        <w:left w:w="0" w:type="dxa"/>
        <w:top w:w="0" w:type="dxa"/>
        <w:right w:w="0" w:type="dxa"/>
        <w:bottom w:w="0" w:type="dxa"/>
      </w:tblCellMar>
    </w:tblPr>
  </w:style>
  <w:style w:type="table" w:styleId="909" w:customStyle="1">
    <w:name w:val="List Table 1 Light - Accent 1"/>
    <w:uiPriority w:val="99"/>
    <w:qFormat/>
    <w:tblPr>
      <w:tblCellMar>
        <w:left w:w="0" w:type="dxa"/>
        <w:top w:w="0" w:type="dxa"/>
        <w:right w:w="0" w:type="dxa"/>
        <w:bottom w:w="0" w:type="dxa"/>
      </w:tblCellMar>
    </w:tblPr>
  </w:style>
  <w:style w:type="table" w:styleId="910" w:customStyle="1">
    <w:name w:val="List Table 1 Light - Accent 2"/>
    <w:uiPriority w:val="99"/>
    <w:qFormat/>
    <w:tblPr>
      <w:tblCellMar>
        <w:left w:w="0" w:type="dxa"/>
        <w:top w:w="0" w:type="dxa"/>
        <w:right w:w="0" w:type="dxa"/>
        <w:bottom w:w="0" w:type="dxa"/>
      </w:tblCellMar>
    </w:tblPr>
  </w:style>
  <w:style w:type="table" w:styleId="911" w:customStyle="1">
    <w:name w:val="List Table 1 Light - Accent 3"/>
    <w:uiPriority w:val="99"/>
    <w:qFormat/>
    <w:tblPr>
      <w:tblCellMar>
        <w:left w:w="0" w:type="dxa"/>
        <w:top w:w="0" w:type="dxa"/>
        <w:right w:w="0" w:type="dxa"/>
        <w:bottom w:w="0" w:type="dxa"/>
      </w:tblCellMar>
    </w:tblPr>
  </w:style>
  <w:style w:type="table" w:styleId="912" w:customStyle="1">
    <w:name w:val="List Table 1 Light - Accent 4"/>
    <w:uiPriority w:val="99"/>
    <w:qFormat/>
    <w:tblPr>
      <w:tblCellMar>
        <w:left w:w="0" w:type="dxa"/>
        <w:top w:w="0" w:type="dxa"/>
        <w:right w:w="0" w:type="dxa"/>
        <w:bottom w:w="0" w:type="dxa"/>
      </w:tblCellMar>
    </w:tblPr>
  </w:style>
  <w:style w:type="table" w:styleId="913" w:customStyle="1">
    <w:name w:val="List Table 1 Light - Accent 5"/>
    <w:uiPriority w:val="99"/>
    <w:qFormat/>
    <w:tblPr>
      <w:tblCellMar>
        <w:left w:w="0" w:type="dxa"/>
        <w:top w:w="0" w:type="dxa"/>
        <w:right w:w="0" w:type="dxa"/>
        <w:bottom w:w="0" w:type="dxa"/>
      </w:tblCellMar>
    </w:tblPr>
  </w:style>
  <w:style w:type="table" w:styleId="914" w:customStyle="1">
    <w:name w:val="List Table 1 Light - Accent 6"/>
    <w:uiPriority w:val="99"/>
    <w:qFormat/>
    <w:tblPr>
      <w:tblCellMar>
        <w:left w:w="0" w:type="dxa"/>
        <w:top w:w="0" w:type="dxa"/>
        <w:right w:w="0" w:type="dxa"/>
        <w:bottom w:w="0" w:type="dxa"/>
      </w:tblCellMar>
    </w:tblPr>
  </w:style>
  <w:style w:type="table" w:styleId="91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7" w:customStyle="1">
    <w:name w:val="Lined - Accent"/>
    <w:uiPriority w:val="99"/>
    <w:qFormat/>
    <w:rPr>
      <w:color w:val="404040"/>
    </w:rPr>
    <w:tblPr>
      <w:tblCellMar>
        <w:left w:w="0" w:type="dxa"/>
        <w:top w:w="0" w:type="dxa"/>
        <w:right w:w="0" w:type="dxa"/>
        <w:bottom w:w="0" w:type="dxa"/>
      </w:tblCellMar>
    </w:tblPr>
  </w:style>
  <w:style w:type="table" w:styleId="958" w:customStyle="1">
    <w:name w:val="Lined - Accent 1"/>
    <w:uiPriority w:val="99"/>
    <w:qFormat/>
    <w:rPr>
      <w:color w:val="404040"/>
    </w:rPr>
    <w:tblPr>
      <w:tblCellMar>
        <w:left w:w="0" w:type="dxa"/>
        <w:top w:w="0" w:type="dxa"/>
        <w:right w:w="0" w:type="dxa"/>
        <w:bottom w:w="0" w:type="dxa"/>
      </w:tblCellMar>
    </w:tblPr>
  </w:style>
  <w:style w:type="table" w:styleId="959" w:customStyle="1">
    <w:name w:val="Lined - Accent 2"/>
    <w:uiPriority w:val="99"/>
    <w:qFormat/>
    <w:rPr>
      <w:color w:val="404040"/>
    </w:rPr>
    <w:tblPr>
      <w:tblCellMar>
        <w:left w:w="0" w:type="dxa"/>
        <w:top w:w="0" w:type="dxa"/>
        <w:right w:w="0" w:type="dxa"/>
        <w:bottom w:w="0" w:type="dxa"/>
      </w:tblCellMar>
    </w:tblPr>
  </w:style>
  <w:style w:type="table" w:styleId="960" w:customStyle="1">
    <w:name w:val="Lined - Accent 3"/>
    <w:uiPriority w:val="99"/>
    <w:qFormat/>
    <w:rPr>
      <w:color w:val="404040"/>
    </w:rPr>
    <w:tblPr>
      <w:tblCellMar>
        <w:left w:w="0" w:type="dxa"/>
        <w:top w:w="0" w:type="dxa"/>
        <w:right w:w="0" w:type="dxa"/>
        <w:bottom w:w="0" w:type="dxa"/>
      </w:tblCellMar>
    </w:tblPr>
  </w:style>
  <w:style w:type="table" w:styleId="961" w:customStyle="1">
    <w:name w:val="Lined - Accent 4"/>
    <w:uiPriority w:val="99"/>
    <w:qFormat/>
    <w:rPr>
      <w:color w:val="404040"/>
    </w:rPr>
    <w:tblPr>
      <w:tblCellMar>
        <w:left w:w="0" w:type="dxa"/>
        <w:top w:w="0" w:type="dxa"/>
        <w:right w:w="0" w:type="dxa"/>
        <w:bottom w:w="0" w:type="dxa"/>
      </w:tblCellMar>
    </w:tblPr>
  </w:style>
  <w:style w:type="table" w:styleId="962" w:customStyle="1">
    <w:name w:val="Lined - Accent 5"/>
    <w:uiPriority w:val="99"/>
    <w:qFormat/>
    <w:rPr>
      <w:color w:val="404040"/>
    </w:rPr>
    <w:tblPr>
      <w:tblCellMar>
        <w:left w:w="0" w:type="dxa"/>
        <w:top w:w="0" w:type="dxa"/>
        <w:right w:w="0" w:type="dxa"/>
        <w:bottom w:w="0" w:type="dxa"/>
      </w:tblCellMar>
    </w:tblPr>
  </w:style>
  <w:style w:type="table" w:styleId="963" w:customStyle="1">
    <w:name w:val="Lined - Accent 6"/>
    <w:uiPriority w:val="99"/>
    <w:qFormat/>
    <w:rPr>
      <w:color w:val="404040"/>
    </w:rPr>
    <w:tblPr>
      <w:tblCellMar>
        <w:left w:w="0" w:type="dxa"/>
        <w:top w:w="0" w:type="dxa"/>
        <w:right w:w="0" w:type="dxa"/>
        <w:bottom w:w="0" w:type="dxa"/>
      </w:tblCellMar>
    </w:tblPr>
  </w:style>
  <w:style w:type="table" w:styleId="96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8" w:customStyle="1">
    <w:name w:val="脚注文本 Char"/>
    <w:link w:val="772"/>
    <w:uiPriority w:val="99"/>
    <w:qFormat/>
    <w:rPr>
      <w:sz w:val="18"/>
    </w:rPr>
  </w:style>
  <w:style w:type="character" w:styleId="979" w:customStyle="1">
    <w:name w:val="尾注文本 Char"/>
    <w:link w:val="762"/>
    <w:uiPriority w:val="99"/>
    <w:qFormat/>
    <w:rPr>
      <w:sz w:val="20"/>
    </w:rPr>
  </w:style>
  <w:style w:type="paragraph" w:styleId="980" w:customStyle="1">
    <w:name w:val="TOC 标题11"/>
    <w:uiPriority w:val="39"/>
    <w:unhideWhenUsed/>
    <w:qFormat/>
    <w:rPr>
      <w:rFonts w:hint="default" w:ascii="Times New Roman" w:hAnsi="Times New Roman" w:eastAsia="宋体" w:cs="Times New Roman"/>
      <w:lang w:val="en-US" w:eastAsia="zh-CN" w:bidi="ar-SA"/>
    </w:rPr>
  </w:style>
  <w:style w:type="character" w:styleId="981" w:customStyle="1">
    <w:name w:val="页眉 Char"/>
    <w:link w:val="768"/>
    <w:uiPriority w:val="0"/>
    <w:qFormat/>
    <w:rPr>
      <w:rFonts w:ascii="Times New Roman" w:hAnsi="Times New Roman" w:eastAsia="楷体_GB2312"/>
      <w:sz w:val="18"/>
      <w:szCs w:val="18"/>
    </w:rPr>
  </w:style>
  <w:style w:type="paragraph" w:styleId="982" w:customStyle="1">
    <w:name w:val="索引 41"/>
    <w:basedOn w:val="738"/>
    <w:next w:val="738"/>
    <w:uiPriority w:val="0"/>
    <w:qFormat/>
    <w:pPr>
      <w:ind w:left="600"/>
    </w:pPr>
    <w:rPr>
      <w:szCs w:val="21"/>
    </w:rPr>
  </w:style>
  <w:style w:type="paragraph" w:styleId="983" w:customStyle="1">
    <w:name w:val="目录 11"/>
    <w:basedOn w:val="738"/>
    <w:next w:val="738"/>
    <w:uiPriority w:val="0"/>
    <w:unhideWhenUsed/>
    <w:qFormat/>
    <w:pPr>
      <w:jc w:val="left"/>
    </w:pPr>
    <w:rPr>
      <w:sz w:val="24"/>
    </w:rPr>
  </w:style>
  <w:style w:type="paragraph" w:styleId="984" w:customStyle="1">
    <w:name w:val="标题 21"/>
    <w:basedOn w:val="738"/>
    <w:next w:val="738"/>
    <w:uiPriority w:val="0"/>
    <w:qFormat/>
    <w:pPr>
      <w:keepLines/>
      <w:keepNext/>
      <w:spacing w:before="260" w:after="260" w:line="416" w:lineRule="auto"/>
      <w:outlineLvl w:val="1"/>
    </w:pPr>
    <w:rPr>
      <w:rFonts w:ascii="Cambria" w:hAnsi="Cambria" w:eastAsia="宋体"/>
      <w:b/>
      <w:bCs/>
      <w:sz w:val="32"/>
      <w:szCs w:val="32"/>
    </w:rPr>
  </w:style>
  <w:style w:type="paragraph" w:styleId="985" w:customStyle="1">
    <w:name w:val="Default"/>
    <w:next w:val="738"/>
    <w:uiPriority w:val="0"/>
    <w:qFormat/>
    <w:pPr>
      <w:widowControl w:val="off"/>
    </w:pPr>
    <w:rPr>
      <w:rFonts w:hint="default" w:ascii="仿宋" w:hAnsi="Times New Roman" w:eastAsia="仿宋" w:cs="仿宋"/>
      <w:color w:val="000000"/>
      <w:sz w:val="24"/>
      <w:szCs w:val="24"/>
      <w:lang w:val="en-US" w:eastAsia="zh-CN" w:bidi="ar-SA"/>
    </w:rPr>
  </w:style>
  <w:style w:type="paragraph" w:styleId="986" w:customStyle="1">
    <w:name w:val="纯文本1111"/>
    <w:basedOn w:val="738"/>
    <w:next w:val="987"/>
    <w:uiPriority w:val="0"/>
    <w:unhideWhenUsed/>
    <w:qFormat/>
    <w:rPr>
      <w:rFonts w:ascii="宋体" w:hAnsi="Courier New"/>
    </w:rPr>
  </w:style>
  <w:style w:type="paragraph" w:styleId="987" w:customStyle="1">
    <w:name w:val="正文缩进1"/>
    <w:basedOn w:val="738"/>
    <w:uiPriority w:val="0"/>
    <w:unhideWhenUsed/>
    <w:qFormat/>
    <w:pPr>
      <w:ind w:firstLine="420"/>
      <w:jc w:val="left"/>
    </w:pPr>
    <w:rPr>
      <w:sz w:val="24"/>
    </w:rPr>
  </w:style>
  <w:style w:type="paragraph" w:styleId="988" w:customStyle="1">
    <w:name w:val="首行缩进"/>
    <w:basedOn w:val="738"/>
    <w:uiPriority w:val="0"/>
    <w:qFormat/>
    <w:pPr>
      <w:ind w:firstLine="480"/>
      <w:spacing w:line="360" w:lineRule="auto"/>
    </w:pPr>
    <w:rPr>
      <w:rFonts w:hAnsi="宋体" w:eastAsia="宋体" w:cs="宋体"/>
      <w:sz w:val="24"/>
      <w:szCs w:val="24"/>
    </w:rPr>
  </w:style>
  <w:style w:type="paragraph" w:styleId="989" w:customStyle="1">
    <w:name w:val="Char"/>
    <w:basedOn w:val="738"/>
    <w:uiPriority w:val="0"/>
    <w:qFormat/>
  </w:style>
  <w:style w:type="paragraph" w:styleId="990" w:customStyle="1">
    <w:name w:val="标题 11"/>
    <w:basedOn w:val="738"/>
    <w:next w:val="738"/>
    <w:uiPriority w:val="0"/>
    <w:qFormat/>
    <w:pPr>
      <w:keepLines/>
      <w:keepNext/>
      <w:spacing w:before="340" w:after="330" w:line="578" w:lineRule="auto"/>
      <w:outlineLvl w:val="0"/>
    </w:pPr>
    <w:rPr>
      <w:b/>
      <w:sz w:val="44"/>
    </w:rPr>
  </w:style>
  <w:style w:type="paragraph" w:styleId="991" w:customStyle="1">
    <w:name w:val="纯文本1"/>
    <w:basedOn w:val="738"/>
    <w:uiPriority w:val="0"/>
    <w:qFormat/>
    <w:rPr>
      <w:rFonts w:ascii="宋体" w:hAnsi="Courier New"/>
    </w:rPr>
  </w:style>
  <w:style w:type="paragraph" w:styleId="992" w:customStyle="1">
    <w:name w:val="正文2"/>
    <w:basedOn w:val="738"/>
    <w:uiPriority w:val="0"/>
    <w:qFormat/>
    <w:pPr>
      <w:ind w:firstLine="510"/>
      <w:spacing w:before="156" w:line="360" w:lineRule="auto"/>
    </w:pPr>
    <w:rPr>
      <w:sz w:val="24"/>
    </w:rPr>
  </w:style>
  <w:style w:type="character" w:styleId="993" w:customStyle="1">
    <w:name w:val="要点1"/>
    <w:uiPriority w:val="0"/>
    <w:qFormat/>
    <w:rPr>
      <w:b/>
      <w:bCs/>
    </w:rPr>
  </w:style>
  <w:style w:type="paragraph" w:styleId="994" w:customStyle="1">
    <w:name w:val="普通(网站)1"/>
    <w:basedOn w:val="738"/>
    <w:uiPriority w:val="0"/>
    <w:unhideWhenUsed/>
    <w:qFormat/>
    <w:pPr>
      <w:jc w:val="left"/>
      <w:spacing w:before="100" w:beforeAutospacing="1" w:after="100" w:afterAutospacing="1"/>
      <w:widowControl/>
    </w:pPr>
    <w:rPr>
      <w:rFonts w:ascii="宋体" w:hAnsi="宋体" w:cs="宋体"/>
      <w:sz w:val="24"/>
    </w:rPr>
  </w:style>
  <w:style w:type="paragraph" w:styleId="995" w:customStyle="1">
    <w:name w:val="正文文本缩进 21"/>
    <w:basedOn w:val="738"/>
    <w:uiPriority w:val="0"/>
    <w:unhideWhenUsed/>
    <w:qFormat/>
    <w:pPr>
      <w:ind w:left="420"/>
      <w:spacing w:after="120" w:line="480" w:lineRule="auto"/>
    </w:pPr>
  </w:style>
  <w:style w:type="paragraph" w:styleId="996" w:customStyle="1">
    <w:name w:val="纯文本11"/>
    <w:basedOn w:val="738"/>
    <w:uiPriority w:val="99"/>
    <w:qFormat/>
    <w:rPr>
      <w:rFonts w:ascii="宋体" w:hAnsi="Courier New"/>
    </w:rPr>
  </w:style>
  <w:style w:type="paragraph" w:styleId="997" w:customStyle="1">
    <w:name w:val="索引 11"/>
    <w:basedOn w:val="738"/>
    <w:next w:val="738"/>
    <w:uiPriority w:val="0"/>
    <w:unhideWhenUsed/>
    <w:qFormat/>
    <w:pPr>
      <w:jc w:val="center"/>
      <w:spacing w:line="220" w:lineRule="exact"/>
    </w:pPr>
    <w:rPr>
      <w:rFonts w:ascii="仿宋_GB2312" w:eastAsia="仿宋_GB2312"/>
      <w:szCs w:val="21"/>
    </w:rPr>
  </w:style>
  <w:style w:type="paragraph" w:styleId="998" w:customStyle="1">
    <w:name w:val="正文文本1"/>
    <w:basedOn w:val="738"/>
    <w:uiPriority w:val="0"/>
    <w:unhideWhenUsed/>
    <w:qFormat/>
    <w:rPr>
      <w:rFonts w:ascii="楷体_GB2312"/>
      <w:b/>
      <w:bCs/>
      <w:sz w:val="28"/>
    </w:rPr>
  </w:style>
  <w:style w:type="paragraph" w:styleId="999" w:customStyle="1">
    <w:name w:val="页眉1"/>
    <w:basedOn w:val="738"/>
    <w:uiPriority w:val="0"/>
    <w:unhideWhenUsed/>
    <w:qFormat/>
    <w:pPr>
      <w:jc w:val="center"/>
      <w:tabs>
        <w:tab w:val="center" w:pos="4153" w:leader="none"/>
        <w:tab w:val="right" w:pos="8306" w:leader="none"/>
      </w:tabs>
      <w:pBdr>
        <w:bottom w:val="single" w:color="000000" w:sz="6" w:space="1"/>
      </w:pBdr>
    </w:pPr>
    <w:rPr>
      <w:sz w:val="18"/>
    </w:rPr>
  </w:style>
  <w:style w:type="paragraph" w:styleId="1000" w:customStyle="1">
    <w:name w:val="页脚1"/>
    <w:basedOn w:val="738"/>
    <w:uiPriority w:val="0"/>
    <w:unhideWhenUsed/>
    <w:qFormat/>
    <w:pPr>
      <w:jc w:val="left"/>
      <w:tabs>
        <w:tab w:val="center" w:pos="4153" w:leader="none"/>
        <w:tab w:val="right" w:pos="8306" w:leader="none"/>
      </w:tabs>
    </w:pPr>
    <w:rPr>
      <w:sz w:val="18"/>
    </w:rPr>
  </w:style>
  <w:style w:type="character" w:styleId="1001" w:customStyle="1">
    <w:name w:val="font81"/>
    <w:uiPriority w:val="0"/>
    <w:qFormat/>
    <w:rPr>
      <w:rFonts w:ascii="Times New Roman" w:hAnsi="Times New Roman" w:cs="Times New Roman"/>
      <w:color w:val="000000"/>
      <w:sz w:val="22"/>
      <w:szCs w:val="22"/>
      <w:u w:val="none"/>
    </w:rPr>
  </w:style>
  <w:style w:type="character" w:styleId="1002" w:customStyle="1">
    <w:name w:val="font11"/>
    <w:uiPriority w:val="0"/>
    <w:qFormat/>
    <w:rPr>
      <w:rFonts w:hint="eastAsia" w:ascii="仿宋" w:hAnsi="仿宋" w:eastAsia="仿宋" w:cs="仿宋"/>
      <w:color w:val="000000"/>
      <w:sz w:val="22"/>
      <w:szCs w:val="22"/>
      <w:u w:val="none"/>
    </w:rPr>
  </w:style>
  <w:style w:type="character" w:styleId="1003" w:customStyle="1">
    <w:name w:val="font101"/>
    <w:uiPriority w:val="0"/>
    <w:qFormat/>
    <w:rPr>
      <w:rFonts w:ascii="Arial" w:hAnsi="Arial" w:cs="Arial"/>
      <w:color w:val="000000"/>
      <w:sz w:val="22"/>
      <w:szCs w:val="22"/>
      <w:u w:val="none"/>
    </w:rPr>
  </w:style>
  <w:style w:type="paragraph" w:styleId="1004" w:customStyle="1">
    <w:name w:val="List Paragraph_f0420307-4c65-4cf4-ac34-e8950b7bacb1"/>
    <w:basedOn w:val="738"/>
    <w:uiPriority w:val="0"/>
    <w:qFormat/>
    <w:pPr>
      <w:ind w:firstLine="420"/>
    </w:pPr>
    <w:rPr>
      <w:rFonts w:eastAsia="宋体"/>
      <w:sz w:val="21"/>
      <w:szCs w:val="21"/>
    </w:rPr>
  </w:style>
  <w:style w:type="character" w:styleId="1005" w:customStyle="1">
    <w:name w:val="font51"/>
    <w:basedOn w:val="748"/>
    <w:uiPriority w:val="0"/>
    <w:qFormat/>
    <w:rPr>
      <w:rFonts w:hint="default" w:ascii="Times New Roman" w:hAnsi="Times New Roman" w:cs="Times New Roman"/>
      <w:color w:val="000000"/>
      <w:sz w:val="21"/>
      <w:szCs w:val="21"/>
      <w:u w:val="none"/>
    </w:rPr>
  </w:style>
  <w:style w:type="character" w:styleId="1006" w:customStyle="1">
    <w:name w:val="font31"/>
    <w:basedOn w:val="748"/>
    <w:uiPriority w:val="0"/>
    <w:qFormat/>
    <w:rPr>
      <w:rFonts w:hint="eastAsia" w:ascii="宋体" w:hAnsi="宋体" w:eastAsia="宋体" w:cs="宋体"/>
      <w:color w:val="000000"/>
      <w:sz w:val="21"/>
      <w:szCs w:val="21"/>
      <w:u w:val="none"/>
    </w:rPr>
  </w:style>
  <w:style w:type="character" w:styleId="1007" w:customStyle="1">
    <w:name w:val="font21"/>
    <w:basedOn w:val="748"/>
    <w:uiPriority w:val="0"/>
    <w:qFormat/>
    <w:rPr>
      <w:rFonts w:hint="default" w:ascii="Times New Roman" w:hAnsi="Times New Roman" w:cs="Times New Roman"/>
      <w:color w:val="000000"/>
      <w:sz w:val="21"/>
      <w:szCs w:val="21"/>
      <w:u w:val="none"/>
    </w:rPr>
  </w:style>
  <w:style w:type="character" w:styleId="1008" w:customStyle="1">
    <w:name w:val="font61"/>
    <w:basedOn w:val="748"/>
    <w:uiPriority w:val="0"/>
    <w:qFormat/>
    <w:rPr>
      <w:rFonts w:hint="eastAsia" w:ascii="宋体" w:hAnsi="宋体" w:eastAsia="宋体" w:cs="宋体"/>
      <w:color w:val="000000"/>
      <w:sz w:val="21"/>
      <w:szCs w:val="21"/>
      <w:u w:val="none"/>
    </w:rPr>
  </w:style>
  <w:style w:type="character" w:styleId="1009" w:customStyle="1">
    <w:name w:val="font41"/>
    <w:basedOn w:val="748"/>
    <w:uiPriority w:val="0"/>
    <w:qFormat/>
    <w:rPr>
      <w:rFonts w:hint="default" w:ascii="Times New Roman" w:hAnsi="Times New Roman" w:cs="Times New Roman"/>
      <w:color w:val="000000"/>
      <w:sz w:val="20"/>
      <w:szCs w:val="20"/>
      <w:u w:val="none"/>
    </w:rPr>
  </w:style>
  <w:style w:type="character" w:styleId="1010" w:customStyle="1">
    <w:name w:val="批注框文本 Char"/>
    <w:basedOn w:val="748"/>
    <w:link w:val="763"/>
    <w:uiPriority w:val="99"/>
    <w:semiHidden/>
    <w:qFormat/>
    <w:rPr>
      <w:rFonts w:eastAsia="楷体_GB2312"/>
      <w:sz w:val="18"/>
      <w:szCs w:val="18"/>
    </w:rPr>
  </w:style>
  <w:style w:type="table" w:styleId="1011" w:customStyle="1">
    <w:name w:val="Table Normal"/>
    <w:uiPriority w:val="0"/>
    <w:unhideWhenUsed/>
    <w:qFormat/>
    <w:tblPr>
      <w:tblCellMar>
        <w:left w:w="0" w:type="dxa"/>
        <w:top w:w="0" w:type="dxa"/>
        <w:right w:w="0" w:type="dxa"/>
        <w:bottom w:w="0" w:type="dxa"/>
      </w:tblCellMar>
    </w:tblPr>
  </w:style>
  <w:style w:type="paragraph" w:styleId="1012" w:customStyle="1">
    <w:name w:val="样式 首行缩进:  2 字符"/>
    <w:basedOn w:val="738"/>
    <w:link w:val="1013"/>
    <w:uiPriority w:val="0"/>
    <w:qFormat/>
    <w:pPr>
      <w:ind w:firstLine="480"/>
      <w:spacing w:line="360" w:lineRule="auto"/>
    </w:pPr>
    <w:rPr>
      <w:rFonts w:eastAsia="宋体"/>
      <w:sz w:val="24"/>
    </w:rPr>
  </w:style>
  <w:style w:type="character" w:styleId="1013" w:customStyle="1">
    <w:name w:val="样式 首行缩进:  2 字符 Char Char"/>
    <w:link w:val="1012"/>
    <w:uiPriority w:val="0"/>
    <w:qFormat/>
    <w:rPr>
      <w:sz w:val="24"/>
    </w:rPr>
  </w:style>
  <w:style w:type="character" w:styleId="1014" w:customStyle="1">
    <w:name w:val="批注文字 Char"/>
    <w:basedOn w:val="748"/>
    <w:link w:val="753"/>
    <w:uiPriority w:val="99"/>
    <w:semiHidden/>
    <w:qFormat/>
    <w:rPr>
      <w:rFonts w:eastAsia="楷体_GB2312"/>
      <w:sz w:val="26"/>
    </w:rPr>
  </w:style>
  <w:style w:type="paragraph" w:styleId="1015" w:customStyle="1">
    <w:name w:val="Normal_17_1"/>
    <w:uiPriority w:val="0"/>
    <w:qFormat/>
    <w:pPr>
      <w:jc w:val="both"/>
      <w:widowControl w:val="off"/>
    </w:pPr>
    <w:rPr>
      <w:rFonts w:hint="default" w:ascii="Calibri" w:hAnsi="Calibri" w:eastAsia="宋体" w:cs="Times New Roman"/>
      <w:sz w:val="21"/>
      <w:szCs w:val="22"/>
      <w:lang w:val="en-US" w:eastAsia="zh-CN" w:bidi="ar-SA"/>
    </w:rPr>
  </w:style>
  <w:style w:type="paragraph" w:styleId="1016" w:customStyle="1">
    <w:name w:val="Normal_16_1"/>
    <w:uiPriority w:val="0"/>
    <w:qFormat/>
    <w:rPr>
      <w:rFonts w:hint="default" w:ascii="宋体" w:hAnsi="宋体" w:eastAsia="宋体" w:cs="Times New Roman"/>
      <w:sz w:val="32"/>
      <w:szCs w:val="24"/>
      <w:lang w:val="en-US" w:eastAsia="zh-CN" w:bidi="ar-SA"/>
    </w:rPr>
  </w:style>
  <w:style w:type="paragraph" w:styleId="1017" w:customStyle="1">
    <w:name w:val="正文_9_0_1"/>
    <w:uiPriority w:val="0"/>
    <w:qFormat/>
    <w:pPr>
      <w:jc w:val="both"/>
      <w:widowControl w:val="off"/>
    </w:pPr>
    <w:rPr>
      <w:rFonts w:hint="default" w:ascii="Calibri" w:hAnsi="Calibri" w:eastAsia="宋体" w:cs="Times New Roman"/>
      <w:sz w:val="21"/>
      <w:szCs w:val="22"/>
      <w:lang w:val="en-US" w:eastAsia="zh-CN" w:bidi="ar-SA"/>
    </w:rPr>
  </w:style>
  <w:style w:type="paragraph" w:styleId="1018" w:customStyle="1">
    <w:name w:val="正文_8_1_1"/>
    <w:uiPriority w:val="0"/>
    <w:qFormat/>
    <w:pPr>
      <w:jc w:val="both"/>
      <w:widowControl w:val="off"/>
    </w:pPr>
    <w:rPr>
      <w:rFonts w:hint="default" w:ascii="Calibri" w:hAnsi="Calibri" w:eastAsia="宋体" w:cs="Times New Roman"/>
      <w:sz w:val="21"/>
      <w:szCs w:val="22"/>
      <w:lang w:val="en-US" w:eastAsia="zh-CN" w:bidi="ar-SA"/>
    </w:rPr>
  </w:style>
  <w:style w:type="paragraph" w:styleId="1019"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20" w:customStyle="1">
    <w:name w:val="列出段落_2"/>
    <w:basedOn w:val="1018"/>
    <w:uiPriority w:val="34"/>
    <w:qFormat/>
    <w:pPr>
      <w:ind w:firstLine="420"/>
    </w:pPr>
  </w:style>
  <w:style w:type="paragraph" w:styleId="1021" w:customStyle="1">
    <w:name w:val="Other|1"/>
    <w:basedOn w:val="738"/>
    <w:uiPriority w:val="0"/>
    <w:qFormat/>
    <w:rPr>
      <w:rFonts w:ascii="宋体" w:hAnsi="宋体" w:eastAsia="宋体" w:cs="宋体"/>
      <w:sz w:val="21"/>
      <w:lang w:val="zh-TW" w:eastAsia="zh-TW" w:bidi="zh-TW"/>
    </w:rPr>
  </w:style>
  <w:style w:type="paragraph" w:styleId="1022" w:customStyle="1">
    <w:name w:val="列表段落"/>
    <w:basedOn w:val="738"/>
    <w:uiPriority w:val="34"/>
    <w:qFormat/>
    <w:pPr>
      <w:ind w:firstLine="420"/>
    </w:pPr>
  </w:style>
  <w:style w:type="paragraph" w:styleId="1023" w:customStyle="1">
    <w:name w:val="正文文本11"/>
    <w:basedOn w:val="738"/>
    <w:next w:val="738"/>
    <w:uiPriority w:val="0"/>
    <w:qFormat/>
    <w:rPr>
      <w:rFonts w:ascii="仿宋_GB2312" w:eastAsia="仿宋_GB2312"/>
    </w:rPr>
  </w:style>
  <w:style w:type="paragraph" w:styleId="1024" w:customStyle="1">
    <w:name w:val="列出段落11"/>
    <w:basedOn w:val="738"/>
    <w:uiPriority w:val="0"/>
    <w:qFormat/>
    <w:pPr>
      <w:contextualSpacing/>
      <w:ind w:left="720"/>
      <w:jc w:val="left"/>
      <w:widowControl/>
    </w:pPr>
    <w:rPr>
      <w:rFonts w:ascii="Calibri" w:hAnsi="Calibri"/>
      <w:lang w:eastAsia="en-US" w:bidi="en-US"/>
    </w:rPr>
  </w:style>
  <w:style w:type="paragraph" w:styleId="1025" w:customStyle="1">
    <w:name w:val="Normal_10_0"/>
    <w:uiPriority w:val="0"/>
    <w:qFormat/>
    <w:rPr>
      <w:rFonts w:hint="default" w:ascii="黑体" w:hAnsi="黑体" w:eastAsia="黑体" w:cs="Times New Roman"/>
      <w:b/>
      <w:sz w:val="32"/>
      <w:szCs w:val="24"/>
      <w:lang w:val="en-US" w:eastAsia="zh-CN" w:bidi="ar-SA"/>
    </w:rPr>
  </w:style>
  <w:style w:type="paragraph" w:styleId="1026" w:customStyle="1">
    <w:name w:val="Table Text"/>
    <w:basedOn w:val="738"/>
    <w:uiPriority w:val="0"/>
    <w:semiHidden/>
    <w:qFormat/>
    <w:rPr>
      <w:rFonts w:ascii="宋体" w:hAnsi="宋体" w:cs="宋体"/>
      <w:sz w:val="28"/>
      <w:szCs w:val="28"/>
      <w:lang w:eastAsia="en-US"/>
    </w:rPr>
  </w:style>
  <w:style w:type="character" w:styleId="1027" w:customStyle="1">
    <w:name w:val="font71"/>
    <w:basedOn w:val="748"/>
    <w:uiPriority w:val="0"/>
    <w:rPr>
      <w:rFonts w:hint="eastAsia" w:ascii="宋体" w:hAnsi="宋体" w:eastAsia="宋体" w:cs="宋体"/>
      <w:color w:val="000000"/>
      <w:sz w:val="24"/>
      <w:szCs w:val="24"/>
      <w:u w:val="none"/>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王苏琪</cp:lastModifiedBy>
  <cp:revision>7</cp:revision>
  <dcterms:created xsi:type="dcterms:W3CDTF">2026-08-14T07:04:00Z</dcterms:created>
  <dcterms:modified xsi:type="dcterms:W3CDTF">2026-09-14T06:25:48Z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8C7B4A5D98B142C2BE0FE597A9C020FF_13</vt:lpwstr>
  </property>
  <property fmtid="{D5CDD505-2E9C-101B-9397-08002B2CF9AE}" pid="4" name="KSOTemplateDocerSaveRecord">
    <vt:lpwstr>eyJoZGlkIjoiMjE0MDljMGE0NTFiMjgwNzE0MTFjYTE5MDRjYjY2NTkiLCJ1c2VySWQiOiIyMzI1ODEzMTAifQ==</vt:lpwstr>
  </property>
</Properties>
</file>