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hint="eastAsia"/>
          <w:b/>
          <w:bCs/>
          <w:color w:val="000000"/>
          <w:sz w:val="32"/>
          <w:szCs w:val="32"/>
        </w:rPr>
      </w:pPr>
      <w:r>
        <w:rPr>
          <w:rFonts w:hint="eastAsia" w:ascii="Arial" w:hAnsi="Arial" w:eastAsia="宋体" w:cs="Times New Roman"/>
          <w:b/>
          <w:bCs/>
          <w:color w:val="000000"/>
          <w:sz w:val="32"/>
          <w:szCs w:val="24"/>
        </w:rPr>
        <w:t xml:space="preserve">项目名称：</w:t>
      </w:r>
      <w:bookmarkStart w:id="0" w:name="_Hlk240989418"/>
      <w:r>
        <w:rPr>
          <w:rFonts w:hint="eastAsia" w:ascii="Arial" w:hAnsi="Arial" w:eastAsia="宋体" w:cs="Times New Roman"/>
          <w:b/>
          <w:bCs/>
          <w:color w:val="000000"/>
          <w:sz w:val="32"/>
          <w:szCs w:val="24"/>
        </w:rPr>
        <w:t xml:space="preserve">连云港市中医院</w:t>
      </w:r>
      <w:r>
        <w:rPr>
          <w:rFonts w:hint="eastAsia"/>
          <w:b/>
          <w:bCs/>
          <w:color w:val="000000"/>
          <w:sz w:val="32"/>
          <w:szCs w:val="32"/>
        </w:rPr>
        <w:t xml:space="preserve">智慧医院一体化运营管理与</w:t>
      </w:r>
      <w:r/>
    </w:p>
    <w:p>
      <w:pPr>
        <w:ind w:firstLine="2137"/>
        <w:jc w:val="both"/>
        <w:spacing w:line="480" w:lineRule="auto"/>
        <w:rPr>
          <w:rFonts w:ascii="黑体" w:hAnsi="Arial" w:eastAsia="黑体" w:cs="Times New Roman"/>
          <w:b/>
          <w:color w:val="000000"/>
          <w:sz w:val="44"/>
          <w:szCs w:val="21"/>
        </w:rPr>
      </w:pPr>
      <w:r>
        <w:rPr>
          <w:rFonts w:hint="eastAsia"/>
          <w:b/>
          <w:bCs/>
          <w:color w:val="000000"/>
          <w:sz w:val="32"/>
          <w:szCs w:val="32"/>
        </w:rPr>
        <w:t xml:space="preserve">监管赋能</w:t>
      </w:r>
      <w:bookmarkEnd w:id="0"/>
      <w:r/>
      <w:r/>
    </w:p>
    <w:p>
      <w:pPr>
        <w:jc w:val="center"/>
        <w:spacing w:line="480" w:lineRule="auto"/>
        <w:rPr>
          <w:rFonts w:ascii="黑体" w:hAnsi="Arial" w:eastAsia="黑体" w:cs="Times New Roman"/>
          <w:b/>
          <w:color w:val="000000"/>
          <w:sz w:val="44"/>
          <w:szCs w:val="21"/>
          <w:highlight w:val="none"/>
        </w:rPr>
      </w:pPr>
      <w:r>
        <w:rPr>
          <w:rFonts w:hint="eastAsia" w:ascii="Arial" w:hAnsi="Arial" w:eastAsia="宋体" w:cs="Times New Roman"/>
          <w:b/>
          <w:bCs/>
          <w:sz w:val="32"/>
          <w:szCs w:val="24"/>
          <w:highlight w:val="none"/>
        </w:rPr>
        <w:t xml:space="preserve">项目编号：JSZC-320700-JZCG-G2026-0137</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before="156" w:after="156"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724"/>
        <w:rPr>
          <w:sz w:val="28"/>
        </w:rPr>
      </w:pPr>
      <w:r>
        <w:rPr>
          <w:sz w:val="28"/>
        </w:rPr>
      </w:r>
      <w:r/>
    </w:p>
    <w:p>
      <w:pPr>
        <w:pStyle w:val="724"/>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724"/>
        <w:rPr>
          <w:sz w:val="28"/>
        </w:rPr>
      </w:pPr>
      <w:r>
        <w:rPr>
          <w:rFonts w:hint="eastAsia"/>
          <w:sz w:val="28"/>
        </w:rPr>
        <w:t xml:space="preserve">第二章</w:t>
      </w:r>
      <w:r>
        <w:rPr>
          <w:sz w:val="28"/>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724"/>
        <w:rPr>
          <w:sz w:val="28"/>
        </w:rPr>
      </w:pPr>
      <w:r>
        <w:rPr>
          <w:rFonts w:hint="eastAsia"/>
          <w:sz w:val="28"/>
        </w:rPr>
        <w:t xml:space="preserve">第三章</w:t>
      </w:r>
      <w:r>
        <w:rPr>
          <w:sz w:val="28"/>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24</w:t>
      </w:r>
      <w:r>
        <w:rPr>
          <w:sz w:val="28"/>
        </w:rPr>
        <w:fldChar w:fldCharType="end"/>
      </w:r>
      <w:r/>
    </w:p>
    <w:p>
      <w:pPr>
        <w:pStyle w:val="724"/>
        <w:rPr>
          <w:sz w:val="28"/>
        </w:rPr>
      </w:pPr>
      <w:r>
        <w:rPr>
          <w:rFonts w:hint="eastAsia"/>
          <w:sz w:val="28"/>
        </w:rPr>
        <w:t xml:space="preserve">第四章</w:t>
      </w:r>
      <w:r>
        <w:rPr>
          <w:sz w:val="28"/>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29</w:t>
      </w:r>
      <w:r>
        <w:rPr>
          <w:sz w:val="28"/>
        </w:rPr>
        <w:fldChar w:fldCharType="end"/>
      </w:r>
      <w:r/>
    </w:p>
    <w:p>
      <w:pPr>
        <w:pStyle w:val="724"/>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fldChar w:fldCharType="begin"/>
      </w:r>
      <w:r>
        <w:rPr>
          <w:sz w:val="28"/>
        </w:rPr>
        <w:instrText xml:space="preserve"> PAGEREF _Toc162361614 \h </w:instrText>
      </w:r>
      <w:r>
        <w:rPr>
          <w:sz w:val="28"/>
        </w:rPr>
        <w:fldChar w:fldCharType="separate"/>
      </w:r>
      <w:r>
        <w:rPr>
          <w:sz w:val="28"/>
        </w:rPr>
        <w:t xml:space="preserve">63</w:t>
      </w:r>
      <w:r>
        <w:rPr>
          <w:sz w:val="28"/>
        </w:rPr>
        <w:fldChar w:fldCharType="end"/>
      </w:r>
      <w:r/>
    </w:p>
    <w:p>
      <w:pPr>
        <w:pStyle w:val="724"/>
        <w:rPr>
          <w:sz w:val="28"/>
        </w:rPr>
      </w:pPr>
      <w:r>
        <w:rPr>
          <w:rFonts w:hint="eastAsia"/>
          <w:sz w:val="28"/>
        </w:rPr>
        <w:t xml:space="preserve">第六章</w:t>
      </w:r>
      <w:r>
        <w:rPr>
          <w:sz w:val="28"/>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68</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711"/>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711"/>
        <w:jc w:val="center"/>
        <w:spacing w:before="156" w:after="156" w:line="360" w:lineRule="auto"/>
        <w:rPr>
          <w:rFonts w:ascii="黑体" w:hAnsi="黑体" w:eastAsia="黑体"/>
          <w:b w:val="0"/>
        </w:rPr>
      </w:pPr>
      <w:r/>
      <w:bookmarkStart w:id="1" w:name="_Toc162361610"/>
      <w:r>
        <w:rPr>
          <w:rFonts w:hint="eastAsia" w:ascii="黑体" w:hAnsi="黑体" w:eastAsia="黑体"/>
          <w:b w:val="0"/>
        </w:rPr>
        <w:t xml:space="preserve">第一章  投标邀请</w:t>
      </w:r>
      <w:bookmarkEnd w:id="1"/>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受连云港市中医院的委托，连云港市公共资源交易中心就连云港市中医院智慧医院一体化运营管理与监管赋能项目（</w:t>
      </w:r>
      <w:r>
        <w:rPr>
          <w:rFonts w:hint="eastAsia" w:asciiTheme="minorEastAsia" w:hAnsiTheme="minorEastAsia"/>
          <w:sz w:val="24"/>
          <w:szCs w:val="24"/>
          <w:highlight w:val="none"/>
        </w:rPr>
        <w:t xml:space="preserve">项目编号JSZC-320700-JZCG-G2026-0137</w:t>
      </w:r>
      <w:r>
        <w:rPr>
          <w:rFonts w:hint="eastAsia" w:asciiTheme="minorEastAsia" w:hAnsiTheme="minorEastAsia"/>
          <w:sz w:val="24"/>
          <w:szCs w:val="24"/>
        </w:rPr>
        <w:t xml:space="preserve">）项目进行公开招标采购，欢迎符合条件的供应商投标。</w:t>
      </w:r>
      <w:r/>
    </w:p>
    <w:tbl>
      <w:tblPr>
        <w:tblStyle w:val="726"/>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u w:val="single"/>
              </w:rPr>
              <w:t xml:space="preserve">连云港市中医院智慧医院一体化运营管理与监管赋能</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11</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12</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rPr>
              <w:t xml:space="preserve">（北京时间）前递交（上传）投标文件。</w:t>
            </w:r>
            <w:r/>
          </w:p>
        </w:tc>
      </w:tr>
    </w:tbl>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项目编号：JSZC-320700-JZCG-G2026-0137</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项目名称：连云港市中医院智慧医院一体化运营管理与监管赋能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人民币453.63万元，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采购需求：为落实连云港市中医院高质量发展与智慧医院建设相关政策要求，适配DIP支付改革、紧密型中医医联体建设</w:t>
      </w:r>
      <w:r>
        <w:rPr>
          <w:rFonts w:hint="eastAsia" w:asciiTheme="minorEastAsia" w:hAnsiTheme="minorEastAsia"/>
          <w:sz w:val="24"/>
          <w:szCs w:val="24"/>
        </w:rPr>
        <w:t xml:space="preserve">、多院区一体化管理及医美专科规范化运营需求，破解医院运营数据孤岛、成本精细化管控不足、医联体药品统筹缺乏数字化载体、专科运营分析手段薄弱等问题，连云港市中医院实施智慧医院一体化运营管理与监管赋能项目。项目搭建一体化运营管理底座，建设中医紧密型医联体数字化管理、医美数智化管理、HRP医院运营分析三大板块，实现医联体统一药品目录与集中采购、医美病案与运营全流程数字化管控、全院财务、预算、成本、人力、多院区一体化运营管理，以数字化手段提升医院运营治理水平，助推区域中医药事业高质量发展。具体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r>
        <w:rPr>
          <w:rFonts w:hint="eastAsia"/>
          <w:sz w:val="24"/>
        </w:rPr>
        <w:t xml:space="preserve">自合同签订之日起，12个月内完成系统建设并上线试运行，试运行周期1个月；自项目最终验收合格之日起提供2年质保服务。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5.参加政府采购活动前3年内在经营活动中没有重大违法记录的书面声明</w:t>
      </w:r>
      <w:r>
        <w:rPr>
          <w:rFonts w:hint="eastAsia" w:asciiTheme="minorEastAsia" w:hAnsiTheme="minorEastAsia"/>
          <w:sz w:val="24"/>
          <w:szCs w:val="24"/>
          <w:lang w:eastAsia="zh-CN"/>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71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w:t>
      </w:r>
      <w:r>
        <w:rPr>
          <w:rFonts w:hint="eastAsia" w:ascii="宋体" w:hAnsi="宋体"/>
          <w:color w:val="000000"/>
          <w:sz w:val="24"/>
          <w:highlight w:val="none"/>
        </w:rPr>
        <w:t xml:space="preserve">自招标文件公告发布之日起5个工作日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71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日9:00:00（北京时间）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71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71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71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w:t>
      </w:r>
      <w:r>
        <w:rPr>
          <w:rFonts w:hint="eastAsia"/>
          <w:sz w:val="24"/>
        </w:rPr>
        <w:t xml:space="preserve">连云港市中医院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址：江苏省连云港市</w:t>
      </w:r>
      <w:r>
        <w:rPr>
          <w:rFonts w:hint="eastAsia" w:asciiTheme="minorEastAsia" w:hAnsiTheme="minorEastAsia"/>
          <w:sz w:val="24"/>
          <w:szCs w:val="24"/>
          <w:lang w:val="en-US" w:eastAsia="zh-CN"/>
        </w:rPr>
        <w:t xml:space="preserve">海州区</w:t>
      </w:r>
      <w:r>
        <w:rPr>
          <w:rFonts w:hint="eastAsia" w:asciiTheme="minorEastAsia" w:hAnsiTheme="minorEastAsia"/>
          <w:sz w:val="24"/>
          <w:szCs w:val="24"/>
        </w:rPr>
        <w:t xml:space="preserve">朝阳中路160号</w:t>
      </w:r>
      <w:r/>
    </w:p>
    <w:p>
      <w:pPr>
        <w:ind w:firstLine="480"/>
        <w:jc w:val="left"/>
        <w:spacing w:line="500" w:lineRule="exact"/>
        <w:rPr>
          <w:rFonts w:eastAsia="宋体"/>
          <w:sz w:val="24"/>
          <w:szCs w:val="24"/>
        </w:rPr>
      </w:pPr>
      <w:r>
        <w:rPr>
          <w:rFonts w:hint="eastAsia"/>
          <w:sz w:val="24"/>
          <w:szCs w:val="24"/>
        </w:rPr>
        <w:t xml:space="preserve">联 系 人：郑东鹏</w:t>
      </w:r>
      <w:r/>
    </w:p>
    <w:p>
      <w:pPr>
        <w:ind w:firstLine="480"/>
        <w:spacing w:line="500" w:lineRule="exact"/>
        <w:rPr>
          <w:rFonts w:asciiTheme="minorEastAsia" w:hAnsiTheme="minorEastAsia"/>
          <w:sz w:val="24"/>
          <w:szCs w:val="24"/>
        </w:rPr>
      </w:pPr>
      <w:r>
        <w:rPr>
          <w:rFonts w:hint="eastAsia"/>
          <w:sz w:val="24"/>
          <w:szCs w:val="24"/>
        </w:rPr>
        <w:t xml:space="preserve">联系电话：15305131910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址：连云港市海州区凌洲东路9号2号楼420室</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王明亮</w:t>
      </w:r>
      <w:r/>
    </w:p>
    <w:p>
      <w:pPr>
        <w:ind w:firstLine="480"/>
        <w:spacing w:line="500" w:lineRule="exact"/>
        <w:rPr>
          <w:rFonts w:hint="default" w:cs="Times New Roman" w:asciiTheme="minorEastAsia" w:hAnsiTheme="minorEastAsia" w:eastAsiaTheme="minorEastAsia"/>
          <w:sz w:val="24"/>
          <w:szCs w:val="24"/>
          <w:lang w:val="en-US" w:eastAsia="zh-CN"/>
        </w:rPr>
      </w:pPr>
      <w:r>
        <w:rPr>
          <w:rFonts w:hint="eastAsia"/>
          <w:sz w:val="24"/>
          <w:szCs w:val="24"/>
        </w:rPr>
        <w:t xml:space="preserve">联系电话：</w:t>
      </w:r>
      <w:r>
        <w:rPr>
          <w:rFonts w:hint="eastAsia"/>
          <w:sz w:val="24"/>
          <w:szCs w:val="24"/>
          <w:lang w:val="en-US" w:eastAsia="zh-CN"/>
        </w:rPr>
        <w:t xml:space="preserve">13611558132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w:t>
      </w:r>
      <w:r>
        <w:rPr>
          <w:rFonts w:hint="eastAsia"/>
          <w:sz w:val="24"/>
          <w:szCs w:val="24"/>
          <w:lang w:val="en-US" w:eastAsia="zh-CN"/>
        </w:rPr>
        <w:t xml:space="preserve">王明亮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w:t>
      </w:r>
      <w:r>
        <w:rPr>
          <w:rFonts w:hint="eastAsia"/>
          <w:sz w:val="24"/>
          <w:szCs w:val="24"/>
          <w:lang w:val="en-US" w:eastAsia="zh-CN"/>
        </w:rPr>
        <w:t xml:space="preserve">13611558132</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711"/>
        <w:jc w:val="center"/>
        <w:spacing w:before="156" w:after="156" w:line="360" w:lineRule="auto"/>
        <w:rPr>
          <w:rFonts w:ascii="黑体" w:hAnsi="黑体" w:eastAsia="黑体"/>
          <w:b w:val="0"/>
        </w:rPr>
      </w:pPr>
      <w:r/>
      <w:bookmarkStart w:id="2" w:name="_Toc162361611"/>
      <w:r>
        <w:rPr>
          <w:rFonts w:hint="eastAsia" w:ascii="黑体" w:hAnsi="黑体" w:eastAsia="黑体"/>
          <w:b w:val="0"/>
        </w:rPr>
        <w:t xml:space="preserve">第二章  投标人须知</w:t>
      </w:r>
      <w:bookmarkEnd w:id="2"/>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rPr>
          <w:rFonts w:hint="eastAsia" w:asciiTheme="minorEastAsia" w:hAnsiTheme="minorEastAsia"/>
          <w:sz w:val="24"/>
          <w:szCs w:val="24"/>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 </w:t>
      </w:r>
      <w:r>
        <w:rPr>
          <w:rFonts w:hint="eastAsia" w:ascii="宋体" w:hAnsi="宋体" w:cs="宋体"/>
          <w:bCs/>
          <w:color w:val="000000" w:themeColor="text1"/>
          <w:sz w:val="24"/>
          <w:szCs w:val="24"/>
          <w:highlight w:val="none"/>
          <w14:textFill>
            <w14:solidFill>
              <w14:schemeClr w14:val="tx1"/>
            </w14:solidFill>
          </w14:textFill>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3"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3"/>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w:t>
      </w: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rPr>
        <w:t xml:space="preserve">%的，即投标报价&lt;全部通过符合性审查供应商投标报价平均值×</w:t>
      </w: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w:t>
      </w: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rPr>
        <w:t xml:space="preserve">%的，即投标报价&lt;通过符合性审查的次低报价供应商投标报价×</w:t>
      </w: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w:t>
      </w: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rPr>
        <w:t xml:space="preserve">%的，即投标报价&lt;采购项目最高限价×</w:t>
      </w: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30.1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4" w:name="OLE_LINK150"/>
      <w:r>
        <w:rPr>
          <w:rFonts w:hint="eastAsia" w:asciiTheme="minorEastAsia" w:hAnsiTheme="minorEastAsia"/>
          <w:sz w:val="24"/>
          <w:szCs w:val="24"/>
        </w:rPr>
        <w:t xml:space="preserve">（包含与服务相关的货物）</w:t>
      </w:r>
      <w:bookmarkEnd w:id="4"/>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71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5"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5"/>
      <w:r/>
      <w:r/>
    </w:p>
    <w:p>
      <w:pPr>
        <w:ind w:firstLine="482"/>
        <w:spacing w:line="5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39、</w:t>
      </w:r>
      <w:r>
        <w:rPr>
          <w:rFonts w:hint="eastAsia" w:ascii="宋体" w:hAnsi="宋体"/>
          <w:b/>
          <w:color w:val="000000" w:themeColor="text1"/>
          <w:sz w:val="24"/>
          <w14:textFill>
            <w14:solidFill>
              <w14:schemeClr w14:val="tx1"/>
            </w14:solidFill>
          </w14:textFill>
        </w:rPr>
        <w:t xml:space="preserve">采购本国产品的支持政策</w:t>
      </w:r>
      <w:r/>
    </w:p>
    <w:p>
      <w:pPr>
        <w:ind w:firstLine="480"/>
        <w:jc w:val="left"/>
        <w:spacing w:line="500" w:lineRule="exact"/>
        <w:rPr>
          <w:rFonts w:hint="eastAsia" w:eastAsia="宋体" w:cs="Times New Roman"/>
          <w:sz w:val="24"/>
          <w:szCs w:val="24"/>
          <w:lang w:val="en-US" w:eastAsia="zh-CN"/>
        </w:rPr>
      </w:pPr>
      <w:r>
        <w:rPr>
          <w:rFonts w:hint="eastAsia" w:eastAsia="宋体" w:cs="Times New Roman"/>
          <w:sz w:val="24"/>
          <w:szCs w:val="24"/>
          <w:lang w:val="en-US" w:eastAsia="zh-CN"/>
        </w:rPr>
        <w:t xml:space="preserve">39</w:t>
      </w:r>
      <w:r>
        <w:rPr>
          <w:rFonts w:hint="eastAsia" w:eastAsia="宋体" w:cs="Times New Roman"/>
          <w:sz w:val="24"/>
          <w:szCs w:val="24"/>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eastAsia="宋体" w:cs="Times New Roman"/>
          <w:sz w:val="24"/>
          <w:szCs w:val="24"/>
        </w:rPr>
      </w:pPr>
      <w:r>
        <w:rPr>
          <w:rFonts w:hint="eastAsia" w:eastAsia="宋体" w:cs="Times New Roman"/>
          <w:sz w:val="24"/>
          <w:szCs w:val="24"/>
          <w:lang w:val="en-US" w:eastAsia="zh-CN"/>
        </w:rPr>
        <w:t xml:space="preserve">39</w:t>
      </w:r>
      <w:r>
        <w:rPr>
          <w:rFonts w:hint="eastAsia" w:eastAsia="宋体" w:cs="Times New Roman"/>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eastAsia="宋体" w:cs="Times New Roman"/>
          <w:sz w:val="24"/>
          <w:szCs w:val="24"/>
          <w:lang w:val="en-US" w:eastAsia="zh-CN"/>
        </w:rPr>
        <w:t xml:space="preserve">十四 </w:t>
      </w:r>
      <w:r>
        <w:rPr>
          <w:rFonts w:hint="eastAsia" w:eastAsia="宋体" w:cs="Times New Roman"/>
          <w:sz w:val="24"/>
          <w:szCs w:val="24"/>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eastAsia="宋体" w:cs="Times New Roman"/>
          <w:sz w:val="24"/>
          <w:szCs w:val="24"/>
        </w:rPr>
      </w:pPr>
      <w:r>
        <w:rPr>
          <w:rFonts w:hint="eastAsia" w:eastAsia="宋体" w:cs="Times New Roman"/>
          <w:sz w:val="24"/>
          <w:szCs w:val="24"/>
          <w:lang w:val="en-US" w:eastAsia="zh-CN"/>
        </w:rPr>
        <w:t xml:space="preserve">39</w:t>
      </w:r>
      <w:r>
        <w:rPr>
          <w:rFonts w:hint="eastAsia" w:eastAsia="宋体" w:cs="Times New Roman"/>
          <w:sz w:val="24"/>
          <w:szCs w:val="24"/>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eastAsia="宋体" w:cs="Times New Roman"/>
          <w:sz w:val="24"/>
          <w:szCs w:val="24"/>
        </w:rPr>
      </w:pPr>
      <w:r>
        <w:rPr>
          <w:rFonts w:hint="eastAsia" w:eastAsia="宋体" w:cs="Times New Roman"/>
          <w:sz w:val="24"/>
          <w:szCs w:val="24"/>
          <w:lang w:val="en-US" w:eastAsia="zh-CN"/>
        </w:rPr>
        <w:t xml:space="preserve">39</w:t>
      </w:r>
      <w:r>
        <w:rPr>
          <w:rFonts w:hint="eastAsia" w:eastAsia="宋体" w:cs="Times New Roman"/>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color w:val="000000" w:themeColor="text1"/>
          <w:sz w:val="24"/>
          <w:szCs w:val="24"/>
          <w14:textFill>
            <w14:solidFill>
              <w14:schemeClr w14:val="tx1"/>
            </w14:solidFill>
          </w14:textFill>
        </w:rPr>
      </w:pPr>
      <w:r>
        <w:rPr>
          <w:rFonts w:hint="eastAsia" w:eastAsia="宋体" w:cs="Times New Roman"/>
          <w:sz w:val="24"/>
          <w:szCs w:val="24"/>
          <w:lang w:val="en-US" w:eastAsia="zh-CN"/>
        </w:rPr>
        <w:t xml:space="preserve">39.5政府采购中的本国产品标准及其他未尽事宜详见《国务院办公厅关于在政府采购中实施本国产品标准及相关政策的通知》（国办发〔2025〕34号）。</w:t>
      </w:r>
      <w:r/>
    </w:p>
    <w:p>
      <w:pPr>
        <w:ind w:firstLine="482"/>
        <w:spacing w:line="500" w:lineRule="exact"/>
        <w:rPr>
          <w:rFonts w:asciiTheme="minorEastAsia" w:hAnsiTheme="minorEastAsia"/>
          <w:b/>
          <w:sz w:val="24"/>
        </w:rPr>
      </w:pPr>
      <w:r>
        <w:rPr>
          <w:rFonts w:hint="eastAsia" w:asciiTheme="minorEastAsia" w:hAnsiTheme="minorEastAsia"/>
          <w:b/>
          <w:sz w:val="24"/>
          <w:lang w:val="en-US" w:eastAsia="zh-CN"/>
        </w:rPr>
        <w:t xml:space="preserve">40</w:t>
      </w:r>
      <w:r>
        <w:rPr>
          <w:rFonts w:hint="eastAsia" w:asciiTheme="minorEastAsia" w:hAnsiTheme="minorEastAsia"/>
          <w:b/>
          <w:sz w:val="24"/>
        </w:rPr>
        <w:t xml:space="preserve">.支持绿色发展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lang w:val="en-US" w:eastAsia="zh-CN"/>
        </w:rPr>
        <w:t xml:space="preserve">40</w:t>
      </w:r>
      <w:r>
        <w:rPr>
          <w:rFonts w:hint="eastAsia" w:asciiTheme="minorEastAsia" w:hAnsiTheme="minorEastAsia"/>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w:t>
      </w:r>
      <w:r>
        <w:rPr>
          <w:rFonts w:hint="eastAsia" w:asciiTheme="minorEastAsia" w:hAnsiTheme="minorEastAsia"/>
          <w:b/>
          <w:sz w:val="24"/>
          <w:lang w:val="en-US" w:eastAsia="zh-CN"/>
        </w:rPr>
        <w:t xml:space="preserve">1</w:t>
      </w:r>
      <w:r>
        <w:rPr>
          <w:rFonts w:hint="eastAsia" w:asciiTheme="minorEastAsia" w:hAnsiTheme="minorEastAsia"/>
          <w:b/>
          <w:sz w:val="24"/>
        </w:rPr>
        <w:t xml:space="preserve">.政府采购需求标准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711"/>
        <w:jc w:val="center"/>
        <w:spacing w:before="156" w:after="156" w:line="360" w:lineRule="auto"/>
        <w:rPr>
          <w:sz w:val="24"/>
          <w:szCs w:val="24"/>
        </w:rPr>
      </w:pPr>
      <w:r/>
      <w:bookmarkStart w:id="6" w:name="_Toc162361612"/>
      <w:r>
        <w:rPr>
          <w:rFonts w:hint="eastAsia" w:ascii="黑体" w:hAnsi="黑体" w:eastAsia="黑体"/>
          <w:b w:val="0"/>
        </w:rPr>
        <w:t xml:space="preserve">第三章  合同文本</w:t>
      </w:r>
      <w:bookmarkEnd w:id="6"/>
      <w:r/>
      <w:r/>
    </w:p>
    <w:p>
      <w:pPr>
        <w:jc w:val="center"/>
        <w:spacing w:line="500" w:lineRule="exact"/>
        <w:rPr>
          <w:rFonts w:ascii="黑体" w:hAnsi="黑体" w:eastAsia="黑体"/>
          <w:sz w:val="32"/>
          <w:szCs w:val="24"/>
        </w:rPr>
      </w:pPr>
      <w:r/>
      <w:bookmarkStart w:id="7" w:name="OLE_LINK154"/>
      <w:r/>
      <w:bookmarkStart w:id="8"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w:t>
      </w:r>
      <w:r>
        <w:rPr>
          <w:rFonts w:hint="eastAsia"/>
          <w:sz w:val="24"/>
          <w:szCs w:val="24"/>
          <w:highlight w:val="none"/>
        </w:rPr>
        <w:t xml:space="preserve">下列第</w:t>
      </w:r>
      <w:r>
        <w:rPr>
          <w:rFonts w:hint="eastAsia"/>
          <w:sz w:val="24"/>
          <w:szCs w:val="24"/>
          <w:highlight w:val="none"/>
          <w:u w:val="single"/>
        </w:rPr>
        <w:t xml:space="preserve">（1）</w:t>
      </w:r>
      <w:r>
        <w:rPr>
          <w:rFonts w:hint="eastAsia"/>
          <w:sz w:val="24"/>
          <w:szCs w:val="24"/>
          <w:highlight w:val="none"/>
        </w:rPr>
        <w:t xml:space="preserve">种方式</w:t>
      </w:r>
      <w:r>
        <w:rPr>
          <w:rFonts w:hint="eastAsia"/>
          <w:sz w:val="24"/>
          <w:szCs w:val="24"/>
        </w:rPr>
        <w:t xml:space="preserve">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7"/>
      <w:bookmarkEnd w:id="8"/>
      <w:r/>
    </w:p>
    <w:p>
      <w:pPr>
        <w:jc w:val="left"/>
        <w:widowControl/>
        <w:rPr>
          <w:sz w:val="24"/>
          <w:szCs w:val="24"/>
        </w:rPr>
      </w:pPr>
      <w:r>
        <w:rPr>
          <w:sz w:val="24"/>
          <w:szCs w:val="24"/>
        </w:rPr>
        <w:br w:type="page" w:clear="all"/>
      </w:r>
      <w:r/>
    </w:p>
    <w:p>
      <w:pPr>
        <w:pStyle w:val="711"/>
        <w:jc w:val="center"/>
        <w:spacing w:before="156" w:after="156" w:line="360" w:lineRule="auto"/>
        <w:rPr>
          <w:rFonts w:ascii="黑体" w:hAnsi="黑体" w:eastAsia="黑体"/>
          <w:b w:val="0"/>
        </w:rPr>
      </w:pPr>
      <w:r/>
      <w:bookmarkStart w:id="9" w:name="_Toc162361613"/>
      <w:r>
        <w:rPr>
          <w:rFonts w:hint="eastAsia" w:ascii="黑体" w:hAnsi="黑体" w:eastAsia="黑体"/>
          <w:b w:val="0"/>
        </w:rPr>
        <w:t xml:space="preserve">第四章  采购需求</w:t>
      </w:r>
      <w:bookmarkEnd w:id="9"/>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 软件和信息技术服务业 </w:t>
      </w:r>
      <w:r>
        <w:rPr>
          <w:rFonts w:hint="eastAsia"/>
          <w:b/>
          <w:sz w:val="24"/>
          <w:szCs w:val="24"/>
        </w:rPr>
        <w:t xml:space="preserve">。</w:t>
      </w:r>
      <w:r/>
    </w:p>
    <w:p>
      <w:pPr>
        <w:ind w:firstLine="480"/>
        <w:jc w:val="left"/>
        <w:spacing w:line="360" w:lineRule="auto"/>
        <w:rPr>
          <w:rFonts w:ascii="宋体" w:hAnsi="宋体" w:eastAsia="宋体" w:cs="Times New Roman"/>
          <w:color w:val="000000"/>
          <w:sz w:val="24"/>
          <w:szCs w:val="24"/>
          <w:highlight w:val="yellow"/>
        </w:rPr>
      </w:pPr>
      <w:r>
        <w:rPr>
          <w:rFonts w:hint="eastAsia" w:ascii="宋体" w:hAnsi="宋体" w:cs="宋体"/>
          <w:color w:val="000000"/>
          <w:sz w:val="24"/>
          <w:szCs w:val="24"/>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w:t>
      </w:r>
      <w:r>
        <w:rPr>
          <w:rFonts w:hint="eastAsia"/>
          <w:b/>
          <w:sz w:val="24"/>
          <w:szCs w:val="24"/>
        </w:rPr>
        <w:t xml:space="preserve">性要求和条件</w:t>
      </w:r>
      <w:r>
        <w:rPr>
          <w:rFonts w:hint="eastAsia"/>
          <w:sz w:val="24"/>
          <w:szCs w:val="24"/>
        </w:rPr>
        <w:t xml:space="preserve">，由采购人根据实际情况设置，投标人须逐条明确作出满足实质性要求和条件的响应，否则将按无效响应处理。</w:t>
      </w:r>
      <w:r/>
    </w:p>
    <w:tbl>
      <w:tblPr>
        <w:tblStyle w:val="7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textDirection w:val="lrTb"/>
            <w:noWrap w:val="false"/>
          </w:tcPr>
          <w:p>
            <w:pPr>
              <w:jc w:val="center"/>
              <w:spacing w:line="500" w:lineRule="exact"/>
              <w:rPr>
                <w:b/>
                <w:sz w:val="24"/>
                <w:szCs w:val="24"/>
              </w:rPr>
            </w:pPr>
            <w:r>
              <w:rPr>
                <w:b/>
                <w:sz w:val="24"/>
                <w:szCs w:val="24"/>
              </w:rPr>
              <w:t xml:space="preserve">序号</w:t>
            </w:r>
            <w:r/>
          </w:p>
        </w:tc>
        <w:tc>
          <w:tcPr>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jc w:val="left"/>
              <w:spacing w:line="500" w:lineRule="exact"/>
              <w:rPr>
                <w:sz w:val="24"/>
                <w:szCs w:val="24"/>
              </w:rPr>
            </w:pPr>
            <w:r>
              <w:rPr>
                <w:rFonts w:hint="eastAsia" w:ascii="宋体" w:hAnsi="宋体" w:eastAsia="宋体"/>
                <w:bCs/>
                <w:i/>
                <w:iCs/>
                <w:color w:val="000000" w:themeColor="text1"/>
                <w:sz w:val="24"/>
                <w:u w:val="single"/>
                <w14:textFill>
                  <w14:solidFill>
                    <w14:schemeClr w14:val="tx1"/>
                  </w14:solidFill>
                </w14:textFill>
              </w:rPr>
              <w:t xml:space="preserve">1、付款方式：合同签订后采购人向</w:t>
            </w:r>
            <w:r>
              <w:rPr>
                <w:rFonts w:hint="eastAsia" w:ascii="宋体" w:hAnsi="宋体" w:eastAsia="宋体"/>
                <w:bCs/>
                <w:i/>
                <w:iCs/>
                <w:color w:val="000000" w:themeColor="text1"/>
                <w:sz w:val="24"/>
                <w:u w:val="single"/>
                <w:lang w:val="en-US" w:eastAsia="zh-CN"/>
                <w14:textFill>
                  <w14:solidFill>
                    <w14:schemeClr w14:val="tx1"/>
                  </w14:solidFill>
                </w14:textFill>
              </w:rPr>
              <w:t xml:space="preserve">中标人</w:t>
            </w:r>
            <w:r>
              <w:rPr>
                <w:rFonts w:hint="eastAsia" w:ascii="宋体" w:hAnsi="宋体" w:eastAsia="宋体"/>
                <w:bCs/>
                <w:i/>
                <w:iCs/>
                <w:color w:val="000000" w:themeColor="text1"/>
                <w:sz w:val="24"/>
                <w:u w:val="single"/>
                <w14:textFill>
                  <w14:solidFill>
                    <w14:schemeClr w14:val="tx1"/>
                  </w14:solidFill>
                </w14:textFill>
              </w:rPr>
              <w:t xml:space="preserve">支付合同总价款的50%；</w:t>
            </w:r>
            <w:r>
              <w:rPr>
                <w:rFonts w:hint="eastAsia" w:cs="Times New Roman"/>
                <w:i/>
                <w:iCs/>
                <w:sz w:val="24"/>
                <w:szCs w:val="24"/>
                <w:u w:val="single"/>
              </w:rPr>
              <w:t xml:space="preserve">项目建成且试运行合格后支付合同价款总额的40%</w:t>
            </w:r>
            <w:r>
              <w:rPr>
                <w:rFonts w:hint="eastAsia" w:cs="Times New Roman" w:asciiTheme="minorEastAsia" w:hAnsiTheme="minorEastAsia"/>
                <w:bCs/>
                <w:i/>
                <w:iCs/>
                <w:sz w:val="24"/>
                <w:szCs w:val="24"/>
                <w:u w:val="single"/>
              </w:rPr>
              <w:t xml:space="preserve">,</w:t>
            </w:r>
            <w:r>
              <w:rPr>
                <w:rFonts w:hint="eastAsia" w:cs="Times New Roman"/>
                <w:i/>
                <w:iCs/>
                <w:sz w:val="24"/>
                <w:szCs w:val="24"/>
                <w:u w:val="single"/>
              </w:rPr>
              <w:t xml:space="preserve">项目最终验收合格后支付合同价款总额的10%。</w:t>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为深入贯彻《国务院办公厅关于推动公立医院高质量发展的意见》《关于加强公立医院运营管理的指导意见》《中医医院信息与数字化建设规范（2024 版）》等文件要求，落实江苏省、连云港市中医药振兴发展重大工程实施方案，持续推进电子病历、智慧服务、智慧管理“三位一体”智慧中医医院建设，加快紧密型中医医联体规范化运营，适配DIP医保支付改革，提升医院精细化运营治理能力，连云港市中医院启动智慧医院一体化运营管理与监管赋能项目建设工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连云港市中医院作为区域龙头中医医疗机构，承担区域中医药诊疗、学科建设、基层中医药帮扶以及紧密型医联体牵头建设任务。随着医院业务持续发展、多院区一体化管理推进、医美特色专科规范化建设，医院在运营管理层面逐步面临多重现实挑战：一是紧密型医联体尚未建立统一数字化管控底座，</w:t>
      </w:r>
      <w:r>
        <w:rPr>
          <w:rFonts w:hint="eastAsia" w:ascii="宋体" w:hAnsi="宋体" w:eastAsia="宋体" w:cs="Times New Roman"/>
          <w:color w:val="000000"/>
          <w:sz w:val="24"/>
          <w:szCs w:val="24"/>
        </w:rPr>
        <w:t xml:space="preserve">医联体内药品目录不统一、采购分散，难以实现药品资源统筹调配与同质化管理；二是院内运营数据分散在多个独立业务系统，存在信息孤岛，财务、预算、人力、成本数据无法贯通，DIP病种成本、科室成本、项目成本缺少一体化数字化核算工具，运营决策缺少实时数据支撑；三是医美专科缺乏专属数智化管理平台，病案管理、运营分析、学科评估、绩效核算、专项监测依靠线下台账，管理效率偏低、数据追溯难度大；四是现有管理类系统相互独立，缺少统一集成、统一监管、统一数据共享的一体化运营平台，难以支撑多院区协同管控、全过程运营监管与动态绩效评价。</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当前医保支付方式改革持续深化，公立医院运营由规模扩张转向提质增效，对资源管控、成本精细化、学科运营评估、绩效科学分配提出更高标准。同时，紧密型医联体建设要求牵头医院通过数字化手段打通成员单位资源流转链条，实现药品、信息、管理标准下沉；公立医疗机构医美业务日趋规范，亟需数字化工具实现病案闭环管理、运营动态监测、风险全过程管控。</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为破解上述管理痛点，推动医院运营管理模式由事后统计向事前规划、事中管控、事后分析全流程闭环转变，</w:t>
      </w:r>
      <w:r>
        <w:rPr>
          <w:rFonts w:hint="eastAsia" w:ascii="宋体" w:hAnsi="宋体" w:eastAsia="宋体" w:cs="Times New Roman"/>
          <w:color w:val="000000"/>
          <w:sz w:val="24"/>
          <w:szCs w:val="24"/>
        </w:rPr>
        <w:t xml:space="preserve">打通医联体药品协同、全院HRP运营管控、医美专科数字化管理三大业务板块数据链路，构建一体化运营管理与监管赋能体系。项目将建设中医紧密型医联体数字化管理模块、医美数智化管理系统、医院运营分析管理系统（HRP），实现统一药品目录、统一药品采购、病案查询、多维度运营评价、全面预算、科室及DIP成本核算、人力资源管理、多院区协同管理等核心能力，以数字化赋能中医药医联体协同发展、医院精细化运营、特色专科高质量建设，助力医院建成管理规范、数据互通、决策智能的现代化智慧中医医院，为区域中医药事业高质量发展提供数字化支撑。</w:t>
      </w:r>
      <w:r/>
    </w:p>
    <w:p>
      <w:pPr>
        <w:ind w:firstLine="562"/>
        <w:spacing w:line="360" w:lineRule="auto"/>
        <w:rPr>
          <w:b/>
          <w:sz w:val="28"/>
          <w:szCs w:val="28"/>
        </w:rPr>
      </w:pPr>
      <w:r>
        <w:rPr>
          <w:rFonts w:hint="eastAsia"/>
          <w:b/>
          <w:sz w:val="28"/>
          <w:szCs w:val="28"/>
        </w:rPr>
        <w:t xml:space="preserve">二、服务技术要求</w:t>
      </w:r>
      <w:r/>
    </w:p>
    <w:p>
      <w:pPr>
        <w:ind w:firstLine="480"/>
        <w:spacing w:line="360" w:lineRule="auto"/>
        <w:rPr>
          <w:sz w:val="24"/>
        </w:rPr>
      </w:pPr>
      <w:r>
        <w:rPr>
          <w:rFonts w:hint="eastAsia"/>
          <w:sz w:val="24"/>
        </w:rPr>
        <w:t xml:space="preserve">1、服务内容</w:t>
      </w:r>
      <w:r/>
    </w:p>
    <w:p>
      <w:pPr>
        <w:ind w:firstLine="480"/>
        <w:spacing w:line="360" w:lineRule="auto"/>
        <w:rPr>
          <w:rFonts w:ascii="宋体" w:hAnsi="宋体" w:eastAsia="宋体"/>
          <w:sz w:val="24"/>
        </w:rPr>
      </w:pPr>
      <w:r>
        <w:rPr>
          <w:rFonts w:hint="eastAsia" w:ascii="宋体" w:hAnsi="宋体"/>
          <w:sz w:val="24"/>
        </w:rPr>
        <w:t xml:space="preserve">本项目服务内容包括</w:t>
      </w:r>
      <w:r>
        <w:rPr>
          <w:rFonts w:hint="eastAsia" w:ascii="宋体" w:hAnsi="宋体" w:eastAsia="宋体" w:cs="Helvetica"/>
          <w:sz w:val="24"/>
          <w:szCs w:val="24"/>
        </w:rPr>
        <w:t xml:space="preserve">中医紧密型医联体建设、医疗服务绩效评价系统、医美中心科室管理信息系统和医院运营分析管理系统（HRP）建设。</w:t>
      </w:r>
      <w:r>
        <w:rPr>
          <w:rFonts w:ascii="宋体" w:hAnsi="宋体" w:eastAsia="宋体" w:cs="宋体"/>
          <w:sz w:val="24"/>
          <w:szCs w:val="24"/>
        </w:rPr>
        <w:t xml:space="preserve">中医紧密型医联体建设涵盖共享药品目录、统一药品采购及成员机构对接改造，依托接口开发、数据中台集成、多机构数据同步软件开发，实现药品目录、医生代码、医保备案信息同步和开方改造；医疗服务绩效评价系统围绕病案查询、运营评价、学科发展、绩效评价与专项分析，开展 MDC/DRG 多维分析、TOPSIS 评价、标杆值测算和运营目标监测，通过大数据分析模块开发、指标模型算法封装、可视化报表引擎开发支</w:t>
      </w:r>
      <w:r>
        <w:rPr>
          <w:rFonts w:ascii="宋体" w:hAnsi="宋体" w:eastAsia="宋体" w:cs="宋体"/>
          <w:sz w:val="24"/>
          <w:szCs w:val="24"/>
        </w:rPr>
        <w:t xml:space="preserve">撑多维度业务研判；医美中心科室管理信息系统涵盖科室微站、电子档案、科室服务、影像互联、诊后服务、营销与决策分析，包含前端交互应用开发、业务流程引擎搭建、影像数据接口适配、业务数据统计分析软件开发；医院运营分析管理系统（HRP）包括基础平台、财务核算、报销管理、全面预算管理、科室与项目及 DIP 成本管理，人力资源、资金、电子发票、接口及多院区管理，并与江苏省财政一体化平台标准对接，依托底层基础平台软件开发、多院区分布式架构设计、第三方系统适配开发、票据及财政平台标准化接口开发，保障跨系统数据互通与业务闭环。</w:t>
      </w:r>
      <w:r/>
    </w:p>
    <w:p>
      <w:pPr>
        <w:ind w:firstLine="480"/>
        <w:spacing w:line="360" w:lineRule="auto"/>
        <w:rPr>
          <w:rFonts w:ascii="宋体" w:hAnsi="宋体"/>
          <w:sz w:val="24"/>
        </w:rPr>
      </w:pPr>
      <w:r>
        <w:rPr>
          <w:rFonts w:hint="eastAsia" w:ascii="宋体" w:hAnsi="宋体"/>
          <w:sz w:val="24"/>
        </w:rPr>
        <w:t xml:space="preserve">项目系统建设清单如下：</w:t>
      </w:r>
      <w:r/>
    </w:p>
    <w:tbl>
      <w:tblPr>
        <w:tblStyle w:val="7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3830"/>
        <w:gridCol w:w="1600"/>
        <w:gridCol w:w="1804"/>
      </w:tblGrid>
      <w:tr>
        <w:trPr>
          <w:jc w:val="center"/>
        </w:trPr>
        <w:tc>
          <w:tcPr>
            <w:shd w:val="clear" w:color="auto" w:fill="auto"/>
            <w:tcW w:w="754" w:type="pct"/>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247" w:type="pct"/>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系统名称</w:t>
            </w:r>
            <w:r/>
          </w:p>
        </w:tc>
        <w:tc>
          <w:tcPr>
            <w:shd w:val="clear" w:color="auto" w:fill="auto"/>
            <w:tcW w:w="939" w:type="pct"/>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1058" w:type="pct"/>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数量</w:t>
            </w:r>
            <w:r/>
          </w:p>
        </w:tc>
      </w:tr>
      <w:tr>
        <w:trPr>
          <w:jc w:val="center"/>
        </w:trPr>
        <w:tc>
          <w:tcPr>
            <w:shd w:val="clear" w:color="auto" w:fill="auto"/>
            <w:tcW w:w="754" w:type="pct"/>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247"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中医紧密型医联体建设</w:t>
            </w:r>
            <w:r/>
          </w:p>
        </w:tc>
        <w:tc>
          <w:tcPr>
            <w:shd w:val="clear" w:color="auto" w:fill="auto"/>
            <w:tcW w:w="939"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项</w:t>
            </w:r>
            <w:r/>
          </w:p>
        </w:tc>
        <w:tc>
          <w:tcPr>
            <w:shd w:val="clear" w:color="auto" w:fill="auto"/>
            <w:tcW w:w="1058"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r>
      <w:tr>
        <w:trPr>
          <w:jc w:val="center"/>
        </w:trPr>
        <w:tc>
          <w:tcPr>
            <w:shd w:val="clear" w:color="auto" w:fill="auto"/>
            <w:tcW w:w="754" w:type="pct"/>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p>
        </w:tc>
        <w:tc>
          <w:tcPr>
            <w:shd w:val="clear" w:color="auto" w:fill="auto"/>
            <w:tcW w:w="2247"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医疗服务绩效评价系统</w:t>
            </w:r>
            <w:r/>
          </w:p>
        </w:tc>
        <w:tc>
          <w:tcPr>
            <w:shd w:val="clear" w:color="auto" w:fill="auto"/>
            <w:tcW w:w="939"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项</w:t>
            </w:r>
            <w:r/>
          </w:p>
        </w:tc>
        <w:tc>
          <w:tcPr>
            <w:shd w:val="clear" w:color="auto" w:fill="auto"/>
            <w:tcW w:w="1058"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r>
      <w:tr>
        <w:trPr>
          <w:jc w:val="center"/>
        </w:trPr>
        <w:tc>
          <w:tcPr>
            <w:shd w:val="clear" w:color="auto" w:fill="auto"/>
            <w:tcW w:w="754" w:type="pct"/>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w:t>
            </w:r>
            <w:r/>
          </w:p>
        </w:tc>
        <w:tc>
          <w:tcPr>
            <w:shd w:val="clear" w:color="auto" w:fill="auto"/>
            <w:tcW w:w="2247"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医美中心科室管理信息系统</w:t>
            </w:r>
            <w:r/>
          </w:p>
        </w:tc>
        <w:tc>
          <w:tcPr>
            <w:shd w:val="clear" w:color="auto" w:fill="auto"/>
            <w:tcW w:w="939"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项</w:t>
            </w:r>
            <w:r/>
          </w:p>
        </w:tc>
        <w:tc>
          <w:tcPr>
            <w:shd w:val="clear" w:color="auto" w:fill="auto"/>
            <w:tcW w:w="1058"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r>
      <w:tr>
        <w:trPr>
          <w:jc w:val="center"/>
        </w:trPr>
        <w:tc>
          <w:tcPr>
            <w:shd w:val="clear" w:color="auto" w:fill="auto"/>
            <w:tcW w:w="754" w:type="pct"/>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w:t>
            </w:r>
            <w:r/>
          </w:p>
        </w:tc>
        <w:tc>
          <w:tcPr>
            <w:shd w:val="clear" w:color="auto" w:fill="auto"/>
            <w:tcW w:w="2247"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医院运营分析管理系统（HRP）</w:t>
            </w:r>
            <w:r/>
          </w:p>
        </w:tc>
        <w:tc>
          <w:tcPr>
            <w:shd w:val="clear" w:color="auto" w:fill="auto"/>
            <w:tcW w:w="939"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项</w:t>
            </w:r>
            <w:r/>
          </w:p>
        </w:tc>
        <w:tc>
          <w:tcPr>
            <w:shd w:val="clear" w:color="auto" w:fill="auto"/>
            <w:tcW w:w="1058" w:type="pct"/>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r>
    </w:tbl>
    <w:p>
      <w:pPr>
        <w:ind w:firstLine="480"/>
        <w:jc w:val="left"/>
        <w:spacing w:line="360" w:lineRule="auto"/>
        <w:rPr>
          <w:rFonts w:ascii="宋体" w:hAnsi="宋体" w:eastAsia="宋体" w:cs="Times New Roman"/>
          <w:color w:val="000000"/>
          <w:sz w:val="24"/>
          <w:szCs w:val="24"/>
        </w:rPr>
      </w:pPr>
      <w:r/>
      <w:bookmarkStart w:id="10" w:name="_Toc139967216"/>
      <w:r/>
      <w:bookmarkStart w:id="11" w:name="_Toc139966432"/>
      <w:r>
        <w:rPr>
          <w:rFonts w:hint="eastAsia" w:ascii="宋体" w:hAnsi="宋体" w:eastAsia="宋体" w:cs="Times New Roman"/>
          <w:color w:val="000000"/>
          <w:sz w:val="24"/>
          <w:szCs w:val="24"/>
        </w:rPr>
        <w:t xml:space="preserve">2、服务技术要求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各系统功能模块与参数要求见下表：</w:t>
      </w:r>
      <w:r/>
    </w:p>
    <w:tbl>
      <w:tblPr>
        <w:tblStyle w:val="715"/>
        <w:tblW w:w="88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122"/>
        <w:gridCol w:w="1173"/>
        <w:gridCol w:w="4862"/>
      </w:tblGrid>
      <w:tr>
        <w:trPr>
          <w:jc w:val="center"/>
        </w:trPr>
        <w:tc>
          <w:tcPr>
            <w:shd w:val="clear" w:color="auto" w:fill="auto"/>
            <w:tcW w:w="1716" w:type="dxa"/>
            <w:vAlign w:val="center"/>
            <w:textDirection w:val="lrTb"/>
            <w:noWrap w:val="false"/>
          </w:tcPr>
          <w:p>
            <w:pPr>
              <w:jc w:val="center"/>
              <w:rPr>
                <w:rFonts w:ascii="宋体" w:hAnsi="宋体" w:eastAsia="宋体" w:cs="宋体"/>
                <w:b/>
                <w:bCs/>
                <w:color w:val="000000"/>
                <w:sz w:val="22"/>
              </w:rPr>
            </w:pPr>
            <w:r>
              <w:rPr>
                <w:rFonts w:hint="eastAsia" w:ascii="宋体" w:hAnsi="宋体" w:eastAsia="宋体" w:cs="宋体"/>
                <w:b/>
                <w:bCs/>
                <w:color w:val="000000"/>
                <w:sz w:val="22"/>
                <w:lang w:bidi="ar"/>
              </w:rPr>
              <w:t xml:space="preserve">子系统</w:t>
            </w:r>
            <w:r/>
          </w:p>
        </w:tc>
        <w:tc>
          <w:tcPr>
            <w:shd w:val="clear" w:color="auto" w:fill="auto"/>
            <w:tcW w:w="1122" w:type="dxa"/>
            <w:vAlign w:val="center"/>
            <w:textDirection w:val="lrTb"/>
            <w:noWrap w:val="false"/>
          </w:tcPr>
          <w:p>
            <w:pPr>
              <w:jc w:val="center"/>
              <w:rPr>
                <w:rFonts w:ascii="宋体" w:hAnsi="宋体" w:eastAsia="宋体" w:cs="宋体"/>
                <w:b/>
                <w:bCs/>
                <w:color w:val="000000"/>
                <w:sz w:val="22"/>
              </w:rPr>
            </w:pPr>
            <w:r>
              <w:rPr>
                <w:rFonts w:hint="eastAsia" w:ascii="宋体" w:hAnsi="宋体" w:eastAsia="宋体" w:cs="宋体"/>
                <w:b/>
                <w:bCs/>
                <w:color w:val="000000"/>
                <w:sz w:val="22"/>
                <w:lang w:bidi="ar"/>
              </w:rPr>
              <w:t xml:space="preserve">功能模块</w:t>
            </w:r>
            <w:r/>
          </w:p>
        </w:tc>
        <w:tc>
          <w:tcPr>
            <w:shd w:val="clear" w:color="auto" w:fill="auto"/>
            <w:tcW w:w="1173" w:type="dxa"/>
            <w:vAlign w:val="center"/>
            <w:textDirection w:val="lrTb"/>
            <w:noWrap w:val="false"/>
          </w:tcPr>
          <w:p>
            <w:pPr>
              <w:jc w:val="center"/>
              <w:rPr>
                <w:rFonts w:ascii="宋体" w:hAnsi="宋体" w:eastAsia="宋体" w:cs="宋体"/>
                <w:b/>
                <w:bCs/>
                <w:color w:val="000000"/>
                <w:sz w:val="22"/>
              </w:rPr>
            </w:pPr>
            <w:r>
              <w:rPr>
                <w:rFonts w:hint="eastAsia" w:ascii="宋体" w:hAnsi="宋体" w:eastAsia="宋体" w:cs="宋体"/>
                <w:b/>
                <w:bCs/>
                <w:color w:val="000000"/>
                <w:sz w:val="22"/>
                <w:lang w:bidi="ar"/>
              </w:rPr>
              <w:t xml:space="preserve">子模块</w:t>
            </w:r>
            <w:r/>
          </w:p>
        </w:tc>
        <w:tc>
          <w:tcPr>
            <w:shd w:val="clear" w:color="auto" w:fill="auto"/>
            <w:tcW w:w="4862" w:type="dxa"/>
            <w:vAlign w:val="center"/>
            <w:textDirection w:val="lrTb"/>
            <w:noWrap w:val="false"/>
          </w:tcPr>
          <w:p>
            <w:pPr>
              <w:jc w:val="center"/>
              <w:rPr>
                <w:rFonts w:ascii="宋体" w:hAnsi="宋体" w:eastAsia="宋体" w:cs="宋体"/>
                <w:b/>
                <w:bCs/>
                <w:color w:val="000000"/>
                <w:sz w:val="22"/>
              </w:rPr>
            </w:pPr>
            <w:r>
              <w:rPr>
                <w:rFonts w:hint="eastAsia" w:ascii="宋体" w:hAnsi="宋体" w:eastAsia="宋体" w:cs="宋体"/>
                <w:b/>
                <w:bCs/>
                <w:color w:val="000000"/>
                <w:sz w:val="22"/>
                <w:lang w:bidi="ar"/>
              </w:rPr>
              <w:t xml:space="preserve">参数要求</w:t>
            </w:r>
            <w:r/>
          </w:p>
        </w:tc>
      </w:tr>
      <w:tr>
        <w:trPr>
          <w:jc w:val="center"/>
        </w:trPr>
        <w:tc>
          <w:tcPr>
            <w:shd w:val="clear" w:color="auto" w:fill="auto"/>
            <w:tcW w:w="1716" w:type="dxa"/>
            <w:vAlign w:val="center"/>
            <w:vMerge w:val="restart"/>
            <w:textDirection w:val="lrTb"/>
            <w:noWrap/>
          </w:tcPr>
          <w:p>
            <w:pPr>
              <w:jc w:val="center"/>
              <w:rPr>
                <w:rFonts w:ascii="宋体" w:hAnsi="宋体" w:eastAsia="宋体" w:cs="宋体"/>
                <w:color w:val="000000"/>
                <w:sz w:val="22"/>
              </w:rPr>
            </w:pPr>
            <w:r>
              <w:rPr>
                <w:rFonts w:hint="eastAsia" w:ascii="宋体" w:hAnsi="宋体" w:eastAsia="宋体" w:cs="宋体"/>
                <w:color w:val="000000"/>
                <w:sz w:val="22"/>
                <w:lang w:bidi="ar"/>
              </w:rPr>
              <w:t xml:space="preserve">中医紧密型医联体建设</w:t>
            </w:r>
            <w:r/>
          </w:p>
        </w:tc>
        <w:tc>
          <w:tcPr>
            <w:shd w:val="clear" w:color="auto" w:fill="auto"/>
            <w:tcW w:w="1122" w:type="dxa"/>
            <w:vAlign w:val="center"/>
            <w:vMerge w:val="restart"/>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统一药品目录</w:t>
            </w:r>
            <w:r/>
          </w:p>
        </w:tc>
        <w:tc>
          <w:tcPr>
            <w:shd w:val="clear" w:color="auto" w:fill="auto"/>
            <w:tcW w:w="1173"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药品管理</w:t>
            </w:r>
            <w:r/>
          </w:p>
        </w:tc>
        <w:tc>
          <w:tcPr>
            <w:shd w:val="clear" w:color="auto" w:fill="auto"/>
            <w:tcW w:w="4862" w:type="dxa"/>
            <w:vAlign w:val="center"/>
            <w:textDirection w:val="lrTb"/>
            <w:noWrap w:val="false"/>
          </w:tcPr>
          <w:p>
            <w:pPr>
              <w:numPr>
                <w:ilvl w:val="0"/>
                <w:numId w:val="1"/>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药品管理</w:t>
            </w:r>
            <w:r>
              <w:rPr>
                <w:rFonts w:hint="eastAsia" w:ascii="宋体" w:hAnsi="宋体" w:eastAsia="宋体" w:cs="宋体"/>
                <w:sz w:val="22"/>
              </w:rPr>
              <w:br/>
            </w:r>
            <w:r>
              <w:rPr>
                <w:rFonts w:hint="eastAsia" w:ascii="宋体" w:hAnsi="宋体" w:eastAsia="宋体" w:cs="宋体"/>
                <w:sz w:val="22"/>
              </w:rPr>
              <w:t xml:space="preserve">主要对国家标准编码、药品类别、药理大类、药品名称、通用名（中文）、申请时间进行管理。</w:t>
            </w:r>
            <w:r/>
          </w:p>
          <w:p>
            <w:pPr>
              <w:numPr>
                <w:ilvl w:val="0"/>
                <w:numId w:val="1"/>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药品目录列表</w:t>
            </w:r>
            <w:r>
              <w:rPr>
                <w:rFonts w:hint="eastAsia" w:ascii="宋体" w:hAnsi="宋体" w:eastAsia="宋体" w:cs="宋体"/>
                <w:sz w:val="22"/>
              </w:rPr>
              <w:br/>
            </w:r>
            <w:r>
              <w:rPr>
                <w:rFonts w:hint="eastAsia" w:ascii="宋体" w:hAnsi="宋体" w:eastAsia="宋体" w:cs="宋体"/>
                <w:sz w:val="22"/>
              </w:rPr>
              <w:t xml:space="preserve">主要展示药品编码、国家标准编码、药品分类、药品名称、通用名（中文）、药品规格、转换系数、药品厂商等信息。</w:t>
            </w:r>
            <w:r/>
          </w:p>
          <w:p>
            <w:pPr>
              <w:numPr>
                <w:ilvl w:val="0"/>
                <w:numId w:val="1"/>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待匹配药品列表</w:t>
            </w:r>
            <w:r>
              <w:rPr>
                <w:rFonts w:hint="eastAsia" w:ascii="宋体" w:hAnsi="宋体" w:eastAsia="宋体" w:cs="宋体"/>
                <w:sz w:val="22"/>
              </w:rPr>
              <w:br/>
            </w:r>
            <w:r>
              <w:rPr>
                <w:rFonts w:hint="eastAsia" w:ascii="宋体" w:hAnsi="宋体" w:eastAsia="宋体" w:cs="宋体"/>
                <w:sz w:val="22"/>
              </w:rPr>
              <w:t xml:space="preserve">待匹配药品列表，展示医院名称、医院药品编码、对应国际、药品名、通用名、批准文号、厂商、规格、对应医保编码等信息，用于医院药房药品信息匹配便于流通。</w:t>
            </w:r>
            <w:r/>
          </w:p>
          <w:p>
            <w:pPr>
              <w:numPr>
                <w:ilvl w:val="0"/>
                <w:numId w:val="1"/>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已匹配药品列表</w:t>
            </w:r>
            <w:r>
              <w:rPr>
                <w:rFonts w:hint="eastAsia" w:ascii="宋体" w:hAnsi="宋体" w:eastAsia="宋体" w:cs="宋体"/>
                <w:sz w:val="22"/>
              </w:rPr>
              <w:br/>
            </w:r>
            <w:r>
              <w:rPr>
                <w:rFonts w:hint="eastAsia" w:ascii="宋体" w:hAnsi="宋体" w:eastAsia="宋体" w:cs="宋体"/>
                <w:sz w:val="22"/>
              </w:rPr>
              <w:t xml:space="preserve">展示医院名称、医院药品编码、审核平台编码、药品名、通用名、批准文号、厂商、规格、对应医保编码、包装、最小单位等药品流通信息。</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基础信息维护</w:t>
            </w:r>
            <w:r/>
          </w:p>
        </w:tc>
        <w:tc>
          <w:tcPr>
            <w:shd w:val="clear" w:color="auto" w:fill="auto"/>
            <w:tcW w:w="4862" w:type="dxa"/>
            <w:vAlign w:val="center"/>
            <w:textDirection w:val="lrTb"/>
            <w:noWrap w:val="false"/>
          </w:tcPr>
          <w:p>
            <w:pPr>
              <w:numPr>
                <w:ilvl w:val="0"/>
                <w:numId w:val="2"/>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人员管理</w:t>
            </w:r>
            <w:r>
              <w:rPr>
                <w:rFonts w:hint="eastAsia" w:ascii="宋体" w:hAnsi="宋体" w:eastAsia="宋体" w:cs="宋体"/>
                <w:sz w:val="22"/>
              </w:rPr>
              <w:br/>
            </w:r>
            <w:r>
              <w:rPr>
                <w:rFonts w:hint="eastAsia" w:ascii="宋体" w:hAnsi="宋体" w:eastAsia="宋体" w:cs="宋体"/>
                <w:sz w:val="22"/>
              </w:rPr>
              <w:t xml:space="preserve">展示人员管理信息，主要包括机构名称、科室名称、负责人姓名、用户名、联系方式、邮箱等，用于药品审核人员信息维护。</w:t>
            </w:r>
            <w:r/>
          </w:p>
          <w:p>
            <w:pPr>
              <w:numPr>
                <w:ilvl w:val="0"/>
                <w:numId w:val="2"/>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厂商管理</w:t>
            </w:r>
            <w:r>
              <w:rPr>
                <w:rFonts w:hint="eastAsia" w:ascii="宋体" w:hAnsi="宋体" w:eastAsia="宋体" w:cs="宋体"/>
                <w:sz w:val="22"/>
              </w:rPr>
              <w:br/>
            </w:r>
            <w:r>
              <w:rPr>
                <w:rFonts w:hint="eastAsia" w:ascii="宋体" w:hAnsi="宋体" w:eastAsia="宋体" w:cs="宋体"/>
                <w:sz w:val="22"/>
              </w:rPr>
              <w:t xml:space="preserve">用于维护药品厂商信息，包括：厂商名、厂商编码、公司地址、主营产品、经营模式、成立时间、注册资本等。</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统一药品采购</w:t>
            </w:r>
            <w:r/>
          </w:p>
        </w:tc>
        <w:tc>
          <w:tcPr>
            <w:shd w:val="clear" w:color="auto" w:fill="auto"/>
            <w:tcW w:w="1173"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计划生成</w:t>
            </w:r>
            <w:r/>
          </w:p>
        </w:tc>
        <w:tc>
          <w:tcPr>
            <w:shd w:val="clear" w:color="auto" w:fill="auto"/>
            <w:tcW w:w="4862"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根据成员单位药品库存情况和用药需求，自动生成药品采购计划，采购人员可进行人工调整。</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订单下达</w:t>
            </w:r>
            <w:r/>
          </w:p>
        </w:tc>
        <w:tc>
          <w:tcPr>
            <w:shd w:val="clear" w:color="auto" w:fill="auto"/>
            <w:tcW w:w="4862"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通过系统与药品供应商进行采购订单交互，跟踪订单执行进度，包括发货、到货验收等环节。</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供应商管理</w:t>
            </w:r>
            <w:r/>
          </w:p>
        </w:tc>
        <w:tc>
          <w:tcPr>
            <w:shd w:val="clear" w:color="auto" w:fill="auto"/>
            <w:tcW w:w="4862"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记录供应商基本信息、供应药品品种、配送服务质量等，对供应商进行综合评价与管理。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医共体成员机构对接与改造</w:t>
            </w:r>
            <w:r/>
          </w:p>
        </w:tc>
        <w:tc>
          <w:tcPr>
            <w:shd w:val="clear" w:color="auto" w:fill="auto"/>
            <w:tcW w:w="4862" w:type="dxa"/>
            <w:vAlign w:val="center"/>
            <w:textDirection w:val="lrTb"/>
            <w:noWrap w:val="false"/>
          </w:tcPr>
          <w:p>
            <w:pPr>
              <w:numPr>
                <w:ilvl w:val="0"/>
                <w:numId w:val="3"/>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目录字典同步服务</w:t>
            </w:r>
            <w:r>
              <w:rPr>
                <w:rFonts w:hint="eastAsia" w:ascii="宋体" w:hAnsi="宋体" w:eastAsia="宋体" w:cs="宋体"/>
                <w:sz w:val="22"/>
              </w:rPr>
              <w:br/>
            </w:r>
            <w:r>
              <w:rPr>
                <w:rFonts w:hint="eastAsia" w:ascii="宋体" w:hAnsi="宋体" w:eastAsia="宋体" w:cs="宋体"/>
                <w:sz w:val="22"/>
              </w:rPr>
              <w:t xml:space="preserve">各医疗机构的共享药品目录代码同步，医生代码同步，医保备案信息同步，药品目录标准同步至平台进行流通。</w:t>
            </w:r>
            <w:r/>
          </w:p>
          <w:p>
            <w:pPr>
              <w:numPr>
                <w:ilvl w:val="0"/>
                <w:numId w:val="3"/>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医生开方系统改造</w:t>
            </w:r>
            <w:r>
              <w:rPr>
                <w:rFonts w:hint="eastAsia" w:ascii="宋体" w:hAnsi="宋体" w:eastAsia="宋体" w:cs="宋体"/>
                <w:sz w:val="22"/>
              </w:rPr>
              <w:br/>
            </w:r>
            <w:r>
              <w:rPr>
                <w:rFonts w:hint="eastAsia" w:ascii="宋体" w:hAnsi="宋体" w:eastAsia="宋体" w:cs="宋体"/>
                <w:sz w:val="22"/>
              </w:rPr>
              <w:t xml:space="preserve">医生在开方时可显示对应共享药房的药品目录和参考库存。药品目录和参考库存需要与平台进行同步。医生开方需要支持药品配送信息的输入。</w:t>
            </w:r>
            <w:r/>
          </w:p>
          <w:p>
            <w:pPr>
              <w:numPr>
                <w:ilvl w:val="0"/>
                <w:numId w:val="3"/>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收费系统改造</w:t>
            </w:r>
            <w:r>
              <w:rPr>
                <w:rFonts w:hint="eastAsia" w:ascii="宋体" w:hAnsi="宋体" w:eastAsia="宋体" w:cs="宋体"/>
                <w:sz w:val="22"/>
              </w:rPr>
              <w:br/>
            </w:r>
            <w:r>
              <w:rPr>
                <w:rFonts w:hint="eastAsia" w:ascii="宋体" w:hAnsi="宋体" w:eastAsia="宋体" w:cs="宋体"/>
                <w:sz w:val="22"/>
              </w:rPr>
              <w:t xml:space="preserve">对共享药房处方的收费处理与院内药房处方处理一致，共享药房处方收完费后将处方和配送信息推送至平台，平台流转至发药药房。</w:t>
            </w:r>
            <w:r>
              <w:rPr>
                <w:rFonts w:hint="eastAsia" w:ascii="宋体" w:hAnsi="宋体" w:eastAsia="宋体" w:cs="宋体"/>
                <w:sz w:val="22"/>
              </w:rPr>
              <w:br/>
            </w:r>
            <w:r>
              <w:rPr>
                <w:rFonts w:hint="eastAsia" w:ascii="宋体" w:hAnsi="宋体" w:eastAsia="宋体" w:cs="宋体"/>
                <w:sz w:val="22"/>
              </w:rPr>
              <w:t xml:space="preserve">处方收费作废与部分退费改造，需要判断处方的配发药状态，并将作废或退药信息同步至平台，平台推送至药房。</w:t>
            </w:r>
            <w:r/>
          </w:p>
          <w:p>
            <w:pPr>
              <w:numPr>
                <w:ilvl w:val="0"/>
                <w:numId w:val="3"/>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药房系统改造</w:t>
            </w:r>
            <w:r>
              <w:rPr>
                <w:rFonts w:hint="eastAsia" w:ascii="宋体" w:hAnsi="宋体" w:eastAsia="宋体" w:cs="宋体"/>
                <w:sz w:val="22"/>
              </w:rPr>
              <w:br/>
            </w:r>
            <w:r>
              <w:rPr>
                <w:rFonts w:hint="eastAsia" w:ascii="宋体" w:hAnsi="宋体" w:eastAsia="宋体" w:cs="宋体"/>
                <w:sz w:val="22"/>
              </w:rPr>
              <w:t xml:space="preserve">药房系统接收院外处方流入的适应改造，需记录处方来源与配送信息，配药扣库存一体处理，并能提供相应的统计报告。配发药状态实时同步至平台。再同步至开方收费机构。</w:t>
            </w:r>
            <w:r/>
          </w:p>
        </w:tc>
      </w:tr>
      <w:tr>
        <w:trPr>
          <w:jc w:val="center"/>
        </w:trPr>
        <w:tc>
          <w:tcPr>
            <w:shd w:val="clear" w:color="auto" w:fill="auto"/>
            <w:tcW w:w="1716" w:type="dxa"/>
            <w:vAlign w:val="center"/>
            <w:vMerge w:val="restart"/>
            <w:textDirection w:val="lrTb"/>
            <w:noWrap/>
          </w:tcPr>
          <w:p>
            <w:pPr>
              <w:jc w:val="center"/>
              <w:rPr>
                <w:rFonts w:ascii="宋体" w:hAnsi="宋体" w:eastAsia="宋体" w:cs="宋体"/>
                <w:color w:val="000000"/>
                <w:sz w:val="22"/>
              </w:rPr>
            </w:pPr>
            <w:r>
              <w:rPr>
                <w:rFonts w:hint="eastAsia" w:ascii="宋体" w:hAnsi="宋体" w:eastAsia="宋体" w:cs="宋体"/>
                <w:color w:val="000000"/>
                <w:sz w:val="22"/>
              </w:rPr>
              <w:t xml:space="preserve">医疗服务绩效评价</w:t>
            </w:r>
            <w:r/>
          </w:p>
        </w:tc>
        <w:tc>
          <w:tcPr>
            <w:shd w:val="clear" w:color="auto" w:fill="auto"/>
            <w:tcW w:w="1122"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病案查询</w:t>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病例列表</w:t>
            </w:r>
            <w:r/>
          </w:p>
        </w:tc>
        <w:tc>
          <w:tcPr>
            <w:shd w:val="clear" w:color="auto" w:fill="auto"/>
            <w:tcW w:w="4862" w:type="dxa"/>
            <w:vAlign w:val="center"/>
            <w:textDirection w:val="lrTb"/>
            <w:noWrap w:val="false"/>
          </w:tcPr>
          <w:p>
            <w:pPr>
              <w:jc w:val="left"/>
              <w:rPr>
                <w:rFonts w:ascii="宋体" w:hAnsi="宋体" w:eastAsia="宋体" w:cs="宋体"/>
                <w:color w:val="000000"/>
                <w:sz w:val="22"/>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2"/>
                <w:highlight w:val="none"/>
                <w:lang w:bidi="ar"/>
              </w:rPr>
              <w:t xml:space="preserve">提供所有离院病例的查询功能，支持多种复合条件，支持快速筛选未入组、再入院、低风险死亡等范围病例快速筛选。</w:t>
            </w:r>
            <w:r>
              <w:rPr>
                <w:rFonts w:hint="eastAsia" w:ascii="宋体" w:hAnsi="宋体" w:eastAsia="宋体" w:cs="宋体"/>
                <w:color w:val="000000"/>
                <w:sz w:val="22"/>
                <w:highlight w:val="none"/>
                <w:lang w:bidi="ar"/>
              </w:rPr>
              <w:br/>
            </w:r>
            <w:r>
              <w:rPr>
                <w:rFonts w:hint="eastAsia" w:ascii="宋体" w:hAnsi="宋体" w:eastAsia="宋体" w:cs="宋体"/>
                <w:color w:val="000000"/>
                <w:sz w:val="22"/>
                <w:highlight w:val="none"/>
                <w:lang w:bidi="ar"/>
              </w:rPr>
              <w:t xml:space="preserve">可钻取查看患者DRG分组明细和病案首页。</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运营评价</w:t>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运营评价</w:t>
            </w:r>
            <w:r/>
          </w:p>
        </w:tc>
        <w:tc>
          <w:tcPr>
            <w:shd w:val="clear" w:color="auto" w:fill="auto"/>
            <w:tcW w:w="4862" w:type="dxa"/>
            <w:vAlign w:val="center"/>
            <w:textDirection w:val="lrTb"/>
            <w:noWrap w:val="false"/>
          </w:tcPr>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(1)</w:t>
            </w:r>
            <w:r>
              <w:rPr>
                <w:rFonts w:hint="eastAsia" w:ascii="宋体" w:hAnsi="宋体" w:eastAsia="宋体" w:cs="宋体"/>
                <w:sz w:val="22"/>
                <w:highlight w:val="none"/>
              </w:rPr>
              <w:t xml:space="preserve">运营指标统计，包括能力、效率、安全等范围的指标，提供指标的本期值、同环比及指标趋势图和科室/医生/医疗组的指标排名。</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(2)</w:t>
            </w:r>
            <w:r>
              <w:rPr>
                <w:rFonts w:hint="eastAsia" w:ascii="宋体" w:hAnsi="宋体" w:eastAsia="宋体" w:cs="宋体"/>
                <w:sz w:val="22"/>
                <w:highlight w:val="none"/>
              </w:rPr>
              <w:t xml:space="preserve">对能力、效率、安全指标和费用分析进行散点图分析。</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(3)</w:t>
            </w:r>
            <w:r>
              <w:rPr>
                <w:rFonts w:hint="eastAsia" w:ascii="宋体" w:hAnsi="宋体" w:eastAsia="宋体" w:cs="宋体"/>
                <w:sz w:val="22"/>
                <w:highlight w:val="none"/>
              </w:rPr>
              <w:t xml:space="preserve">按照科室、医疗组、医生维度进行各项运营指标的统计和横向对比，支持多选进行单独对比。</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运营目标监测</w:t>
            </w:r>
            <w:r/>
          </w:p>
        </w:tc>
        <w:tc>
          <w:tcPr>
            <w:shd w:val="clear" w:color="auto" w:fill="auto"/>
            <w:tcW w:w="4862" w:type="dxa"/>
            <w:vAlign w:val="center"/>
            <w:textDirection w:val="lrTb"/>
            <w:noWrap/>
          </w:tcPr>
          <w:p>
            <w:pPr>
              <w:jc w:val="left"/>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监控全院/科室设定的目标值达成情况，包括当前值、达成率及当前差距等，同时提供单项指标的月度及年度趋势。</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学科发展</w:t>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MDC分析</w:t>
            </w:r>
            <w:r/>
          </w:p>
        </w:tc>
        <w:tc>
          <w:tcPr>
            <w:shd w:val="clear" w:color="auto" w:fill="auto"/>
            <w:tcW w:w="4862" w:type="dxa"/>
            <w:vAlign w:val="center"/>
            <w:textDirection w:val="lrTb"/>
            <w:noWrap w:val="false"/>
          </w:tcPr>
          <w:p>
            <w:pPr>
              <w:jc w:val="left"/>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MDC分析概况：</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(1)</w:t>
            </w:r>
            <w:r>
              <w:rPr>
                <w:rFonts w:hint="eastAsia" w:ascii="宋体" w:hAnsi="宋体" w:eastAsia="宋体" w:cs="宋体"/>
                <w:sz w:val="22"/>
                <w:highlight w:val="none"/>
              </w:rPr>
              <w:t xml:space="preserve">根据离院数据进行学科MDC覆盖率统计，统计MDC、ADRG、DRG覆盖情况、覆盖率及环比变，统计确实的学科。</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(2)</w:t>
            </w:r>
            <w:r>
              <w:rPr>
                <w:rFonts w:hint="eastAsia" w:ascii="宋体" w:hAnsi="宋体" w:eastAsia="宋体" w:cs="宋体"/>
                <w:sz w:val="22"/>
                <w:highlight w:val="none"/>
              </w:rPr>
              <w:t xml:space="preserve">统计各覆盖MDC的各权重区间病例数分布和各MDC的死亡率。</w:t>
            </w:r>
            <w:r>
              <w:rPr>
                <w:rFonts w:hint="eastAsia" w:ascii="宋体" w:hAnsi="宋体" w:eastAsia="宋体" w:cs="宋体"/>
                <w:sz w:val="22"/>
                <w:highlight w:val="none"/>
              </w:rPr>
              <w:br/>
            </w:r>
            <w:r>
              <w:rPr>
                <w:rFonts w:hint="eastAsia" w:ascii="宋体" w:hAnsi="宋体" w:eastAsia="宋体" w:cs="宋体"/>
                <w:sz w:val="22"/>
                <w:highlight w:val="none"/>
              </w:rPr>
              <w:t xml:space="preserve">MDC分析列表：</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(3)</w:t>
            </w:r>
            <w:r>
              <w:rPr>
                <w:rFonts w:hint="eastAsia" w:ascii="宋体" w:hAnsi="宋体" w:eastAsia="宋体" w:cs="宋体"/>
                <w:sz w:val="22"/>
                <w:highlight w:val="none"/>
              </w:rPr>
              <w:t xml:space="preserve">表格形式统计各MDC的统计指标，包括例数、CMI、权重、DRG组数及覆盖、ADRG组数及覆盖等指标，以及各项费用及费用占比</w:t>
            </w:r>
            <w:r>
              <w:rPr>
                <w:rFonts w:hint="eastAsia" w:ascii="宋体" w:hAnsi="宋体" w:eastAsia="宋体" w:cs="宋体"/>
                <w:sz w:val="22"/>
                <w:highlight w:val="none"/>
              </w:rPr>
              <w:br/>
            </w:r>
            <w:r>
              <w:rPr>
                <w:rFonts w:hint="eastAsia" w:ascii="宋体" w:hAnsi="宋体" w:eastAsia="宋体" w:cs="宋体"/>
                <w:sz w:val="22"/>
                <w:highlight w:val="none"/>
              </w:rPr>
              <w:t xml:space="preserve">MDC详细分析，针对某一MDC进行详情分析。</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(4)</w:t>
            </w:r>
            <w:r>
              <w:rPr>
                <w:rFonts w:hint="eastAsia" w:ascii="宋体" w:hAnsi="宋体" w:eastAsia="宋体" w:cs="宋体"/>
                <w:sz w:val="22"/>
                <w:highlight w:val="none"/>
              </w:rPr>
              <w:t xml:space="preserve">统计单一MDC的病例数、权重、CMI、时间/费用消耗指数等指标，及环比变化。各权重区间病例数分布。</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(5)</w:t>
            </w:r>
            <w:r>
              <w:rPr>
                <w:rFonts w:hint="eastAsia" w:ascii="宋体" w:hAnsi="宋体" w:eastAsia="宋体" w:cs="宋体"/>
                <w:sz w:val="22"/>
                <w:highlight w:val="none"/>
              </w:rPr>
              <w:t xml:space="preserve">平均住院日_次均费用、药占比_耗占比的散点分布。</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(6)</w:t>
            </w:r>
            <w:r>
              <w:rPr>
                <w:rFonts w:hint="eastAsia" w:ascii="宋体" w:hAnsi="宋体" w:eastAsia="宋体" w:cs="宋体"/>
                <w:sz w:val="22"/>
                <w:highlight w:val="none"/>
              </w:rPr>
              <w:t xml:space="preserve">同一MDC下的科室对比、 DRG对比，包括能力、效率、安全、费用结构、诊疗规范等指标。</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DRG分析</w:t>
            </w:r>
            <w:r/>
          </w:p>
        </w:tc>
        <w:tc>
          <w:tcPr>
            <w:shd w:val="clear" w:color="auto" w:fill="auto"/>
            <w:tcW w:w="4862" w:type="dxa"/>
            <w:vAlign w:val="center"/>
            <w:textDirection w:val="lrTb"/>
            <w:noWrap w:val="false"/>
          </w:tcPr>
          <w:p>
            <w:pPr>
              <w:jc w:val="left"/>
              <w:spacing w:before="120" w:after="120"/>
              <w:rPr>
                <w:rFonts w:ascii="宋体" w:hAnsi="宋体" w:eastAsia="宋体" w:cs="宋体"/>
                <w:sz w:val="22"/>
                <w:highlight w:val="none"/>
              </w:rPr>
            </w:pPr>
            <w:r>
              <w:rPr>
                <w:rFonts w:hint="eastAsia" w:ascii="宋体" w:hAnsi="宋体" w:eastAsia="宋体" w:cs="宋体"/>
                <w:sz w:val="22"/>
                <w:highlight w:val="none"/>
              </w:rPr>
              <w:t xml:space="preserve">针对单一DRG组进行统计分析。</w:t>
            </w:r>
            <w:r/>
          </w:p>
          <w:p>
            <w:pPr>
              <w:jc w:val="left"/>
              <w:spacing w:before="120" w:after="120"/>
              <w:rPr>
                <w:rFonts w:ascii="宋体" w:hAnsi="宋体" w:eastAsia="宋体" w:cs="宋体"/>
                <w:sz w:val="22"/>
                <w:highlight w:val="none"/>
              </w:rPr>
            </w:pPr>
            <w:r>
              <w:rPr>
                <w:rFonts w:hint="eastAsia" w:ascii="宋体" w:hAnsi="宋体" w:eastAsia="宋体" w:cs="宋体"/>
                <w:sz w:val="24"/>
                <w:szCs w:val="24"/>
                <w:highlight w:val="none"/>
              </w:rPr>
              <w:t xml:space="preserve">▲</w:t>
            </w:r>
            <w:r>
              <w:rPr>
                <w:rFonts w:ascii="宋体" w:hAnsi="宋体" w:eastAsia="宋体" w:cs="宋体"/>
                <w:sz w:val="22"/>
                <w:highlight w:val="none"/>
              </w:rPr>
              <w:t xml:space="preserve">(1)</w:t>
            </w:r>
            <w:r>
              <w:rPr>
                <w:rFonts w:hint="eastAsia" w:ascii="宋体" w:hAnsi="宋体" w:eastAsia="宋体" w:cs="宋体"/>
                <w:sz w:val="22"/>
                <w:highlight w:val="none"/>
              </w:rPr>
              <w:t xml:space="preserve">统计病组病例数、总权重、死亡率、再入院等核心指标以及次均住院费用、平均转日、次均费用、次均耗材费等关键指标的趋势。</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(2)</w:t>
            </w:r>
            <w:r>
              <w:rPr>
                <w:rFonts w:hint="eastAsia" w:ascii="宋体" w:hAnsi="宋体" w:eastAsia="宋体" w:cs="宋体"/>
                <w:sz w:val="22"/>
                <w:highlight w:val="none"/>
              </w:rPr>
              <w:t xml:space="preserve">统计同一DRG组在不同科室和医师间的数据对比。</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(3)</w:t>
            </w:r>
            <w:r>
              <w:rPr>
                <w:rFonts w:hint="eastAsia" w:ascii="宋体" w:hAnsi="宋体" w:eastAsia="宋体" w:cs="宋体"/>
                <w:sz w:val="22"/>
                <w:highlight w:val="none"/>
              </w:rPr>
              <w:t xml:space="preserve">分别按照当前DRG组内的主要诊断、主要手术进行数据统计。</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(4)</w:t>
            </w:r>
            <w:r>
              <w:rPr>
                <w:rFonts w:hint="eastAsia" w:ascii="宋体" w:hAnsi="宋体" w:eastAsia="宋体" w:cs="宋体"/>
                <w:sz w:val="22"/>
                <w:highlight w:val="none"/>
              </w:rPr>
              <w:t xml:space="preserve">提供当前病组的病例明细。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重点病种监测</w:t>
            </w:r>
            <w:r/>
          </w:p>
        </w:tc>
        <w:tc>
          <w:tcPr>
            <w:shd w:val="clear" w:color="auto" w:fill="auto"/>
            <w:tcW w:w="4862" w:type="dxa"/>
            <w:vAlign w:val="center"/>
            <w:textDirection w:val="lrTb"/>
            <w:noWrap w:val="false"/>
          </w:tcPr>
          <w:p>
            <w:pPr>
              <w:numPr>
                <w:ilvl w:val="0"/>
                <w:numId w:val="4"/>
              </w:numPr>
              <w:ind w:left="0" w:firstLine="0"/>
              <w:jc w:val="left"/>
              <w:spacing w:before="120" w:after="120"/>
              <w:rPr>
                <w:rFonts w:ascii="宋体" w:hAnsi="宋体" w:eastAsia="宋体" w:cs="宋体"/>
                <w:sz w:val="22"/>
              </w:rPr>
            </w:pPr>
            <w:r>
              <w:rPr>
                <w:rFonts w:hint="eastAsia" w:ascii="宋体" w:hAnsi="宋体" w:eastAsia="宋体" w:cs="宋体"/>
                <w:sz w:val="22"/>
              </w:rPr>
              <w:t xml:space="preserve">对系统维护的重点病种进行相关指标统计和趋势分析。</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重点术种监测</w:t>
            </w:r>
            <w:r/>
          </w:p>
        </w:tc>
        <w:tc>
          <w:tcPr>
            <w:shd w:val="clear" w:color="auto" w:fill="auto"/>
            <w:tcW w:w="4862"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对系统维护的重点手术进行相关指标统计和趋势分析。</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绩效评价</w:t>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绩效评分</w:t>
            </w:r>
            <w:r/>
          </w:p>
        </w:tc>
        <w:tc>
          <w:tcPr>
            <w:shd w:val="clear" w:color="auto" w:fill="auto"/>
            <w:tcW w:w="4862" w:type="dxa"/>
            <w:vAlign w:val="center"/>
            <w:textDirection w:val="lrTb"/>
            <w:noWrap w:val="false"/>
          </w:tcPr>
          <w:p>
            <w:pPr>
              <w:numPr>
                <w:ilvl w:val="0"/>
                <w:numId w:val="5"/>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综合评价：根据系统维护的综合评分计算公式，展示全院/科室的综合评分及各考核指标值和得分。</w:t>
            </w:r>
            <w:r/>
          </w:p>
          <w:p>
            <w:pPr>
              <w:numPr>
                <w:ilvl w:val="0"/>
                <w:numId w:val="5"/>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自定义评价：根据系统维护的自定义评分方式，展示全院/科室的综合评分及各考核指标值和得分。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Topsis评分</w:t>
            </w:r>
            <w:r/>
          </w:p>
        </w:tc>
        <w:tc>
          <w:tcPr>
            <w:shd w:val="clear" w:color="auto" w:fill="auto"/>
            <w:tcW w:w="4862" w:type="dxa"/>
            <w:vAlign w:val="center"/>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根据自定义的参评指标级权重，采用TOPSIS评价机制对参评对象进行综合评价。</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专项分析</w:t>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死亡分析</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对时间段内医疗行为安全数据进行汇总。分析全院、科室等指定维度死亡率及各风险等级死亡数据，能够提供死亡趋势及科室/病组分布排名和死亡患者明细列表。</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低风险病种死亡</w:t>
            </w:r>
            <w:r/>
          </w:p>
        </w:tc>
        <w:tc>
          <w:tcPr>
            <w:shd w:val="clear" w:color="auto" w:fill="auto"/>
            <w:tcW w:w="4862" w:type="dxa"/>
            <w:vAlign w:val="center"/>
            <w:textDirection w:val="lrTb"/>
            <w:noWrap w:val="false"/>
          </w:tcPr>
          <w:p>
            <w:pPr>
              <w:jc w:val="left"/>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低风险死亡病种可维护，系统支持对低风险病种死亡数据统计分析。</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外科能力</w:t>
            </w:r>
            <w:r/>
          </w:p>
        </w:tc>
        <w:tc>
          <w:tcPr>
            <w:shd w:val="clear" w:color="auto" w:fill="auto"/>
            <w:tcW w:w="4862" w:type="dxa"/>
            <w:vAlign w:val="center"/>
            <w:textDirection w:val="lrTb"/>
            <w:noWrap w:val="false"/>
          </w:tcPr>
          <w:p>
            <w:pPr>
              <w:jc w:val="left"/>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对医院的手术病例进行统计，支持全院、科室、医疗组等维度。</w:t>
            </w:r>
            <w:r/>
          </w:p>
          <w:p>
            <w:pPr>
              <w:numPr>
                <w:ilvl w:val="0"/>
                <w:numId w:val="0"/>
              </w:numPr>
              <w:jc w:val="left"/>
              <w:spacing w:before="120" w:after="120"/>
              <w:rPr>
                <w:rFonts w:ascii="宋体" w:hAnsi="宋体" w:eastAsia="宋体" w:cs="宋体"/>
                <w:color w:val="000000"/>
                <w:sz w:val="22"/>
                <w:highlight w:val="none"/>
              </w:rPr>
            </w:pP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en-US" w:eastAsia="zh-CN"/>
              </w:rPr>
              <w:t xml:space="preserve">1</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统计手术相关指标及同环比，包括手术例数、三四级手术例次数、微创手术例次数、日间手术人数及手术死亡患者等。</w:t>
            </w:r>
            <w:r/>
          </w:p>
          <w:p>
            <w:pPr>
              <w:numPr>
                <w:ilvl w:val="0"/>
                <w:numId w:val="0"/>
              </w:numPr>
              <w:jc w:val="left"/>
              <w:spacing w:before="120" w:after="120"/>
              <w:rPr>
                <w:rFonts w:ascii="宋体" w:hAnsi="宋体" w:eastAsia="宋体" w:cs="宋体"/>
                <w:color w:val="000000"/>
                <w:sz w:val="22"/>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2"/>
                <w:highlight w:val="none"/>
              </w:rPr>
              <w:t xml:space="preserve">支持对各月手术患者例数、三四级手术例数和日间手术的例数趋势进行对比。</w:t>
            </w:r>
            <w:r/>
          </w:p>
          <w:p>
            <w:pPr>
              <w:numPr>
                <w:ilvl w:val="0"/>
                <w:numId w:val="0"/>
              </w:numPr>
              <w:jc w:val="left"/>
              <w:spacing w:before="120" w:after="120"/>
              <w:rPr>
                <w:rFonts w:ascii="宋体" w:hAnsi="宋体" w:eastAsia="宋体" w:cs="宋体"/>
                <w:color w:val="000000"/>
                <w:sz w:val="22"/>
                <w:highlight w:val="none"/>
              </w:rPr>
            </w:pP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en-US" w:eastAsia="zh-CN"/>
              </w:rPr>
              <w:t xml:space="preserve">3</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支持按手术接口愈合等级分布及手术麻醉等级分级进行统计。</w:t>
            </w:r>
            <w:r/>
          </w:p>
          <w:p>
            <w:pPr>
              <w:numPr>
                <w:ilvl w:val="0"/>
                <w:numId w:val="0"/>
              </w:numPr>
              <w:jc w:val="left"/>
              <w:spacing w:before="120" w:after="120"/>
              <w:rPr>
                <w:rFonts w:ascii="宋体" w:hAnsi="宋体" w:eastAsia="宋体" w:cs="宋体"/>
                <w:color w:val="000000"/>
                <w:sz w:val="22"/>
                <w:highlight w:val="none"/>
              </w:rPr>
            </w:pP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en-US" w:eastAsia="zh-CN"/>
              </w:rPr>
              <w:t xml:space="preserve">4</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支持三级手术、四级手术、微创手术的手术排名，统计各手术的例次数、次均费用、平均住院日、死亡率等。</w:t>
            </w:r>
            <w:r/>
          </w:p>
          <w:p>
            <w:pPr>
              <w:numPr>
                <w:ilvl w:val="0"/>
                <w:numId w:val="0"/>
              </w:numPr>
              <w:jc w:val="left"/>
              <w:spacing w:before="120" w:after="120"/>
              <w:rPr>
                <w:rFonts w:ascii="宋体" w:hAnsi="宋体" w:eastAsia="宋体" w:cs="宋体"/>
                <w:color w:val="000000"/>
                <w:sz w:val="22"/>
                <w:highlight w:val="none"/>
              </w:rPr>
            </w:pP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en-US" w:eastAsia="zh-CN"/>
              </w:rPr>
              <w:t xml:space="preserve">5</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支持按科室、医师维度统计各级手术的例数和占比。</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难度分析</w:t>
            </w:r>
            <w:r/>
          </w:p>
        </w:tc>
        <w:tc>
          <w:tcPr>
            <w:shd w:val="clear" w:color="auto" w:fill="auto"/>
            <w:tcW w:w="4862" w:type="dxa"/>
            <w:vAlign w:val="center"/>
            <w:textDirection w:val="lrTb"/>
            <w:noWrap w:val="false"/>
          </w:tcPr>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(1)</w:t>
            </w:r>
            <w:r>
              <w:rPr>
                <w:rFonts w:hint="eastAsia" w:ascii="宋体" w:hAnsi="宋体" w:eastAsia="宋体" w:cs="宋体"/>
                <w:sz w:val="22"/>
                <w:highlight w:val="none"/>
              </w:rPr>
              <w:t xml:space="preserve">通过DRG组权重区间分布，体现难度分布，权重区间支持自定义。</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(2)</w:t>
            </w:r>
            <w:r>
              <w:rPr>
                <w:rFonts w:hint="eastAsia" w:ascii="宋体" w:hAnsi="宋体" w:eastAsia="宋体" w:cs="宋体"/>
                <w:sz w:val="22"/>
                <w:highlight w:val="none"/>
              </w:rPr>
              <w:t xml:space="preserve">支持各权重区间的DRG病组数、病例数、总权重及同比变化进行统计。</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(3)</w:t>
            </w:r>
            <w:r>
              <w:rPr>
                <w:rFonts w:hint="eastAsia" w:ascii="宋体" w:hAnsi="宋体" w:eastAsia="宋体" w:cs="宋体"/>
                <w:sz w:val="22"/>
                <w:highlight w:val="none"/>
              </w:rPr>
              <w:t xml:space="preserve">支持图表展示各权重区间的病例数分布图与次均费用分布。</w:t>
            </w:r>
            <w:r/>
          </w:p>
          <w:p>
            <w:pPr>
              <w:jc w:val="left"/>
              <w:spacing w:before="120" w:after="120"/>
              <w:rPr>
                <w:rFonts w:ascii="宋体" w:hAnsi="宋体" w:eastAsia="宋体" w:cs="宋体"/>
                <w:color w:val="000000"/>
                <w:sz w:val="22"/>
                <w:highlight w:val="none"/>
              </w:rPr>
            </w:pPr>
            <w:r>
              <w:rPr>
                <w:rFonts w:ascii="宋体" w:hAnsi="宋体" w:eastAsia="宋体" w:cs="宋体"/>
                <w:color w:val="000000"/>
                <w:sz w:val="22"/>
                <w:highlight w:val="none"/>
              </w:rPr>
              <w:t xml:space="preserve">(4)</w:t>
            </w:r>
            <w:r>
              <w:rPr>
                <w:rFonts w:hint="eastAsia" w:ascii="宋体" w:hAnsi="宋体" w:eastAsia="宋体" w:cs="宋体"/>
                <w:sz w:val="22"/>
                <w:highlight w:val="none"/>
              </w:rPr>
              <w:t xml:space="preserve">支持按科室、医疗组、医生等维度进行各权重区间的DRG组数、病例数及病例数占比数据横向对比。</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等级评审</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支持对医院等级评审相关DRG指标进行统计和分析。包括当期指标值，同环比，月度、年度趋势，以及科室间数据横向对比。</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三级公立医院绩效考核</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支持对三级公立医院绩效考核相关DRG指标进行统计和分析。包括当期指标值，同环比，月度、年度趋势，以及科室间数据横向对比。</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配置中心</w:t>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标杆值服务</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提供标杆值测算服务，测算标杆值用于绩效评价和运营目标参考等。根据所选时间、数据范围、分组器等系列参数创建测算方案进行测算。</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目标值管理</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提供全院或科室的各个考核指标的年度目标值配置功能。提供院内标杆值和前两年相关指标的数据进行参考。</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绩效评分设置</w:t>
            </w:r>
            <w:r/>
          </w:p>
        </w:tc>
        <w:tc>
          <w:tcPr>
            <w:shd w:val="clear" w:color="auto" w:fill="auto"/>
            <w:tcW w:w="4862" w:type="dxa"/>
            <w:vAlign w:val="center"/>
            <w:textDirection w:val="lrTb"/>
            <w:noWrap w:val="false"/>
          </w:tcPr>
          <w:p>
            <w:pPr>
              <w:jc w:val="left"/>
              <w:rPr>
                <w:rFonts w:ascii="宋体" w:hAnsi="宋体" w:eastAsia="宋体" w:cs="宋体"/>
                <w:color w:val="000000"/>
                <w:sz w:val="22"/>
                <w:lang w:bidi="ar"/>
              </w:rPr>
            </w:pPr>
            <w:r>
              <w:rPr>
                <w:rFonts w:hint="eastAsia" w:ascii="宋体" w:hAnsi="宋体" w:eastAsia="宋体" w:cs="宋体"/>
                <w:color w:val="000000"/>
                <w:sz w:val="22"/>
                <w:lang w:bidi="ar"/>
              </w:rPr>
              <w:t xml:space="preserve">系统提供综合评价和自定义评分两种评分方案。</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综合评分方案配置：</w:t>
            </w:r>
            <w:r/>
          </w:p>
          <w:p>
            <w:pPr>
              <w:numPr>
                <w:ilvl w:val="0"/>
                <w:numId w:val="6"/>
              </w:numPr>
              <w:ind w:left="0" w:firstLine="0"/>
              <w:jc w:val="left"/>
              <w:spacing w:before="120" w:after="120"/>
              <w:rPr>
                <w:rFonts w:ascii="宋体" w:hAnsi="宋体" w:eastAsia="宋体" w:cs="宋体"/>
                <w:sz w:val="22"/>
              </w:rPr>
            </w:pPr>
            <w:r>
              <w:rPr>
                <w:rFonts w:hint="eastAsia" w:ascii="宋体" w:hAnsi="宋体" w:eastAsia="宋体" w:cs="宋体"/>
                <w:sz w:val="22"/>
              </w:rPr>
              <w:t xml:space="preserve">根据难度得分、范围得分、费用得分、时间/效率得分、安全得分等，通过自定义表达式配置得分计算公式。</w:t>
            </w:r>
            <w:r/>
          </w:p>
          <w:p>
            <w:pPr>
              <w:numPr>
                <w:ilvl w:val="0"/>
                <w:numId w:val="6"/>
              </w:numPr>
              <w:ind w:left="0" w:firstLine="0"/>
              <w:jc w:val="left"/>
              <w:spacing w:before="120" w:after="120"/>
              <w:rPr>
                <w:rFonts w:ascii="宋体" w:hAnsi="宋体" w:eastAsia="宋体" w:cs="宋体"/>
                <w:sz w:val="22"/>
              </w:rPr>
            </w:pPr>
            <w:r>
              <w:rPr>
                <w:rFonts w:hint="eastAsia" w:ascii="宋体" w:hAnsi="宋体" w:eastAsia="宋体" w:cs="宋体"/>
                <w:sz w:val="22"/>
              </w:rPr>
              <w:t xml:space="preserve">提供科室绩效评分模拟计算，和单个科室评分计算公式调整。</w:t>
            </w:r>
            <w:r/>
          </w:p>
          <w:p>
            <w:pPr>
              <w:numPr>
                <w:ilvl w:val="0"/>
                <w:numId w:val="6"/>
              </w:numPr>
              <w:ind w:left="0" w:firstLine="0"/>
              <w:jc w:val="left"/>
              <w:spacing w:before="120" w:after="120"/>
              <w:rPr>
                <w:rFonts w:ascii="宋体" w:hAnsi="宋体" w:eastAsia="宋体" w:cs="宋体"/>
                <w:color w:val="000000"/>
                <w:sz w:val="22"/>
              </w:rPr>
            </w:pPr>
            <w:r>
              <w:rPr>
                <w:rFonts w:hint="eastAsia" w:ascii="宋体" w:hAnsi="宋体" w:eastAsia="宋体" w:cs="宋体"/>
                <w:sz w:val="22"/>
              </w:rPr>
              <w:t xml:space="preserve">自定义评分方案配置：</w:t>
            </w:r>
            <w:r/>
          </w:p>
          <w:p>
            <w:pPr>
              <w:jc w:val="left"/>
              <w:spacing w:before="120" w:after="120"/>
              <w:rPr>
                <w:rFonts w:ascii="宋体" w:hAnsi="宋体" w:eastAsia="宋体" w:cs="宋体"/>
                <w:color w:val="000000"/>
                <w:sz w:val="22"/>
              </w:rPr>
            </w:pPr>
            <w:r>
              <w:rPr>
                <w:rFonts w:hint="eastAsia" w:ascii="宋体" w:hAnsi="宋体" w:eastAsia="宋体" w:cs="宋体"/>
                <w:sz w:val="22"/>
              </w:rPr>
              <w:t xml:space="preserve">1)内置绩效评分相关指标，选择不同指标组成指标评价体系进行评分。</w:t>
            </w:r>
            <w:r>
              <w:rPr>
                <w:rFonts w:hint="eastAsia" w:ascii="宋体" w:hAnsi="宋体" w:eastAsia="宋体" w:cs="宋体"/>
                <w:sz w:val="22"/>
              </w:rPr>
              <w:br/>
            </w:r>
            <w:r>
              <w:rPr>
                <w:rFonts w:hint="eastAsia" w:ascii="宋体" w:hAnsi="宋体" w:eastAsia="宋体" w:cs="宋体"/>
                <w:sz w:val="22"/>
              </w:rPr>
              <w:t xml:space="preserve">2)指标评分方式包括区间评分、排名评分、目标等级评分和目标趋势评分等，提供得分自定义配置。</w:t>
            </w:r>
            <w:r>
              <w:rPr>
                <w:rFonts w:hint="eastAsia" w:ascii="宋体" w:hAnsi="宋体" w:eastAsia="宋体" w:cs="宋体"/>
                <w:sz w:val="22"/>
              </w:rPr>
              <w:br/>
            </w:r>
            <w:r>
              <w:rPr>
                <w:rFonts w:hint="eastAsia" w:ascii="宋体" w:hAnsi="宋体" w:eastAsia="宋体" w:cs="宋体"/>
                <w:sz w:val="22"/>
              </w:rPr>
              <w:t xml:space="preserve">3)提供全院评分方案设置，针对科室可复用全院指标或自定义配置。</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重点病种设置</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提供重点病种维护功能。</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重点术种设置</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提供重点术种维护功能。</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Topsis方案配置</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支持自定义选择参评指标、设置参评指标权重进行Topsis评价方案设置。</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eastAsia="宋体" w:cs="宋体"/>
                <w:color w:val="000000"/>
                <w:sz w:val="22"/>
              </w:rPr>
            </w:pPr>
            <w:r>
              <w:rPr>
                <w:rFonts w:ascii="宋体" w:hAnsi="宋体" w:eastAsia="宋体" w:cs="宋体"/>
                <w:color w:val="000000"/>
                <w:sz w:val="22"/>
              </w:rPr>
            </w:r>
            <w:r/>
          </w:p>
        </w:tc>
        <w:tc>
          <w:tcPr>
            <w:shd w:val="clear" w:color="auto" w:fill="auto"/>
            <w:tcW w:w="1173"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绩效病组配置</w:t>
            </w:r>
            <w:r/>
          </w:p>
        </w:tc>
        <w:tc>
          <w:tcPr>
            <w:shd w:val="clear" w:color="auto" w:fill="auto"/>
            <w:tcW w:w="4862" w:type="dxa"/>
            <w:vAlign w:val="center"/>
            <w:textDirection w:val="lrTb"/>
            <w:noWrap w:val="false"/>
          </w:tcPr>
          <w:p>
            <w:pPr>
              <w:jc w:val="left"/>
              <w:rPr>
                <w:rFonts w:ascii="宋体" w:hAnsi="宋体" w:eastAsia="宋体" w:cs="宋体"/>
                <w:color w:val="000000"/>
                <w:sz w:val="22"/>
              </w:rPr>
            </w:pPr>
            <w:r>
              <w:rPr>
                <w:rFonts w:hint="eastAsia" w:ascii="宋体" w:hAnsi="宋体" w:eastAsia="宋体" w:cs="宋体"/>
                <w:color w:val="000000"/>
                <w:sz w:val="22"/>
                <w:lang w:bidi="ar"/>
              </w:rPr>
              <w:t xml:space="preserve">对CN-DRG分组器病种目录进行管理，包括维护死亡风险等级和权重区间设置。</w:t>
            </w:r>
            <w:r/>
          </w:p>
        </w:tc>
      </w:tr>
      <w:tr>
        <w:trPr>
          <w:jc w:val="center"/>
        </w:trPr>
        <w:tc>
          <w:tcPr>
            <w:shd w:val="clear" w:color="auto" w:fill="auto"/>
            <w:tcW w:w="1716" w:type="dxa"/>
            <w:vAlign w:val="center"/>
            <w:vMerge w:val="restart"/>
            <w:textDirection w:val="lrTb"/>
            <w:noWrap/>
          </w:tcPr>
          <w:p>
            <w:pPr>
              <w:jc w:val="center"/>
              <w:rPr>
                <w:rFonts w:ascii="宋体" w:hAnsi="宋体" w:eastAsia="宋体" w:cs="宋体"/>
                <w:color w:val="000000"/>
                <w:sz w:val="22"/>
              </w:rPr>
            </w:pPr>
            <w:r>
              <w:rPr>
                <w:rFonts w:hint="eastAsia" w:ascii="宋体" w:hAnsi="宋体" w:eastAsia="宋体" w:cs="宋体"/>
                <w:color w:val="000000"/>
                <w:sz w:val="22"/>
              </w:rPr>
              <w:t xml:space="preserve">医美数智化管理系统</w:t>
            </w:r>
            <w:r/>
          </w:p>
        </w:tc>
        <w:tc>
          <w:tcPr>
            <w:shd w:val="clear" w:color="auto" w:fill="auto"/>
            <w:tcW w:w="1122" w:type="dxa"/>
            <w:vAlign w:val="center"/>
            <w:vMerge w:val="restart"/>
            <w:textDirection w:val="lrTb"/>
            <w:noWrap/>
          </w:tcPr>
          <w:p>
            <w:pPr>
              <w:jc w:val="left"/>
              <w:rPr>
                <w:rFonts w:ascii="宋体" w:hAnsi="宋体" w:eastAsia="宋体" w:cs="宋体"/>
                <w:color w:val="000000"/>
                <w:sz w:val="22"/>
              </w:rPr>
            </w:pPr>
            <w:r>
              <w:rPr>
                <w:rFonts w:hint="eastAsia" w:ascii="宋体" w:hAnsi="宋体" w:cs="宋体"/>
                <w:sz w:val="22"/>
              </w:rPr>
              <w:t xml:space="preserve">医美中心科室管理信息系统</w:t>
            </w:r>
            <w:r/>
          </w:p>
        </w:tc>
        <w:tc>
          <w:tcPr>
            <w:shd w:val="clear" w:color="auto" w:fill="auto"/>
            <w:tcW w:w="1173" w:type="dxa"/>
            <w:vAlign w:val="center"/>
            <w:textDirection w:val="lrTb"/>
            <w:noWrap w:val="false"/>
          </w:tcPr>
          <w:p>
            <w:pPr>
              <w:jc w:val="center"/>
              <w:rPr>
                <w:rFonts w:ascii="宋体" w:hAnsi="宋体" w:eastAsia="宋体" w:cs="宋体"/>
                <w:color w:val="000000"/>
                <w:sz w:val="22"/>
                <w:lang w:bidi="ar"/>
              </w:rPr>
            </w:pPr>
            <w:r>
              <w:rPr>
                <w:rFonts w:hint="eastAsia" w:ascii="宋体" w:hAnsi="宋体" w:eastAsia="宋体" w:cs="宋体"/>
                <w:sz w:val="22"/>
              </w:rPr>
              <w:t xml:space="preserve">科室微站</w:t>
            </w:r>
            <w:r/>
          </w:p>
        </w:tc>
        <w:tc>
          <w:tcPr>
            <w:shd w:val="clear" w:color="auto" w:fill="auto"/>
            <w:tcW w:w="4862" w:type="dxa"/>
            <w:vAlign w:val="center"/>
            <w:textDirection w:val="lrTb"/>
            <w:noWrap w:val="false"/>
          </w:tcPr>
          <w:p>
            <w:pPr>
              <w:numPr>
                <w:ilvl w:val="0"/>
                <w:numId w:val="7"/>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支持对科室、医生、设备、项目、案例进行丰富的图文展示</w:t>
            </w:r>
            <w:r/>
          </w:p>
          <w:p>
            <w:pPr>
              <w:numPr>
                <w:ilvl w:val="0"/>
                <w:numId w:val="7"/>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支持医护发布科普宣教内容，推送给求美者</w:t>
            </w:r>
            <w:r/>
          </w:p>
          <w:p>
            <w:pPr>
              <w:numPr>
                <w:ilvl w:val="0"/>
                <w:numId w:val="7"/>
              </w:numPr>
              <w:ind w:left="0" w:firstLine="0"/>
              <w:jc w:val="left"/>
              <w:spacing w:before="120" w:after="120"/>
              <w:rPr>
                <w:rFonts w:ascii="宋体" w:hAnsi="宋体" w:eastAsia="宋体" w:cs="宋体"/>
                <w:sz w:val="22"/>
              </w:rPr>
            </w:pPr>
            <w:r>
              <w:rPr>
                <w:rFonts w:hint="eastAsia" w:ascii="宋体" w:hAnsi="宋体" w:eastAsia="宋体" w:cs="宋体"/>
                <w:sz w:val="22"/>
              </w:rPr>
              <w:t xml:space="preserve">为每个医生建立医生个人主页，进行全方位展示</w:t>
            </w:r>
            <w:r/>
          </w:p>
          <w:p>
            <w:pPr>
              <w:numPr>
                <w:ilvl w:val="0"/>
                <w:numId w:val="7"/>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支持发布科室活动</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rPr>
                <w:rFonts w:ascii="宋体" w:hAnsi="宋体" w:eastAsia="宋体" w:cs="宋体"/>
                <w:color w:val="000000"/>
                <w:sz w:val="22"/>
                <w:lang w:bidi="ar"/>
              </w:rPr>
            </w:pPr>
            <w:r>
              <w:rPr>
                <w:rFonts w:hint="eastAsia" w:ascii="宋体" w:hAnsi="宋体" w:eastAsia="宋体" w:cs="宋体"/>
                <w:sz w:val="22"/>
              </w:rPr>
              <w:t xml:space="preserve">电子档案</w:t>
            </w:r>
            <w:r/>
          </w:p>
        </w:tc>
        <w:tc>
          <w:tcPr>
            <w:shd w:val="clear" w:color="auto" w:fill="auto"/>
            <w:tcW w:w="4862" w:type="dxa"/>
            <w:vAlign w:val="center"/>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支持求美者的个人档案实现电子化，包括基本信息、线索信息；</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支持求美者的账户资产快速管理，包括项目、套餐、积分；</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支持求美者标签的人工输入，并能根据特征和行为自动标记；</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支持求美者治疗档案标准化管理，支持按照时间、诊断、模板快速搜索和定位治疗档案；</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(5)</w:t>
            </w:r>
            <w:r>
              <w:rPr>
                <w:rFonts w:hint="eastAsia" w:ascii="宋体" w:hAnsi="宋体" w:eastAsia="宋体" w:cs="宋体"/>
                <w:sz w:val="22"/>
              </w:rPr>
              <w:t xml:space="preserve">持治疗参数模板的个性定制，包括参数名称、分类和录入形式。可支持三级参数的录入，每一级下面可以自定义多个下级，下级的形式包含单选、多选、输入框（支持设置默认值）、文本框、拖动条等多种信息录入控件；</w:t>
            </w:r>
            <w:r/>
          </w:p>
          <w:p>
            <w:pPr>
              <w:jc w:val="left"/>
              <w:spacing w:before="120" w:after="120"/>
              <w:rPr>
                <w:rFonts w:ascii="宋体" w:hAnsi="宋体" w:eastAsia="宋体" w:cs="宋体"/>
                <w:sz w:val="22"/>
              </w:rPr>
            </w:pPr>
            <w:r>
              <w:rPr>
                <w:rFonts w:ascii="宋体" w:hAnsi="宋体" w:eastAsia="宋体" w:cs="宋体"/>
                <w:sz w:val="22"/>
              </w:rPr>
              <w:t xml:space="preserve">(6)</w:t>
            </w:r>
            <w:r>
              <w:rPr>
                <w:rFonts w:hint="eastAsia" w:ascii="宋体" w:hAnsi="宋体" w:eastAsia="宋体" w:cs="宋体"/>
                <w:sz w:val="22"/>
              </w:rPr>
              <w:t xml:space="preserve">实现多端（手机、pad、pc）多端互通。</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rPr>
                <w:rFonts w:ascii="宋体" w:hAnsi="宋体" w:eastAsia="宋体" w:cs="宋体"/>
                <w:color w:val="000000"/>
                <w:sz w:val="22"/>
                <w:lang w:bidi="ar"/>
              </w:rPr>
            </w:pPr>
            <w:r>
              <w:rPr>
                <w:rFonts w:hint="eastAsia" w:ascii="宋体" w:hAnsi="宋体" w:eastAsia="宋体" w:cs="宋体"/>
                <w:sz w:val="22"/>
              </w:rPr>
              <w:t xml:space="preserve">科室服务</w:t>
            </w:r>
            <w:r/>
          </w:p>
        </w:tc>
        <w:tc>
          <w:tcPr>
            <w:shd w:val="clear" w:color="auto" w:fill="auto"/>
            <w:tcW w:w="4862" w:type="dxa"/>
            <w:vAlign w:val="center"/>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支持求美者扫码快速建档，简化医护工作量；</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支持为求求美者进行治疗快速登记，支持常用项目的快捷登记；</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支持快速治疗分诊，快速分配求美者的治疗医生。分诊时，支持快速查看各治疗人的实时工作量情况；</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支持为求美者进行麻醉倒计时，支持语音播报提醒和患者微信提醒；</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(5)</w:t>
            </w:r>
            <w:r>
              <w:rPr>
                <w:rFonts w:hint="eastAsia" w:ascii="宋体" w:hAnsi="宋体" w:eastAsia="宋体" w:cs="宋体"/>
                <w:sz w:val="22"/>
              </w:rPr>
              <w:t xml:space="preserve">支持治疗参数的快速登记。注射类项目支持面部实时点位登记操作，光电类项目模板兼容主流设备。支持同患者上次参数的快速引用。</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rPr>
                <w:rFonts w:ascii="宋体" w:hAnsi="宋体" w:eastAsia="宋体" w:cs="宋体"/>
                <w:color w:val="000000"/>
                <w:sz w:val="22"/>
                <w:lang w:bidi="ar"/>
              </w:rPr>
            </w:pPr>
            <w:r>
              <w:rPr>
                <w:rFonts w:hint="eastAsia" w:ascii="宋体" w:hAnsi="宋体" w:eastAsia="宋体" w:cs="宋体"/>
                <w:sz w:val="22"/>
              </w:rPr>
              <w:t xml:space="preserve">影像互联</w:t>
            </w:r>
            <w:r/>
          </w:p>
        </w:tc>
        <w:tc>
          <w:tcPr>
            <w:shd w:val="clear" w:color="auto" w:fill="auto"/>
            <w:tcW w:w="4862" w:type="dxa"/>
            <w:vAlign w:val="center"/>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支持求美者扫码快速采集，无需在采集设备重复建档；</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支持分诊患者快速选择拍照，无需重复录入</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支持国产皮肤镜、多光谱设备打通，实现互联互通；</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(4)</w:t>
            </w:r>
            <w:r>
              <w:rPr>
                <w:rFonts w:hint="eastAsia" w:ascii="宋体" w:hAnsi="宋体" w:eastAsia="宋体" w:cs="宋体"/>
                <w:sz w:val="22"/>
              </w:rPr>
              <w:t xml:space="preserve">支持单反相机的移动实时对接，实现快速拍摄、上传并自动合并至患者档案；</w:t>
            </w:r>
            <w:r/>
          </w:p>
          <w:p>
            <w:pPr>
              <w:jc w:val="left"/>
              <w:spacing w:before="120" w:after="120"/>
              <w:rPr>
                <w:rFonts w:ascii="宋体" w:hAnsi="宋体" w:eastAsia="宋体" w:cs="宋体"/>
                <w:sz w:val="22"/>
              </w:rPr>
            </w:pPr>
            <w:r>
              <w:rPr>
                <w:rFonts w:ascii="宋体" w:hAnsi="宋体" w:eastAsia="宋体" w:cs="宋体"/>
                <w:sz w:val="22"/>
              </w:rPr>
              <w:t xml:space="preserve">(5)</w:t>
            </w:r>
            <w:r>
              <w:rPr>
                <w:rFonts w:hint="eastAsia" w:ascii="宋体" w:hAnsi="宋体" w:eastAsia="宋体" w:cs="宋体"/>
                <w:sz w:val="22"/>
              </w:rPr>
              <w:t xml:space="preserve">支持影像档案的批量导出；</w:t>
            </w:r>
            <w:r/>
          </w:p>
          <w:p>
            <w:pPr>
              <w:jc w:val="left"/>
              <w:spacing w:before="120" w:after="120"/>
              <w:rPr>
                <w:rFonts w:ascii="宋体" w:hAnsi="宋体" w:eastAsia="宋体" w:cs="宋体"/>
                <w:sz w:val="22"/>
              </w:rPr>
            </w:pPr>
            <w:r>
              <w:rPr>
                <w:rFonts w:ascii="宋体" w:hAnsi="宋体" w:eastAsia="宋体" w:cs="宋体"/>
                <w:sz w:val="22"/>
              </w:rPr>
              <w:t xml:space="preserve">(6)</w:t>
            </w:r>
            <w:r>
              <w:rPr>
                <w:rFonts w:hint="eastAsia" w:ascii="宋体" w:hAnsi="宋体" w:eastAsia="宋体" w:cs="宋体"/>
                <w:sz w:val="22"/>
              </w:rPr>
              <w:t xml:space="preserve">支持影像档案的水印定制，保护隐私；</w:t>
            </w:r>
            <w:r/>
          </w:p>
          <w:p>
            <w:pPr>
              <w:jc w:val="left"/>
              <w:spacing w:before="120" w:after="120"/>
              <w:rPr>
                <w:rFonts w:ascii="宋体" w:hAnsi="宋体" w:eastAsia="宋体" w:cs="宋体"/>
                <w:sz w:val="22"/>
              </w:rPr>
            </w:pPr>
            <w:r>
              <w:rPr>
                <w:rFonts w:ascii="宋体" w:hAnsi="宋体" w:eastAsia="宋体" w:cs="宋体"/>
                <w:sz w:val="22"/>
              </w:rPr>
              <w:t xml:space="preserve">(7)</w:t>
            </w:r>
            <w:r>
              <w:rPr>
                <w:rFonts w:hint="eastAsia" w:ascii="宋体" w:hAnsi="宋体" w:eastAsia="宋体" w:cs="宋体"/>
                <w:sz w:val="22"/>
              </w:rPr>
              <w:t xml:space="preserve">支持影像对比功能，并支持对称标记和快速下载。</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rPr>
                <w:rFonts w:ascii="宋体" w:hAnsi="宋体" w:eastAsia="宋体" w:cs="宋体"/>
                <w:color w:val="000000"/>
                <w:sz w:val="22"/>
                <w:lang w:bidi="ar"/>
              </w:rPr>
            </w:pPr>
            <w:r>
              <w:rPr>
                <w:rFonts w:hint="eastAsia" w:ascii="宋体" w:hAnsi="宋体" w:eastAsia="宋体" w:cs="宋体"/>
                <w:sz w:val="22"/>
              </w:rPr>
              <w:t xml:space="preserve">诊后服务</w:t>
            </w:r>
            <w:r/>
          </w:p>
        </w:tc>
        <w:tc>
          <w:tcPr>
            <w:shd w:val="clear" w:color="auto" w:fill="auto"/>
            <w:tcW w:w="4862" w:type="dxa"/>
            <w:vAlign w:val="center"/>
            <w:textDirection w:val="lrTb"/>
            <w:noWrap w:val="false"/>
          </w:tcPr>
          <w:p>
            <w:pPr>
              <w:numPr>
                <w:ilvl w:val="0"/>
                <w:numId w:val="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支持术后注意事项的自动发送，并支持查看患者阅读状态；</w:t>
            </w:r>
            <w:r/>
          </w:p>
          <w:p>
            <w:pPr>
              <w:numPr>
                <w:ilvl w:val="0"/>
                <w:numId w:val="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支持根据治疗项目和诊断，向患者定期推送复诊提醒、回访计划；</w:t>
            </w:r>
            <w:r/>
          </w:p>
          <w:p>
            <w:pPr>
              <w:numPr>
                <w:ilvl w:val="0"/>
                <w:numId w:val="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支持科室定制人工回访规则，自动生成待人工参与的回访任务；</w:t>
            </w:r>
            <w:r/>
          </w:p>
          <w:p>
            <w:pPr>
              <w:numPr>
                <w:ilvl w:val="0"/>
                <w:numId w:val="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支持根据患者特征、行为、标签，精准推送不同服务内容；</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rPr>
                <w:rFonts w:ascii="宋体" w:hAnsi="宋体" w:eastAsia="宋体" w:cs="宋体"/>
                <w:color w:val="000000"/>
                <w:sz w:val="22"/>
                <w:lang w:bidi="ar"/>
              </w:rPr>
            </w:pPr>
            <w:r>
              <w:rPr>
                <w:rFonts w:hint="eastAsia" w:ascii="宋体" w:hAnsi="宋体" w:eastAsia="宋体" w:cs="宋体"/>
                <w:sz w:val="22"/>
              </w:rPr>
              <w:t xml:space="preserve">营销工具</w:t>
            </w:r>
            <w:r/>
          </w:p>
        </w:tc>
        <w:tc>
          <w:tcPr>
            <w:shd w:val="clear" w:color="auto" w:fill="auto"/>
            <w:tcW w:w="4862" w:type="dxa"/>
            <w:vAlign w:val="center"/>
            <w:textDirection w:val="lrTb"/>
            <w:noWrap w:val="false"/>
          </w:tcPr>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(1)</w:t>
            </w:r>
            <w:r>
              <w:rPr>
                <w:rFonts w:hint="eastAsia" w:ascii="宋体" w:hAnsi="宋体" w:eastAsia="宋体" w:cs="宋体"/>
                <w:sz w:val="22"/>
                <w:highlight w:val="none"/>
              </w:rPr>
              <w:t xml:space="preserve">支持为各个导流渠道生成专属导流码，能清晰统计各渠道引流人数及业绩。</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支持根据患者行为生成积分；</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支持套餐和年卡设置，方便科室开展活动；</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支持老带新活动，激励老患者推荐新患者；</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rPr>
                <w:rFonts w:ascii="宋体" w:hAnsi="宋体" w:eastAsia="宋体" w:cs="宋体"/>
                <w:color w:val="000000"/>
                <w:sz w:val="22"/>
                <w:lang w:bidi="ar"/>
              </w:rPr>
            </w:pPr>
            <w:r>
              <w:rPr>
                <w:rFonts w:hint="eastAsia" w:ascii="宋体" w:hAnsi="宋体" w:eastAsia="宋体" w:cs="宋体"/>
                <w:sz w:val="22"/>
              </w:rPr>
              <w:t xml:space="preserve">决策分析</w:t>
            </w:r>
            <w:r/>
          </w:p>
        </w:tc>
        <w:tc>
          <w:tcPr>
            <w:shd w:val="clear" w:color="auto" w:fill="auto"/>
            <w:tcW w:w="4862" w:type="dxa"/>
            <w:vAlign w:val="center"/>
            <w:textDirection w:val="lrTb"/>
            <w:noWrap w:val="false"/>
          </w:tcPr>
          <w:p>
            <w:pPr>
              <w:numPr>
                <w:ilvl w:val="0"/>
                <w:numId w:val="9"/>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支持科室经营数据的快速统计和明细数据下载，包括营收数据、开单数据、治疗数据；</w:t>
            </w:r>
            <w:r/>
          </w:p>
          <w:p>
            <w:pPr>
              <w:numPr>
                <w:ilvl w:val="0"/>
                <w:numId w:val="9"/>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支持科室经营数据进行快速分析，指导科室经营决策；</w:t>
            </w:r>
            <w:r/>
          </w:p>
          <w:p>
            <w:pPr>
              <w:numPr>
                <w:ilvl w:val="0"/>
                <w:numId w:val="9"/>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支持对科室求美者进行快速分析，形成会员行为漏斗。</w:t>
            </w:r>
            <w:r/>
          </w:p>
        </w:tc>
      </w:tr>
      <w:tr>
        <w:trPr>
          <w:jc w:val="center"/>
        </w:trPr>
        <w:tc>
          <w:tcPr>
            <w:shd w:val="clear" w:color="auto" w:fill="auto"/>
            <w:tcW w:w="1716" w:type="dxa"/>
            <w:vAlign w:val="center"/>
            <w:vMerge w:val="restart"/>
            <w:textDirection w:val="lrTb"/>
            <w:noWrap/>
          </w:tcPr>
          <w:p>
            <w:pPr>
              <w:jc w:val="center"/>
              <w:rPr>
                <w:rFonts w:ascii="宋体" w:hAnsi="宋体" w:eastAsia="宋体" w:cs="宋体"/>
                <w:color w:val="000000"/>
                <w:sz w:val="22"/>
              </w:rPr>
            </w:pPr>
            <w:r>
              <w:rPr>
                <w:rFonts w:hint="eastAsia" w:ascii="宋体" w:hAnsi="宋体" w:eastAsia="宋体" w:cs="宋体"/>
                <w:color w:val="000000"/>
                <w:sz w:val="22"/>
              </w:rPr>
              <w:t xml:space="preserve">医院运营分析管理系统(HRP)</w:t>
            </w:r>
            <w:r/>
          </w:p>
        </w:tc>
        <w:tc>
          <w:tcPr>
            <w:shd w:val="clear" w:color="auto" w:fill="auto"/>
            <w:tcW w:w="1122" w:type="dxa"/>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基础平台</w:t>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组织架构</w:t>
            </w:r>
            <w:r/>
          </w:p>
          <w:p>
            <w:pPr>
              <w:jc w:val="center"/>
              <w:spacing w:before="120" w:after="120"/>
              <w:rPr>
                <w:rFonts w:ascii="宋体" w:hAnsi="宋体" w:eastAsia="宋体" w:cs="宋体"/>
                <w:sz w:val="22"/>
              </w:rPr>
            </w:pPr>
            <w:r>
              <w:rPr>
                <w:rFonts w:hint="eastAsia" w:ascii="宋体" w:hAnsi="宋体" w:eastAsia="宋体" w:cs="宋体"/>
                <w:sz w:val="22"/>
              </w:rPr>
              <w:t xml:space="preserve">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满足医院现在的多院区组织架构：</w:t>
            </w:r>
            <w:r/>
          </w:p>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支持组织分级管理，以及虚拟管理组织，各层级组织数据相互独立，且能按照不同的层级汇总；</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支持组织的增减变化，级次变更，形成版本化管理；</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(3)</w:t>
            </w:r>
            <w:r>
              <w:rPr>
                <w:rFonts w:hint="eastAsia" w:ascii="宋体" w:hAnsi="宋体" w:eastAsia="宋体" w:cs="宋体"/>
                <w:sz w:val="22"/>
                <w:highlight w:val="none"/>
              </w:rPr>
              <w:t xml:space="preserve">具备多组织模型，实现财务组织、预算组织、成本组织、资金组织、人力组织等体系管理；</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支持区别于法人组织的多专业管理领域的组织管理，按照业务领域形成多个组织层级管理，支持矩阵式业务管理。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基础字典管理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动态主数据建模，提供对基础数据、参数的统一管理对基础数据和业务参数进 行统一管理，支持多业态多组织医疗机构基础数据的三级管控，管控模式（管理方式+可 用性范围+唯一性范围）可配置。满足医院对于关键的财务基础字典数据，诸如科目、辅助核算项目、资产分类、物资分类编码规则、供应商、科室、成本中心、结算信息等进行标准化统一管理。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客户化配置</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通过对系统中使用的单据号、档案编码等自动编码进行统一管理；支持在不同节点定义单据模板、查询模板和输出模板，并可以给不同的角色和用户分配模板，支持业务消息配置，支持定义一定的规则，以及根据不同的规则配置不同的接收人。</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用户权限管理</w:t>
            </w:r>
            <w:r/>
          </w:p>
        </w:tc>
        <w:tc>
          <w:tcPr>
            <w:shd w:val="clear" w:color="auto" w:fill="auto"/>
            <w:tcW w:w="4862" w:type="dxa"/>
            <w:textDirection w:val="lrTb"/>
            <w:noWrap w:val="false"/>
          </w:tcPr>
          <w:p>
            <w:pPr>
              <w:numPr>
                <w:ilvl w:val="0"/>
                <w:numId w:val="10"/>
              </w:numPr>
              <w:ind w:left="0" w:firstLine="0"/>
              <w:jc w:val="left"/>
              <w:spacing w:before="120" w:after="120"/>
              <w:rPr>
                <w:rFonts w:ascii="宋体" w:hAnsi="宋体" w:eastAsia="宋体" w:cs="宋体"/>
                <w:sz w:val="22"/>
              </w:rPr>
            </w:pPr>
            <w:r>
              <w:rPr>
                <w:rFonts w:hint="eastAsia" w:ascii="宋体" w:hAnsi="宋体" w:eastAsia="宋体" w:cs="宋体"/>
                <w:sz w:val="22"/>
              </w:rPr>
              <w:t xml:space="preserve">提供用户与岗位职责的对应关系，并可按组别或者单个用户对系统中的功能菜单、功能按钮、数据进行权限分配和查询管理。</w:t>
            </w:r>
            <w:r/>
          </w:p>
          <w:p>
            <w:pPr>
              <w:numPr>
                <w:ilvl w:val="0"/>
                <w:numId w:val="10"/>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医院内部用户进行统一管理、职责管理、角色管理；支持功能和数据双维度授权管理，支持定义数据使用权限、特殊数据权限等，支持分配授权权、权限审批、关键功能和关键数据业务功能二次认证、密码管理、权限查询、权限报表，医院能够很方便地对系统进行全面的权限管理，避免信息的冗余，以及由于个别系统的设计不当导致的安全隐患。</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流程审批规范管理</w:t>
            </w:r>
            <w:r/>
          </w:p>
        </w:tc>
        <w:tc>
          <w:tcPr>
            <w:shd w:val="clear" w:color="auto" w:fill="auto"/>
            <w:tcW w:w="4862" w:type="dxa"/>
            <w:textDirection w:val="lrTb"/>
            <w:noWrap w:val="false"/>
          </w:tcPr>
          <w:p>
            <w:pPr>
              <w:numPr>
                <w:ilvl w:val="0"/>
                <w:numId w:val="11"/>
              </w:numPr>
              <w:ind w:left="0" w:firstLine="0"/>
              <w:jc w:val="left"/>
              <w:spacing w:before="120" w:after="120"/>
              <w:rPr>
                <w:rFonts w:ascii="宋体" w:hAnsi="宋体" w:eastAsia="宋体" w:cs="宋体"/>
                <w:sz w:val="22"/>
              </w:rPr>
            </w:pPr>
            <w:r>
              <w:rPr>
                <w:rFonts w:hint="eastAsia" w:ascii="宋体" w:hAnsi="宋体" w:eastAsia="宋体" w:cs="宋体"/>
                <w:sz w:val="22"/>
              </w:rPr>
              <w:t xml:space="preserve">动态流程建模，提供对流程的统一管理。根据医院内部组织职责分工，在经营业务上进行分级授权审批，系统支持相应的流程配置和审批信息推送。</w:t>
            </w:r>
            <w:r/>
          </w:p>
          <w:p>
            <w:pPr>
              <w:numPr>
                <w:ilvl w:val="0"/>
                <w:numId w:val="11"/>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支持对财务管理系统中的供应商、银行账户和物资档案，以及业务单据、管理报表等关键指标（诸如付款单、报销单）进行审批流程的设置；</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系统工具管理</w:t>
            </w:r>
            <w:r/>
          </w:p>
        </w:tc>
        <w:tc>
          <w:tcPr>
            <w:shd w:val="clear" w:color="auto" w:fill="auto"/>
            <w:tcW w:w="4862" w:type="dxa"/>
            <w:textDirection w:val="lrTb"/>
            <w:noWrap w:val="false"/>
          </w:tcPr>
          <w:p>
            <w:pPr>
              <w:numPr>
                <w:ilvl w:val="0"/>
                <w:numId w:val="12"/>
              </w:numPr>
              <w:ind w:left="0" w:firstLine="0"/>
              <w:jc w:val="left"/>
              <w:spacing w:before="120" w:after="120"/>
              <w:rPr>
                <w:rFonts w:ascii="宋体" w:hAnsi="宋体" w:eastAsia="宋体" w:cs="宋体"/>
                <w:sz w:val="22"/>
              </w:rPr>
            </w:pPr>
            <w:r>
              <w:rPr>
                <w:rFonts w:hint="eastAsia" w:ascii="宋体" w:hAnsi="宋体" w:eastAsia="宋体" w:cs="宋体"/>
                <w:sz w:val="22"/>
              </w:rPr>
              <w:t xml:space="preserve">预警平台：支持预警平台的功能，支持业务预警的统一监控。</w:t>
            </w:r>
            <w:r/>
          </w:p>
          <w:p>
            <w:pPr>
              <w:numPr>
                <w:ilvl w:val="0"/>
                <w:numId w:val="12"/>
              </w:numPr>
              <w:ind w:left="0" w:firstLine="0"/>
              <w:jc w:val="left"/>
              <w:spacing w:before="120" w:after="120"/>
              <w:rPr>
                <w:rFonts w:ascii="宋体" w:hAnsi="宋体" w:eastAsia="宋体" w:cs="宋体"/>
                <w:sz w:val="22"/>
              </w:rPr>
            </w:pPr>
            <w:r>
              <w:rPr>
                <w:rFonts w:hint="eastAsia" w:ascii="宋体" w:hAnsi="宋体" w:eastAsia="宋体" w:cs="宋体"/>
                <w:sz w:val="22"/>
              </w:rPr>
              <w:t xml:space="preserve">后台任务中心：支持对后台任务进行部署管理、监控。</w:t>
            </w:r>
            <w:r/>
          </w:p>
          <w:p>
            <w:pPr>
              <w:numPr>
                <w:ilvl w:val="0"/>
                <w:numId w:val="12"/>
              </w:numPr>
              <w:ind w:left="0" w:firstLine="0"/>
              <w:jc w:val="left"/>
              <w:spacing w:before="120" w:after="120"/>
              <w:rPr>
                <w:rFonts w:ascii="宋体" w:hAnsi="宋体" w:eastAsia="宋体" w:cs="宋体"/>
                <w:sz w:val="22"/>
              </w:rPr>
            </w:pPr>
            <w:r>
              <w:rPr>
                <w:rFonts w:hint="eastAsia" w:ascii="宋体" w:hAnsi="宋体" w:eastAsia="宋体" w:cs="宋体"/>
                <w:sz w:val="22"/>
              </w:rPr>
              <w:t xml:space="preserve">分析平台：支持系统内报表相关的基础管理、调度管理、性能监控等。</w:t>
            </w:r>
            <w:r/>
          </w:p>
          <w:p>
            <w:pPr>
              <w:numPr>
                <w:ilvl w:val="0"/>
                <w:numId w:val="12"/>
              </w:numPr>
              <w:ind w:left="0" w:firstLine="0"/>
              <w:jc w:val="left"/>
              <w:spacing w:before="120" w:after="120"/>
              <w:rPr>
                <w:rFonts w:ascii="宋体" w:hAnsi="宋体" w:eastAsia="宋体" w:cs="宋体"/>
                <w:sz w:val="22"/>
              </w:rPr>
            </w:pPr>
            <w:r>
              <w:rPr>
                <w:rFonts w:hint="eastAsia" w:ascii="宋体" w:hAnsi="宋体" w:eastAsia="宋体" w:cs="宋体"/>
                <w:sz w:val="22"/>
              </w:rPr>
              <w:t xml:space="preserve">文档中心：支持对文档集中存储、管理、上传、下载、打开、删除、替换等。1.</w:t>
            </w:r>
            <w:r>
              <w:rPr>
                <w:rFonts w:hint="eastAsia" w:ascii="宋体" w:hAnsi="宋体" w:eastAsia="宋体" w:cs="宋体"/>
                <w:sz w:val="22"/>
              </w:rPr>
              <w:tab/>
            </w:r>
            <w:r>
              <w:rPr>
                <w:rFonts w:hint="eastAsia" w:ascii="宋体" w:hAnsi="宋体" w:eastAsia="宋体" w:cs="宋体"/>
                <w:sz w:val="22"/>
              </w:rPr>
              <w:t xml:space="preserve">涉及到数据的修改、新增及删除，均可通过Excel表格导入，相关数据也可Excel导出。</w:t>
            </w:r>
            <w:r/>
          </w:p>
          <w:p>
            <w:pPr>
              <w:numPr>
                <w:ilvl w:val="0"/>
                <w:numId w:val="12"/>
              </w:numPr>
              <w:ind w:left="0" w:firstLine="0"/>
              <w:jc w:val="left"/>
              <w:spacing w:before="120" w:after="120"/>
              <w:rPr>
                <w:rFonts w:ascii="宋体" w:hAnsi="宋体" w:eastAsia="宋体" w:cs="宋体"/>
                <w:sz w:val="22"/>
              </w:rPr>
            </w:pPr>
            <w:r>
              <w:rPr>
                <w:rFonts w:hint="eastAsia" w:ascii="宋体" w:hAnsi="宋体" w:eastAsia="宋体" w:cs="宋体"/>
                <w:sz w:val="22"/>
              </w:rPr>
              <w:t xml:space="preserve">日志管理：支持基于用户登录系统的日志记录和基于业务操作内容的业务日志记录，从而建立对系统数据变化的监控记录平台。</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自定义报表平台</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满足各类用户在报表分析方面的综合要求，提供的一个分析型报表的解决方案。其核心是基于底层数据自定义报表，其格式设计中可进行各类分析设置；设计好的报表可以通过相关人员实时查询分析。</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计划平台</w:t>
            </w:r>
            <w:r/>
          </w:p>
        </w:tc>
        <w:tc>
          <w:tcPr>
            <w:shd w:val="clear" w:color="auto" w:fill="auto"/>
            <w:tcW w:w="4862" w:type="dxa"/>
            <w:textDirection w:val="lrTb"/>
            <w:noWrap w:val="false"/>
          </w:tcPr>
          <w:p>
            <w:pPr>
              <w:numPr>
                <w:ilvl w:val="0"/>
                <w:numId w:val="13"/>
              </w:numPr>
              <w:ind w:firstLine="0"/>
              <w:jc w:val="left"/>
              <w:spacing w:before="120" w:after="120"/>
              <w:rPr>
                <w:rFonts w:ascii="宋体" w:hAnsi="宋体" w:eastAsia="宋体" w:cs="宋体"/>
                <w:sz w:val="22"/>
              </w:rPr>
            </w:pPr>
            <w:r>
              <w:rPr>
                <w:rFonts w:hint="eastAsia" w:ascii="宋体" w:hAnsi="宋体" w:eastAsia="宋体" w:cs="宋体"/>
                <w:sz w:val="22"/>
              </w:rPr>
              <w:t xml:space="preserve">支持预算档案的预算科目、业务方案、预算版本、自定义计划时间管理；支持预算维度、汇总结构、维度属性、预算主题、预算指标管理；</w:t>
            </w:r>
            <w:r/>
          </w:p>
          <w:p>
            <w:pPr>
              <w:numPr>
                <w:ilvl w:val="0"/>
                <w:numId w:val="13"/>
              </w:numPr>
              <w:ind w:firstLine="0"/>
              <w:jc w:val="left"/>
              <w:spacing w:before="120" w:after="120"/>
              <w:rPr>
                <w:rFonts w:ascii="宋体" w:hAnsi="宋体" w:eastAsia="宋体" w:cs="宋体"/>
                <w:sz w:val="22"/>
              </w:rPr>
            </w:pPr>
            <w:r>
              <w:rPr>
                <w:rFonts w:hint="eastAsia" w:ascii="宋体" w:hAnsi="宋体" w:eastAsia="宋体" w:cs="宋体"/>
                <w:sz w:val="22"/>
              </w:rPr>
              <w:t xml:space="preserve">支持指标属性管理；</w:t>
            </w:r>
            <w:r/>
          </w:p>
          <w:p>
            <w:pPr>
              <w:numPr>
                <w:ilvl w:val="0"/>
                <w:numId w:val="13"/>
              </w:numPr>
              <w:ind w:firstLine="0"/>
              <w:jc w:val="left"/>
              <w:spacing w:before="120" w:after="120"/>
              <w:rPr>
                <w:rFonts w:ascii="宋体" w:hAnsi="宋体" w:eastAsia="宋体" w:cs="宋体"/>
                <w:sz w:val="22"/>
              </w:rPr>
            </w:pPr>
            <w:r>
              <w:rPr>
                <w:rFonts w:hint="eastAsia" w:ascii="宋体" w:hAnsi="宋体" w:eastAsia="宋体" w:cs="宋体"/>
                <w:sz w:val="22"/>
              </w:rPr>
              <w:t xml:space="preserve">支持应用模型、表单涉及、套表管理；</w:t>
            </w:r>
            <w:r/>
          </w:p>
          <w:p>
            <w:pPr>
              <w:numPr>
                <w:ilvl w:val="0"/>
                <w:numId w:val="13"/>
              </w:numPr>
              <w:ind w:firstLine="0"/>
              <w:jc w:val="left"/>
              <w:spacing w:before="120" w:after="120"/>
              <w:rPr>
                <w:rFonts w:ascii="宋体" w:hAnsi="宋体" w:eastAsia="宋体" w:cs="宋体"/>
                <w:sz w:val="22"/>
              </w:rPr>
            </w:pPr>
            <w:r>
              <w:rPr>
                <w:rFonts w:hint="eastAsia" w:ascii="宋体" w:hAnsi="宋体" w:eastAsia="宋体" w:cs="宋体"/>
                <w:sz w:val="22"/>
              </w:rPr>
              <w:t xml:space="preserve">支持业务规则、控制规则定义管理；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会计凭证自动化</w:t>
            </w:r>
            <w:r/>
          </w:p>
        </w:tc>
        <w:tc>
          <w:tcPr>
            <w:shd w:val="clear" w:color="auto" w:fill="auto"/>
            <w:tcW w:w="4862" w:type="dxa"/>
            <w:textDirection w:val="lrTb"/>
            <w:noWrap w:val="false"/>
          </w:tcPr>
          <w:p>
            <w:pPr>
              <w:jc w:val="left"/>
              <w:spacing w:before="120" w:after="120"/>
              <w:rPr>
                <w:rFonts w:ascii="宋体" w:hAnsi="宋体" w:eastAsia="宋体" w:cs="宋体"/>
                <w:sz w:val="22"/>
                <w:highlight w:val="none"/>
              </w:rPr>
            </w:pPr>
            <w:r>
              <w:rPr>
                <w:rFonts w:hint="eastAsia" w:ascii="宋体" w:hAnsi="宋体" w:eastAsia="宋体" w:cs="宋体"/>
                <w:sz w:val="22"/>
              </w:rPr>
              <w:t xml:space="preserve">支持业务数据、凭证数据的转换。与业务系统对接，通过各类报销单据和资金结算单据设置会计凭证模板，实现业务单据自动生成会计凭证到总账的功能。</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(1)</w:t>
            </w:r>
            <w:r>
              <w:rPr>
                <w:rFonts w:hint="eastAsia" w:ascii="宋体" w:hAnsi="宋体" w:eastAsia="宋体" w:cs="宋体"/>
                <w:sz w:val="22"/>
                <w:highlight w:val="none"/>
              </w:rPr>
              <w:t xml:space="preserve">支持各业务系统中的单据转换生成相应组织相应财务账簿中的总账凭证。</w:t>
            </w:r>
            <w:r/>
          </w:p>
          <w:p>
            <w:pPr>
              <w:jc w:val="left"/>
              <w:spacing w:before="120" w:after="120"/>
              <w:rPr>
                <w:rFonts w:ascii="宋体" w:hAnsi="宋体" w:eastAsia="宋体" w:cs="宋体"/>
                <w:sz w:val="22"/>
              </w:rPr>
            </w:pPr>
            <w:r>
              <w:rPr>
                <w:rFonts w:ascii="宋体" w:hAnsi="宋体" w:eastAsia="宋体" w:cs="宋体"/>
                <w:sz w:val="22"/>
                <w:highlight w:val="none"/>
              </w:rPr>
              <w:t xml:space="preserve">(2)</w:t>
            </w:r>
            <w:r>
              <w:rPr>
                <w:rFonts w:hint="eastAsia" w:ascii="宋体" w:hAnsi="宋体" w:eastAsia="宋体" w:cs="宋体"/>
                <w:sz w:val="22"/>
                <w:highlight w:val="none"/>
              </w:rPr>
              <w:t xml:space="preserve">通过接口单模式承接并存储业务系统</w:t>
            </w:r>
            <w:r>
              <w:rPr>
                <w:rFonts w:hint="eastAsia" w:ascii="宋体" w:hAnsi="宋体" w:eastAsia="宋体" w:cs="宋体"/>
                <w:sz w:val="22"/>
              </w:rPr>
              <w:t xml:space="preserve">数据（医院HIS系统等）。</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通过会计平台，与医院收费、薪资、物流、资产、成本、预算等业务系统无缝对接，自动提取业务数据并生成会计凭证。</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自动凭证范围须覆盖医疗收入、药品核算、耗材核算、资产折旧、薪资发放、费用报销等核心业务场景，实现凭证自动化生成。</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vAlign w:val="center"/>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支撑服务组件</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提供基础平台的支撑服务组件，包括编码规则、预警任务、登录日志、操作日志、业务日志、消息配置、打印配置、UI模板配置。</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财务核算</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总账系统</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(1)</w:t>
            </w:r>
            <w:r>
              <w:rPr>
                <w:rFonts w:hint="eastAsia" w:ascii="宋体" w:hAnsi="宋体" w:eastAsia="宋体" w:cs="宋体"/>
                <w:sz w:val="22"/>
              </w:rPr>
              <w:t xml:space="preserve">支持提供多院区管理功能；支持提供多院区集中核算管理，可以在凭证管理、月末结账、账簿查询业务处理时，可选择不同院区核算账簿；支持多院区内部交易产生的内部财务协同及对账。</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支持凭证管理、凭证按规则自动生成、财务折算、往来核销、月末结转、现金流量、账簿查询等功能。</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支持处理医院日常业务凭证的核算、现金银行存款的管理、月末年末的期末结转处理、现金流量的分析与查询、科目余额表等常用报表的查询与分析业务。总账与其他系统实时无缝集成，支持财务数据与业务数据的同步性。满足凭证的灵活查询。</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日常的制单、审核、记账、月末结转、结账工作，完成医院的全部财务核算工作以及帮助医院进行项目、科室的核算管理工作。系统支持辅助本位币核算、多币种核算，支持任意会计期间及会计科目变更,支持不同主体帐簿间的即时与手动方式的凭证折算。满足灵活的批量审核、记账操作。</w:t>
            </w:r>
            <w:r/>
          </w:p>
          <w:p>
            <w:pPr>
              <w:jc w:val="left"/>
              <w:spacing w:before="120" w:after="120"/>
              <w:rPr>
                <w:rFonts w:ascii="宋体" w:hAnsi="宋体" w:eastAsia="宋体" w:cs="宋体"/>
                <w:sz w:val="22"/>
              </w:rPr>
            </w:pPr>
            <w:r>
              <w:rPr>
                <w:rFonts w:ascii="宋体" w:hAnsi="宋体" w:eastAsia="宋体" w:cs="宋体"/>
                <w:sz w:val="22"/>
              </w:rPr>
              <w:t xml:space="preserve">(5)</w:t>
            </w:r>
            <w:r>
              <w:rPr>
                <w:rFonts w:hint="eastAsia" w:ascii="宋体" w:hAnsi="宋体" w:eastAsia="宋体" w:cs="宋体"/>
                <w:sz w:val="22"/>
              </w:rPr>
              <w:t xml:space="preserve">支持期初余额录入与上年年末余额自动结转本年年初余额。满足年度帐套自动结转，将上年度的数据完整的带入新的年度帐套。</w:t>
            </w:r>
            <w:r/>
          </w:p>
          <w:p>
            <w:pPr>
              <w:jc w:val="left"/>
              <w:spacing w:before="120" w:after="120"/>
              <w:rPr>
                <w:rFonts w:ascii="宋体" w:hAnsi="宋体" w:eastAsia="宋体" w:cs="宋体"/>
                <w:sz w:val="22"/>
              </w:rPr>
            </w:pPr>
            <w:r>
              <w:rPr>
                <w:rFonts w:ascii="宋体" w:hAnsi="宋体" w:eastAsia="宋体" w:cs="宋体"/>
                <w:sz w:val="22"/>
              </w:rPr>
              <w:t xml:space="preserve">(6)</w:t>
            </w:r>
            <w:r>
              <w:rPr>
                <w:rFonts w:hint="eastAsia" w:ascii="宋体" w:hAnsi="宋体" w:eastAsia="宋体" w:cs="宋体"/>
                <w:sz w:val="22"/>
              </w:rPr>
              <w:t xml:space="preserve">支持包括三栏式总账、三栏式明细账等各种账簿的查询。满足查询结果的穿透溯源。</w:t>
            </w:r>
            <w:r/>
          </w:p>
          <w:p>
            <w:pPr>
              <w:jc w:val="left"/>
              <w:spacing w:before="120" w:after="120"/>
              <w:rPr>
                <w:rFonts w:ascii="宋体" w:hAnsi="宋体" w:eastAsia="宋体" w:cs="宋体"/>
                <w:sz w:val="22"/>
              </w:rPr>
            </w:pPr>
            <w:r>
              <w:rPr>
                <w:rFonts w:ascii="宋体" w:hAnsi="宋体" w:eastAsia="宋体" w:cs="宋体"/>
                <w:sz w:val="22"/>
              </w:rPr>
              <w:t xml:space="preserve">(7)</w:t>
            </w:r>
            <w:r>
              <w:rPr>
                <w:rFonts w:hint="eastAsia" w:ascii="宋体" w:hAnsi="宋体" w:eastAsia="宋体" w:cs="宋体"/>
                <w:sz w:val="22"/>
              </w:rPr>
              <w:t xml:space="preserve">支持各种结转，自动生成转账凭证，会计期结束时进行试算平衡与结账处理。</w:t>
            </w:r>
            <w:r/>
          </w:p>
          <w:p>
            <w:pPr>
              <w:jc w:val="left"/>
              <w:spacing w:before="120" w:after="120"/>
              <w:rPr>
                <w:rFonts w:ascii="宋体" w:hAnsi="宋体" w:eastAsia="宋体" w:cs="宋体"/>
                <w:sz w:val="22"/>
              </w:rPr>
            </w:pPr>
            <w:r>
              <w:rPr>
                <w:rFonts w:ascii="宋体" w:hAnsi="宋体" w:eastAsia="宋体" w:cs="宋体"/>
                <w:sz w:val="22"/>
              </w:rPr>
              <w:t xml:space="preserve">(8)</w:t>
            </w:r>
            <w:r>
              <w:rPr>
                <w:rFonts w:hint="eastAsia" w:ascii="宋体" w:hAnsi="宋体" w:eastAsia="宋体" w:cs="宋体"/>
                <w:sz w:val="22"/>
              </w:rPr>
              <w:t xml:space="preserve">支持通过提供科目辅助核算及多种账表查询功能，支持多维度的专项核算与管理，满足医院细化核算的要求。</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政府会计</w:t>
            </w:r>
            <w:r/>
          </w:p>
        </w:tc>
        <w:tc>
          <w:tcPr>
            <w:shd w:val="clear" w:color="auto" w:fill="auto"/>
            <w:tcW w:w="4862" w:type="dxa"/>
            <w:textDirection w:val="lrTb"/>
            <w:noWrap w:val="false"/>
          </w:tcPr>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支持新政府会计核算准则，预制相关科目档案，提供包括业务单据转换满足公立医院执行《政府会计制度》平行记账及差异分析，以及出具财务会计及预算会计报表要求。</w:t>
            </w:r>
            <w:r/>
          </w:p>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自动平行记账：提供五种平行记账方式，即科目对照、常用模板、Excel导入、会计平台适配、手工凭证。</w:t>
            </w:r>
            <w:r/>
          </w:p>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手工差异分析：提供总账凭证制单界面根据分录勾选差异项目，差异项目合并汇总显示，凭证校验差异是否正确，汇总生成《本年盈余与预算结余差异表》。</w:t>
            </w:r>
            <w:r/>
          </w:p>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自动差异分析：通过摘要关键字、科目、借贷方向及辅助核算项目与差异项目绑定关系，凭证界面自动带出差异项目，汇总生成《本年盈余与预算结余差异表》。</w:t>
            </w:r>
            <w:r/>
          </w:p>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差异补录：支持应该录差异而未录的凭证统一补录差异，不受记账结账的影响。</w:t>
            </w:r>
            <w:r/>
          </w:p>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差异调整：支持差异录错的凭证统一调整差异，不受记账结账的影响。</w:t>
            </w:r>
            <w:r/>
          </w:p>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自动差异补录：支持对之前应该录入差异而没有录入的凭证统一自动化差异补录。</w:t>
            </w:r>
            <w:r/>
          </w:p>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自动差异调整：支持之前差异录错的凭证统一自动化调整。</w:t>
            </w:r>
            <w:r/>
          </w:p>
          <w:p>
            <w:pPr>
              <w:numPr>
                <w:ilvl w:val="0"/>
                <w:numId w:val="14"/>
              </w:numPr>
              <w:ind w:firstLine="0"/>
              <w:jc w:val="left"/>
              <w:spacing w:before="120" w:after="120"/>
              <w:rPr>
                <w:rFonts w:ascii="宋体" w:hAnsi="宋体" w:eastAsia="宋体" w:cs="宋体"/>
                <w:sz w:val="22"/>
              </w:rPr>
            </w:pPr>
            <w:r>
              <w:rPr>
                <w:rFonts w:hint="eastAsia" w:ascii="宋体" w:hAnsi="宋体" w:eastAsia="宋体" w:cs="宋体"/>
                <w:sz w:val="22"/>
              </w:rPr>
              <w:t xml:space="preserve">政府会计报表：财务会计及预算会计体系财务报表。</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应付系统</w:t>
            </w:r>
            <w:r/>
          </w:p>
        </w:tc>
        <w:tc>
          <w:tcPr>
            <w:shd w:val="clear" w:color="auto" w:fill="auto"/>
            <w:tcW w:w="4862" w:type="dxa"/>
            <w:textDirection w:val="lrTb"/>
            <w:noWrap w:val="false"/>
          </w:tcPr>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支持应付单的录入、供应商资质的控制、供应商付款的处理、单据核销处理等功能，并提供应付及付款常用报表的查询分析。</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支持形成的应付款、付款和预付款业务的管理，同时也可实现暂估应付的管理，并及时提供完整、正确的往来款项资料，加强对往来款项的监督管理，提高工作效率。应付账款确认环节灵活可配置。</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支持跨组织应付管理：入库组织与收票组织不同，系统可同时记录双方信息，并自动生成双方会计凭证。</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支持与业务系统的无缝集成，可以根据业务系统直接生成应付款，也可以在应付系统录入相应的应付款。</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提供多种结算方式的付款处理，并能够根据付款条件自动计算现金折扣。根据应付情况和付款条件，提供选择付款功能，支持批量付款。支持对预付款的管理。</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支持应付系统与采购系统集成使用时，由采购管理系统中由采购发票与采购入库单进行勾对，采购发票传递应付系统形成应付单，审核后将自动生成应付凭证。</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支持应付到期自动预警。</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支持全面保留审计线索：记录业务日志，包括操作人、操作方式、操作内容。</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应付管理支持预算控制，支持预占预算，也支持实占预算。</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自动核销和手工核销两种方式。自动核销可以按照预先设定的条件由系统来完成应付款与付款之间的核销操作，可以定期成批的操作。手工核销就是由用户人工进行应付款与付款之间的匹配。通过核销为账龄分析提供精准的数据。</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支持查询与报表功能。</w:t>
            </w:r>
            <w:r/>
          </w:p>
          <w:p>
            <w:pPr>
              <w:numPr>
                <w:ilvl w:val="0"/>
                <w:numId w:val="1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支持付款单自动出具支票，后期可与银医直连打通，直接从银行付款。</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固定资产</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管理固定资产、无形资产、投资性房产、低值易耗品、递延资产等类型的资产，根据医院需要管理的资产类型设置资产类别及对应的折旧（摊销）方法，分配对应的卡片样式（资产卡片模板），支持同一类型的资产，不同用户使不同的模板。</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卡片样式可以自定义，不同的人可以使用不同的卡片项目，除系统预置卡片项目外，可以自定义所需要的卡片项目。资产卡片支持标签打印工作，也支持列表方式打印，打印样式可定义。</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卡片中折旧记录可以以折线图形式显示每月折旧信息和累计折旧的变化情况。</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支持采购转固：采购到货单、采购入库单、调拨入库单、材料出库单支持生成固定资产卡片，支持多种建卡方式：按表体行建卡、按数量拆分建卡、整单建卡、多单合并建卡。</w:t>
            </w:r>
            <w:r/>
          </w:p>
          <w:p>
            <w:pPr>
              <w:jc w:val="left"/>
              <w:spacing w:before="120" w:after="120"/>
              <w:rPr>
                <w:rFonts w:ascii="宋体" w:hAnsi="宋体" w:eastAsia="宋体" w:cs="宋体"/>
                <w:sz w:val="22"/>
              </w:rPr>
            </w:pPr>
            <w:r>
              <w:rPr>
                <w:rFonts w:ascii="宋体" w:hAnsi="宋体" w:eastAsia="宋体" w:cs="宋体"/>
                <w:sz w:val="22"/>
              </w:rPr>
              <w:t xml:space="preserve">(5)</w:t>
            </w:r>
            <w:r>
              <w:rPr>
                <w:rFonts w:hint="eastAsia" w:ascii="宋体" w:hAnsi="宋体" w:eastAsia="宋体" w:cs="宋体"/>
                <w:sz w:val="22"/>
              </w:rPr>
              <w:t xml:space="preserve">支持数量管理，支持多张卡片合并与卡片拆分，通过合并与拆分可以实现部分报废或资产重新拼装生成新卡片。</w:t>
            </w:r>
            <w:r/>
          </w:p>
          <w:p>
            <w:pPr>
              <w:jc w:val="left"/>
              <w:spacing w:before="120" w:after="120"/>
              <w:rPr>
                <w:rFonts w:ascii="宋体" w:hAnsi="宋体" w:eastAsia="宋体" w:cs="宋体"/>
                <w:sz w:val="22"/>
              </w:rPr>
            </w:pPr>
            <w:r>
              <w:rPr>
                <w:rFonts w:ascii="宋体" w:hAnsi="宋体" w:eastAsia="宋体" w:cs="宋体"/>
                <w:sz w:val="22"/>
              </w:rPr>
              <w:t xml:space="preserve">(6)</w:t>
            </w:r>
            <w:r>
              <w:rPr>
                <w:rFonts w:hint="eastAsia" w:ascii="宋体" w:hAnsi="宋体" w:eastAsia="宋体" w:cs="宋体"/>
                <w:sz w:val="22"/>
              </w:rPr>
              <w:t xml:space="preserve">支持资产调拨，分为科室之间调拨和院区之间调拨。科室间调拨，即变更资产的使用科室或者所属科室；院区间调拨，则同时生成调出医院的资产减少和调入医院的资产增加，并且可以保持资产在医院内的统一编号，便于医院对资产的统一管理，医院可以查询到某个资产在医院内的变动情况。</w:t>
            </w:r>
            <w:r/>
          </w:p>
          <w:p>
            <w:pPr>
              <w:jc w:val="left"/>
              <w:spacing w:before="120" w:after="120"/>
              <w:rPr>
                <w:rFonts w:ascii="宋体" w:hAnsi="宋体" w:eastAsia="宋体" w:cs="宋体"/>
                <w:sz w:val="22"/>
              </w:rPr>
            </w:pPr>
            <w:r>
              <w:rPr>
                <w:rFonts w:ascii="宋体" w:hAnsi="宋体" w:eastAsia="宋体" w:cs="宋体"/>
                <w:sz w:val="22"/>
              </w:rPr>
              <w:t xml:space="preserve">(7)</w:t>
            </w:r>
            <w:r>
              <w:rPr>
                <w:rFonts w:hint="eastAsia" w:ascii="宋体" w:hAnsi="宋体" w:eastAsia="宋体" w:cs="宋体"/>
                <w:sz w:val="22"/>
              </w:rPr>
              <w:t xml:space="preserve">支持资产原值的变动、累计折旧的变动、使用年限的变动、使用状况变动、折旧方法的变动、资产类别的调整、租赁产权转移、工作总量调整、净残值率调整、资产的组合拆分等多种变动内容。</w:t>
            </w:r>
            <w:r/>
          </w:p>
          <w:p>
            <w:pPr>
              <w:jc w:val="left"/>
              <w:spacing w:before="120" w:after="120"/>
              <w:rPr>
                <w:rFonts w:ascii="宋体" w:hAnsi="宋体" w:eastAsia="宋体" w:cs="宋体"/>
                <w:sz w:val="22"/>
              </w:rPr>
            </w:pPr>
            <w:r>
              <w:rPr>
                <w:rFonts w:ascii="宋体" w:hAnsi="宋体" w:eastAsia="宋体" w:cs="宋体"/>
                <w:sz w:val="22"/>
              </w:rPr>
              <w:t xml:space="preserve">(8)</w:t>
            </w:r>
            <w:r>
              <w:rPr>
                <w:rFonts w:hint="eastAsia" w:ascii="宋体" w:hAnsi="宋体" w:eastAsia="宋体" w:cs="宋体"/>
                <w:sz w:val="22"/>
              </w:rPr>
              <w:t xml:space="preserve">系统支持常用的折旧摊销方法，同时支持自定义新的计算方式。</w:t>
            </w:r>
            <w:r/>
          </w:p>
          <w:p>
            <w:pPr>
              <w:jc w:val="left"/>
              <w:spacing w:before="120" w:after="120"/>
              <w:rPr>
                <w:rFonts w:ascii="宋体" w:hAnsi="宋体" w:eastAsia="宋体" w:cs="宋体"/>
                <w:sz w:val="22"/>
              </w:rPr>
            </w:pPr>
            <w:r>
              <w:rPr>
                <w:rFonts w:ascii="宋体" w:hAnsi="宋体" w:eastAsia="宋体" w:cs="宋体"/>
                <w:sz w:val="22"/>
              </w:rPr>
              <w:t xml:space="preserve">(9)</w:t>
            </w:r>
            <w:r>
              <w:rPr>
                <w:rFonts w:hint="eastAsia" w:ascii="宋体" w:hAnsi="宋体" w:eastAsia="宋体" w:cs="宋体"/>
                <w:sz w:val="22"/>
              </w:rPr>
              <w:t xml:space="preserve">支持系统按时自动计提折旧摊销、结账。可通过“固定资产智能设置”功能来设置每期固定资产自动计提折旧和结账的时间，并且折旧或结账失败时，会发消息给指定的人员查看失败原因。</w:t>
            </w:r>
            <w:r/>
          </w:p>
          <w:p>
            <w:pPr>
              <w:jc w:val="left"/>
              <w:spacing w:before="120" w:after="120"/>
              <w:rPr>
                <w:rFonts w:ascii="宋体" w:hAnsi="宋体" w:eastAsia="宋体" w:cs="宋体"/>
                <w:sz w:val="22"/>
              </w:rPr>
            </w:pPr>
            <w:r>
              <w:rPr>
                <w:rFonts w:ascii="宋体" w:hAnsi="宋体" w:eastAsia="宋体" w:cs="宋体"/>
                <w:sz w:val="22"/>
              </w:rPr>
              <w:t xml:space="preserve">(10)</w:t>
            </w:r>
            <w:r>
              <w:rPr>
                <w:rFonts w:hint="eastAsia" w:ascii="宋体" w:hAnsi="宋体" w:eastAsia="宋体" w:cs="宋体"/>
                <w:sz w:val="22"/>
              </w:rPr>
              <w:t xml:space="preserve">支持同一资产可以多科室共用，并按照分摊方式分摊资产计提费用。</w:t>
            </w:r>
            <w:r/>
          </w:p>
          <w:p>
            <w:pPr>
              <w:jc w:val="left"/>
              <w:spacing w:before="120" w:after="120"/>
              <w:rPr>
                <w:rFonts w:ascii="宋体" w:hAnsi="宋体" w:eastAsia="宋体" w:cs="宋体"/>
                <w:sz w:val="22"/>
              </w:rPr>
            </w:pPr>
            <w:r>
              <w:rPr>
                <w:rFonts w:ascii="宋体" w:hAnsi="宋体" w:eastAsia="宋体" w:cs="宋体"/>
                <w:sz w:val="22"/>
              </w:rPr>
              <w:t xml:space="preserve">(11)</w:t>
            </w:r>
            <w:r>
              <w:rPr>
                <w:rFonts w:hint="eastAsia" w:ascii="宋体" w:hAnsi="宋体" w:eastAsia="宋体" w:cs="宋体"/>
                <w:sz w:val="22"/>
              </w:rPr>
              <w:t xml:space="preserve">支持固定资产卡片数据的导入和导出，包括EXCEL、TXT、HTML、等接口方式。导入、导出的字段内容可以进行灵活地选择设置。</w:t>
            </w:r>
            <w:r/>
          </w:p>
          <w:p>
            <w:pPr>
              <w:jc w:val="left"/>
              <w:spacing w:before="120" w:after="120"/>
              <w:rPr>
                <w:rFonts w:ascii="宋体" w:hAnsi="宋体" w:eastAsia="宋体" w:cs="宋体"/>
                <w:sz w:val="22"/>
              </w:rPr>
            </w:pPr>
            <w:r>
              <w:rPr>
                <w:rFonts w:ascii="宋体" w:hAnsi="宋体" w:eastAsia="宋体" w:cs="宋体"/>
                <w:sz w:val="22"/>
              </w:rPr>
              <w:t xml:space="preserve">(12)</w:t>
            </w:r>
            <w:r>
              <w:rPr>
                <w:rFonts w:hint="eastAsia" w:ascii="宋体" w:hAnsi="宋体" w:eastAsia="宋体" w:cs="宋体"/>
                <w:sz w:val="22"/>
              </w:rPr>
              <w:t xml:space="preserve">支持固定资产查询报表（卡片台账、变动单台账、资产明细查询、折旧计算明细查询、折旧汇总查询、增减变动查询、统计分析查询、管理科室查询、使用科室查询、使用情况查询等。</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(13)</w:t>
            </w:r>
            <w:r>
              <w:rPr>
                <w:rFonts w:hint="eastAsia" w:ascii="宋体" w:hAnsi="宋体" w:eastAsia="宋体" w:cs="宋体"/>
                <w:sz w:val="22"/>
              </w:rPr>
              <w:t xml:space="preserve">支持固定资产多资金来源。</w:t>
            </w:r>
            <w:r/>
          </w:p>
          <w:p>
            <w:pPr>
              <w:jc w:val="left"/>
              <w:spacing w:before="120" w:after="120"/>
              <w:rPr>
                <w:rFonts w:ascii="宋体" w:hAnsi="宋体" w:eastAsia="宋体" w:cs="宋体"/>
                <w:sz w:val="22"/>
              </w:rPr>
            </w:pPr>
            <w:r>
              <w:rPr>
                <w:rFonts w:ascii="宋体" w:hAnsi="宋体" w:eastAsia="宋体" w:cs="宋体"/>
                <w:sz w:val="22"/>
              </w:rPr>
              <w:t xml:space="preserve">(14)</w:t>
            </w:r>
            <w:r>
              <w:rPr>
                <w:rFonts w:hint="eastAsia" w:ascii="宋体" w:hAnsi="宋体" w:eastAsia="宋体" w:cs="宋体"/>
                <w:sz w:val="22"/>
              </w:rPr>
              <w:t xml:space="preserve">支持总账小部件，以柱状图显示当前组织一年内各月的原值和累计折旧期末数。</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医院报表</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支持各类财务报表（企业会计准则报表、政府会计制度报表）的格式定义、数据公式设置。</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(2)</w:t>
            </w:r>
            <w:r>
              <w:rPr>
                <w:rFonts w:hint="eastAsia" w:ascii="宋体" w:hAnsi="宋体" w:eastAsia="宋体" w:cs="宋体"/>
                <w:sz w:val="22"/>
              </w:rPr>
              <w:t xml:space="preserve">支持便捷、灵活的定义内部管理报表（包括医院层面报表和科室层面报表）的格式、数据公式设置，支持内部管理。</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支持通过定义的取数公式从业务系统的数据库中抓取数据，生成业财融合的管理报表。</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支持业务系统与财务核算系统的数据一致性管理，防止结账后的财务系统数据因为业务系统变化而出现不一致的情况。</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合并报表</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(1)</w:t>
            </w:r>
            <w:r>
              <w:rPr>
                <w:rFonts w:hint="eastAsia" w:ascii="宋体" w:hAnsi="宋体" w:eastAsia="宋体" w:cs="宋体"/>
                <w:sz w:val="22"/>
              </w:rPr>
              <w:t xml:space="preserve">支持医院集团内部交易的自动核对，自动完成各类财务报表、内部管理报表的汇总、合并。</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提供多口径合并架构管理，支持按照法人管理关系和内部管理关系的不同维度，汇总、合并报表。</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可按多种时间维度生成月、季、年的财务合并报表，部分内部管理报表，支持按周、按天汇总，可追溯查询合并汇总数据的构成。</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支持成本法与权益法的调整转换。</w:t>
            </w:r>
            <w:r/>
          </w:p>
          <w:p>
            <w:pPr>
              <w:jc w:val="left"/>
              <w:spacing w:before="120" w:after="120"/>
              <w:rPr>
                <w:rFonts w:ascii="宋体" w:hAnsi="宋体" w:eastAsia="宋体" w:cs="宋体"/>
                <w:sz w:val="22"/>
              </w:rPr>
            </w:pPr>
            <w:r>
              <w:rPr>
                <w:rFonts w:ascii="宋体" w:hAnsi="宋体" w:eastAsia="宋体" w:cs="宋体"/>
                <w:sz w:val="22"/>
              </w:rPr>
              <w:t xml:space="preserve">(5)</w:t>
            </w:r>
            <w:r>
              <w:rPr>
                <w:rFonts w:hint="eastAsia" w:ascii="宋体" w:hAnsi="宋体" w:eastAsia="宋体" w:cs="宋体"/>
                <w:sz w:val="22"/>
              </w:rPr>
              <w:t xml:space="preserve">可通过系统实现集团内医院间债权债务、往来交易、现金流量的对账及自动抵销。</w:t>
            </w:r>
            <w:r/>
          </w:p>
          <w:p>
            <w:pPr>
              <w:jc w:val="left"/>
              <w:spacing w:before="120" w:after="120"/>
              <w:rPr>
                <w:rFonts w:ascii="宋体" w:hAnsi="宋体" w:eastAsia="宋体" w:cs="宋体"/>
                <w:sz w:val="22"/>
              </w:rPr>
            </w:pPr>
            <w:r>
              <w:rPr>
                <w:rFonts w:ascii="宋体" w:hAnsi="宋体" w:eastAsia="宋体" w:cs="宋体"/>
                <w:sz w:val="22"/>
              </w:rPr>
              <w:t xml:space="preserve">(6)</w:t>
            </w:r>
            <w:r>
              <w:rPr>
                <w:rFonts w:hint="eastAsia" w:ascii="宋体" w:hAnsi="宋体" w:eastAsia="宋体" w:cs="宋体"/>
                <w:sz w:val="22"/>
              </w:rPr>
              <w:t xml:space="preserve">支持所属单位的单体报表数据从财务报表系统中的单体报表自动获取。</w:t>
            </w:r>
            <w:r/>
          </w:p>
          <w:p>
            <w:pPr>
              <w:jc w:val="left"/>
              <w:spacing w:before="120" w:after="120"/>
              <w:rPr>
                <w:rFonts w:ascii="宋体" w:hAnsi="宋体" w:eastAsia="宋体" w:cs="宋体"/>
                <w:sz w:val="22"/>
              </w:rPr>
            </w:pPr>
            <w:r>
              <w:rPr>
                <w:rFonts w:ascii="宋体" w:hAnsi="宋体" w:eastAsia="宋体" w:cs="宋体"/>
                <w:sz w:val="22"/>
              </w:rPr>
              <w:t xml:space="preserve">(7)</w:t>
            </w:r>
            <w:r>
              <w:rPr>
                <w:rFonts w:hint="eastAsia" w:ascii="宋体" w:hAnsi="宋体" w:eastAsia="宋体" w:cs="宋体"/>
                <w:sz w:val="22"/>
              </w:rPr>
              <w:t xml:space="preserve">内部交易对账结果可以自动生成合并报表模块的抵销凭证。</w:t>
            </w:r>
            <w:r/>
          </w:p>
          <w:p>
            <w:pPr>
              <w:jc w:val="left"/>
              <w:spacing w:before="120" w:after="120"/>
              <w:rPr>
                <w:rFonts w:ascii="宋体" w:hAnsi="宋体" w:eastAsia="宋体" w:cs="宋体"/>
                <w:sz w:val="22"/>
              </w:rPr>
            </w:pPr>
            <w:r>
              <w:rPr>
                <w:rFonts w:ascii="宋体" w:hAnsi="宋体" w:eastAsia="宋体" w:cs="宋体"/>
                <w:sz w:val="22"/>
              </w:rPr>
              <w:t xml:space="preserve">(8)</w:t>
            </w:r>
            <w:r>
              <w:rPr>
                <w:rFonts w:hint="eastAsia" w:ascii="宋体" w:hAnsi="宋体" w:eastAsia="宋体" w:cs="宋体"/>
                <w:sz w:val="22"/>
              </w:rPr>
              <w:t xml:space="preserve">支持对单体报表、合并报表，合并报表调整表的上报、请求退回、退回、手动催报操作提供消息发送功能。</w:t>
            </w:r>
            <w:r/>
          </w:p>
          <w:p>
            <w:pPr>
              <w:jc w:val="left"/>
              <w:spacing w:before="120" w:after="120"/>
              <w:rPr>
                <w:rFonts w:ascii="宋体" w:hAnsi="宋体" w:eastAsia="宋体" w:cs="宋体"/>
                <w:sz w:val="22"/>
              </w:rPr>
            </w:pPr>
            <w:r>
              <w:rPr>
                <w:rFonts w:ascii="宋体" w:hAnsi="宋体" w:eastAsia="宋体" w:cs="宋体"/>
                <w:sz w:val="22"/>
              </w:rPr>
              <w:t xml:space="preserve">(9)</w:t>
            </w:r>
            <w:r>
              <w:rPr>
                <w:rFonts w:hint="eastAsia" w:ascii="宋体" w:hAnsi="宋体" w:eastAsia="宋体" w:cs="宋体"/>
                <w:sz w:val="22"/>
              </w:rPr>
              <w:t xml:space="preserve">支持合并报表、单体报表各科目按照时间维度的历史数据汇总查询。</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报销管理</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基础报账</w:t>
            </w:r>
            <w:r/>
          </w:p>
        </w:tc>
        <w:tc>
          <w:tcPr>
            <w:shd w:val="clear" w:color="auto" w:fill="auto"/>
            <w:tcW w:w="4862" w:type="dxa"/>
            <w:textDirection w:val="lrTb"/>
            <w:noWrap w:val="false"/>
          </w:tcPr>
          <w:p>
            <w:pPr>
              <w:numPr>
                <w:ilvl w:val="0"/>
                <w:numId w:val="16"/>
              </w:numPr>
              <w:ind w:firstLine="0"/>
              <w:jc w:val="left"/>
              <w:spacing w:before="120" w:after="120"/>
              <w:rPr>
                <w:rFonts w:ascii="宋体" w:hAnsi="宋体" w:eastAsia="宋体" w:cs="宋体"/>
                <w:sz w:val="22"/>
              </w:rPr>
            </w:pPr>
            <w:r>
              <w:rPr>
                <w:rFonts w:hint="eastAsia" w:ascii="宋体" w:hAnsi="宋体" w:eastAsia="宋体" w:cs="宋体"/>
                <w:sz w:val="22"/>
              </w:rPr>
              <w:t xml:space="preserve">提供出差申请单及其他事项申请单，并支持进行申请变更。提供借款单可引入事项申请，</w:t>
            </w:r>
            <w:r/>
          </w:p>
          <w:p>
            <w:pPr>
              <w:numPr>
                <w:ilvl w:val="0"/>
                <w:numId w:val="16"/>
              </w:numPr>
              <w:ind w:firstLine="0"/>
              <w:jc w:val="left"/>
              <w:spacing w:before="120" w:after="120"/>
              <w:rPr>
                <w:rFonts w:ascii="宋体" w:hAnsi="宋体" w:eastAsia="宋体" w:cs="宋体"/>
                <w:sz w:val="22"/>
              </w:rPr>
            </w:pPr>
            <w:r>
              <w:rPr>
                <w:rFonts w:hint="eastAsia" w:ascii="宋体" w:hAnsi="宋体" w:eastAsia="宋体" w:cs="宋体"/>
                <w:sz w:val="22"/>
              </w:rPr>
              <w:t xml:space="preserve">支持控制借款的额度、期限、前款不清后款不借。提供还款单可引入借款单进行核销。</w:t>
            </w:r>
            <w:r/>
          </w:p>
          <w:p>
            <w:pPr>
              <w:numPr>
                <w:ilvl w:val="0"/>
                <w:numId w:val="16"/>
              </w:numPr>
              <w:ind w:firstLine="0"/>
              <w:jc w:val="left"/>
              <w:spacing w:before="120" w:after="120"/>
              <w:rPr>
                <w:rFonts w:ascii="宋体" w:hAnsi="宋体" w:eastAsia="宋体" w:cs="宋体"/>
                <w:sz w:val="22"/>
              </w:rPr>
            </w:pPr>
            <w:r>
              <w:rPr>
                <w:rFonts w:hint="eastAsia" w:ascii="宋体" w:hAnsi="宋体" w:eastAsia="宋体" w:cs="宋体"/>
                <w:sz w:val="22"/>
              </w:rPr>
              <w:t xml:space="preserve">提供OCR识别/文件上传/微信卡包/支付宝卡包/手工录入等方式智能采集原始票据，识别解析形成结构化账单，并进行税务验伪/验连验重/抬头校验等发票稽核。</w:t>
            </w:r>
            <w:r/>
          </w:p>
          <w:p>
            <w:pPr>
              <w:numPr>
                <w:ilvl w:val="0"/>
                <w:numId w:val="16"/>
              </w:numPr>
              <w:ind w:firstLine="0"/>
              <w:jc w:val="left"/>
              <w:spacing w:before="120" w:after="120"/>
              <w:rPr>
                <w:rFonts w:ascii="宋体" w:hAnsi="宋体" w:eastAsia="宋体" w:cs="宋体"/>
                <w:sz w:val="22"/>
              </w:rPr>
            </w:pPr>
            <w:r>
              <w:rPr>
                <w:rFonts w:hint="eastAsia" w:ascii="宋体" w:hAnsi="宋体" w:eastAsia="宋体" w:cs="宋体"/>
                <w:sz w:val="22"/>
              </w:rPr>
              <w:t xml:space="preserve">提供智能填单规则根据账单信息引导式快捷生成报销明细，最大限度的减少人工选择，并按照发票账单类型和消费类型自动对可抵扣税额自动价税分离。</w:t>
            </w:r>
            <w:r/>
          </w:p>
          <w:p>
            <w:pPr>
              <w:numPr>
                <w:ilvl w:val="0"/>
                <w:numId w:val="16"/>
              </w:numPr>
              <w:ind w:firstLine="0"/>
              <w:jc w:val="left"/>
              <w:spacing w:before="120" w:after="120"/>
              <w:rPr>
                <w:rFonts w:ascii="宋体" w:hAnsi="宋体" w:eastAsia="宋体" w:cs="宋体"/>
                <w:sz w:val="22"/>
              </w:rPr>
            </w:pPr>
            <w:r>
              <w:rPr>
                <w:rFonts w:hint="eastAsia" w:ascii="宋体" w:hAnsi="宋体" w:eastAsia="宋体" w:cs="宋体"/>
                <w:sz w:val="22"/>
              </w:rPr>
              <w:t xml:space="preserve">支持权责发生制下期末未到票费用先行预提入账，到票可发起报账核销预提。</w:t>
            </w:r>
            <w:r/>
          </w:p>
          <w:p>
            <w:pPr>
              <w:numPr>
                <w:ilvl w:val="0"/>
                <w:numId w:val="16"/>
              </w:numPr>
              <w:ind w:firstLine="0"/>
              <w:jc w:val="left"/>
              <w:spacing w:before="120" w:after="120"/>
              <w:rPr>
                <w:rFonts w:ascii="宋体" w:hAnsi="宋体" w:eastAsia="宋体" w:cs="宋体"/>
                <w:sz w:val="22"/>
              </w:rPr>
            </w:pPr>
            <w:r>
              <w:rPr>
                <w:rFonts w:hint="eastAsia" w:ascii="宋体" w:hAnsi="宋体" w:eastAsia="宋体" w:cs="宋体"/>
                <w:sz w:val="22"/>
              </w:rPr>
              <w:t xml:space="preserve">支持权责发生制下已支付但不属于本期费用部分金额，摊销至后续期间范围。</w:t>
            </w:r>
            <w:r/>
          </w:p>
          <w:p>
            <w:pPr>
              <w:numPr>
                <w:ilvl w:val="0"/>
                <w:numId w:val="16"/>
              </w:numPr>
              <w:ind w:firstLine="0"/>
              <w:jc w:val="left"/>
              <w:spacing w:before="120" w:after="120"/>
              <w:rPr>
                <w:rFonts w:ascii="宋体" w:hAnsi="宋体" w:eastAsia="宋体" w:cs="宋体"/>
                <w:sz w:val="22"/>
              </w:rPr>
            </w:pPr>
            <w:r>
              <w:rPr>
                <w:rFonts w:hint="eastAsia" w:ascii="宋体" w:hAnsi="宋体" w:eastAsia="宋体" w:cs="宋体"/>
                <w:sz w:val="22"/>
              </w:rPr>
              <w:t xml:space="preserve">预置智能稽核规则并根据外围变化动态更新规则库，根据医院个性化管理要求可自定义稽核规则减少财务审核工作。</w:t>
            </w:r>
            <w:r/>
          </w:p>
          <w:p>
            <w:pPr>
              <w:numPr>
                <w:ilvl w:val="0"/>
                <w:numId w:val="16"/>
              </w:numPr>
              <w:ind w:firstLine="0"/>
              <w:jc w:val="left"/>
              <w:spacing w:before="120" w:after="120"/>
              <w:rPr>
                <w:rFonts w:ascii="宋体" w:hAnsi="宋体" w:eastAsia="宋体" w:cs="宋体"/>
                <w:sz w:val="22"/>
              </w:rPr>
            </w:pPr>
            <w:r>
              <w:rPr>
                <w:rFonts w:hint="eastAsia" w:ascii="宋体" w:hAnsi="宋体" w:eastAsia="宋体" w:cs="宋体"/>
                <w:sz w:val="22"/>
              </w:rPr>
              <w:t xml:space="preserve">支持医院个性化管理要求，自定义费控分析报表。</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对公报账</w:t>
            </w:r>
            <w:r/>
          </w:p>
        </w:tc>
        <w:tc>
          <w:tcPr>
            <w:shd w:val="clear" w:color="auto" w:fill="auto"/>
            <w:tcW w:w="4862" w:type="dxa"/>
            <w:textDirection w:val="lrTb"/>
            <w:noWrap w:val="false"/>
          </w:tcPr>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支持发票扫描上传同时获取发票信息（发票号、单位名、金额、开户行，账号等），节省采购人员工填报工作量以及采购人财务审核工作量，付款后自动生成凭证；</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支持报销核算一体化；</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支持跨组织报销和员工自助报销以及授权代理报销；支持在借款、报销环节同时受预算、事项审批单控制或者仅在报销环节受预算、事项审批单控制两种预算管理场景下的借款、报销处理；</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支持跨组织报销和职工自助报销以及授权代理报销；</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支持在借款、报销环节同时受预算、合同支付进度、事务审批单控制。</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支持提供借款余额、借款和费用明细、费用汇总查询，及借款账龄分析报表。从而提高费用报销、资金支付效率，降低运营和管理成本；</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支持审批流平台，可以对每笔员工的借款，以及报销申请，都按照预定的流程进行审批，审批通过后才能进行支付；</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支持借款单、报销单的单据大类，并支持预置常用的借款报销单据类型及模板，业务人员可增加借款单和报销单，支持管理人员、财务人员对借款、报销单据进行审核、冲销等后续操作；</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支持丰富详尽的统计分析（预算执行情况的分析、员工借款账龄分析、员工欠款分析、收入支出项目分析等分析内容，为员工的管理提供了丰富详实的信息）；</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支持自定义工作流、可灵活扩展流程制定的需求；</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支持无票付款后的发票核销及查询；</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可基于预算配置强管控或弱管控等多重费控管理方案；</w:t>
            </w:r>
            <w:r/>
          </w:p>
          <w:p>
            <w:pPr>
              <w:numPr>
                <w:ilvl w:val="0"/>
                <w:numId w:val="17"/>
              </w:numPr>
              <w:ind w:firstLine="0"/>
              <w:jc w:val="left"/>
              <w:spacing w:before="120" w:after="120"/>
              <w:rPr>
                <w:rFonts w:ascii="宋体" w:hAnsi="宋体" w:eastAsia="宋体" w:cs="宋体"/>
                <w:sz w:val="22"/>
              </w:rPr>
            </w:pPr>
            <w:r>
              <w:rPr>
                <w:rFonts w:hint="eastAsia" w:ascii="宋体" w:hAnsi="宋体" w:eastAsia="宋体" w:cs="宋体"/>
                <w:sz w:val="22"/>
              </w:rPr>
              <w:t xml:space="preserve">支持费用报表管理，满足按组织如：集团、主体、科室，按费用项目、按责任中心/成本中心多维度报表配置和展示，支持数据下钻查询；</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数据接口</w:t>
            </w:r>
            <w:r/>
          </w:p>
        </w:tc>
        <w:tc>
          <w:tcPr>
            <w:shd w:val="clear" w:color="auto" w:fill="auto"/>
            <w:tcW w:w="4862" w:type="dxa"/>
            <w:textDirection w:val="lrTb"/>
            <w:noWrap w:val="false"/>
          </w:tcPr>
          <w:p>
            <w:pPr>
              <w:numPr>
                <w:ilvl w:val="0"/>
                <w:numId w:val="18"/>
              </w:numPr>
              <w:ind w:firstLine="0"/>
              <w:jc w:val="left"/>
              <w:spacing w:before="120" w:after="120"/>
              <w:rPr>
                <w:rFonts w:ascii="宋体" w:hAnsi="宋体" w:eastAsia="宋体" w:cs="宋体"/>
                <w:sz w:val="22"/>
              </w:rPr>
            </w:pPr>
            <w:r>
              <w:rPr>
                <w:rFonts w:hint="eastAsia" w:ascii="宋体" w:hAnsi="宋体" w:eastAsia="宋体" w:cs="宋体"/>
                <w:sz w:val="22"/>
              </w:rPr>
              <w:t xml:space="preserve">与资金管理模块对接，实现资金计划管控、执行分析以及银企直联、票据的支付；</w:t>
            </w:r>
            <w:r/>
          </w:p>
          <w:p>
            <w:pPr>
              <w:numPr>
                <w:ilvl w:val="0"/>
                <w:numId w:val="18"/>
              </w:numPr>
              <w:ind w:firstLine="0"/>
              <w:jc w:val="left"/>
              <w:spacing w:before="120" w:after="120"/>
              <w:rPr>
                <w:rFonts w:ascii="宋体" w:hAnsi="宋体" w:eastAsia="宋体" w:cs="宋体"/>
                <w:sz w:val="22"/>
              </w:rPr>
            </w:pPr>
            <w:r>
              <w:rPr>
                <w:rFonts w:hint="eastAsia" w:ascii="宋体" w:hAnsi="宋体" w:eastAsia="宋体" w:cs="宋体"/>
                <w:sz w:val="22"/>
              </w:rPr>
              <w:t xml:space="preserve">与预算的对接中，实现发起单据即预占计划，流程退回、终止时的计划释放、支付完成后实占计划；</w:t>
            </w:r>
            <w:r/>
          </w:p>
          <w:p>
            <w:pPr>
              <w:numPr>
                <w:ilvl w:val="0"/>
                <w:numId w:val="18"/>
              </w:numPr>
              <w:ind w:firstLine="0"/>
              <w:jc w:val="left"/>
              <w:spacing w:before="120" w:after="120"/>
              <w:rPr>
                <w:rFonts w:ascii="宋体" w:hAnsi="宋体" w:eastAsia="宋体" w:cs="宋体"/>
                <w:sz w:val="22"/>
              </w:rPr>
            </w:pPr>
            <w:r>
              <w:rPr>
                <w:rFonts w:hint="eastAsia" w:ascii="宋体" w:hAnsi="宋体" w:eastAsia="宋体" w:cs="宋体"/>
                <w:sz w:val="22"/>
              </w:rPr>
              <w:t xml:space="preserve">与数电票模块对接，实现发票验真验重。</w:t>
            </w:r>
            <w:r/>
          </w:p>
          <w:p>
            <w:pPr>
              <w:numPr>
                <w:ilvl w:val="0"/>
                <w:numId w:val="18"/>
              </w:numPr>
              <w:ind w:firstLine="0"/>
              <w:jc w:val="left"/>
              <w:spacing w:before="120" w:after="120"/>
              <w:rPr>
                <w:rFonts w:ascii="宋体" w:hAnsi="宋体" w:eastAsia="宋体" w:cs="宋体"/>
                <w:sz w:val="22"/>
              </w:rPr>
            </w:pPr>
            <w:r>
              <w:rPr>
                <w:rFonts w:hint="eastAsia" w:ascii="宋体" w:hAnsi="宋体" w:eastAsia="宋体" w:cs="宋体"/>
                <w:sz w:val="22"/>
              </w:rPr>
              <w:t xml:space="preserve">与财务管理模块对接，实现凭证的自动生成。</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全面预算管理</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系统平台</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组织架构：支持组织机构设置，灵活设定组织关系，并可对组织进行启用、关闭等状态设置；</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登录设置：支持IP绑定登陆，非指定IP不能登陆系统；</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系统配置：支持各种类型的系统配置，包含：执行配置、表单配置、上传配置、页签配置、列表配置、流程配置、文件导入配置等；</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消息管理：支持相关人员对消息进行催办，并显示消息状态、催办次数、催办时间等；</w:t>
            </w:r>
            <w:r/>
          </w:p>
          <w:p>
            <w:pPr>
              <w:jc w:val="left"/>
              <w:spacing w:before="120" w:after="120"/>
              <w:rPr>
                <w:rFonts w:ascii="宋体" w:hAnsi="宋体" w:eastAsia="宋体" w:cs="宋体"/>
                <w:sz w:val="22"/>
              </w:rPr>
            </w:pPr>
            <w:r>
              <w:rPr>
                <w:rFonts w:ascii="宋体" w:hAnsi="宋体" w:eastAsia="宋体" w:cs="宋体"/>
                <w:sz w:val="22"/>
              </w:rPr>
              <w:t xml:space="preserve">(5)</w:t>
            </w:r>
            <w:r>
              <w:rPr>
                <w:rFonts w:hint="eastAsia" w:ascii="宋体" w:hAnsi="宋体" w:eastAsia="宋体" w:cs="宋体"/>
                <w:sz w:val="22"/>
              </w:rPr>
              <w:t xml:space="preserve">基础数据管理：包含：公共档案、会计信息、往来单位信息、人员信息、物资基础信息、资产基础信息、结算信息、项目信息等，并可对以上信息进行自定义设置；</w:t>
            </w:r>
            <w:r/>
          </w:p>
          <w:p>
            <w:pPr>
              <w:jc w:val="left"/>
              <w:spacing w:before="120" w:after="120"/>
              <w:rPr>
                <w:rFonts w:ascii="宋体" w:hAnsi="宋体" w:eastAsia="宋体" w:cs="宋体"/>
                <w:sz w:val="22"/>
              </w:rPr>
            </w:pPr>
            <w:r>
              <w:rPr>
                <w:rFonts w:ascii="宋体" w:hAnsi="宋体" w:eastAsia="宋体" w:cs="宋体"/>
                <w:sz w:val="22"/>
              </w:rPr>
              <w:t xml:space="preserve">(6)</w:t>
            </w:r>
            <w:r>
              <w:rPr>
                <w:rFonts w:hint="eastAsia" w:ascii="宋体" w:hAnsi="宋体" w:eastAsia="宋体" w:cs="宋体"/>
                <w:sz w:val="22"/>
              </w:rPr>
              <w:t xml:space="preserve">公告管理：包含：公告标题、公告类型设置、发布状态、发布人、发布时间等；</w:t>
            </w:r>
            <w:r/>
          </w:p>
          <w:p>
            <w:pPr>
              <w:jc w:val="left"/>
              <w:spacing w:before="120" w:after="120"/>
              <w:rPr>
                <w:rFonts w:ascii="宋体" w:hAnsi="宋体" w:eastAsia="宋体" w:cs="宋体"/>
                <w:sz w:val="22"/>
              </w:rPr>
            </w:pPr>
            <w:r>
              <w:rPr>
                <w:rFonts w:ascii="宋体" w:hAnsi="宋体" w:eastAsia="宋体" w:cs="宋体"/>
                <w:sz w:val="22"/>
              </w:rPr>
              <w:t xml:space="preserve">(7)</w:t>
            </w:r>
            <w:r>
              <w:rPr>
                <w:rFonts w:hint="eastAsia" w:ascii="宋体" w:hAnsi="宋体" w:eastAsia="宋体" w:cs="宋体"/>
                <w:sz w:val="22"/>
              </w:rPr>
              <w:t xml:space="preserve">流程设计：可通过在线工作流设计器实现医院、科室的业务流程的重组和灵活设计，实现包括工作流程、审批流程的自定义设计；</w:t>
            </w:r>
            <w:r/>
          </w:p>
          <w:p>
            <w:pPr>
              <w:jc w:val="left"/>
              <w:spacing w:before="120" w:after="120"/>
              <w:rPr>
                <w:rFonts w:ascii="宋体" w:hAnsi="宋体" w:eastAsia="宋体" w:cs="宋体"/>
                <w:sz w:val="22"/>
              </w:rPr>
            </w:pPr>
            <w:r>
              <w:rPr>
                <w:rFonts w:ascii="宋体" w:hAnsi="宋体" w:eastAsia="宋体" w:cs="宋体"/>
                <w:sz w:val="22"/>
              </w:rPr>
              <w:t xml:space="preserve">(8)</w:t>
            </w:r>
            <w:r>
              <w:rPr>
                <w:rFonts w:hint="eastAsia" w:ascii="宋体" w:hAnsi="宋体" w:eastAsia="宋体" w:cs="宋体"/>
                <w:sz w:val="22"/>
              </w:rPr>
              <w:t xml:space="preserve">日志管理：支持系统日志的应用。</w:t>
            </w:r>
            <w:r/>
          </w:p>
          <w:p>
            <w:pPr>
              <w:jc w:val="left"/>
              <w:spacing w:before="120" w:after="120"/>
              <w:rPr>
                <w:rFonts w:ascii="宋体" w:hAnsi="宋体" w:eastAsia="宋体" w:cs="宋体"/>
                <w:sz w:val="22"/>
              </w:rPr>
            </w:pPr>
            <w:r>
              <w:rPr>
                <w:rFonts w:ascii="宋体" w:hAnsi="宋体" w:eastAsia="宋体" w:cs="宋体"/>
                <w:sz w:val="22"/>
              </w:rPr>
              <w:t xml:space="preserve">(9)</w:t>
            </w:r>
            <w:r>
              <w:rPr>
                <w:rFonts w:hint="eastAsia" w:ascii="宋体" w:hAnsi="宋体" w:eastAsia="宋体" w:cs="宋体"/>
                <w:sz w:val="22"/>
              </w:rPr>
              <w:t xml:space="preserve">报表平台：可以实现医院、科室业务表单的灵活设计，实现包括表单、报表的自定义设计，可自定义高级查询。有极高定制性和扩展性，另可根据用户需求量身定做。</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(10)</w:t>
            </w:r>
            <w:r>
              <w:rPr>
                <w:rFonts w:hint="eastAsia" w:ascii="宋体" w:hAnsi="宋体" w:eastAsia="宋体" w:cs="宋体"/>
                <w:sz w:val="22"/>
              </w:rPr>
              <w:t xml:space="preserve">支持系统平台权限管理功能，可通过工作台查看按用户、角色等至少三类不同权限分配维度。用户维度下需要包括授权角色、功能权限、院区授权等功能；角色维度下需要包括功能权限、院区权限等功能，并支持授权的复制。</w:t>
            </w:r>
            <w:r/>
          </w:p>
          <w:p>
            <w:pPr>
              <w:pStyle w:val="742"/>
              <w:ind w:left="0" w:firstLine="440"/>
              <w:rPr>
                <w:rFonts w:ascii="宋体" w:hAnsi="宋体"/>
                <w:sz w:val="22"/>
                <w:szCs w:val="22"/>
              </w:rPr>
            </w:pPr>
            <w:r>
              <w:rPr>
                <w:rFonts w:ascii="宋体" w:hAnsi="宋体"/>
                <w:sz w:val="22"/>
                <w:szCs w:val="22"/>
              </w:rPr>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基础设置</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建立医院层、归口层、科室执行层的三层预算组织体系；实现三级预算组织体系维护。</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医院各职能部门作为归口科室，支持各归口科室启用、停用。</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参照组织架构生成预算科室作为预算编制、执行、考核最小业务单元。</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支持对医院全面预算进行分类，支持收支类、资本类、业务类的预算类型管理；预算类型也可以根据医院实际情况，进行细化或者增减。</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(5)</w:t>
            </w:r>
            <w:r>
              <w:rPr>
                <w:rFonts w:hint="eastAsia" w:ascii="宋体" w:hAnsi="宋体" w:eastAsia="宋体" w:cs="宋体"/>
                <w:sz w:val="22"/>
              </w:rPr>
              <w:t xml:space="preserve">支持预算指标的定义、变更、控制；能对预算指标进行是否论证、是否下发、下发科室的设置、填制上下限设置、是否必须填制明细、是否纳入项目库管理等进行控制。</w:t>
            </w:r>
            <w:r/>
          </w:p>
          <w:p>
            <w:pPr>
              <w:jc w:val="left"/>
              <w:spacing w:before="120" w:after="120"/>
              <w:rPr>
                <w:rFonts w:ascii="宋体" w:hAnsi="宋体" w:eastAsia="宋体" w:cs="宋体"/>
                <w:sz w:val="22"/>
              </w:rPr>
            </w:pPr>
            <w:r>
              <w:rPr>
                <w:rFonts w:ascii="宋体" w:hAnsi="宋体" w:eastAsia="宋体" w:cs="宋体"/>
                <w:sz w:val="22"/>
              </w:rPr>
              <w:t xml:space="preserve">(6)</w:t>
            </w:r>
            <w:r>
              <w:rPr>
                <w:rFonts w:hint="eastAsia" w:ascii="宋体" w:hAnsi="宋体" w:eastAsia="宋体" w:cs="宋体"/>
                <w:sz w:val="22"/>
              </w:rPr>
              <w:t xml:space="preserve">支持医院N上M下的预算编制及调整流程，支持按医院的要求定制预算表样；</w:t>
            </w:r>
            <w:r/>
          </w:p>
          <w:p>
            <w:pPr>
              <w:jc w:val="left"/>
              <w:spacing w:before="120" w:after="120"/>
              <w:rPr>
                <w:rFonts w:ascii="宋体" w:hAnsi="宋体" w:eastAsia="宋体" w:cs="宋体"/>
                <w:sz w:val="22"/>
              </w:rPr>
            </w:pPr>
            <w:r>
              <w:rPr>
                <w:rFonts w:ascii="宋体" w:hAnsi="宋体" w:eastAsia="宋体" w:cs="宋体"/>
                <w:sz w:val="22"/>
              </w:rPr>
              <w:t xml:space="preserve">(7)</w:t>
            </w:r>
            <w:r>
              <w:rPr>
                <w:rFonts w:hint="eastAsia" w:ascii="宋体" w:hAnsi="宋体" w:eastAsia="宋体" w:cs="宋体"/>
                <w:sz w:val="22"/>
              </w:rPr>
              <w:t xml:space="preserve">支持事项类预算项目的管理，可进行事项项目细化至明细项目；</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项目库</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支持院内项目库管理，将各类项目从科室填报到院内各个环节的论证，以及院外专家论证结果全部在系统内管理，实现从论证到项目库到预算的一体化应用；</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(2)</w:t>
            </w:r>
            <w:r>
              <w:rPr>
                <w:rFonts w:hint="eastAsia" w:ascii="宋体" w:hAnsi="宋体" w:eastAsia="宋体" w:cs="宋体"/>
                <w:sz w:val="22"/>
              </w:rPr>
              <w:t xml:space="preserve">项目库管理功能，满足投标要求中的所有功能点要求，</w:t>
            </w:r>
            <w:r>
              <w:rPr>
                <w:rFonts w:hint="eastAsia" w:ascii="宋体" w:hAnsi="宋体" w:eastAsia="宋体" w:cs="宋体"/>
                <w:sz w:val="22"/>
              </w:rPr>
              <w:fldChar w:fldCharType="begin"/>
            </w:r>
            <w:r>
              <w:rPr>
                <w:rFonts w:hint="eastAsia" w:ascii="宋体" w:hAnsi="宋体" w:eastAsia="宋体" w:cs="宋体"/>
                <w:sz w:val="22"/>
              </w:rPr>
              <w:instrText xml:space="preserve"> = 1 \* GB2 </w:instrText>
            </w:r>
            <w:r>
              <w:rPr>
                <w:rFonts w:hint="eastAsia" w:ascii="宋体" w:hAnsi="宋体" w:eastAsia="宋体" w:cs="宋体"/>
                <w:sz w:val="22"/>
              </w:rPr>
              <w:fldChar w:fldCharType="separate"/>
            </w:r>
            <w:r>
              <w:rPr>
                <w:rFonts w:hint="eastAsia" w:ascii="宋体" w:hAnsi="宋体" w:eastAsia="宋体" w:cs="宋体"/>
                <w:sz w:val="22"/>
              </w:rPr>
              <w:t xml:space="preserve">⑴</w:t>
            </w:r>
            <w:r>
              <w:rPr>
                <w:rFonts w:hint="eastAsia" w:ascii="宋体" w:hAnsi="宋体" w:eastAsia="宋体" w:cs="宋体"/>
                <w:sz w:val="22"/>
              </w:rPr>
              <w:fldChar w:fldCharType="end"/>
            </w:r>
            <w:r>
              <w:rPr>
                <w:rFonts w:hint="eastAsia" w:ascii="宋体" w:hAnsi="宋体" w:eastAsia="宋体" w:cs="宋体"/>
                <w:sz w:val="22"/>
              </w:rPr>
              <w:t xml:space="preserve">包括至少三种不同状态的项目库类别管理功能，例如执行库、退出库等；</w:t>
            </w:r>
            <w:r>
              <w:rPr>
                <w:rFonts w:hint="eastAsia" w:ascii="宋体" w:hAnsi="宋体" w:eastAsia="宋体" w:cs="宋体"/>
                <w:sz w:val="22"/>
              </w:rPr>
              <w:fldChar w:fldCharType="begin"/>
            </w:r>
            <w:r>
              <w:rPr>
                <w:rFonts w:hint="eastAsia" w:ascii="宋体" w:hAnsi="宋体" w:eastAsia="宋体" w:cs="宋体"/>
                <w:sz w:val="22"/>
              </w:rPr>
              <w:instrText xml:space="preserve"> = 2 \* GB2 </w:instrText>
            </w:r>
            <w:r>
              <w:rPr>
                <w:rFonts w:hint="eastAsia" w:ascii="宋体" w:hAnsi="宋体" w:eastAsia="宋体" w:cs="宋体"/>
                <w:sz w:val="22"/>
              </w:rPr>
              <w:fldChar w:fldCharType="separate"/>
            </w:r>
            <w:r>
              <w:rPr>
                <w:rFonts w:hint="eastAsia" w:ascii="宋体" w:hAnsi="宋体" w:eastAsia="宋体" w:cs="宋体"/>
                <w:sz w:val="22"/>
              </w:rPr>
              <w:t xml:space="preserve">⑵</w:t>
            </w:r>
            <w:r>
              <w:rPr>
                <w:rFonts w:hint="eastAsia" w:ascii="宋体" w:hAnsi="宋体" w:eastAsia="宋体" w:cs="宋体"/>
                <w:sz w:val="22"/>
              </w:rPr>
              <w:fldChar w:fldCharType="end"/>
            </w:r>
            <w:r>
              <w:rPr>
                <w:rFonts w:hint="eastAsia" w:ascii="宋体" w:hAnsi="宋体" w:eastAsia="宋体" w:cs="宋体"/>
                <w:sz w:val="22"/>
              </w:rPr>
              <w:t xml:space="preserve">在具体项目库任一类别中包括增加、修改、删除、映射到科目、与预算同步调整及验证等至少8项常用基本功能；</w:t>
            </w:r>
            <w:r>
              <w:rPr>
                <w:rFonts w:hint="eastAsia" w:ascii="宋体" w:hAnsi="宋体" w:eastAsia="宋体" w:cs="宋体"/>
                <w:sz w:val="22"/>
              </w:rPr>
              <w:fldChar w:fldCharType="begin"/>
            </w:r>
            <w:r>
              <w:rPr>
                <w:rFonts w:hint="eastAsia" w:ascii="宋体" w:hAnsi="宋体" w:eastAsia="宋体" w:cs="宋体"/>
                <w:sz w:val="22"/>
              </w:rPr>
              <w:instrText xml:space="preserve"> = 3 \* GB2 </w:instrText>
            </w:r>
            <w:r>
              <w:rPr>
                <w:rFonts w:hint="eastAsia" w:ascii="宋体" w:hAnsi="宋体" w:eastAsia="宋体" w:cs="宋体"/>
                <w:sz w:val="22"/>
              </w:rPr>
              <w:fldChar w:fldCharType="separate"/>
            </w:r>
            <w:r>
              <w:rPr>
                <w:rFonts w:hint="eastAsia" w:ascii="宋体" w:hAnsi="宋体" w:eastAsia="宋体" w:cs="宋体"/>
                <w:sz w:val="22"/>
              </w:rPr>
              <w:t xml:space="preserve">⑶</w:t>
            </w:r>
            <w:r>
              <w:rPr>
                <w:rFonts w:hint="eastAsia" w:ascii="宋体" w:hAnsi="宋体" w:eastAsia="宋体" w:cs="宋体"/>
                <w:sz w:val="22"/>
              </w:rPr>
              <w:fldChar w:fldCharType="end"/>
            </w:r>
            <w:r>
              <w:rPr>
                <w:rFonts w:hint="eastAsia" w:ascii="宋体" w:hAnsi="宋体" w:eastAsia="宋体" w:cs="宋体"/>
                <w:sz w:val="22"/>
              </w:rPr>
              <w:t xml:space="preserve">具备从申报到正式立项的项目全生命周期管理功能。</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实现项目预算管理，提供项目立项基本信息登记，完成项目总预算编制，为项目经费计划以及项目明细支出提供控制依据；</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支持医院预算的中长期规划在项目库落地，进行多年的持续滚动管理；</w:t>
            </w:r>
            <w:r/>
          </w:p>
          <w:p>
            <w:pPr>
              <w:jc w:val="left"/>
              <w:spacing w:before="120" w:after="120"/>
              <w:rPr>
                <w:rFonts w:ascii="宋体" w:hAnsi="宋体" w:eastAsia="宋体" w:cs="宋体"/>
                <w:sz w:val="22"/>
              </w:rPr>
            </w:pPr>
            <w:r>
              <w:rPr>
                <w:rFonts w:ascii="宋体" w:hAnsi="宋体" w:eastAsia="宋体" w:cs="宋体"/>
                <w:sz w:val="22"/>
              </w:rPr>
              <w:t xml:space="preserve">(5)</w:t>
            </w:r>
            <w:r>
              <w:rPr>
                <w:rFonts w:hint="eastAsia" w:ascii="宋体" w:hAnsi="宋体" w:eastAsia="宋体" w:cs="宋体"/>
                <w:sz w:val="22"/>
              </w:rPr>
              <w:t xml:space="preserve">所有通过论证的项目入库后，作为后续预算编制与执行的数据源头，与后续环节进行流程与数据关联，可对全院项目的执行情况进行分析和监督，实现医院资源的有效配置。</w:t>
            </w:r>
            <w:r/>
          </w:p>
          <w:p>
            <w:pPr>
              <w:pStyle w:val="742"/>
              <w:ind w:left="0" w:firstLine="0"/>
              <w:rPr>
                <w:rFonts w:ascii="宋体" w:hAnsi="宋体"/>
                <w:sz w:val="22"/>
                <w:szCs w:val="22"/>
              </w:rPr>
            </w:pPr>
            <w:r>
              <w:rPr>
                <w:rFonts w:ascii="宋体" w:hAnsi="宋体"/>
                <w:sz w:val="22"/>
                <w:szCs w:val="22"/>
              </w:rPr>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预算论证</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(1)</w:t>
            </w:r>
            <w:r>
              <w:rPr>
                <w:rFonts w:hint="eastAsia" w:ascii="宋体" w:hAnsi="宋体" w:eastAsia="宋体" w:cs="宋体"/>
                <w:sz w:val="22"/>
              </w:rPr>
              <w:t xml:space="preserve">支持论证类型的自定义；支持论证的在线申请及在线审核；</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对需要论证的项目，并可在线录入论证项目的基本信息、申请理由、预计绩效分析、配套条件、安装条件、操作人员资质等关键信息，并可根据医院情况进行自定义；支持申请过程的在线审批及相关附件的上传；</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预算任务</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定制预算编制流程，设置各类预算编制的开始及结束时间；可通过预算任务的设置，实现医院“N上M下”的预算编制过程的全程管理，包括编制时间设置、各预算机构在线编制、上级预算数自动汇总、系统催办等；</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预算编制</w:t>
            </w:r>
            <w:r/>
          </w:p>
        </w:tc>
        <w:tc>
          <w:tcPr>
            <w:shd w:val="clear" w:color="auto" w:fill="auto"/>
            <w:tcW w:w="4862" w:type="dxa"/>
            <w:textDirection w:val="lrTb"/>
            <w:noWrap w:val="false"/>
          </w:tcPr>
          <w:p>
            <w:pPr>
              <w:jc w:val="left"/>
              <w:spacing w:before="120" w:after="120"/>
              <w:rPr>
                <w:rFonts w:ascii="宋体" w:hAnsi="宋体" w:eastAsia="宋体" w:cs="宋体"/>
                <w:sz w:val="22"/>
                <w:highlight w:val="none"/>
              </w:rPr>
            </w:pPr>
            <w:r>
              <w:rPr>
                <w:rFonts w:hint="eastAsia" w:ascii="宋体" w:hAnsi="宋体" w:eastAsia="宋体" w:cs="宋体"/>
                <w:sz w:val="22"/>
                <w:highlight w:val="none"/>
              </w:rPr>
              <w:t xml:space="preserve">实现系统预算的编制，包括：科室填报、归口填报、院方填报功能；包含预算科室的预算指标填报功能。预算任务启动编制后，会下发多个指标到相应的预算科室，预算科室根据下发的指标进行对应的预算填报；</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(1)</w:t>
            </w:r>
            <w:r>
              <w:rPr>
                <w:rFonts w:hint="eastAsia" w:ascii="宋体" w:hAnsi="宋体" w:eastAsia="宋体" w:cs="宋体"/>
                <w:sz w:val="22"/>
                <w:highlight w:val="none"/>
              </w:rPr>
              <w:t xml:space="preserve">实现预算填制的过程管理，监控下级的预算填制过程；支持按照预算任务对预算编制及调整、执行的过程的控制；</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(2)</w:t>
            </w:r>
            <w:r>
              <w:rPr>
                <w:rFonts w:hint="eastAsia" w:ascii="宋体" w:hAnsi="宋体" w:eastAsia="宋体" w:cs="宋体"/>
                <w:sz w:val="22"/>
                <w:highlight w:val="none"/>
              </w:rPr>
              <w:t xml:space="preserve">支持预算任务下发后，新增预算项目指标填报。预算任务流程走到归口时，会下发多个指标到相应的预算归口，预算归口根据下发的指标进行对应的预算填报及对预算科室的指标进行审核及汇总；支持在预算编制中补发预算指标；</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(3)</w:t>
            </w:r>
            <w:r>
              <w:rPr>
                <w:rFonts w:hint="eastAsia" w:ascii="宋体" w:hAnsi="宋体" w:eastAsia="宋体" w:cs="宋体"/>
                <w:sz w:val="22"/>
                <w:highlight w:val="none"/>
              </w:rPr>
              <w:t xml:space="preserve">支持在预算编制中，院方直接下达科目总额、项目总额。支持预算编制环节中，各预算科室及归口管理科室，对下发的预算指标编制情况提供总览查询功能，并对未编制预算的科室进行预警或催办。</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(4)</w:t>
            </w:r>
            <w:r>
              <w:rPr>
                <w:rFonts w:hint="eastAsia" w:ascii="宋体" w:hAnsi="宋体" w:eastAsia="宋体" w:cs="宋体"/>
                <w:sz w:val="22"/>
                <w:highlight w:val="none"/>
              </w:rPr>
              <w:t xml:space="preserve">支持建立绩效指标库，对预算编制内容进行绩效目标的填报，并对绩效目标进行跟踪分析，考核预算执行结果。实现“预算编制有目标、预算执行有监控、预算完成有评价、评价结果有反馈、反馈结果有应用”的全过程预算绩效管理机制。</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(5)</w:t>
            </w:r>
            <w:r>
              <w:rPr>
                <w:rFonts w:hint="eastAsia" w:ascii="宋体" w:hAnsi="宋体" w:eastAsia="宋体" w:cs="宋体"/>
                <w:sz w:val="22"/>
                <w:highlight w:val="none"/>
              </w:rPr>
              <w:t xml:space="preserve">预算编制支持预算结转，实现预算号结转到下一预算年度继续使用。</w:t>
            </w:r>
            <w:r/>
          </w:p>
          <w:p>
            <w:pPr>
              <w:jc w:val="left"/>
              <w:spacing w:before="120" w:after="120"/>
              <w:rPr>
                <w:rFonts w:ascii="宋体" w:hAnsi="宋体" w:eastAsia="宋体" w:cs="宋体"/>
                <w:sz w:val="22"/>
                <w:highlight w:val="none"/>
              </w:rPr>
            </w:pPr>
            <w:r>
              <w:rPr>
                <w:rFonts w:hint="eastAsia" w:ascii="宋体" w:hAnsi="宋体" w:eastAsia="宋体" w:cs="宋体"/>
                <w:sz w:val="24"/>
                <w:szCs w:val="24"/>
                <w:highlight w:val="none"/>
              </w:rPr>
              <w:t xml:space="preserve">▲</w:t>
            </w:r>
            <w:r>
              <w:rPr>
                <w:rFonts w:ascii="宋体" w:hAnsi="宋体" w:eastAsia="宋体" w:cs="宋体"/>
                <w:sz w:val="22"/>
                <w:highlight w:val="none"/>
              </w:rPr>
              <w:t xml:space="preserve">(6)</w:t>
            </w:r>
            <w:r>
              <w:rPr>
                <w:rFonts w:hint="eastAsia" w:ascii="宋体" w:hAnsi="宋体" w:eastAsia="宋体" w:cs="宋体"/>
                <w:sz w:val="22"/>
                <w:highlight w:val="none"/>
              </w:rPr>
              <w:t xml:space="preserve">项目库下的绩效目标功能，</w:t>
            </w:r>
            <w:r>
              <w:rPr>
                <w:rFonts w:hint="eastAsia" w:ascii="宋体" w:hAnsi="宋体" w:eastAsia="宋体" w:cs="宋体"/>
                <w:sz w:val="22"/>
                <w:highlight w:val="none"/>
              </w:rPr>
              <w:fldChar w:fldCharType="begin"/>
            </w:r>
            <w:r>
              <w:rPr>
                <w:rFonts w:hint="eastAsia" w:ascii="宋体" w:hAnsi="宋体" w:eastAsia="宋体" w:cs="宋体"/>
                <w:sz w:val="22"/>
                <w:highlight w:val="none"/>
              </w:rPr>
              <w:instrText xml:space="preserve"> = 1 \* GB2 </w:instrText>
            </w:r>
            <w:r>
              <w:rPr>
                <w:rFonts w:hint="eastAsia" w:ascii="宋体" w:hAnsi="宋体" w:eastAsia="宋体" w:cs="宋体"/>
                <w:sz w:val="22"/>
                <w:highlight w:val="none"/>
              </w:rPr>
              <w:fldChar w:fldCharType="separate"/>
            </w:r>
            <w:r>
              <w:rPr>
                <w:rFonts w:hint="eastAsia" w:ascii="宋体" w:hAnsi="宋体" w:eastAsia="宋体" w:cs="宋体"/>
                <w:sz w:val="22"/>
                <w:highlight w:val="none"/>
              </w:rPr>
              <w:t xml:space="preserve">⑴</w:t>
            </w:r>
            <w:r>
              <w:rPr>
                <w:rFonts w:hint="eastAsia" w:ascii="宋体" w:hAnsi="宋体" w:eastAsia="宋体" w:cs="宋体"/>
                <w:sz w:val="22"/>
                <w:highlight w:val="none"/>
              </w:rPr>
              <w:fldChar w:fldCharType="end"/>
            </w:r>
            <w:r>
              <w:rPr>
                <w:rFonts w:hint="eastAsia" w:ascii="宋体" w:hAnsi="宋体" w:eastAsia="宋体" w:cs="宋体"/>
                <w:sz w:val="22"/>
                <w:highlight w:val="none"/>
              </w:rPr>
              <w:t xml:space="preserve">包括绩效指标库、绩效目标表单设计、绩效目标类型、绩效目标下发等不少于6项常用子功能；</w:t>
            </w:r>
            <w:r>
              <w:rPr>
                <w:rFonts w:hint="eastAsia" w:ascii="宋体" w:hAnsi="宋体" w:eastAsia="宋体" w:cs="宋体"/>
                <w:sz w:val="22"/>
                <w:highlight w:val="none"/>
              </w:rPr>
              <w:fldChar w:fldCharType="begin"/>
            </w:r>
            <w:r>
              <w:rPr>
                <w:rFonts w:hint="eastAsia" w:ascii="宋体" w:hAnsi="宋体" w:eastAsia="宋体" w:cs="宋体"/>
                <w:sz w:val="22"/>
                <w:highlight w:val="none"/>
              </w:rPr>
              <w:instrText xml:space="preserve"> = 2 \* GB2 </w:instrText>
            </w:r>
            <w:r>
              <w:rPr>
                <w:rFonts w:hint="eastAsia" w:ascii="宋体" w:hAnsi="宋体" w:eastAsia="宋体" w:cs="宋体"/>
                <w:sz w:val="22"/>
                <w:highlight w:val="none"/>
              </w:rPr>
              <w:fldChar w:fldCharType="separate"/>
            </w:r>
            <w:r>
              <w:rPr>
                <w:rFonts w:hint="eastAsia" w:ascii="宋体" w:hAnsi="宋体" w:eastAsia="宋体" w:cs="宋体"/>
                <w:sz w:val="22"/>
                <w:highlight w:val="none"/>
              </w:rPr>
              <w:t xml:space="preserve">⑵</w:t>
            </w:r>
            <w:r>
              <w:rPr>
                <w:rFonts w:hint="eastAsia" w:ascii="宋体" w:hAnsi="宋体" w:eastAsia="宋体" w:cs="宋体"/>
                <w:sz w:val="22"/>
                <w:highlight w:val="none"/>
              </w:rPr>
              <w:fldChar w:fldCharType="end"/>
            </w:r>
            <w:r>
              <w:rPr>
                <w:rFonts w:hint="eastAsia" w:ascii="宋体" w:hAnsi="宋体" w:eastAsia="宋体" w:cs="宋体"/>
                <w:sz w:val="22"/>
                <w:highlight w:val="none"/>
              </w:rPr>
              <w:t xml:space="preserve">包括不少于3个分类的通用产出指标、2个分类的通用效益指标、2个分类的通用满意度指标；</w:t>
            </w:r>
            <w:r>
              <w:rPr>
                <w:rFonts w:hint="eastAsia" w:ascii="宋体" w:hAnsi="宋体" w:eastAsia="宋体" w:cs="宋体"/>
                <w:sz w:val="22"/>
                <w:highlight w:val="none"/>
              </w:rPr>
              <w:fldChar w:fldCharType="begin"/>
            </w:r>
            <w:r>
              <w:rPr>
                <w:rFonts w:hint="eastAsia" w:ascii="宋体" w:hAnsi="宋体" w:eastAsia="宋体" w:cs="宋体"/>
                <w:sz w:val="22"/>
                <w:highlight w:val="none"/>
              </w:rPr>
              <w:instrText xml:space="preserve"> = 3 \* GB2 </w:instrText>
            </w:r>
            <w:r>
              <w:rPr>
                <w:rFonts w:hint="eastAsia" w:ascii="宋体" w:hAnsi="宋体" w:eastAsia="宋体" w:cs="宋体"/>
                <w:sz w:val="22"/>
                <w:highlight w:val="none"/>
              </w:rPr>
              <w:fldChar w:fldCharType="separate"/>
            </w:r>
            <w:r>
              <w:rPr>
                <w:rFonts w:hint="eastAsia" w:ascii="宋体" w:hAnsi="宋体" w:eastAsia="宋体" w:cs="宋体"/>
                <w:sz w:val="22"/>
                <w:highlight w:val="none"/>
              </w:rPr>
              <w:t xml:space="preserve">⑶</w:t>
            </w:r>
            <w:r>
              <w:rPr>
                <w:rFonts w:hint="eastAsia" w:ascii="宋体" w:hAnsi="宋体" w:eastAsia="宋体" w:cs="宋体"/>
                <w:sz w:val="22"/>
                <w:highlight w:val="none"/>
              </w:rPr>
              <w:fldChar w:fldCharType="end"/>
            </w:r>
            <w:r>
              <w:rPr>
                <w:rFonts w:hint="eastAsia" w:ascii="宋体" w:hAnsi="宋体" w:eastAsia="宋体" w:cs="宋体"/>
                <w:sz w:val="22"/>
                <w:highlight w:val="none"/>
              </w:rPr>
              <w:t xml:space="preserve">绩效指标库包括指标编码、名称、是否跟踪、跟踪方式、权重等基本功能设置功能。</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预算号管理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按照医院编号规则，对预算进行编号；支持预算号的启用、停用；并可按预算号进行业务系统预算执行的追溯查询；</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(2)</w:t>
            </w:r>
            <w:r>
              <w:rPr>
                <w:rFonts w:hint="eastAsia" w:ascii="宋体" w:hAnsi="宋体" w:eastAsia="宋体" w:cs="宋体"/>
                <w:sz w:val="22"/>
              </w:rPr>
              <w:t xml:space="preserve">预算号信息管理功能，包括预算单位、归口科室、预算类别、预算数等；支持预算号的启用/停用、编制依据、附件查看等功能，其中，（1）预算执行记录：可根据业务系统、业务单据号、上游单据号等进行查询；（2）年度资金执行情况：包括编制额、调整额、最终执行额、可执行金额、可占用金额等；（3）资金来源执行情况：支持资金来源、预算额、占用额、最终执行额等查询。</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预算调整</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预算调整包括中期调整及日常调整。 其中中期调整包括：(1)科室中期调整，主要进行预算科室的预算指标中期调整功能；(2)归口中期调整，归口的预算指标调整功能；(3)院方中期调整，指院方查看并给出预算归口和预算科室指标的调整预算总额。</w:t>
            </w:r>
            <w:r/>
          </w:p>
          <w:p>
            <w:pPr>
              <w:numPr>
                <w:ilvl w:val="0"/>
                <w:numId w:val="19"/>
              </w:numPr>
              <w:ind w:firstLine="0"/>
              <w:jc w:val="left"/>
              <w:spacing w:before="120" w:after="120"/>
              <w:rPr>
                <w:rFonts w:ascii="宋体" w:hAnsi="宋体" w:eastAsia="宋体" w:cs="宋体"/>
                <w:sz w:val="22"/>
              </w:rPr>
            </w:pPr>
            <w:r>
              <w:rPr>
                <w:rFonts w:hint="eastAsia" w:ascii="宋体" w:hAnsi="宋体" w:eastAsia="宋体" w:cs="宋体"/>
                <w:sz w:val="22"/>
              </w:rPr>
              <w:t xml:space="preserve">实现预算日常调整和调剂功能，包括：预算日常调整申请、预算日常调整审核功能。调剂支持预算号之间进行调剂，总额不变；支持从总盘子拆到明细调剂；日常调整可以到每个科室预算指标的调整；</w:t>
            </w:r>
            <w:r/>
          </w:p>
          <w:p>
            <w:pPr>
              <w:numPr>
                <w:ilvl w:val="0"/>
                <w:numId w:val="19"/>
              </w:numPr>
              <w:ind w:firstLine="0"/>
              <w:jc w:val="left"/>
              <w:spacing w:before="120" w:after="120"/>
              <w:rPr>
                <w:rFonts w:ascii="宋体" w:hAnsi="宋体" w:eastAsia="宋体" w:cs="宋体"/>
                <w:sz w:val="22"/>
              </w:rPr>
            </w:pPr>
            <w:r>
              <w:rPr>
                <w:rFonts w:hint="eastAsia" w:ascii="宋体" w:hAnsi="宋体" w:eastAsia="宋体" w:cs="宋体"/>
                <w:sz w:val="22"/>
              </w:rPr>
              <w:t xml:space="preserve">实现预算按照医院的调整流程进行调整申请、调整审批，包括预算科室调整、归口科室调整、医院层面的调整；实现预算调整的日常申请、审核。实现预算调整的控制。</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预算执行</w:t>
            </w:r>
            <w:r/>
          </w:p>
        </w:tc>
        <w:tc>
          <w:tcPr>
            <w:shd w:val="clear" w:color="auto" w:fill="auto"/>
            <w:tcW w:w="4862" w:type="dxa"/>
            <w:textDirection w:val="lrTb"/>
            <w:noWrap w:val="false"/>
          </w:tcPr>
          <w:p>
            <w:pPr>
              <w:numPr>
                <w:ilvl w:val="0"/>
                <w:numId w:val="20"/>
              </w:numPr>
              <w:ind w:firstLine="0"/>
              <w:jc w:val="left"/>
              <w:spacing w:before="120" w:after="120"/>
              <w:rPr>
                <w:rFonts w:ascii="宋体" w:hAnsi="宋体" w:eastAsia="宋体" w:cs="宋体"/>
                <w:sz w:val="22"/>
              </w:rPr>
            </w:pPr>
            <w:r>
              <w:rPr>
                <w:rFonts w:hint="eastAsia" w:ascii="宋体" w:hAnsi="宋体" w:eastAsia="宋体" w:cs="宋体"/>
                <w:sz w:val="22"/>
              </w:rPr>
              <w:t xml:space="preserve">实现预算按照不同维度的控制，包括但不限于按照预算类别、预算指标、预算号、预算科室等；</w:t>
            </w:r>
            <w:r/>
          </w:p>
          <w:p>
            <w:pPr>
              <w:numPr>
                <w:ilvl w:val="0"/>
                <w:numId w:val="20"/>
              </w:numPr>
              <w:ind w:firstLine="0"/>
              <w:jc w:val="left"/>
              <w:spacing w:before="120" w:after="120"/>
              <w:rPr>
                <w:rFonts w:ascii="宋体" w:hAnsi="宋体" w:eastAsia="宋体" w:cs="宋体"/>
                <w:sz w:val="22"/>
              </w:rPr>
            </w:pPr>
            <w:r>
              <w:rPr>
                <w:rFonts w:hint="eastAsia" w:ascii="宋体" w:hAnsi="宋体" w:eastAsia="宋体" w:cs="宋体"/>
                <w:sz w:val="22"/>
              </w:rPr>
              <w:t xml:space="preserve">实现预算对医院其他业务系统的控制及取数，并对超预算事件进行审批；</w:t>
            </w:r>
            <w:r/>
          </w:p>
          <w:p>
            <w:pPr>
              <w:numPr>
                <w:ilvl w:val="0"/>
                <w:numId w:val="20"/>
              </w:numPr>
              <w:ind w:firstLine="0"/>
              <w:jc w:val="left"/>
              <w:spacing w:before="120" w:after="120"/>
              <w:rPr>
                <w:rFonts w:ascii="宋体" w:hAnsi="宋体" w:eastAsia="宋体" w:cs="宋体"/>
                <w:sz w:val="22"/>
              </w:rPr>
            </w:pPr>
            <w:r>
              <w:rPr>
                <w:rFonts w:hint="eastAsia" w:ascii="宋体" w:hAnsi="宋体" w:eastAsia="宋体" w:cs="宋体"/>
                <w:sz w:val="22"/>
              </w:rPr>
              <w:t xml:space="preserve">根据预算主体、预算年度、预算号等不同颗粒度设置控制规则，支持强制控制、提醒控制、不控制多种方式。</w:t>
            </w:r>
            <w:r/>
          </w:p>
          <w:p>
            <w:pPr>
              <w:numPr>
                <w:ilvl w:val="0"/>
                <w:numId w:val="20"/>
              </w:numPr>
              <w:ind w:firstLine="0"/>
              <w:jc w:val="left"/>
              <w:spacing w:before="120" w:after="120"/>
              <w:rPr>
                <w:rFonts w:ascii="宋体" w:hAnsi="宋体" w:eastAsia="宋体" w:cs="宋体"/>
                <w:sz w:val="22"/>
              </w:rPr>
            </w:pPr>
            <w:r>
              <w:rPr>
                <w:rFonts w:hint="eastAsia" w:ascii="宋体" w:hAnsi="宋体" w:eastAsia="宋体" w:cs="宋体"/>
                <w:sz w:val="22"/>
              </w:rPr>
              <w:t xml:space="preserve">支持手工录入预算执行申请及预算执行审批。</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预算分析</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提供将预算数据与实际执行数进行对比的功能。能从多个维度：包括预算科室、归口科室、全院、预算指标、预算类别、预算执行进度进行预算反馈及分析。</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科室成本管理系统</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外部交换</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支持设置不同的系统来源标识与不同的业务系统对接，实现与第三方系统做科室对应关系转换。</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基础数据</w:t>
            </w:r>
            <w:r/>
          </w:p>
        </w:tc>
        <w:tc>
          <w:tcPr>
            <w:shd w:val="clear" w:color="auto" w:fill="auto"/>
            <w:tcW w:w="4862" w:type="dxa"/>
            <w:textDirection w:val="lrTb"/>
            <w:noWrap w:val="false"/>
          </w:tcPr>
          <w:p>
            <w:pPr>
              <w:numPr>
                <w:ilvl w:val="0"/>
                <w:numId w:val="21"/>
              </w:numPr>
              <w:ind w:firstLine="0"/>
              <w:jc w:val="left"/>
              <w:spacing w:before="120" w:after="120"/>
              <w:rPr>
                <w:rFonts w:ascii="宋体" w:hAnsi="宋体" w:eastAsia="宋体" w:cs="宋体"/>
                <w:sz w:val="22"/>
              </w:rPr>
            </w:pPr>
            <w:r>
              <w:rPr>
                <w:rFonts w:hint="eastAsia" w:ascii="宋体" w:hAnsi="宋体" w:eastAsia="宋体" w:cs="宋体"/>
                <w:sz w:val="22"/>
              </w:rPr>
              <w:t xml:space="preserve">参数设置：灵活设置各类成本分摊参数。</w:t>
            </w:r>
            <w:r/>
          </w:p>
          <w:p>
            <w:pPr>
              <w:numPr>
                <w:ilvl w:val="0"/>
                <w:numId w:val="21"/>
              </w:numPr>
              <w:ind w:firstLine="0"/>
              <w:jc w:val="left"/>
              <w:spacing w:before="120" w:after="120"/>
              <w:rPr>
                <w:rFonts w:ascii="宋体" w:hAnsi="宋体" w:eastAsia="宋体" w:cs="宋体"/>
                <w:sz w:val="22"/>
              </w:rPr>
            </w:pPr>
            <w:r>
              <w:rPr>
                <w:rFonts w:hint="eastAsia" w:ascii="宋体" w:hAnsi="宋体" w:eastAsia="宋体" w:cs="宋体"/>
                <w:sz w:val="22"/>
              </w:rPr>
              <w:t xml:space="preserve">基础信息：支持对收费项目、收费类别、收入项目、成本分类、成本项目、费用类别、资产卡片、资产字典、资产类别等基础信息的维护与更新采集。“费用要素”可与成本项目关联匹配。满足医院以不同的维度对成本项目数据进行汇总统计。</w:t>
            </w:r>
            <w:r/>
          </w:p>
          <w:p>
            <w:pPr>
              <w:numPr>
                <w:ilvl w:val="0"/>
                <w:numId w:val="21"/>
              </w:numPr>
              <w:ind w:firstLine="0"/>
              <w:jc w:val="left"/>
              <w:spacing w:before="120" w:after="120"/>
              <w:rPr>
                <w:rFonts w:ascii="宋体" w:hAnsi="宋体" w:eastAsia="宋体" w:cs="宋体"/>
                <w:sz w:val="22"/>
              </w:rPr>
            </w:pPr>
            <w:r>
              <w:rPr>
                <w:rFonts w:hint="eastAsia" w:ascii="宋体" w:hAnsi="宋体" w:eastAsia="宋体" w:cs="宋体"/>
                <w:sz w:val="22"/>
              </w:rPr>
              <w:t xml:space="preserve">支持系统预置常用标准分摊参数。</w:t>
            </w:r>
            <w:r/>
          </w:p>
          <w:p>
            <w:pPr>
              <w:numPr>
                <w:ilvl w:val="0"/>
                <w:numId w:val="21"/>
              </w:numPr>
              <w:ind w:firstLine="0"/>
              <w:jc w:val="left"/>
              <w:spacing w:before="120" w:after="120"/>
              <w:rPr>
                <w:rFonts w:ascii="宋体" w:hAnsi="宋体" w:eastAsia="宋体" w:cs="宋体"/>
                <w:sz w:val="22"/>
              </w:rPr>
            </w:pPr>
            <w:r>
              <w:rPr>
                <w:rFonts w:hint="eastAsia" w:ascii="宋体" w:hAnsi="宋体" w:eastAsia="宋体" w:cs="宋体"/>
                <w:sz w:val="22"/>
              </w:rPr>
              <w:t xml:space="preserve">支持人事处统计的人员排班和考勤情况，计算医生在各院区、门诊、病房的工作时间，按照工作时间比例将医生的人员经费进行合理分配。</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关系设置</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设置会计科目关系、工资项目关系、物资分类关系、药品分类关系、资产分类关系、职称与专业技术关系、资金来源与资金构成关系。实现业务明细数据按照业务分类与财务口径分类进行数据的转换、汇总与归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收入数据</w:t>
            </w:r>
            <w:r/>
          </w:p>
        </w:tc>
        <w:tc>
          <w:tcPr>
            <w:shd w:val="clear" w:color="auto" w:fill="auto"/>
            <w:tcW w:w="4862" w:type="dxa"/>
            <w:textDirection w:val="lrTb"/>
            <w:noWrap w:val="false"/>
          </w:tcPr>
          <w:p>
            <w:pPr>
              <w:numPr>
                <w:ilvl w:val="0"/>
                <w:numId w:val="22"/>
              </w:numPr>
              <w:ind w:firstLine="0"/>
              <w:jc w:val="left"/>
              <w:spacing w:before="120" w:after="120"/>
              <w:rPr>
                <w:rFonts w:ascii="宋体" w:hAnsi="宋体" w:eastAsia="宋体" w:cs="宋体"/>
                <w:sz w:val="22"/>
              </w:rPr>
            </w:pPr>
            <w:r>
              <w:rPr>
                <w:rFonts w:hint="eastAsia" w:ascii="宋体" w:hAnsi="宋体" w:eastAsia="宋体" w:cs="宋体"/>
                <w:sz w:val="22"/>
              </w:rPr>
              <w:t xml:space="preserve">支持分别以收费项目、收费类别两个维度对医疗收入数据和其他收入的数据进行维护，包括增加、修改、删除、归集、查询等各种功能，并提供收入数据的统计汇总；支持医疗收入数据分别按照收费明细、收费分类分别采集并汇总并与总账收入进行核对校验。</w:t>
            </w:r>
            <w:r/>
          </w:p>
          <w:p>
            <w:pPr>
              <w:numPr>
                <w:ilvl w:val="0"/>
                <w:numId w:val="22"/>
              </w:numPr>
              <w:ind w:firstLine="0"/>
              <w:jc w:val="left"/>
              <w:spacing w:before="120" w:after="120"/>
              <w:rPr>
                <w:rFonts w:ascii="宋体" w:hAnsi="宋体" w:eastAsia="宋体" w:cs="宋体"/>
                <w:sz w:val="22"/>
              </w:rPr>
            </w:pPr>
            <w:r>
              <w:rPr>
                <w:rFonts w:hint="eastAsia" w:ascii="宋体" w:hAnsi="宋体" w:eastAsia="宋体" w:cs="宋体"/>
                <w:sz w:val="22"/>
              </w:rPr>
              <w:t xml:space="preserve">支持对医疗收入数据拆分与反拆分，满足医院多种实际的业务需求。</w:t>
            </w:r>
            <w:r/>
          </w:p>
          <w:p>
            <w:pPr>
              <w:numPr>
                <w:ilvl w:val="0"/>
                <w:numId w:val="22"/>
              </w:numPr>
              <w:ind w:firstLine="0"/>
              <w:jc w:val="left"/>
              <w:spacing w:before="120" w:after="120"/>
              <w:rPr>
                <w:rFonts w:ascii="宋体" w:hAnsi="宋体" w:eastAsia="宋体" w:cs="宋体"/>
                <w:sz w:val="22"/>
              </w:rPr>
            </w:pPr>
            <w:r>
              <w:rPr>
                <w:rFonts w:hint="eastAsia" w:ascii="宋体" w:hAnsi="宋体" w:eastAsia="宋体" w:cs="宋体"/>
                <w:sz w:val="22"/>
              </w:rPr>
              <w:t xml:space="preserve">支持对HIS工作量数据采集：门诊工作量、住院工作量、医技工作量、内部服务工作量进行维护，包括增加、修改、删除、查询等。</w:t>
            </w:r>
            <w:r/>
          </w:p>
          <w:p>
            <w:pPr>
              <w:numPr>
                <w:ilvl w:val="0"/>
                <w:numId w:val="22"/>
              </w:numPr>
              <w:ind w:firstLine="0"/>
              <w:jc w:val="left"/>
              <w:spacing w:before="120" w:after="120"/>
              <w:rPr>
                <w:rFonts w:ascii="宋体" w:hAnsi="宋体" w:eastAsia="宋体" w:cs="宋体"/>
                <w:sz w:val="22"/>
              </w:rPr>
            </w:pPr>
            <w:r>
              <w:rPr>
                <w:rFonts w:hint="eastAsia" w:ascii="宋体" w:hAnsi="宋体" w:eastAsia="宋体" w:cs="宋体"/>
                <w:sz w:val="22"/>
              </w:rPr>
              <w:t xml:space="preserve">支持能够从HIS、财务核算系统自动采集获取医院的医疗收入数据、财政科教收入数据、其他收入数据。</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成本数据</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支持能够自动从财务核算系统、HRP相关业务系统、HIS系统以最小的颗粒度按照会计期间分别自动采集人力成本、物资成本、药品成本、资产成本、风险基金、其他成本的相关业务明细数据；</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支持业务明细数据、成本归集后按照拆分规则进行批量拆分、反拆分；满足医院共享护理单元业务数据无法明确的最小核算单元等业务场景；</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支持科室直接成本直接计入或计算计入；</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对应医院内“水、电、煤”等大用户科室费用的分摊，应遵循重要性原则，能够直接计量到相应的核算责任中心的，按照实际发生数，据实核算成本；无法单独计量的，以人员、面积或床位比例作为参数向全院分摊；</w:t>
            </w:r>
            <w:r/>
          </w:p>
          <w:p>
            <w:pPr>
              <w:jc w:val="left"/>
              <w:spacing w:before="120" w:after="120"/>
              <w:rPr>
                <w:rFonts w:ascii="宋体" w:hAnsi="宋体" w:eastAsia="宋体" w:cs="宋体"/>
                <w:sz w:val="22"/>
              </w:rPr>
            </w:pPr>
            <w:r>
              <w:rPr>
                <w:rFonts w:ascii="宋体" w:hAnsi="宋体" w:eastAsia="宋体" w:cs="宋体"/>
                <w:sz w:val="22"/>
              </w:rPr>
              <w:t xml:space="preserve">(5)</w:t>
            </w:r>
            <w:r>
              <w:rPr>
                <w:rFonts w:hint="eastAsia" w:ascii="宋体" w:hAnsi="宋体" w:eastAsia="宋体" w:cs="宋体"/>
                <w:sz w:val="22"/>
              </w:rPr>
              <w:t xml:space="preserve">支持【总账驱动成本】，【业务驱动成本】两种模式；同时也支持【成本驱动总账】模式，符合管理需求的业务明细数据可以直接会计科目规则生成总账凭证；</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(6)</w:t>
            </w:r>
            <w:r>
              <w:rPr>
                <w:rFonts w:hint="eastAsia" w:ascii="宋体" w:hAnsi="宋体" w:eastAsia="宋体" w:cs="宋体"/>
                <w:sz w:val="22"/>
              </w:rPr>
              <w:t xml:space="preserve">支持收入、成本明细数据质控，实现与总账数据来源校验；</w:t>
            </w:r>
            <w:r/>
          </w:p>
          <w:p>
            <w:pPr>
              <w:jc w:val="left"/>
              <w:spacing w:before="120" w:after="120"/>
              <w:rPr>
                <w:rFonts w:ascii="宋体" w:hAnsi="宋体" w:eastAsia="宋体" w:cs="宋体"/>
                <w:sz w:val="22"/>
              </w:rPr>
            </w:pPr>
            <w:r>
              <w:rPr>
                <w:rFonts w:ascii="宋体" w:hAnsi="宋体" w:eastAsia="宋体" w:cs="宋体"/>
                <w:sz w:val="22"/>
              </w:rPr>
              <w:t xml:space="preserve">(7)</w:t>
            </w:r>
            <w:r>
              <w:rPr>
                <w:rFonts w:hint="eastAsia" w:ascii="宋体" w:hAnsi="宋体" w:eastAsia="宋体" w:cs="宋体"/>
                <w:sz w:val="22"/>
              </w:rPr>
              <w:t xml:space="preserve">支持成本七大类按照业务与财务统计口径，以成本核算单元、成本项目、资金来源三个维度进行对业务数据的汇总与归集。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分摊设置</w:t>
            </w:r>
            <w:r/>
          </w:p>
        </w:tc>
        <w:tc>
          <w:tcPr>
            <w:shd w:val="clear" w:color="auto" w:fill="auto"/>
            <w:tcW w:w="4862" w:type="dxa"/>
            <w:textDirection w:val="lrTb"/>
            <w:noWrap w:val="false"/>
          </w:tcPr>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(1)</w:t>
            </w:r>
            <w:r>
              <w:rPr>
                <w:rFonts w:hint="eastAsia" w:ascii="宋体" w:hAnsi="宋体" w:eastAsia="宋体" w:cs="宋体"/>
                <w:sz w:val="22"/>
                <w:highlight w:val="none"/>
              </w:rPr>
              <w:t xml:space="preserve">支持标准四类科室分摊模型自由化灵活化配置，满足医院对科室不同级次多级分摊管理要求。</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(2)</w:t>
            </w:r>
            <w:r>
              <w:rPr>
                <w:rFonts w:hint="eastAsia" w:ascii="宋体" w:hAnsi="宋体" w:eastAsia="宋体" w:cs="宋体"/>
                <w:sz w:val="22"/>
                <w:highlight w:val="none"/>
              </w:rPr>
              <w:t xml:space="preserve">可按照科室分类定义分摊顺序，也可按照单独或指定的核算单元提取数据源并分摊到指定的科室或科室类别上。</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(3)</w:t>
            </w:r>
            <w:r>
              <w:rPr>
                <w:rFonts w:hint="eastAsia" w:ascii="宋体" w:hAnsi="宋体" w:eastAsia="宋体" w:cs="宋体"/>
                <w:sz w:val="22"/>
                <w:highlight w:val="none"/>
              </w:rPr>
              <w:t xml:space="preserve">支持科室成本分摊方法的快速批量设置。实现行政后勤、医疗辅助、医疗技术、临床科室四类科室不同的分摊方法设置。支持核算分摊方法灵活设置科学、合理的参数，便于不同成本项目采取不同的归集分摊方法，诸如：按面积分摊、 按人员分摊、按服务量分摊等。</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(4)</w:t>
            </w:r>
            <w:r>
              <w:rPr>
                <w:rFonts w:hint="eastAsia" w:ascii="宋体" w:hAnsi="宋体" w:eastAsia="宋体" w:cs="宋体"/>
                <w:sz w:val="22"/>
                <w:highlight w:val="none"/>
              </w:rPr>
              <w:t xml:space="preserve">支持某一科室不同成本项目采用不同参数进行分摊；支持某一科室所有成本项目按照同一个参数进行分摊；支持同一成本项目在不同级次上采用不同参数进行分摊。</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(5)</w:t>
            </w:r>
            <w:r>
              <w:rPr>
                <w:rFonts w:hint="eastAsia" w:ascii="宋体" w:hAnsi="宋体" w:eastAsia="宋体" w:cs="宋体"/>
                <w:sz w:val="22"/>
                <w:highlight w:val="none"/>
              </w:rPr>
              <w:t xml:space="preserve">支持医辅类科室特殊业务科室分摊。实现门诊收费处、住院收费处等医辅科室只给临床科室的分摊的业务场景。</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(6)</w:t>
            </w:r>
            <w:r>
              <w:rPr>
                <w:rFonts w:hint="eastAsia" w:ascii="宋体" w:hAnsi="宋体" w:eastAsia="宋体" w:cs="宋体"/>
                <w:sz w:val="22"/>
                <w:highlight w:val="none"/>
              </w:rPr>
              <w:t xml:space="preserve">支持跨院区、多院区（全院分摊、院内分摊）成本分摊。</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(7)</w:t>
            </w:r>
            <w:r>
              <w:rPr>
                <w:rFonts w:hint="eastAsia" w:ascii="宋体" w:hAnsi="宋体" w:eastAsia="宋体" w:cs="宋体"/>
                <w:sz w:val="22"/>
                <w:highlight w:val="none"/>
              </w:rPr>
              <w:t xml:space="preserve">支持对非临床科室的开单收入按自定义的参数分摊到临床科室。</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(8)</w:t>
            </w:r>
            <w:r>
              <w:rPr>
                <w:rFonts w:hint="eastAsia" w:ascii="宋体" w:hAnsi="宋体" w:eastAsia="宋体" w:cs="宋体"/>
                <w:sz w:val="22"/>
                <w:highlight w:val="none"/>
              </w:rPr>
              <w:t xml:space="preserve">支持采用四类三级分摊方法，将医院科室分为行政管理类、医疗辅助医疗类、医疗技术类、临床服务类，并通过对各级分摊的方法设定，分别将全院的各项成本分项逐级分步骤地分摊到直接医疗科室。</w:t>
            </w:r>
            <w:r/>
          </w:p>
          <w:p>
            <w:pPr>
              <w:jc w:val="left"/>
              <w:spacing w:before="120" w:after="120"/>
              <w:rPr>
                <w:rFonts w:ascii="宋体" w:hAnsi="宋体" w:eastAsia="宋体" w:cs="宋体"/>
                <w:sz w:val="22"/>
                <w:highlight w:val="none"/>
              </w:rPr>
            </w:pPr>
            <w:r>
              <w:rPr>
                <w:rFonts w:ascii="宋体" w:hAnsi="宋体" w:eastAsia="宋体" w:cs="宋体"/>
                <w:sz w:val="22"/>
                <w:highlight w:val="none"/>
              </w:rPr>
              <w:t xml:space="preserve">(9)</w:t>
            </w:r>
            <w:r>
              <w:rPr>
                <w:rFonts w:hint="eastAsia" w:ascii="宋体" w:hAnsi="宋体" w:eastAsia="宋体" w:cs="宋体"/>
                <w:sz w:val="22"/>
                <w:highlight w:val="none"/>
              </w:rPr>
              <w:t xml:space="preserve">支持同级科室或向下级科室定向分摊；</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成本计算</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系统支持对成本数据分摊前检查校验与分摊后结果校验，保证成本数据都可以全部分摊至临床科室。对分摊后的数据进行逻辑性检查，系统自动校验判断分摊结果是否平衡。</w:t>
            </w:r>
            <w:r/>
          </w:p>
          <w:p>
            <w:pPr>
              <w:jc w:val="left"/>
              <w:spacing w:before="120" w:after="120"/>
              <w:rPr>
                <w:rFonts w:ascii="宋体" w:hAnsi="宋体" w:eastAsia="宋体" w:cs="宋体"/>
                <w:sz w:val="22"/>
              </w:rPr>
            </w:pPr>
            <w:r>
              <w:rPr>
                <w:rFonts w:ascii="宋体" w:hAnsi="宋体" w:eastAsia="宋体" w:cs="宋体"/>
                <w:sz w:val="22"/>
              </w:rPr>
              <w:t xml:space="preserve">(2)</w:t>
            </w:r>
            <w:r>
              <w:rPr>
                <w:rFonts w:hint="eastAsia" w:ascii="宋体" w:hAnsi="宋体" w:eastAsia="宋体" w:cs="宋体"/>
                <w:sz w:val="22"/>
              </w:rPr>
              <w:t xml:space="preserve">支持全成本归集和分摊后，确保财务数据和成本数据的一致性。支持成本核算系统的导出功能，包括基础数据、成本核算明细数据、各类报表，均可导出至EXCEL。</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(3)</w:t>
            </w:r>
            <w:r>
              <w:rPr>
                <w:rFonts w:hint="eastAsia" w:ascii="宋体" w:hAnsi="宋体" w:eastAsia="宋体" w:cs="宋体"/>
                <w:sz w:val="22"/>
              </w:rPr>
              <w:t xml:space="preserve">支持成本项目能够归集、分摊核算到最小核算单元和最末级的明细项目上，并且能够查询分摊项目明细数据。能够进行成本分摊数据的正向、逆向追踪明细，确保成本分摊过程的可追溯性。</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支持科室成本数据月结、反月结操作、查询功能。</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报表分析</w:t>
            </w:r>
            <w:r/>
          </w:p>
        </w:tc>
        <w:tc>
          <w:tcPr>
            <w:shd w:val="clear" w:color="auto" w:fill="auto"/>
            <w:tcW w:w="4862" w:type="dxa"/>
            <w:textDirection w:val="lrTb"/>
            <w:noWrap w:val="false"/>
          </w:tcPr>
          <w:p>
            <w:pPr>
              <w:numPr>
                <w:ilvl w:val="0"/>
                <w:numId w:val="23"/>
              </w:numPr>
              <w:ind w:left="0" w:firstLine="0"/>
              <w:jc w:val="left"/>
              <w:spacing w:before="120" w:after="120"/>
              <w:rPr>
                <w:rFonts w:ascii="宋体" w:hAnsi="宋体" w:eastAsia="宋体" w:cs="宋体"/>
                <w:sz w:val="22"/>
              </w:rPr>
            </w:pPr>
            <w:r>
              <w:rPr>
                <w:rFonts w:hint="eastAsia" w:ascii="宋体" w:hAnsi="宋体" w:eastAsia="宋体" w:cs="宋体"/>
                <w:sz w:val="22"/>
              </w:rPr>
              <w:t xml:space="preserve">能够满足医院目前“收入分析”、“成本分析”、“效益分析”分析内容；</w:t>
            </w:r>
            <w:r/>
          </w:p>
          <w:p>
            <w:pPr>
              <w:numPr>
                <w:ilvl w:val="0"/>
                <w:numId w:val="23"/>
              </w:numPr>
              <w:ind w:left="0" w:firstLine="0"/>
              <w:jc w:val="left"/>
              <w:spacing w:before="120" w:after="120"/>
              <w:rPr>
                <w:rFonts w:ascii="宋体" w:hAnsi="宋体" w:eastAsia="宋体" w:cs="宋体"/>
                <w:sz w:val="22"/>
              </w:rPr>
            </w:pPr>
            <w:r>
              <w:rPr>
                <w:rFonts w:hint="eastAsia" w:ascii="宋体" w:hAnsi="宋体" w:eastAsia="宋体" w:cs="宋体"/>
                <w:sz w:val="22"/>
              </w:rPr>
              <w:t xml:space="preserve">能分析到每一级核算单元在分摊过程中的直接成本与间接成本数据；</w:t>
            </w:r>
            <w:r/>
          </w:p>
          <w:p>
            <w:pPr>
              <w:numPr>
                <w:ilvl w:val="0"/>
                <w:numId w:val="23"/>
              </w:numPr>
              <w:ind w:left="0" w:firstLine="0"/>
              <w:jc w:val="left"/>
              <w:spacing w:before="120" w:after="120"/>
              <w:rPr>
                <w:rFonts w:ascii="宋体" w:hAnsi="宋体" w:eastAsia="宋体" w:cs="宋体"/>
                <w:sz w:val="22"/>
              </w:rPr>
            </w:pPr>
            <w:r>
              <w:rPr>
                <w:rFonts w:hint="eastAsia" w:ascii="宋体" w:hAnsi="宋体" w:eastAsia="宋体" w:cs="宋体"/>
                <w:sz w:val="22"/>
              </w:rPr>
              <w:t xml:space="preserve">能够反映（门诊、住院各科室）成本的构成情况，并按成本项目明细列示，揭示各项目对各科室医疗成本的影响程度以及控制成本的目标，指导科室及诊疗组、护理组解决成本中的问题；</w:t>
            </w:r>
            <w:r/>
          </w:p>
          <w:p>
            <w:pPr>
              <w:numPr>
                <w:ilvl w:val="0"/>
                <w:numId w:val="23"/>
              </w:numPr>
              <w:ind w:left="0" w:firstLine="0"/>
              <w:jc w:val="left"/>
              <w:spacing w:before="120" w:after="120"/>
              <w:rPr>
                <w:rFonts w:ascii="宋体" w:hAnsi="宋体" w:eastAsia="宋体" w:cs="宋体"/>
                <w:sz w:val="22"/>
              </w:rPr>
            </w:pPr>
            <w:r>
              <w:rPr>
                <w:rFonts w:hint="eastAsia" w:ascii="宋体" w:hAnsi="宋体" w:eastAsia="宋体" w:cs="宋体"/>
                <w:sz w:val="22"/>
              </w:rPr>
              <w:t xml:space="preserve">分析能够从不同属性、不同角度为成本控制、应用提供实际成本的成本额和成本率：如固定成本/变动成本、直接成本/间接成本、人力成本/材料成本/药品成本/其他成本；</w:t>
            </w:r>
            <w:r/>
          </w:p>
          <w:p>
            <w:pPr>
              <w:numPr>
                <w:ilvl w:val="0"/>
                <w:numId w:val="23"/>
              </w:numPr>
              <w:ind w:left="0" w:firstLine="0"/>
              <w:jc w:val="left"/>
              <w:spacing w:before="120" w:after="120"/>
              <w:rPr>
                <w:rFonts w:ascii="宋体" w:hAnsi="宋体" w:eastAsia="宋体" w:cs="宋体"/>
                <w:sz w:val="22"/>
              </w:rPr>
            </w:pPr>
            <w:r>
              <w:rPr>
                <w:rFonts w:hint="eastAsia" w:ascii="宋体" w:hAnsi="宋体" w:eastAsia="宋体" w:cs="宋体"/>
                <w:sz w:val="22"/>
              </w:rPr>
              <w:t xml:space="preserve">实现床日成本及诊次成本的核算；</w:t>
            </w:r>
            <w:r/>
          </w:p>
          <w:p>
            <w:pPr>
              <w:numPr>
                <w:ilvl w:val="0"/>
                <w:numId w:val="23"/>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支持本量利报表分析查询。</w:t>
            </w:r>
            <w:r/>
          </w:p>
          <w:p>
            <w:pPr>
              <w:numPr>
                <w:ilvl w:val="0"/>
                <w:numId w:val="23"/>
              </w:numPr>
              <w:ind w:left="0" w:firstLine="0"/>
              <w:jc w:val="left"/>
              <w:spacing w:before="120" w:after="120"/>
              <w:rPr>
                <w:rFonts w:ascii="宋体" w:hAnsi="宋体" w:eastAsia="宋体" w:cs="宋体"/>
                <w:sz w:val="22"/>
              </w:rPr>
            </w:pPr>
            <w:r>
              <w:rPr>
                <w:rFonts w:hint="eastAsia" w:ascii="宋体" w:hAnsi="宋体" w:eastAsia="宋体" w:cs="宋体"/>
                <w:sz w:val="22"/>
              </w:rPr>
              <w:t xml:space="preserve">系统必须具备灵活的自定义报表功能，满足医院未来扩展报表的要求。</w:t>
            </w:r>
            <w:r/>
          </w:p>
          <w:p>
            <w:pPr>
              <w:numPr>
                <w:ilvl w:val="0"/>
                <w:numId w:val="23"/>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支持科室成本核算国家制度报表数据分析与查询并导出Excel。</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项目成本管理系统</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基础数据</w:t>
            </w:r>
            <w:r/>
          </w:p>
        </w:tc>
        <w:tc>
          <w:tcPr>
            <w:shd w:val="clear" w:color="auto" w:fill="auto"/>
            <w:tcW w:w="4862" w:type="dxa"/>
            <w:textDirection w:val="lrTb"/>
            <w:noWrap w:val="false"/>
          </w:tcPr>
          <w:p>
            <w:pPr>
              <w:numPr>
                <w:ilvl w:val="0"/>
                <w:numId w:val="24"/>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支持项目成本核算科室单独档案维护。同时也支持与科室成本的核算单元建立对应关系。既支持按照大科核算，也支持按照小科核算，满足医院不同维度的核算管理要求。</w:t>
            </w:r>
            <w:r/>
          </w:p>
          <w:p>
            <w:pPr>
              <w:numPr>
                <w:ilvl w:val="0"/>
                <w:numId w:val="24"/>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支持作业库、作业字典、资源动因、成本动因系统数据预置。 </w:t>
            </w:r>
            <w:r/>
          </w:p>
          <w:p>
            <w:pPr>
              <w:numPr>
                <w:ilvl w:val="0"/>
                <w:numId w:val="24"/>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支持对药品、单收费材料、医疗服务项目的收费项目的标识与区分。可批量设置对应的项目成本核算属性。</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业务数据</w:t>
            </w:r>
            <w:r/>
          </w:p>
        </w:tc>
        <w:tc>
          <w:tcPr>
            <w:shd w:val="clear" w:color="auto" w:fill="auto"/>
            <w:tcW w:w="4862" w:type="dxa"/>
            <w:textDirection w:val="lrTb"/>
            <w:noWrap w:val="false"/>
          </w:tcPr>
          <w:p>
            <w:pPr>
              <w:numPr>
                <w:ilvl w:val="0"/>
                <w:numId w:val="2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支持按照收入数据的开单科室、执行科室、收费类别等项目进行采集、查询、统计和汇总。</w:t>
            </w:r>
            <w:r/>
          </w:p>
          <w:p>
            <w:pPr>
              <w:numPr>
                <w:ilvl w:val="0"/>
                <w:numId w:val="2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支持对收入数据中医疗服务项目不合理地执行科室的数据的纠错与调整，优化了收入数据中的错误信息的数据质量，更加符合医院业务的实际情况。</w:t>
            </w:r>
            <w:r/>
          </w:p>
          <w:p>
            <w:pPr>
              <w:numPr>
                <w:ilvl w:val="0"/>
                <w:numId w:val="25"/>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支持成本一体化业务明细数据按照自定义核算期间数据采集，保障了数据的同源性。</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核算模型与核算方案</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ascii="宋体" w:hAnsi="宋体" w:eastAsia="宋体" w:cs="宋体"/>
                <w:sz w:val="22"/>
              </w:rPr>
              <w:t xml:space="preserve">(1)</w:t>
            </w:r>
            <w:r>
              <w:rPr>
                <w:rFonts w:hint="eastAsia" w:ascii="宋体" w:hAnsi="宋体" w:eastAsia="宋体" w:cs="宋体"/>
                <w:sz w:val="22"/>
              </w:rPr>
              <w:t xml:space="preserve">支持作业成本法，可根据核算方法搭建核算模型，可进行直接成本和间接成本核算模型的搭建；</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(2)</w:t>
            </w:r>
            <w:r>
              <w:rPr>
                <w:rFonts w:hint="eastAsia" w:ascii="宋体" w:hAnsi="宋体" w:eastAsia="宋体" w:cs="宋体"/>
                <w:sz w:val="22"/>
              </w:rPr>
              <w:t xml:space="preserve">系统支持医疗服务项目直接模型批量快速复制功能，有效提升模型配置效率。支持对医疗项目的资源匹配情况的跟踪状态查询。支持对医疗服务项目填报模型的状态变更。</w:t>
            </w:r>
            <w:r/>
          </w:p>
          <w:p>
            <w:pPr>
              <w:jc w:val="left"/>
              <w:spacing w:before="120" w:after="120"/>
              <w:rPr>
                <w:rFonts w:ascii="宋体" w:hAnsi="宋体" w:eastAsia="宋体" w:cs="宋体"/>
                <w:sz w:val="22"/>
              </w:rPr>
            </w:pPr>
            <w:r>
              <w:rPr>
                <w:rFonts w:ascii="宋体" w:hAnsi="宋体" w:eastAsia="宋体" w:cs="宋体"/>
                <w:sz w:val="22"/>
              </w:rPr>
              <w:t xml:space="preserve">(3)</w:t>
            </w:r>
            <w:r>
              <w:rPr>
                <w:rFonts w:hint="eastAsia" w:ascii="宋体" w:hAnsi="宋体" w:eastAsia="宋体" w:cs="宋体"/>
                <w:sz w:val="22"/>
              </w:rPr>
              <w:t xml:space="preserve">系统支持根据医院实际业务调研结果，自动记录数据调整规则与来源、结果，有助于业务数据的追溯。对新发生的收入数据，可以方便快速对其进行数据校准，降低人力调研成本。</w:t>
            </w:r>
            <w:r/>
          </w:p>
          <w:p>
            <w:pPr>
              <w:jc w:val="left"/>
              <w:spacing w:before="120" w:after="120"/>
              <w:rPr>
                <w:rFonts w:ascii="宋体" w:hAnsi="宋体" w:eastAsia="宋体" w:cs="宋体"/>
                <w:sz w:val="22"/>
              </w:rPr>
            </w:pPr>
            <w:r>
              <w:rPr>
                <w:rFonts w:ascii="宋体" w:hAnsi="宋体" w:eastAsia="宋体" w:cs="宋体"/>
                <w:sz w:val="22"/>
              </w:rPr>
              <w:t xml:space="preserve">(4)</w:t>
            </w:r>
            <w:r>
              <w:rPr>
                <w:rFonts w:hint="eastAsia" w:ascii="宋体" w:hAnsi="宋体" w:eastAsia="宋体" w:cs="宋体"/>
                <w:sz w:val="22"/>
              </w:rPr>
              <w:t xml:space="preserve">系统支持收入数据执行科室手工调整、规则调整。满足各种不同业务需求场景。</w:t>
            </w:r>
            <w:r/>
          </w:p>
          <w:p>
            <w:pPr>
              <w:jc w:val="left"/>
              <w:spacing w:before="120" w:after="120"/>
              <w:rPr>
                <w:rFonts w:ascii="宋体" w:hAnsi="宋体" w:eastAsia="宋体" w:cs="宋体"/>
                <w:sz w:val="22"/>
              </w:rPr>
            </w:pPr>
            <w:r>
              <w:rPr>
                <w:rFonts w:ascii="宋体" w:hAnsi="宋体" w:eastAsia="宋体" w:cs="宋体"/>
                <w:sz w:val="22"/>
              </w:rPr>
              <w:t xml:space="preserve">(5)</w:t>
            </w:r>
            <w:r>
              <w:rPr>
                <w:rFonts w:hint="eastAsia" w:ascii="宋体" w:hAnsi="宋体" w:eastAsia="宋体" w:cs="宋体"/>
                <w:sz w:val="22"/>
              </w:rPr>
              <w:t xml:space="preserve">支持作业成本法（直接模型）数据资源共享。</w:t>
            </w:r>
            <w:r/>
          </w:p>
          <w:p>
            <w:pPr>
              <w:jc w:val="left"/>
              <w:spacing w:before="120" w:after="120"/>
              <w:rPr>
                <w:rFonts w:ascii="宋体" w:hAnsi="宋体" w:eastAsia="宋体" w:cs="宋体"/>
                <w:sz w:val="22"/>
              </w:rPr>
            </w:pPr>
            <w:r>
              <w:rPr>
                <w:rFonts w:ascii="宋体" w:hAnsi="宋体" w:eastAsia="宋体" w:cs="宋体"/>
                <w:sz w:val="22"/>
              </w:rPr>
              <w:t xml:space="preserve">(6)</w:t>
            </w:r>
            <w:r>
              <w:rPr>
                <w:rFonts w:hint="eastAsia" w:ascii="宋体" w:hAnsi="宋体" w:eastAsia="宋体" w:cs="宋体"/>
                <w:sz w:val="22"/>
              </w:rPr>
              <w:t xml:space="preserve">系统支持核算模型对所核算的医疗服务项目从多视角、多维度进行快速资源配置，避免资源配置缺失遗漏，从而保证直接模型的配置的准确性。</w:t>
            </w:r>
            <w:r/>
          </w:p>
          <w:p>
            <w:pPr>
              <w:jc w:val="left"/>
              <w:spacing w:before="120" w:after="120"/>
              <w:rPr>
                <w:rFonts w:ascii="宋体" w:hAnsi="宋体" w:eastAsia="宋体" w:cs="宋体"/>
                <w:sz w:val="22"/>
              </w:rPr>
            </w:pPr>
            <w:r>
              <w:rPr>
                <w:rFonts w:hint="eastAsia" w:ascii="宋体" w:hAnsi="宋体" w:eastAsia="宋体" w:cs="宋体"/>
                <w:sz w:val="24"/>
                <w:szCs w:val="24"/>
              </w:rPr>
              <w:t xml:space="preserve">▲</w:t>
            </w:r>
            <w:r>
              <w:rPr>
                <w:rFonts w:ascii="宋体" w:hAnsi="宋体" w:eastAsia="宋体" w:cs="宋体"/>
                <w:sz w:val="22"/>
              </w:rPr>
              <w:t xml:space="preserve">(7)</w:t>
            </w:r>
            <w:r>
              <w:rPr>
                <w:rFonts w:hint="eastAsia" w:ascii="宋体" w:hAnsi="宋体" w:eastAsia="宋体" w:cs="宋体"/>
                <w:sz w:val="22"/>
              </w:rPr>
              <w:t xml:space="preserve">项目成本核算结果查询功能。1）支持从科室及院级两个维度进行项目成本查询。2）支持对成本项目按照财务通用管理模型进行成本还原。</w:t>
            </w:r>
            <w:r/>
          </w:p>
          <w:p>
            <w:pPr>
              <w:jc w:val="left"/>
              <w:spacing w:before="120" w:after="120"/>
              <w:rPr>
                <w:rFonts w:ascii="宋体" w:hAnsi="宋体" w:eastAsia="宋体" w:cs="宋体"/>
                <w:sz w:val="22"/>
              </w:rPr>
            </w:pPr>
            <w:r>
              <w:rPr>
                <w:rFonts w:ascii="宋体" w:hAnsi="宋体" w:eastAsia="宋体" w:cs="宋体"/>
                <w:sz w:val="22"/>
              </w:rPr>
              <w:t xml:space="preserve">(8)</w:t>
            </w:r>
            <w:r>
              <w:rPr>
                <w:rFonts w:hint="eastAsia" w:ascii="宋体" w:hAnsi="宋体" w:eastAsia="宋体" w:cs="宋体"/>
                <w:sz w:val="22"/>
              </w:rPr>
              <w:t xml:space="preserve">项目成本-作业成本作业模型搭建功能，对收费项目进行人工耗时、协作配置、材料配置、设备耗时、其他成本等数据明细的采集。1）人工耗时功能包括：技术职称、人数、工时、工作量系数等基本设置。2）材料配置包括：材料名称、规格、型号、消耗量等基本设置。3）设备耗时包括：设备名称、规格、型号、设备耗时等基本设置。4）支持医疗服务项目直接成本模型批量快速复制功能。5）支持逆向操作模型建立。</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成本计算</w:t>
            </w:r>
            <w:r/>
          </w:p>
        </w:tc>
        <w:tc>
          <w:tcPr>
            <w:shd w:val="clear" w:color="auto" w:fill="auto"/>
            <w:tcW w:w="4862" w:type="dxa"/>
            <w:textDirection w:val="lrTb"/>
            <w:noWrap w:val="false"/>
          </w:tcPr>
          <w:p>
            <w:pPr>
              <w:numPr>
                <w:ilvl w:val="0"/>
                <w:numId w:val="26"/>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支持对直接成本和间接成本分步骤进行计算，进而计算出医疗项目成本。</w:t>
            </w:r>
            <w:r/>
          </w:p>
          <w:p>
            <w:pPr>
              <w:numPr>
                <w:ilvl w:val="0"/>
                <w:numId w:val="26"/>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支持对成本计算逻辑推演详细过程详细数据说明。</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报表分析</w:t>
            </w:r>
            <w:r/>
          </w:p>
        </w:tc>
        <w:tc>
          <w:tcPr>
            <w:shd w:val="clear" w:color="auto" w:fill="auto"/>
            <w:tcW w:w="4862" w:type="dxa"/>
            <w:textDirection w:val="lrTb"/>
            <w:noWrap w:val="false"/>
          </w:tcPr>
          <w:p>
            <w:pPr>
              <w:numPr>
                <w:ilvl w:val="0"/>
                <w:numId w:val="27"/>
              </w:numPr>
              <w:ind w:left="0" w:firstLine="0"/>
              <w:jc w:val="left"/>
              <w:spacing w:before="120" w:after="120"/>
              <w:rPr>
                <w:rFonts w:ascii="宋体" w:hAnsi="宋体" w:eastAsia="宋体" w:cs="宋体"/>
                <w:sz w:val="22"/>
              </w:rPr>
            </w:pPr>
            <w:r>
              <w:rPr>
                <w:rFonts w:hint="eastAsia" w:ascii="宋体" w:hAnsi="宋体" w:eastAsia="宋体" w:cs="宋体"/>
                <w:sz w:val="22"/>
              </w:rPr>
              <w:t xml:space="preserve">提供收费大类明细表、项目成本明细表、项目成本差异表、项目成本保本分析表、项目成本构成明细表、科室项目成本差异表、科室项目成本保本分析表、科室项目成本构成分析表等报表。</w:t>
            </w:r>
            <w:r/>
          </w:p>
          <w:p>
            <w:pPr>
              <w:numPr>
                <w:ilvl w:val="0"/>
                <w:numId w:val="27"/>
              </w:numPr>
              <w:ind w:left="0" w:firstLine="0"/>
              <w:jc w:val="left"/>
              <w:spacing w:before="120" w:after="120"/>
              <w:rPr>
                <w:rFonts w:ascii="宋体" w:hAnsi="宋体" w:eastAsia="宋体" w:cs="宋体"/>
                <w:sz w:val="22"/>
              </w:rPr>
            </w:pPr>
            <w:r>
              <w:rPr>
                <w:rFonts w:hint="eastAsia" w:ascii="宋体" w:hAnsi="宋体" w:eastAsia="宋体" w:cs="宋体"/>
                <w:sz w:val="22"/>
              </w:rPr>
              <w:t xml:space="preserve">可根据医院要求进行自定义项目成本分析表。</w:t>
            </w:r>
            <w:r/>
          </w:p>
          <w:p>
            <w:pPr>
              <w:numPr>
                <w:ilvl w:val="0"/>
                <w:numId w:val="27"/>
              </w:numPr>
              <w:ind w:left="0" w:firstLine="0"/>
              <w:jc w:val="left"/>
              <w:spacing w:before="120" w:after="120"/>
              <w:rPr>
                <w:rFonts w:ascii="宋体" w:hAnsi="宋体" w:eastAsia="宋体" w:cs="宋体"/>
                <w:sz w:val="22"/>
              </w:rPr>
            </w:pPr>
            <w:r>
              <w:rPr>
                <w:rFonts w:hint="eastAsia" w:ascii="宋体" w:hAnsi="宋体" w:eastAsia="宋体" w:cs="宋体"/>
                <w:sz w:val="22"/>
              </w:rPr>
              <w:t xml:space="preserve">所有报表均可支持导出EXCEL、PDF格式。</w:t>
            </w:r>
            <w:r/>
          </w:p>
          <w:p>
            <w:pPr>
              <w:numPr>
                <w:ilvl w:val="0"/>
                <w:numId w:val="27"/>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支持医疗服务项目杜邦分析图数据分析。</w:t>
            </w:r>
            <w:r/>
          </w:p>
          <w:p>
            <w:pPr>
              <w:numPr>
                <w:ilvl w:val="0"/>
                <w:numId w:val="27"/>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支持通过分析医疗服务项目收费价格与成本的关系，反映价格与成本的偏离度，为价格调整和补偿提供依据。</w:t>
            </w:r>
            <w:r/>
          </w:p>
          <w:p>
            <w:pPr>
              <w:numPr>
                <w:ilvl w:val="0"/>
                <w:numId w:val="27"/>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支持分析医院所开展的医疗服务项目盈亏项目数量，以及有无保本点，旨在对项目开展情况及学科发展、成本控制重点提供依据。</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DIP成本管理系统</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项目叠加法</w:t>
            </w:r>
            <w:r/>
          </w:p>
        </w:tc>
        <w:tc>
          <w:tcPr>
            <w:shd w:val="clear" w:color="auto" w:fill="auto"/>
            <w:tcW w:w="4862" w:type="dxa"/>
            <w:textDirection w:val="lrTb"/>
            <w:noWrap w:val="false"/>
          </w:tcPr>
          <w:p>
            <w:pPr>
              <w:numPr>
                <w:ilvl w:val="0"/>
                <w:numId w:val="2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支持按照ICD10、ICD9以及医院病种组分型的特征要求，对医院病种组进行分类定义。</w:t>
            </w:r>
            <w:r/>
          </w:p>
          <w:p>
            <w:pPr>
              <w:numPr>
                <w:ilvl w:val="0"/>
                <w:numId w:val="2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支持对病案首页数据按照病案多维度质控要求完成对病案数据的筛选与过滤，把符合要求的数据进行统计筛选。</w:t>
            </w:r>
            <w:r/>
          </w:p>
          <w:p>
            <w:pPr>
              <w:numPr>
                <w:ilvl w:val="0"/>
                <w:numId w:val="28"/>
              </w:numPr>
              <w:ind w:left="0" w:firstLine="0"/>
              <w:jc w:val="left"/>
              <w:spacing w:before="120" w:after="120"/>
              <w:rPr>
                <w:rFonts w:ascii="宋体" w:hAnsi="宋体" w:eastAsia="宋体" w:cs="宋体"/>
                <w:sz w:val="22"/>
              </w:rPr>
            </w:pPr>
            <w:r>
              <w:rPr>
                <w:rFonts w:hint="eastAsia" w:ascii="宋体" w:hAnsi="宋体" w:eastAsia="宋体" w:cs="宋体"/>
                <w:sz w:val="22"/>
              </w:rPr>
              <w:t xml:space="preserve">获取DIP分组信息：按照统一分组规则，根据患者病案首页数据对患者进行分组管理。根据病历的收费明细对各项成本进行叠加，基础数据管理包括首页数据管理和病历收费明细数据管理。</w:t>
            </w:r>
            <w:r/>
          </w:p>
          <w:p>
            <w:pPr>
              <w:numPr>
                <w:ilvl w:val="0"/>
                <w:numId w:val="2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支持分别按照病案出院时间与医保结算时间进行系统筛选项目叠加。</w:t>
            </w:r>
            <w:r/>
          </w:p>
          <w:p>
            <w:pPr>
              <w:numPr>
                <w:ilvl w:val="0"/>
                <w:numId w:val="2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核算模型配置：采用项目叠加法进行成本核算，建立成本核算模型，包括数据模型和核算流程，平衡数据存储能力和流程运算效率，实现最优化结构。实现科室DIP成本、院级DIP成本、临床路径DIP成本的内容。</w:t>
            </w:r>
            <w:r/>
          </w:p>
          <w:p>
            <w:pPr>
              <w:numPr>
                <w:ilvl w:val="0"/>
                <w:numId w:val="2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成本计算：采用项目叠加法，通过各医疗服务项目相加进行病组成本核算，形成实际成本。首先确定病例分组，按照给定的规则筛选样本病历数据，计算出每个病人的成本。然后按照患者DIP病组，将患者成本进行合并，再除以样本数量，得到DIP单位成本；将某DIP病组的患者成本进行统计计算，得到科室DIP成本和院级DIP成本。</w:t>
            </w:r>
            <w:r/>
          </w:p>
          <w:p>
            <w:pPr>
              <w:numPr>
                <w:ilvl w:val="0"/>
                <w:numId w:val="28"/>
              </w:numPr>
              <w:ind w:left="0" w:firstLine="0"/>
              <w:jc w:val="left"/>
              <w:spacing w:before="120" w:after="120"/>
              <w:rPr>
                <w:rFonts w:ascii="宋体" w:hAnsi="宋体" w:eastAsia="宋体" w:cs="宋体"/>
                <w:sz w:val="22"/>
              </w:rPr>
            </w:pPr>
            <w:r>
              <w:rPr>
                <w:rFonts w:hint="eastAsia" w:ascii="宋体" w:hAnsi="宋体" w:eastAsia="宋体" w:cs="宋体"/>
                <w:sz w:val="22"/>
              </w:rPr>
              <w:t xml:space="preserve">报表查询：系统必须具备灵活的自定义报表功能，满足医院未来扩展报表的要求。针对DIP、CHS不同的分组模式选择和引用，能够通过配置实现报表。按照病人、科室、院级的单位成本、收入构成、成本构成、单位收益等多维度对病种进行报表查询分析。</w:t>
            </w:r>
            <w:r/>
          </w:p>
          <w:p>
            <w:pPr>
              <w:numPr>
                <w:ilvl w:val="0"/>
                <w:numId w:val="28"/>
              </w:numPr>
              <w:ind w:left="0" w:firstLine="0"/>
              <w:jc w:val="left"/>
              <w:spacing w:before="120" w:after="120"/>
              <w:rPr>
                <w:rFonts w:ascii="宋体" w:hAnsi="宋体" w:eastAsia="宋体" w:cs="宋体"/>
                <w:sz w:val="22"/>
              </w:rPr>
            </w:pPr>
            <w:r>
              <w:rPr>
                <w:rFonts w:hint="eastAsia" w:ascii="宋体" w:hAnsi="宋体" w:eastAsia="宋体" w:cs="宋体"/>
                <w:sz w:val="22"/>
              </w:rPr>
              <w:t xml:space="preserve">DIP成本分析：在DIP成本核算基础上，提供DIP组的收入结构、成本结构、进行收益分析，为医院经营决策和管理提供数据依据。按照实际临床路径，对DIP进行成本分析。能分析到每个患者、每个诊疗成本项目的成本数据；能够应用“环比分析法”、“比较分析法”、“趋势分析法”等多种分析方法对DIP进行分析，寻找成本控制点，为管理者提供分析决策、控制的信息。</w:t>
            </w:r>
            <w:r/>
          </w:p>
          <w:p>
            <w:pPr>
              <w:jc w:val="left"/>
              <w:spacing w:before="120" w:after="120"/>
              <w:rPr>
                <w:rFonts w:ascii="宋体" w:hAnsi="宋体" w:eastAsia="宋体" w:cs="宋体"/>
                <w:sz w:val="22"/>
              </w:rPr>
            </w:pPr>
            <w:r>
              <w:rPr>
                <w:rFonts w:hint="eastAsia" w:ascii="宋体" w:hAnsi="宋体" w:eastAsia="宋体" w:cs="宋体"/>
                <w:bCs/>
                <w:sz w:val="22"/>
              </w:rPr>
              <w:t xml:space="preserve">(9)</w:t>
            </w:r>
            <w:r>
              <w:rPr>
                <w:rFonts w:hint="eastAsia" w:ascii="宋体" w:hAnsi="宋体" w:eastAsia="宋体" w:cs="宋体"/>
                <w:sz w:val="22"/>
              </w:rPr>
              <w:t xml:space="preserve">报表数据包括但不限于：</w:t>
            </w:r>
            <w:r/>
          </w:p>
          <w:p>
            <w:pPr>
              <w:numPr>
                <w:ilvl w:val="0"/>
                <w:numId w:val="29"/>
              </w:numPr>
              <w:ind w:left="0" w:firstLine="0"/>
              <w:jc w:val="left"/>
              <w:spacing w:before="120" w:after="120"/>
              <w:rPr>
                <w:rFonts w:ascii="宋体" w:hAnsi="宋体" w:eastAsia="宋体" w:cs="宋体"/>
                <w:sz w:val="22"/>
              </w:rPr>
            </w:pPr>
            <w:r>
              <w:rPr>
                <w:rFonts w:hint="eastAsia" w:ascii="宋体" w:hAnsi="宋体" w:eastAsia="宋体" w:cs="宋体"/>
                <w:sz w:val="22"/>
              </w:rPr>
              <w:t xml:space="preserve">DIP汇总统计表：从CMI维度统计查看全院的病例情况及收益状况；</w:t>
            </w:r>
            <w:r/>
          </w:p>
          <w:p>
            <w:pPr>
              <w:numPr>
                <w:ilvl w:val="0"/>
                <w:numId w:val="29"/>
              </w:numPr>
              <w:ind w:left="0" w:firstLine="0"/>
              <w:jc w:val="left"/>
              <w:spacing w:before="120" w:after="120"/>
              <w:rPr>
                <w:rFonts w:ascii="宋体" w:hAnsi="宋体" w:eastAsia="宋体" w:cs="宋体"/>
                <w:sz w:val="22"/>
              </w:rPr>
            </w:pPr>
            <w:r>
              <w:rPr>
                <w:rFonts w:hint="eastAsia" w:ascii="宋体" w:hAnsi="宋体" w:eastAsia="宋体" w:cs="宋体"/>
                <w:sz w:val="22"/>
              </w:rPr>
              <w:t xml:space="preserve">科室统计表：科室维度统计病种组数据、科室收益状况；点击科室链接可查看具体某个科室病种组病例数量、病种组收益状况；</w:t>
            </w:r>
            <w:r/>
          </w:p>
          <w:p>
            <w:pPr>
              <w:numPr>
                <w:ilvl w:val="0"/>
                <w:numId w:val="29"/>
              </w:numPr>
              <w:ind w:left="0" w:firstLine="0"/>
              <w:jc w:val="left"/>
              <w:spacing w:before="120" w:after="120"/>
              <w:rPr>
                <w:rFonts w:ascii="宋体" w:hAnsi="宋体" w:eastAsia="宋体" w:cs="宋体"/>
                <w:sz w:val="22"/>
              </w:rPr>
            </w:pPr>
            <w:r>
              <w:rPr>
                <w:rFonts w:hint="eastAsia" w:ascii="宋体" w:hAnsi="宋体" w:eastAsia="宋体" w:cs="宋体"/>
                <w:sz w:val="22"/>
              </w:rPr>
              <w:t xml:space="preserve">病种组数据明细表：病种组明细数据表查看个人成本、收入、收益等状况；</w:t>
            </w:r>
            <w:r/>
          </w:p>
          <w:p>
            <w:pPr>
              <w:numPr>
                <w:ilvl w:val="0"/>
                <w:numId w:val="29"/>
              </w:numPr>
              <w:ind w:left="0" w:firstLine="0"/>
              <w:jc w:val="left"/>
              <w:spacing w:before="120" w:after="120"/>
              <w:rPr>
                <w:rFonts w:ascii="宋体" w:hAnsi="宋体" w:eastAsia="宋体" w:cs="宋体"/>
                <w:sz w:val="22"/>
              </w:rPr>
            </w:pPr>
            <w:r>
              <w:rPr>
                <w:rFonts w:hint="eastAsia" w:ascii="宋体" w:hAnsi="宋体" w:eastAsia="宋体" w:cs="宋体"/>
                <w:sz w:val="22"/>
              </w:rPr>
              <w:t xml:space="preserve">科室病种组明细表：科室病种组成本、收入及各占比等状况；</w:t>
            </w:r>
            <w:r/>
          </w:p>
          <w:p>
            <w:pPr>
              <w:numPr>
                <w:ilvl w:val="0"/>
                <w:numId w:val="29"/>
              </w:numPr>
              <w:ind w:left="0" w:firstLine="0"/>
              <w:jc w:val="left"/>
              <w:spacing w:before="120" w:after="120"/>
              <w:rPr>
                <w:rFonts w:ascii="宋体" w:hAnsi="宋体" w:eastAsia="宋体" w:cs="宋体"/>
                <w:sz w:val="22"/>
              </w:rPr>
            </w:pPr>
            <w:r>
              <w:rPr>
                <w:rFonts w:hint="eastAsia" w:ascii="宋体" w:hAnsi="宋体" w:eastAsia="宋体" w:cs="宋体"/>
                <w:sz w:val="22"/>
              </w:rPr>
              <w:t xml:space="preserve">同病种组不同科室收益表：查看同一个病种在不同科室的收益状况；同科室不同手术等级收益表：查看同科室不同的手术等级收益状况。</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人力资源管理</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组织机构</w:t>
            </w:r>
            <w:r/>
          </w:p>
          <w:p>
            <w:pPr>
              <w:jc w:val="center"/>
              <w:spacing w:before="120" w:after="120"/>
              <w:rPr>
                <w:rFonts w:ascii="宋体" w:hAnsi="宋体" w:eastAsia="宋体" w:cs="宋体"/>
                <w:sz w:val="22"/>
              </w:rPr>
            </w:pPr>
            <w:r>
              <w:rPr>
                <w:rFonts w:hint="eastAsia" w:ascii="宋体" w:hAnsi="宋体" w:eastAsia="宋体" w:cs="宋体"/>
                <w:sz w:val="22"/>
              </w:rPr>
              <w:t xml:space="preserve">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按医院的组织架构图，提供统一的、多层次的机构设置及维护平台，提供组织机构及岗位的新建、变更（含上下级关系的调整）、撤销及合并，以及科室岗位编制调整和科室职能划分功能，满足对全院各科室、班组、员工及其基本信息进行统一的日常维护、管理，实现全医院范围内各业务系统间的机构设置的标准统一以及信息（变动）共享（联动）。</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人员信息</w:t>
            </w:r>
            <w:r/>
          </w:p>
          <w:p>
            <w:pPr>
              <w:jc w:val="center"/>
              <w:spacing w:before="120" w:after="120"/>
              <w:rPr>
                <w:rFonts w:ascii="宋体" w:hAnsi="宋体" w:eastAsia="宋体" w:cs="宋体"/>
                <w:sz w:val="22"/>
              </w:rPr>
            </w:pPr>
            <w:r>
              <w:rPr>
                <w:rFonts w:hint="eastAsia" w:ascii="宋体" w:hAnsi="宋体" w:eastAsia="宋体" w:cs="宋体"/>
                <w:sz w:val="22"/>
              </w:rPr>
              <w:t xml:space="preserve">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记录员工从入院到离院的个人基本信息、学历变动、工作履历、职称变动、职务变动、奖惩记录、家庭成员、等所有职工个人信息及动态，进行全过程管理，包括员工入职、转正、岗位变动、待岗、重新上岗、辞职、辞退、外派（外借）、退休、返聘、见习期聘用为正式员工，所有重要的员工信息变更要有时间记录，并提供实时查询及历史记录查询，导出功能。支持离退人员管理，包括退休提前提醒、返聘、延聘等程序管理。提供员工个人与各职能科室的互动交流平台及安全的员工自助管理服务平台。支持对各种信息如科室、岗位、培训、人员信息等的附件管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人员变动</w:t>
            </w:r>
            <w:r/>
          </w:p>
          <w:p>
            <w:pPr>
              <w:jc w:val="center"/>
              <w:spacing w:before="120" w:after="120"/>
              <w:rPr>
                <w:rFonts w:ascii="宋体" w:hAnsi="宋体" w:eastAsia="宋体" w:cs="宋体"/>
                <w:sz w:val="22"/>
              </w:rPr>
            </w:pPr>
            <w:r>
              <w:rPr>
                <w:rFonts w:hint="eastAsia" w:ascii="宋体" w:hAnsi="宋体" w:eastAsia="宋体" w:cs="宋体"/>
                <w:sz w:val="22"/>
              </w:rPr>
              <w:t xml:space="preserve">管理</w:t>
            </w:r>
            <w:r/>
          </w:p>
        </w:tc>
        <w:tc>
          <w:tcPr>
            <w:shd w:val="clear" w:color="auto" w:fill="auto"/>
            <w:tcW w:w="4862" w:type="dxa"/>
            <w:textDirection w:val="lrTb"/>
            <w:noWrap w:val="false"/>
          </w:tcPr>
          <w:p>
            <w:pPr>
              <w:numPr>
                <w:ilvl w:val="0"/>
                <w:numId w:val="30"/>
              </w:numPr>
              <w:ind w:firstLine="0"/>
              <w:jc w:val="left"/>
              <w:spacing w:before="120" w:after="120"/>
              <w:rPr>
                <w:rFonts w:ascii="宋体" w:hAnsi="宋体" w:eastAsia="宋体" w:cs="宋体"/>
                <w:sz w:val="22"/>
              </w:rPr>
            </w:pPr>
            <w:r>
              <w:rPr>
                <w:rFonts w:hint="eastAsia" w:ascii="宋体" w:hAnsi="宋体" w:eastAsia="宋体" w:cs="宋体"/>
                <w:sz w:val="22"/>
              </w:rPr>
              <w:t xml:space="preserve">支持人员调配的申请和审批，也可直接手工维护任职记录。此外，支持医联体内调动和分子医院内调动。</w:t>
            </w:r>
            <w:r/>
          </w:p>
          <w:p>
            <w:pPr>
              <w:numPr>
                <w:ilvl w:val="0"/>
                <w:numId w:val="30"/>
              </w:numPr>
              <w:ind w:firstLine="0"/>
              <w:jc w:val="left"/>
              <w:spacing w:before="120" w:after="120"/>
              <w:rPr>
                <w:rFonts w:ascii="宋体" w:hAnsi="宋体" w:eastAsia="宋体" w:cs="宋体"/>
                <w:sz w:val="22"/>
              </w:rPr>
            </w:pPr>
            <w:r>
              <w:rPr>
                <w:rFonts w:hint="eastAsia" w:ascii="宋体" w:hAnsi="宋体" w:eastAsia="宋体" w:cs="宋体"/>
                <w:sz w:val="22"/>
              </w:rPr>
              <w:t xml:space="preserve">支持人员离职的申请和审批，也可直接手工维护离职记录。</w:t>
            </w:r>
            <w:r/>
          </w:p>
          <w:p>
            <w:pPr>
              <w:numPr>
                <w:ilvl w:val="0"/>
                <w:numId w:val="30"/>
              </w:numPr>
              <w:ind w:firstLine="0"/>
              <w:jc w:val="left"/>
              <w:spacing w:before="120" w:after="120"/>
              <w:rPr>
                <w:rFonts w:ascii="宋体" w:hAnsi="宋体" w:eastAsia="宋体" w:cs="宋体"/>
                <w:sz w:val="22"/>
              </w:rPr>
            </w:pPr>
            <w:r>
              <w:rPr>
                <w:rFonts w:hint="eastAsia" w:ascii="宋体" w:hAnsi="宋体" w:eastAsia="宋体" w:cs="宋体"/>
                <w:sz w:val="22"/>
              </w:rPr>
              <w:t xml:space="preserve">支持各类人员调配记录的查询。</w:t>
            </w:r>
            <w:r/>
          </w:p>
          <w:p>
            <w:pPr>
              <w:numPr>
                <w:ilvl w:val="0"/>
                <w:numId w:val="30"/>
              </w:numPr>
              <w:ind w:firstLine="0"/>
              <w:jc w:val="left"/>
              <w:spacing w:before="120" w:after="120"/>
              <w:rPr>
                <w:rFonts w:ascii="宋体" w:hAnsi="宋体" w:eastAsia="宋体" w:cs="宋体"/>
                <w:sz w:val="22"/>
              </w:rPr>
            </w:pPr>
            <w:r>
              <w:rPr>
                <w:rFonts w:hint="eastAsia" w:ascii="宋体" w:hAnsi="宋体" w:eastAsia="宋体" w:cs="宋体"/>
                <w:sz w:val="22"/>
              </w:rPr>
              <w:t xml:space="preserve">支持各类科室调配记录的查询。</w:t>
            </w:r>
            <w:r/>
          </w:p>
          <w:p>
            <w:pPr>
              <w:numPr>
                <w:ilvl w:val="0"/>
                <w:numId w:val="30"/>
              </w:numPr>
              <w:ind w:firstLine="0"/>
              <w:jc w:val="left"/>
              <w:spacing w:before="120" w:after="120"/>
              <w:rPr>
                <w:rFonts w:ascii="宋体" w:hAnsi="宋体" w:eastAsia="宋体" w:cs="宋体"/>
                <w:sz w:val="22"/>
              </w:rPr>
            </w:pPr>
            <w:r>
              <w:rPr>
                <w:rFonts w:hint="eastAsia" w:ascii="宋体" w:hAnsi="宋体" w:eastAsia="宋体" w:cs="宋体"/>
                <w:sz w:val="22"/>
              </w:rPr>
              <w:t xml:space="preserve">支持对离职业务进行管理，在员工离职时，可同时进行工资停发、福利退保和劳动合同的解除/终止。</w:t>
            </w:r>
            <w:r/>
          </w:p>
          <w:p>
            <w:pPr>
              <w:numPr>
                <w:ilvl w:val="0"/>
                <w:numId w:val="30"/>
              </w:numPr>
              <w:ind w:firstLine="0"/>
              <w:jc w:val="left"/>
              <w:spacing w:before="120" w:after="120"/>
              <w:rPr>
                <w:rFonts w:ascii="宋体" w:hAnsi="宋体" w:eastAsia="宋体" w:cs="宋体"/>
                <w:sz w:val="22"/>
              </w:rPr>
            </w:pPr>
            <w:r>
              <w:rPr>
                <w:rFonts w:hint="eastAsia" w:ascii="宋体" w:hAnsi="宋体" w:eastAsia="宋体" w:cs="宋体"/>
                <w:sz w:val="22"/>
              </w:rPr>
              <w:t xml:space="preserve">支持人员变动后，考勤数据中体现对应日期人员考勤情况。</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薪酬管理</w:t>
            </w:r>
            <w:r/>
          </w:p>
        </w:tc>
        <w:tc>
          <w:tcPr>
            <w:shd w:val="clear" w:color="auto" w:fill="auto"/>
            <w:tcW w:w="4862" w:type="dxa"/>
            <w:textDirection w:val="lrTb"/>
            <w:noWrap w:val="false"/>
          </w:tcPr>
          <w:p>
            <w:pPr>
              <w:numPr>
                <w:ilvl w:val="0"/>
                <w:numId w:val="31"/>
              </w:numPr>
              <w:ind w:firstLine="0"/>
              <w:jc w:val="left"/>
              <w:spacing w:before="120" w:after="120"/>
              <w:rPr>
                <w:rFonts w:ascii="宋体" w:hAnsi="宋体" w:eastAsia="宋体" w:cs="宋体"/>
                <w:sz w:val="22"/>
              </w:rPr>
            </w:pPr>
            <w:r>
              <w:rPr>
                <w:rFonts w:hint="eastAsia" w:ascii="宋体" w:hAnsi="宋体" w:eastAsia="宋体" w:cs="宋体"/>
                <w:sz w:val="22"/>
              </w:rPr>
              <w:t xml:space="preserve">薪酬管理系统的主要内容包括薪资制度的定制、日常薪资业务处理、定调薪业务处理、薪资数据的查询分析等功能；</w:t>
            </w:r>
            <w:r/>
          </w:p>
          <w:p>
            <w:pPr>
              <w:numPr>
                <w:ilvl w:val="0"/>
                <w:numId w:val="31"/>
              </w:numPr>
              <w:ind w:firstLine="0"/>
              <w:jc w:val="left"/>
              <w:spacing w:before="120" w:after="120"/>
              <w:rPr>
                <w:rFonts w:ascii="宋体" w:hAnsi="宋体" w:eastAsia="宋体" w:cs="宋体"/>
                <w:sz w:val="22"/>
              </w:rPr>
            </w:pPr>
            <w:r>
              <w:rPr>
                <w:rFonts w:hint="eastAsia" w:ascii="宋体" w:hAnsi="宋体" w:eastAsia="宋体" w:cs="宋体"/>
                <w:sz w:val="22"/>
              </w:rPr>
              <w:t xml:space="preserve">系统不仅可以支持传统的岗位等级工资制，同时可以支持谈判工资、宽带薪酬及薪资普调；支持一个期间内的多次、分次发放；支持离职结薪处理；</w:t>
            </w:r>
            <w:r/>
          </w:p>
          <w:p>
            <w:pPr>
              <w:numPr>
                <w:ilvl w:val="0"/>
                <w:numId w:val="31"/>
              </w:numPr>
              <w:ind w:firstLine="0"/>
              <w:jc w:val="left"/>
              <w:spacing w:before="120" w:after="120"/>
              <w:rPr>
                <w:rFonts w:ascii="宋体" w:hAnsi="宋体" w:eastAsia="宋体" w:cs="宋体"/>
                <w:sz w:val="22"/>
              </w:rPr>
            </w:pPr>
            <w:r>
              <w:rPr>
                <w:rFonts w:hint="eastAsia" w:ascii="宋体" w:hAnsi="宋体" w:eastAsia="宋体" w:cs="宋体"/>
                <w:sz w:val="22"/>
              </w:rPr>
              <w:t xml:space="preserve">支持各类薪资报表查询。</w:t>
            </w:r>
            <w:r/>
          </w:p>
          <w:p>
            <w:pPr>
              <w:numPr>
                <w:ilvl w:val="0"/>
                <w:numId w:val="31"/>
              </w:numPr>
              <w:ind w:firstLine="0"/>
              <w:jc w:val="left"/>
              <w:spacing w:before="120" w:after="120"/>
              <w:rPr>
                <w:rFonts w:ascii="宋体" w:hAnsi="宋体" w:eastAsia="宋体" w:cs="宋体"/>
                <w:sz w:val="22"/>
              </w:rPr>
            </w:pPr>
            <w:r>
              <w:rPr>
                <w:rFonts w:hint="eastAsia" w:ascii="宋体" w:hAnsi="宋体" w:eastAsia="宋体" w:cs="宋体"/>
                <w:sz w:val="22"/>
              </w:rPr>
              <w:t xml:space="preserve">人员工资调整，根据人员聘任情况调整工资，每年调整薪级工资，支持个别调整和薪资普调两种薪资调整方式，支持谈判工资。</w:t>
            </w:r>
            <w:r/>
          </w:p>
          <w:p>
            <w:pPr>
              <w:numPr>
                <w:ilvl w:val="0"/>
                <w:numId w:val="31"/>
              </w:numPr>
              <w:ind w:firstLine="0"/>
              <w:jc w:val="left"/>
              <w:spacing w:before="120" w:after="120"/>
              <w:rPr>
                <w:rFonts w:ascii="宋体" w:hAnsi="宋体" w:eastAsia="宋体" w:cs="宋体"/>
                <w:sz w:val="22"/>
              </w:rPr>
            </w:pPr>
            <w:r>
              <w:rPr>
                <w:rFonts w:hint="eastAsia" w:ascii="宋体" w:hAnsi="宋体" w:eastAsia="宋体" w:cs="宋体"/>
                <w:sz w:val="22"/>
              </w:rPr>
              <w:t xml:space="preserve">多次发薪：对一个发薪期间内可能发生一次以上的发薪业务进行相应的处理并进行合并计税。</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个人信息</w:t>
            </w:r>
            <w:r/>
          </w:p>
          <w:p>
            <w:pPr>
              <w:jc w:val="center"/>
              <w:spacing w:before="120" w:after="120"/>
              <w:rPr>
                <w:rFonts w:ascii="宋体" w:hAnsi="宋体" w:eastAsia="宋体" w:cs="宋体"/>
                <w:sz w:val="22"/>
              </w:rPr>
            </w:pPr>
            <w:r>
              <w:rPr>
                <w:rFonts w:hint="eastAsia" w:ascii="宋体" w:hAnsi="宋体" w:eastAsia="宋体" w:cs="宋体"/>
                <w:sz w:val="22"/>
              </w:rPr>
              <w:t xml:space="preserve">查询</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支持个人工资条，个人信息管理，人员变动、假期管理的查询。</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资金管理</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账户管理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处理银行账户的开户、销户管理，支持开户（销户）单位进行银行账户的开户和销户的申请以及办理； 同时还可以处理内部账户的管理流程，用于资金组织对成员单位的内部账户进行管理。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现金管理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对资金流入流出的进行控制。支持应收款、应付款、费用报销、资金调度的结算、资金组织代理结算、票据业务引起的结算。现金管理还支持医院的银行到账通知、银行对账、空白票据、期末关结账、账户汇兑损益结转业务。</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结算平台</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为医院提供结算服务、支付服务、银行电子回单服务、支付退票服务、到账通知和银行对账管理，覆盖医院资金的收付结算全流程管理。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银医直联</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支持同银行进行电子支付、电子收款、电子银行对账、电子票据业务、银行票据池业务等操作的对外接口。通过灵活安全的配置，同时支持多家银行直联，实现安全便捷的网上电子支付。</w:t>
            </w:r>
            <w:r/>
          </w:p>
          <w:p>
            <w:pPr>
              <w:numPr>
                <w:ilvl w:val="0"/>
                <w:numId w:val="32"/>
              </w:numPr>
              <w:ind w:firstLine="0"/>
              <w:jc w:val="left"/>
              <w:spacing w:before="120" w:after="120"/>
              <w:rPr>
                <w:rFonts w:ascii="宋体" w:hAnsi="宋体" w:eastAsia="宋体" w:cs="宋体"/>
                <w:sz w:val="22"/>
              </w:rPr>
            </w:pPr>
            <w:r>
              <w:rPr>
                <w:rFonts w:hint="eastAsia" w:ascii="宋体" w:hAnsi="宋体" w:eastAsia="宋体" w:cs="宋体"/>
                <w:sz w:val="22"/>
              </w:rPr>
              <w:t xml:space="preserve">可以整合医院多个网上银行界面,系统和多家银行的无缝链接。</w:t>
            </w:r>
            <w:r/>
          </w:p>
          <w:p>
            <w:pPr>
              <w:numPr>
                <w:ilvl w:val="0"/>
                <w:numId w:val="32"/>
              </w:numPr>
              <w:ind w:firstLine="0"/>
              <w:jc w:val="left"/>
              <w:spacing w:before="120" w:after="120"/>
              <w:rPr>
                <w:rFonts w:ascii="宋体" w:hAnsi="宋体" w:eastAsia="宋体" w:cs="宋体"/>
                <w:sz w:val="22"/>
              </w:rPr>
            </w:pPr>
            <w:r>
              <w:rPr>
                <w:rFonts w:hint="eastAsia" w:ascii="宋体" w:hAnsi="宋体" w:eastAsia="宋体" w:cs="宋体"/>
                <w:sz w:val="22"/>
              </w:rPr>
              <w:t xml:space="preserve">支持多家银行往来账目综合统计分析。</w:t>
            </w:r>
            <w:r/>
          </w:p>
          <w:p>
            <w:pPr>
              <w:numPr>
                <w:ilvl w:val="0"/>
                <w:numId w:val="32"/>
              </w:numPr>
              <w:ind w:firstLine="0"/>
              <w:jc w:val="left"/>
              <w:spacing w:before="120" w:after="120"/>
              <w:rPr>
                <w:rFonts w:ascii="宋体" w:hAnsi="宋体" w:eastAsia="宋体" w:cs="宋体"/>
                <w:sz w:val="22"/>
              </w:rPr>
            </w:pPr>
            <w:r>
              <w:rPr>
                <w:rFonts w:hint="eastAsia" w:ascii="宋体" w:hAnsi="宋体" w:eastAsia="宋体" w:cs="宋体"/>
                <w:sz w:val="22"/>
              </w:rPr>
              <w:t xml:space="preserve">支持与应付、现金管理、资金结算紧密集成，支付确认信息自动同步至银行对账。</w:t>
            </w:r>
            <w:r/>
          </w:p>
          <w:p>
            <w:pPr>
              <w:numPr>
                <w:ilvl w:val="0"/>
                <w:numId w:val="32"/>
              </w:numPr>
              <w:ind w:firstLine="0"/>
              <w:jc w:val="left"/>
              <w:spacing w:before="120" w:after="120"/>
              <w:rPr>
                <w:rFonts w:ascii="宋体" w:hAnsi="宋体" w:eastAsia="宋体" w:cs="宋体"/>
                <w:sz w:val="22"/>
              </w:rPr>
            </w:pPr>
            <w:r>
              <w:rPr>
                <w:rFonts w:hint="eastAsia" w:ascii="宋体" w:hAnsi="宋体" w:eastAsia="宋体" w:cs="宋体"/>
                <w:sz w:val="22"/>
              </w:rPr>
              <w:t xml:space="preserve">支持结算支付命令状态监控、失败后重新提交。</w:t>
            </w:r>
            <w:r/>
          </w:p>
          <w:p>
            <w:pPr>
              <w:numPr>
                <w:ilvl w:val="0"/>
                <w:numId w:val="32"/>
              </w:numPr>
              <w:ind w:firstLine="0"/>
              <w:jc w:val="left"/>
              <w:spacing w:before="120" w:after="120"/>
              <w:rPr>
                <w:rFonts w:ascii="宋体" w:hAnsi="宋体" w:eastAsia="宋体" w:cs="宋体"/>
                <w:sz w:val="22"/>
              </w:rPr>
            </w:pPr>
            <w:r>
              <w:rPr>
                <w:rFonts w:hint="eastAsia" w:ascii="宋体" w:hAnsi="宋体" w:eastAsia="宋体" w:cs="宋体"/>
                <w:sz w:val="22"/>
              </w:rPr>
              <w:t xml:space="preserve">支持医院指定的服务器数字证书、医院网络访问控制及权限审批流配置，提供完整的网上银行安全支付方案，防止网银数据被窃听、防止信息被篡改及防止银行交易抵赖。</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银行对账</w:t>
            </w:r>
            <w:r/>
          </w:p>
        </w:tc>
        <w:tc>
          <w:tcPr>
            <w:shd w:val="clear" w:color="auto" w:fill="auto"/>
            <w:tcW w:w="4862" w:type="dxa"/>
            <w:textDirection w:val="lrTb"/>
            <w:noWrap w:val="false"/>
          </w:tcPr>
          <w:p>
            <w:pPr>
              <w:numPr>
                <w:ilvl w:val="0"/>
                <w:numId w:val="33"/>
              </w:numPr>
              <w:ind w:firstLine="0"/>
              <w:jc w:val="left"/>
              <w:spacing w:before="120" w:after="120"/>
              <w:rPr>
                <w:rFonts w:ascii="宋体" w:hAnsi="宋体" w:eastAsia="宋体" w:cs="宋体"/>
                <w:sz w:val="22"/>
              </w:rPr>
            </w:pPr>
            <w:r>
              <w:rPr>
                <w:rFonts w:hint="eastAsia" w:ascii="宋体" w:hAnsi="宋体" w:eastAsia="宋体" w:cs="宋体"/>
                <w:sz w:val="22"/>
              </w:rPr>
              <w:t xml:space="preserve">支持医院的多种结算方式、业务系统的收支结算数据需与实际银行、数据的实时对账，防止资金流动风险。</w:t>
            </w:r>
            <w:r/>
          </w:p>
          <w:p>
            <w:pPr>
              <w:numPr>
                <w:ilvl w:val="0"/>
                <w:numId w:val="33"/>
              </w:numPr>
              <w:ind w:firstLine="0"/>
              <w:jc w:val="left"/>
              <w:spacing w:before="120" w:after="120"/>
              <w:rPr>
                <w:rFonts w:ascii="宋体" w:hAnsi="宋体" w:eastAsia="宋体" w:cs="宋体"/>
                <w:sz w:val="22"/>
              </w:rPr>
            </w:pPr>
            <w:r>
              <w:rPr>
                <w:rFonts w:hint="eastAsia" w:ascii="宋体" w:hAnsi="宋体" w:eastAsia="宋体" w:cs="宋体"/>
                <w:sz w:val="22"/>
              </w:rPr>
              <w:t xml:space="preserve">提供自动对账和手工对账两种方式.</w:t>
            </w:r>
            <w:r/>
          </w:p>
          <w:p>
            <w:pPr>
              <w:numPr>
                <w:ilvl w:val="0"/>
                <w:numId w:val="33"/>
              </w:numPr>
              <w:ind w:firstLine="0"/>
              <w:jc w:val="left"/>
              <w:spacing w:before="120" w:after="120"/>
              <w:rPr>
                <w:rFonts w:ascii="宋体" w:hAnsi="宋体" w:eastAsia="宋体" w:cs="宋体"/>
                <w:sz w:val="22"/>
              </w:rPr>
            </w:pPr>
            <w:r>
              <w:rPr>
                <w:rFonts w:hint="eastAsia" w:ascii="宋体" w:hAnsi="宋体" w:eastAsia="宋体" w:cs="宋体"/>
                <w:sz w:val="22"/>
              </w:rPr>
              <w:t xml:space="preserve">支持付款单与银行交易明细对账：实现某时间付款单与银行返回的交易明细之间的对账功能。</w:t>
            </w:r>
            <w:r/>
          </w:p>
          <w:p>
            <w:pPr>
              <w:numPr>
                <w:ilvl w:val="0"/>
                <w:numId w:val="33"/>
              </w:numPr>
              <w:ind w:firstLine="0"/>
              <w:jc w:val="left"/>
              <w:spacing w:before="120" w:after="120"/>
              <w:rPr>
                <w:rFonts w:ascii="宋体" w:hAnsi="宋体" w:eastAsia="宋体" w:cs="宋体"/>
                <w:sz w:val="22"/>
              </w:rPr>
            </w:pPr>
            <w:r>
              <w:rPr>
                <w:rFonts w:hint="eastAsia" w:ascii="宋体" w:hAnsi="宋体" w:eastAsia="宋体" w:cs="宋体"/>
                <w:sz w:val="22"/>
              </w:rPr>
              <w:t xml:space="preserve">每月进行总账同银行核对，自动生成余额调节表和银行（医院）未达账项、对账结果表；</w:t>
            </w:r>
            <w:r/>
          </w:p>
          <w:p>
            <w:pPr>
              <w:numPr>
                <w:ilvl w:val="0"/>
                <w:numId w:val="33"/>
              </w:numPr>
              <w:ind w:firstLine="0"/>
              <w:jc w:val="left"/>
              <w:spacing w:before="120" w:after="120"/>
              <w:rPr>
                <w:rFonts w:ascii="宋体" w:hAnsi="宋体" w:eastAsia="宋体" w:cs="宋体"/>
                <w:sz w:val="22"/>
              </w:rPr>
            </w:pPr>
            <w:r>
              <w:rPr>
                <w:rFonts w:hint="eastAsia" w:ascii="宋体" w:hAnsi="宋体" w:eastAsia="宋体" w:cs="宋体"/>
                <w:sz w:val="22"/>
              </w:rPr>
              <w:t xml:space="preserve">支持自动下载和导入银行对账单；</w:t>
            </w:r>
            <w:r/>
          </w:p>
          <w:p>
            <w:pPr>
              <w:numPr>
                <w:ilvl w:val="0"/>
                <w:numId w:val="33"/>
              </w:numPr>
              <w:ind w:firstLine="0"/>
              <w:jc w:val="left"/>
              <w:spacing w:before="120" w:after="120"/>
              <w:rPr>
                <w:rFonts w:ascii="宋体" w:hAnsi="宋体" w:eastAsia="宋体" w:cs="宋体"/>
                <w:sz w:val="22"/>
              </w:rPr>
            </w:pPr>
            <w:r>
              <w:rPr>
                <w:rFonts w:hint="eastAsia" w:ascii="宋体" w:hAnsi="宋体" w:eastAsia="宋体" w:cs="宋体"/>
                <w:sz w:val="22"/>
              </w:rPr>
              <w:t xml:space="preserve">余额调节表要在系统中保留。</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Merge w:val="restart"/>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电子发票管理</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OCR 识别</w:t>
            </w:r>
            <w:r/>
          </w:p>
        </w:tc>
        <w:tc>
          <w:tcPr>
            <w:shd w:val="clear" w:color="auto" w:fill="auto"/>
            <w:tcW w:w="4862" w:type="dxa"/>
            <w:textDirection w:val="lrTb"/>
            <w:noWrap w:val="false"/>
          </w:tcPr>
          <w:p>
            <w:pPr>
              <w:numPr>
                <w:ilvl w:val="0"/>
                <w:numId w:val="34"/>
              </w:numPr>
              <w:ind w:firstLine="0"/>
              <w:jc w:val="left"/>
              <w:spacing w:before="120" w:after="120"/>
              <w:rPr>
                <w:rFonts w:ascii="宋体" w:hAnsi="宋体" w:eastAsia="宋体" w:cs="宋体"/>
                <w:sz w:val="22"/>
              </w:rPr>
            </w:pPr>
            <w:r>
              <w:rPr>
                <w:rFonts w:hint="eastAsia" w:ascii="宋体" w:hAnsi="宋体" w:eastAsia="宋体" w:cs="宋体"/>
                <w:sz w:val="22"/>
              </w:rPr>
              <w:t xml:space="preserve">支持多张票据一次拍照，自动分割为多条发票信息；</w:t>
            </w:r>
            <w:r/>
          </w:p>
          <w:p>
            <w:pPr>
              <w:numPr>
                <w:ilvl w:val="0"/>
                <w:numId w:val="34"/>
              </w:numPr>
              <w:ind w:firstLine="0"/>
              <w:jc w:val="left"/>
              <w:spacing w:before="120" w:after="120"/>
              <w:rPr>
                <w:rFonts w:ascii="宋体" w:hAnsi="宋体" w:eastAsia="宋体" w:cs="宋体"/>
                <w:sz w:val="22"/>
              </w:rPr>
            </w:pPr>
            <w:r>
              <w:rPr>
                <w:rFonts w:hint="eastAsia" w:ascii="宋体" w:hAnsi="宋体" w:eastAsia="宋体" w:cs="宋体"/>
                <w:sz w:val="22"/>
              </w:rPr>
              <w:t xml:space="preserve">支持识别后的数据自动形成结构化信息；</w:t>
            </w:r>
            <w:r/>
          </w:p>
          <w:p>
            <w:pPr>
              <w:numPr>
                <w:ilvl w:val="0"/>
                <w:numId w:val="34"/>
              </w:numPr>
              <w:ind w:firstLine="0"/>
              <w:jc w:val="left"/>
              <w:spacing w:before="120" w:after="120"/>
              <w:rPr>
                <w:rFonts w:ascii="宋体" w:hAnsi="宋体" w:eastAsia="宋体" w:cs="宋体"/>
                <w:sz w:val="22"/>
              </w:rPr>
            </w:pPr>
            <w:r>
              <w:rPr>
                <w:rFonts w:hint="eastAsia" w:ascii="宋体" w:hAnsi="宋体" w:eastAsia="宋体" w:cs="宋体"/>
                <w:sz w:val="22"/>
              </w:rPr>
              <w:t xml:space="preserve">每个用户都有个人票夹功能，且互不影响。</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发票管理</w:t>
            </w:r>
            <w:r/>
          </w:p>
        </w:tc>
        <w:tc>
          <w:tcPr>
            <w:shd w:val="clear" w:color="auto" w:fill="auto"/>
            <w:tcW w:w="4862" w:type="dxa"/>
            <w:textDirection w:val="lrTb"/>
            <w:noWrap w:val="false"/>
          </w:tcPr>
          <w:p>
            <w:pPr>
              <w:numPr>
                <w:ilvl w:val="0"/>
                <w:numId w:val="35"/>
              </w:numPr>
              <w:ind w:firstLine="0"/>
              <w:jc w:val="left"/>
              <w:spacing w:before="120" w:after="120"/>
              <w:rPr>
                <w:rFonts w:ascii="宋体" w:hAnsi="宋体" w:eastAsia="宋体" w:cs="宋体"/>
                <w:sz w:val="22"/>
              </w:rPr>
            </w:pPr>
            <w:r>
              <w:rPr>
                <w:rFonts w:hint="eastAsia" w:ascii="宋体" w:hAnsi="宋体" w:eastAsia="宋体" w:cs="宋体"/>
                <w:sz w:val="22"/>
              </w:rPr>
              <w:t xml:space="preserve">支持按事项进行归集，报销时可以通过事项筛选发票；</w:t>
            </w:r>
            <w:r/>
          </w:p>
          <w:p>
            <w:pPr>
              <w:numPr>
                <w:ilvl w:val="0"/>
                <w:numId w:val="35"/>
              </w:numPr>
              <w:ind w:firstLine="0"/>
              <w:jc w:val="left"/>
              <w:spacing w:before="120" w:after="120"/>
              <w:rPr>
                <w:rFonts w:ascii="宋体" w:hAnsi="宋体" w:eastAsia="宋体" w:cs="宋体"/>
                <w:sz w:val="22"/>
              </w:rPr>
            </w:pPr>
            <w:r>
              <w:rPr>
                <w:rFonts w:hint="eastAsia" w:ascii="宋体" w:hAnsi="宋体" w:eastAsia="宋体" w:cs="宋体"/>
                <w:sz w:val="22"/>
              </w:rPr>
              <w:t xml:space="preserve">支持在线修改上传的文件名；</w:t>
            </w:r>
            <w:r/>
          </w:p>
          <w:p>
            <w:pPr>
              <w:numPr>
                <w:ilvl w:val="0"/>
                <w:numId w:val="35"/>
              </w:numPr>
              <w:ind w:firstLine="0"/>
              <w:jc w:val="left"/>
              <w:spacing w:before="120" w:after="120"/>
              <w:rPr>
                <w:rFonts w:ascii="宋体" w:hAnsi="宋体" w:eastAsia="宋体" w:cs="宋体"/>
                <w:sz w:val="22"/>
              </w:rPr>
            </w:pPr>
            <w:r>
              <w:rPr>
                <w:rFonts w:hint="eastAsia" w:ascii="宋体" w:hAnsi="宋体" w:eastAsia="宋体" w:cs="宋体"/>
                <w:sz w:val="22"/>
              </w:rPr>
              <w:t xml:space="preserve">支持查询自己的历史报销记录。</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验真服务</w:t>
            </w:r>
            <w:r/>
          </w:p>
        </w:tc>
        <w:tc>
          <w:tcPr>
            <w:shd w:val="clear" w:color="auto" w:fill="auto"/>
            <w:tcW w:w="4862" w:type="dxa"/>
            <w:textDirection w:val="lrTb"/>
            <w:noWrap w:val="false"/>
          </w:tcPr>
          <w:p>
            <w:pPr>
              <w:numPr>
                <w:ilvl w:val="0"/>
                <w:numId w:val="36"/>
              </w:numPr>
              <w:ind w:firstLine="0"/>
              <w:jc w:val="left"/>
              <w:spacing w:before="120" w:after="120"/>
              <w:rPr>
                <w:rFonts w:ascii="宋体" w:hAnsi="宋体" w:eastAsia="宋体" w:cs="宋体"/>
                <w:sz w:val="22"/>
              </w:rPr>
            </w:pPr>
            <w:r>
              <w:rPr>
                <w:rFonts w:hint="eastAsia" w:ascii="宋体" w:hAnsi="宋体" w:eastAsia="宋体" w:cs="宋体"/>
                <w:sz w:val="22"/>
              </w:rPr>
              <w:t xml:space="preserve">支持财务面临的大量电子化票据，要同时支持查重与验真；</w:t>
            </w:r>
            <w:r/>
          </w:p>
          <w:p>
            <w:pPr>
              <w:numPr>
                <w:ilvl w:val="0"/>
                <w:numId w:val="36"/>
              </w:numPr>
              <w:ind w:firstLine="0"/>
              <w:jc w:val="left"/>
              <w:spacing w:before="120" w:after="120"/>
              <w:rPr>
                <w:rFonts w:ascii="宋体" w:hAnsi="宋体" w:eastAsia="宋体" w:cs="宋体"/>
                <w:sz w:val="22"/>
              </w:rPr>
            </w:pPr>
            <w:r>
              <w:rPr>
                <w:rFonts w:hint="eastAsia" w:ascii="宋体" w:hAnsi="宋体" w:eastAsia="宋体" w:cs="宋体"/>
                <w:sz w:val="22"/>
              </w:rPr>
              <w:t xml:space="preserve">自动连接到国税总局查验平台，保证验真结果的准确性、严谨性。</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便捷报销</w:t>
            </w:r>
            <w:r/>
          </w:p>
        </w:tc>
        <w:tc>
          <w:tcPr>
            <w:shd w:val="clear" w:color="auto" w:fill="auto"/>
            <w:tcW w:w="4862" w:type="dxa"/>
            <w:textDirection w:val="lrTb"/>
            <w:noWrap w:val="false"/>
          </w:tcPr>
          <w:p>
            <w:pPr>
              <w:numPr>
                <w:ilvl w:val="0"/>
                <w:numId w:val="37"/>
              </w:numPr>
              <w:ind w:firstLine="0"/>
              <w:jc w:val="left"/>
              <w:spacing w:before="120" w:after="120"/>
              <w:rPr>
                <w:rFonts w:ascii="宋体" w:hAnsi="宋体" w:eastAsia="宋体" w:cs="宋体"/>
                <w:sz w:val="22"/>
              </w:rPr>
            </w:pPr>
            <w:r>
              <w:rPr>
                <w:rFonts w:hint="eastAsia" w:ascii="宋体" w:hAnsi="宋体" w:eastAsia="宋体" w:cs="宋体"/>
                <w:sz w:val="22"/>
              </w:rPr>
              <w:t xml:space="preserve">支持一键批量选择要报销的发票带入报销单据；</w:t>
            </w:r>
            <w:r/>
          </w:p>
          <w:p>
            <w:pPr>
              <w:numPr>
                <w:ilvl w:val="0"/>
                <w:numId w:val="37"/>
              </w:numPr>
              <w:ind w:firstLine="0"/>
              <w:jc w:val="left"/>
              <w:spacing w:before="120" w:after="120"/>
              <w:rPr>
                <w:rFonts w:ascii="宋体" w:hAnsi="宋体" w:eastAsia="宋体" w:cs="宋体"/>
                <w:sz w:val="22"/>
              </w:rPr>
            </w:pPr>
            <w:r>
              <w:rPr>
                <w:rFonts w:hint="eastAsia" w:ascii="宋体" w:hAnsi="宋体" w:eastAsia="宋体" w:cs="宋体"/>
                <w:sz w:val="22"/>
              </w:rPr>
              <w:t xml:space="preserve">支持发票的转移、拆分。</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vAlign w:val="center"/>
            <w:vMerge w:val="continue"/>
            <w:textDirection w:val="lrTb"/>
            <w:noWrap/>
          </w:tcPr>
          <w:p>
            <w:pPr>
              <w:jc w:val="left"/>
              <w:rPr>
                <w:rFonts w:ascii="宋体" w:hAnsi="宋体" w:cs="宋体"/>
                <w:sz w:val="22"/>
              </w:rPr>
            </w:pPr>
            <w:r>
              <w:rPr>
                <w:rFonts w:ascii="宋体" w:hAnsi="宋体" w:cs="宋体"/>
                <w:sz w:val="22"/>
              </w:rPr>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报销系统集成</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支持集成到协同办公平台，为员工设置一个快捷报销、发票查询栏目入口。</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接口管理</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接口管理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实现与江苏省财政一体化平台标准对接，完成数据上报、业务交互。</w:t>
            </w:r>
            <w:r/>
          </w:p>
        </w:tc>
      </w:tr>
      <w:tr>
        <w:trPr>
          <w:jc w:val="center"/>
        </w:trPr>
        <w:tc>
          <w:tcPr>
            <w:shd w:val="clear" w:color="auto" w:fill="auto"/>
            <w:tcW w:w="1716" w:type="dxa"/>
            <w:vAlign w:val="center"/>
            <w:vMerge w:val="continue"/>
            <w:textDirection w:val="lrTb"/>
            <w:noWrap/>
          </w:tcPr>
          <w:p>
            <w:pPr>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W w:w="1122" w:type="dxa"/>
            <w:textDirection w:val="lrTb"/>
            <w:noWrap/>
          </w:tcPr>
          <w:p>
            <w:pPr>
              <w:jc w:val="center"/>
              <w:spacing w:before="120" w:after="120"/>
              <w:rPr>
                <w:rFonts w:ascii="宋体" w:hAnsi="宋体" w:eastAsia="宋体" w:cs="宋体"/>
                <w:sz w:val="22"/>
              </w:rPr>
            </w:pPr>
            <w:r>
              <w:rPr>
                <w:rFonts w:hint="eastAsia" w:ascii="宋体" w:hAnsi="宋体" w:eastAsia="宋体" w:cs="宋体"/>
                <w:sz w:val="22"/>
              </w:rPr>
              <w:t xml:space="preserve">多院区管理</w:t>
            </w:r>
            <w:r/>
          </w:p>
        </w:tc>
        <w:tc>
          <w:tcPr>
            <w:shd w:val="clear" w:color="auto" w:fill="auto"/>
            <w:tcW w:w="1173" w:type="dxa"/>
            <w:textDirection w:val="lrTb"/>
            <w:noWrap w:val="false"/>
          </w:tcPr>
          <w:p>
            <w:pPr>
              <w:jc w:val="center"/>
              <w:spacing w:before="120" w:after="120"/>
              <w:rPr>
                <w:rFonts w:ascii="宋体" w:hAnsi="宋体" w:eastAsia="宋体" w:cs="宋体"/>
                <w:sz w:val="22"/>
              </w:rPr>
            </w:pPr>
            <w:r>
              <w:rPr>
                <w:rFonts w:hint="eastAsia" w:ascii="宋体" w:hAnsi="宋体" w:eastAsia="宋体" w:cs="宋体"/>
                <w:sz w:val="22"/>
              </w:rPr>
              <w:t xml:space="preserve">多院区管理</w:t>
            </w:r>
            <w:r/>
          </w:p>
        </w:tc>
        <w:tc>
          <w:tcPr>
            <w:shd w:val="clear" w:color="auto" w:fill="auto"/>
            <w:tcW w:w="4862" w:type="dxa"/>
            <w:textDirection w:val="lrTb"/>
            <w:noWrap w:val="false"/>
          </w:tcPr>
          <w:p>
            <w:pPr>
              <w:jc w:val="left"/>
              <w:spacing w:before="120" w:after="120"/>
              <w:rPr>
                <w:rFonts w:ascii="宋体" w:hAnsi="宋体" w:eastAsia="宋体" w:cs="宋体"/>
                <w:sz w:val="22"/>
              </w:rPr>
            </w:pPr>
            <w:r>
              <w:rPr>
                <w:rFonts w:hint="eastAsia" w:ascii="宋体" w:hAnsi="宋体" w:eastAsia="宋体" w:cs="宋体"/>
                <w:sz w:val="22"/>
              </w:rPr>
              <w:t xml:space="preserve">平台满足在总院统一部署，实现多组织兼容管理模式，既能满足分院内部独立管理要求，也可根据总院后续规划，直接在现有系统上通过调整实现跨组织合并、汇总、审批的需求，能够支撑院内后续运营管理的要求。</w:t>
            </w:r>
            <w:r/>
          </w:p>
        </w:tc>
      </w:tr>
    </w:tbl>
    <w:p>
      <w:pPr>
        <w:pStyle w:val="742"/>
        <w:ind w:left="0" w:firstLine="0"/>
        <w:rPr>
          <w:rFonts w:ascii="宋体" w:hAnsi="宋体" w:cs="Times New Roman"/>
          <w:sz w:val="24"/>
          <w:szCs w:val="24"/>
        </w:rPr>
      </w:pPr>
      <w:r>
        <w:rPr>
          <w:rFonts w:ascii="宋体" w:hAnsi="宋体" w:cs="Times New Roman"/>
          <w:sz w:val="24"/>
          <w:szCs w:val="24"/>
        </w:rPr>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pPr>
      <w:r>
        <w:rPr>
          <w:rFonts w:hint="eastAsia" w:ascii="宋体" w:hAnsi="宋体" w:eastAsia="宋体" w:cs="宋体"/>
          <w:sz w:val="24"/>
          <w:szCs w:val="28"/>
        </w:rPr>
        <w:t xml:space="preserve">本项目组成员不低于6名，包括项目负责人1名，技术负责人1名，</w:t>
      </w:r>
      <w:r>
        <w:rPr>
          <w:rFonts w:hint="eastAsia" w:ascii="宋体" w:hAnsi="宋体" w:eastAsia="宋体" w:cs="宋体"/>
          <w:sz w:val="24"/>
          <w:szCs w:val="24"/>
        </w:rPr>
        <w:t xml:space="preserve">组员不少于4人。结合项目实际情况及实施计划，项目组可分批次入场，人员数量根据项目实际进度进行调整。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1.项目负责人（1名）：负责本项目组织实施与现场统筹协调，应同时具备以下能力：①扎实的电子信息（信息技术）专业技术功底；②系统的项目管理知识与</w:t>
      </w:r>
      <w:r>
        <w:rPr>
          <w:rFonts w:hint="eastAsia" w:ascii="宋体" w:hAnsi="宋体" w:eastAsia="宋体" w:cs="宋体"/>
          <w:sz w:val="24"/>
          <w:szCs w:val="24"/>
          <w:lang w:val="en-US" w:eastAsia="zh-CN"/>
        </w:rPr>
        <w:t xml:space="preserve">信息安全</w:t>
      </w:r>
      <w:r>
        <w:rPr>
          <w:rFonts w:hint="eastAsia" w:ascii="宋体" w:hAnsi="宋体" w:eastAsia="宋体" w:cs="宋体"/>
          <w:sz w:val="24"/>
          <w:szCs w:val="24"/>
        </w:rPr>
        <w:t xml:space="preserve">、进度、质量、成本、风险</w:t>
      </w:r>
      <w:r>
        <w:rPr>
          <w:rFonts w:hint="eastAsia" w:ascii="宋体" w:hAnsi="宋体" w:eastAsia="宋体" w:cs="宋体"/>
          <w:sz w:val="24"/>
          <w:szCs w:val="24"/>
          <w:lang w:val="en-US" w:eastAsia="zh-CN"/>
        </w:rPr>
        <w:t xml:space="preserve">控制、网络安全等</w:t>
      </w:r>
      <w:r>
        <w:rPr>
          <w:rFonts w:hint="eastAsia" w:ascii="宋体" w:hAnsi="宋体" w:eastAsia="宋体" w:cs="宋体"/>
          <w:sz w:val="24"/>
          <w:szCs w:val="24"/>
        </w:rPr>
        <w:t xml:space="preserve">全过程管理能力；③信息系统规划与IT服务规划、管理能力；④按ITSS标准组织实施IT服务项目、开展服务交付与质量管理的能力。并对项目实施过程中的数据安全与保密管理负责。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技术负责人（1名）：负责技术方案编制与落地，主持系统安装部署、集成联调、培训、测试与试运行，应同时具备以下能力：①大型信息系统项目全过程管理与技术统筹能力；②系统总体架构设计、技术选型、系统集成与性能优化能力；③IT服务交付、运行维护及事件与问题处理能力。④具备信息安全与数据安全防护能力，确保系统建设与运行满足采购人的信息安全管理要求。</w:t>
      </w:r>
      <w:r/>
    </w:p>
    <w:p>
      <w:pPr>
        <w:ind w:firstLine="480"/>
        <w:spacing w:line="360" w:lineRule="auto"/>
        <w:rPr>
          <w:lang w:val="zh-CN"/>
        </w:rPr>
      </w:pPr>
      <w:r>
        <w:rPr>
          <w:rFonts w:hint="eastAsia" w:ascii="宋体" w:hAnsi="宋体" w:eastAsia="宋体" w:cs="宋体"/>
          <w:sz w:val="24"/>
          <w:szCs w:val="24"/>
        </w:rPr>
        <w:t xml:space="preserve">3.项目组其他成员：应分别具备信息系统实施与配置、数据采集迁移与治理分析、报表开发、系统测试、</w:t>
      </w:r>
      <w:r>
        <w:rPr>
          <w:rFonts w:hint="eastAsia" w:ascii="宋体" w:hAnsi="宋体" w:eastAsia="宋体" w:cs="宋体"/>
          <w:sz w:val="24"/>
          <w:szCs w:val="24"/>
          <w:lang w:val="en-US" w:eastAsia="zh-CN"/>
        </w:rPr>
        <w:t xml:space="preserve">软件测评、</w:t>
      </w:r>
      <w:r>
        <w:rPr>
          <w:rFonts w:hint="eastAsia" w:ascii="宋体" w:hAnsi="宋体" w:eastAsia="宋体" w:cs="宋体"/>
          <w:sz w:val="24"/>
          <w:szCs w:val="24"/>
        </w:rPr>
        <w:t xml:space="preserve">用户培训与技术支持等专业能力；其中，具备信息安全与数据安全防护能力、能够承担系统安全配置与安全管理的不少于1人，具备网络与基础设施规划部署及IT服务交付运维能力的不少于1人。</w:t>
      </w:r>
      <w:r/>
    </w:p>
    <w:p>
      <w:pPr>
        <w:ind w:firstLine="562"/>
        <w:jc w:val="left"/>
        <w:spacing w:line="360" w:lineRule="auto"/>
        <w:rPr>
          <w:rFonts w:eastAsia="宋体"/>
        </w:rPr>
      </w:pPr>
      <w:r>
        <w:rPr>
          <w:rFonts w:hint="eastAsia" w:ascii="Times New Roman" w:hAnsi="Times New Roman" w:eastAsia="宋体" w:cs="Times New Roman"/>
          <w:b/>
          <w:sz w:val="28"/>
          <w:szCs w:val="28"/>
        </w:rPr>
        <w:t xml:space="preserve">四、服务期限与进度安排</w:t>
      </w:r>
      <w:r/>
    </w:p>
    <w:p>
      <w:pPr>
        <w:pStyle w:val="717"/>
        <w:ind w:firstLine="480"/>
        <w:rPr>
          <w:rFonts w:ascii="宋体" w:hAnsi="宋体" w:eastAsia="宋体" w:cs="Times New Roman"/>
          <w:sz w:val="24"/>
          <w:szCs w:val="24"/>
        </w:rPr>
      </w:pPr>
      <w:r>
        <w:rPr>
          <w:rFonts w:hint="eastAsia" w:asciiTheme="minorEastAsia" w:hAnsiTheme="minorEastAsia"/>
          <w:sz w:val="24"/>
        </w:rPr>
        <w:t xml:space="preserve">1、服务期限：</w:t>
      </w:r>
      <w:r>
        <w:rPr>
          <w:rFonts w:hint="eastAsia"/>
          <w:sz w:val="24"/>
        </w:rPr>
        <w:t xml:space="preserve">自合同签订之日起，12个月内完成系统建设并上线试运行，试运行周期1个月；自项目最终验收合格之日起提供2年质保服务。</w:t>
      </w:r>
      <w:r/>
    </w:p>
    <w:p>
      <w:pPr>
        <w:ind w:firstLine="480"/>
        <w:jc w:val="left"/>
        <w:spacing w:line="360" w:lineRule="auto"/>
      </w:pPr>
      <w:r>
        <w:rPr>
          <w:rFonts w:hint="eastAsia" w:ascii="宋体" w:hAnsi="宋体" w:eastAsia="宋体" w:cs="Times New Roman"/>
          <w:sz w:val="24"/>
          <w:szCs w:val="24"/>
        </w:rPr>
        <w:t xml:space="preserve">2、项目进度安排：</w:t>
      </w:r>
      <w:r>
        <w:rPr>
          <w:rFonts w:ascii="宋体" w:hAnsi="宋体" w:eastAsia="宋体" w:cs="宋体"/>
          <w:sz w:val="24"/>
          <w:szCs w:val="24"/>
        </w:rPr>
        <w:t xml:space="preserve">本项目自合同签订后启动实施，</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需在合同签订之日起</w:t>
      </w:r>
      <w:r>
        <w:rPr>
          <w:rFonts w:hint="eastAsia" w:ascii="宋体" w:hAnsi="宋体" w:eastAsia="宋体" w:cs="宋体"/>
          <w:sz w:val="24"/>
          <w:szCs w:val="24"/>
        </w:rPr>
        <w:t xml:space="preserve">12</w:t>
      </w:r>
      <w:r>
        <w:rPr>
          <w:rFonts w:ascii="宋体" w:hAnsi="宋体" w:eastAsia="宋体" w:cs="宋体"/>
          <w:sz w:val="24"/>
          <w:szCs w:val="24"/>
        </w:rPr>
        <w:t xml:space="preserve">个月内完成全部系统建设并上线，随后开展为期1个月的试运行；试运行结束后组织项目最终验收，自项目最终验收合格之日起，</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提供2年质保服务。</w:t>
      </w:r>
      <w:r/>
    </w:p>
    <w:p>
      <w:pPr>
        <w:ind w:firstLine="562"/>
        <w:jc w:val="left"/>
        <w:spacing w:line="360" w:lineRule="auto"/>
      </w:pPr>
      <w:r>
        <w:rPr>
          <w:rFonts w:hint="eastAsia" w:ascii="Times New Roman" w:hAnsi="Times New Roman" w:eastAsia="宋体" w:cs="Times New Roman"/>
          <w:b/>
          <w:sz w:val="28"/>
          <w:szCs w:val="28"/>
        </w:rPr>
        <w:t xml:space="preserve">五、服务标准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本项目为软件和信息技术服务类项目，采购标的应当符合国家、行业、地方相关标准、规范以及上级主管部门的规范性要求，包括但不限于：</w:t>
      </w:r>
      <w:r/>
    </w:p>
    <w:p>
      <w:pPr>
        <w:ind w:firstLine="480"/>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网络安全技术 </w:t>
      </w:r>
      <w:r>
        <w:rPr>
          <w:rFonts w:hint="eastAsia" w:ascii="宋体" w:hAnsi="宋体" w:eastAsia="宋体" w:cs="宋体"/>
          <w:sz w:val="24"/>
        </w:rPr>
        <w:t xml:space="preserve">信息安全管理体系</w:t>
      </w:r>
      <w:r>
        <w:rPr>
          <w:rFonts w:hint="eastAsia" w:ascii="宋体" w:hAnsi="宋体" w:eastAsia="宋体" w:cs="宋体"/>
          <w:sz w:val="24"/>
          <w:lang w:val="en-US" w:eastAsia="zh-CN"/>
        </w:rPr>
        <w:t xml:space="preserve"> </w:t>
      </w:r>
      <w:r>
        <w:rPr>
          <w:rFonts w:hint="eastAsia" w:ascii="宋体" w:hAnsi="宋体" w:eastAsia="宋体" w:cs="宋体"/>
          <w:sz w:val="24"/>
        </w:rPr>
        <w:t xml:space="preserve">要求》（GB/T 22080-20</w:t>
      </w:r>
      <w:r>
        <w:rPr>
          <w:rFonts w:hint="eastAsia" w:ascii="宋体" w:hAnsi="宋体" w:eastAsia="宋体" w:cs="宋体"/>
          <w:sz w:val="24"/>
          <w:lang w:val="en-US" w:eastAsia="zh-CN"/>
        </w:rPr>
        <w:t xml:space="preserve">25</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2、《信息安全技术</w:t>
      </w:r>
      <w:r>
        <w:rPr>
          <w:rFonts w:hint="eastAsia" w:ascii="宋体" w:hAnsi="宋体" w:eastAsia="宋体" w:cs="宋体"/>
          <w:sz w:val="24"/>
          <w:lang w:val="en-US" w:eastAsia="zh-CN"/>
        </w:rPr>
        <w:t xml:space="preserve"> </w:t>
      </w:r>
      <w:r>
        <w:rPr>
          <w:rFonts w:hint="eastAsia" w:ascii="宋体" w:hAnsi="宋体" w:eastAsia="宋体" w:cs="宋体"/>
          <w:sz w:val="24"/>
        </w:rPr>
        <w:t xml:space="preserve">办公信息系统安全管理要求》（GB/T 37094-2018）；</w:t>
      </w:r>
      <w:r/>
    </w:p>
    <w:p>
      <w:pPr>
        <w:ind w:firstLine="480"/>
        <w:spacing w:line="360" w:lineRule="auto"/>
        <w:rPr>
          <w:rFonts w:ascii="宋体" w:hAnsi="宋体" w:eastAsia="宋体" w:cs="宋体"/>
          <w:sz w:val="24"/>
        </w:rPr>
      </w:pPr>
      <w:r>
        <w:rPr>
          <w:rFonts w:hint="eastAsia" w:ascii="宋体" w:hAnsi="宋体" w:eastAsia="宋体" w:cs="宋体"/>
          <w:sz w:val="24"/>
        </w:rPr>
        <w:t xml:space="preserve">3、《信息安全技术</w:t>
      </w:r>
      <w:r>
        <w:rPr>
          <w:rFonts w:hint="eastAsia" w:ascii="宋体" w:hAnsi="宋体" w:eastAsia="宋体" w:cs="宋体"/>
          <w:sz w:val="24"/>
          <w:lang w:val="en-US" w:eastAsia="zh-CN"/>
        </w:rPr>
        <w:t xml:space="preserve"> </w:t>
      </w:r>
      <w:r>
        <w:rPr>
          <w:rFonts w:hint="eastAsia" w:ascii="宋体" w:hAnsi="宋体" w:eastAsia="宋体" w:cs="宋体"/>
          <w:sz w:val="24"/>
        </w:rPr>
        <w:t xml:space="preserve">电子政务移动办公系统安全技术规范》（GB/T 35282-2023）；</w:t>
      </w:r>
      <w:r/>
    </w:p>
    <w:p>
      <w:pPr>
        <w:ind w:firstLine="480"/>
        <w:spacing w:line="360" w:lineRule="auto"/>
        <w:rPr>
          <w:rFonts w:ascii="宋体" w:hAnsi="宋体" w:eastAsia="宋体" w:cs="宋体"/>
          <w:sz w:val="24"/>
        </w:rPr>
      </w:pPr>
      <w:r>
        <w:rPr>
          <w:rFonts w:hint="eastAsia" w:ascii="宋体" w:hAnsi="宋体" w:eastAsia="宋体" w:cs="宋体"/>
          <w:sz w:val="24"/>
        </w:rPr>
        <w:t xml:space="preserve">4、《信息技术服务</w:t>
      </w:r>
      <w:r>
        <w:rPr>
          <w:rFonts w:hint="eastAsia" w:ascii="宋体" w:hAnsi="宋体" w:eastAsia="宋体" w:cs="宋体"/>
          <w:sz w:val="24"/>
          <w:lang w:val="en-US" w:eastAsia="zh-CN"/>
        </w:rPr>
        <w:t xml:space="preserve"> </w:t>
      </w:r>
      <w:r>
        <w:rPr>
          <w:rFonts w:hint="eastAsia" w:ascii="宋体" w:hAnsi="宋体" w:eastAsia="宋体" w:cs="宋体"/>
          <w:sz w:val="24"/>
        </w:rPr>
        <w:t xml:space="preserve">运行维护</w:t>
      </w:r>
      <w:r>
        <w:rPr>
          <w:rFonts w:hint="eastAsia" w:ascii="宋体" w:hAnsi="宋体" w:eastAsia="宋体" w:cs="宋体"/>
          <w:sz w:val="24"/>
          <w:lang w:val="en-US" w:eastAsia="zh-CN"/>
        </w:rPr>
        <w:t xml:space="preserve"> 第1部分</w:t>
      </w:r>
      <w:r>
        <w:rPr>
          <w:rFonts w:hint="eastAsia" w:ascii="宋体" w:hAnsi="宋体" w:eastAsia="宋体" w:cs="宋体"/>
          <w:sz w:val="24"/>
        </w:rPr>
        <w:t xml:space="preserve">》（GB/T28827.1</w:t>
      </w:r>
      <w:r>
        <w:rPr>
          <w:rFonts w:hint="eastAsia" w:ascii="宋体" w:hAnsi="宋体" w:eastAsia="宋体" w:cs="宋体"/>
          <w:sz w:val="24"/>
          <w:lang w:val="en-US" w:eastAsia="zh-CN"/>
        </w:rPr>
        <w:t xml:space="preserve">-2022</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5、《中华人民共和国计算机信息系统安全保护条例》（国务院147号令）。</w:t>
      </w:r>
      <w:r/>
    </w:p>
    <w:p>
      <w:pPr>
        <w:ind w:firstLine="480"/>
        <w:spacing w:line="360" w:lineRule="auto"/>
        <w:rPr>
          <w:rFonts w:ascii="宋体" w:hAnsi="宋体" w:eastAsia="宋体" w:cs="宋体"/>
          <w:sz w:val="24"/>
        </w:rPr>
      </w:pPr>
      <w:r>
        <w:rPr>
          <w:rFonts w:hint="eastAsia" w:ascii="宋体" w:hAnsi="宋体" w:cs="宋体"/>
          <w:sz w:val="24"/>
        </w:rPr>
        <w:t xml:space="preserve">上述标准为一般性要求，如有最新要求，按最新标准执行。</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六、验收要求</w:t>
      </w:r>
      <w:r/>
    </w:p>
    <w:p>
      <w:pPr>
        <w:pStyle w:val="717"/>
        <w:ind w:firstLine="480"/>
        <w:rPr>
          <w:rFonts w:ascii="宋体" w:hAnsi="宋体"/>
          <w:sz w:val="24"/>
        </w:rPr>
      </w:pPr>
      <w:r>
        <w:rPr>
          <w:rFonts w:hint="eastAsia" w:ascii="宋体" w:hAnsi="宋体"/>
          <w:sz w:val="24"/>
        </w:rPr>
        <w:t xml:space="preserve">本项目为服务类项目，中标人应负责完成系统的安装部署、参数配置、调试、数据迁移与初始化、操作培训等工作，并配合采购人完成与院内HIS、财务、人事、医保等系统的接口对接与联调，直至各项服务内容达到招标文件、投标文件及采购合同约定的功能、性能和服务标准，采购人方组织验收。验收时采购人、中标人等项目相关方均须在现场。</w:t>
      </w:r>
      <w:r/>
    </w:p>
    <w:p>
      <w:pPr>
        <w:ind w:firstLine="480"/>
        <w:jc w:val="left"/>
        <w:spacing w:line="360" w:lineRule="auto"/>
        <w:rPr>
          <w:sz w:val="24"/>
          <w:szCs w:val="24"/>
        </w:rPr>
      </w:pPr>
      <w:r>
        <w:rPr>
          <w:rFonts w:hint="eastAsia" w:ascii="宋体" w:hAnsi="宋体"/>
          <w:sz w:val="24"/>
        </w:rPr>
        <w:t xml:space="preserve">系统完成上线后开展为期</w:t>
      </w:r>
      <w:r>
        <w:rPr>
          <w:rFonts w:hint="eastAsia" w:ascii="宋体" w:hAnsi="宋体"/>
          <w:sz w:val="24"/>
          <w:lang w:val="en-US" w:eastAsia="zh-CN"/>
        </w:rPr>
        <w:t xml:space="preserve">1个月</w:t>
      </w:r>
      <w:r>
        <w:rPr>
          <w:rFonts w:hint="eastAsia" w:ascii="宋体" w:hAnsi="宋体"/>
          <w:sz w:val="24"/>
        </w:rPr>
        <w:t xml:space="preserve">试运行，试运行合格后，采购人将组织相关行业专家进行项目最终验收。按照国家或行业相关标准，对招标文件、投标文件、采购合同中的系统功能、性能、指标的履约情况进行验收确认。验收结束后，出具验收书，列明各项标准的验收情况及项目总体评价，由验收双方共同签署</w:t>
      </w:r>
      <w:r>
        <w:rPr>
          <w:rFonts w:hint="eastAsia" w:ascii="宋体" w:hAnsi="宋体" w:cs="Calibri"/>
          <w:sz w:val="24"/>
          <w:szCs w:val="21"/>
        </w:rPr>
        <w:t xml:space="preserve">。</w:t>
      </w:r>
      <w:r/>
    </w:p>
    <w:p>
      <w:pPr>
        <w:pStyle w:val="717"/>
        <w:ind w:firstLine="480"/>
        <w:rPr>
          <w:rFonts w:ascii="宋体" w:hAnsi="宋体"/>
          <w:sz w:val="24"/>
          <w:lang w:val="zh-CN"/>
        </w:rPr>
      </w:pPr>
      <w:r>
        <w:rPr>
          <w:rFonts w:hint="eastAsia" w:ascii="宋体" w:hAnsi="宋体" w:cs="宋体"/>
          <w:sz w:val="24"/>
        </w:rPr>
        <w:t xml:space="preserve">验收不合格的，中标人应当在采购人要求的期限内完成整改并重新提请验收，整改期间发生的全部费用由中标人承担；因整改导致项目延期的，按采购合同有关约定承担相应违约责任。</w:t>
      </w:r>
      <w:r/>
    </w:p>
    <w:p>
      <w:pPr>
        <w:ind w:firstLine="562"/>
        <w:spacing w:line="360" w:lineRule="auto"/>
        <w:rPr>
          <w:sz w:val="24"/>
        </w:rPr>
      </w:pPr>
      <w:r>
        <w:rPr>
          <w:rFonts w:hint="eastAsia" w:ascii="Times New Roman" w:hAnsi="Times New Roman"/>
          <w:b/>
          <w:sz w:val="28"/>
          <w:szCs w:val="28"/>
        </w:rPr>
        <w:t xml:space="preserve">七、售后服务要求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1、质保期：自项目验收合格之日起</w:t>
      </w:r>
      <w:r>
        <w:rPr>
          <w:rFonts w:hint="eastAsia" w:ascii="宋体" w:hAnsi="宋体" w:eastAsia="宋体" w:cs="宋体"/>
          <w:sz w:val="24"/>
          <w:lang w:val="en-US" w:eastAsia="zh-CN"/>
        </w:rPr>
        <w:t xml:space="preserve">2</w:t>
      </w:r>
      <w:r>
        <w:rPr>
          <w:rFonts w:hint="eastAsia" w:ascii="宋体" w:hAnsi="宋体" w:eastAsia="宋体" w:cs="宋体"/>
          <w:sz w:val="24"/>
        </w:rPr>
        <w:t xml:space="preserve">年。质保期内中标人应提供系统故障处理、缺陷修复、版本升级及技术支持服务，相关费用包含在预算内。</w:t>
      </w:r>
      <w:r/>
    </w:p>
    <w:p>
      <w:pPr>
        <w:ind w:firstLine="480"/>
        <w:spacing w:line="360" w:lineRule="auto"/>
      </w:pPr>
      <w:r>
        <w:rPr>
          <w:rFonts w:hint="eastAsia" w:ascii="宋体" w:hAnsi="宋体" w:eastAsia="宋体" w:cs="宋体"/>
          <w:sz w:val="24"/>
        </w:rPr>
        <w:t xml:space="preserve">2、服务方式：提供电话支持、网络远程支持与现场服务相结合的售后服务，提供7×24小时服务热线。</w:t>
      </w:r>
      <w:r/>
    </w:p>
    <w:p>
      <w:pPr>
        <w:ind w:firstLine="480"/>
        <w:spacing w:line="360" w:lineRule="auto"/>
        <w:rPr>
          <w:rFonts w:eastAsia="宋体"/>
        </w:rPr>
      </w:pPr>
      <w:r>
        <w:rPr>
          <w:rFonts w:hint="eastAsia" w:ascii="宋体" w:hAnsi="宋体" w:eastAsia="宋体" w:cs="宋体"/>
          <w:sz w:val="24"/>
        </w:rPr>
        <w:t xml:space="preserve">3、响应时限：一般故障（不影响业务正常开展）应在接到采购人通知后2小时内响应、24小时内处理完毕；严重故障（影响核心业务正常开展或造成数据异常）应在接到采购人通知后30分钟内响应、2小时内到达现场或远程接入处理、8小时内恢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4、定期巡检：质保期内每季度至少提供一次现场巡检服务，对系统运行状况、数据安全、性能瓶颈提出优化建议并跟踪落实。</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八、信息安全和知识产权归属和处理方式</w:t>
      </w:r>
      <w:r/>
    </w:p>
    <w:p>
      <w:pPr>
        <w:ind w:firstLine="480"/>
        <w:jc w:val="left"/>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1、为保障本项目实施全过程信息安全管控能力，规范项目相关知识产权创造、使用与管理工作，要求承担本项目的</w:t>
      </w:r>
      <w:r>
        <w:rPr>
          <w:rFonts w:hint="eastAsia" w:ascii="宋体" w:hAnsi="宋体" w:eastAsia="宋体" w:cs="宋体"/>
          <w:sz w:val="24"/>
          <w:lang w:val="en-US" w:eastAsia="zh-CN"/>
        </w:rPr>
        <w:t xml:space="preserve">投标人</w:t>
      </w:r>
      <w:r>
        <w:rPr>
          <w:rFonts w:hint="eastAsia" w:ascii="宋体" w:hAnsi="宋体" w:eastAsia="宋体" w:cs="宋体"/>
          <w:sz w:val="24"/>
          <w:lang w:val="zh-CN"/>
        </w:rPr>
        <w:t xml:space="preserve">具备成熟的体系化管理能力：</w:t>
      </w:r>
      <w:r/>
    </w:p>
    <w:p>
      <w:pPr>
        <w:ind w:firstLine="480"/>
        <w:jc w:val="left"/>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投标人</w:t>
      </w:r>
      <w:r>
        <w:rPr>
          <w:rFonts w:hint="eastAsia" w:ascii="宋体" w:hAnsi="宋体" w:eastAsia="宋体" w:cs="宋体"/>
          <w:sz w:val="24"/>
          <w:lang w:val="zh-CN"/>
        </w:rPr>
        <w:t xml:space="preserve">应建立完善的信息安全管理体系，能够对项目建设、运维、数据交互等全流程开展信息安全风险识别、管控与持续改进。</w:t>
      </w:r>
      <w:r/>
    </w:p>
    <w:p>
      <w:pPr>
        <w:ind w:firstLine="480"/>
        <w:jc w:val="left"/>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投标人</w:t>
      </w:r>
      <w:r>
        <w:rPr>
          <w:rFonts w:hint="eastAsia" w:ascii="宋体" w:hAnsi="宋体" w:eastAsia="宋体" w:cs="宋体"/>
          <w:sz w:val="24"/>
          <w:lang w:val="zh-CN"/>
        </w:rPr>
        <w:t xml:space="preserve">应建立规范的知识产权管理体系，可对项目实施过程中产生、使用的知识产权进行规范化管理，保障项目知识产权合规。</w:t>
      </w:r>
      <w:r/>
    </w:p>
    <w:p>
      <w:pPr>
        <w:ind w:firstLine="480"/>
        <w:jc w:val="left"/>
        <w:spacing w:line="360" w:lineRule="auto"/>
        <w:rPr>
          <w:rFonts w:ascii="宋体" w:hAnsi="宋体" w:eastAsia="宋体" w:cs="宋体"/>
          <w:sz w:val="24"/>
          <w:lang w:val="zh-CN"/>
        </w:rPr>
      </w:pP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、投</w:t>
      </w:r>
      <w:r>
        <w:rPr>
          <w:rFonts w:hint="eastAsia" w:ascii="宋体" w:hAnsi="宋体" w:eastAsia="宋体" w:cs="宋体"/>
          <w:sz w:val="24"/>
          <w:lang w:val="zh-CN"/>
        </w:rPr>
        <w:t xml:space="preserve">标人保证其提供的软件产品、配套文档、交付物及相关服务，未侵犯任何第三人的著作权、商标权、专利权、商业秘密等知识产权，亦不侵犯第三人肖像权、名誉权、隐私权、个人信息权益等其他合法权益。若因投标人提供的产品、资料或服务引发任何第三方主张侵权、索赔、诉讼或仲裁，投标人应立即采取措施处理纠纷，自行承担全部法律责任与相关费用，并负责赔偿招标人（甲方）由此遭受的全部损失，同时保障招标人不受第三方的追索。如导致甲方无法正常使用本项目软件产品的，投标人还应无偿更换、修改产品直至满足项目要求，由此产生的一切成本由投标人承担。</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九、培训要求</w:t>
      </w:r>
      <w:r/>
    </w:p>
    <w:p>
      <w:pPr>
        <w:ind w:firstLine="480"/>
        <w:spacing w:line="360" w:lineRule="auto"/>
      </w:pPr>
      <w:r>
        <w:rPr>
          <w:rFonts w:hint="eastAsia" w:ascii="宋体" w:hAnsi="宋体" w:eastAsia="宋体" w:cs="宋体"/>
          <w:sz w:val="24"/>
        </w:rPr>
        <w:t xml:space="preserve">1、培训对象：采购人系统管理员、各业务科室操作人员（含紧密型医联体成员单位相关人员），财务、人事、成本核算、绩效管理等岗位人员。</w:t>
      </w:r>
      <w:r/>
    </w:p>
    <w:p>
      <w:pPr>
        <w:ind w:firstLine="480"/>
        <w:spacing w:line="360" w:lineRule="auto"/>
      </w:pPr>
      <w:r>
        <w:rPr>
          <w:rFonts w:hint="eastAsia" w:ascii="宋体" w:hAnsi="宋体" w:eastAsia="宋体" w:cs="宋体"/>
          <w:sz w:val="24"/>
        </w:rPr>
        <w:t xml:space="preserve">2、培训内容：（1）各子系统功能操作培训，包括中医紧密型医联体（统一药品目录、统一药品采购、成员机构对接与改造）、医疗服务绩效评价、医美数智化管理系统、医院运营分析管理系统（HRP）各功能模块的日常操作；（2）系统管理培训，包括组织机构与用户权限配置、基础字典与参数维护、流程与模板配置、报表设计与查询、数据备份与接口管理、常见故障处理等；（3）业务流程应用培训，包括全面预算编制与执行、科室及项目成本核算、DIP成本分析、绩效评价与运营分析等场景化应用。</w:t>
      </w:r>
      <w:r/>
    </w:p>
    <w:p>
      <w:pPr>
        <w:ind w:firstLine="480"/>
        <w:spacing w:line="360" w:lineRule="auto"/>
      </w:pPr>
      <w:r>
        <w:rPr>
          <w:rFonts w:hint="eastAsia" w:ascii="宋体" w:hAnsi="宋体" w:eastAsia="宋体" w:cs="宋体"/>
          <w:sz w:val="24"/>
        </w:rPr>
        <w:t xml:space="preserve">3、培训方式与场次：采用现场集中培训与线上培训相结合的方式，其中现场集中培训不少于4场；系统上线前完成各业务岗位操作培训，上线后根据采购人需要补充培训；同时提供培训教材、操作手册及培训视频等资料。</w:t>
      </w:r>
      <w:r/>
    </w:p>
    <w:p>
      <w:pPr>
        <w:ind w:firstLine="480"/>
        <w:jc w:val="left"/>
        <w:spacing w:line="360" w:lineRule="auto"/>
        <w:rPr>
          <w:rFonts w:ascii="宋体" w:hAnsi="宋体" w:eastAsia="宋体" w:cs="Times New Roman"/>
          <w:sz w:val="24"/>
          <w:szCs w:val="24"/>
          <w:lang w:val="zh-CN"/>
        </w:rPr>
      </w:pPr>
      <w:r>
        <w:rPr>
          <w:rFonts w:hint="eastAsia" w:ascii="宋体" w:hAnsi="宋体" w:eastAsia="宋体" w:cs="宋体"/>
          <w:sz w:val="24"/>
        </w:rPr>
        <w:t xml:space="preserve">4、培训费用及地点：培训地点为采购人指定地点；培训所发生的师资、教材、场地、交通等全部费用均已包含在投标报价中，采购人不再另行支付。</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bookmarkEnd w:id="10"/>
      <w:bookmarkEnd w:id="11"/>
      <w:r/>
    </w:p>
    <w:p>
      <w:pPr>
        <w:ind w:firstLine="480"/>
        <w:spacing w:line="360" w:lineRule="auto"/>
        <w:rPr>
          <w:rFonts w:ascii="宋体" w:hAnsi="宋体" w:eastAsia="宋体"/>
          <w:bCs/>
          <w:i/>
          <w:iCs/>
          <w:color w:val="000000" w:themeColor="text1"/>
          <w:sz w:val="24"/>
          <w:u w:val="single"/>
          <w14:textFill>
            <w14:solidFill>
              <w14:schemeClr w14:val="tx1"/>
            </w14:solidFill>
          </w14:textFill>
        </w:rPr>
      </w:pPr>
      <w:r>
        <w:rPr>
          <w:rFonts w:hint="eastAsia" w:ascii="宋体" w:hAnsi="宋体" w:eastAsia="宋体"/>
          <w:bCs/>
          <w:i/>
          <w:iCs/>
          <w:color w:val="000000" w:themeColor="text1"/>
          <w:sz w:val="24"/>
          <w:u w:val="single"/>
          <w14:textFill>
            <w14:solidFill>
              <w14:schemeClr w14:val="tx1"/>
            </w14:solidFill>
          </w14:textFill>
        </w:rPr>
        <w:t xml:space="preserve">1、付款方式</w:t>
      </w:r>
      <w:bookmarkStart w:id="12" w:name="_Hlk241066788"/>
      <w:r>
        <w:rPr>
          <w:rFonts w:hint="eastAsia" w:ascii="宋体" w:hAnsi="宋体" w:eastAsia="宋体"/>
          <w:bCs/>
          <w:i/>
          <w:iCs/>
          <w:color w:val="000000" w:themeColor="text1"/>
          <w:sz w:val="24"/>
          <w:u w:val="single"/>
          <w14:textFill>
            <w14:solidFill>
              <w14:schemeClr w14:val="tx1"/>
            </w14:solidFill>
          </w14:textFill>
        </w:rPr>
        <w:t xml:space="preserve">：合同签订后采购人向</w:t>
      </w:r>
      <w:r>
        <w:rPr>
          <w:rFonts w:hint="eastAsia" w:ascii="宋体" w:hAnsi="宋体" w:eastAsia="宋体"/>
          <w:bCs/>
          <w:i/>
          <w:iCs/>
          <w:color w:val="000000" w:themeColor="text1"/>
          <w:sz w:val="24"/>
          <w:u w:val="single"/>
          <w:lang w:val="en-US" w:eastAsia="zh-CN"/>
          <w14:textFill>
            <w14:solidFill>
              <w14:schemeClr w14:val="tx1"/>
            </w14:solidFill>
          </w14:textFill>
        </w:rPr>
        <w:t xml:space="preserve">中标人</w:t>
      </w:r>
      <w:r>
        <w:rPr>
          <w:rFonts w:hint="eastAsia" w:ascii="宋体" w:hAnsi="宋体" w:eastAsia="宋体"/>
          <w:bCs/>
          <w:i/>
          <w:iCs/>
          <w:color w:val="000000" w:themeColor="text1"/>
          <w:sz w:val="24"/>
          <w:u w:val="single"/>
          <w14:textFill>
            <w14:solidFill>
              <w14:schemeClr w14:val="tx1"/>
            </w14:solidFill>
          </w14:textFill>
        </w:rPr>
        <w:t xml:space="preserve">支付合同总价款的50%；</w:t>
      </w:r>
      <w:r>
        <w:rPr>
          <w:rFonts w:hint="eastAsia" w:cs="Times New Roman"/>
          <w:i/>
          <w:iCs/>
          <w:sz w:val="24"/>
          <w:szCs w:val="24"/>
          <w:u w:val="single"/>
        </w:rPr>
        <w:t xml:space="preserve">项目建成且试运行合格后支付合同价款总额的40%</w:t>
      </w:r>
      <w:r>
        <w:rPr>
          <w:rFonts w:hint="eastAsia" w:cs="Times New Roman" w:asciiTheme="minorEastAsia" w:hAnsiTheme="minorEastAsia"/>
          <w:bCs/>
          <w:i/>
          <w:iCs/>
          <w:sz w:val="24"/>
          <w:szCs w:val="24"/>
          <w:u w:val="single"/>
        </w:rPr>
        <w:t xml:space="preserve">,</w:t>
      </w:r>
      <w:r>
        <w:rPr>
          <w:rFonts w:hint="eastAsia" w:cs="Times New Roman"/>
          <w:i/>
          <w:iCs/>
          <w:sz w:val="24"/>
          <w:szCs w:val="24"/>
          <w:u w:val="single"/>
        </w:rPr>
        <w:t xml:space="preserve">项目最终验收合格后支付合同价款总额的10%。</w:t>
      </w:r>
      <w:bookmarkEnd w:id="12"/>
      <w:r/>
    </w:p>
    <w:p>
      <w:pPr>
        <w:ind w:firstLine="480"/>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2、</w:t>
      </w:r>
      <w:bookmarkStart w:id="13" w:name="_Hlk241067034"/>
      <w:r>
        <w:rPr>
          <w:rFonts w:hint="eastAsia" w:ascii="宋体" w:hAnsi="宋体" w:eastAsia="宋体"/>
          <w:color w:val="000000" w:themeColor="text1"/>
          <w:sz w:val="24"/>
          <w14:textFill>
            <w14:solidFill>
              <w14:schemeClr w14:val="tx1"/>
            </w14:solidFill>
          </w14:textFill>
        </w:rPr>
        <w:t xml:space="preserve">履约保证金</w:t>
      </w:r>
      <w:r/>
    </w:p>
    <w:p>
      <w:pPr>
        <w:ind w:firstLine="480"/>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本项目不收取履约保证金。</w:t>
      </w:r>
      <w:bookmarkEnd w:id="13"/>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十一、报价要求</w:t>
      </w:r>
      <w:r/>
    </w:p>
    <w:p>
      <w:pPr>
        <w:ind w:firstLine="480"/>
        <w:spacing w:line="360" w:lineRule="auto"/>
        <w:rPr>
          <w:rFonts w:ascii="宋体" w:hAnsi="宋体" w:cs="宋体"/>
          <w:sz w:val="24"/>
          <w:szCs w:val="24"/>
        </w:rPr>
      </w:pPr>
      <w:r>
        <w:rPr>
          <w:rFonts w:hint="eastAsia" w:ascii="宋体" w:hAnsi="宋体" w:cs="宋体"/>
          <w:sz w:val="24"/>
          <w:szCs w:val="24"/>
        </w:rPr>
        <w:t xml:space="preserve">投标报价须包含但不限于</w:t>
      </w:r>
      <w:r>
        <w:rPr>
          <w:rFonts w:hint="eastAsia" w:ascii="Times New Roman" w:hAnsi="Times New Roman"/>
          <w:iCs/>
          <w:color w:val="000000"/>
          <w:sz w:val="24"/>
          <w:szCs w:val="24"/>
        </w:rPr>
        <w:t xml:space="preserve">系统开发、测试、</w:t>
      </w:r>
      <w:r>
        <w:rPr>
          <w:rFonts w:hint="eastAsia" w:ascii="宋体" w:hAnsi="宋体" w:cs="宋体"/>
          <w:sz w:val="24"/>
          <w:szCs w:val="24"/>
        </w:rPr>
        <w:t xml:space="preserve">安装费、调试费、产品使用培训费、售后服务、</w:t>
      </w:r>
      <w:r>
        <w:rPr>
          <w:rFonts w:hint="eastAsia" w:ascii="宋体" w:hAnsi="宋体"/>
          <w:sz w:val="24"/>
        </w:rPr>
        <w:t xml:space="preserve">质保、</w:t>
      </w:r>
      <w:r>
        <w:rPr>
          <w:rFonts w:hint="eastAsia" w:ascii="Times New Roman" w:hAnsi="Times New Roman"/>
          <w:iCs/>
          <w:color w:val="000000"/>
          <w:sz w:val="24"/>
          <w:szCs w:val="24"/>
        </w:rPr>
        <w:t xml:space="preserve">系统平稳运行保障服务、</w:t>
      </w:r>
      <w:r>
        <w:rPr>
          <w:rFonts w:hint="eastAsia" w:ascii="宋体" w:hAnsi="宋体" w:cs="宋体"/>
          <w:sz w:val="24"/>
          <w:szCs w:val="24"/>
        </w:rPr>
        <w:t xml:space="preserve">各项有关规费和政策性规定费用及投标人确认为需要的其它费用等，直至交付至采购人使用时所需要的各种费用（包含所有隐含的内容）。</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jc w:val="left"/>
        <w:widowControl/>
        <w:rPr>
          <w:rFonts w:ascii="黑体" w:hAnsi="黑体" w:eastAsia="黑体"/>
          <w:b/>
        </w:rPr>
      </w:pPr>
      <w:r>
        <w:rPr>
          <w:rFonts w:ascii="黑体" w:hAnsi="黑体" w:eastAsia="黑体"/>
          <w:b/>
        </w:rPr>
      </w:r>
      <w:r/>
    </w:p>
    <w:p>
      <w:pPr>
        <w:pStyle w:val="711"/>
        <w:jc w:val="center"/>
        <w:spacing w:before="156" w:after="156" w:line="360" w:lineRule="auto"/>
        <w:rPr>
          <w:rFonts w:ascii="黑体" w:hAnsi="黑体" w:eastAsia="黑体"/>
          <w:b w:val="0"/>
        </w:rPr>
      </w:pPr>
      <w:r/>
      <w:bookmarkStart w:id="14"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14"/>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2.商务分（26分）</w:t>
      </w:r>
      <w:r/>
    </w:p>
    <w:tbl>
      <w:tblPr>
        <w:tblStyle w:val="7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7137"/>
      </w:tblGrid>
      <w:tr>
        <w:trPr>
          <w:jc w:val="center"/>
          <w:trHeight w:val="621"/>
        </w:trPr>
        <w:tc>
          <w:tcPr>
            <w:shd w:val="clear" w:color="auto" w:fill="auto"/>
            <w:tcW w:w="81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lang w:val="zh-CN"/>
              </w:rPr>
            </w:pPr>
            <w:r/>
            <w:bookmarkStart w:id="15" w:name="OLE_LINK89"/>
            <w:r/>
            <w:bookmarkStart w:id="16" w:name="OLE_LINK88"/>
            <w:r/>
            <w:bookmarkStart w:id="17" w:name="OLE_LINK2"/>
            <w:r>
              <w:rPr>
                <w:rFonts w:hint="eastAsia" w:ascii="宋体" w:hAnsi="宋体" w:eastAsia="宋体" w:cs="宋体"/>
                <w:b/>
                <w:color w:val="000000"/>
                <w:sz w:val="24"/>
                <w:szCs w:val="24"/>
              </w:rPr>
              <w:t xml:space="preserve">评审因素</w:t>
            </w:r>
            <w:r/>
          </w:p>
        </w:tc>
        <w:tc>
          <w:tcPr>
            <w:shd w:val="clear" w:color="auto" w:fill="auto"/>
            <w:tcW w:w="418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tcW w:w="811" w:type="pct"/>
            <w:vAlign w:val="center"/>
            <w:textDirection w:val="lrTb"/>
            <w:noWrap w:val="false"/>
          </w:tcPr>
          <w:p>
            <w:pPr>
              <w:jc w:val="center"/>
              <w:spacing w:line="480" w:lineRule="atLeast"/>
              <w:rPr>
                <w:rFonts w:ascii="宋体" w:hAnsi="宋体" w:eastAsia="宋体" w:cs="宋体"/>
                <w:sz w:val="24"/>
                <w:szCs w:val="24"/>
              </w:rPr>
            </w:pPr>
            <w:r>
              <w:rPr>
                <w:rFonts w:hint="eastAsia" w:ascii="宋体" w:hAnsi="宋体" w:eastAsia="宋体" w:cs="宋体"/>
                <w:sz w:val="24"/>
                <w:szCs w:val="24"/>
              </w:rPr>
              <w:t xml:space="preserve">项目实施保障</w:t>
            </w:r>
            <w:r/>
          </w:p>
          <w:p>
            <w:pPr>
              <w:jc w:val="center"/>
              <w:spacing w:line="480" w:lineRule="atLeast"/>
              <w:rPr>
                <w:rFonts w:ascii="宋体" w:hAnsi="宋体" w:eastAsia="宋体" w:cs="宋体"/>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10</w:t>
            </w:r>
            <w:r>
              <w:rPr>
                <w:rFonts w:hint="eastAsia" w:ascii="宋体" w:hAnsi="宋体" w:eastAsia="宋体" w:cs="宋体"/>
                <w:sz w:val="24"/>
                <w:szCs w:val="24"/>
                <w:lang w:val="zh-CN"/>
              </w:rPr>
              <w:t xml:space="preserve">分）</w:t>
            </w:r>
            <w:bookmarkEnd w:id="15"/>
            <w:r/>
            <w:bookmarkEnd w:id="16"/>
            <w:r/>
            <w:r/>
          </w:p>
        </w:tc>
        <w:tc>
          <w:tcPr>
            <w:tcW w:w="4188" w:type="pct"/>
            <w:textDirection w:val="lrTb"/>
            <w:noWrap w:val="false"/>
          </w:tcPr>
          <w:p>
            <w:pPr>
              <w:spacing w:line="480" w:lineRule="atLeast"/>
              <w:rPr>
                <w:rFonts w:ascii="宋体" w:hAnsi="宋体" w:eastAsia="宋体" w:cs="宋体"/>
                <w:sz w:val="24"/>
                <w:szCs w:val="24"/>
              </w:rPr>
            </w:pPr>
            <w:r>
              <w:rPr>
                <w:rFonts w:hint="eastAsia" w:ascii="宋体" w:hAnsi="宋体" w:eastAsia="宋体" w:cs="宋体"/>
                <w:sz w:val="24"/>
                <w:szCs w:val="24"/>
              </w:rPr>
              <w:t xml:space="preserve">1、</w:t>
            </w:r>
            <w:r>
              <w:rPr>
                <w:rFonts w:hint="eastAsia" w:cs="宋体" w:asciiTheme="minorEastAsia" w:hAnsiTheme="minorEastAsia"/>
                <w:sz w:val="24"/>
                <w:szCs w:val="24"/>
                <w:highlight w:val="none"/>
              </w:rPr>
              <w:t xml:space="preserve">投标人具有信息安全管理体系认证证书的</w:t>
            </w:r>
            <w:r>
              <w:rPr>
                <w:rFonts w:hint="eastAsia" w:ascii="宋体" w:hAnsi="宋体" w:eastAsia="宋体" w:cs="宋体"/>
                <w:sz w:val="24"/>
                <w:szCs w:val="24"/>
              </w:rPr>
              <w:t xml:space="preserve">得2分；</w:t>
            </w:r>
            <w:r/>
          </w:p>
          <w:p>
            <w:pPr>
              <w:spacing w:line="480" w:lineRule="atLeast"/>
              <w:rPr>
                <w:rFonts w:ascii="宋体" w:hAnsi="宋体" w:eastAsia="宋体" w:cs="宋体"/>
                <w:sz w:val="24"/>
                <w:szCs w:val="24"/>
              </w:rPr>
            </w:pPr>
            <w:r>
              <w:rPr>
                <w:rFonts w:hint="eastAsia" w:ascii="宋体" w:hAnsi="宋体" w:eastAsia="宋体" w:cs="宋体"/>
                <w:sz w:val="24"/>
                <w:szCs w:val="24"/>
              </w:rPr>
              <w:t xml:space="preserve">2、投标人具备质量管理体系认证的得2分；</w:t>
            </w:r>
            <w:r/>
          </w:p>
          <w:p>
            <w:pPr>
              <w:spacing w:line="480" w:lineRule="atLeast"/>
              <w:rPr>
                <w:rFonts w:ascii="宋体" w:hAnsi="宋体" w:eastAsia="宋体" w:cs="宋体"/>
                <w:sz w:val="24"/>
                <w:szCs w:val="24"/>
              </w:rPr>
            </w:pPr>
            <w:r>
              <w:rPr>
                <w:rFonts w:hint="eastAsia" w:ascii="宋体" w:hAnsi="宋体" w:eastAsia="宋体" w:cs="宋体"/>
                <w:sz w:val="24"/>
                <w:szCs w:val="24"/>
              </w:rPr>
              <w:t xml:space="preserve">3、投标人具备信息技术服务管理体系认证的得2分；</w:t>
            </w:r>
            <w:r/>
          </w:p>
          <w:p>
            <w:pPr>
              <w:spacing w:line="480" w:lineRule="atLeast"/>
              <w:rPr>
                <w:rFonts w:ascii="宋体" w:hAnsi="宋体" w:eastAsia="宋体" w:cs="宋体"/>
                <w:sz w:val="24"/>
                <w:szCs w:val="24"/>
              </w:rPr>
            </w:pPr>
            <w:r>
              <w:rPr>
                <w:rFonts w:hint="eastAsia" w:ascii="宋体" w:hAnsi="宋体" w:eastAsia="宋体" w:cs="宋体"/>
                <w:sz w:val="24"/>
                <w:szCs w:val="24"/>
              </w:rPr>
              <w:t xml:space="preserve">4投标人具有信息技术服务标准（ITSS）符合性证书（运行维护）的得2分。</w:t>
            </w:r>
            <w:r/>
          </w:p>
          <w:p>
            <w:pPr>
              <w:spacing w:line="480" w:lineRule="atLeast"/>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cs="宋体" w:asciiTheme="minorEastAsia" w:hAnsiTheme="minorEastAsia"/>
                <w:sz w:val="24"/>
                <w:szCs w:val="24"/>
                <w:highlight w:val="none"/>
              </w:rPr>
              <w:t xml:space="preserve">投标人具有知识产权管理体系认证证书</w:t>
            </w:r>
            <w:r>
              <w:rPr>
                <w:rFonts w:hint="eastAsia" w:cs="宋体" w:asciiTheme="minorEastAsia" w:hAnsiTheme="minorEastAsia"/>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得2分</w:t>
            </w:r>
            <w:r>
              <w:rPr>
                <w:rFonts w:hint="eastAsia" w:ascii="宋体" w:hAnsi="宋体" w:eastAsia="宋体" w:cs="宋体"/>
                <w:sz w:val="24"/>
                <w:szCs w:val="24"/>
                <w:highlight w:val="none"/>
              </w:rPr>
              <w:t xml:space="preserve">。</w:t>
            </w:r>
            <w:r/>
          </w:p>
          <w:p>
            <w:pPr>
              <w:spacing w:line="480" w:lineRule="atLeast"/>
              <w:rPr>
                <w:rFonts w:ascii="宋体" w:hAnsi="宋体" w:eastAsia="宋体" w:cs="宋体"/>
              </w:rPr>
            </w:pPr>
            <w:r>
              <w:rPr>
                <w:rFonts w:hint="eastAsia" w:ascii="宋体" w:hAnsi="宋体" w:eastAsia="宋体" w:cs="宋体"/>
                <w:b/>
                <w:bCs/>
                <w:sz w:val="24"/>
                <w:szCs w:val="24"/>
              </w:rPr>
              <w:t xml:space="preserve">注：上述1-5项投标文件中提供有效证书扫描件并加盖投标人公章，否则不得分。</w:t>
            </w:r>
            <w:r/>
          </w:p>
        </w:tc>
      </w:tr>
      <w:tr>
        <w:trPr>
          <w:jc w:val="center"/>
          <w:trHeight w:val="621"/>
        </w:trPr>
        <w:tc>
          <w:tcPr>
            <w:tcW w:w="811" w:type="pct"/>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项目团队成员</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（10分）</w:t>
            </w:r>
            <w:bookmarkEnd w:id="17"/>
            <w:r/>
          </w:p>
        </w:tc>
        <w:tc>
          <w:tcPr>
            <w:tcW w:w="4188" w:type="pct"/>
            <w:vAlign w:val="center"/>
            <w:textDirection w:val="lrTb"/>
            <w:noWrap w:val="false"/>
          </w:tcPr>
          <w:p>
            <w:pPr>
              <w:spacing w:line="480" w:lineRule="atLeast"/>
              <w:rPr>
                <w:rFonts w:ascii="宋体" w:hAnsi="宋体" w:eastAsia="宋体" w:cs="宋体"/>
                <w:sz w:val="24"/>
                <w:szCs w:val="24"/>
                <w:highlight w:val="none"/>
              </w:rPr>
            </w:pPr>
            <w:r>
              <w:rPr>
                <w:rFonts w:hint="eastAsia" w:ascii="宋体" w:hAnsi="宋体" w:eastAsia="宋体" w:cs="宋体"/>
                <w:sz w:val="24"/>
                <w:szCs w:val="24"/>
              </w:rPr>
              <w:t xml:space="preserve">1、项目负责人具有电子信息类高级工程师证书、</w:t>
            </w:r>
            <w:r>
              <w:rPr>
                <w:rFonts w:hint="eastAsia" w:cs="宋体" w:asciiTheme="minorEastAsia" w:hAnsiTheme="minorEastAsia"/>
                <w:sz w:val="24"/>
                <w:szCs w:val="24"/>
                <w:highlight w:val="none"/>
              </w:rPr>
              <w:t xml:space="preserve">信息安全保障人员证书</w:t>
            </w:r>
            <w:r>
              <w:rPr>
                <w:rFonts w:hint="eastAsia" w:cs="宋体" w:asciiTheme="minorEastAsia" w:hAnsiTheme="minorEastAsia"/>
                <w:sz w:val="24"/>
                <w:szCs w:val="24"/>
                <w:highlight w:val="none"/>
                <w:lang w:eastAsia="zh-CN"/>
              </w:rPr>
              <w:t xml:space="preserve">（</w:t>
            </w:r>
            <w:r>
              <w:rPr>
                <w:rFonts w:hint="eastAsia" w:cs="宋体" w:asciiTheme="minorEastAsia" w:hAnsiTheme="minorEastAsia"/>
                <w:sz w:val="24"/>
                <w:szCs w:val="24"/>
                <w:highlight w:val="none"/>
              </w:rPr>
              <w:t xml:space="preserve">CISAW</w:t>
            </w:r>
            <w:r>
              <w:rPr>
                <w:rFonts w:hint="eastAsia" w:cs="宋体" w:asciiTheme="minorEastAsia" w:hAnsiTheme="minorEastAsia"/>
                <w:sz w:val="24"/>
                <w:szCs w:val="24"/>
                <w:highlight w:val="none"/>
                <w:lang w:eastAsia="zh-CN"/>
              </w:rPr>
              <w:t xml:space="preserve">）</w:t>
            </w:r>
            <w:bookmarkStart w:id="32" w:name="_GoBack"/>
            <w:r/>
            <w:bookmarkEnd w:id="32"/>
            <w:r>
              <w:rPr>
                <w:rFonts w:hint="eastAsia" w:ascii="宋体" w:hAnsi="宋体" w:eastAsia="宋体" w:cs="宋体"/>
                <w:sz w:val="24"/>
                <w:szCs w:val="24"/>
                <w:highlight w:val="none"/>
              </w:rPr>
              <w:t xml:space="preserve">、</w:t>
            </w:r>
            <w:r>
              <w:rPr>
                <w:rFonts w:hint="eastAsia" w:cs="宋体" w:asciiTheme="minorEastAsia" w:hAnsiTheme="minorEastAsia"/>
                <w:sz w:val="24"/>
                <w:szCs w:val="24"/>
                <w:highlight w:val="none"/>
              </w:rPr>
              <w:t xml:space="preserve">网络安全技术CCSC证书</w:t>
            </w:r>
            <w:r>
              <w:rPr>
                <w:rFonts w:hint="eastAsia" w:ascii="宋体" w:hAnsi="宋体" w:eastAsia="宋体" w:cs="宋体"/>
                <w:sz w:val="24"/>
                <w:szCs w:val="24"/>
                <w:highlight w:val="none"/>
              </w:rPr>
              <w:t xml:space="preserve">、ITSS-IT服务项目经理证书的，每提供一项得1分，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最高得4分；</w:t>
            </w:r>
            <w:r/>
          </w:p>
          <w:p>
            <w:pPr>
              <w:spacing w:line="480" w:lineRule="atLeast"/>
              <w:rPr>
                <w:rFonts w:ascii="宋体" w:hAnsi="宋体" w:eastAsia="宋体" w:cs="宋体"/>
                <w:sz w:val="24"/>
                <w:szCs w:val="24"/>
              </w:rPr>
            </w:pPr>
            <w:r>
              <w:rPr>
                <w:rFonts w:hint="eastAsia" w:ascii="宋体" w:hAnsi="宋体" w:eastAsia="宋体" w:cs="宋体"/>
                <w:sz w:val="24"/>
                <w:szCs w:val="24"/>
              </w:rPr>
              <w:t xml:space="preserve">2、技术负责人具有ITSS-IT服务工程师证书、信息系统项目管理师证书、系统架构设计师证书的，每提供一项得1分，本项最高得3分；</w:t>
            </w:r>
            <w:r/>
          </w:p>
          <w:p>
            <w:pPr>
              <w:spacing w:line="480" w:lineRule="atLeast"/>
              <w:rPr>
                <w:rFonts w:ascii="宋体" w:hAnsi="宋体" w:eastAsia="宋体" w:cs="宋体"/>
                <w:sz w:val="24"/>
                <w:szCs w:val="24"/>
              </w:rPr>
            </w:pPr>
            <w:r>
              <w:rPr>
                <w:rFonts w:hint="eastAsia" w:ascii="宋体" w:hAnsi="宋体" w:eastAsia="宋体" w:cs="宋体"/>
                <w:sz w:val="24"/>
                <w:szCs w:val="24"/>
              </w:rPr>
              <w:t xml:space="preserve">3、项目团队成员（项目负责人及技术负责人除外）具有IT运维工程师（高级）证书、网络工程师证书、电子信息类中级或以上职称证书、</w:t>
            </w:r>
            <w:r>
              <w:rPr>
                <w:rFonts w:hint="eastAsia" w:eastAsia="宋体" w:cs="宋体" w:asciiTheme="minorEastAsia" w:hAnsiTheme="minorEastAsia"/>
                <w:sz w:val="24"/>
                <w:szCs w:val="24"/>
              </w:rPr>
              <w:t xml:space="preserve">软件测评师</w:t>
            </w:r>
            <w:r>
              <w:rPr>
                <w:rFonts w:hint="eastAsia" w:ascii="宋体" w:hAnsi="宋体" w:eastAsia="宋体" w:cs="宋体"/>
                <w:sz w:val="24"/>
                <w:szCs w:val="24"/>
              </w:rPr>
              <w:t xml:space="preserve">的，每有一人得1分，一人多证或多人一类证书不重复得分，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rPr>
              <w:t xml:space="preserve">最高得3分。</w:t>
            </w:r>
            <w:r/>
          </w:p>
          <w:p>
            <w:pPr>
              <w:spacing w:line="480" w:lineRule="atLeast"/>
              <w:rPr>
                <w:rFonts w:ascii="宋体" w:hAnsi="宋体" w:eastAsia="宋体" w:cs="宋体"/>
                <w:b/>
                <w:bCs/>
                <w:sz w:val="24"/>
                <w:szCs w:val="24"/>
              </w:rPr>
            </w:pPr>
            <w:r>
              <w:rPr>
                <w:rFonts w:hint="eastAsia" w:ascii="宋体" w:hAnsi="宋体" w:eastAsia="宋体" w:cs="宋体"/>
                <w:b/>
                <w:bCs/>
                <w:sz w:val="24"/>
                <w:szCs w:val="24"/>
              </w:rPr>
              <w:t xml:space="preserve">注：上述1-3项投标文件中提供以上有效证书电子件或扫描件或复印件及2025年11月以来任意1个月由投标人为其缴纳的社保证明材料电子件或扫描件或复印件并加盖投标人公章，否则不得分。</w:t>
            </w:r>
            <w:r/>
          </w:p>
        </w:tc>
      </w:tr>
      <w:tr>
        <w:trPr>
          <w:jc w:val="center"/>
          <w:trHeight w:val="621"/>
        </w:trPr>
        <w:tc>
          <w:tcPr>
            <w:tcW w:w="811" w:type="pct"/>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（6分）</w:t>
            </w:r>
            <w:r/>
          </w:p>
        </w:tc>
        <w:tc>
          <w:tcPr>
            <w:tcW w:w="4188" w:type="pct"/>
            <w:vAlign w:val="center"/>
            <w:textDirection w:val="lrTb"/>
            <w:noWrap w:val="false"/>
          </w:tcPr>
          <w:p>
            <w:pPr>
              <w:spacing w:line="480" w:lineRule="exact"/>
              <w:rPr>
                <w:rFonts w:ascii="宋体" w:hAnsi="宋体" w:eastAsia="宋体" w:cs="宋体"/>
                <w:b/>
                <w:color w:val="000000"/>
                <w:sz w:val="24"/>
                <w:szCs w:val="21"/>
              </w:rPr>
            </w:pPr>
            <w:r>
              <w:rPr>
                <w:rFonts w:hint="eastAsia" w:ascii="宋体" w:hAnsi="宋体" w:eastAsia="宋体" w:cs="宋体"/>
                <w:color w:val="000000"/>
                <w:sz w:val="24"/>
                <w:szCs w:val="21"/>
              </w:rPr>
              <w:t xml:space="preserve">自2023年1月1日（含）起以来</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rPr>
              <w:t xml:space="preserve">以合同签订时间为准</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rPr>
              <w:t xml:space="preserve">，投标人具有类似项目业绩的，每提供一个得2分，</w:t>
            </w:r>
            <w:r>
              <w:rPr>
                <w:rFonts w:hint="eastAsia" w:ascii="宋体" w:hAnsi="宋体" w:eastAsia="宋体" w:cs="宋体"/>
                <w:b/>
                <w:color w:val="000000"/>
                <w:sz w:val="24"/>
                <w:szCs w:val="21"/>
              </w:rPr>
              <w:t xml:space="preserve">最高得6分。</w:t>
            </w:r>
            <w:r/>
          </w:p>
          <w:p>
            <w:pPr>
              <w:spacing w:line="480" w:lineRule="exact"/>
              <w:rPr>
                <w:rFonts w:ascii="宋体" w:hAnsi="宋体" w:eastAsia="宋体" w:cs="宋体"/>
                <w:color w:val="000000"/>
                <w:sz w:val="24"/>
                <w:szCs w:val="21"/>
              </w:rPr>
            </w:pPr>
            <w:r>
              <w:rPr>
                <w:rFonts w:hint="eastAsia" w:ascii="宋体" w:hAnsi="宋体" w:eastAsia="宋体" w:cs="宋体"/>
                <w:b/>
                <w:bCs/>
                <w:color w:val="000000"/>
                <w:sz w:val="24"/>
                <w:szCs w:val="21"/>
                <w:lang w:val="en-US" w:eastAsia="zh-CN"/>
              </w:rPr>
              <w:t xml:space="preserve">注：</w:t>
            </w:r>
            <w:r>
              <w:rPr>
                <w:rFonts w:hint="eastAsia" w:ascii="宋体" w:hAnsi="宋体" w:eastAsia="宋体" w:cs="宋体"/>
                <w:b/>
                <w:bCs/>
                <w:color w:val="000000"/>
                <w:sz w:val="24"/>
                <w:szCs w:val="21"/>
              </w:rPr>
              <w:t xml:space="preserve">投标文件中提供合同扫描件并加盖投标人公章，否则不得分。时间、内容以合同为准。</w:t>
            </w:r>
            <w:r/>
          </w:p>
        </w:tc>
      </w:tr>
    </w:tbl>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3.技术分（64分）</w:t>
      </w:r>
      <w:r/>
    </w:p>
    <w:tbl>
      <w:tblPr>
        <w:tblStyle w:val="7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7137"/>
      </w:tblGrid>
      <w:tr>
        <w:trPr>
          <w:jc w:val="center"/>
          <w:trHeight w:val="621"/>
        </w:trPr>
        <w:tc>
          <w:tcPr>
            <w:tcW w:w="81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评审因素</w:t>
            </w:r>
            <w:r/>
          </w:p>
        </w:tc>
        <w:tc>
          <w:tcPr>
            <w:tcW w:w="418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评审标准</w:t>
            </w:r>
            <w:r/>
          </w:p>
        </w:tc>
      </w:tr>
      <w:tr>
        <w:trPr>
          <w:jc w:val="center"/>
          <w:trHeight w:val="621"/>
        </w:trPr>
        <w:tc>
          <w:tcPr>
            <w:shd w:val="clear" w:color="auto" w:fill="auto"/>
            <w:tcW w:w="811" w:type="pct"/>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技术参数</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（30分）</w:t>
            </w:r>
            <w:r/>
          </w:p>
        </w:tc>
        <w:tc>
          <w:tcPr>
            <w:shd w:val="clear" w:color="auto" w:fill="auto"/>
            <w:tcW w:w="4188" w:type="pct"/>
            <w:vAlign w:val="center"/>
            <w:textDirection w:val="lrTb"/>
            <w:noWrap w:val="false"/>
          </w:tcPr>
          <w:p>
            <w:pPr>
              <w:spacing w:line="360" w:lineRule="auto"/>
              <w:rPr>
                <w:rFonts w:ascii="宋体" w:hAnsi="宋体" w:eastAsia="宋体" w:cs="宋体"/>
                <w:bCs/>
                <w:sz w:val="24"/>
                <w:szCs w:val="24"/>
              </w:rPr>
            </w:pPr>
            <w:r>
              <w:rPr>
                <w:rFonts w:hint="eastAsia" w:ascii="宋体" w:hAnsi="宋体" w:cs="宋体"/>
                <w:bCs/>
                <w:color w:val="000000"/>
                <w:sz w:val="24"/>
                <w:szCs w:val="24"/>
              </w:rPr>
              <w:t xml:space="preserve">技术参数指标评审基准分</w:t>
            </w:r>
            <w:r>
              <w:rPr>
                <w:rFonts w:hint="eastAsia" w:ascii="宋体" w:hAnsi="宋体" w:cs="宋体"/>
                <w:bCs/>
                <w:color w:val="000000"/>
                <w:sz w:val="24"/>
                <w:szCs w:val="24"/>
                <w:lang w:val="en-US" w:eastAsia="zh-CN"/>
              </w:rPr>
              <w:t xml:space="preserve">30</w:t>
            </w:r>
            <w:r>
              <w:rPr>
                <w:rFonts w:hint="eastAsia" w:ascii="宋体" w:hAnsi="宋体" w:cs="宋体"/>
                <w:bCs/>
                <w:color w:val="000000"/>
                <w:sz w:val="24"/>
                <w:szCs w:val="24"/>
              </w:rPr>
              <w:t xml:space="preserve">分，标注“</w:t>
            </w:r>
            <w:r>
              <w:rPr>
                <w:rFonts w:hint="eastAsia" w:ascii="宋体" w:hAnsi="宋体"/>
                <w:sz w:val="24"/>
                <w:szCs w:val="24"/>
              </w:rPr>
              <w:t xml:space="preserve">▲</w:t>
            </w:r>
            <w:r>
              <w:rPr>
                <w:rFonts w:hint="eastAsia" w:ascii="宋体" w:hAnsi="宋体" w:cs="宋体"/>
                <w:bCs/>
                <w:color w:val="000000"/>
                <w:sz w:val="24"/>
                <w:szCs w:val="24"/>
              </w:rPr>
              <w:t xml:space="preserve">”的指标，每有一项负偏离的扣</w:t>
            </w:r>
            <w:r>
              <w:rPr>
                <w:rFonts w:hint="eastAsia" w:ascii="宋体" w:hAnsi="宋体" w:cs="宋体"/>
                <w:bCs/>
                <w:color w:val="000000"/>
                <w:sz w:val="24"/>
                <w:szCs w:val="24"/>
                <w:lang w:val="en-US" w:eastAsia="zh-CN"/>
              </w:rPr>
              <w:t xml:space="preserve">1.5</w:t>
            </w:r>
            <w:r>
              <w:rPr>
                <w:rFonts w:hint="eastAsia" w:ascii="宋体" w:hAnsi="宋体" w:cs="宋体"/>
                <w:bCs/>
                <w:color w:val="000000"/>
                <w:sz w:val="24"/>
                <w:szCs w:val="24"/>
              </w:rPr>
              <w:t xml:space="preserve">分，扣完为止</w:t>
            </w:r>
            <w:r>
              <w:rPr>
                <w:rFonts w:hint="eastAsia" w:ascii="宋体" w:hAnsi="宋体" w:eastAsia="宋体" w:cs="宋体"/>
                <w:bCs/>
                <w:color w:val="000000"/>
                <w:sz w:val="24"/>
                <w:szCs w:val="24"/>
              </w:rPr>
              <w:t xml:space="preserve">。</w:t>
            </w:r>
            <w:r/>
          </w:p>
          <w:p>
            <w:pPr>
              <w:jc w:val="left"/>
              <w:spacing w:line="360" w:lineRule="auto"/>
              <w:widowControl/>
              <w:rPr>
                <w:rFonts w:ascii="宋体" w:hAnsi="宋体" w:eastAsia="宋体" w:cs="宋体"/>
                <w:bCs/>
                <w:color w:val="000000"/>
                <w:sz w:val="24"/>
                <w:szCs w:val="24"/>
              </w:rPr>
            </w:pPr>
            <w:r>
              <w:rPr>
                <w:rFonts w:hint="eastAsia" w:ascii="宋体" w:hAnsi="宋体" w:eastAsia="宋体" w:cs="宋体"/>
                <w:b/>
                <w:bCs/>
                <w:sz w:val="24"/>
                <w:szCs w:val="24"/>
              </w:rPr>
              <w:t xml:space="preserve">注：</w:t>
            </w:r>
            <w:r>
              <w:rPr>
                <w:rFonts w:hint="eastAsia" w:ascii="宋体" w:hAnsi="宋体"/>
                <w:b/>
                <w:bCs/>
                <w:sz w:val="24"/>
              </w:rPr>
              <w:t xml:space="preserve">投标文件中详细填写技术要求响应及偏离表，须逐条响应。</w:t>
            </w:r>
            <w:r>
              <w:rPr>
                <w:rFonts w:hint="eastAsia" w:ascii="宋体" w:hAnsi="宋体" w:eastAsia="宋体" w:cs="宋体"/>
                <w:b/>
                <w:bCs/>
                <w:sz w:val="24"/>
                <w:szCs w:val="24"/>
              </w:rPr>
              <w:t xml:space="preserve">标注“▲”</w:t>
            </w:r>
            <w:r>
              <w:rPr>
                <w:rFonts w:hint="eastAsia" w:ascii="宋体" w:hAnsi="宋体" w:eastAsia="宋体" w:cs="宋体"/>
                <w:b/>
                <w:bCs/>
                <w:sz w:val="24"/>
                <w:szCs w:val="24"/>
                <w:lang w:val="en-US" w:eastAsia="zh-CN"/>
              </w:rPr>
              <w:t xml:space="preserve">参数</w:t>
            </w:r>
            <w:r>
              <w:rPr>
                <w:rFonts w:hint="eastAsia" w:ascii="宋体" w:hAnsi="宋体" w:eastAsia="宋体" w:cs="宋体"/>
                <w:b/>
                <w:bCs/>
                <w:sz w:val="24"/>
                <w:szCs w:val="24"/>
              </w:rPr>
              <w:t xml:space="preserve">须提供相关功能</w:t>
            </w:r>
            <w:r>
              <w:rPr>
                <w:rFonts w:ascii="宋体" w:hAnsi="宋体" w:eastAsia="宋体" w:cs="宋体"/>
                <w:b/>
                <w:bCs/>
                <w:sz w:val="24"/>
                <w:szCs w:val="24"/>
              </w:rPr>
              <w:t xml:space="preserve">demo</w:t>
            </w:r>
            <w:r>
              <w:rPr>
                <w:rFonts w:hint="eastAsia" w:ascii="宋体" w:hAnsi="宋体" w:eastAsia="宋体" w:cs="宋体"/>
                <w:b/>
                <w:bCs/>
                <w:sz w:val="24"/>
                <w:szCs w:val="24"/>
              </w:rPr>
              <w:t xml:space="preserve">截图证明并加盖</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rPr>
              <w:t xml:space="preserve">公章，</w:t>
            </w:r>
            <w:r>
              <w:rPr>
                <w:rFonts w:hint="eastAsia" w:ascii="宋体" w:hAnsi="宋体"/>
                <w:b/>
                <w:bCs/>
                <w:sz w:val="24"/>
              </w:rPr>
              <w:t xml:space="preserve">未提供、或提供不全、或所提供材料与招标文件要求不符的视为负偏离。</w:t>
            </w:r>
            <w:r/>
          </w:p>
        </w:tc>
      </w:tr>
      <w:tr>
        <w:trPr>
          <w:jc w:val="center"/>
          <w:trHeight w:val="621"/>
        </w:trPr>
        <w:tc>
          <w:tcPr>
            <w:tcW w:w="811" w:type="pct"/>
            <w:vAlign w:val="center"/>
            <w:textDirection w:val="lrTb"/>
            <w:noWrap w:val="false"/>
          </w:tcPr>
          <w:p>
            <w:pPr>
              <w:jc w:val="center"/>
              <w:spacing w:line="480" w:lineRule="exact"/>
              <w:widowControl/>
              <w:rPr>
                <w:rFonts w:ascii="宋体" w:hAnsi="宋体" w:eastAsia="宋体" w:cs="宋体"/>
                <w:bCs/>
                <w:sz w:val="24"/>
                <w:szCs w:val="24"/>
              </w:rPr>
            </w:pPr>
            <w:r>
              <w:rPr>
                <w:rFonts w:hint="eastAsia" w:ascii="宋体" w:hAnsi="宋体" w:eastAsia="宋体" w:cs="宋体"/>
                <w:bCs/>
                <w:sz w:val="24"/>
                <w:szCs w:val="24"/>
              </w:rPr>
              <w:t xml:space="preserve">项目总体方案与需求理解</w:t>
            </w:r>
            <w:r/>
          </w:p>
          <w:p>
            <w:pPr>
              <w:pStyle w:val="718"/>
              <w:jc w:val="center"/>
              <w:rPr>
                <w:rFonts w:ascii="宋体" w:hAnsi="宋体" w:eastAsia="宋体" w:cs="宋体"/>
                <w:bCs/>
                <w:sz w:val="24"/>
                <w:szCs w:val="24"/>
              </w:rPr>
            </w:pPr>
            <w:r>
              <w:rPr>
                <w:rFonts w:hint="eastAsia" w:ascii="宋体" w:hAnsi="宋体" w:eastAsia="宋体" w:cs="宋体"/>
                <w:bCs/>
                <w:sz w:val="24"/>
                <w:szCs w:val="24"/>
              </w:rPr>
              <w:t xml:space="preserve">（6分）</w:t>
            </w:r>
            <w:r/>
          </w:p>
        </w:tc>
        <w:tc>
          <w:tcPr>
            <w:tcW w:w="4188" w:type="pct"/>
            <w:textDirection w:val="lrTb"/>
            <w:noWrap w:val="false"/>
          </w:tcPr>
          <w:p>
            <w:pPr>
              <w:pStyle w:val="718"/>
              <w:rPr>
                <w:rFonts w:ascii="宋体" w:hAnsi="宋体" w:eastAsia="宋体" w:cs="宋体"/>
                <w:bCs/>
                <w:sz w:val="24"/>
                <w:szCs w:val="24"/>
              </w:rPr>
            </w:pPr>
            <w:r>
              <w:rPr>
                <w:rFonts w:hint="eastAsia" w:ascii="宋体" w:hAnsi="宋体" w:eastAsia="宋体" w:cs="宋体"/>
                <w:bCs/>
                <w:sz w:val="24"/>
                <w:szCs w:val="24"/>
              </w:rPr>
              <w:t xml:space="preserve">投标人对中医院业务特点、本项目三大板块（中医紧密型医联体、医美数智化管理、HRP一体化运营平台）业务痛点理解程度、总体架构规划、建设思路、一体化平台顶层设计。</w:t>
            </w:r>
            <w:r/>
          </w:p>
          <w:p>
            <w:pPr>
              <w:pStyle w:val="718"/>
              <w:rPr>
                <w:rFonts w:ascii="宋体" w:hAnsi="宋体" w:eastAsia="宋体" w:cs="宋体"/>
                <w:bCs/>
                <w:sz w:val="24"/>
                <w:szCs w:val="24"/>
              </w:rPr>
            </w:pPr>
            <w:r>
              <w:rPr>
                <w:rFonts w:hint="eastAsia" w:ascii="宋体" w:hAnsi="宋体" w:eastAsia="宋体" w:cs="宋体"/>
                <w:bCs/>
                <w:sz w:val="24"/>
                <w:szCs w:val="24"/>
              </w:rPr>
              <w:t xml:space="preserve">充分理解中医院运营、医联体药品统一管控、医美专科运营、DIP成本管控、多院区管理需求；采用一体化中台架构，方案完整、针对性强、落地路径清晰，完全覆盖全部建设内容，</w:t>
            </w:r>
            <w:r>
              <w:rPr>
                <w:rFonts w:hint="eastAsia" w:ascii="宋体" w:hAnsi="宋体" w:eastAsia="宋体" w:cs="宋体"/>
                <w:b/>
                <w:bCs w:val="0"/>
                <w:sz w:val="24"/>
                <w:szCs w:val="24"/>
              </w:rPr>
              <w:t xml:space="preserve">得6分</w:t>
            </w:r>
            <w:r>
              <w:rPr>
                <w:rFonts w:hint="eastAsia" w:ascii="宋体" w:hAnsi="宋体" w:eastAsia="宋体" w:cs="宋体"/>
                <w:bCs/>
                <w:sz w:val="24"/>
                <w:szCs w:val="24"/>
              </w:rPr>
              <w:t xml:space="preserve">；</w:t>
            </w:r>
            <w:r/>
          </w:p>
          <w:p>
            <w:pPr>
              <w:pStyle w:val="718"/>
              <w:rPr>
                <w:rFonts w:ascii="宋体" w:hAnsi="宋体" w:eastAsia="宋体" w:cs="宋体"/>
                <w:bCs/>
                <w:sz w:val="24"/>
                <w:szCs w:val="24"/>
              </w:rPr>
            </w:pPr>
            <w:r>
              <w:rPr>
                <w:rFonts w:hint="eastAsia" w:ascii="宋体" w:hAnsi="宋体" w:eastAsia="宋体" w:cs="宋体"/>
                <w:bCs/>
                <w:sz w:val="24"/>
                <w:szCs w:val="24"/>
              </w:rPr>
              <w:t xml:space="preserve">基本理解项目需求，总体方案完整，能够覆盖主要建设模块，少量业务场景缺少细化设计，</w:t>
            </w:r>
            <w:r>
              <w:rPr>
                <w:rFonts w:hint="eastAsia" w:ascii="宋体" w:hAnsi="宋体" w:eastAsia="宋体" w:cs="宋体"/>
                <w:b/>
                <w:bCs w:val="0"/>
                <w:sz w:val="24"/>
                <w:szCs w:val="24"/>
              </w:rPr>
              <w:t xml:space="preserve">得4分</w:t>
            </w:r>
            <w:r>
              <w:rPr>
                <w:rFonts w:hint="eastAsia" w:ascii="宋体" w:hAnsi="宋体" w:eastAsia="宋体" w:cs="宋体"/>
                <w:bCs/>
                <w:sz w:val="24"/>
                <w:szCs w:val="24"/>
              </w:rPr>
              <w:t xml:space="preserve">；</w:t>
            </w:r>
            <w:r/>
          </w:p>
          <w:p>
            <w:pPr>
              <w:pStyle w:val="718"/>
              <w:rPr>
                <w:rFonts w:ascii="宋体" w:hAnsi="宋体" w:eastAsia="宋体" w:cs="宋体"/>
                <w:bCs/>
                <w:sz w:val="24"/>
                <w:szCs w:val="24"/>
              </w:rPr>
            </w:pPr>
            <w:r>
              <w:rPr>
                <w:rFonts w:hint="eastAsia" w:ascii="宋体" w:hAnsi="宋体" w:eastAsia="宋体" w:cs="宋体"/>
                <w:bCs/>
                <w:sz w:val="24"/>
                <w:szCs w:val="24"/>
              </w:rPr>
              <w:t xml:space="preserve">对项目业务场景理解不足，方案框架简单，部分建设内容缺少规划，</w:t>
            </w:r>
            <w:r>
              <w:rPr>
                <w:rFonts w:hint="eastAsia" w:ascii="宋体" w:hAnsi="宋体" w:eastAsia="宋体" w:cs="宋体"/>
                <w:b/>
                <w:bCs w:val="0"/>
                <w:sz w:val="24"/>
                <w:szCs w:val="24"/>
              </w:rPr>
              <w:t xml:space="preserve">得2分</w:t>
            </w:r>
            <w:r>
              <w:rPr>
                <w:rFonts w:hint="eastAsia" w:ascii="宋体" w:hAnsi="宋体" w:eastAsia="宋体" w:cs="宋体"/>
                <w:bCs/>
                <w:sz w:val="24"/>
                <w:szCs w:val="24"/>
              </w:rPr>
              <w:t xml:space="preserve">；</w:t>
            </w:r>
            <w:r/>
          </w:p>
          <w:p>
            <w:pPr>
              <w:pStyle w:val="718"/>
              <w:rPr>
                <w:rFonts w:ascii="宋体" w:hAnsi="宋体" w:eastAsia="宋体" w:cs="宋体"/>
                <w:bCs/>
                <w:sz w:val="24"/>
                <w:szCs w:val="24"/>
              </w:rPr>
            </w:pPr>
            <w:r>
              <w:rPr>
                <w:rFonts w:hint="eastAsia" w:ascii="宋体" w:hAnsi="宋体" w:eastAsia="宋体" w:cs="宋体"/>
                <w:b/>
                <w:bCs w:val="0"/>
                <w:sz w:val="24"/>
                <w:szCs w:val="24"/>
                <w:lang w:val="en-US" w:eastAsia="zh-CN"/>
              </w:rPr>
              <w:t xml:space="preserve">该项未见阐述不得分</w:t>
            </w:r>
            <w:r>
              <w:rPr>
                <w:rFonts w:hint="eastAsia" w:ascii="宋体" w:hAnsi="宋体" w:eastAsia="宋体" w:cs="宋体"/>
                <w:b/>
                <w:bCs w:val="0"/>
                <w:sz w:val="24"/>
                <w:szCs w:val="24"/>
              </w:rPr>
              <w:t xml:space="preserve">。</w:t>
            </w:r>
            <w:r/>
          </w:p>
        </w:tc>
      </w:tr>
      <w:tr>
        <w:trPr>
          <w:jc w:val="center"/>
          <w:trHeight w:val="621"/>
        </w:trPr>
        <w:tc>
          <w:tcPr>
            <w:tcW w:w="811" w:type="pct"/>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Cs/>
                <w:sz w:val="24"/>
                <w:szCs w:val="24"/>
              </w:rPr>
              <w:t xml:space="preserve">中医紧密型医联体建设方案</w:t>
            </w:r>
            <w:r/>
          </w:p>
          <w:p>
            <w:pPr>
              <w:pStyle w:val="718"/>
              <w:rPr>
                <w:rFonts w:ascii="宋体" w:hAnsi="宋体" w:eastAsia="宋体" w:cs="宋体"/>
                <w:bCs/>
                <w:sz w:val="24"/>
                <w:szCs w:val="24"/>
              </w:rPr>
            </w:pPr>
            <w:r>
              <w:rPr>
                <w:rFonts w:hint="eastAsia" w:ascii="宋体" w:hAnsi="宋体" w:eastAsia="宋体" w:cs="宋体"/>
                <w:bCs/>
                <w:sz w:val="24"/>
                <w:szCs w:val="24"/>
              </w:rPr>
              <w:t xml:space="preserve">（5分）</w:t>
            </w:r>
            <w:r/>
          </w:p>
        </w:tc>
        <w:tc>
          <w:tcPr>
            <w:tcW w:w="4188" w:type="pct"/>
            <w:vAlign w:val="center"/>
            <w:textDirection w:val="lrTb"/>
            <w:noWrap w:val="false"/>
          </w:tcPr>
          <w:p>
            <w:pPr>
              <w:pStyle w:val="718"/>
              <w:rPr>
                <w:rFonts w:ascii="宋体" w:hAnsi="宋体" w:eastAsia="宋体" w:cs="宋体"/>
                <w:bCs/>
                <w:sz w:val="24"/>
                <w:szCs w:val="24"/>
              </w:rPr>
            </w:pPr>
            <w:r>
              <w:rPr>
                <w:rFonts w:hint="eastAsia" w:ascii="宋体" w:hAnsi="宋体" w:eastAsia="宋体" w:cs="宋体"/>
                <w:bCs/>
                <w:sz w:val="24"/>
                <w:szCs w:val="24"/>
                <w:lang w:val="en-US" w:eastAsia="zh-CN"/>
              </w:rPr>
              <w:t xml:space="preserve">投标文件中提供</w:t>
            </w:r>
            <w:r>
              <w:rPr>
                <w:rFonts w:hint="eastAsia" w:ascii="宋体" w:hAnsi="宋体" w:eastAsia="宋体" w:cs="宋体"/>
                <w:bCs/>
                <w:sz w:val="24"/>
                <w:szCs w:val="24"/>
              </w:rPr>
              <w:t xml:space="preserve">中医紧密型医联体建设方案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方案包括但不限于</w:t>
            </w:r>
            <w:r>
              <w:rPr>
                <w:rFonts w:hint="eastAsia" w:ascii="宋体" w:hAnsi="宋体" w:eastAsia="宋体" w:cs="宋体"/>
                <w:bCs/>
                <w:sz w:val="24"/>
                <w:szCs w:val="24"/>
              </w:rPr>
              <w:t xml:space="preserve">统一药品目录、统一药品采购、医联体数据协同、</w:t>
            </w:r>
            <w:r>
              <w:rPr>
                <w:rFonts w:hint="eastAsia" w:ascii="宋体" w:hAnsi="宋体" w:eastAsia="宋体" w:cs="宋体"/>
                <w:bCs/>
                <w:color w:val="000000"/>
                <w:sz w:val="24"/>
                <w:szCs w:val="24"/>
              </w:rPr>
              <w:t xml:space="preserve">医共体成员机构对接与改造</w:t>
            </w:r>
            <w:r>
              <w:rPr>
                <w:rFonts w:hint="eastAsia" w:ascii="宋体" w:hAnsi="宋体" w:eastAsia="宋体" w:cs="宋体"/>
                <w:bCs/>
                <w:sz w:val="24"/>
                <w:szCs w:val="24"/>
              </w:rPr>
              <w:t xml:space="preserve">等功能设计</w:t>
            </w:r>
            <w:r>
              <w:rPr>
                <w:rFonts w:hint="eastAsia" w:ascii="宋体" w:hAnsi="宋体" w:eastAsia="宋体" w:cs="宋体"/>
                <w:bCs/>
                <w:sz w:val="24"/>
                <w:szCs w:val="24"/>
                <w:lang w:val="en-US" w:eastAsia="zh-CN"/>
              </w:rPr>
              <w:t xml:space="preserve">内容</w:t>
            </w:r>
            <w:r>
              <w:rPr>
                <w:rFonts w:hint="eastAsia" w:ascii="宋体" w:hAnsi="宋体" w:eastAsia="宋体" w:cs="宋体"/>
                <w:bCs/>
                <w:sz w:val="24"/>
                <w:szCs w:val="24"/>
              </w:rPr>
              <w:t xml:space="preserve">：</w:t>
            </w:r>
            <w:r/>
          </w:p>
          <w:p>
            <w:pPr>
              <w:pStyle w:val="718"/>
              <w:rPr>
                <w:rFonts w:hint="eastAsia" w:ascii="宋体" w:hAnsi="宋体" w:eastAsia="宋体" w:cs="宋体"/>
                <w:bCs/>
                <w:sz w:val="24"/>
                <w:szCs w:val="24"/>
              </w:rPr>
            </w:pPr>
            <w:r>
              <w:rPr>
                <w:rFonts w:hint="eastAsia" w:ascii="宋体" w:hAnsi="宋体" w:eastAsia="宋体" w:cs="宋体"/>
                <w:bCs/>
                <w:sz w:val="24"/>
                <w:szCs w:val="24"/>
              </w:rPr>
              <w:t xml:space="preserve">方案完整，具备药品管理、基础信息维护、计划生成、订单下达、供应商管理、医共体成员机构对接与改造，流程设计贴合中医院医联体运营模式</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得5分</w:t>
            </w:r>
            <w:r>
              <w:rPr>
                <w:rFonts w:hint="eastAsia" w:ascii="宋体" w:hAnsi="宋体" w:eastAsia="宋体" w:cs="宋体"/>
                <w:bCs/>
                <w:sz w:val="24"/>
                <w:szCs w:val="24"/>
              </w:rPr>
              <w:t xml:space="preserve">；</w:t>
            </w:r>
            <w:r/>
          </w:p>
          <w:p>
            <w:pPr>
              <w:pStyle w:val="718"/>
              <w:rPr>
                <w:rFonts w:ascii="宋体" w:hAnsi="宋体" w:eastAsia="宋体" w:cs="宋体"/>
                <w:bCs/>
                <w:sz w:val="24"/>
                <w:szCs w:val="24"/>
              </w:rPr>
            </w:pPr>
            <w:r>
              <w:rPr>
                <w:rFonts w:hint="eastAsia" w:ascii="宋体" w:hAnsi="宋体" w:eastAsia="宋体" w:cs="宋体"/>
                <w:bCs/>
                <w:sz w:val="24"/>
                <w:szCs w:val="24"/>
              </w:rPr>
              <w:t xml:space="preserve">方案基本满足需求，核心功能具备，细节不完善</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得3分</w:t>
            </w:r>
            <w:r>
              <w:rPr>
                <w:rFonts w:hint="eastAsia" w:ascii="宋体" w:hAnsi="宋体" w:eastAsia="宋体" w:cs="宋体"/>
                <w:bCs/>
                <w:sz w:val="24"/>
                <w:szCs w:val="24"/>
              </w:rPr>
              <w:t xml:space="preserve">；</w:t>
            </w:r>
            <w:r/>
          </w:p>
          <w:p>
            <w:pPr>
              <w:pStyle w:val="718"/>
              <w:rPr>
                <w:rFonts w:hint="eastAsia" w:ascii="宋体" w:hAnsi="宋体" w:eastAsia="宋体" w:cs="宋体"/>
                <w:bCs/>
                <w:sz w:val="24"/>
                <w:szCs w:val="24"/>
                <w:lang w:eastAsia="zh-CN"/>
              </w:rPr>
            </w:pPr>
            <w:r>
              <w:rPr>
                <w:rFonts w:hint="eastAsia" w:ascii="宋体" w:hAnsi="宋体" w:eastAsia="宋体" w:cs="宋体"/>
                <w:bCs/>
                <w:sz w:val="24"/>
                <w:szCs w:val="24"/>
              </w:rPr>
              <w:t xml:space="preserve">方案简略，关键功能缺失</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lang w:val="en-US" w:eastAsia="zh-CN"/>
              </w:rPr>
              <w:t xml:space="preserve">得</w:t>
            </w:r>
            <w:r>
              <w:rPr>
                <w:rFonts w:hint="eastAsia" w:ascii="宋体" w:hAnsi="宋体" w:eastAsia="宋体" w:cs="宋体"/>
                <w:b/>
                <w:bCs w:val="0"/>
                <w:sz w:val="24"/>
                <w:szCs w:val="24"/>
              </w:rPr>
              <w:t xml:space="preserve">1分</w:t>
            </w:r>
            <w:r>
              <w:rPr>
                <w:rFonts w:hint="eastAsia" w:ascii="宋体" w:hAnsi="宋体" w:eastAsia="宋体" w:cs="宋体"/>
                <w:bCs/>
                <w:sz w:val="24"/>
                <w:szCs w:val="24"/>
                <w:lang w:eastAsia="zh-CN"/>
              </w:rPr>
              <w:t xml:space="preserve">；</w:t>
            </w:r>
            <w:r/>
          </w:p>
          <w:p>
            <w:pPr>
              <w:pStyle w:val="718"/>
              <w:rPr>
                <w:rFonts w:ascii="宋体" w:hAnsi="宋体" w:eastAsia="宋体" w:cs="宋体"/>
                <w:bCs/>
                <w:sz w:val="24"/>
                <w:szCs w:val="24"/>
              </w:rPr>
            </w:pPr>
            <w:r>
              <w:rPr>
                <w:rFonts w:hint="eastAsia" w:ascii="宋体" w:hAnsi="宋体" w:eastAsia="宋体" w:cs="宋体"/>
                <w:b/>
                <w:bCs w:val="0"/>
                <w:sz w:val="24"/>
                <w:szCs w:val="24"/>
                <w:lang w:val="en-US" w:eastAsia="zh-CN"/>
              </w:rPr>
              <w:t xml:space="preserve">该项未见阐述不得分</w:t>
            </w:r>
            <w:r>
              <w:rPr>
                <w:rFonts w:hint="eastAsia" w:ascii="宋体" w:hAnsi="宋体" w:eastAsia="宋体" w:cs="宋体"/>
                <w:b/>
                <w:bCs w:val="0"/>
                <w:sz w:val="24"/>
                <w:szCs w:val="24"/>
              </w:rPr>
              <w:t xml:space="preserve">。</w:t>
            </w:r>
            <w:r/>
          </w:p>
        </w:tc>
      </w:tr>
      <w:tr>
        <w:trPr>
          <w:jc w:val="center"/>
          <w:trHeight w:val="621"/>
        </w:trPr>
        <w:tc>
          <w:tcPr>
            <w:tcW w:w="811" w:type="pct"/>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医疗服务绩效评价</w:t>
            </w:r>
            <w:r>
              <w:rPr>
                <w:rFonts w:hint="eastAsia" w:ascii="宋体" w:hAnsi="宋体" w:eastAsia="宋体" w:cs="宋体"/>
                <w:bCs/>
                <w:sz w:val="24"/>
                <w:szCs w:val="24"/>
                <w:lang w:val="en-US" w:eastAsia="zh-CN"/>
              </w:rPr>
              <w:t xml:space="preserve">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Cs/>
                <w:sz w:val="24"/>
                <w:szCs w:val="24"/>
              </w:rPr>
              <w:t xml:space="preserve">(5分)</w:t>
            </w:r>
            <w:r/>
          </w:p>
        </w:tc>
        <w:tc>
          <w:tcPr>
            <w:tcW w:w="4188" w:type="pct"/>
            <w:vAlign w:val="center"/>
            <w:textDirection w:val="lrTb"/>
            <w:noWrap w:val="false"/>
          </w:tcPr>
          <w:p>
            <w:pPr>
              <w:spacing w:line="480" w:lineRule="exact"/>
              <w:rPr>
                <w:rFonts w:ascii="宋体" w:hAnsi="宋体" w:eastAsia="宋体" w:cs="宋体"/>
                <w:bCs/>
                <w:sz w:val="24"/>
                <w:szCs w:val="24"/>
              </w:rPr>
            </w:pPr>
            <w:r>
              <w:rPr>
                <w:rFonts w:hint="eastAsia" w:ascii="宋体" w:hAnsi="宋体" w:eastAsia="宋体" w:cs="宋体"/>
                <w:bCs/>
                <w:sz w:val="24"/>
                <w:szCs w:val="24"/>
                <w:lang w:val="en-US" w:eastAsia="zh-CN"/>
              </w:rPr>
              <w:t xml:space="preserve">投标文件中提供医疗服务绩效评价建设方案，方案包括但不限于</w:t>
            </w:r>
            <w:r>
              <w:rPr>
                <w:rFonts w:hint="eastAsia" w:ascii="宋体" w:hAnsi="宋体" w:eastAsia="宋体" w:cs="宋体"/>
                <w:bCs/>
                <w:sz w:val="24"/>
                <w:szCs w:val="24"/>
              </w:rPr>
              <w:t xml:space="preserve">覆盖病案查询、运营评价、学科发展分析、绩效评价、专项分析、系统配置中心</w:t>
            </w:r>
            <w:r>
              <w:rPr>
                <w:rFonts w:hint="eastAsia" w:ascii="宋体" w:hAnsi="宋体" w:eastAsia="宋体" w:cs="宋体"/>
                <w:bCs/>
                <w:sz w:val="24"/>
                <w:szCs w:val="24"/>
                <w:lang w:val="en-US" w:eastAsia="zh-CN"/>
              </w:rPr>
              <w:t xml:space="preserve">等内容</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完整实现全部模块功能，支持运营指标分析、科室绩效核算、病案数据联动，支持可视化运营看板</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得5分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核心功能满足，部分分析模型、报表模块缺少细化设计</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得3分</w:t>
            </w:r>
            <w:r>
              <w:rPr>
                <w:rFonts w:hint="eastAsia" w:ascii="宋体" w:hAnsi="宋体" w:eastAsia="宋体" w:cs="宋体"/>
                <w:bCs/>
                <w:sz w:val="24"/>
                <w:szCs w:val="24"/>
              </w:rPr>
              <w:t xml:space="preserve">；</w:t>
            </w:r>
            <w:r/>
          </w:p>
          <w:p>
            <w:pPr>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功能描述简略，多项模块未做设计</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得1分</w:t>
            </w:r>
            <w:r>
              <w:rPr>
                <w:rFonts w:hint="eastAsia" w:ascii="宋体" w:hAnsi="宋体" w:eastAsia="宋体" w:cs="宋体"/>
                <w:bCs/>
                <w:sz w:val="24"/>
                <w:szCs w:val="24"/>
                <w:lang w:eastAsia="zh-CN"/>
              </w:rPr>
              <w:t xml:space="preserve">；</w:t>
            </w:r>
            <w:r/>
          </w:p>
          <w:p>
            <w:pPr>
              <w:pStyle w:val="718"/>
              <w:rPr>
                <w:rFonts w:ascii="宋体" w:hAnsi="宋体" w:eastAsia="宋体" w:cs="宋体"/>
                <w:bCs/>
                <w:sz w:val="24"/>
                <w:szCs w:val="24"/>
              </w:rPr>
            </w:pPr>
            <w:r>
              <w:rPr>
                <w:rFonts w:hint="eastAsia" w:ascii="宋体" w:hAnsi="宋体" w:eastAsia="宋体" w:cs="宋体"/>
                <w:b/>
                <w:bCs w:val="0"/>
                <w:sz w:val="24"/>
                <w:szCs w:val="24"/>
                <w:lang w:val="en-US" w:eastAsia="zh-CN"/>
              </w:rPr>
              <w:t xml:space="preserve">该项未见阐述不得分</w:t>
            </w:r>
            <w:r>
              <w:rPr>
                <w:rFonts w:hint="eastAsia" w:ascii="宋体" w:hAnsi="宋体" w:eastAsia="宋体" w:cs="宋体"/>
                <w:b/>
                <w:bCs w:val="0"/>
                <w:sz w:val="24"/>
                <w:szCs w:val="24"/>
              </w:rPr>
              <w:t xml:space="preserve">。</w:t>
            </w:r>
            <w:r/>
          </w:p>
        </w:tc>
      </w:tr>
      <w:tr>
        <w:trPr>
          <w:jc w:val="center"/>
          <w:trHeight w:val="621"/>
        </w:trPr>
        <w:tc>
          <w:tcPr>
            <w:tcW w:w="811" w:type="pct"/>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sz w:val="24"/>
                <w:szCs w:val="24"/>
                <w:lang w:val="en-US" w:eastAsia="zh-CN"/>
              </w:rPr>
            </w:pPr>
            <w:r>
              <w:rPr>
                <w:rFonts w:hint="eastAsia" w:ascii="宋体" w:hAnsi="宋体" w:eastAsia="宋体" w:cs="宋体"/>
                <w:bCs/>
                <w:sz w:val="24"/>
                <w:szCs w:val="24"/>
              </w:rPr>
              <w:t xml:space="preserve">医美数智化管理系统</w:t>
            </w:r>
            <w:r>
              <w:rPr>
                <w:rFonts w:hint="eastAsia" w:ascii="宋体" w:hAnsi="宋体" w:eastAsia="宋体" w:cs="宋体"/>
                <w:bCs/>
                <w:sz w:val="24"/>
                <w:szCs w:val="24"/>
                <w:lang w:val="en-US" w:eastAsia="zh-CN"/>
              </w:rPr>
              <w:t xml:space="preserve">方案</w:t>
            </w:r>
            <w:r/>
          </w:p>
          <w:p>
            <w:pPr>
              <w:pStyle w:val="718"/>
              <w:rPr>
                <w:rFonts w:ascii="宋体" w:hAnsi="宋体" w:eastAsia="宋体" w:cs="宋体"/>
                <w:bCs/>
                <w:sz w:val="24"/>
                <w:szCs w:val="24"/>
              </w:rPr>
            </w:pPr>
            <w:r>
              <w:rPr>
                <w:rFonts w:hint="eastAsia" w:ascii="宋体" w:hAnsi="宋体" w:eastAsia="宋体" w:cs="宋体"/>
                <w:bCs/>
                <w:sz w:val="24"/>
                <w:szCs w:val="24"/>
              </w:rPr>
              <w:t xml:space="preserve">（5分）</w:t>
            </w:r>
            <w:r/>
          </w:p>
        </w:tc>
        <w:tc>
          <w:tcPr>
            <w:tcW w:w="4188" w:type="pct"/>
            <w:vAlign w:val="center"/>
            <w:textDirection w:val="lrTb"/>
            <w:noWrap w:val="false"/>
          </w:tcPr>
          <w:p>
            <w:pPr>
              <w:spacing w:line="480" w:lineRule="exact"/>
              <w:rPr>
                <w:rFonts w:ascii="宋体" w:hAnsi="宋体" w:eastAsia="宋体" w:cs="宋体"/>
                <w:bCs/>
                <w:sz w:val="24"/>
                <w:szCs w:val="24"/>
              </w:rPr>
            </w:pPr>
            <w:r>
              <w:rPr>
                <w:rFonts w:hint="eastAsia" w:ascii="宋体" w:hAnsi="宋体" w:eastAsia="宋体" w:cs="宋体"/>
                <w:bCs/>
                <w:sz w:val="24"/>
                <w:szCs w:val="24"/>
                <w:lang w:val="en-US" w:eastAsia="zh-CN"/>
              </w:rPr>
              <w:t xml:space="preserve">投标文件中提供</w:t>
            </w:r>
            <w:r>
              <w:rPr>
                <w:rFonts w:hint="eastAsia" w:ascii="宋体" w:hAnsi="宋体" w:eastAsia="宋体" w:cs="宋体"/>
                <w:bCs/>
                <w:sz w:val="24"/>
                <w:szCs w:val="24"/>
              </w:rPr>
              <w:t xml:space="preserve">医美数智化管理系统</w:t>
            </w:r>
            <w:r>
              <w:rPr>
                <w:rFonts w:hint="eastAsia" w:ascii="宋体" w:hAnsi="宋体" w:eastAsia="宋体" w:cs="宋体"/>
                <w:bCs/>
                <w:sz w:val="24"/>
                <w:szCs w:val="24"/>
                <w:lang w:val="en-US" w:eastAsia="zh-CN"/>
              </w:rPr>
              <w:t xml:space="preserve">建设方案，方案包括</w:t>
            </w:r>
            <w:r>
              <w:rPr>
                <w:rFonts w:hint="eastAsia" w:ascii="宋体" w:hAnsi="宋体" w:eastAsia="宋体" w:cs="宋体"/>
                <w:bCs/>
                <w:sz w:val="24"/>
                <w:szCs w:val="24"/>
              </w:rPr>
              <w:t xml:space="preserve">科室微站、电子档案、科室服务、影像互联、诊后服务、营销工具、决策分析七大独立功能模块</w:t>
            </w:r>
            <w:r>
              <w:rPr>
                <w:rFonts w:hint="eastAsia" w:ascii="宋体" w:hAnsi="宋体" w:eastAsia="宋体" w:cs="宋体"/>
                <w:bCs/>
                <w:sz w:val="24"/>
                <w:szCs w:val="24"/>
                <w:lang w:val="en-US" w:eastAsia="zh-CN"/>
              </w:rPr>
              <w:t xml:space="preserve">内容</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完整覆盖7项全部功能，适配医美科室全流程独立管理，科室微站、电子档案、影像互联、随访、经营分析等功能设计完善</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得5分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sz w:val="24"/>
                <w:szCs w:val="24"/>
              </w:rPr>
              <w:t xml:space="preserve">核心功能均满足</w:t>
            </w:r>
            <w:r>
              <w:rPr>
                <w:rFonts w:hint="eastAsia" w:ascii="宋体" w:hAnsi="宋体" w:eastAsia="宋体" w:cs="宋体"/>
                <w:bCs/>
                <w:sz w:val="24"/>
                <w:szCs w:val="24"/>
              </w:rPr>
              <w:t xml:space="preserve">，科室微站、电子档案、影像互联、随访、经营分析等模块设计深度不足</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得3分</w:t>
            </w:r>
            <w:r>
              <w:rPr>
                <w:rFonts w:hint="eastAsia" w:ascii="宋体" w:hAnsi="宋体" w:eastAsia="宋体" w:cs="宋体"/>
                <w:bCs/>
                <w:sz w:val="24"/>
                <w:szCs w:val="24"/>
              </w:rPr>
              <w:t xml:space="preserve">；</w:t>
            </w:r>
            <w:r/>
          </w:p>
          <w:p>
            <w:pPr>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多个核心功能描述简单，关键功能缺失</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得1分</w:t>
            </w:r>
            <w:r>
              <w:rPr>
                <w:rFonts w:hint="eastAsia" w:ascii="宋体" w:hAnsi="宋体" w:eastAsia="宋体" w:cs="宋体"/>
                <w:bCs/>
                <w:sz w:val="24"/>
                <w:szCs w:val="24"/>
                <w:lang w:eastAsia="zh-CN"/>
              </w:rPr>
              <w:t xml:space="preserve">；</w:t>
            </w:r>
            <w:r/>
          </w:p>
          <w:p>
            <w:pPr>
              <w:spacing w:line="480" w:lineRule="exact"/>
              <w:rPr>
                <w:rFonts w:ascii="宋体" w:hAnsi="宋体" w:eastAsia="宋体" w:cs="宋体"/>
                <w:bCs/>
                <w:sz w:val="24"/>
                <w:szCs w:val="24"/>
              </w:rPr>
            </w:pPr>
            <w:r>
              <w:rPr>
                <w:rFonts w:hint="eastAsia" w:ascii="宋体" w:hAnsi="宋体" w:eastAsia="宋体" w:cs="宋体"/>
                <w:b/>
                <w:bCs w:val="0"/>
                <w:sz w:val="24"/>
                <w:szCs w:val="24"/>
                <w:lang w:val="en-US" w:eastAsia="zh-CN"/>
              </w:rPr>
              <w:t xml:space="preserve">该项未见阐述不得分</w:t>
            </w:r>
            <w:r>
              <w:rPr>
                <w:rFonts w:hint="eastAsia" w:ascii="宋体" w:hAnsi="宋体" w:eastAsia="宋体" w:cs="宋体"/>
                <w:b/>
                <w:bCs w:val="0"/>
                <w:sz w:val="24"/>
                <w:szCs w:val="24"/>
              </w:rPr>
              <w:t xml:space="preserve">。</w:t>
            </w:r>
            <w:r/>
          </w:p>
        </w:tc>
      </w:tr>
      <w:tr>
        <w:trPr>
          <w:jc w:val="center"/>
          <w:trHeight w:val="621"/>
        </w:trPr>
        <w:tc>
          <w:tcPr>
            <w:tcW w:w="811" w:type="pct"/>
            <w:vAlign w:val="center"/>
            <w:textDirection w:val="lrTb"/>
            <w:noWrap w:val="false"/>
          </w:tcPr>
          <w:p>
            <w:pPr>
              <w:jc w:val="center"/>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医院运营分析管理系统（HRP）</w:t>
            </w:r>
            <w:r>
              <w:rPr>
                <w:rFonts w:hint="eastAsia" w:ascii="宋体" w:hAnsi="宋体" w:eastAsia="宋体" w:cs="宋体"/>
                <w:bCs/>
                <w:color w:val="000000"/>
                <w:sz w:val="24"/>
                <w:szCs w:val="24"/>
                <w:lang w:val="en-US" w:eastAsia="zh-CN"/>
              </w:rPr>
              <w:t xml:space="preserve">方案</w:t>
            </w:r>
            <w:r/>
          </w:p>
          <w:p>
            <w:pPr>
              <w:pStyle w:val="718"/>
              <w:rPr>
                <w:rFonts w:ascii="宋体" w:hAnsi="宋体" w:eastAsia="宋体" w:cs="宋体"/>
                <w:bCs/>
                <w:sz w:val="24"/>
                <w:szCs w:val="24"/>
              </w:rPr>
            </w:pPr>
            <w:r>
              <w:rPr>
                <w:rFonts w:hint="eastAsia" w:ascii="宋体" w:hAnsi="宋体" w:eastAsia="宋体" w:cs="宋体"/>
                <w:bCs/>
                <w:color w:val="000000"/>
                <w:sz w:val="24"/>
                <w:szCs w:val="24"/>
              </w:rPr>
              <w:t xml:space="preserve">（5分）</w:t>
            </w:r>
            <w:r/>
          </w:p>
        </w:tc>
        <w:tc>
          <w:tcPr>
            <w:tcW w:w="4188" w:type="pct"/>
            <w:vAlign w:val="center"/>
            <w:textDirection w:val="lrTb"/>
            <w:noWrap w:val="false"/>
          </w:tcPr>
          <w:p>
            <w:pPr>
              <w:spacing w:line="480" w:lineRule="exact"/>
              <w:rPr>
                <w:rFonts w:ascii="宋体" w:hAnsi="宋体" w:eastAsia="宋体" w:cs="宋体"/>
                <w:bCs/>
                <w:sz w:val="24"/>
                <w:szCs w:val="24"/>
              </w:rPr>
            </w:pPr>
            <w:r>
              <w:rPr>
                <w:rFonts w:hint="eastAsia" w:ascii="宋体" w:hAnsi="宋体" w:eastAsia="宋体" w:cs="宋体"/>
                <w:bCs/>
                <w:sz w:val="24"/>
                <w:szCs w:val="24"/>
                <w:lang w:val="en-US" w:eastAsia="zh-CN"/>
              </w:rPr>
              <w:t xml:space="preserve">投标文件中提供</w:t>
            </w:r>
            <w:r>
              <w:rPr>
                <w:rFonts w:hint="eastAsia" w:ascii="宋体" w:hAnsi="宋体" w:eastAsia="宋体" w:cs="宋体"/>
                <w:bCs/>
                <w:color w:val="000000"/>
                <w:sz w:val="24"/>
                <w:szCs w:val="24"/>
              </w:rPr>
              <w:t xml:space="preserve">医院运营分析管理系统（HRP）</w:t>
            </w:r>
            <w:r>
              <w:rPr>
                <w:rFonts w:hint="eastAsia" w:ascii="宋体" w:hAnsi="宋体" w:eastAsia="宋体" w:cs="宋体"/>
                <w:bCs/>
                <w:color w:val="000000"/>
                <w:sz w:val="24"/>
                <w:szCs w:val="24"/>
                <w:lang w:val="en-US" w:eastAsia="zh-CN"/>
              </w:rPr>
              <w:t xml:space="preserve">建设方案，方案包含</w:t>
            </w:r>
            <w:r>
              <w:rPr>
                <w:rFonts w:hint="eastAsia" w:ascii="宋体" w:hAnsi="宋体" w:eastAsia="宋体" w:cs="宋体"/>
                <w:bCs/>
                <w:sz w:val="24"/>
                <w:szCs w:val="24"/>
              </w:rPr>
              <w:t xml:space="preserve">覆盖基础平台、财务核算、报销管理、全面预算、科室成本、项目成本、DIP成本管理、人力资源、资金管理、电子发票、接口管理、多院区管理</w:t>
            </w:r>
            <w:r>
              <w:rPr>
                <w:rFonts w:hint="eastAsia" w:ascii="宋体" w:hAnsi="宋体" w:eastAsia="宋体" w:cs="宋体"/>
                <w:bCs/>
                <w:sz w:val="24"/>
                <w:szCs w:val="24"/>
                <w:lang w:val="en-US" w:eastAsia="zh-CN"/>
              </w:rPr>
              <w:t xml:space="preserve">等内容</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完整覆盖全部功能模块，支持院科两级成本核算、DIP病种成本分析、多院区统一管控、业财一体化闭环，方案成熟可行</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得5分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核心模块满足，DIP成本、多院区协同等模块设计深度不足</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得3分；</w:t>
            </w:r>
            <w:r/>
          </w:p>
          <w:p>
            <w:pPr>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多个核心功能描述简单，缺少业务流程设计</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得1分</w:t>
            </w:r>
            <w:r>
              <w:rPr>
                <w:rFonts w:hint="eastAsia" w:ascii="宋体" w:hAnsi="宋体" w:eastAsia="宋体" w:cs="宋体"/>
                <w:b/>
                <w:bCs w:val="0"/>
                <w:sz w:val="24"/>
                <w:szCs w:val="24"/>
                <w:lang w:eastAsia="zh-CN"/>
              </w:rPr>
              <w:t xml:space="preserve">；</w:t>
            </w:r>
            <w:r/>
          </w:p>
          <w:p>
            <w:pPr>
              <w:spacing w:line="480" w:lineRule="exact"/>
              <w:rPr>
                <w:rFonts w:ascii="宋体" w:hAnsi="宋体" w:eastAsia="宋体" w:cs="宋体"/>
                <w:bCs/>
                <w:color w:val="000000"/>
                <w:sz w:val="24"/>
                <w:szCs w:val="24"/>
              </w:rPr>
            </w:pPr>
            <w:r>
              <w:rPr>
                <w:rFonts w:hint="eastAsia" w:ascii="宋体" w:hAnsi="宋体" w:eastAsia="宋体" w:cs="宋体"/>
                <w:b/>
                <w:bCs w:val="0"/>
                <w:sz w:val="24"/>
                <w:szCs w:val="24"/>
                <w:lang w:val="en-US" w:eastAsia="zh-CN"/>
              </w:rPr>
              <w:t xml:space="preserve">该项未见阐述不得分</w:t>
            </w:r>
            <w:r>
              <w:rPr>
                <w:rFonts w:hint="eastAsia" w:ascii="宋体" w:hAnsi="宋体" w:eastAsia="宋体" w:cs="宋体"/>
                <w:b/>
                <w:bCs w:val="0"/>
                <w:sz w:val="24"/>
                <w:szCs w:val="24"/>
              </w:rPr>
              <w:t xml:space="preserve">。</w:t>
            </w:r>
            <w:r/>
          </w:p>
        </w:tc>
      </w:tr>
      <w:tr>
        <w:trPr>
          <w:jc w:val="center"/>
          <w:trHeight w:val="621"/>
        </w:trPr>
        <w:tc>
          <w:tcPr>
            <w:tcW w:w="811" w:type="pct"/>
            <w:vAlign w:val="center"/>
            <w:textDirection w:val="lrTb"/>
            <w:noWrap w:val="false"/>
          </w:tcPr>
          <w:p>
            <w:pPr>
              <w:jc w:val="center"/>
              <w:spacing w:line="276" w:lineRule="auto"/>
              <w:rPr>
                <w:rStyle w:val="743"/>
                <w:rFonts w:ascii="宋体" w:hAnsi="宋体" w:eastAsia="宋体" w:cs="宋体"/>
                <w:bCs/>
                <w:sz w:val="24"/>
                <w:szCs w:val="24"/>
              </w:rPr>
            </w:pPr>
            <w:r>
              <w:rPr>
                <w:rStyle w:val="743"/>
                <w:rFonts w:hint="eastAsia" w:ascii="宋体" w:hAnsi="宋体" w:eastAsia="宋体" w:cs="宋体"/>
                <w:bCs/>
                <w:sz w:val="24"/>
                <w:szCs w:val="24"/>
              </w:rPr>
              <w:t xml:space="preserve">售后服务方案</w:t>
            </w:r>
            <w:r/>
          </w:p>
          <w:p>
            <w:pPr>
              <w:jc w:val="center"/>
              <w:spacing w:line="276" w:lineRule="auto"/>
              <w:rPr>
                <w:rFonts w:ascii="宋体" w:hAnsi="宋体" w:eastAsia="宋体" w:cs="宋体"/>
                <w:bCs/>
                <w:sz w:val="24"/>
                <w:szCs w:val="24"/>
              </w:rPr>
            </w:pPr>
            <w:r>
              <w:rPr>
                <w:rStyle w:val="743"/>
                <w:rFonts w:hint="eastAsia" w:ascii="宋体" w:hAnsi="宋体" w:eastAsia="宋体" w:cs="宋体"/>
                <w:bCs/>
                <w:sz w:val="24"/>
                <w:szCs w:val="24"/>
              </w:rPr>
              <w:t xml:space="preserve">（4分）</w:t>
            </w:r>
            <w:r/>
          </w:p>
        </w:tc>
        <w:tc>
          <w:tcPr>
            <w:tcW w:w="4188" w:type="pct"/>
            <w:vAlign w:val="center"/>
            <w:textDirection w:val="lrTb"/>
            <w:noWrap w:val="false"/>
          </w:tcPr>
          <w:p>
            <w:pPr>
              <w:spacing w:line="480" w:lineRule="exact"/>
              <w:rPr>
                <w:rFonts w:ascii="宋体" w:hAnsi="宋体" w:eastAsia="宋体" w:cs="宋体"/>
                <w:bCs/>
                <w:sz w:val="24"/>
                <w:szCs w:val="24"/>
              </w:rPr>
            </w:pP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文件提供售后服务方案，方案包括但不限于售后服务组织架构、服务响应、技术升级服务、维护服务措施等内容：</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方案内容完整，组织架构完善、服务响应及时、服务措施针对性强</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得4分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方案内容比较完整，组织架构比较完善、服务响应比较及时、服务措施针对性较强</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得3分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方案内容简单粗糙，组织架构一般、服务响应缓慢、服务措施针对性一般</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得1分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
                <w:bCs w:val="0"/>
                <w:sz w:val="24"/>
                <w:szCs w:val="24"/>
                <w:lang w:val="en-US" w:eastAsia="zh-CN"/>
              </w:rPr>
              <w:t xml:space="preserve">该项未见阐述不得分</w:t>
            </w:r>
            <w:r>
              <w:rPr>
                <w:rFonts w:hint="eastAsia" w:ascii="宋体" w:hAnsi="宋体" w:eastAsia="宋体" w:cs="宋体"/>
                <w:b/>
                <w:bCs w:val="0"/>
                <w:sz w:val="24"/>
                <w:szCs w:val="24"/>
              </w:rPr>
              <w:t xml:space="preserve">。</w:t>
            </w:r>
            <w:r/>
          </w:p>
        </w:tc>
      </w:tr>
      <w:tr>
        <w:trPr>
          <w:jc w:val="center"/>
          <w:trHeight w:val="621"/>
        </w:trPr>
        <w:tc>
          <w:tcPr>
            <w:tcW w:w="811" w:type="pct"/>
            <w:vAlign w:val="center"/>
            <w:textDirection w:val="lrTb"/>
            <w:noWrap w:val="false"/>
          </w:tcPr>
          <w:p>
            <w:pPr>
              <w:jc w:val="center"/>
              <w:spacing w:line="276" w:lineRule="auto"/>
              <w:rPr>
                <w:rStyle w:val="743"/>
                <w:rFonts w:ascii="宋体" w:hAnsi="宋体" w:eastAsia="宋体" w:cs="宋体"/>
                <w:bCs/>
                <w:sz w:val="24"/>
                <w:szCs w:val="24"/>
              </w:rPr>
            </w:pPr>
            <w:r>
              <w:rPr>
                <w:rStyle w:val="743"/>
                <w:rFonts w:hint="eastAsia" w:ascii="宋体" w:hAnsi="宋体" w:eastAsia="宋体" w:cs="宋体"/>
                <w:bCs/>
                <w:sz w:val="24"/>
                <w:szCs w:val="24"/>
              </w:rPr>
              <w:t xml:space="preserve">培训方案</w:t>
            </w:r>
            <w:r/>
          </w:p>
          <w:p>
            <w:pPr>
              <w:jc w:val="center"/>
              <w:spacing w:line="276" w:lineRule="auto"/>
              <w:rPr>
                <w:rFonts w:ascii="宋体" w:hAnsi="宋体" w:eastAsia="宋体" w:cs="宋体"/>
                <w:bCs/>
                <w:sz w:val="24"/>
                <w:szCs w:val="24"/>
              </w:rPr>
            </w:pPr>
            <w:r>
              <w:rPr>
                <w:rStyle w:val="743"/>
                <w:rFonts w:hint="eastAsia" w:ascii="宋体" w:hAnsi="宋体" w:eastAsia="宋体" w:cs="宋体"/>
                <w:bCs/>
                <w:sz w:val="24"/>
                <w:szCs w:val="24"/>
              </w:rPr>
              <w:t xml:space="preserve">（4分）</w:t>
            </w:r>
            <w:r/>
          </w:p>
        </w:tc>
        <w:tc>
          <w:tcPr>
            <w:tcW w:w="4188" w:type="pct"/>
            <w:vAlign w:val="center"/>
            <w:textDirection w:val="lrTb"/>
            <w:noWrap w:val="false"/>
          </w:tcPr>
          <w:p>
            <w:pPr>
              <w:spacing w:line="480" w:lineRule="exact"/>
              <w:rPr>
                <w:rFonts w:ascii="宋体" w:hAnsi="宋体" w:eastAsia="宋体" w:cs="宋体"/>
                <w:bCs/>
                <w:sz w:val="24"/>
                <w:szCs w:val="24"/>
              </w:rPr>
            </w:pP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文件提供培训方案，方案包括但不限于培训计划、培训内容、培训方式等内容：</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方案内容详尽完善，培训计划安排合理性强、培训内容全面、培训方式切实可行</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得4分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方案内容比较完善，培训计划安排较合理、培训内容比较全面、培训方式可行性较强</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得3分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方案内容简单粗糙，培训计划安排合理性一般、培训内容单一、培训方式可行性一般</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rPr>
              <w:t xml:space="preserve">得1分</w:t>
            </w:r>
            <w:r>
              <w:rPr>
                <w:rFonts w:hint="eastAsia" w:ascii="宋体" w:hAnsi="宋体" w:eastAsia="宋体" w:cs="宋体"/>
                <w:bCs/>
                <w:sz w:val="24"/>
                <w:szCs w:val="24"/>
              </w:rPr>
              <w:t xml:space="preserve">；</w:t>
            </w:r>
            <w:r/>
          </w:p>
          <w:p>
            <w:pPr>
              <w:spacing w:line="480" w:lineRule="exact"/>
              <w:rPr>
                <w:rFonts w:ascii="宋体" w:hAnsi="宋体" w:eastAsia="宋体" w:cs="宋体"/>
                <w:bCs/>
                <w:sz w:val="24"/>
                <w:szCs w:val="24"/>
              </w:rPr>
            </w:pPr>
            <w:r>
              <w:rPr>
                <w:rFonts w:hint="eastAsia" w:ascii="宋体" w:hAnsi="宋体" w:eastAsia="宋体" w:cs="宋体"/>
                <w:b/>
                <w:bCs w:val="0"/>
                <w:sz w:val="24"/>
                <w:szCs w:val="24"/>
                <w:lang w:val="en-US" w:eastAsia="zh-CN"/>
              </w:rPr>
              <w:t xml:space="preserve">该项未见阐述不得分</w:t>
            </w:r>
            <w:r>
              <w:rPr>
                <w:rFonts w:hint="eastAsia" w:ascii="宋体" w:hAnsi="宋体" w:eastAsia="宋体" w:cs="宋体"/>
                <w:b/>
                <w:bCs w:val="0"/>
                <w:sz w:val="24"/>
                <w:szCs w:val="24"/>
              </w:rPr>
              <w:t xml:space="preserve">。</w:t>
            </w:r>
            <w:r/>
          </w:p>
        </w:tc>
      </w:tr>
    </w:tbl>
    <w:p>
      <w:pPr>
        <w:spacing w:line="360" w:lineRule="auto"/>
        <w:rPr>
          <w:rFonts w:ascii="宋体" w:hAnsi="宋体" w:cs="Calibri"/>
          <w:b/>
          <w:color w:val="000000" w:themeColor="text1"/>
          <w:sz w:val="24"/>
          <w:szCs w:val="24"/>
          <w14:textFill>
            <w14:solidFill>
              <w14:schemeClr w14:val="tx1"/>
            </w14:solidFill>
          </w14:textFill>
        </w:rPr>
      </w:pPr>
      <w:r>
        <w:rPr>
          <w:rFonts w:hint="eastAsia" w:ascii="宋体" w:hAnsi="宋体" w:cs="Calibri"/>
          <w:b/>
          <w:color w:val="000000" w:themeColor="text1"/>
          <w:sz w:val="24"/>
          <w:szCs w:val="24"/>
          <w14:textFill>
            <w14:solidFill>
              <w14:schemeClr w14:val="tx1"/>
            </w14:solidFill>
          </w14:textFill>
        </w:rPr>
        <w:t xml:space="preserve">注;</w:t>
      </w:r>
      <w:r/>
    </w:p>
    <w:p>
      <w:pPr>
        <w:spacing w:line="360" w:lineRule="auto"/>
        <w:rPr>
          <w:rFonts w:ascii="宋体" w:hAnsi="宋体" w:cs="Calibri"/>
          <w:b/>
          <w:color w:val="000000" w:themeColor="text1"/>
          <w:sz w:val="24"/>
          <w:szCs w:val="24"/>
          <w14:textFill>
            <w14:solidFill>
              <w14:schemeClr w14:val="tx1"/>
            </w14:solidFill>
          </w14:textFill>
        </w:rPr>
      </w:pPr>
      <w:r>
        <w:rPr>
          <w:rFonts w:hint="eastAsia" w:ascii="宋体" w:hAnsi="宋体" w:cs="Calibri"/>
          <w:b/>
          <w:color w:val="000000" w:themeColor="text1"/>
          <w:sz w:val="24"/>
          <w:szCs w:val="24"/>
          <w14:textFill>
            <w14:solidFill>
              <w14:schemeClr w14:val="tx1"/>
            </w14:solidFill>
          </w14:textFill>
        </w:rPr>
        <w:t xml:space="preserve">1.本项目评标标准的技术分中项目总体方案与需求理解、中医紧密型医联体建设方案、医疗服务绩效评价</w:t>
      </w:r>
      <w:r>
        <w:rPr>
          <w:rFonts w:hint="eastAsia" w:ascii="宋体" w:hAnsi="宋体" w:cs="Calibri"/>
          <w:b/>
          <w:color w:val="000000" w:themeColor="text1"/>
          <w:sz w:val="24"/>
          <w:szCs w:val="24"/>
          <w:lang w:val="en-US" w:eastAsia="zh-CN"/>
          <w14:textFill>
            <w14:solidFill>
              <w14:schemeClr w14:val="tx1"/>
            </w14:solidFill>
          </w14:textFill>
        </w:rPr>
        <w:t xml:space="preserve">方案</w:t>
      </w:r>
      <w:r>
        <w:rPr>
          <w:rFonts w:hint="eastAsia" w:ascii="宋体" w:hAnsi="宋体" w:cs="Calibri"/>
          <w:b/>
          <w:color w:val="000000" w:themeColor="text1"/>
          <w:sz w:val="24"/>
          <w:szCs w:val="24"/>
          <w14:textFill>
            <w14:solidFill>
              <w14:schemeClr w14:val="tx1"/>
            </w14:solidFill>
          </w14:textFill>
        </w:rPr>
        <w:t xml:space="preserve">、医美数智化管理系统</w:t>
      </w:r>
      <w:r>
        <w:rPr>
          <w:rFonts w:hint="eastAsia" w:ascii="宋体" w:hAnsi="宋体" w:cs="Calibri"/>
          <w:b/>
          <w:color w:val="000000" w:themeColor="text1"/>
          <w:sz w:val="24"/>
          <w:szCs w:val="24"/>
          <w:lang w:val="en-US" w:eastAsia="zh-CN"/>
          <w14:textFill>
            <w14:solidFill>
              <w14:schemeClr w14:val="tx1"/>
            </w14:solidFill>
          </w14:textFill>
        </w:rPr>
        <w:t xml:space="preserve">方案</w:t>
      </w:r>
      <w:r>
        <w:rPr>
          <w:rFonts w:hint="eastAsia" w:ascii="宋体" w:hAnsi="宋体" w:cs="Calibri"/>
          <w:b/>
          <w:color w:val="000000" w:themeColor="text1"/>
          <w:sz w:val="24"/>
          <w:szCs w:val="24"/>
          <w14:textFill>
            <w14:solidFill>
              <w14:schemeClr w14:val="tx1"/>
            </w14:solidFill>
          </w14:textFill>
        </w:rPr>
        <w:t xml:space="preserve">、医院运营分析管理系统（HRP）</w:t>
      </w:r>
      <w:r>
        <w:rPr>
          <w:rFonts w:hint="eastAsia" w:ascii="宋体" w:hAnsi="宋体" w:cs="Calibri"/>
          <w:b/>
          <w:color w:val="000000" w:themeColor="text1"/>
          <w:sz w:val="24"/>
          <w:szCs w:val="24"/>
          <w:lang w:val="en-US" w:eastAsia="zh-CN"/>
          <w14:textFill>
            <w14:solidFill>
              <w14:schemeClr w14:val="tx1"/>
            </w14:solidFill>
          </w14:textFill>
        </w:rPr>
        <w:t xml:space="preserve">方案</w:t>
      </w:r>
      <w:r>
        <w:rPr>
          <w:rFonts w:hint="eastAsia" w:ascii="宋体" w:hAnsi="宋体" w:cs="Calibri"/>
          <w:b/>
          <w:color w:val="000000" w:themeColor="text1"/>
          <w:sz w:val="24"/>
          <w:szCs w:val="24"/>
          <w14:textFill>
            <w14:solidFill>
              <w14:schemeClr w14:val="tx1"/>
            </w14:solidFill>
          </w14:textFill>
        </w:rPr>
        <w:t xml:space="preserve">、售后服务方案、培训方案（共</w:t>
      </w:r>
      <w:r>
        <w:rPr>
          <w:rFonts w:hint="eastAsia" w:ascii="宋体" w:hAnsi="宋体" w:cs="Calibri"/>
          <w:b/>
          <w:color w:val="000000" w:themeColor="text1"/>
          <w:sz w:val="24"/>
          <w:szCs w:val="24"/>
          <w:lang w:val="en-US" w:eastAsia="zh-CN"/>
          <w14:textFill>
            <w14:solidFill>
              <w14:schemeClr w14:val="tx1"/>
            </w14:solidFill>
          </w14:textFill>
        </w:rPr>
        <w:t xml:space="preserve">34</w:t>
      </w:r>
      <w:r>
        <w:rPr>
          <w:rFonts w:hint="eastAsia" w:ascii="宋体" w:hAnsi="宋体" w:cs="Calibri"/>
          <w:b/>
          <w:color w:val="000000" w:themeColor="text1"/>
          <w:sz w:val="24"/>
          <w:szCs w:val="24"/>
          <w14:textFill>
            <w14:solidFill>
              <w14:schemeClr w14:val="tx1"/>
            </w14:solidFill>
          </w14:textFill>
        </w:rPr>
        <w:t xml:space="preserve">分）采用暗标方式进行评审。</w:t>
      </w:r>
      <w:r/>
    </w:p>
    <w:p>
      <w:pPr>
        <w:spacing w:line="360" w:lineRule="auto"/>
        <w:rPr>
          <w:rFonts w:ascii="宋体" w:hAnsi="宋体" w:cs="Calibri"/>
          <w:b/>
          <w:color w:val="000000" w:themeColor="text1"/>
          <w:sz w:val="24"/>
          <w:szCs w:val="24"/>
          <w14:textFill>
            <w14:solidFill>
              <w14:schemeClr w14:val="tx1"/>
            </w14:solidFill>
          </w14:textFill>
        </w:rPr>
      </w:pPr>
      <w:r>
        <w:rPr>
          <w:rFonts w:hint="eastAsia" w:ascii="宋体" w:hAnsi="宋体" w:cs="Calibri"/>
          <w:b/>
          <w:color w:val="000000" w:themeColor="text1"/>
          <w:sz w:val="24"/>
          <w:szCs w:val="24"/>
          <w14:textFill>
            <w14:solidFill>
              <w14:schemeClr w14:val="tx1"/>
            </w14:solidFill>
          </w14:textFill>
        </w:rPr>
        <w:t xml:space="preserve">2.编制要求：</w:t>
      </w:r>
      <w:r/>
    </w:p>
    <w:p>
      <w:pPr>
        <w:ind w:firstLine="482"/>
        <w:spacing w:line="400" w:lineRule="exact"/>
        <w:rPr>
          <w:rFonts w:ascii="宋体" w:hAnsi="宋体" w:cs="Calibri"/>
          <w:b/>
          <w:color w:val="000000" w:themeColor="text1"/>
          <w:sz w:val="24"/>
          <w:szCs w:val="24"/>
          <w14:textFill>
            <w14:solidFill>
              <w14:schemeClr w14:val="tx1"/>
            </w14:solidFill>
          </w14:textFill>
        </w:rPr>
      </w:pPr>
      <w:r>
        <w:rPr>
          <w:rFonts w:hint="eastAsia" w:ascii="宋体" w:hAnsi="宋体" w:cs="Calibri"/>
          <w:b/>
          <w:color w:val="000000" w:themeColor="text1"/>
          <w:sz w:val="24"/>
          <w:szCs w:val="24"/>
          <w14:textFill>
            <w14:solidFill>
              <w14:schemeClr w14:val="tx1"/>
            </w14:solidFill>
          </w14:textFill>
        </w:rPr>
        <w:t xml:space="preserve">2.1方案内容、文字、各类型图表、框图均不得出现供应商名称、相关人员姓名和其他可识别供应商身份的字符、徽标、人员名称、</w:t>
      </w:r>
      <w:r>
        <w:rPr>
          <w:rFonts w:ascii="宋体" w:hAnsi="宋体" w:cs="Calibri"/>
          <w:b/>
          <w:color w:val="000000" w:themeColor="text1"/>
          <w:sz w:val="24"/>
          <w:szCs w:val="24"/>
          <w14:textFill>
            <w14:solidFill>
              <w14:schemeClr w14:val="tx1"/>
            </w14:solidFill>
          </w14:textFill>
        </w:rPr>
        <w:t xml:space="preserve">投标人独享的企业标准或编号</w:t>
      </w:r>
      <w:r>
        <w:rPr>
          <w:rFonts w:hint="eastAsia" w:ascii="宋体" w:hAnsi="宋体" w:cs="Calibri"/>
          <w:b/>
          <w:color w:val="000000" w:themeColor="text1"/>
          <w:sz w:val="24"/>
          <w:szCs w:val="24"/>
          <w14:textFill>
            <w14:solidFill>
              <w14:schemeClr w14:val="tx1"/>
            </w14:solidFill>
          </w14:textFill>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themeColor="text1"/>
          <w:sz w:val="24"/>
          <w:szCs w:val="24"/>
          <w14:textFill>
            <w14:solidFill>
              <w14:schemeClr w14:val="tx1"/>
            </w14:solidFill>
          </w14:textFill>
        </w:rPr>
        <w:t xml:space="preserve">相关人员姓名应以职务或职称代替</w:t>
      </w:r>
      <w:r>
        <w:rPr>
          <w:rFonts w:hint="eastAsia" w:ascii="宋体" w:hAnsi="宋体" w:cs="Calibri"/>
          <w:b/>
          <w:color w:val="000000" w:themeColor="text1"/>
          <w:sz w:val="24"/>
          <w:szCs w:val="24"/>
          <w14:textFill>
            <w14:solidFill>
              <w14:schemeClr w14:val="tx1"/>
            </w14:solidFill>
          </w14:textFill>
        </w:rPr>
        <w:t xml:space="preserve">。</w:t>
      </w:r>
      <w:r/>
    </w:p>
    <w:p>
      <w:pPr>
        <w:ind w:firstLine="482"/>
        <w:jc w:val="left"/>
        <w:spacing w:line="360" w:lineRule="auto"/>
        <w:widowControl/>
        <w:rPr>
          <w:rFonts w:ascii="宋体" w:hAnsi="宋体" w:cs="Calibri"/>
          <w:b/>
          <w:bCs/>
          <w:color w:val="000000" w:themeColor="text1"/>
          <w:sz w:val="24"/>
          <w:szCs w:val="24"/>
          <w14:textFill>
            <w14:solidFill>
              <w14:schemeClr w14:val="tx1"/>
            </w14:solidFill>
          </w14:textFill>
        </w:rPr>
      </w:pPr>
      <w:r>
        <w:rPr>
          <w:rFonts w:hint="eastAsia" w:ascii="宋体" w:hAnsi="宋体" w:cs="Calibri"/>
          <w:b/>
          <w:color w:val="000000" w:themeColor="text1"/>
          <w:sz w:val="24"/>
          <w:szCs w:val="24"/>
          <w14:textFill>
            <w14:solidFill>
              <w14:schemeClr w14:val="tx1"/>
            </w14:solidFill>
          </w14:textFill>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highlight w:val="yellow"/>
        </w:rPr>
      </w:pPr>
      <w:r>
        <w:rPr>
          <w:rFonts w:hint="eastAsia" w:ascii="宋体" w:hAnsi="宋体" w:cs="Calibri"/>
          <w:b/>
          <w:color w:val="000000" w:themeColor="text1"/>
          <w:sz w:val="24"/>
          <w:szCs w:val="24"/>
          <w14:textFill>
            <w14:solidFill>
              <w14:schemeClr w14:val="tx1"/>
            </w14:solidFill>
          </w14:textFill>
        </w:rPr>
        <w:t xml:space="preserve">2.3供应商需按照上述要求编制方案，未按要求编制的本项不得分。</w:t>
      </w:r>
      <w:r/>
    </w:p>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711"/>
        <w:jc w:val="center"/>
        <w:spacing w:before="156" w:after="156" w:line="360" w:lineRule="auto"/>
        <w:rPr>
          <w:rFonts w:ascii="黑体" w:hAnsi="黑体" w:eastAsia="黑体"/>
          <w:b w:val="0"/>
        </w:rPr>
      </w:pPr>
      <w:r/>
      <w:bookmarkStart w:id="18" w:name="_Toc162361615"/>
      <w:r>
        <w:rPr>
          <w:rFonts w:hint="eastAsia" w:ascii="黑体" w:hAnsi="黑体" w:eastAsia="黑体"/>
          <w:b w:val="0"/>
        </w:rPr>
        <w:t xml:space="preserve">第六章  投标文件格式</w:t>
      </w:r>
      <w:bookmarkEnd w:id="1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i/>
          <w:iCs/>
          <w:sz w:val="36"/>
          <w:szCs w:val="36"/>
          <w:u w:val="single"/>
        </w:rPr>
        <w:outlineLvl w:val="1"/>
      </w:pPr>
      <w:r>
        <w:rPr>
          <w:rFonts w:hint="eastAsia" w:ascii="宋体" w:hAnsi="宋体" w:eastAsia="宋体" w:cs="宋体"/>
          <w:b/>
          <w:i/>
          <w:iCs/>
          <w:sz w:val="36"/>
          <w:szCs w:val="36"/>
          <w:u w:val="single"/>
        </w:rPr>
        <w:t xml:space="preserve">一、法人或者其他组织的营业执照等证明文件，自然人的身份证明</w:t>
      </w:r>
      <w:r/>
    </w:p>
    <w:p>
      <w:r/>
      <w:r/>
    </w:p>
    <w:p>
      <w:r/>
      <w:r/>
    </w:p>
    <w:p>
      <w:r/>
      <w:r/>
    </w:p>
    <w:p>
      <w:r/>
      <w:r/>
    </w:p>
    <w:p>
      <w:pPr>
        <w:jc w:val="left"/>
        <w:spacing w:line="500" w:lineRule="exact"/>
        <w:rPr>
          <w:rFonts w:hint="eastAsia" w:ascii="Arial" w:hAnsi="Arial" w:eastAsia="宋体" w:cs="Arial"/>
          <w:b/>
          <w:i/>
          <w:iCs/>
          <w:sz w:val="36"/>
          <w:u w:val="single"/>
        </w:rPr>
      </w:pPr>
      <w:r>
        <w:rPr>
          <w:rFonts w:hint="eastAsia" w:ascii="Arial" w:hAnsi="Arial" w:eastAsia="宋体" w:cs="Arial"/>
          <w:b/>
          <w:i/>
          <w:iCs/>
          <w:sz w:val="36"/>
          <w:u w:val="single"/>
        </w:rPr>
        <w:t xml:space="preserve">二、上一年度的财务状况报告</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
          <w:iCs w:val="0"/>
          <w:sz w:val="36"/>
          <w:u w:val="single"/>
        </w:rPr>
        <w:outlineLvl w:val="1"/>
      </w:pPr>
      <w:r>
        <w:rPr>
          <w:rFonts w:hint="eastAsia" w:ascii="Arial" w:hAnsi="Arial" w:eastAsia="宋体" w:cs="Arial"/>
          <w:b/>
          <w:i/>
          <w:iCs w:val="0"/>
          <w:sz w:val="36"/>
          <w:u w:val="single"/>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
          <w:iCs w:val="0"/>
          <w:sz w:val="36"/>
          <w:u w:val="single"/>
        </w:rPr>
        <w:outlineLvl w:val="1"/>
      </w:pPr>
      <w:r>
        <w:rPr>
          <w:rFonts w:hint="eastAsia" w:ascii="Arial" w:hAnsi="Arial" w:eastAsia="宋体" w:cs="Arial"/>
          <w:b/>
          <w:i/>
          <w:iCs w:val="0"/>
          <w:sz w:val="36"/>
          <w:u w:val="single"/>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
          <w:iCs w:val="0"/>
          <w:sz w:val="36"/>
          <w:u w:val="single"/>
        </w:rPr>
        <w:outlineLvl w:val="1"/>
      </w:pPr>
      <w:r>
        <w:rPr>
          <w:rFonts w:hint="eastAsia" w:ascii="Arial" w:hAnsi="Arial" w:eastAsia="宋体" w:cs="Arial"/>
          <w:b/>
          <w:i/>
          <w:iCs w:val="0"/>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
          <w:iCs w:val="0"/>
          <w:sz w:val="36"/>
          <w:u w:val="single"/>
        </w:rPr>
        <w:outlineLvl w:val="1"/>
      </w:pPr>
      <w:r>
        <w:rPr>
          <w:rFonts w:hint="eastAsia" w:ascii="Arial" w:hAnsi="Arial" w:eastAsia="宋体" w:cs="Arial"/>
          <w:b/>
          <w:i/>
          <w:iCs w:val="0"/>
          <w:sz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
          <w:iCs w:val="0"/>
          <w:sz w:val="36"/>
          <w:u w:val="single"/>
        </w:rPr>
        <w:outlineLvl w:val="1"/>
      </w:pPr>
      <w:r>
        <w:rPr>
          <w:rFonts w:hint="eastAsia" w:ascii="Arial" w:hAnsi="Arial" w:eastAsia="宋体" w:cs="Arial"/>
          <w:b/>
          <w:i/>
          <w:iCs w:val="0"/>
          <w:sz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
          <w:iCs w:val="0"/>
          <w:sz w:val="36"/>
          <w:u w:val="single"/>
        </w:rPr>
        <w:outlineLvl w:val="1"/>
      </w:pPr>
      <w:r>
        <w:rPr>
          <w:rFonts w:hint="eastAsia" w:ascii="Arial" w:hAnsi="Arial" w:eastAsia="宋体" w:cs="Arial"/>
          <w:b/>
          <w:i/>
          <w:iCs w:val="0"/>
          <w:sz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
          <w:iCs w:val="0"/>
          <w:sz w:val="36"/>
          <w:u w:val="single"/>
        </w:rPr>
        <w:outlineLvl w:val="1"/>
      </w:pPr>
      <w:r>
        <w:rPr>
          <w:rFonts w:hint="eastAsia" w:ascii="Arial" w:hAnsi="Arial" w:eastAsia="宋体" w:cs="Arial"/>
          <w:b/>
          <w:i/>
          <w:iCs w:val="0"/>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i/>
          <w:iCs w:val="0"/>
          <w:color w:val="000000"/>
          <w:sz w:val="32"/>
          <w:szCs w:val="32"/>
          <w:u w:val="single"/>
        </w:rPr>
        <w:outlineLvl w:val="1"/>
      </w:pPr>
      <w:r>
        <w:rPr>
          <w:rFonts w:hint="eastAsia" w:ascii="Arial" w:hAnsi="Arial" w:eastAsia="宋体" w:cs="Arial"/>
          <w:b/>
          <w:i/>
          <w:iCs w:val="0"/>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b/>
          <w:i/>
          <w:iCs w:val="0"/>
          <w:sz w:val="36"/>
          <w:highlight w:val="none"/>
          <w:u w:val="single"/>
        </w:rPr>
        <w:outlineLvl w:val="1"/>
      </w:pPr>
      <w:r>
        <w:rPr>
          <w:rFonts w:hint="eastAsia" w:ascii="Arial" w:hAnsi="Arial" w:eastAsia="宋体" w:cs="Arial"/>
          <w:b/>
          <w:i/>
          <w:iCs w:val="0"/>
          <w:sz w:val="36"/>
          <w:highlight w:val="none"/>
          <w:u w:val="single"/>
        </w:rPr>
        <w:t xml:space="preserve">十</w:t>
      </w:r>
      <w:r>
        <w:rPr>
          <w:rFonts w:hint="eastAsia" w:ascii="Arial" w:hAnsi="Arial" w:eastAsia="宋体" w:cs="Arial"/>
          <w:b/>
          <w:i/>
          <w:iCs w:val="0"/>
          <w:sz w:val="36"/>
          <w:highlight w:val="none"/>
          <w:u w:val="single"/>
          <w:lang w:val="en-US" w:eastAsia="zh-CN"/>
        </w:rPr>
        <w:t xml:space="preserve">三</w:t>
      </w:r>
      <w:r>
        <w:rPr>
          <w:rFonts w:hint="eastAsia" w:ascii="Arial" w:hAnsi="Arial" w:eastAsia="宋体" w:cs="Arial"/>
          <w:b/>
          <w:i/>
          <w:iCs w:val="0"/>
          <w:sz w:val="36"/>
          <w:highlight w:val="none"/>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715"/>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pPr>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十四、</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p>
    <w:p>
      <w:pPr>
        <w:pStyle w:val="745"/>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45"/>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208915</wp:posOffset>
                </wp:positionH>
                <wp:positionV relativeFrom="paragraph">
                  <wp:posOffset>615950</wp:posOffset>
                </wp:positionV>
                <wp:extent cx="565785" cy="130810"/>
                <wp:effectExtent l="1270" t="4445" r="4445" b="1714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16.4pt;mso-position-horizontal:absolute;mso-position-vertical-relative:text;margin-top:48.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2154555</wp:posOffset>
                </wp:positionH>
                <wp:positionV relativeFrom="paragraph">
                  <wp:posOffset>641985</wp:posOffset>
                </wp:positionV>
                <wp:extent cx="876300" cy="120015"/>
                <wp:effectExtent l="635" t="4445" r="18415" b="889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69.7pt;mso-position-horizontal:absolute;mso-position-vertical-relative:text;margin-top:50.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746"/>
          <w:rFonts w:hint="eastAsia" w:ascii="宋体" w:hAnsi="宋体" w:eastAsia="宋体" w:cs="宋体"/>
          <w:i w:val="0"/>
          <w:color w:val="000000"/>
          <w:sz w:val="24"/>
          <w:szCs w:val="24"/>
          <w:highlight w:val="none"/>
          <w:u w:val="single"/>
          <w:shd w:val="clear" w:color="auto" w:fill="ffffff"/>
        </w:rPr>
        <w:t xml:space="preserve">（产品名称1）</w:t>
      </w:r>
      <w:r>
        <w:rPr>
          <w:rStyle w:val="746"/>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746"/>
          <w:rFonts w:hint="eastAsia" w:ascii="宋体" w:hAnsi="宋体" w:eastAsia="宋体" w:cs="宋体"/>
          <w:i w:val="0"/>
          <w:color w:val="000000"/>
          <w:sz w:val="24"/>
          <w:szCs w:val="24"/>
          <w:highlight w:val="none"/>
          <w:u w:val="single"/>
          <w:shd w:val="clear" w:color="auto" w:fill="ffffff"/>
        </w:rPr>
        <w:t xml:space="preserve">（厂名）</w:t>
      </w:r>
      <w:r>
        <w:rPr>
          <w:rStyle w:val="746"/>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746"/>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746"/>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746"/>
          <w:rFonts w:hint="eastAsia" w:ascii="宋体" w:hAnsi="宋体" w:eastAsia="宋体" w:cs="宋体"/>
          <w:i w:val="0"/>
          <w:color w:val="000000"/>
          <w:sz w:val="24"/>
          <w:szCs w:val="24"/>
          <w:highlight w:val="none"/>
          <w:u w:val="single"/>
          <w:shd w:val="clear" w:color="auto" w:fill="ffffff"/>
        </w:rPr>
        <w:t xml:space="preserve">（规定比例）</w:t>
      </w:r>
      <w:r>
        <w:rPr>
          <w:rStyle w:val="746"/>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74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746"/>
          <w:rFonts w:hint="eastAsia" w:ascii="宋体" w:hAnsi="宋体" w:eastAsia="宋体" w:cs="宋体"/>
          <w:i w:val="0"/>
          <w:color w:val="000000"/>
          <w:sz w:val="24"/>
          <w:szCs w:val="24"/>
          <w:highlight w:val="none"/>
          <w:u w:val="single"/>
          <w:shd w:val="clear" w:color="auto" w:fill="ffffff"/>
        </w:rPr>
        <w:t xml:space="preserve">（关键组件）</w:t>
      </w:r>
      <w:r>
        <w:rPr>
          <w:rStyle w:val="746"/>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74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746"/>
          <w:rFonts w:hint="eastAsia" w:ascii="宋体" w:hAnsi="宋体" w:eastAsia="宋体" w:cs="宋体"/>
          <w:i w:val="0"/>
          <w:color w:val="000000"/>
          <w:sz w:val="24"/>
          <w:szCs w:val="24"/>
          <w:highlight w:val="none"/>
          <w:u w:val="single"/>
          <w:shd w:val="clear" w:color="auto" w:fill="ffffff"/>
        </w:rPr>
        <w:t xml:space="preserve">（关键工序）</w:t>
      </w:r>
      <w:r>
        <w:rPr>
          <w:rStyle w:val="746"/>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745"/>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626745</wp:posOffset>
                </wp:positionV>
                <wp:extent cx="424815" cy="112395"/>
                <wp:effectExtent l="1270" t="4445" r="12065" b="1651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0.0pt;mso-position-horizontal:absolute;mso-position-vertical-relative:text;margin-top:49.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74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746"/>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746"/>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74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746"/>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74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746"/>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74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746"/>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745"/>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745"/>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5"/>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745"/>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7.</w:t>
      </w:r>
      <w:r>
        <w:rPr>
          <w:rFonts w:hint="eastAsia" w:ascii="宋体" w:hAnsi="宋体" w:eastAsia="宋体" w:cs="宋体"/>
          <w:color w:val="000000"/>
          <w:sz w:val="24"/>
          <w:szCs w:val="24"/>
          <w:highlight w:val="none"/>
          <w:shd w:val="clear" w:color="auto" w:fill="ffffff"/>
        </w:rPr>
        <w:t xml:space="preserve">请供应商如实填写，如填写有误，将承担一切不利后果。</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8.</w:t>
      </w:r>
      <w:r>
        <w:rPr>
          <w:rFonts w:hint="eastAsia" w:ascii="宋体" w:hAnsi="宋体" w:eastAsia="宋体" w:cs="宋体"/>
          <w:color w:val="000000"/>
          <w:sz w:val="24"/>
          <w:szCs w:val="24"/>
          <w:highlight w:val="none"/>
          <w:shd w:val="clear" w:color="auto" w:fill="ffffff"/>
        </w:rPr>
        <w:t xml:space="preserve">供应商提供虚假《声明函》、虚假证明文件谋取中标的，依照《中华人民共和国政府采购法》等法律法规规定追究相应责任。</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9.中标人的《声明函》或有关证明文件随中标结果公开，接受社会监督。</w:t>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r>
      <w:r/>
    </w:p>
    <w:p>
      <w:pPr>
        <w:pStyle w:val="745"/>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r>
      <w:r/>
    </w:p>
    <w:p>
      <w:r/>
      <w:r/>
    </w:p>
    <w:p>
      <w:r/>
      <w:r/>
    </w:p>
    <w:p>
      <w:r/>
      <w:r/>
    </w:p>
    <w:p>
      <w:r/>
      <w:r/>
    </w:p>
    <w:p>
      <w:pPr>
        <w:jc w:val="left"/>
        <w:keepLines/>
        <w:keepNext/>
        <w:spacing w:before="360" w:after="200" w:line="360" w:lineRule="auto"/>
        <w:rPr>
          <w:rFonts w:ascii="Arial" w:hAnsi="Arial" w:eastAsia="宋体" w:cs="Arial"/>
          <w:b/>
          <w:i/>
          <w:iCs w:val="0"/>
          <w:sz w:val="36"/>
          <w:highlight w:val="none"/>
          <w:u w:val="single"/>
        </w:rPr>
        <w:outlineLvl w:val="1"/>
      </w:pPr>
      <w:r>
        <w:rPr>
          <w:rFonts w:hint="eastAsia" w:ascii="Arial" w:hAnsi="Arial" w:eastAsia="宋体" w:cs="Arial"/>
          <w:b/>
          <w:i/>
          <w:iCs w:val="0"/>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15"/>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
          <w:iCs w:val="0"/>
          <w:sz w:val="36"/>
          <w:highlight w:val="none"/>
          <w:u w:val="single"/>
        </w:rPr>
        <w:outlineLvl w:val="1"/>
      </w:pPr>
      <w:r/>
      <w:bookmarkStart w:id="19" w:name="_Hlt26955054"/>
      <w:r/>
      <w:bookmarkEnd w:id="19"/>
      <w:r>
        <w:rPr>
          <w:rFonts w:hint="eastAsia" w:ascii="Arial" w:hAnsi="Arial" w:eastAsia="宋体" w:cs="Arial"/>
          <w:b/>
          <w:i/>
          <w:iCs w:val="0"/>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15"/>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20" w:name="_Hlt26671343"/>
            <w:r/>
            <w:bookmarkEnd w:id="20"/>
            <w:r/>
            <w:bookmarkStart w:id="21" w:name="_Hlt26955056"/>
            <w:r/>
            <w:bookmarkEnd w:id="21"/>
            <w:r/>
            <w:bookmarkStart w:id="22" w:name="_Hlt26955064"/>
            <w:r/>
            <w:bookmarkEnd w:id="22"/>
            <w:r/>
            <w:bookmarkStart w:id="23" w:name="_Hlt26671372"/>
            <w:r/>
            <w:bookmarkEnd w:id="23"/>
            <w:r/>
            <w:bookmarkStart w:id="24" w:name="_Hlt26609391"/>
            <w:r/>
            <w:bookmarkEnd w:id="24"/>
            <w:r/>
            <w:bookmarkStart w:id="25" w:name="_Hlt26782999"/>
            <w:r/>
            <w:bookmarkEnd w:id="25"/>
            <w:r/>
            <w:bookmarkStart w:id="26" w:name="_Hlt26580838"/>
            <w:r/>
            <w:bookmarkEnd w:id="26"/>
            <w:r/>
            <w:bookmarkStart w:id="27" w:name="_Hlt24879081"/>
            <w:r/>
            <w:bookmarkEnd w:id="27"/>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8" w:name="_Hlt26671374"/>
      <w:r/>
      <w:bookmarkEnd w:id="28"/>
      <w:r/>
      <w:bookmarkStart w:id="29" w:name="_Hlt26955066"/>
      <w:r/>
      <w:bookmarkEnd w:id="29"/>
      <w:r/>
      <w:bookmarkStart w:id="30" w:name="_Hlt26609389"/>
      <w:r/>
      <w:bookmarkEnd w:id="30"/>
      <w:r/>
      <w:bookmarkStart w:id="31" w:name="_格式2__法定代表人授权书"/>
      <w:r/>
      <w:bookmarkEnd w:id="31"/>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15"/>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15"/>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i/>
          <w:iCs/>
          <w:sz w:val="36"/>
          <w:highlight w:val="none"/>
          <w:u w:val="single"/>
        </w:rPr>
        <w:outlineLvl w:val="1"/>
      </w:pPr>
      <w:r>
        <w:rPr>
          <w:rFonts w:hint="eastAsia" w:ascii="Arial" w:hAnsi="Arial" w:eastAsia="宋体" w:cs="Arial"/>
          <w:b/>
          <w:i/>
          <w:iCs/>
          <w:sz w:val="36"/>
          <w:highlight w:val="none"/>
          <w:u w:val="singl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72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719"/>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r/>
  </w:p>
  <w:p>
    <w:pPr>
      <w:pStyle w:val="7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22"/>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1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21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21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21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21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21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8"/>
  </w:num>
  <w:num w:numId="3">
    <w:abstractNumId w:val="18"/>
  </w:num>
  <w:num w:numId="4">
    <w:abstractNumId w:val="25"/>
  </w:num>
  <w:num w:numId="5">
    <w:abstractNumId w:val="33"/>
  </w:num>
  <w:num w:numId="6">
    <w:abstractNumId w:val="0"/>
  </w:num>
  <w:num w:numId="7">
    <w:abstractNumId w:val="2"/>
  </w:num>
  <w:num w:numId="8">
    <w:abstractNumId w:val="14"/>
  </w:num>
  <w:num w:numId="9">
    <w:abstractNumId w:val="24"/>
  </w:num>
  <w:num w:numId="10">
    <w:abstractNumId w:val="35"/>
  </w:num>
  <w:num w:numId="11">
    <w:abstractNumId w:val="27"/>
  </w:num>
  <w:num w:numId="12">
    <w:abstractNumId w:val="4"/>
  </w:num>
  <w:num w:numId="13">
    <w:abstractNumId w:val="31"/>
  </w:num>
  <w:num w:numId="14">
    <w:abstractNumId w:val="11"/>
  </w:num>
  <w:num w:numId="15">
    <w:abstractNumId w:val="28"/>
  </w:num>
  <w:num w:numId="16">
    <w:abstractNumId w:val="36"/>
  </w:num>
  <w:num w:numId="17">
    <w:abstractNumId w:val="5"/>
  </w:num>
  <w:num w:numId="18">
    <w:abstractNumId w:val="6"/>
  </w:num>
  <w:num w:numId="19">
    <w:abstractNumId w:val="29"/>
  </w:num>
  <w:num w:numId="20">
    <w:abstractNumId w:val="21"/>
  </w:num>
  <w:num w:numId="21">
    <w:abstractNumId w:val="16"/>
  </w:num>
  <w:num w:numId="22">
    <w:abstractNumId w:val="17"/>
  </w:num>
  <w:num w:numId="23">
    <w:abstractNumId w:val="13"/>
  </w:num>
  <w:num w:numId="24">
    <w:abstractNumId w:val="20"/>
  </w:num>
  <w:num w:numId="25">
    <w:abstractNumId w:val="23"/>
  </w:num>
  <w:num w:numId="26">
    <w:abstractNumId w:val="15"/>
  </w:num>
  <w:num w:numId="27">
    <w:abstractNumId w:val="12"/>
  </w:num>
  <w:num w:numId="28">
    <w:abstractNumId w:val="19"/>
  </w:num>
  <w:num w:numId="29">
    <w:abstractNumId w:val="9"/>
  </w:num>
  <w:num w:numId="30">
    <w:abstractNumId w:val="3"/>
  </w:num>
  <w:num w:numId="31">
    <w:abstractNumId w:val="26"/>
  </w:num>
  <w:num w:numId="32">
    <w:abstractNumId w:val="34"/>
  </w:num>
  <w:num w:numId="33">
    <w:abstractNumId w:val="7"/>
  </w:num>
  <w:num w:numId="34">
    <w:abstractNumId w:val="32"/>
  </w:num>
  <w:num w:numId="35">
    <w:abstractNumId w:val="1"/>
  </w:num>
  <w:num w:numId="36">
    <w:abstractNumId w:val="3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4"/>
    <w:link w:val="711"/>
    <w:uiPriority w:val="9"/>
    <w:rPr>
      <w:rFonts w:ascii="Arial" w:hAnsi="Arial" w:eastAsia="Arial" w:cs="Arial"/>
      <w:sz w:val="40"/>
      <w:szCs w:val="40"/>
    </w:rPr>
  </w:style>
  <w:style w:type="character" w:styleId="15">
    <w:name w:val="Heading 2 Char"/>
    <w:basedOn w:val="714"/>
    <w:link w:val="712"/>
    <w:uiPriority w:val="9"/>
    <w:rPr>
      <w:rFonts w:ascii="Arial" w:hAnsi="Arial" w:eastAsia="Arial" w:cs="Arial"/>
      <w:sz w:val="34"/>
    </w:rPr>
  </w:style>
  <w:style w:type="character" w:styleId="17">
    <w:name w:val="Heading 3 Char"/>
    <w:basedOn w:val="714"/>
    <w:link w:val="713"/>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4"/>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4"/>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4"/>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4"/>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4"/>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4"/>
    <w:link w:val="28"/>
    <w:uiPriority w:val="9"/>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714"/>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714"/>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4"/>
    <w:link w:val="723"/>
    <w:uiPriority w:val="99"/>
  </w:style>
  <w:style w:type="character" w:styleId="44">
    <w:name w:val="Footer Char"/>
    <w:basedOn w:val="714"/>
    <w:link w:val="722"/>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722"/>
    <w:uiPriority w:val="99"/>
  </w:style>
  <w:style w:type="table" w:styleId="48">
    <w:name w:val="Table Grid Light"/>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4"/>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4"/>
    <w:uiPriority w:val="99"/>
    <w:semiHidden/>
    <w:unhideWhenUsed/>
    <w:rPr>
      <w:vertAlign w:val="superscript"/>
    </w:r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link w:val="74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1">
    <w:name w:val="Heading 1"/>
    <w:basedOn w:val="710"/>
    <w:next w:val="710"/>
    <w:link w:val="732"/>
    <w:uiPriority w:val="9"/>
    <w:qFormat/>
    <w:pPr>
      <w:keepLines/>
      <w:keepNext/>
      <w:spacing w:before="340" w:after="330" w:line="578" w:lineRule="auto"/>
      <w:outlineLvl w:val="0"/>
    </w:pPr>
    <w:rPr>
      <w:b/>
      <w:bCs/>
      <w:sz w:val="44"/>
      <w:szCs w:val="44"/>
    </w:rPr>
  </w:style>
  <w:style w:type="paragraph" w:styleId="712">
    <w:name w:val="Heading 2"/>
    <w:basedOn w:val="710"/>
    <w:next w:val="710"/>
    <w:link w:val="73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3">
    <w:name w:val="Heading 3"/>
    <w:basedOn w:val="710"/>
    <w:next w:val="710"/>
    <w:link w:val="735"/>
    <w:uiPriority w:val="9"/>
    <w:unhideWhenUsed/>
    <w:qFormat/>
    <w:pPr>
      <w:keepLines/>
      <w:keepNext/>
      <w:spacing w:before="260" w:after="260" w:line="416" w:lineRule="auto"/>
      <w:outlineLvl w:val="2"/>
    </w:pPr>
    <w:rPr>
      <w:b/>
      <w:bCs/>
      <w:sz w:val="32"/>
      <w:szCs w:val="32"/>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Document Map"/>
    <w:basedOn w:val="710"/>
    <w:link w:val="733"/>
    <w:uiPriority w:val="99"/>
    <w:semiHidden/>
    <w:unhideWhenUsed/>
    <w:qFormat/>
    <w:rPr>
      <w:rFonts w:ascii="宋体" w:eastAsia="宋体"/>
      <w:sz w:val="18"/>
      <w:szCs w:val="18"/>
    </w:rPr>
  </w:style>
  <w:style w:type="paragraph" w:styleId="717">
    <w:name w:val="annotation text"/>
    <w:basedOn w:val="710"/>
    <w:link w:val="737"/>
    <w:uiPriority w:val="0"/>
    <w:qFormat/>
    <w:pPr>
      <w:ind w:firstLine="922"/>
      <w:jc w:val="left"/>
      <w:spacing w:line="360" w:lineRule="auto"/>
    </w:pPr>
    <w:rPr>
      <w:rFonts w:ascii="Times New Roman" w:hAnsi="Times New Roman" w:eastAsia="宋体" w:cs="Times New Roman"/>
      <w:szCs w:val="24"/>
    </w:rPr>
  </w:style>
  <w:style w:type="paragraph" w:styleId="718">
    <w:name w:val="Body Text"/>
    <w:basedOn w:val="710"/>
    <w:uiPriority w:val="0"/>
    <w:qFormat/>
    <w:pPr>
      <w:spacing w:line="520" w:lineRule="exact"/>
    </w:pPr>
    <w:rPr>
      <w:sz w:val="28"/>
    </w:rPr>
  </w:style>
  <w:style w:type="paragraph" w:styleId="719">
    <w:name w:val="Plain Text"/>
    <w:basedOn w:val="710"/>
    <w:link w:val="741"/>
    <w:uiPriority w:val="0"/>
    <w:qFormat/>
    <w:rPr>
      <w:rFonts w:ascii="宋体" w:hAnsi="Courier New" w:eastAsia="宋体" w:cs="Times New Roman"/>
      <w:szCs w:val="20"/>
    </w:rPr>
  </w:style>
  <w:style w:type="paragraph" w:styleId="720">
    <w:name w:val="Date"/>
    <w:basedOn w:val="710"/>
    <w:next w:val="710"/>
    <w:link w:val="736"/>
    <w:uiPriority w:val="99"/>
    <w:semiHidden/>
    <w:unhideWhenUsed/>
    <w:qFormat/>
    <w:pPr>
      <w:ind w:left="100"/>
    </w:pPr>
  </w:style>
  <w:style w:type="paragraph" w:styleId="721">
    <w:name w:val="Balloon Text"/>
    <w:basedOn w:val="710"/>
    <w:link w:val="738"/>
    <w:uiPriority w:val="99"/>
    <w:semiHidden/>
    <w:unhideWhenUsed/>
    <w:qFormat/>
    <w:rPr>
      <w:sz w:val="18"/>
      <w:szCs w:val="18"/>
    </w:rPr>
  </w:style>
  <w:style w:type="paragraph" w:styleId="722">
    <w:name w:val="Footer"/>
    <w:basedOn w:val="710"/>
    <w:link w:val="731"/>
    <w:uiPriority w:val="99"/>
    <w:unhideWhenUsed/>
    <w:qFormat/>
    <w:pPr>
      <w:jc w:val="left"/>
      <w:tabs>
        <w:tab w:val="center" w:pos="4153" w:leader="none"/>
        <w:tab w:val="right" w:pos="8306" w:leader="none"/>
      </w:tabs>
    </w:pPr>
    <w:rPr>
      <w:sz w:val="18"/>
      <w:szCs w:val="18"/>
    </w:rPr>
  </w:style>
  <w:style w:type="paragraph" w:styleId="723">
    <w:name w:val="Header"/>
    <w:basedOn w:val="710"/>
    <w:link w:val="7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4">
    <w:name w:val="toc 1"/>
    <w:basedOn w:val="710"/>
    <w:next w:val="710"/>
    <w:uiPriority w:val="39"/>
    <w:unhideWhenUsed/>
    <w:qFormat/>
    <w:pPr>
      <w:jc w:val="center"/>
      <w:spacing w:line="360" w:lineRule="auto"/>
      <w:tabs>
        <w:tab w:val="right" w:pos="9628" w:leader="dot"/>
      </w:tabs>
    </w:pPr>
    <w:rPr>
      <w:sz w:val="32"/>
    </w:rPr>
  </w:style>
  <w:style w:type="paragraph" w:styleId="725">
    <w:name w:val="Normal (Web)"/>
    <w:basedOn w:val="710"/>
    <w:uiPriority w:val="99"/>
    <w:semiHidden/>
    <w:unhideWhenUsed/>
    <w:qFormat/>
    <w:pPr>
      <w:jc w:val="left"/>
      <w:spacing w:beforeAutospacing="1" w:afterAutospacing="1"/>
    </w:pPr>
    <w:rPr>
      <w:rFonts w:cs="Times New Roman"/>
      <w:sz w:val="24"/>
    </w:rPr>
  </w:style>
  <w:style w:type="table" w:styleId="726">
    <w:name w:val="Table Grid"/>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basedOn w:val="714"/>
    <w:uiPriority w:val="22"/>
    <w:qFormat/>
    <w:rPr>
      <w:b/>
    </w:rPr>
  </w:style>
  <w:style w:type="character" w:styleId="728">
    <w:name w:val="Hyperlink"/>
    <w:uiPriority w:val="99"/>
    <w:qFormat/>
    <w:rPr>
      <w:color w:val="0000ff"/>
      <w:u w:val="none"/>
    </w:rPr>
  </w:style>
  <w:style w:type="character" w:styleId="729">
    <w:name w:val="annotation reference"/>
    <w:uiPriority w:val="0"/>
    <w:qFormat/>
    <w:rPr>
      <w:sz w:val="21"/>
      <w:szCs w:val="21"/>
    </w:rPr>
  </w:style>
  <w:style w:type="character" w:styleId="730" w:customStyle="1">
    <w:name w:val="页眉 字符"/>
    <w:basedOn w:val="714"/>
    <w:link w:val="723"/>
    <w:uiPriority w:val="99"/>
    <w:qFormat/>
    <w:rPr>
      <w:sz w:val="18"/>
      <w:szCs w:val="18"/>
    </w:rPr>
  </w:style>
  <w:style w:type="character" w:styleId="731" w:customStyle="1">
    <w:name w:val="页脚 字符"/>
    <w:basedOn w:val="714"/>
    <w:link w:val="722"/>
    <w:uiPriority w:val="99"/>
    <w:qFormat/>
    <w:rPr>
      <w:sz w:val="18"/>
      <w:szCs w:val="18"/>
    </w:rPr>
  </w:style>
  <w:style w:type="character" w:styleId="732" w:customStyle="1">
    <w:name w:val="标题 1 字符"/>
    <w:basedOn w:val="714"/>
    <w:link w:val="711"/>
    <w:uiPriority w:val="9"/>
    <w:qFormat/>
    <w:rPr>
      <w:b/>
      <w:bCs/>
      <w:sz w:val="44"/>
      <w:szCs w:val="44"/>
    </w:rPr>
  </w:style>
  <w:style w:type="character" w:styleId="733" w:customStyle="1">
    <w:name w:val="文档结构图 字符"/>
    <w:basedOn w:val="714"/>
    <w:link w:val="716"/>
    <w:uiPriority w:val="99"/>
    <w:semiHidden/>
    <w:qFormat/>
    <w:rPr>
      <w:rFonts w:ascii="宋体" w:eastAsia="宋体"/>
      <w:sz w:val="18"/>
      <w:szCs w:val="18"/>
    </w:rPr>
  </w:style>
  <w:style w:type="character" w:styleId="734" w:customStyle="1">
    <w:name w:val="标题 2 字符"/>
    <w:basedOn w:val="714"/>
    <w:link w:val="712"/>
    <w:uiPriority w:val="9"/>
    <w:qFormat/>
    <w:rPr>
      <w:rFonts w:asciiTheme="majorHAnsi" w:hAnsiTheme="majorHAnsi" w:eastAsiaTheme="majorEastAsia" w:cstheme="majorBidi"/>
      <w:b/>
      <w:bCs/>
      <w:sz w:val="32"/>
      <w:szCs w:val="32"/>
    </w:rPr>
  </w:style>
  <w:style w:type="character" w:styleId="735" w:customStyle="1">
    <w:name w:val="标题 3 字符"/>
    <w:basedOn w:val="714"/>
    <w:link w:val="713"/>
    <w:uiPriority w:val="9"/>
    <w:qFormat/>
    <w:rPr>
      <w:b/>
      <w:bCs/>
      <w:sz w:val="32"/>
      <w:szCs w:val="32"/>
    </w:rPr>
  </w:style>
  <w:style w:type="character" w:styleId="736" w:customStyle="1">
    <w:name w:val="日期 字符"/>
    <w:basedOn w:val="714"/>
    <w:link w:val="720"/>
    <w:uiPriority w:val="99"/>
    <w:semiHidden/>
    <w:qFormat/>
  </w:style>
  <w:style w:type="character" w:styleId="737" w:customStyle="1">
    <w:name w:val="批注文字 字符"/>
    <w:basedOn w:val="714"/>
    <w:link w:val="717"/>
    <w:uiPriority w:val="0"/>
    <w:qFormat/>
    <w:rPr>
      <w:rFonts w:ascii="Times New Roman" w:hAnsi="Times New Roman" w:eastAsia="宋体" w:cs="Times New Roman"/>
      <w:szCs w:val="24"/>
    </w:rPr>
  </w:style>
  <w:style w:type="character" w:styleId="738" w:customStyle="1">
    <w:name w:val="批注框文本 字符"/>
    <w:basedOn w:val="714"/>
    <w:link w:val="721"/>
    <w:uiPriority w:val="99"/>
    <w:semiHidden/>
    <w:qFormat/>
    <w:rPr>
      <w:sz w:val="18"/>
      <w:szCs w:val="18"/>
    </w:rPr>
  </w:style>
  <w:style w:type="paragraph" w:styleId="739" w:customStyle="1">
    <w:name w:val="Default"/>
    <w:link w:val="740"/>
    <w:uiPriority w:val="99"/>
    <w:qFormat/>
    <w:pPr>
      <w:widowControl w:val="off"/>
    </w:pPr>
    <w:rPr>
      <w:rFonts w:ascii="MS Mincho" w:hAnsi="Calibri" w:eastAsia="宋体" w:cs="Times New Roman"/>
      <w:color w:val="000000"/>
      <w:sz w:val="21"/>
      <w:szCs w:val="24"/>
      <w:lang w:val="en-US" w:eastAsia="zh-CN" w:bidi="ar-SA"/>
    </w:rPr>
  </w:style>
  <w:style w:type="character" w:styleId="740" w:customStyle="1">
    <w:name w:val="Default Char"/>
    <w:link w:val="739"/>
    <w:uiPriority w:val="99"/>
    <w:qFormat/>
    <w:rPr>
      <w:rFonts w:ascii="MS Mincho" w:hAnsi="Calibri" w:eastAsia="宋体" w:cs="Times New Roman"/>
      <w:color w:val="000000"/>
      <w:szCs w:val="24"/>
    </w:rPr>
  </w:style>
  <w:style w:type="character" w:styleId="741" w:customStyle="1">
    <w:name w:val="纯文本 字符"/>
    <w:basedOn w:val="714"/>
    <w:link w:val="719"/>
    <w:uiPriority w:val="0"/>
    <w:qFormat/>
    <w:rPr>
      <w:rFonts w:ascii="宋体" w:hAnsi="Courier New" w:eastAsia="宋体" w:cs="Times New Roman"/>
      <w:szCs w:val="20"/>
    </w:rPr>
  </w:style>
  <w:style w:type="paragraph" w:styleId="742" w:customStyle="1">
    <w:name w:val="样式 样式 左侧:  2 字符 + 左侧:  0.85 厘米 首行缩进:  2 字符1"/>
    <w:uiPriority w:val="0"/>
    <w:qFormat/>
    <w:pPr>
      <w:ind w:left="482" w:firstLine="200"/>
      <w:jc w:val="both"/>
      <w:widowControl w:val="off"/>
    </w:pPr>
    <w:rPr>
      <w:rFonts w:ascii="Calibri" w:hAnsi="Calibri" w:eastAsia="宋体" w:cs="宋体"/>
      <w:sz w:val="21"/>
      <w:lang w:val="en-US" w:eastAsia="zh-CN" w:bidi="ar-SA"/>
    </w:rPr>
  </w:style>
  <w:style w:type="character" w:styleId="743" w:customStyle="1">
    <w:name w:val="fontstyle01"/>
    <w:basedOn w:val="744"/>
    <w:uiPriority w:val="0"/>
    <w:qFormat/>
    <w:rPr>
      <w:rFonts w:asciiTheme="minorHAnsi" w:hAnsiTheme="minorHAnsi" w:eastAsiaTheme="minorEastAsia" w:cstheme="minorBidi"/>
      <w:sz w:val="21"/>
      <w:szCs w:val="22"/>
      <w:lang w:val="en-US" w:eastAsia="zh-CN" w:bidi="ar-SA"/>
    </w:rPr>
  </w:style>
  <w:style w:type="character" w:styleId="744" w:customStyle="1">
    <w:name w:val="默认段落字体1"/>
    <w:uiPriority w:val="1"/>
    <w:unhideWhenUsed/>
    <w:qFormat/>
  </w:style>
  <w:style w:type="paragraph" w:styleId="745" w:customStyle="1">
    <w:name w:val="普通(网站)1"/>
    <w:basedOn w:val="710"/>
    <w:uiPriority w:val="99"/>
    <w:unhideWhenUsed/>
    <w:qFormat/>
    <w:pPr>
      <w:ind w:left="0" w:right="0"/>
      <w:jc w:val="left"/>
      <w:spacing w:before="100" w:beforeAutospacing="1" w:after="100" w:afterAutospacing="1"/>
    </w:pPr>
    <w:rPr>
      <w:sz w:val="24"/>
      <w:lang w:val="en-US" w:eastAsia="zh-CN" w:bidi="ar"/>
    </w:rPr>
  </w:style>
  <w:style w:type="character" w:styleId="746" w:customStyle="1">
    <w:name w:val="强调1"/>
    <w:link w:val="710"/>
    <w:uiPriority w:val="0"/>
    <w:qFormat/>
    <w:rPr>
      <w:rFonts w:asciiTheme="minorHAnsi" w:hAnsiTheme="minorHAnsi" w:eastAsiaTheme="minorEastAsia" w:cstheme="minorBidi"/>
      <w:sz w:val="21"/>
      <w:szCs w:val="22"/>
      <w:lang w:val="en-US" w:eastAsia="zh-CN" w:bidi="ar-SA"/>
    </w:rPr>
  </w:style>
  <w:style w:type="numbering" w:styleId="127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王明亮</cp:lastModifiedBy>
  <cp:revision>80</cp:revision>
  <dcterms:created xsi:type="dcterms:W3CDTF">2024-01-04T03:50:00Z</dcterms:created>
  <dcterms:modified xsi:type="dcterms:W3CDTF">2026-10-19T07:49:20Z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eyJoZGlkIjoiOTA0MDA0YTU0NTJjNTg4NjNmNzRlMjUxM2JkOWRjOWYiLCJ1c2VySWQiOiI1MjUwMzE0NzIifQ==</vt:lpwstr>
  </property>
  <property fmtid="{D5CDD505-2E9C-101B-9397-08002B2CF9AE}" pid="3" name="KSOProductBuildVer">
    <vt:lpwstr>2052-12.1.0.28505</vt:lpwstr>
  </property>
  <property fmtid="{D5CDD505-2E9C-101B-9397-08002B2CF9AE}" pid="4" name="ICV">
    <vt:lpwstr>CE44C258EB5843009E1D894F57DB7B57_13</vt:lpwstr>
  </property>
</Properties>
</file>