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z w:val="96"/>
          <w:szCs w:val="96"/>
          <w:highlight w:val="none"/>
        </w:rPr>
      </w:pPr>
      <w:r>
        <w:rPr>
          <w:rFonts w:ascii="宋体" w:hAnsi="宋体" w:cs="宋体"/>
          <w:b/>
          <w:color w:val="auto"/>
          <w:sz w:val="96"/>
          <w:szCs w:val="96"/>
          <w:highlight w:val="none"/>
        </w:rPr>
      </w:r>
      <w:r/>
    </w:p>
    <w:p>
      <w:pPr>
        <w:jc w:val="center"/>
        <w:rPr>
          <w:rFonts w:ascii="宋体" w:hAnsi="宋体" w:cs="宋体"/>
          <w:b/>
          <w:color w:val="auto"/>
          <w:spacing w:val="40"/>
          <w:sz w:val="72"/>
          <w:szCs w:val="72"/>
          <w:highlight w:val="none"/>
        </w:rPr>
      </w:pPr>
      <w:r/>
      <w:bookmarkStart w:id="0" w:name="_Toc23250"/>
      <w:r>
        <w:rPr>
          <w:rFonts w:hint="eastAsia" w:ascii="宋体" w:hAnsi="宋体" w:cs="宋体"/>
          <w:b/>
          <w:color w:val="auto"/>
          <w:spacing w:val="40"/>
          <w:sz w:val="72"/>
          <w:szCs w:val="72"/>
          <w:highlight w:val="none"/>
        </w:rPr>
        <w:t xml:space="preserve">苏州市吴江区政府采购</w:t>
      </w:r>
      <w:bookmarkEnd w:id="0"/>
      <w:r/>
      <w:r/>
    </w:p>
    <w:p>
      <w:pPr>
        <w:jc w:val="center"/>
        <w:rPr>
          <w:rFonts w:hint="eastAsia" w:ascii="宋体" w:hAnsi="宋体" w:cs="宋体"/>
          <w:b/>
          <w:color w:val="auto"/>
          <w:spacing w:val="20"/>
          <w:sz w:val="72"/>
          <w:szCs w:val="72"/>
          <w:highlight w:val="none"/>
        </w:rPr>
      </w:pPr>
      <w:r/>
      <w:bookmarkStart w:id="1" w:name="_Toc21822"/>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bookmarkEnd w:id="1"/>
      <w:r/>
      <w:r/>
    </w:p>
    <w:p>
      <w:pPr>
        <w:jc w:val="center"/>
        <w:rPr>
          <w:rFonts w:ascii="宋体" w:hAnsi="宋体" w:cs="宋体"/>
          <w:color w:val="auto"/>
          <w:highlight w:val="none"/>
        </w:rPr>
      </w:pPr>
      <w:r>
        <w:rPr>
          <w:rFonts w:ascii="宋体" w:hAnsi="宋体" w:cs="宋体"/>
          <w:color w:val="auto"/>
          <w:highlight w:val="none"/>
        </w:rPr>
      </w:r>
      <w:r/>
    </w:p>
    <w:p>
      <w:pPr>
        <w:pStyle w:val="1132"/>
        <w:spacing w:before="156" w:after="156"/>
        <w:rPr>
          <w:rFonts w:cs="宋体"/>
          <w:color w:val="auto"/>
          <w:highlight w:val="none"/>
        </w:rPr>
      </w:pPr>
      <w:r>
        <w:rPr>
          <w:rFonts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 xml:space="preserve">项目编号</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eastAsia="zh-CN"/>
        </w:rPr>
        <w:t xml:space="preserve">JSZC-320509-SZTY-C2026-0009</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2"/>
          <w:szCs w:val="32"/>
          <w:highlight w:val="none"/>
          <w:lang w:eastAsia="zh-CN"/>
        </w:rPr>
        <w:t xml:space="preserve">2026年吴江区数智庭审系统升级</w:t>
      </w:r>
      <w:r/>
    </w:p>
    <w:p>
      <w:pPr>
        <w:ind w:firstLine="1200"/>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苏州市吴江区人民法院</w:t>
      </w:r>
      <w:r/>
    </w:p>
    <w:p>
      <w:pPr>
        <w:jc w:val="center"/>
        <w:rPr>
          <w:rFonts w:ascii="宋体" w:hAnsi="宋体" w:cs="宋体"/>
          <w:color w:val="auto"/>
          <w:spacing w:val="-14"/>
          <w:sz w:val="30"/>
          <w:highlight w:val="none"/>
        </w:rPr>
      </w:pPr>
      <w:r>
        <w:rPr>
          <w:rFonts w:ascii="宋体" w:hAnsi="宋体" w:cs="宋体"/>
          <w:color w:val="auto"/>
          <w:spacing w:val="-14"/>
          <w:sz w:val="30"/>
          <w:highlight w:val="none"/>
        </w:rPr>
      </w:r>
      <w:r/>
    </w:p>
    <w:p>
      <w:pPr>
        <w:jc w:val="center"/>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0"/>
          <w:szCs w:val="30"/>
          <w:highlight w:val="none"/>
        </w:rPr>
      </w:pPr>
      <w:r>
        <w:rPr>
          <w:rFonts w:hint="eastAsia" w:ascii="宋体" w:hAnsi="宋体" w:cs="宋体"/>
          <w:color w:val="auto"/>
          <w:sz w:val="30"/>
          <w:szCs w:val="30"/>
          <w:highlight w:val="none"/>
        </w:rPr>
        <w:t xml:space="preserve">苏州通宜房地产土地评估咨询有限公司</w:t>
      </w:r>
      <w:r/>
    </w:p>
    <w:p>
      <w:pPr>
        <w:jc w:val="center"/>
        <w:rPr>
          <w:rFonts w:ascii="宋体" w:hAnsi="宋体" w:cs="宋体"/>
          <w:color w:val="auto"/>
          <w:sz w:val="30"/>
          <w:szCs w:val="30"/>
          <w:highlight w:val="none"/>
          <w:lang w:val="zh-CN"/>
        </w:rPr>
      </w:pPr>
      <w:r>
        <w:rPr>
          <w:rFonts w:hint="eastAsia" w:ascii="宋体" w:hAnsi="宋体" w:cs="宋体"/>
          <w:color w:val="auto"/>
          <w:sz w:val="30"/>
          <w:szCs w:val="30"/>
          <w:highlight w:val="none"/>
          <w:lang w:val="zh-CN"/>
        </w:rPr>
        <w:t xml:space="preserve">二</w:t>
      </w:r>
      <w:r>
        <w:rPr>
          <w:rFonts w:hint="eastAsia" w:ascii="宋体" w:hAnsi="宋体" w:cs="宋体"/>
          <w:color w:val="auto"/>
          <w:sz w:val="30"/>
          <w:szCs w:val="30"/>
          <w:highlight w:val="none"/>
        </w:rPr>
        <w:t xml:space="preserve">〇二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lang w:val="zh-CN"/>
        </w:rPr>
        <w:t xml:space="preserve">年</w:t>
      </w:r>
      <w:r>
        <w:rPr>
          <w:rFonts w:hint="eastAsia" w:ascii="宋体" w:hAnsi="宋体" w:cs="宋体"/>
          <w:color w:val="auto"/>
          <w:sz w:val="30"/>
          <w:szCs w:val="30"/>
          <w:highlight w:val="none"/>
          <w:lang w:val="en-US" w:eastAsia="zh-CN"/>
        </w:rPr>
        <w:t xml:space="preserve">九</w:t>
      </w:r>
      <w:r>
        <w:rPr>
          <w:rFonts w:hint="eastAsia" w:ascii="宋体" w:hAnsi="宋体" w:cs="宋体"/>
          <w:color w:val="auto"/>
          <w:sz w:val="30"/>
          <w:szCs w:val="30"/>
          <w:highlight w:val="none"/>
        </w:rPr>
        <w:t xml:space="preserve">月</w:t>
      </w:r>
      <w:r/>
    </w:p>
    <w:p>
      <w:pPr>
        <w:jc w:val="center"/>
        <w:rPr>
          <w:rFonts w:ascii="宋体" w:hAnsi="宋体" w:cs="宋体"/>
          <w:b/>
          <w:color w:val="auto"/>
          <w:sz w:val="52"/>
          <w:szCs w:val="52"/>
          <w:highlight w:val="none"/>
        </w:rPr>
      </w:pPr>
      <w:r/>
      <w:bookmarkStart w:id="2" w:name="_Toc27525"/>
      <w:r/>
      <w:r/>
    </w:p>
    <w:p>
      <w:pPr>
        <w:jc w:val="center"/>
        <w:rPr>
          <w:rFonts w:ascii="宋体" w:hAnsi="宋体" w:cs="宋体"/>
          <w:b/>
          <w:color w:val="auto"/>
          <w:sz w:val="52"/>
          <w:szCs w:val="52"/>
          <w:highlight w:val="none"/>
        </w:rPr>
        <w:sectPr>
          <w:headerReference w:type="default" r:id="rId9"/>
          <w:footerReference w:type="default" r:id="rId11"/>
          <w:footnotePr/>
          <w:endnotePr/>
          <w:type w:val="nextPage"/>
          <w:pgSz w:w="11906" w:h="16838" w:orient="portrait"/>
          <w:pgMar w:top="1440" w:right="1417" w:bottom="1134" w:left="1417" w:header="851" w:footer="850" w:gutter="0"/>
          <w:cols w:num="1" w:sep="0" w:space="1701" w:equalWidth="1"/>
          <w:docGrid w:linePitch="360"/>
        </w:sectPr>
      </w:pPr>
      <w:r>
        <w:rPr>
          <w:rFonts w:ascii="宋体" w:hAnsi="宋体" w:cs="宋体"/>
          <w:b/>
          <w:color w:val="auto"/>
          <w:sz w:val="52"/>
          <w:szCs w:val="52"/>
          <w:highlight w:val="none"/>
        </w:rPr>
      </w:r>
      <w:r/>
    </w:p>
    <w:p>
      <w:pPr>
        <w:jc w:val="center"/>
        <w:pageBreakBefore/>
        <w:rPr>
          <w:rFonts w:ascii="宋体" w:hAnsi="宋体" w:cs="宋体"/>
          <w:b/>
          <w:color w:val="auto"/>
          <w:sz w:val="32"/>
          <w:highlight w:val="none"/>
        </w:rPr>
      </w:pPr>
      <w:r>
        <w:rPr>
          <w:rFonts w:hint="eastAsia" w:ascii="宋体" w:hAnsi="宋体" w:cs="宋体"/>
          <w:b/>
          <w:color w:val="auto"/>
          <w:sz w:val="32"/>
          <w:highlight w:val="none"/>
        </w:rPr>
        <w:t xml:space="preserve">前附表</w:t>
      </w:r>
      <w:r/>
    </w:p>
    <w:p>
      <w:pPr>
        <w:pStyle w:val="902"/>
        <w:ind w:firstLine="420"/>
        <w:rPr>
          <w:rFonts w:ascii="宋体" w:hAnsi="宋体" w:cs="宋体"/>
          <w:color w:val="auto"/>
          <w:highlight w:val="none"/>
        </w:rPr>
      </w:pPr>
      <w:r>
        <w:rPr>
          <w:rFonts w:hint="eastAsia" w:ascii="宋体" w:hAnsi="宋体" w:cs="宋体"/>
          <w:color w:val="auto"/>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8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2034"/>
        <w:gridCol w:w="5638"/>
      </w:tblGrid>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2026年吴江区数智庭审系统升级</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预算金额（元）</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ind w:firstLine="420"/>
              <w:rPr>
                <w:rFonts w:hint="eastAsia" w:eastAsia="宋体"/>
                <w:color w:val="auto"/>
                <w:highlight w:val="none"/>
                <w:lang w:eastAsia="zh-CN"/>
              </w:rPr>
            </w:pPr>
            <w:r>
              <w:rPr>
                <w:rFonts w:hint="eastAsia" w:ascii="宋体" w:hAnsi="宋体" w:cs="宋体"/>
                <w:bCs/>
                <w:color w:val="auto"/>
                <w:szCs w:val="21"/>
                <w:highlight w:val="none"/>
                <w:lang w:eastAsia="zh-CN"/>
              </w:rPr>
              <w:t xml:space="preserve">人民币叁佰伍拾陆万元整（</w:t>
            </w:r>
            <w:r>
              <w:rPr>
                <w:rFonts w:hint="default" w:ascii="Arial" w:hAnsi="Arial" w:cs="Arial"/>
                <w:bCs/>
                <w:color w:val="auto"/>
                <w:szCs w:val="21"/>
                <w:highlight w:val="none"/>
                <w:lang w:eastAsia="zh-CN"/>
              </w:rPr>
              <w:t xml:space="preserve">¥</w:t>
            </w:r>
            <w:r>
              <w:rPr>
                <w:rFonts w:hint="eastAsia" w:ascii="宋体" w:hAnsi="宋体" w:cs="宋体"/>
                <w:bCs/>
                <w:color w:val="auto"/>
                <w:szCs w:val="21"/>
                <w:highlight w:val="none"/>
                <w:lang w:eastAsia="zh-CN"/>
              </w:rPr>
              <w:t xml:space="preserve">3560000元）</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926"/>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rPr>
                <w:rFonts w:hint="eastAsia" w:ascii="宋体" w:hAnsi="宋体"/>
                <w:color w:val="auto"/>
                <w:highlight w:val="none"/>
              </w:rPr>
              <w:t xml:space="preserve">（成交后，成交单位向招标代理机构提供与电子投标文件内容一致的纸质投标文件两份。）</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人民币</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926"/>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月15</w:t>
            </w:r>
            <w:r>
              <w:rPr>
                <w:rFonts w:hint="eastAsia" w:ascii="宋体" w:hAnsi="宋体" w:cs="宋体"/>
                <w:color w:val="auto"/>
                <w:szCs w:val="21"/>
                <w:highlight w:val="none"/>
              </w:rPr>
              <w:t xml:space="preserve">日09：30 （北京时间）</w:t>
            </w:r>
            <w:r/>
          </w:p>
        </w:tc>
      </w:tr>
      <w:tr>
        <w:trPr>
          <w:jc w:val="center"/>
          <w:trHeight w:val="773"/>
        </w:trPr>
        <w:tc>
          <w:tcPr>
            <w:tcBorders>
              <w:left w:val="single" w:color="auto" w:sz="4" w:space="0"/>
              <w:right w:val="single" w:color="auto" w:sz="4" w:space="0"/>
            </w:tcBorders>
            <w:tcW w:w="647" w:type="dxa"/>
            <w:vAlign w:val="center"/>
            <w:vMerge w:val="restart"/>
            <w:textDirection w:val="lrTb"/>
            <w:noWrap/>
          </w:tcPr>
          <w:p>
            <w:pPr>
              <w:pStyle w:val="1131"/>
              <w:ind w:firstLine="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月15</w:t>
            </w:r>
            <w:r>
              <w:rPr>
                <w:rFonts w:hint="eastAsia" w:ascii="宋体" w:hAnsi="宋体" w:cs="宋体"/>
                <w:color w:val="auto"/>
                <w:szCs w:val="21"/>
                <w:highlight w:val="none"/>
              </w:rPr>
              <w:t xml:space="preserve">日09：30 （北京时间）</w:t>
            </w:r>
            <w:r/>
          </w:p>
        </w:tc>
      </w:tr>
      <w:tr>
        <w:trPr>
          <w:jc w:val="center"/>
          <w:trHeight w:val="1995"/>
        </w:trPr>
        <w:tc>
          <w:tcPr>
            <w:tcBorders>
              <w:left w:val="single" w:color="auto" w:sz="4" w:space="0"/>
              <w:bottom w:val="single" w:color="auto" w:sz="4" w:space="0"/>
              <w:right w:val="single" w:color="auto" w:sz="4" w:space="0"/>
            </w:tcBorders>
            <w:tcW w:w="64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月15</w:t>
            </w:r>
            <w:r>
              <w:rPr>
                <w:rFonts w:hint="eastAsia" w:ascii="宋体" w:hAnsi="宋体" w:cs="宋体"/>
                <w:color w:val="auto"/>
                <w:szCs w:val="21"/>
                <w:highlight w:val="none"/>
              </w:rPr>
              <w:t xml:space="preserve">日09：30 （北京时间）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166"/>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月15</w:t>
            </w:r>
            <w:r>
              <w:rPr>
                <w:rFonts w:hint="eastAsia" w:ascii="宋体" w:hAnsi="宋体" w:cs="宋体"/>
                <w:color w:val="auto"/>
                <w:szCs w:val="21"/>
                <w:highlight w:val="none"/>
              </w:rPr>
              <w:t xml:space="preserve">日09：30（北京时间）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苏州市吴江区开平路998号行政服务大楼三楼评标室</w:t>
            </w:r>
            <w:r/>
          </w:p>
        </w:tc>
      </w:tr>
    </w:tbl>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sectPr>
          <w:footerReference w:type="default" r:id="rId12"/>
          <w:footnotePr/>
          <w:endnotePr/>
          <w:type w:val="nextPage"/>
          <w:pgSz w:w="11906" w:h="16838" w:orient="portrait"/>
          <w:pgMar w:top="1440" w:right="1417" w:bottom="1134" w:left="1417" w:header="851" w:footer="850" w:gutter="0"/>
          <w:pgNumType w:start="1"/>
          <w:cols w:num="1" w:sep="0" w:space="1701" w:equalWidth="1"/>
          <w:docGrid w:linePitch="360"/>
        </w:sect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bookmarkEnd w:id="2"/>
      <w:r/>
      <w:r/>
    </w:p>
    <w:p>
      <w:pPr>
        <w:pStyle w:val="893"/>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"1-2"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_Toc11016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一、竞争性磋商邀请函</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_Toc11016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93"/>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_Toc26391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二、磋商供应商须知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_Toc26391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93"/>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_Toc7652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三、采购需求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_Toc7652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19</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93"/>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_Toc14846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四、评标办法及评分标准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_Toc14846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69</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93"/>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_Toc21982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五、合同主要条款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_Toc21982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75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93"/>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_Toc30803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六、响应文件格式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_Toc30803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84</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64"/>
        <w:rPr>
          <w:rFonts w:ascii="宋体" w:hAnsi="宋体" w:cs="宋体"/>
          <w:color w:val="auto"/>
          <w:highlight w:val="none"/>
        </w:rPr>
      </w:pPr>
      <w:r>
        <w:rPr>
          <w:rFonts w:hint="eastAsia" w:ascii="宋体" w:hAnsi="宋体" w:eastAsia="宋体" w:cs="宋体"/>
          <w:color w:val="auto"/>
          <w:sz w:val="30"/>
          <w:szCs w:val="30"/>
          <w:highlight w:val="none"/>
        </w:rPr>
        <w:fldChar w:fldCharType="end"/>
      </w:r>
      <w:bookmarkStart w:id="3" w:name="_Toc15176"/>
      <w:r/>
      <w:r/>
    </w:p>
    <w:p>
      <w:pPr>
        <w:pStyle w:val="864"/>
        <w:rPr>
          <w:rFonts w:ascii="宋体" w:hAnsi="宋体" w:cs="宋体"/>
          <w:color w:val="auto"/>
          <w:highlight w:val="none"/>
        </w:rPr>
        <w:sectPr>
          <w:footerReference w:type="default" r:id="rId13"/>
          <w:footnotePr/>
          <w:endnotePr/>
          <w:type w:val="nextPage"/>
          <w:pgSz w:w="11906" w:h="16838" w:orient="portrait"/>
          <w:pgMar w:top="1440" w:right="1417" w:bottom="1134" w:left="1417" w:header="851" w:footer="850" w:gutter="0"/>
          <w:cols w:num="1" w:sep="0" w:space="1701" w:equalWidth="1"/>
          <w:docGrid w:linePitch="360"/>
        </w:sectPr>
      </w:pPr>
      <w:r>
        <w:rPr>
          <w:rFonts w:ascii="宋体" w:hAnsi="宋体" w:cs="宋体"/>
          <w:color w:val="auto"/>
          <w:highlight w:val="none"/>
        </w:rPr>
      </w:r>
      <w:r/>
    </w:p>
    <w:p>
      <w:pPr>
        <w:pStyle w:val="864"/>
        <w:rPr>
          <w:rFonts w:ascii="宋体" w:hAnsi="宋体" w:cs="宋体"/>
          <w:color w:val="auto"/>
          <w:highlight w:val="none"/>
        </w:rPr>
      </w:pPr>
      <w:r/>
      <w:bookmarkStart w:id="4" w:name="_Toc11016"/>
      <w:r>
        <w:rPr>
          <w:rFonts w:hint="eastAsia" w:ascii="宋体" w:hAnsi="宋体" w:cs="宋体"/>
          <w:color w:val="auto"/>
          <w:highlight w:val="none"/>
        </w:rPr>
        <w:t xml:space="preserve">一、</w:t>
      </w:r>
      <w:bookmarkStart w:id="5" w:name="_Toc1"/>
      <w:r>
        <w:rPr>
          <w:rFonts w:hint="eastAsia" w:ascii="宋体" w:hAnsi="宋体" w:cs="宋体"/>
          <w:color w:val="auto"/>
          <w:highlight w:val="none"/>
        </w:rPr>
        <w:t xml:space="preserve">竞争性磋商邀请函</w:t>
      </w:r>
      <w:bookmarkEnd w:id="3"/>
      <w:r/>
      <w:bookmarkEnd w:id="4"/>
      <w:r/>
      <w:bookmarkEnd w:id="5"/>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after="21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项目概况</w:t>
            </w:r>
            <w:r/>
          </w:p>
          <w:p>
            <w:pPr>
              <w:spacing w:after="21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2026年吴江区数智庭审系统升级JSZC-320509-SZTY-C2026-0009</w:t>
            </w:r>
            <w:r>
              <w:rPr>
                <w:rFonts w:hint="eastAsia" w:ascii="宋体" w:hAnsi="宋体" w:cs="宋体"/>
                <w:color w:val="auto"/>
                <w:szCs w:val="21"/>
                <w:highlight w:val="none"/>
              </w:rPr>
              <w:t xml:space="preserve">采购项目的潜在供应商应在“苏采云”系统获取采购文件，并于</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-15</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09:30（北京时间）前提交响应文件。</w:t>
            </w:r>
            <w:r/>
          </w:p>
        </w:tc>
      </w:tr>
    </w:tbl>
    <w:p>
      <w:pPr>
        <w:pStyle w:val="865"/>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6" w:name="_Toc30187"/>
      <w:r>
        <w:rPr>
          <w:rFonts w:hint="eastAsia" w:ascii="宋体" w:hAnsi="宋体" w:cs="宋体"/>
          <w:color w:val="auto"/>
          <w:sz w:val="21"/>
          <w:szCs w:val="21"/>
          <w:highlight w:val="none"/>
        </w:rPr>
        <w:t xml:space="preserve">一、项目基本情况</w:t>
      </w:r>
      <w:bookmarkEnd w:id="6"/>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JSZC-320509-SZTY-C2026-0009</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bookmarkStart w:id="7" w:name="OLE_LINK17"/>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2026年吴江区数智庭审系统升级</w:t>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3、采购方式：竞争性磋商</w:t>
      </w:r>
      <w:r/>
    </w:p>
    <w:p>
      <w:pPr>
        <w:numPr>
          <w:ilvl w:val="255"/>
          <w:numId w:val="0"/>
        </w:numPr>
        <w:ind w:firstLine="420"/>
        <w:spacing w:line="440" w:lineRule="exact"/>
        <w:shd w:val="clear" w:color="ffffff" w:fill="ffff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w:t>
      </w:r>
      <w:bookmarkStart w:id="8" w:name="OLE_LINK25"/>
      <w:r>
        <w:rPr>
          <w:rFonts w:hint="eastAsia" w:ascii="宋体" w:hAnsi="宋体" w:cs="宋体"/>
          <w:color w:val="auto"/>
          <w:szCs w:val="21"/>
          <w:highlight w:val="none"/>
        </w:rPr>
        <w:t xml:space="preserve">预算金额：</w:t>
      </w:r>
      <w:bookmarkEnd w:id="8"/>
      <w:r>
        <w:rPr>
          <w:rFonts w:hint="eastAsia" w:ascii="宋体" w:hAnsi="宋体" w:cs="宋体"/>
          <w:bCs/>
          <w:color w:val="auto"/>
          <w:szCs w:val="21"/>
          <w:highlight w:val="none"/>
          <w:lang w:eastAsia="zh-CN"/>
        </w:rPr>
        <w:t xml:space="preserve">人民币叁佰伍拾陆万元整（￥3560000元）</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最高限价：</w:t>
      </w:r>
      <w:bookmarkEnd w:id="7"/>
      <w:r>
        <w:rPr>
          <w:rFonts w:hint="eastAsia" w:ascii="宋体" w:hAnsi="宋体"/>
          <w:color w:val="auto"/>
          <w:szCs w:val="21"/>
          <w:highlight w:val="none"/>
          <w:lang w:eastAsia="zh-CN"/>
        </w:rPr>
        <w:t xml:space="preserve">人民币叁佰伍拾陆万元整（￥3560000元）</w:t>
      </w:r>
      <w:r/>
    </w:p>
    <w:p>
      <w:pPr>
        <w:pStyle w:val="1131"/>
        <w:ind w:firstLine="420"/>
        <w:spacing w:line="400" w:lineRule="exact"/>
        <w:rPr>
          <w:rFonts w:ascii="宋体" w:hAnsi="宋体"/>
          <w:color w:val="auto"/>
          <w:sz w:val="21"/>
          <w:szCs w:val="21"/>
          <w:highlight w:val="none"/>
          <w:lang w:val="en-US"/>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采购需求</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2026年吴江区数智庭审系统升级，</w:t>
      </w:r>
      <w:r>
        <w:rPr>
          <w:rFonts w:hint="eastAsia" w:ascii="宋体" w:hAnsi="宋体" w:cs="宋体"/>
          <w:color w:val="auto"/>
          <w:szCs w:val="21"/>
          <w:highlight w:val="none"/>
          <w:lang w:val="en-US" w:eastAsia="zh-CN"/>
        </w:rPr>
        <w:t xml:space="preserve">供应商</w:t>
      </w:r>
      <w:r>
        <w:rPr>
          <w:rFonts w:hint="eastAsia" w:ascii="宋体" w:hAnsi="宋体"/>
          <w:color w:val="auto"/>
          <w:sz w:val="21"/>
          <w:szCs w:val="21"/>
          <w:highlight w:val="none"/>
          <w:lang w:val="en-US"/>
        </w:rPr>
        <w:t xml:space="preserve">根据对本项目的理解提供软件系统架构。</w:t>
      </w:r>
      <w:r/>
    </w:p>
    <w:p>
      <w:pPr>
        <w:numPr>
          <w:ilvl w:val="255"/>
          <w:numId w:val="0"/>
        </w:numPr>
        <w:ind w:firstLine="420"/>
        <w:spacing w:line="440" w:lineRule="exact"/>
        <w:shd w:val="clear" w:color="ffffff" w:fill="ffffff"/>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7、合同履行期限：</w:t>
      </w:r>
      <w:r>
        <w:rPr>
          <w:rFonts w:hint="eastAsia" w:ascii="宋体" w:hAnsi="宋体" w:cs="宋体"/>
          <w:color w:val="auto"/>
          <w:szCs w:val="21"/>
          <w:highlight w:val="none"/>
          <w:lang w:val="en-US" w:eastAsia="zh-CN"/>
        </w:rPr>
        <w:t xml:space="preserve">成交公告发布后</w:t>
      </w: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日</w:t>
      </w:r>
      <w:r>
        <w:rPr>
          <w:rFonts w:hint="eastAsia" w:ascii="宋体" w:hAnsi="宋体" w:cs="宋体"/>
          <w:color w:val="auto"/>
          <w:szCs w:val="21"/>
          <w:highlight w:val="none"/>
        </w:rPr>
        <w:t xml:space="preserve">内完成对接测试，合同签订</w:t>
      </w:r>
      <w:r>
        <w:rPr>
          <w:rFonts w:hint="eastAsia" w:ascii="宋体" w:hAnsi="宋体" w:cs="宋体"/>
          <w:color w:val="auto"/>
          <w:szCs w:val="21"/>
          <w:highlight w:val="none"/>
          <w:lang w:val="en-US" w:eastAsia="zh-CN"/>
        </w:rPr>
        <w:t xml:space="preserve">后3</w:t>
      </w:r>
      <w:r>
        <w:rPr>
          <w:rFonts w:hint="eastAsia" w:ascii="宋体" w:hAnsi="宋体" w:cs="宋体"/>
          <w:color w:val="auto"/>
          <w:szCs w:val="21"/>
          <w:highlight w:val="none"/>
        </w:rPr>
        <w:t xml:space="preserve">个月内完成项目</w:t>
      </w:r>
      <w:r>
        <w:rPr>
          <w:rFonts w:hint="eastAsia" w:ascii="宋体" w:hAnsi="宋体" w:cs="宋体"/>
          <w:color w:val="auto"/>
          <w:szCs w:val="21"/>
          <w:highlight w:val="none"/>
          <w:lang w:val="en-US" w:eastAsia="zh-CN"/>
        </w:rPr>
        <w:t xml:space="preserve">建设</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自项目</w:t>
      </w:r>
      <w:r>
        <w:rPr>
          <w:rFonts w:hint="eastAsia" w:ascii="宋体" w:hAnsi="宋体" w:cs="宋体"/>
          <w:color w:val="auto"/>
          <w:szCs w:val="21"/>
          <w:highlight w:val="none"/>
        </w:rPr>
        <w:t xml:space="preserve">验收</w:t>
      </w:r>
      <w:r>
        <w:rPr>
          <w:rFonts w:hint="eastAsia" w:ascii="宋体" w:hAnsi="宋体" w:cs="宋体"/>
          <w:color w:val="auto"/>
          <w:szCs w:val="21"/>
          <w:highlight w:val="none"/>
          <w:lang w:val="en-US" w:eastAsia="zh-CN"/>
        </w:rPr>
        <w:t xml:space="preserve">合格</w:t>
      </w:r>
      <w:r>
        <w:rPr>
          <w:rFonts w:hint="eastAsia" w:ascii="宋体" w:hAnsi="宋体" w:cs="宋体"/>
          <w:color w:val="auto"/>
          <w:szCs w:val="21"/>
          <w:highlight w:val="none"/>
        </w:rPr>
        <w:t xml:space="preserve">之日起</w:t>
      </w:r>
      <w:r>
        <w:rPr>
          <w:rFonts w:hint="eastAsia" w:ascii="宋体" w:hAnsi="宋体" w:cs="宋体"/>
          <w:color w:val="auto"/>
          <w:szCs w:val="21"/>
          <w:highlight w:val="none"/>
          <w:lang w:val="en-US" w:eastAsia="zh-CN"/>
        </w:rPr>
        <w:t xml:space="preserve">提供为期一年（12个月）的运维服务。</w:t>
      </w:r>
      <w:r/>
    </w:p>
    <w:p>
      <w:pPr>
        <w:numPr>
          <w:ilvl w:val="255"/>
          <w:numId w:val="0"/>
        </w:numPr>
        <w:ind w:firstLine="420"/>
        <w:spacing w:line="440" w:lineRule="exact"/>
        <w:shd w:val="clear" w:color="ffffff" w:fill="ffff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8、本项目（是/否）接受联合体：否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p>
    <w:p>
      <w:pPr>
        <w:numPr>
          <w:ilvl w:val="255"/>
          <w:numId w:val="0"/>
        </w:numPr>
        <w:ind w:firstLine="420"/>
        <w:spacing w:line="440" w:lineRule="exact"/>
        <w:shd w:val="clear" w:color="ffffff" w:fill="ffff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9、本项目不允许转包、分包。</w:t>
      </w:r>
      <w:r/>
    </w:p>
    <w:p>
      <w:pPr>
        <w:pStyle w:val="865"/>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9" w:name="_Toc3178"/>
      <w:r>
        <w:rPr>
          <w:rFonts w:hint="eastAsia" w:ascii="宋体" w:hAnsi="宋体" w:cs="宋体"/>
          <w:color w:val="auto"/>
          <w:sz w:val="21"/>
          <w:szCs w:val="21"/>
          <w:highlight w:val="none"/>
        </w:rPr>
        <w:t xml:space="preserve">二、申请人的资格要求：</w:t>
      </w:r>
      <w:bookmarkEnd w:id="9"/>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（一）满足</w:t>
      </w:r>
      <w:bookmarkStart w:id="10" w:name="OLE_LINK42"/>
      <w:r>
        <w:rPr>
          <w:rFonts w:hint="eastAsia" w:ascii="宋体" w:hAnsi="宋体" w:cs="宋体"/>
          <w:color w:val="auto"/>
          <w:szCs w:val="21"/>
          <w:highlight w:val="none"/>
        </w:rPr>
        <w:t xml:space="preserve">《中华人民共和国政府采购法》第二十二条规定</w:t>
      </w:r>
      <w:bookmarkEnd w:id="10"/>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1.具有独立承担民事责任的能力</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2.具有良好的商业信誉和健全的财务会计制度</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3.具有履行合同所必需的设备和专业技术能力</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4.有依法缴纳税收和社会保障资金的良好记录</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5.参加政府采购活动前三年内，在经营活动中没有重大违法记录。</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6.法律、行政法规规定的其他条件。</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（二）落实政府采购政策需满足的资格要求：</w:t>
      </w:r>
      <w:bookmarkStart w:id="11" w:name="OLE_LINK49"/>
      <w:r>
        <w:rPr>
          <w:rFonts w:hint="eastAsia" w:ascii="宋体" w:hAnsi="宋体" w:cs="宋体"/>
          <w:b/>
          <w:bCs/>
          <w:color w:val="auto"/>
          <w:szCs w:val="21"/>
          <w:highlight w:val="none"/>
        </w:rPr>
        <w:t xml:space="preserve">本项目专门面向中小企业</w:t>
      </w:r>
      <w:bookmarkEnd w:id="11"/>
      <w:r>
        <w:rPr>
          <w:rFonts w:hint="eastAsia" w:ascii="宋体" w:hAnsi="宋体" w:cs="宋体"/>
          <w:b/>
          <w:bCs/>
          <w:color w:val="auto"/>
          <w:szCs w:val="21"/>
          <w:highlight w:val="none"/>
          <w:lang w:eastAsia="zh-CN"/>
        </w:rPr>
        <w:t xml:space="preserve">。</w:t>
      </w:r>
      <w:r>
        <w:rPr>
          <w:rFonts w:hint="eastAsia" w:ascii="宋体" w:hAnsi="宋体" w:eastAsia="宋体" w:cs="宋体"/>
          <w:color w:val="auto"/>
          <w:szCs w:val="21"/>
          <w:highlight w:val="none"/>
          <w:lang w:eastAsia="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color w:val="auto"/>
          <w:szCs w:val="21"/>
          <w:highlight w:val="none"/>
          <w:lang w:eastAsia="zh-CN"/>
        </w:rPr>
        <w:t xml:space="preserve">软件和信息技术服务业</w:t>
      </w:r>
      <w:r>
        <w:rPr>
          <w:rFonts w:hint="eastAsia" w:ascii="宋体" w:hAnsi="宋体" w:eastAsia="宋体" w:cs="宋体"/>
          <w:color w:val="auto"/>
          <w:szCs w:val="21"/>
          <w:highlight w:val="none"/>
          <w:lang w:eastAsia="zh-CN"/>
        </w:rPr>
        <w:t xml:space="preserve">。承接服务的供应商应为中小微企业、监狱企业、残疾人福利性单位。</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（三）本项目的特定资格要求：无</w:t>
      </w:r>
      <w:r>
        <w:rPr>
          <w:rFonts w:hint="eastAsia" w:ascii="宋体" w:hAnsi="宋体" w:cs="宋体"/>
          <w:color w:val="auto"/>
          <w:szCs w:val="21"/>
          <w:highlight w:val="none"/>
          <w:lang w:eastAsia="zh-CN"/>
        </w:rPr>
        <w:t xml:space="preserve">。</w:t>
      </w:r>
      <w:r/>
    </w:p>
    <w:p>
      <w:pPr>
        <w:ind w:firstLine="420"/>
        <w:spacing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（四）其他要求：</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1.未被“信用中国”网站（www.creditchina.gov.cn）列入失信被执行人、重大税收违法案件当事人名单、政府采购严重失信行为记录名单。</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3.法人的分支机构不得参加本项目的采购活动(除银行、保险、石油石化、电力、电信等行业特殊情况外)。</w:t>
      </w:r>
      <w:r/>
    </w:p>
    <w:p>
      <w:pPr>
        <w:pStyle w:val="865"/>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2" w:name="_Toc15592"/>
      <w:r>
        <w:rPr>
          <w:rFonts w:hint="eastAsia" w:ascii="宋体" w:hAnsi="宋体" w:cs="宋体"/>
          <w:color w:val="auto"/>
          <w:sz w:val="21"/>
          <w:szCs w:val="21"/>
          <w:highlight w:val="none"/>
        </w:rPr>
        <w:t xml:space="preserve">三、获取采购文件</w:t>
      </w:r>
      <w:bookmarkEnd w:id="12"/>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1.时间：自公告发布之日起5个工作日</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2.地点：苏采云系统自行下载</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3.方式：“苏采云”系统报名后自行下载</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4.售价：免费。</w:t>
      </w:r>
      <w:r/>
    </w:p>
    <w:p>
      <w:pPr>
        <w:pStyle w:val="865"/>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3" w:name="_Toc819"/>
      <w:r>
        <w:rPr>
          <w:rFonts w:hint="eastAsia" w:ascii="宋体" w:hAnsi="宋体" w:cs="宋体"/>
          <w:color w:val="auto"/>
          <w:sz w:val="21"/>
          <w:szCs w:val="21"/>
          <w:highlight w:val="none"/>
        </w:rPr>
        <w:t xml:space="preserve">四、响应文件提交</w:t>
      </w:r>
      <w:bookmarkEnd w:id="13"/>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-15</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09：30 （北京时间）</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地点：“苏采云”系统（网址：http://jszfcg.jsczt.cn/） </w:t>
      </w:r>
      <w:r/>
    </w:p>
    <w:p>
      <w:pPr>
        <w:pStyle w:val="865"/>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4" w:name="_Toc19956"/>
      <w:r>
        <w:rPr>
          <w:rFonts w:hint="eastAsia" w:ascii="宋体" w:hAnsi="宋体" w:cs="宋体"/>
          <w:color w:val="auto"/>
          <w:sz w:val="21"/>
          <w:szCs w:val="21"/>
          <w:highlight w:val="none"/>
        </w:rPr>
        <w:t xml:space="preserve">五、开启</w:t>
      </w:r>
      <w:bookmarkEnd w:id="14"/>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-15</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09:30 （北京时间）</w:t>
      </w:r>
      <w:r/>
    </w:p>
    <w:p>
      <w:pPr>
        <w:pStyle w:val="865"/>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5" w:name="_Toc26104"/>
      <w:r>
        <w:rPr>
          <w:rFonts w:hint="eastAsia" w:ascii="宋体" w:hAnsi="宋体" w:cs="宋体"/>
          <w:color w:val="auto"/>
          <w:sz w:val="21"/>
          <w:szCs w:val="21"/>
          <w:highlight w:val="none"/>
        </w:rPr>
        <w:t xml:space="preserve">六、公告期限</w:t>
      </w:r>
      <w:bookmarkEnd w:id="15"/>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865"/>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6" w:name="_Toc386"/>
      <w:r>
        <w:rPr>
          <w:rFonts w:hint="eastAsia" w:ascii="宋体" w:hAnsi="宋体" w:cs="宋体"/>
          <w:color w:val="auto"/>
          <w:sz w:val="21"/>
          <w:szCs w:val="21"/>
          <w:highlight w:val="none"/>
        </w:rPr>
        <w:t xml:space="preserve">七、其他补充事宜</w:t>
      </w:r>
      <w:bookmarkEnd w:id="16"/>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17" w:name="OLE_LINK50"/>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采购文件获取方式：   </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（1）CA证书办理</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rPr>
        <w:t xml:space="preserve">苏州现场办理地址：苏州市高新区邓尉路105号狮山科技馆一楼服务大厅，咨询电话：0512-65737699。</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（2）参与采购活动</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（3）电子投标准备</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注册咨询：18261002950；</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CA技术咨询电话：400-608-6099；</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签章使用问题：025-83633811、025-83633812、15380932027、15371015030；</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440" w:lineRule="exact"/>
        <w:shd w:val="clear" w:color="ffffff" w:fill="ffff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请供应商确保电脑、系统及其他设备（视频输入输出设备等）无误，且开启直至项目结束始终保持系统在线状态。</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.有关本项目电子投标具体操作方法详见苏采云系统中的客户端使用说明和供应商《操作手册》。</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.补充通知（如有）。成功获取磋商文件的供应商通过“苏州市政府采购网”或“苏采云”系统自行查看所报项目的补充通知。</w:t>
      </w:r>
      <w:bookmarkEnd w:id="17"/>
      <w:r/>
      <w:r/>
    </w:p>
    <w:p>
      <w:pPr>
        <w:pStyle w:val="865"/>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8" w:name="_Toc24271"/>
      <w:r>
        <w:rPr>
          <w:rFonts w:hint="eastAsia" w:ascii="宋体" w:hAnsi="宋体" w:cs="宋体"/>
          <w:color w:val="auto"/>
          <w:sz w:val="21"/>
          <w:szCs w:val="21"/>
          <w:highlight w:val="none"/>
        </w:rPr>
        <w:t xml:space="preserve">八、凡对本次采购提出询问，请按以下方式联系。</w:t>
      </w:r>
      <w:bookmarkEnd w:id="18"/>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1.采购人信息</w:t>
      </w:r>
      <w:r/>
    </w:p>
    <w:p>
      <w:pPr>
        <w:ind w:firstLine="42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苏州市吴江区人民法院</w:t>
      </w:r>
      <w:r>
        <w:rPr>
          <w:rFonts w:hint="eastAsia" w:ascii="宋体" w:hAnsi="宋体" w:eastAsia="宋体" w:cs="宋体"/>
          <w:color w:val="auto"/>
          <w:szCs w:val="21"/>
          <w:highlight w:val="none"/>
        </w:rPr>
        <w:t xml:space="preserve"> </w:t>
      </w:r>
      <w:r/>
    </w:p>
    <w:p>
      <w:pPr>
        <w:ind w:firstLine="420"/>
        <w:jc w:val="left"/>
        <w:spacing w:line="440" w:lineRule="exact"/>
        <w:widowControl/>
        <w:rPr>
          <w:rFonts w:hint="default" w:ascii="宋体" w:hAnsi="宋体" w:eastAsia="宋体" w:cs="宋体"/>
          <w:b w:val="0"/>
          <w:color w:val="auto"/>
          <w:szCs w:val="21"/>
          <w:highlight w:val="none"/>
          <w:lang w:val="en-US" w:eastAsia="zh-CN"/>
        </w:rPr>
      </w:pPr>
      <w:r>
        <w:rPr>
          <w:rFonts w:hint="eastAsia" w:ascii="宋体" w:hAnsi="宋体" w:cs="宋体"/>
          <w:b w:val="0"/>
          <w:color w:val="auto"/>
          <w:szCs w:val="21"/>
          <w:highlight w:val="none"/>
          <w:lang w:val="zh-CN"/>
        </w:rPr>
        <w:t xml:space="preserve">地  址：</w:t>
      </w:r>
      <w:bookmarkStart w:id="19" w:name="_Toc35393619"/>
      <w:r/>
      <w:bookmarkStart w:id="20" w:name="_Toc28359000"/>
      <w:r/>
      <w:bookmarkStart w:id="21" w:name="_Toc35393788"/>
      <w:r/>
      <w:bookmarkStart w:id="22" w:name="_Toc28359077"/>
      <w:r>
        <w:rPr>
          <w:rFonts w:hint="eastAsia" w:ascii="宋体" w:hAnsi="宋体" w:cs="宋体"/>
          <w:b w:val="0"/>
          <w:color w:val="auto"/>
          <w:szCs w:val="21"/>
          <w:highlight w:val="none"/>
          <w:lang w:val="zh-CN"/>
        </w:rPr>
        <w:t xml:space="preserve">苏州市吴江区</w:t>
      </w:r>
      <w:bookmarkEnd w:id="19"/>
      <w:r/>
      <w:bookmarkEnd w:id="20"/>
      <w:r/>
      <w:bookmarkEnd w:id="21"/>
      <w:r/>
      <w:bookmarkEnd w:id="22"/>
      <w:r>
        <w:rPr>
          <w:rFonts w:hint="eastAsia" w:ascii="宋体" w:hAnsi="宋体" w:cs="宋体"/>
          <w:b w:val="0"/>
          <w:color w:val="auto"/>
          <w:szCs w:val="21"/>
          <w:highlight w:val="none"/>
          <w:lang w:val="en-US" w:eastAsia="zh-CN"/>
        </w:rPr>
        <w:t xml:space="preserve">高新路788号</w:t>
      </w:r>
      <w:r/>
    </w:p>
    <w:p>
      <w:pPr>
        <w:ind w:firstLine="420"/>
        <w:jc w:val="left"/>
        <w:spacing w:line="440" w:lineRule="exact"/>
        <w:widowControl/>
        <w:rPr>
          <w:rFonts w:hint="eastAsia" w:ascii="宋体" w:hAnsi="宋体" w:cs="宋体"/>
          <w:b w:val="0"/>
          <w:color w:val="auto"/>
          <w:szCs w:val="21"/>
          <w:highlight w:val="none"/>
        </w:rPr>
      </w:pPr>
      <w:r>
        <w:rPr>
          <w:rFonts w:hint="eastAsia" w:ascii="宋体" w:hAnsi="宋体" w:cs="宋体"/>
          <w:b w:val="0"/>
          <w:color w:val="auto"/>
          <w:szCs w:val="21"/>
          <w:highlight w:val="none"/>
        </w:rPr>
        <w:t xml:space="preserve">联系人：柯震黎 </w:t>
      </w:r>
      <w:r/>
    </w:p>
    <w:p>
      <w:pPr>
        <w:ind w:firstLine="420"/>
        <w:spacing w:line="440" w:lineRule="exact"/>
        <w:shd w:val="clear" w:color="ffffff" w:fill="ffffff"/>
        <w:rPr>
          <w:rFonts w:hint="eastAsia" w:ascii="宋体" w:hAnsi="宋体" w:cs="宋体"/>
          <w:b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color w:val="auto"/>
          <w:szCs w:val="21"/>
          <w:highlight w:val="none"/>
        </w:rPr>
        <w:t xml:space="preserve">联系电话：0512-63493826</w:t>
      </w:r>
      <w:r>
        <w:rPr>
          <w:rFonts w:hint="eastAsia" w:ascii="宋体" w:hAnsi="宋体" w:cs="宋体"/>
          <w:b w:val="0"/>
          <w:color w:val="auto"/>
          <w:szCs w:val="21"/>
          <w:highlight w:val="none"/>
        </w:rPr>
        <w:t xml:space="preserve">　</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2.采购代理机构信息</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单位名称：苏州通宜房地产土地评估咨询有限公司</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单位地址：</w:t>
      </w:r>
      <w:bookmarkStart w:id="23" w:name="OLE_LINK3"/>
      <w:r>
        <w:rPr>
          <w:rFonts w:hint="eastAsia" w:ascii="宋体" w:hAnsi="宋体" w:cs="宋体"/>
          <w:color w:val="auto"/>
          <w:szCs w:val="21"/>
          <w:highlight w:val="none"/>
        </w:rPr>
        <w:t xml:space="preserve">吴江区松陵镇鲈乡南路鲈乡园别墅区103幢</w:t>
      </w:r>
      <w:bookmarkEnd w:id="23"/>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联系人：董鹏、朱雪芬</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联系电话：0512-63000883</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3.项目联系方式</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项目联系人：董鹏、朱雪芬</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电话：0512-63000883</w:t>
      </w:r>
      <w:r/>
    </w:p>
    <w:p>
      <w:pPr>
        <w:ind w:firstLine="420"/>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r/>
    </w:p>
    <w:p>
      <w:pPr>
        <w:ind w:firstLine="420"/>
        <w:jc w:val="center"/>
        <w:spacing w:after="210"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bookmarkStart w:id="24" w:name="_Toc11937"/>
      <w:r/>
      <w:bookmarkStart w:id="25" w:name="_Toc23541"/>
      <w:r/>
      <w:bookmarkStart w:id="26" w:name="_Toc18157"/>
      <w:r/>
      <w:bookmarkStart w:id="27" w:name="_Toc6289"/>
      <w:r/>
      <w:bookmarkStart w:id="28" w:name="_Toc25272"/>
      <w:r/>
      <w:bookmarkStart w:id="29" w:name="_Toc7179"/>
      <w:r/>
      <w:bookmarkStart w:id="30" w:name="_Toc19638"/>
      <w:r/>
      <w:bookmarkStart w:id="31" w:name="_Toc26391"/>
      <w:r>
        <w:rPr>
          <w:rStyle w:val="1122"/>
          <w:rFonts w:hint="eastAsia" w:ascii="宋体" w:hAnsi="宋体" w:cs="宋体"/>
          <w:color w:val="auto"/>
          <w:highlight w:val="none"/>
        </w:rPr>
        <w:t xml:space="preserve">二、磋商供应商须知</w:t>
      </w:r>
      <w:bookmarkEnd w:id="24"/>
      <w:r/>
      <w:bookmarkEnd w:id="25"/>
      <w:r/>
      <w:bookmarkEnd w:id="26"/>
      <w:r/>
      <w:bookmarkEnd w:id="27"/>
      <w:r/>
      <w:bookmarkEnd w:id="28"/>
      <w:r/>
      <w:bookmarkEnd w:id="29"/>
      <w:r/>
      <w:bookmarkEnd w:id="30"/>
      <w:r/>
      <w:bookmarkEnd w:id="31"/>
      <w:r/>
      <w:r/>
    </w:p>
    <w:p>
      <w:pPr>
        <w:ind w:firstLine="422"/>
        <w:spacing w:line="440" w:lineRule="exact"/>
        <w:rPr>
          <w:rFonts w:hint="eastAsia" w:ascii="宋体" w:hAnsi="宋体" w:cs="宋体"/>
          <w:b/>
          <w:color w:val="auto"/>
          <w:szCs w:val="21"/>
          <w:highlight w:val="none"/>
          <w:lang w:eastAsia="zh-CN"/>
        </w:rPr>
      </w:pPr>
      <w:r/>
      <w:bookmarkStart w:id="32" w:name="_Toc29852"/>
      <w:r>
        <w:rPr>
          <w:rFonts w:hint="eastAsia" w:ascii="宋体" w:hAnsi="宋体" w:cs="宋体"/>
          <w:b/>
          <w:color w:val="auto"/>
          <w:szCs w:val="21"/>
          <w:highlight w:val="none"/>
          <w:lang w:eastAsia="zh-CN"/>
        </w:rPr>
        <w:t xml:space="preserve">一、说明和释义</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1.1本招标文件仅适用于苏州通宜房地产土地评估咨询有限公司的招标活动。</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1.2本次招标活动及因本次招标产生的合同受中国法律制约和保护。</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1.3本招标文件的解释权属于苏州通宜房地产土地评估咨询有限公司。</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1.4词语释义</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1.4.1招标代理机构：具体组织实施招标活动的法人。</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1.4.2投标人（投标单位）：经认定有资格响应招标，参加投标竞争的法人或其他组织和自然人。</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1.4.3响应：投标单位根据招标代理机构或招标代理机构发布的招标文件，编制投标文件并按规定投标的行为。</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1.4.4合同：采供双方根据招标文件和中标的投标文件及中标通知书规定的内容签署的以书面形式所达成的协议，包括所有的附件、附录和构成协议的所有文件。</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1.4.5 甲方（委托方）：合同中明确规定的实际购买货物和服务的法人或其他组织和自然人 。</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1.4.6乙方（服务方）：合同中规定的向采购单位提供货物和服务的法人或其他组织和自然人。</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1.4.7货物：系指乙方按招标文件规定，应向甲方提供的一切设备、备品、备件、工具、手册及其它有关技术资料和材料。</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1.4.8服务：系指本次招标文件规定乙方应承担的</w:t>
      </w:r>
      <w:r>
        <w:rPr>
          <w:rFonts w:hint="eastAsia" w:ascii="宋体" w:hAnsi="宋体" w:cs="宋体"/>
          <w:color w:val="auto"/>
          <w:szCs w:val="21"/>
          <w:highlight w:val="none"/>
          <w:lang w:eastAsia="zh-CN"/>
        </w:rPr>
        <w:t xml:space="preserve">2026年吴江区数智庭审系统升级</w:t>
      </w:r>
      <w:r>
        <w:rPr>
          <w:rFonts w:hint="eastAsia" w:ascii="宋体" w:hAnsi="宋体" w:cs="宋体"/>
          <w:color w:val="auto"/>
          <w:szCs w:val="21"/>
          <w:highlight w:val="none"/>
          <w:lang w:val="en-US" w:eastAsia="zh-CN"/>
        </w:rPr>
        <w:t xml:space="preserve">。</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1.4.9知识产权：指专利权、商标权、著作权等无形财产专有权的统称。</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1.4.10天：日历日。</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1.4.11交货地点：合同中明确约定的乙方提交的货物和服务最终交付地点。</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1.4.12合同价款：根据合同规定，乙方在正确地履行合同义务后甲方应支付乙方的价款。</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1.4.13产地：货物开采、生长、生产、最终制造、加工或提供服务的来源地。</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1.4.14 不可抗力：不能预见、不能避免并且不能克服的客观情况。</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1131"/>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1.4.17书面形式：指书面文字、合同书、信件和数据电文（包括传真、电子数据交换和电子邮件）等可以有形地表现所载内容的形式。</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2.★联合体响应：不接受。</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2.1.两个以上的自然人、法人或者其他组织可以组成一个联合体，以一个供应商的身份共同参加政府采购。</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2.2.鼓励大中型企业和其他自然人、法人或者其他组织与小型、微型企业组成联合体共同参加非专门面向中小企业的政府采购活动。</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2.2.以联合体形式参加</w:t>
      </w:r>
      <w:r>
        <w:rPr>
          <w:rFonts w:hint="eastAsia" w:ascii="宋体" w:hAnsi="宋体" w:cs="宋体"/>
          <w:color w:val="auto"/>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2.4. 联合体各方之间应当签订联合体协议，明确约定联合体各方承担的工作和相应的责任，并将联合体协议连同响应文件一并提交。</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2.5. 以联合体形式参加政府采购活动的，联合体各方不得再单独参加或者与其他供应商另外组成联合体参加同一合同项下的政府采购活动。</w:t>
      </w:r>
      <w:r/>
    </w:p>
    <w:p>
      <w:pPr>
        <w:ind w:firstLine="422"/>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3.★转包与分包与</w:t>
      </w:r>
      <w:r>
        <w:rPr>
          <w:rFonts w:hint="eastAsia" w:ascii="宋体" w:hAnsi="宋体" w:cs="宋体"/>
          <w:b/>
          <w:color w:val="auto"/>
          <w:szCs w:val="21"/>
          <w:highlight w:val="none"/>
        </w:rPr>
        <w:t xml:space="preserve">磋商费用</w:t>
      </w:r>
      <w:r/>
    </w:p>
    <w:p>
      <w:pPr>
        <w:pStyle w:val="1221"/>
        <w:spacing w:line="440" w:lineRule="exact"/>
        <w:rPr>
          <w:rFonts w:ascii="宋体" w:hAnsi="宋体" w:cs="宋体"/>
          <w:color w:val="auto"/>
          <w:highlight w:val="none"/>
        </w:rPr>
      </w:pPr>
      <w:r>
        <w:rPr>
          <w:rFonts w:hint="eastAsia" w:ascii="宋体" w:hAnsi="宋体" w:cs="宋体"/>
          <w:color w:val="auto"/>
          <w:highlight w:val="none"/>
        </w:rPr>
        <w:t xml:space="preserve">3.1.本项目不允许转包或分包。</w:t>
      </w:r>
      <w:r/>
    </w:p>
    <w:p>
      <w:pPr>
        <w:pStyle w:val="1207"/>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3.2.无论磋商过程中的做法和结果如何，磋商供应商自行承担所有与参加磋商有关的全部费用。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4.磋商文件</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4.1.磋商文件的内容如下：</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第一章 磋商邀请书</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第二章 磋商供应商须知</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第三章 采购需求</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第四章 评标办法及评分标准</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第五章 合同主要条款</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第六章 响应文件格式</w:t>
      </w:r>
      <w:r/>
    </w:p>
    <w:p>
      <w:pPr>
        <w:pStyle w:val="1207"/>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5.磋商文件的澄清和修改</w:t>
      </w:r>
      <w:r/>
    </w:p>
    <w:p>
      <w:pPr>
        <w:pStyle w:val="1207"/>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207"/>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5.2.磋商文件的澄清、修改等内容与竞争性磋商文件在同一内容的表述上不一致时，以发出日期最接近磋商时间的公告为准。</w:t>
      </w:r>
      <w:r/>
    </w:p>
    <w:p>
      <w:pPr>
        <w:pStyle w:val="1207"/>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5.3.磋商文件的澄清、修改等内容均将在财政部门指定的政府采购信息发布媒体上发布，作为磋商文件的组成部分，对供应商起约束作用。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6.★响应文件计量单位和使用文字</w:t>
      </w:r>
      <w:r/>
    </w:p>
    <w:p>
      <w:pPr>
        <w:pStyle w:val="1207"/>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6.1.响应文件中所使用的计量单位，除竞争性磋商文件中有特殊要求外，均应使用中华人民共和国法定计量单位。</w:t>
      </w:r>
      <w:r/>
    </w:p>
    <w:p>
      <w:pPr>
        <w:pStyle w:val="1207"/>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7.响应文件的组成及要求</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7.1封面</w:t>
      </w:r>
      <w:r/>
    </w:p>
    <w:p>
      <w:pPr>
        <w:pStyle w:val="1207"/>
        <w:ind w:firstLine="422"/>
        <w:spacing w:line="440" w:lineRule="exact"/>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rPr>
        <w:t xml:space="preserve">7.2开标一览表</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磋商报价表</w:t>
      </w:r>
      <w:r>
        <w:rPr>
          <w:rFonts w:hint="eastAsia" w:ascii="宋体" w:hAnsi="宋体" w:cs="宋体"/>
          <w:b/>
          <w:color w:val="auto"/>
          <w:sz w:val="21"/>
          <w:szCs w:val="21"/>
          <w:highlight w:val="none"/>
          <w:lang w:eastAsia="zh-CN"/>
        </w:rPr>
        <w:t xml:space="preserve">）</w:t>
      </w:r>
      <w:r/>
    </w:p>
    <w:p>
      <w:pPr>
        <w:pStyle w:val="1207"/>
        <w:spacing w:line="440" w:lineRule="exac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7.2.1磋商报价分析表</w:t>
      </w:r>
      <w:r/>
    </w:p>
    <w:p>
      <w:pPr>
        <w:pStyle w:val="1207"/>
        <w:ind w:firstLine="422"/>
        <w:spacing w:line="44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7.3资格审查响应文件</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7.3.1具有独立承担民事责任的能力证明。（提供营业执照或事业单位法人证等法人证明材料（加盖公章））；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7.3.2具有良好的商业信誉和健全的财务会计制度证明（提供参加本次采购活动前的最近一期</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2025</w:t>
      </w:r>
      <w:r>
        <w:rPr>
          <w:rFonts w:hint="eastAsia" w:ascii="宋体" w:hAnsi="宋体" w:cs="宋体"/>
          <w:bCs/>
          <w:color w:val="auto"/>
          <w:sz w:val="21"/>
          <w:szCs w:val="21"/>
          <w:highlight w:val="none"/>
        </w:rPr>
        <w:t xml:space="preserve">年度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的</w:t>
      </w:r>
      <w:r>
        <w:rPr>
          <w:rFonts w:hint="eastAsia" w:ascii="宋体" w:hAnsi="宋体" w:cs="宋体"/>
          <w:bCs/>
          <w:color w:val="auto"/>
          <w:sz w:val="21"/>
          <w:szCs w:val="21"/>
          <w:highlight w:val="none"/>
        </w:rPr>
        <w:t xml:space="preserve">审计报告</w:t>
      </w:r>
      <w:r>
        <w:rPr>
          <w:rFonts w:hint="eastAsia" w:ascii="宋体" w:hAnsi="宋体" w:cs="宋体"/>
          <w:bCs/>
          <w:color w:val="auto"/>
          <w:sz w:val="21"/>
          <w:szCs w:val="21"/>
          <w:highlight w:val="none"/>
          <w:lang w:val="en-US" w:eastAsia="zh-CN"/>
        </w:rPr>
        <w:t xml:space="preserve">或最近一期的财务</w:t>
      </w:r>
      <w:r>
        <w:rPr>
          <w:rFonts w:hint="eastAsia" w:ascii="宋体" w:hAnsi="宋体" w:cs="宋体"/>
          <w:bCs/>
          <w:color w:val="auto"/>
          <w:sz w:val="21"/>
          <w:szCs w:val="21"/>
          <w:highlight w:val="none"/>
        </w:rPr>
        <w:t xml:space="preserve">报表，其他组织、自然人及成立未满一年的法人应提供银行出具的资信证明（加盖公章））；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7.3.3有依法缴纳税收和社会保障资金的良好记录（提供参加本次政府采购活动前</w:t>
      </w:r>
      <w:r>
        <w:rPr>
          <w:rFonts w:hint="eastAsia" w:ascii="宋体" w:hAnsi="宋体" w:cs="宋体"/>
          <w:bCs/>
          <w:color w:val="auto"/>
          <w:sz w:val="21"/>
          <w:szCs w:val="21"/>
          <w:highlight w:val="none"/>
          <w:lang w:val="en-US" w:eastAsia="zh-CN"/>
        </w:rPr>
        <w:t xml:space="preserve">6个月内任意一期</w:t>
      </w:r>
      <w:r>
        <w:rPr>
          <w:rFonts w:hint="eastAsia" w:ascii="宋体" w:hAnsi="宋体" w:cs="宋体"/>
          <w:bCs/>
          <w:color w:val="auto"/>
          <w:sz w:val="21"/>
          <w:szCs w:val="21"/>
          <w:highlight w:val="none"/>
        </w:rPr>
        <w:t xml:space="preserve">依法缴纳税收和社会保障资金的相关材料。响应单位如依法享受缓缴、免缴税收、社会保障资金的应提供相关主管部门出具的证明材料）；</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7.3.4</w:t>
      </w:r>
      <w:r>
        <w:rPr>
          <w:rFonts w:hint="eastAsia" w:ascii="宋体" w:hAnsi="宋体" w:cs="宋体"/>
          <w:color w:val="auto"/>
          <w:sz w:val="21"/>
          <w:szCs w:val="21"/>
          <w:highlight w:val="none"/>
        </w:rPr>
        <w:t xml:space="preserve">具有</w:t>
      </w:r>
      <w:r>
        <w:rPr>
          <w:rFonts w:hint="eastAsia" w:ascii="宋体" w:hAnsi="宋体" w:cs="宋体"/>
          <w:bCs/>
          <w:color w:val="auto"/>
          <w:sz w:val="21"/>
          <w:szCs w:val="21"/>
          <w:highlight w:val="none"/>
        </w:rPr>
        <w:t xml:space="preserve">履行合同所必需的设备和专业技术能力的证明材料或承诺；</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7.3.5参加政府采购活动前三年内在经营活动中没有重大违法记录的书面声明函；</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7.3.6法律、行政法规规定的其他条件；</w:t>
      </w:r>
      <w:r/>
    </w:p>
    <w:p>
      <w:pPr>
        <w:pStyle w:val="1207"/>
        <w:spacing w:line="44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7.3.7落实政府采购政策需满足的资格要求：</w:t>
      </w:r>
      <w:r>
        <w:rPr>
          <w:rFonts w:hint="eastAsia" w:ascii="宋体" w:hAnsi="宋体" w:cs="宋体"/>
          <w:b/>
          <w:bCs w:val="0"/>
          <w:color w:val="auto"/>
          <w:sz w:val="21"/>
          <w:szCs w:val="21"/>
          <w:highlight w:val="none"/>
        </w:rPr>
        <w:t xml:space="preserve">本项目专门面向中小企业，</w:t>
      </w: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Cs/>
          <w:color w:val="auto"/>
          <w:sz w:val="21"/>
          <w:szCs w:val="21"/>
          <w:highlight w:val="none"/>
          <w:lang w:eastAsia="zh-CN"/>
        </w:rPr>
        <w:t xml:space="preserve">软件和信息技术服务业。</w:t>
      </w:r>
      <w:r/>
    </w:p>
    <w:p>
      <w:pPr>
        <w:ind w:firstLine="420"/>
        <w:jc w:val="left"/>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7.3.8 本项目的特定资格要求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无</w:t>
      </w:r>
      <w:r>
        <w:rPr>
          <w:rFonts w:hint="eastAsia" w:ascii="宋体" w:hAnsi="宋体" w:cs="宋体"/>
          <w:bCs/>
          <w:color w:val="auto"/>
          <w:szCs w:val="21"/>
          <w:highlight w:val="none"/>
        </w:rPr>
        <w:t xml:space="preserve">。</w:t>
      </w:r>
      <w:r/>
    </w:p>
    <w:p>
      <w:pPr>
        <w:pStyle w:val="1207"/>
        <w:ind w:firstLine="422"/>
        <w:spacing w:line="44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7.4符合性审查响应文件</w:t>
      </w:r>
      <w:r/>
    </w:p>
    <w:p>
      <w:pPr>
        <w:pStyle w:val="1207"/>
        <w:spacing w:line="440" w:lineRule="exac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报价符合性审查</w:t>
      </w:r>
      <w:r/>
    </w:p>
    <w:p>
      <w:pPr>
        <w:pStyle w:val="1207"/>
        <w:spacing w:line="44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2</w:t>
      </w:r>
      <w:r>
        <w:rPr>
          <w:rFonts w:hint="eastAsia" w:ascii="宋体" w:hAnsi="宋体" w:cs="宋体"/>
          <w:color w:val="auto"/>
          <w:sz w:val="21"/>
          <w:szCs w:val="21"/>
          <w:highlight w:val="none"/>
        </w:rPr>
        <w:t xml:space="preserve">磋商响应函（</w:t>
      </w:r>
      <w:r>
        <w:rPr>
          <w:rFonts w:hint="eastAsia" w:ascii="宋体" w:hAnsi="宋体" w:cs="宋体"/>
          <w:bCs/>
          <w:color w:val="auto"/>
          <w:sz w:val="21"/>
          <w:szCs w:val="21"/>
          <w:highlight w:val="none"/>
        </w:rPr>
        <w:t xml:space="preserve">格式见第六章）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法定代表人身份证</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法人授权委托书及委托代理人身份证复印件（如有授权）（格式见第六章）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关于资格文件的声明函（格式见第六章）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响应单位基本情况表（格式见第六章）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7服务/商务偏离表</w:t>
      </w:r>
      <w:r>
        <w:rPr>
          <w:rFonts w:hint="eastAsia" w:ascii="宋体" w:hAnsi="宋体" w:cs="宋体"/>
          <w:bCs/>
          <w:color w:val="auto"/>
          <w:sz w:val="21"/>
          <w:szCs w:val="21"/>
          <w:highlight w:val="none"/>
        </w:rPr>
        <w:t xml:space="preserve">（格式见第六章）</w:t>
      </w:r>
      <w:r/>
    </w:p>
    <w:p>
      <w:pPr>
        <w:pStyle w:val="1207"/>
        <w:spacing w:line="440" w:lineRule="exact"/>
        <w:rPr>
          <w:rFonts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实质性条款（承诺函）</w:t>
      </w:r>
      <w:r/>
    </w:p>
    <w:p>
      <w:pPr>
        <w:pStyle w:val="1207"/>
        <w:spacing w:line="440" w:lineRule="exact"/>
        <w:rPr>
          <w:rFonts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其他有关符合性证明的文件（投标（响应）保证承诺书等）</w:t>
      </w:r>
      <w:r/>
    </w:p>
    <w:p>
      <w:pPr>
        <w:pStyle w:val="1207"/>
        <w:ind w:firstLine="422"/>
        <w:spacing w:line="440" w:lineRule="exact"/>
        <w:rPr>
          <w:rFonts w:ascii="宋体" w:hAnsi="宋体" w:cs="宋体"/>
          <w:color w:val="auto"/>
          <w:sz w:val="21"/>
          <w:szCs w:val="21"/>
          <w:highlight w:val="none"/>
          <w:u w:val="single"/>
        </w:rPr>
      </w:pPr>
      <w:r>
        <w:rPr>
          <w:rFonts w:hint="eastAsia" w:ascii="宋体" w:hAnsi="宋体" w:cs="宋体"/>
          <w:b/>
          <w:color w:val="auto"/>
          <w:sz w:val="21"/>
          <w:szCs w:val="21"/>
          <w:highlight w:val="none"/>
          <w:u w:val="single"/>
        </w:rPr>
        <w:t xml:space="preserve">7.5综合评审响应文件</w:t>
      </w:r>
      <w:r/>
    </w:p>
    <w:p>
      <w:pPr>
        <w:ind w:firstLine="420"/>
        <w:spacing w:line="440" w:lineRule="exact"/>
        <w:rPr>
          <w:rFonts w:hint="eastAsia" w:ascii="宋体" w:hAnsi="宋体" w:cs="宋体"/>
          <w:color w:val="auto"/>
          <w:sz w:val="21"/>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.1质量及技术部分</w:t>
      </w:r>
      <w:r/>
    </w:p>
    <w:p>
      <w:pPr>
        <w:ind w:firstLine="420"/>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7.5.2</w:t>
      </w:r>
      <w:r>
        <w:rPr>
          <w:rFonts w:hint="eastAsia" w:ascii="宋体" w:hAnsi="宋体" w:cs="宋体"/>
          <w:color w:val="auto"/>
          <w:szCs w:val="21"/>
          <w:highlight w:val="none"/>
          <w:lang w:val="zh-CN"/>
        </w:rPr>
        <w:t xml:space="preserve">服务</w:t>
      </w:r>
      <w:r>
        <w:rPr>
          <w:rFonts w:hint="eastAsia" w:ascii="宋体" w:hAnsi="宋体" w:cs="宋体"/>
          <w:color w:val="auto"/>
          <w:szCs w:val="21"/>
          <w:highlight w:val="none"/>
          <w:lang w:val="en-US" w:eastAsia="zh-CN"/>
        </w:rPr>
        <w:t xml:space="preserve">方案（包括服务，实施，售后保障等）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3履约能力</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7.5.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响应单位针对本项目服务人员的配备及设备比较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其他可以证明投标人资质、服务质量的证书、文件等相关资料。</w:t>
      </w:r>
      <w:r/>
    </w:p>
    <w:p>
      <w:pPr>
        <w:pStyle w:val="1207"/>
        <w:ind w:firstLine="422"/>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lang w:val="en-US" w:eastAsia="zh-CN"/>
        </w:rPr>
        <w:t xml:space="preserve">7.6</w:t>
      </w:r>
      <w:r>
        <w:rPr>
          <w:rFonts w:hint="eastAsia" w:ascii="宋体" w:hAnsi="宋体" w:eastAsia="宋体" w:cs="宋体"/>
          <w:b/>
          <w:color w:val="auto"/>
          <w:sz w:val="21"/>
          <w:szCs w:val="21"/>
          <w:highlight w:val="none"/>
          <w:u w:val="single"/>
        </w:rPr>
        <w:t xml:space="preserve">价格折扣响应文件</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6.1</w:t>
      </w:r>
      <w:r>
        <w:rPr>
          <w:rFonts w:hint="eastAsia" w:ascii="宋体" w:hAnsi="宋体" w:eastAsia="宋体" w:cs="宋体"/>
          <w:color w:val="auto"/>
          <w:szCs w:val="21"/>
          <w:highlight w:val="none"/>
          <w:lang w:val="zh-CN"/>
        </w:rPr>
        <w:t xml:space="preserve">中小企业声明函/残疾人福利性单位声明函/监狱企业的证明文件。</w:t>
      </w:r>
      <w:r/>
    </w:p>
    <w:p>
      <w:pPr>
        <w:ind w:firstLine="420"/>
        <w:spacing w:line="440" w:lineRule="exac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 xml:space="preserve">7.6.2</w:t>
      </w:r>
      <w:r>
        <w:rPr>
          <w:rFonts w:hint="eastAsia" w:ascii="宋体" w:hAnsi="宋体" w:eastAsia="宋体" w:cs="宋体"/>
          <w:color w:val="auto"/>
          <w:szCs w:val="21"/>
          <w:highlight w:val="none"/>
          <w:lang w:val="zh-CN" w:eastAsia="zh-CN"/>
        </w:rPr>
        <w:t xml:space="preserve">供应商对其提供的产品出具《关于符合本国产品标准的声明函》或财政部会同有关部门规定的有关证明文件。如不提供将不享受本国产品价格评审优惠。</w:t>
      </w:r>
      <w:r/>
    </w:p>
    <w:p>
      <w:pPr>
        <w:pStyle w:val="1207"/>
        <w:ind w:firstLine="422"/>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（1）以上7.3.1-7.3.8为资格审查要求提供的材料，是作为对供应商资格审查、质疑身份认定的依据，响应供应商必须提供并加盖电子公章。否则，磋商响应文件将被认定为不符合资格审查要求。</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（2）以上7.4.1-7.4.</w:t>
      </w:r>
      <w:r>
        <w:rPr>
          <w:rFonts w:hint="eastAsia" w:ascii="宋体" w:hAnsi="宋体" w:cs="宋体"/>
          <w:b/>
          <w:color w:val="auto"/>
          <w:sz w:val="21"/>
          <w:szCs w:val="21"/>
          <w:highlight w:val="none"/>
          <w:lang w:val="en-US" w:eastAsia="zh-CN"/>
        </w:rPr>
        <w:t xml:space="preserve">9</w:t>
      </w:r>
      <w:r>
        <w:rPr>
          <w:rFonts w:hint="eastAsia" w:ascii="宋体" w:hAnsi="宋体" w:cs="宋体"/>
          <w:b/>
          <w:color w:val="auto"/>
          <w:sz w:val="21"/>
          <w:szCs w:val="21"/>
          <w:highlight w:val="none"/>
        </w:rPr>
        <w:t xml:space="preserve">为符合性审查须提供的资料，响应供应商必须提供并加盖电子公章。否则，磋商响应文件将被认定为未实质性响应。</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（3)制作电子响应文件时必须与投标文件制作软件目录一一对应，将相关资料上传至相应模块。</w:t>
      </w:r>
      <w:r/>
    </w:p>
    <w:p>
      <w:pPr>
        <w:pStyle w:val="1207"/>
        <w:ind w:firstLine="422"/>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（4）磋商响应文件编制要求：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auto"/>
          <w:sz w:val="21"/>
          <w:szCs w:val="21"/>
          <w:highlight w:val="none"/>
        </w:rPr>
        <w:t xml:space="preserve">注：具体投标文件编制教程查看苏采云系统中的客户端使用说明和供应商《操作手册》。</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8.响应文件的解密与评审</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8.1采购代理机构按本须知规定的时间、地点主持磋商采购活动。</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8.2供应商通过“苏采云”系统在线参与磋商活动。供应商应当按照《苏采云系统供应商操作手册》规定在 “苏采云”系统规定的时间内对响应文件进行解密。</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8.3在磋商响应文件网上递交截止时间止成功解密的磋商供应商少于三家，则本次采购失败。</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8.4由磋商小组审查供应商解密的响应文件。</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8.6磋商小组要求供应商澄清、说明或者更正响应文件应当以书面形式做出。供应商的澄清、说明或者更正应当由其单位加盖电子公章。</w:t>
      </w:r>
      <w:r/>
    </w:p>
    <w:p>
      <w:pPr>
        <w:pStyle w:val="1207"/>
        <w:ind w:firstLine="422"/>
        <w:spacing w:line="440" w:lineRule="exact"/>
        <w:rPr>
          <w:rFonts w:ascii="宋体" w:hAnsi="宋体" w:cs="宋体"/>
          <w:bCs/>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8.7对响应文件的审查</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8.7.1响应文件审查分为资格审查和符合性审查。</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8.7.1.1 资格审查：由磋商小组依据法律法规和磋商文件的规定，对响应文件中的资格证明文件进行审查，以确定供应商是否具备参加磋商的资格。</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8.7.1.2 符合性审查：依据磋商文件的规定，由磋商小组从响应文件的有效性、完整性和对磋商文件的响应程度进行审查，以确定是否对磋商文件的实质性要求作出响应。</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1207"/>
        <w:ind w:firstLine="422"/>
        <w:spacing w:line="440" w:lineRule="exact"/>
        <w:rPr>
          <w:rFonts w:ascii="宋体" w:hAnsi="宋体" w:cs="宋体"/>
          <w:bCs/>
          <w:color w:val="auto"/>
          <w:sz w:val="21"/>
          <w:szCs w:val="21"/>
          <w:highlight w:val="none"/>
        </w:rPr>
      </w:pPr>
      <w:r>
        <w:rPr>
          <w:rFonts w:hint="eastAsia" w:ascii="宋体" w:hAnsi="宋体" w:cs="宋体"/>
          <w:b w:val="0"/>
          <w:bCs/>
          <w:color w:val="auto"/>
          <w:sz w:val="21"/>
          <w:szCs w:val="21"/>
          <w:highlight w:val="none"/>
        </w:rPr>
        <w:t xml:space="preserve">8.10</w:t>
      </w:r>
      <w:r>
        <w:rPr>
          <w:rFonts w:hint="eastAsia" w:ascii="宋体" w:hAnsi="宋体" w:cs="宋体"/>
          <w:b/>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8.11经磋商确定最终采购需求和提交最后报价的供应商后，由磋商小组采用综合评分法对提交最后报价的供应商的响应文件和最后报价进行综合评分。</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8.12磋商小组根据磋商成交原则确定成交供应商，并将结果通知所有参加磋商的供应商。</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8.13评审过程的保密与公正</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8.13.1磋商小组、采购人和代理公司工作人员、相关监督人员等与评审工作有关的人员，对评审情况以及在评审过程中获悉的国家秘密、商业秘密负有保密责任。</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8.13.2在评审过程中，供应商不得以任何行为影响磋商评审过程，否则其响应文件将被作为无效响应文件。</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8.13.3在项目评审期间，代理公司将设专门人员与供应商联系。</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8.13.4 代理公司和磋商小组不向未成交的供应商解释未成交原因，也不公布评审过程中的相关细节。</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8.14如磋商过程中出现本采购文件未尽事宜，由磋商小组根据政府采购有关法律、法规讨论决定。</w:t>
      </w:r>
      <w:r/>
    </w:p>
    <w:p>
      <w:pPr>
        <w:pStyle w:val="1207"/>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9.未实质性响应磋商文件的情形</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9.1供应商在苏采云系统规定的时间内未成功解密电子响应文件的。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9.2供应商未按照磋商文件要求上传电子响应文件的。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9.3同一供应商提交两个（含两个）以上不同的响应文件或者最后报价的。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9.4供应商不具备磋商文件中规定资格要求的。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9.5供应商的报价超过了采购预算或最高限价。</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9.6不符合磋商文件中规定的实质性要求和条件的。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9.8响应文件含有采购人不能接受的附加条件的。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9.10响应文件未按照磋商文件要求加盖CA电子公章或签署的。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9.11法律、法规和招标文件规定的其他无效情形。</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9.12未实质性响应磋商文件的响应文件按无效响应处理。</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①如果响应文件实质上没有响应磋商文件的要求，磋商小组将予以拒绝，供应商不得通过修改或撤销不合要求的偏离或保留而使其成为实质性响应的文件。</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②供应商在项目评审全过程中应保持通讯畅通，并安排专人与代理公司及磋商小组联系。</w:t>
      </w:r>
      <w:r/>
    </w:p>
    <w:p>
      <w:pPr>
        <w:pStyle w:val="1207"/>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10.项目的终止</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10.1出现下列情形之一的，本次竞争性磋商采购活动将被终止：</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10.1.1因情况变化，不再符合规定的竞争性磋商采购方式适用情形的。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10.1.2出现影响采购公正的违法、违规行为的。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10.1.4在苏采云系统规定时间内成功解密电子响应文件的供应商不足3家的。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10.1.5供应商的报价均超过了采购预算，采购人不能支付的； </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10.1.6因重大变故，采购任务取消的。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10.2供应商应当遵循公平竞争的原则，不得恶意串通，不得妨碍其他供应商的竞争行为，不得损害采购人或者其他供应商的合法权益。</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10.3在评审过程中发现供应商有下述情形的，磋商小组应当认定其响应无效，并书面报告本级财政部门。</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10.4有下列情形之一的，视为供应商串通投标，其响应无效：</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10.4.1不同供应商的响应文件由同一单位或者个人编制；</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10.4.2不同供应商委托同一单位或者个人办理投标事宜；</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10.4.3不同供应商的响应文件载明的项目管理成员或者联系人员为同一人；</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10.4.4不同供应商的响应文件异常一致或者报价呈规律性差异；</w:t>
      </w:r>
      <w:r/>
    </w:p>
    <w:p>
      <w:pPr>
        <w:pStyle w:val="1207"/>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10.4.5不同供应商的响应文件相互混装。</w:t>
      </w:r>
      <w:r/>
    </w:p>
    <w:p>
      <w:pPr>
        <w:pStyle w:val="1207"/>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10.4.6</w:t>
      </w:r>
      <w:r>
        <w:rPr>
          <w:rFonts w:hint="eastAsia" w:ascii="宋体" w:hAnsi="宋体" w:cs="宋体"/>
          <w:bCs/>
          <w:color w:val="auto"/>
          <w:sz w:val="21"/>
          <w:szCs w:val="21"/>
          <w:highlight w:val="none"/>
        </w:rPr>
        <w:t xml:space="preserve">机器码检查中，出现不同投标人投标文件机器码一致情形的；</w:t>
      </w:r>
      <w:r/>
    </w:p>
    <w:p>
      <w:pPr>
        <w:pStyle w:val="1207"/>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11.成交</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11.1确定成交单位</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11.1.1磋商小组根据磋商成交原则确定成交供应商，并将结果通知所有参加磋商的供应商。</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11.2若有充分证据证明，成交供应商出现下列情况之一的，一经查实，将被取消成交资格：</w:t>
      </w:r>
      <w:r/>
    </w:p>
    <w:p>
      <w:pPr>
        <w:pStyle w:val="1207"/>
        <w:spacing w:line="440" w:lineRule="exact"/>
        <w:rPr>
          <w:rFonts w:ascii="宋体" w:hAnsi="宋体" w:cs="宋体"/>
          <w:bCs/>
          <w:color w:val="auto"/>
          <w:sz w:val="21"/>
          <w:szCs w:val="21"/>
          <w:highlight w:val="none"/>
        </w:rPr>
      </w:pPr>
      <w:r/>
      <w:bookmarkStart w:id="33" w:name="OLE_LINK5"/>
      <w:r>
        <w:rPr>
          <w:rFonts w:hint="eastAsia" w:ascii="宋体" w:hAnsi="宋体" w:cs="宋体"/>
          <w:bCs/>
          <w:color w:val="auto"/>
          <w:sz w:val="21"/>
          <w:szCs w:val="21"/>
          <w:highlight w:val="none"/>
        </w:rPr>
        <w:t xml:space="preserve">11.2.1提供虚假材料谋取成交的。</w:t>
      </w:r>
      <w:bookmarkEnd w:id="33"/>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11.2.2与评审专家、采购人、其他供应商或者代理公司工作人员恶意串通的。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11.2.3向评审专家、采购人或代理公司工作人员行贿或者提供其他不正当利益的。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11.2.4恶意竞争，最后报价明显低于其自身合理成本且又无法提供证明的。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11.2.5不满足本磋商文件规定的实质性要求，但在评审过程中又未被磋商小组发现的。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11.2.6成交后无正当理由拒不与采购人签订政府采购合同或者未按照磋商文件确定的事项签订政府采购合同的。</w:t>
      </w:r>
      <w:r/>
    </w:p>
    <w:p>
      <w:pPr>
        <w:pStyle w:val="1207"/>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11.2.7将政府采购合同转包的。</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12.质疑处理</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需同时提供网上报名确认单及质疑单位符合本项目合格响应单位资格要求的证明文件，因供应商资格条件或报名时间设定不符合有关法律法规规定等原因使供应商权益受损的质疑除外）。</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12.2本次采购文件要求供应商在法定质疑期内一次性提出针对同一采购程序环节的质疑，否则不予受理。</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12.3供应商提出质疑应当提交质疑函和必要的证明材料，质疑函应当包括下列内容：</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12.3.1供应商的姓名或者名称（以提供的营业执照副本复印件为准）、地址、邮编、联系人及联系电话；</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12.3.2质疑项目的名称、编号；</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12.3.3具体、明确的质疑事项和与质疑事项相关的请求；</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12.3.4事实依据；</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12.3.5必要的法律依据；</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12.3.6提出质疑的日期。</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 w:val="21"/>
          <w:szCs w:val="21"/>
          <w:highlight w:val="none"/>
        </w:rPr>
        <w:t xml:space="preserve">授权委托书</w:t>
      </w:r>
      <w:r>
        <w:rPr>
          <w:rFonts w:hint="eastAsia" w:ascii="宋体" w:hAnsi="宋体" w:cs="宋体"/>
          <w:color w:val="auto"/>
          <w:sz w:val="21"/>
          <w:szCs w:val="21"/>
          <w:highlight w:val="none"/>
        </w:rPr>
        <w:t xml:space="preserve">上应当载明代理人的姓名或者名称、代理事项、具体权限、期限和相关事项。</w:t>
      </w:r>
      <w:r/>
    </w:p>
    <w:p>
      <w:pPr>
        <w:pStyle w:val="1207"/>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 w:val="21"/>
          <w:szCs w:val="21"/>
          <w:highlight w:val="none"/>
        </w:rPr>
        <w:t xml:space="preserve">。</w:t>
      </w:r>
      <w:r/>
    </w:p>
    <w:p>
      <w:pPr>
        <w:pStyle w:val="1207"/>
        <w:spacing w:line="440" w:lineRule="exact"/>
        <w:rPr>
          <w:rFonts w:ascii="宋体" w:hAnsi="宋体" w:cs="宋体"/>
          <w:b/>
          <w:color w:val="auto"/>
          <w:sz w:val="21"/>
          <w:szCs w:val="21"/>
          <w:highlight w:val="none"/>
        </w:rPr>
      </w:pPr>
      <w:r>
        <w:rPr>
          <w:rFonts w:hint="eastAsia" w:ascii="宋体" w:hAnsi="宋体" w:cs="宋体"/>
          <w:color w:val="auto"/>
          <w:sz w:val="21"/>
          <w:szCs w:val="21"/>
          <w:highlight w:val="none"/>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1"/>
          <w:szCs w:val="21"/>
          <w:highlight w:val="none"/>
        </w:rPr>
        <w:t xml:space="preserve">《投标供应商确认函》</w:t>
      </w:r>
      <w:r>
        <w:rPr>
          <w:rFonts w:hint="eastAsia" w:ascii="宋体" w:hAnsi="宋体" w:cs="宋体"/>
          <w:color w:val="auto"/>
          <w:sz w:val="21"/>
          <w:szCs w:val="21"/>
          <w:highlight w:val="none"/>
        </w:rPr>
        <w:t xml:space="preserve">）与质疑函一起递交，否则不予受理。</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12.5接收质疑函的方式：书面形式（当场送达或邮寄方式）</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en-US"/>
        </w:rPr>
        <w:t xml:space="preserve">苏州通宜房地产土地评估咨询有限公司</w:t>
      </w:r>
      <w:r/>
    </w:p>
    <w:p>
      <w:pPr>
        <w:pStyle w:val="1131"/>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地址:吴江区松陵镇鲈乡南路鲈乡园别墅区103幢</w:t>
      </w:r>
      <w:r/>
    </w:p>
    <w:p>
      <w:pPr>
        <w:pStyle w:val="1131"/>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联系人：董鹏、朱雪芬  </w:t>
      </w:r>
      <w:r/>
    </w:p>
    <w:p>
      <w:pPr>
        <w:pStyle w:val="1131"/>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rPr>
        <w:t xml:space="preserve">0512-</w:t>
      </w:r>
      <w:r>
        <w:rPr>
          <w:rFonts w:hint="eastAsia" w:ascii="宋体" w:hAnsi="宋体" w:cs="宋体"/>
          <w:color w:val="auto"/>
          <w:szCs w:val="21"/>
          <w:highlight w:val="none"/>
        </w:rPr>
        <w:t xml:space="preserve">63000883</w:t>
      </w:r>
      <w:r>
        <w:rPr>
          <w:rFonts w:hint="eastAsia" w:ascii="宋体" w:hAnsi="宋体" w:cs="宋体"/>
          <w:color w:val="auto"/>
          <w:szCs w:val="21"/>
          <w:highlight w:val="none"/>
          <w:lang w:val="en-US"/>
        </w:rPr>
        <w:t xml:space="preserve"> </w:t>
      </w:r>
      <w:r/>
    </w:p>
    <w:p>
      <w:pPr>
        <w:pStyle w:val="1131"/>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提交方式：书面形式原件（邮寄或当面递交）</w:t>
      </w:r>
      <w:r/>
    </w:p>
    <w:p>
      <w:pPr>
        <w:pStyle w:val="1131"/>
        <w:ind w:firstLine="420"/>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13.响应无效和终止磋商活动条款</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13.1响应人存在下列情况之一的，响应无效:</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13.1.1未按照竞争性磋商文件规定要求签署、盖章的；</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13.1.2供应商不具备竞争性磋商文件中规定资格条件的；</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13.1.3报价超过磋商文件中规定的预算金额或者最高限价的；</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13.1.4响应文件含有采购人不能接受的附加条件；</w:t>
      </w:r>
      <w:r/>
    </w:p>
    <w:p>
      <w:pPr>
        <w:pStyle w:val="1137"/>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13.1.5因磋商响应单位自身原因导致网上磋商响应文件无法递交的其他情况；</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13.1.6不符合法律、法规和竞争性磋商文件中规定的其他实质性要求的；</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13.1.7法律、法规及本竞争性磋商文件规定的其他无效的情形。</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13.2响应人应当遵循公平竞争的原则，不得恶意串通，不得妨碍其他响应人的竞争行为，不得损害采购人或者其他响应人的合法权益。</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磋商</w:t>
      </w:r>
      <w:r>
        <w:rPr>
          <w:rFonts w:hint="eastAsia" w:ascii="宋体" w:hAnsi="宋体" w:cs="宋体"/>
          <w:color w:val="auto"/>
          <w:sz w:val="21"/>
          <w:szCs w:val="21"/>
          <w:highlight w:val="none"/>
        </w:rPr>
        <w:t xml:space="preserve">过程中发现响应人有上述情形的，磋商小组应当认定其响应无效，并书面报告本级财政部门。</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13.3有下列情形之一的，视为响应人恶意串通，其响应无效：</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13.3.1不同响应人的响应文件由同一单位或者个人编制；</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13.3.2不同响应人委托同一单位或者个人办理磋商事宜；</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13.3.3不同响应人的响应文件载明的项目管理成员或者联系人员为同一人；</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13.3.4不同响应人的响应文件异常一致或者报价呈规律性差异；</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13.3.5不同响应人的响应文件相互混装；</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13.4终止竞争性磋商采购活动的条款</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13.4.1因情况变化，不再符合规定的竞争性磋商采购方式适用情形的；</w:t>
      </w:r>
      <w:r/>
    </w:p>
    <w:p>
      <w:pPr>
        <w:pStyle w:val="120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13.4.2出现影响采购公正的违法、违规行为的；</w:t>
      </w:r>
      <w:r/>
    </w:p>
    <w:p>
      <w:pPr>
        <w:pStyle w:val="1207"/>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13.4.3在采购过程中符合要求的供应商或者报价未超过采购预算的供应商不足3家的。</w:t>
      </w:r>
      <w:r/>
    </w:p>
    <w:p>
      <w:pPr>
        <w:ind w:firstLine="422"/>
        <w:spacing w:line="440" w:lineRule="exac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14.政府采购政策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14.1小、微企业</w:t>
      </w:r>
      <w:r/>
    </w:p>
    <w:p>
      <w:pPr>
        <w:ind w:firstLine="420"/>
        <w:spacing w:line="440" w:lineRule="exact"/>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14.2残疾人福利性单位</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14.3监狱企业</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14.4</w:t>
      </w:r>
      <w:r>
        <w:rPr>
          <w:rFonts w:hint="eastAsia" w:ascii="宋体" w:hAnsi="宋体" w:cs="宋体"/>
          <w:color w:val="auto"/>
          <w:szCs w:val="21"/>
          <w:highlight w:val="none"/>
        </w:rPr>
        <w:t xml:space="preserve">强制采购节能产品、信息安全产品，优先采购环境标志产品。</w:t>
      </w:r>
      <w:r/>
    </w:p>
    <w:p>
      <w:pPr>
        <w:ind w:firstLine="420"/>
        <w:spacing w:line="440" w:lineRule="exact"/>
        <w:tabs>
          <w:tab w:val="left" w:pos="56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14.4.1</w:t>
      </w:r>
      <w:r>
        <w:rPr>
          <w:rFonts w:hint="eastAsia" w:ascii="宋体" w:hAnsi="宋体" w:cs="宋体"/>
          <w:color w:val="auto"/>
          <w:szCs w:val="21"/>
          <w:highlight w:val="none"/>
        </w:rPr>
        <w:t xml:space="preserve">节能产品是指列入财政部、国家发展和改革委员会制定的节能产品品目政府采购清单，且经过认定的节能产品</w:t>
      </w:r>
      <w:r>
        <w:rPr>
          <w:rFonts w:hint="eastAsia" w:ascii="宋体" w:hAnsi="宋体" w:cs="宋体"/>
          <w:color w:val="auto"/>
          <w:szCs w:val="21"/>
          <w:highlight w:val="none"/>
          <w:lang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14.4.2</w:t>
      </w:r>
      <w:r>
        <w:rPr>
          <w:rFonts w:hint="eastAsia" w:ascii="宋体" w:hAnsi="宋体" w:cs="宋体"/>
          <w:color w:val="auto"/>
          <w:szCs w:val="21"/>
          <w:highlight w:val="none"/>
        </w:rPr>
        <w:t xml:space="preserve">信息安全产品是指列入国家质检总局国家认监委《信息安全产品强制性认证目录》，并获得强制性产品认证证书的产品</w:t>
      </w:r>
      <w:r>
        <w:rPr>
          <w:rFonts w:hint="eastAsia" w:ascii="宋体" w:hAnsi="宋体" w:cs="宋体"/>
          <w:color w:val="auto"/>
          <w:szCs w:val="21"/>
          <w:highlight w:val="none"/>
          <w:lang w:val="en-US" w:eastAsia="zh-CN"/>
        </w:rPr>
        <w:t xml:space="preserve">.</w:t>
      </w:r>
      <w:r/>
    </w:p>
    <w:p>
      <w:pPr>
        <w:ind w:firstLine="420"/>
        <w:spacing w:line="440" w:lineRule="exact"/>
        <w:tabs>
          <w:tab w:val="left" w:pos="56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14.4.3</w:t>
      </w:r>
      <w:r>
        <w:rPr>
          <w:rFonts w:hint="eastAsia" w:ascii="宋体" w:hAnsi="宋体" w:cs="宋体"/>
          <w:color w:val="auto"/>
          <w:szCs w:val="21"/>
          <w:highlight w:val="none"/>
        </w:rPr>
        <w:t xml:space="preserve">环境标志产品是指列入财政部、国家环保总局制定的环境标志产品品目政府采购清单，且经过认证的环境标志产品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提供的产品属于环境标志产品的,供应商应当选择经过认证的环境标志产品投标,并提供有效的环境标志产品认证证书扫描件。</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14.5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14.6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14.7政府采购中实施本国产品标准及相关政策</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14.7.1本项目对采购本国产品给予政策支持：</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14.7.1.1本项目政府采购活动中既有本国产品又有非本国产品参与竞争的，依法对本国产品给予价格评审优惠，对本国产品的报价给予20%的价格扣除，用扣除后的价格参与评审。</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14.7.1.3供应商需按照招标文件的要求提供《关于符合本国产品标准的声明函》（以下简称《声明函》），如不提供将不享受本国产品价格评审优惠。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tabs>
          <w:tab w:val="left" w:pos="567" w:leader="none"/>
        </w:tabs>
        <w:rPr>
          <w:rFonts w:hint="eastAsia"/>
          <w:color w:val="auto"/>
          <w:highlight w:val="none"/>
        </w:rPr>
      </w:pPr>
      <w:r>
        <w:rPr>
          <w:rFonts w:hint="eastAsia" w:ascii="宋体" w:hAnsi="宋体" w:cs="宋体"/>
          <w:color w:val="auto"/>
          <w:szCs w:val="21"/>
          <w:highlight w:val="none"/>
          <w:lang w:val="en-US" w:eastAsia="zh-CN"/>
        </w:rPr>
        <w:t xml:space="preserve">14.8</w:t>
      </w:r>
      <w:r>
        <w:rPr>
          <w:rFonts w:hint="eastAsia" w:ascii="宋体" w:hAnsi="宋体" w:cs="宋体"/>
          <w:color w:val="auto"/>
          <w:szCs w:val="21"/>
          <w:highlight w:val="none"/>
        </w:rPr>
        <w:t xml:space="preserve">如采购货物涉及协议供货相关产品的，执行协议供货相关政策。</w:t>
      </w:r>
      <w:r/>
    </w:p>
    <w:p>
      <w:pPr>
        <w:ind w:firstLine="422"/>
        <w:spacing w:line="440" w:lineRule="exac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15.关于对参与供应商信用记录的政府采购要求</w:t>
      </w:r>
      <w:r/>
    </w:p>
    <w:p>
      <w:pPr>
        <w:ind w:firstLine="420"/>
        <w:spacing w:line="440" w:lineRule="exact"/>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15.1采购代理机构会在接收响应文件截止时间后，实时查询“信用中国”相关主体信用记录，并将查询结果递交评审小组并留档。</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15.3供应商若在经营活动中受到罚款的，请携带相关地方、部门对较大数额认定标准的证明材料，与响应文件一并提交。若无法提供，则可能承担响应无效等相应不利后果。</w:t>
      </w:r>
      <w:r/>
    </w:p>
    <w:p>
      <w:pPr>
        <w:ind w:firstLine="420"/>
        <w:spacing w:line="440" w:lineRule="exact"/>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15.4对存在失信信息的供应商，由失信供应商进行确认。同时，采购代理机构工作人员应根据评审小组确认的失信信息，登陆到相关来源网站页面进行复核并打印，作为证据留存。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1205"/>
        <w:ind w:firstLine="420"/>
        <w:jc w:val="both"/>
        <w:spacing w:before="0" w:beforeAutospacing="0" w:after="0" w:afterAutospacing="0" w:line="44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1205"/>
        <w:ind w:firstLine="420"/>
        <w:jc w:val="both"/>
        <w:spacing w:before="0" w:beforeAutospacing="0" w:after="0" w:afterAutospacing="0" w:line="44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1205"/>
        <w:ind w:firstLine="422"/>
        <w:jc w:val="both"/>
        <w:spacing w:before="0" w:beforeAutospacing="0" w:after="0" w:afterAutospacing="0" w:line="440" w:lineRule="exact"/>
        <w:rPr>
          <w:bCs/>
          <w:color w:val="auto"/>
          <w:sz w:val="21"/>
          <w:szCs w:val="21"/>
          <w:highlight w:val="none"/>
        </w:rPr>
      </w:pPr>
      <w:r>
        <w:rPr>
          <w:rFonts w:hint="eastAsia"/>
          <w:b/>
          <w:color w:val="auto"/>
          <w:sz w:val="21"/>
          <w:szCs w:val="21"/>
          <w:highlight w:val="none"/>
        </w:rPr>
        <w:t xml:space="preserve">17.磋商保证金：</w:t>
      </w:r>
      <w:r>
        <w:rPr>
          <w:rFonts w:hint="eastAsia"/>
          <w:bCs/>
          <w:color w:val="auto"/>
          <w:sz w:val="21"/>
          <w:szCs w:val="21"/>
          <w:highlight w:val="none"/>
        </w:rPr>
        <w:t xml:space="preserve">本项目不收取保证金，但需在响应文件中提供《</w:t>
      </w:r>
      <w:r>
        <w:rPr>
          <w:rFonts w:hint="eastAsia"/>
          <w:bCs/>
          <w:color w:val="auto"/>
          <w:sz w:val="21"/>
          <w:szCs w:val="21"/>
          <w:highlight w:val="none"/>
          <w:lang w:val="zh-CN"/>
        </w:rPr>
        <w:t xml:space="preserve">投标（响应）保证承诺书》。</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hint="eastAsia" w:ascii="宋体" w:hAnsi="宋体" w:cs="宋体"/>
          <w:b w:val="0"/>
          <w:bCs/>
          <w:color w:val="auto"/>
          <w:szCs w:val="21"/>
          <w:highlight w:val="none"/>
        </w:rPr>
        <w:t xml:space="preserve">由成交供应商在领取中标通知书时向采购代理机构一次性付清。</w:t>
      </w:r>
      <w:r>
        <w:rPr>
          <w:rFonts w:hint="eastAsia" w:ascii="宋体" w:hAnsi="宋体" w:cs="宋体"/>
          <w:color w:val="auto"/>
          <w:szCs w:val="21"/>
          <w:highlight w:val="none"/>
          <w:lang w:val="zh-CN"/>
        </w:rPr>
        <w:t xml:space="preserve">按差额定率累进法</w:t>
      </w:r>
      <w:r>
        <w:rPr>
          <w:rFonts w:hint="eastAsia" w:ascii="宋体" w:hAnsi="宋体" w:cs="宋体"/>
          <w:color w:val="auto"/>
          <w:szCs w:val="21"/>
          <w:highlight w:val="none"/>
        </w:rPr>
        <w:t xml:space="preserve">分标段</w:t>
      </w:r>
      <w:r>
        <w:rPr>
          <w:rFonts w:hint="eastAsia" w:ascii="宋体" w:hAnsi="宋体" w:cs="宋体"/>
          <w:color w:val="auto"/>
          <w:szCs w:val="21"/>
          <w:highlight w:val="none"/>
          <w:lang w:val="zh-CN"/>
        </w:rPr>
        <w:t xml:space="preserve">计算收取，预算金额100万以下费率为预算金额的1.5%；预算金额100万（含）-500万费率为预算金额的1.1%；</w:t>
      </w:r>
      <w:r>
        <w:rPr>
          <w:rFonts w:hint="eastAsia" w:ascii="宋体" w:hAnsi="宋体"/>
          <w:color w:val="auto"/>
          <w:szCs w:val="21"/>
          <w:highlight w:val="none"/>
        </w:rPr>
        <w:t xml:space="preserve">本项目经中介超市竞价，代理</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费为2</w:t>
      </w:r>
      <w:r>
        <w:rPr>
          <w:rFonts w:hint="eastAsia" w:ascii="宋体" w:hAnsi="宋体"/>
          <w:color w:val="auto"/>
          <w:szCs w:val="21"/>
          <w:highlight w:val="none"/>
          <w:lang w:val="en-US" w:eastAsia="zh-CN"/>
        </w:rPr>
        <w:t xml:space="preserve">4000</w:t>
      </w:r>
      <w:r>
        <w:rPr>
          <w:rFonts w:hint="eastAsia" w:ascii="宋体" w:hAnsi="宋体"/>
          <w:color w:val="auto"/>
          <w:szCs w:val="21"/>
          <w:highlight w:val="none"/>
        </w:rPr>
        <w:t xml:space="preserve">元。</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服务费交纳账户：苏州通宜房地产土地评估咨询有限公司</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账号：0706678011120100265232</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开户银行：苏州农村商业银行营业部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19.磋商说明：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19.1不符合供应商资格要求的响应文件将被拒绝；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19.2参加磋商的供应商必须</w:t>
      </w:r>
      <w:r>
        <w:rPr>
          <w:rFonts w:hint="eastAsia" w:ascii="宋体" w:hAnsi="宋体" w:cs="宋体"/>
          <w:color w:val="auto"/>
          <w:szCs w:val="21"/>
          <w:highlight w:val="none"/>
        </w:rPr>
        <w:t xml:space="preserve">法定代表人或授权委托人</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19.3响应文件签署不符合要求的，响应文件将被拒绝；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19.4最终报价超过采购预算的，不能成交；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19.5不实质性响应磋商文件的不能成交；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19.6</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各标段</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实质性响应磋商文件不满三家或进入二次报价的不满三家或二次报价在采购预算内不满三家的，磋商采购失败。</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20</w:t>
      </w:r>
      <w:r>
        <w:rPr>
          <w:rFonts w:hint="eastAsia" w:ascii="宋体" w:hAnsi="宋体" w:cs="宋体"/>
          <w:b/>
          <w:color w:val="auto"/>
          <w:szCs w:val="21"/>
          <w:highlight w:val="none"/>
        </w:rPr>
        <w:t xml:space="preserve">.勘查现场</w:t>
      </w:r>
      <w:r>
        <w:rPr>
          <w:rFonts w:hint="eastAsia" w:ascii="宋体" w:hAnsi="宋体"/>
          <w:b/>
          <w:color w:val="auto"/>
          <w:sz w:val="21"/>
          <w:szCs w:val="21"/>
          <w:highlight w:val="none"/>
        </w:rPr>
        <w:t xml:space="preserve">（不涉及此条的忽略）</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.1勘查现场：投标单位自行与采购单位联系后至项目现场进行勘察，了解项目实际情况和风险后进行投标报价，勘查现场费用自理。</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.2经采购人允许，投标单位可为勘察目的进入采购人的项目现场，但投标单位不得因此使采购人承担有关的责任和蒙受损失。投标单位应承担勘查现场的责任和风险。</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3投标单位应在现场勘察时，熟悉现场及周围交通道路等情况，以获得一切可能影响其投标的直接资料。投标单位中标后，不得以不完全了解现场情况为理由而向采购人或采购代理机构提出任何索赔的要求，对此采购人或采购代理机构不承担任何责任并将不作任何答复与考虑。</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4采购人或采购代理机构向投标单位提供的有关现场的资料和数据，是采购人或采购代理机构现有的并认为能使投标单位可利用的资料。采购人或采购代理机构对投标单位由此而做出的推论、理解和结论概不负责。</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.未尽事宜：</w:t>
      </w:r>
      <w:r>
        <w:rPr>
          <w:rFonts w:hint="eastAsia" w:ascii="宋体" w:hAnsi="宋体" w:cs="宋体"/>
          <w:color w:val="auto"/>
          <w:szCs w:val="21"/>
          <w:highlight w:val="none"/>
        </w:rPr>
        <w:t xml:space="preserve">按《中华人民共和国政府采购法》及其他有关的法律法规的规定执行。</w:t>
      </w:r>
      <w:r/>
    </w:p>
    <w:p>
      <w:pPr>
        <w:ind w:firstLine="422"/>
        <w:spacing w:line="440" w:lineRule="exact"/>
        <w:rPr>
          <w:rFonts w:ascii="宋体" w:hAnsi="宋体" w:cs="宋体"/>
          <w:b/>
          <w:color w:val="auto"/>
          <w:szCs w:val="21"/>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.备注：本文件打“★”为实质性条款，不可负偏离，如负偏离响应文件无效。</w:t>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bookmarkEnd w:id="32"/>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rPr>
          <w:rStyle w:val="1122"/>
          <w:rFonts w:ascii="宋体" w:hAnsi="宋体" w:cs="宋体"/>
          <w:color w:val="auto"/>
          <w:highlight w:val="none"/>
        </w:rPr>
      </w:pPr>
      <w:r/>
      <w:bookmarkStart w:id="34" w:name="_Toc18546"/>
      <w:r>
        <w:rPr>
          <w:rStyle w:val="1122"/>
          <w:rFonts w:hint="eastAsia" w:ascii="宋体" w:hAnsi="宋体" w:cs="宋体"/>
          <w:color w:val="auto"/>
          <w:highlight w:val="none"/>
        </w:rPr>
        <w:br w:type="page" w:clear="all"/>
      </w:r>
      <w:r/>
    </w:p>
    <w:p>
      <w:pPr>
        <w:pStyle w:val="864"/>
        <w:rPr>
          <w:color w:val="auto"/>
          <w:highlight w:val="none"/>
        </w:rPr>
      </w:pPr>
      <w:r/>
      <w:bookmarkStart w:id="35" w:name="_Toc7652"/>
      <w:r>
        <w:rPr>
          <w:rFonts w:hint="eastAsia"/>
          <w:color w:val="auto"/>
          <w:highlight w:val="none"/>
        </w:rPr>
        <w:t xml:space="preserve">三、采购需求</w:t>
      </w:r>
      <w:bookmarkEnd w:id="34"/>
      <w:r/>
      <w:bookmarkEnd w:id="35"/>
      <w:r/>
      <w:r/>
    </w:p>
    <w:p>
      <w:pPr>
        <w:ind w:firstLine="420"/>
        <w:jc w:val="left"/>
        <w:shd w:val="clear" w:color="ffffff" w:themeColor="background1" w:fill="ffffff" w:themeFill="background1"/>
        <w:widowControl/>
        <w:rPr>
          <w:rFonts w:ascii="宋体" w:hAnsi="宋体" w:cs="宋体"/>
          <w:bCs/>
          <w:color w:val="auto"/>
          <w:szCs w:val="21"/>
          <w:highlight w:val="none"/>
        </w:rPr>
      </w:pPr>
      <w:r/>
      <w:bookmarkStart w:id="36" w:name="_Toc20120"/>
      <w:r>
        <w:rPr>
          <w:rFonts w:hint="eastAsia" w:ascii="宋体" w:hAnsi="宋体" w:cs="宋体"/>
          <w:bCs/>
          <w:color w:val="auto"/>
          <w:szCs w:val="21"/>
          <w:highlight w:val="none"/>
        </w:rPr>
        <w:t xml:space="preserve">受</w:t>
      </w:r>
      <w:r>
        <w:rPr>
          <w:rFonts w:hint="eastAsia" w:ascii="宋体" w:hAnsi="宋体" w:cs="宋体"/>
          <w:bCs/>
          <w:color w:val="auto"/>
          <w:szCs w:val="21"/>
          <w:highlight w:val="none"/>
          <w:lang w:eastAsia="zh-CN"/>
        </w:rPr>
        <w:t xml:space="preserve">苏州市吴江区人民法院</w:t>
      </w:r>
      <w:r>
        <w:rPr>
          <w:rFonts w:hint="eastAsia" w:ascii="宋体" w:hAnsi="宋体" w:cs="宋体"/>
          <w:bCs/>
          <w:color w:val="auto"/>
          <w:szCs w:val="21"/>
          <w:highlight w:val="none"/>
        </w:rPr>
        <w:t xml:space="preserve">之委托，苏州通宜房地产土地评估咨询有限公司对其需采购的</w:t>
      </w:r>
      <w:r>
        <w:rPr>
          <w:rFonts w:hint="eastAsia" w:ascii="宋体" w:hAnsi="宋体" w:cs="宋体"/>
          <w:bCs/>
          <w:color w:val="auto"/>
          <w:szCs w:val="21"/>
          <w:highlight w:val="none"/>
          <w:lang w:eastAsia="zh-CN"/>
        </w:rPr>
        <w:t xml:space="preserve">2026年吴江区数智庭审系统升级</w:t>
      </w:r>
      <w:r>
        <w:rPr>
          <w:rFonts w:hint="eastAsia" w:ascii="宋体" w:hAnsi="宋体" w:cs="宋体"/>
          <w:bCs/>
          <w:color w:val="auto"/>
          <w:szCs w:val="21"/>
          <w:highlight w:val="none"/>
        </w:rPr>
        <w:t xml:space="preserve">在国内组织竞争性磋商采购。欢迎符合资格条件的响应单位前来报名参加。</w:t>
      </w:r>
      <w:bookmarkEnd w:id="36"/>
      <w:r/>
      <w:r/>
    </w:p>
    <w:p>
      <w:pPr>
        <w:ind w:firstLine="422"/>
        <w:rPr>
          <w:rFonts w:hint="eastAsia" w:ascii="宋体" w:hAnsi="宋体" w:eastAsia="宋体" w:cs="宋体"/>
          <w:color w:val="auto"/>
          <w:szCs w:val="21"/>
          <w:highlight w:val="none"/>
          <w:lang w:eastAsia="zh-CN"/>
        </w:rPr>
      </w:pPr>
      <w:r/>
      <w:bookmarkStart w:id="37" w:name="_Toc3978"/>
      <w:r>
        <w:rPr>
          <w:rFonts w:hint="eastAsia" w:ascii="宋体" w:hAnsi="宋体" w:cs="宋体"/>
          <w:b/>
          <w:color w:val="auto"/>
          <w:szCs w:val="21"/>
          <w:highlight w:val="none"/>
        </w:rPr>
        <w:t xml:space="preserve">一、</w:t>
      </w:r>
      <w:r>
        <w:rPr>
          <w:rFonts w:hint="eastAsia" w:ascii="宋体" w:hAnsi="宋体" w:cs="宋体"/>
          <w:b/>
          <w:color w:val="auto"/>
          <w:szCs w:val="21"/>
          <w:highlight w:val="none"/>
          <w:lang w:eastAsia="zh-CN"/>
        </w:rPr>
        <w:t xml:space="preserve">项目编号</w:t>
      </w:r>
      <w:r>
        <w:rPr>
          <w:rFonts w:hint="eastAsia" w:ascii="宋体" w:hAnsi="宋体" w:cs="宋体"/>
          <w:color w:val="auto"/>
          <w:szCs w:val="21"/>
          <w:highlight w:val="none"/>
        </w:rPr>
        <w:t xml:space="preserve">：</w:t>
      </w:r>
      <w:bookmarkEnd w:id="37"/>
      <w:r>
        <w:rPr>
          <w:rFonts w:hint="eastAsia" w:ascii="宋体" w:hAnsi="宋体" w:cs="宋体"/>
          <w:color w:val="auto"/>
          <w:szCs w:val="21"/>
          <w:highlight w:val="none"/>
          <w:lang w:eastAsia="zh-CN"/>
        </w:rPr>
        <w:t xml:space="preserve">JSZC-320509-SZTY-C2026-0009</w:t>
      </w:r>
      <w:r/>
    </w:p>
    <w:p>
      <w:pPr>
        <w:ind w:firstLine="422"/>
        <w:rPr>
          <w:rFonts w:hint="eastAsia" w:ascii="宋体" w:hAnsi="宋体" w:eastAsia="宋体" w:cs="宋体"/>
          <w:b/>
          <w:color w:val="auto"/>
          <w:szCs w:val="21"/>
          <w:highlight w:val="none"/>
          <w:lang w:eastAsia="zh-CN"/>
        </w:rPr>
      </w:pPr>
      <w:r/>
      <w:bookmarkStart w:id="38" w:name="_Toc5894"/>
      <w:r>
        <w:rPr>
          <w:rFonts w:hint="eastAsia" w:ascii="宋体" w:hAnsi="宋体" w:cs="宋体"/>
          <w:b/>
          <w:color w:val="auto"/>
          <w:szCs w:val="21"/>
          <w:highlight w:val="none"/>
        </w:rPr>
        <w:t xml:space="preserve">二、项目名称：</w:t>
      </w:r>
      <w:bookmarkEnd w:id="38"/>
      <w:r>
        <w:rPr>
          <w:rFonts w:hint="eastAsia" w:ascii="宋体" w:hAnsi="宋体" w:cs="宋体"/>
          <w:bCs/>
          <w:color w:val="auto"/>
          <w:szCs w:val="21"/>
          <w:highlight w:val="none"/>
          <w:lang w:eastAsia="zh-CN"/>
        </w:rPr>
        <w:t xml:space="preserve">2026年吴江区数智庭审系统升级</w:t>
      </w:r>
      <w:r/>
    </w:p>
    <w:p>
      <w:pPr>
        <w:ind w:firstLine="422"/>
        <w:rPr>
          <w:rFonts w:hint="eastAsia" w:ascii="宋体" w:hAnsi="宋体" w:eastAsia="宋体" w:cs="宋体"/>
          <w:bCs/>
          <w:color w:val="auto"/>
          <w:szCs w:val="21"/>
          <w:highlight w:val="none"/>
          <w:lang w:eastAsia="zh-CN"/>
        </w:rPr>
      </w:pPr>
      <w:r>
        <w:rPr>
          <w:rFonts w:hint="eastAsia" w:ascii="宋体" w:hAnsi="宋体" w:cs="宋体"/>
          <w:b/>
          <w:color w:val="auto"/>
          <w:szCs w:val="21"/>
          <w:highlight w:val="none"/>
        </w:rPr>
        <w:t xml:space="preserve">三、预算金额：</w:t>
      </w:r>
      <w:r>
        <w:rPr>
          <w:rFonts w:hint="eastAsia" w:ascii="宋体" w:hAnsi="宋体" w:cs="宋体"/>
          <w:bCs/>
          <w:color w:val="auto"/>
          <w:szCs w:val="21"/>
          <w:highlight w:val="none"/>
          <w:lang w:eastAsia="zh-CN"/>
        </w:rPr>
        <w:t xml:space="preserve">人民币叁佰伍拾陆万元整（￥3560000元）</w:t>
      </w:r>
      <w:r/>
    </w:p>
    <w:p>
      <w:pPr>
        <w:ind w:firstLine="840"/>
        <w:rPr>
          <w:rFonts w:hint="eastAsia" w:ascii="宋体" w:hAnsi="宋体" w:eastAsia="宋体" w:cs="宋体"/>
          <w:bCs/>
          <w:color w:val="auto"/>
          <w:szCs w:val="21"/>
          <w:highlight w:val="none"/>
          <w:lang w:eastAsia="zh-CN"/>
        </w:rPr>
      </w:pPr>
      <w:r/>
      <w:bookmarkStart w:id="39" w:name="OLE_LINK4"/>
      <w:r>
        <w:rPr>
          <w:rFonts w:hint="eastAsia" w:ascii="宋体" w:hAnsi="宋体" w:cs="宋体"/>
          <w:bCs/>
          <w:color w:val="auto"/>
          <w:szCs w:val="21"/>
          <w:highlight w:val="none"/>
        </w:rPr>
        <w:t xml:space="preserve">最高限价：</w:t>
      </w:r>
      <w:bookmarkEnd w:id="39"/>
      <w:r>
        <w:rPr>
          <w:rFonts w:hint="eastAsia" w:ascii="宋体" w:hAnsi="宋体" w:cs="宋体"/>
          <w:bCs/>
          <w:color w:val="auto"/>
          <w:szCs w:val="21"/>
          <w:highlight w:val="none"/>
          <w:lang w:eastAsia="zh-CN"/>
        </w:rPr>
        <w:t xml:space="preserve">人民币叁佰伍拾陆万元整（￥3560000元）</w:t>
      </w:r>
      <w:r/>
    </w:p>
    <w:p>
      <w:pPr>
        <w:ind w:firstLine="422"/>
        <w:rPr>
          <w:rFonts w:ascii="宋体" w:hAnsi="宋体" w:cs="宋体"/>
          <w:b w:val="0"/>
          <w:bCs/>
          <w:i w:val="0"/>
          <w:iCs w:val="0"/>
          <w:color w:val="auto"/>
          <w:szCs w:val="21"/>
          <w:highlight w:val="none"/>
        </w:rPr>
      </w:pPr>
      <w:r>
        <w:rPr>
          <w:rFonts w:hint="eastAsia" w:ascii="宋体" w:hAnsi="宋体" w:cs="宋体"/>
          <w:b/>
          <w:color w:val="auto"/>
          <w:szCs w:val="21"/>
          <w:highlight w:val="none"/>
        </w:rPr>
        <w:t xml:space="preserve">四、服务期限：</w:t>
      </w:r>
      <w:bookmarkStart w:id="40" w:name="OLE_LINK1"/>
      <w:r>
        <w:rPr>
          <w:rFonts w:hint="eastAsia" w:ascii="宋体" w:hAnsi="宋体" w:cs="宋体"/>
          <w:color w:val="auto"/>
          <w:szCs w:val="21"/>
          <w:highlight w:val="none"/>
          <w:lang w:val="en-US" w:eastAsia="zh-CN"/>
        </w:rPr>
        <w:t xml:space="preserve">成交公告发布后</w:t>
      </w: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日</w:t>
      </w:r>
      <w:r>
        <w:rPr>
          <w:rFonts w:hint="eastAsia" w:ascii="宋体" w:hAnsi="宋体" w:cs="宋体"/>
          <w:color w:val="auto"/>
          <w:szCs w:val="21"/>
          <w:highlight w:val="none"/>
        </w:rPr>
        <w:t xml:space="preserve">内完成对接测试，合同签订</w:t>
      </w:r>
      <w:r>
        <w:rPr>
          <w:rFonts w:hint="eastAsia" w:ascii="宋体" w:hAnsi="宋体" w:cs="宋体"/>
          <w:color w:val="auto"/>
          <w:szCs w:val="21"/>
          <w:highlight w:val="none"/>
          <w:lang w:val="en-US" w:eastAsia="zh-CN"/>
        </w:rPr>
        <w:t xml:space="preserve">后3</w:t>
      </w:r>
      <w:r>
        <w:rPr>
          <w:rFonts w:hint="eastAsia" w:ascii="宋体" w:hAnsi="宋体" w:cs="宋体"/>
          <w:color w:val="auto"/>
          <w:szCs w:val="21"/>
          <w:highlight w:val="none"/>
        </w:rPr>
        <w:t xml:space="preserve">个月内完成项目</w:t>
      </w:r>
      <w:r>
        <w:rPr>
          <w:rFonts w:hint="eastAsia" w:ascii="宋体" w:hAnsi="宋体" w:cs="宋体"/>
          <w:color w:val="auto"/>
          <w:szCs w:val="21"/>
          <w:highlight w:val="none"/>
          <w:lang w:val="en-US" w:eastAsia="zh-CN"/>
        </w:rPr>
        <w:t xml:space="preserve">建设</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自项目</w:t>
      </w:r>
      <w:r>
        <w:rPr>
          <w:rFonts w:hint="eastAsia" w:ascii="宋体" w:hAnsi="宋体" w:cs="宋体"/>
          <w:color w:val="auto"/>
          <w:szCs w:val="21"/>
          <w:highlight w:val="none"/>
        </w:rPr>
        <w:t xml:space="preserve">验收</w:t>
      </w:r>
      <w:r>
        <w:rPr>
          <w:rFonts w:hint="eastAsia" w:ascii="宋体" w:hAnsi="宋体" w:cs="宋体"/>
          <w:color w:val="auto"/>
          <w:szCs w:val="21"/>
          <w:highlight w:val="none"/>
          <w:lang w:val="en-US" w:eastAsia="zh-CN"/>
        </w:rPr>
        <w:t xml:space="preserve">合格</w:t>
      </w:r>
      <w:r>
        <w:rPr>
          <w:rFonts w:hint="eastAsia" w:ascii="宋体" w:hAnsi="宋体" w:cs="宋体"/>
          <w:color w:val="auto"/>
          <w:szCs w:val="21"/>
          <w:highlight w:val="none"/>
        </w:rPr>
        <w:t xml:space="preserve">之日起</w:t>
      </w:r>
      <w:r>
        <w:rPr>
          <w:rFonts w:hint="eastAsia" w:ascii="宋体" w:hAnsi="宋体" w:cs="宋体"/>
          <w:color w:val="auto"/>
          <w:szCs w:val="21"/>
          <w:highlight w:val="none"/>
          <w:lang w:val="en-US" w:eastAsia="zh-CN"/>
        </w:rPr>
        <w:t xml:space="preserve">提供为期一年（12个月）的运维服务。</w:t>
      </w:r>
      <w:r>
        <w:rPr>
          <w:rFonts w:hint="eastAsia" w:ascii="宋体" w:hAnsi="宋体" w:cs="宋体"/>
          <w:b w:val="0"/>
          <w:bCs/>
          <w:i w:val="0"/>
          <w:iCs w:val="0"/>
          <w:color w:val="auto"/>
          <w:szCs w:val="21"/>
          <w:highlight w:val="none"/>
        </w:rPr>
        <w:t xml:space="preserve"> </w:t>
      </w:r>
      <w:bookmarkEnd w:id="40"/>
      <w:r/>
      <w:r/>
    </w:p>
    <w:p>
      <w:pPr>
        <w:ind w:firstLine="422"/>
        <w:rPr>
          <w:rFonts w:hint="eastAsia" w:ascii="宋体" w:hAnsi="宋体" w:cs="宋体"/>
          <w:b/>
          <w:bCs/>
          <w:color w:val="auto"/>
          <w:szCs w:val="21"/>
          <w:highlight w:val="none"/>
          <w:lang w:bidi="zh-CN"/>
        </w:rPr>
      </w:pPr>
      <w:r/>
      <w:bookmarkStart w:id="41" w:name="_Toc1554"/>
      <w:r>
        <w:rPr>
          <w:rFonts w:hint="eastAsia" w:ascii="宋体" w:hAnsi="宋体" w:cs="宋体"/>
          <w:b/>
          <w:color w:val="auto"/>
          <w:szCs w:val="21"/>
          <w:highlight w:val="none"/>
        </w:rPr>
        <w:t xml:space="preserve">五</w:t>
      </w:r>
      <w:r>
        <w:rPr>
          <w:rFonts w:hint="eastAsia" w:ascii="宋体" w:hAnsi="宋体" w:cs="宋体"/>
          <w:b/>
          <w:color w:val="auto"/>
          <w:szCs w:val="21"/>
          <w:highlight w:val="none"/>
          <w:lang w:val="zh-CN"/>
        </w:rPr>
        <w:t xml:space="preserve">、</w:t>
      </w:r>
      <w:bookmarkEnd w:id="41"/>
      <w:r>
        <w:rPr>
          <w:rFonts w:hint="eastAsia" w:ascii="宋体" w:hAnsi="宋体" w:cs="宋体"/>
          <w:b/>
          <w:color w:val="auto"/>
          <w:szCs w:val="21"/>
          <w:highlight w:val="none"/>
          <w:lang w:val="en-US" w:eastAsia="zh-CN"/>
        </w:rPr>
        <w:t xml:space="preserve">采购需求</w:t>
      </w:r>
      <w:r>
        <w:rPr>
          <w:rFonts w:hint="eastAsia" w:ascii="宋体" w:hAnsi="宋体" w:cs="宋体"/>
          <w:b/>
          <w:bCs/>
          <w:color w:val="auto"/>
          <w:szCs w:val="21"/>
          <w:highlight w:val="none"/>
          <w:lang w:bidi="zh-CN"/>
        </w:rPr>
        <w:t xml:space="preserve">：</w:t>
      </w:r>
      <w:r/>
    </w:p>
    <w:p>
      <w:pPr>
        <w:ind w:firstLine="422"/>
        <w:rPr>
          <w:rFonts w:hint="eastAsia" w:ascii="宋体" w:hAnsi="宋体" w:cs="宋体"/>
          <w:color w:val="auto"/>
          <w:szCs w:val="21"/>
          <w:highlight w:val="none"/>
        </w:rPr>
      </w:pPr>
      <w:r>
        <w:rPr>
          <w:rFonts w:hint="eastAsia" w:ascii="宋体" w:hAnsi="宋体" w:cs="宋体"/>
          <w:b/>
          <w:bCs/>
          <w:color w:val="auto"/>
          <w:szCs w:val="21"/>
          <w:highlight w:val="none"/>
          <w:lang w:bidi="zh-CN"/>
        </w:rPr>
        <w:t xml:space="preserve">（</w:t>
      </w:r>
      <w:r>
        <w:rPr>
          <w:rFonts w:hint="eastAsia" w:ascii="宋体" w:hAnsi="宋体" w:cs="宋体"/>
          <w:b/>
          <w:bCs/>
          <w:color w:val="auto"/>
          <w:szCs w:val="21"/>
          <w:highlight w:val="none"/>
          <w:lang w:val="en-US" w:bidi="zh-CN"/>
        </w:rPr>
        <w:t xml:space="preserve">一</w:t>
      </w:r>
      <w:r>
        <w:rPr>
          <w:rFonts w:hint="eastAsia" w:ascii="宋体" w:hAnsi="宋体" w:cs="宋体"/>
          <w:b/>
          <w:bCs/>
          <w:color w:val="auto"/>
          <w:szCs w:val="21"/>
          <w:highlight w:val="none"/>
          <w:lang w:bidi="zh-CN"/>
        </w:rPr>
        <w:t xml:space="preserve">）</w:t>
      </w:r>
      <w:r>
        <w:rPr>
          <w:rFonts w:hint="eastAsia" w:ascii="宋体" w:hAnsi="宋体" w:cs="宋体"/>
          <w:b/>
          <w:bCs/>
          <w:color w:val="auto"/>
          <w:szCs w:val="21"/>
          <w:highlight w:val="none"/>
          <w:lang w:val="en-US" w:bidi="zh-CN"/>
        </w:rPr>
        <w:t xml:space="preserve">项目背景：</w:t>
      </w:r>
      <w:r>
        <w:rPr>
          <w:rFonts w:hint="eastAsia" w:ascii="宋体" w:hAnsi="宋体" w:cs="宋体"/>
          <w:b w:val="0"/>
          <w:bCs w:val="0"/>
          <w:color w:val="auto"/>
          <w:szCs w:val="21"/>
          <w:highlight w:val="none"/>
          <w:lang w:val="en-US" w:bidi="zh-CN"/>
        </w:rPr>
        <w:t xml:space="preserve">2023年，最高人民法院启动“一张网”的规划与建设，最高院规划建设的办公办案平台，将立案、诉服、审判、送达、执行、查控以及人事、行政、数据统计等业务功能整合在一个平台上，并将原建设相关系统数据统一迁移至“一张网”平台。“一张网”规范了全国法院办公办案工作，统一流程、统一数据，破除数据壁垒，通过大数据和人工智能手段，全面提升审执工作效能及司法透明度。江苏法院已于2025年10月正式接入“一张网”，实现审判数据全国互联互通。吴江法院现有庭审系统亟需遵循最高人民法院“一张网”建设规范进行改造升级。</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（二）系统架构：</w:t>
      </w:r>
      <w:r>
        <w:rPr>
          <w:rFonts w:hint="eastAsia" w:ascii="宋体" w:hAnsi="宋体" w:cs="宋体"/>
          <w:b w:val="0"/>
          <w:bCs w:val="0"/>
          <w:color w:val="auto"/>
          <w:szCs w:val="21"/>
          <w:highlight w:val="none"/>
          <w:lang w:bidi="zh-CN"/>
        </w:rPr>
        <w:t xml:space="preserve">投标人根据对本项目的理解，需要提供软件系统架构。</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（三）建设原则</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1.先进性与适用性</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需采用科学的、主流的、符合发展方向的技术设备和理念，系统集成化、模块化程度高。设计合理，架构简洁、功能完备，切合实际，能有效控制和提高工作效率，满足工作的实际需求。系统的技术性能和质量指标需要达到国内领先水平，同时系统的安装调试、软件操作使用又应简便易行，容易掌握，适合中国国情和本项目的特点。平台集市场上众多先进技术于一身，体现了当前计算机控制技术与计算机网络技术的最新发展水平，适应时代发展的要求。</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2.经济性与实用性</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需要在先进、可靠和充分满足系统功能的前提下，体现高性价比。采用经济实用的技术和设备，充分利用现有资源，综合考虑系统的设计、建设、升级和维护。需要充分考虑用户实际需要和信息技术发展趋势，根据用户现场环境，设计选用功能和适合现场情况、符合用户要求的系统配置方案，通过严密、有机的组合，实现最佳的性能价格比，以便节约工程投资，同时保证系统功能实施的需求，经济实用。</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3.可靠性与安全性</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系统需要采用成熟的、稳定的、完善技术设备，系统需要具有一致性、升级能力，能够保证全天候长期稳定运行。在系统故障或事故造成中断后，能确保数据的准确性、完整性和一致性，并具备迅速恢复的功能，同时系统具有一整套完成的系统管理策略，可以保证系统的运行安全。</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4.开放性与扩充性</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系统设计中考虑到今后技术的发展和使用的需要，需要具有更新、扩充和升级的可能，系统规模和功能易于扩充，系统配套软件具有升级能力。同时，本方案应在设计中留有冗余，以满足今后的发展要求。方案中设备的控制容量上需要保留一定的余地，以便在系统中改造新的控制点；系统中还需要保留与其他信息系统连接的接口；也尽量考虑未来科学的发展和新技术的应用。</w:t>
      </w:r>
      <w:r/>
    </w:p>
    <w:p>
      <w:pPr>
        <w:ind w:firstLine="422"/>
        <w:rPr>
          <w:rFonts w:hint="eastAsia"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t xml:space="preserve">（四）建设目标</w:t>
      </w:r>
      <w:r/>
    </w:p>
    <w:p>
      <w:pPr>
        <w:ind w:firstLine="422"/>
        <w:rPr>
          <w:rFonts w:hint="eastAsia" w:ascii="宋体" w:hAnsi="宋体" w:eastAsia="宋体" w:cs="宋体"/>
          <w:b w:val="0"/>
          <w:bCs w:val="0"/>
          <w:color w:val="auto"/>
          <w:szCs w:val="21"/>
          <w:highlight w:val="none"/>
          <w:lang w:val="en-US" w:bidi="zh-CN"/>
        </w:rPr>
      </w:pPr>
      <w:r>
        <w:rPr>
          <w:rFonts w:hint="eastAsia" w:ascii="宋体" w:hAnsi="宋体" w:eastAsia="宋体" w:cs="宋体"/>
          <w:b w:val="0"/>
          <w:bCs w:val="0"/>
          <w:color w:val="auto"/>
          <w:szCs w:val="21"/>
          <w:highlight w:val="none"/>
          <w:lang w:val="en-US" w:eastAsia="zh-CN" w:bidi="zh-CN"/>
        </w:rPr>
        <w:t xml:space="preserve">1.庭审智能化升级</w:t>
      </w:r>
      <w:r/>
    </w:p>
    <w:p>
      <w:pPr>
        <w:ind w:firstLine="422"/>
        <w:rPr>
          <w:rFonts w:hint="eastAsia" w:ascii="宋体" w:hAnsi="宋体" w:eastAsia="宋体" w:cs="宋体"/>
          <w:b w:val="0"/>
          <w:bCs w:val="0"/>
          <w:color w:val="auto"/>
          <w:szCs w:val="21"/>
          <w:highlight w:val="none"/>
          <w:lang w:val="en-US" w:bidi="zh-CN"/>
        </w:rPr>
      </w:pPr>
      <w:r>
        <w:rPr>
          <w:rFonts w:hint="eastAsia" w:ascii="宋体" w:hAnsi="宋体" w:eastAsia="宋体" w:cs="宋体"/>
          <w:b w:val="0"/>
          <w:bCs w:val="0"/>
          <w:color w:val="auto"/>
          <w:szCs w:val="21"/>
          <w:highlight w:val="none"/>
          <w:lang w:bidi="zh-CN"/>
        </w:rPr>
        <w:t xml:space="preserve">通过对原有科技法庭的升级改造，实现庭审系统智能化飞跃，实现庭中智能、庭后智能等全方位智能化应用。庭中智能，实现证人保护、电子质证、当庭证据智能处理、语音转写等；庭后智能，实现设备智能运维、庭审数据统计，数据统一在运维平台上进行展示</w:t>
      </w:r>
      <w:r>
        <w:rPr>
          <w:rFonts w:hint="eastAsia" w:ascii="宋体" w:hAnsi="宋体" w:eastAsia="宋体" w:cs="宋体"/>
          <w:b w:val="0"/>
          <w:bCs w:val="0"/>
          <w:color w:val="auto"/>
          <w:szCs w:val="21"/>
          <w:highlight w:val="none"/>
          <w:lang w:val="en-US" w:bidi="zh-CN"/>
        </w:rPr>
        <w:t xml:space="preserve">。</w:t>
      </w:r>
      <w:r/>
    </w:p>
    <w:p>
      <w:pPr>
        <w:ind w:firstLine="422"/>
        <w:rPr>
          <w:rFonts w:hint="eastAsia" w:ascii="宋体" w:hAnsi="宋体" w:eastAsia="宋体" w:cs="宋体"/>
          <w:b w:val="0"/>
          <w:bCs w:val="0"/>
          <w:color w:val="auto"/>
          <w:szCs w:val="21"/>
          <w:highlight w:val="none"/>
          <w:lang w:val="en-US" w:bidi="zh-CN"/>
        </w:rPr>
      </w:pPr>
      <w:r>
        <w:rPr>
          <w:rFonts w:hint="eastAsia" w:ascii="宋体" w:hAnsi="宋体" w:eastAsia="宋体" w:cs="宋体"/>
          <w:b w:val="0"/>
          <w:bCs w:val="0"/>
          <w:color w:val="auto"/>
          <w:szCs w:val="21"/>
          <w:highlight w:val="none"/>
          <w:lang w:val="en-US" w:eastAsia="zh-CN" w:bidi="zh-CN"/>
        </w:rPr>
        <w:t xml:space="preserve">2.应用高度整合</w:t>
      </w:r>
      <w:r/>
    </w:p>
    <w:p>
      <w:pPr>
        <w:ind w:firstLine="422"/>
        <w:rPr>
          <w:rFonts w:hint="eastAsia" w:ascii="宋体" w:hAnsi="宋体" w:eastAsia="宋体" w:cs="宋体"/>
          <w:b w:val="0"/>
          <w:bCs w:val="0"/>
          <w:color w:val="auto"/>
          <w:szCs w:val="21"/>
          <w:highlight w:val="none"/>
          <w:lang w:val="en-US" w:bidi="zh-CN"/>
        </w:rPr>
      </w:pPr>
      <w:r>
        <w:rPr>
          <w:rFonts w:hint="eastAsia" w:ascii="宋体" w:hAnsi="宋体" w:eastAsia="宋体" w:cs="宋体"/>
          <w:b w:val="0"/>
          <w:bCs w:val="0"/>
          <w:color w:val="auto"/>
          <w:szCs w:val="21"/>
          <w:highlight w:val="none"/>
          <w:lang w:bidi="zh-CN"/>
        </w:rPr>
        <w:t xml:space="preserve">系统客户端高度集成，融合本地、远程、互联网多种场景应用功能，通过统一书记员客户端即可实现本地开庭、互联网庭审等多种场景开庭的应用，符合书记员日常庭审操作习惯，有效降低法官和书记员的操作难度，提高庭审效率</w:t>
      </w:r>
      <w:r>
        <w:rPr>
          <w:rFonts w:hint="eastAsia" w:ascii="宋体" w:hAnsi="宋体" w:eastAsia="宋体" w:cs="宋体"/>
          <w:b w:val="0"/>
          <w:bCs w:val="0"/>
          <w:color w:val="auto"/>
          <w:szCs w:val="21"/>
          <w:highlight w:val="none"/>
          <w:lang w:val="en-US" w:bidi="zh-CN"/>
        </w:rPr>
        <w:t xml:space="preserve">。</w:t>
      </w:r>
      <w:r/>
    </w:p>
    <w:p>
      <w:pPr>
        <w:ind w:firstLine="422"/>
        <w:rPr>
          <w:rFonts w:hint="eastAsia" w:ascii="宋体" w:hAnsi="宋体" w:eastAsia="宋体" w:cs="宋体"/>
          <w:b w:val="0"/>
          <w:bCs w:val="0"/>
          <w:color w:val="auto"/>
          <w:szCs w:val="21"/>
          <w:highlight w:val="none"/>
          <w:lang w:val="en-US" w:bidi="zh-CN"/>
        </w:rPr>
      </w:pPr>
      <w:r>
        <w:rPr>
          <w:rFonts w:hint="eastAsia" w:ascii="宋体" w:hAnsi="宋体" w:eastAsia="宋体" w:cs="宋体"/>
          <w:b w:val="0"/>
          <w:bCs w:val="0"/>
          <w:color w:val="auto"/>
          <w:szCs w:val="21"/>
          <w:highlight w:val="none"/>
          <w:lang w:val="en-US" w:eastAsia="zh-CN" w:bidi="zh-CN"/>
        </w:rPr>
        <w:t xml:space="preserve">3.一张网对接</w:t>
      </w:r>
      <w:r/>
    </w:p>
    <w:p>
      <w:pPr>
        <w:ind w:firstLine="422"/>
        <w:rPr>
          <w:rFonts w:hint="eastAsia" w:ascii="宋体" w:hAnsi="宋体" w:eastAsia="宋体" w:cs="宋体"/>
          <w:b w:val="0"/>
          <w:bCs w:val="0"/>
          <w:color w:val="auto"/>
          <w:szCs w:val="21"/>
          <w:highlight w:val="none"/>
          <w:lang w:eastAsia="zh-CN" w:bidi="zh-CN"/>
        </w:rPr>
      </w:pPr>
      <w:r>
        <w:rPr>
          <w:rFonts w:hint="eastAsia" w:ascii="宋体" w:hAnsi="宋体" w:eastAsia="宋体" w:cs="宋体"/>
          <w:b w:val="0"/>
          <w:bCs w:val="0"/>
          <w:color w:val="auto"/>
          <w:szCs w:val="21"/>
          <w:highlight w:val="none"/>
          <w:lang w:bidi="zh-CN"/>
        </w:rPr>
        <w:t xml:space="preserve">系统符合最高院“一张网”平台的建设要求，预留有“一张网”对接接口，可与“一张网”平台做到数据互通，并符合规范要求</w:t>
      </w:r>
      <w:r>
        <w:rPr>
          <w:rFonts w:hint="eastAsia" w:ascii="宋体" w:hAnsi="宋体" w:eastAsia="宋体" w:cs="宋体"/>
          <w:b w:val="0"/>
          <w:bCs w:val="0"/>
          <w:color w:val="auto"/>
          <w:szCs w:val="21"/>
          <w:highlight w:val="none"/>
          <w:lang w:eastAsia="zh-CN" w:bidi="zh-CN"/>
        </w:rPr>
        <w:t xml:space="preserve">。</w:t>
      </w:r>
      <w:r/>
    </w:p>
    <w:p>
      <w:pPr>
        <w:ind w:firstLine="422"/>
        <w:rPr>
          <w:rFonts w:hint="default"/>
          <w:color w:val="auto"/>
          <w:highlight w:val="none"/>
          <w:lang w:val="en-US" w:eastAsia="zh-CN"/>
        </w:rPr>
      </w:pPr>
      <w:r>
        <w:rPr>
          <w:rFonts w:hint="eastAsia" w:ascii="宋体" w:hAnsi="宋体" w:eastAsia="宋体" w:cs="宋体"/>
          <w:b w:val="0"/>
          <w:bCs w:val="0"/>
          <w:color w:val="auto"/>
          <w:szCs w:val="21"/>
          <w:highlight w:val="none"/>
          <w:lang w:val="en-US" w:eastAsia="zh-CN" w:bidi="zh-CN"/>
        </w:rPr>
        <w:t xml:space="preserve">4.</w:t>
      </w:r>
      <w:r>
        <w:rPr>
          <w:rFonts w:hint="eastAsia" w:ascii="宋体" w:hAnsi="宋体" w:eastAsia="宋体"/>
          <w:color w:val="auto"/>
          <w:sz w:val="21"/>
          <w:szCs w:val="21"/>
          <w:highlight w:val="none"/>
        </w:rPr>
        <w:t xml:space="preserve">采购清单及技术参数</w:t>
      </w:r>
      <w:r/>
    </w:p>
    <w:tbl>
      <w:tblPr>
        <w:tblStyle w:val="874"/>
        <w:tblW w:w="4595" w:type="pct"/>
        <w:jc w:val="center"/>
        <w:tblLayout w:type="autofit"/>
        <w:tblCellMar>
          <w:left w:w="0" w:type="dxa"/>
          <w:top w:w="0" w:type="dxa"/>
          <w:right w:w="0" w:type="dxa"/>
          <w:bottom w:w="0" w:type="dxa"/>
        </w:tblCellMar>
        <w:tblLook w:val="04A0" w:firstRow="1" w:lastRow="0" w:firstColumn="1" w:lastColumn="0" w:noHBand="0" w:noVBand="1"/>
      </w:tblPr>
      <w:tblGrid>
        <w:gridCol w:w="602"/>
        <w:gridCol w:w="2190"/>
        <w:gridCol w:w="4363"/>
        <w:gridCol w:w="480"/>
        <w:gridCol w:w="721"/>
      </w:tblGrid>
      <w:tr>
        <w:trPr>
          <w:jc w:val="center"/>
          <w:trHeight w:val="4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60" w:type="pct"/>
            <w:vAlign w:val="center"/>
            <w:vMerge w:val="restart"/>
            <w:textDirection w:val="lrTb"/>
            <w:noWrap/>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10" w:type="pct"/>
            <w:vAlign w:val="center"/>
            <w:vMerge w:val="restart"/>
            <w:textDirection w:val="lrTb"/>
            <w:noWrap/>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610" w:type="pct"/>
            <w:vAlign w:val="center"/>
            <w:vMerge w:val="restart"/>
            <w:textDirection w:val="lrTb"/>
            <w:noWrap/>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7" w:type="pct"/>
            <w:vAlign w:val="center"/>
            <w:vMerge w:val="restart"/>
            <w:textDirection w:val="lrTb"/>
            <w:noWrap/>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vMerge w:val="restart"/>
            <w:textDirection w:val="lrTb"/>
            <w:noWrap/>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数量</w:t>
            </w:r>
            <w:r/>
          </w:p>
        </w:tc>
      </w:tr>
      <w:tr>
        <w:trPr>
          <w:jc w:val="center"/>
          <w:trHeight w:val="175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60" w:type="pct"/>
            <w:vAlign w:val="center"/>
            <w:textDirection w:val="lrTb"/>
            <w:noWrap/>
          </w:tcPr>
          <w:p>
            <w:pPr>
              <w:jc w:val="center"/>
              <w:spacing w:line="44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10" w:type="pct"/>
            <w:vAlign w:val="center"/>
            <w:textDirection w:val="lrTb"/>
            <w:noWrap w:val="false"/>
          </w:tcPr>
          <w:p>
            <w:pPr>
              <w:jc w:val="left"/>
              <w:spacing w:line="44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吴江区</w:t>
            </w:r>
            <w:r>
              <w:rPr>
                <w:rFonts w:hint="eastAsia" w:ascii="宋体" w:hAnsi="宋体" w:eastAsia="宋体" w:cs="宋体"/>
                <w:color w:val="auto"/>
                <w:szCs w:val="21"/>
                <w:highlight w:val="none"/>
                <w:lang w:eastAsia="zh-CN" w:bidi="ar"/>
              </w:rPr>
              <w:t xml:space="preserve">人民法院</w:t>
            </w:r>
            <w:r>
              <w:rPr>
                <w:rFonts w:hint="eastAsia" w:ascii="宋体" w:hAnsi="宋体" w:eastAsia="宋体" w:cs="宋体"/>
                <w:color w:val="auto"/>
                <w:szCs w:val="21"/>
                <w:highlight w:val="none"/>
                <w:lang w:bidi="ar"/>
              </w:rPr>
              <w:t xml:space="preserve">数智庭审系统升级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610" w:type="pct"/>
            <w:vAlign w:val="center"/>
            <w:textDirection w:val="lrTb"/>
            <w:noWrap w:val="false"/>
          </w:tcPr>
          <w:p>
            <w:pPr>
              <w:jc w:val="left"/>
              <w:spacing w:line="440" w:lineRule="exac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主要由</w:t>
            </w:r>
            <w:r>
              <w:rPr>
                <w:rFonts w:hint="eastAsia" w:ascii="宋体" w:hAnsi="宋体" w:eastAsia="宋体" w:cs="宋体"/>
                <w:color w:val="auto"/>
                <w:szCs w:val="21"/>
                <w:highlight w:val="none"/>
                <w:lang w:val="en-US" w:eastAsia="zh-CN" w:bidi="ar"/>
              </w:rPr>
              <w:t xml:space="preserve">融合法庭云庭审</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val="en-US" w:eastAsia="zh-CN" w:bidi="ar"/>
              </w:rPr>
              <w:t xml:space="preserve">执法规范化</w:t>
            </w:r>
            <w:r>
              <w:rPr>
                <w:rFonts w:hint="eastAsia" w:ascii="宋体" w:hAnsi="宋体" w:eastAsia="宋体" w:cs="宋体"/>
                <w:color w:val="auto"/>
                <w:szCs w:val="21"/>
                <w:highlight w:val="none"/>
                <w:lang w:bidi="ar"/>
              </w:rPr>
              <w:t xml:space="preserve">平台</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val="en-US" w:eastAsia="zh-CN" w:bidi="ar"/>
              </w:rPr>
              <w:t xml:space="preserve">诉保系统、</w:t>
            </w:r>
            <w:r>
              <w:rPr>
                <w:rFonts w:hint="eastAsia" w:ascii="宋体" w:hAnsi="宋体" w:cs="宋体"/>
                <w:color w:val="auto"/>
                <w:szCs w:val="21"/>
                <w:highlight w:val="none"/>
                <w:lang w:val="en-US" w:eastAsia="zh-CN" w:bidi="ar"/>
              </w:rPr>
              <w:t xml:space="preserve">智能体</w:t>
            </w:r>
            <w:r>
              <w:rPr>
                <w:rFonts w:hint="eastAsia" w:ascii="宋体" w:hAnsi="宋体" w:eastAsia="宋体" w:cs="宋体"/>
                <w:color w:val="auto"/>
                <w:szCs w:val="21"/>
                <w:highlight w:val="none"/>
                <w:lang w:val="en-US" w:eastAsia="zh-CN" w:bidi="ar"/>
              </w:rPr>
              <w:t xml:space="preserve">和</w:t>
            </w:r>
            <w:r>
              <w:rPr>
                <w:rFonts w:hint="eastAsia" w:cs="宋体"/>
                <w:color w:val="auto"/>
                <w:szCs w:val="21"/>
                <w:highlight w:val="none"/>
              </w:rPr>
              <w:t xml:space="preserve">执法视音频记录仪</w:t>
            </w:r>
            <w:r>
              <w:rPr>
                <w:rFonts w:hint="eastAsia" w:ascii="宋体" w:hAnsi="宋体" w:eastAsia="宋体" w:cs="宋体"/>
                <w:color w:val="auto"/>
                <w:szCs w:val="21"/>
                <w:highlight w:val="none"/>
                <w:lang w:val="en-US" w:eastAsia="zh-CN" w:bidi="ar"/>
              </w:rPr>
              <w:t xml:space="preserve">、执法数据采集、数字音频主机</w:t>
            </w:r>
            <w:r>
              <w:rPr>
                <w:rFonts w:hint="eastAsia" w:ascii="宋体" w:hAnsi="宋体" w:eastAsia="宋体" w:cs="宋体"/>
                <w:color w:val="auto"/>
                <w:szCs w:val="21"/>
                <w:highlight w:val="none"/>
                <w:lang w:bidi="ar"/>
              </w:rPr>
              <w:t xml:space="preserve">组成。详见“4.</w:t>
            </w:r>
            <w:r>
              <w:rPr>
                <w:rFonts w:hint="eastAsia" w:ascii="宋体" w:hAnsi="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技术需求”</w:t>
            </w:r>
            <w:r>
              <w:rPr>
                <w:rFonts w:hint="eastAsia" w:ascii="宋体" w:hAnsi="宋体" w:cs="宋体"/>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7" w:type="pct"/>
            <w:vAlign w:val="center"/>
            <w:textDirection w:val="lrTb"/>
            <w:noWrap w:val="false"/>
          </w:tcPr>
          <w:p>
            <w:pPr>
              <w:jc w:val="center"/>
              <w:spacing w:line="44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spacing w:line="44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p>
        </w:tc>
      </w:tr>
    </w:tbl>
    <w:p>
      <w:pPr>
        <w:ind w:firstLine="422"/>
        <w:rPr>
          <w:rFonts w:hint="eastAsia" w:ascii="宋体" w:hAnsi="宋体" w:eastAsia="宋体" w:cs="宋体"/>
          <w:b w:val="0"/>
          <w:bCs w:val="0"/>
          <w:color w:val="auto"/>
          <w:szCs w:val="21"/>
          <w:highlight w:val="none"/>
          <w:lang w:val="en-US" w:eastAsia="zh-CN" w:bidi="zh-CN"/>
        </w:rPr>
      </w:pPr>
      <w:r>
        <w:rPr>
          <w:rFonts w:hint="eastAsia" w:ascii="宋体" w:hAnsi="宋体" w:eastAsia="宋体" w:cs="宋体"/>
          <w:b w:val="0"/>
          <w:bCs w:val="0"/>
          <w:color w:val="auto"/>
          <w:szCs w:val="21"/>
          <w:highlight w:val="none"/>
          <w:lang w:val="en-US" w:eastAsia="zh-CN" w:bidi="zh-CN"/>
        </w:rPr>
        <w:t xml:space="preserve">4.1技术需求</w:t>
      </w:r>
      <w:r/>
    </w:p>
    <w:tbl>
      <w:tblPr>
        <w:tblStyle w:val="874"/>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987"/>
        <w:gridCol w:w="1343"/>
        <w:gridCol w:w="4600"/>
        <w:gridCol w:w="715"/>
        <w:gridCol w:w="715"/>
      </w:tblGrid>
      <w:tr>
        <w:trPr>
          <w:trHeight w:val="322"/>
        </w:trPr>
        <w:tc>
          <w:tcPr>
            <w:tcBorders>
              <w:bottom w:val="single" w:color="auto" w:sz="12" w:space="0"/>
            </w:tcBorders>
            <w:tcW w:w="496" w:type="pct"/>
            <w:vAlign w:val="center"/>
            <w:textDirection w:val="lrTb"/>
            <w:noWrap/>
          </w:tcPr>
          <w:p>
            <w:pPr>
              <w:pStyle w:val="1227"/>
              <w:jc w:val="center"/>
              <w:spacing w:line="440" w:lineRule="exact"/>
              <w:rPr>
                <w:rFonts w:cs="黑体"/>
                <w:color w:val="auto"/>
                <w:szCs w:val="21"/>
                <w:highlight w:val="none"/>
              </w:rPr>
            </w:pPr>
            <w:r>
              <w:rPr>
                <w:rFonts w:cs="黑体"/>
                <w:color w:val="auto"/>
                <w:szCs w:val="21"/>
                <w:highlight w:val="none"/>
              </w:rPr>
              <w:t xml:space="preserve">序号</w:t>
            </w:r>
            <w:r/>
          </w:p>
        </w:tc>
        <w:tc>
          <w:tcPr>
            <w:tcBorders>
              <w:bottom w:val="single" w:color="auto" w:sz="12" w:space="0"/>
            </w:tcBorders>
            <w:tcW w:w="531" w:type="pct"/>
            <w:vAlign w:val="center"/>
            <w:textDirection w:val="lrTb"/>
            <w:noWrap/>
          </w:tcPr>
          <w:p>
            <w:pPr>
              <w:pStyle w:val="1227"/>
              <w:jc w:val="center"/>
              <w:spacing w:line="440" w:lineRule="exact"/>
              <w:rPr>
                <w:rFonts w:cs="黑体"/>
                <w:color w:val="auto"/>
                <w:szCs w:val="21"/>
                <w:highlight w:val="none"/>
              </w:rPr>
            </w:pPr>
            <w:r>
              <w:rPr>
                <w:rFonts w:cs="黑体"/>
                <w:color w:val="auto"/>
                <w:szCs w:val="21"/>
                <w:highlight w:val="none"/>
              </w:rPr>
              <w:t xml:space="preserve">名称</w:t>
            </w:r>
            <w:r/>
          </w:p>
        </w:tc>
        <w:tc>
          <w:tcPr>
            <w:tcBorders>
              <w:bottom w:val="single" w:color="auto" w:sz="12" w:space="0"/>
            </w:tcBorders>
            <w:tcW w:w="723" w:type="pct"/>
            <w:vAlign w:val="center"/>
            <w:textDirection w:val="lrTb"/>
            <w:noWrap/>
          </w:tcPr>
          <w:p>
            <w:pPr>
              <w:pStyle w:val="1227"/>
              <w:jc w:val="center"/>
              <w:spacing w:line="440" w:lineRule="exact"/>
              <w:rPr>
                <w:rFonts w:cs="黑体"/>
                <w:color w:val="auto"/>
                <w:szCs w:val="21"/>
                <w:highlight w:val="none"/>
              </w:rPr>
            </w:pPr>
            <w:r>
              <w:rPr>
                <w:rFonts w:cs="黑体"/>
                <w:color w:val="auto"/>
                <w:szCs w:val="21"/>
                <w:highlight w:val="none"/>
              </w:rPr>
              <w:t xml:space="preserve">平台名称</w:t>
            </w:r>
            <w:r/>
          </w:p>
        </w:tc>
        <w:tc>
          <w:tcPr>
            <w:tcBorders>
              <w:bottom w:val="single" w:color="auto" w:sz="12" w:space="0"/>
            </w:tcBorders>
            <w:tcW w:w="2477" w:type="pct"/>
            <w:vAlign w:val="center"/>
            <w:textDirection w:val="lrTb"/>
            <w:noWrap/>
          </w:tcPr>
          <w:p>
            <w:pPr>
              <w:pStyle w:val="1227"/>
              <w:jc w:val="center"/>
              <w:spacing w:line="440" w:lineRule="exact"/>
              <w:rPr>
                <w:rFonts w:hint="default" w:cs="黑体"/>
                <w:color w:val="auto"/>
                <w:szCs w:val="21"/>
                <w:highlight w:val="none"/>
              </w:rPr>
            </w:pPr>
            <w:r>
              <w:rPr>
                <w:rFonts w:cs="黑体"/>
                <w:color w:val="auto"/>
                <w:szCs w:val="21"/>
                <w:highlight w:val="none"/>
              </w:rPr>
              <w:t xml:space="preserve">软件技术要求</w:t>
            </w:r>
            <w:r/>
          </w:p>
        </w:tc>
        <w:tc>
          <w:tcPr>
            <w:tcBorders>
              <w:bottom w:val="single" w:color="auto" w:sz="12" w:space="0"/>
            </w:tcBorders>
            <w:tcW w:w="384" w:type="pct"/>
            <w:vAlign w:val="center"/>
            <w:textDirection w:val="lrTb"/>
            <w:noWrap/>
          </w:tcPr>
          <w:p>
            <w:pPr>
              <w:pStyle w:val="1227"/>
              <w:jc w:val="center"/>
              <w:spacing w:line="440" w:lineRule="exact"/>
              <w:rPr>
                <w:rFonts w:cs="黑体"/>
                <w:color w:val="auto"/>
                <w:szCs w:val="21"/>
                <w:highlight w:val="none"/>
              </w:rPr>
            </w:pPr>
            <w:r>
              <w:rPr>
                <w:rFonts w:cs="黑体"/>
                <w:color w:val="auto"/>
                <w:szCs w:val="21"/>
                <w:highlight w:val="none"/>
              </w:rPr>
              <w:t xml:space="preserve">数量</w:t>
            </w:r>
            <w:r/>
          </w:p>
        </w:tc>
        <w:tc>
          <w:tcPr>
            <w:tcBorders>
              <w:bottom w:val="single" w:color="auto" w:sz="12" w:space="0"/>
            </w:tcBorders>
            <w:tcW w:w="384" w:type="pct"/>
            <w:vAlign w:val="center"/>
            <w:textDirection w:val="lrTb"/>
            <w:noWrap/>
          </w:tcPr>
          <w:p>
            <w:pPr>
              <w:pStyle w:val="1227"/>
              <w:jc w:val="center"/>
              <w:spacing w:line="440" w:lineRule="exact"/>
              <w:rPr>
                <w:rFonts w:cs="黑体"/>
                <w:color w:val="auto"/>
                <w:szCs w:val="21"/>
                <w:highlight w:val="none"/>
              </w:rPr>
            </w:pPr>
            <w:r>
              <w:rPr>
                <w:rFonts w:cs="黑体"/>
                <w:color w:val="auto"/>
                <w:szCs w:val="21"/>
                <w:highlight w:val="none"/>
              </w:rPr>
              <w:t xml:space="preserve">单位</w:t>
            </w:r>
            <w:r/>
          </w:p>
        </w:tc>
      </w:tr>
      <w:tr>
        <w:trPr>
          <w:trHeight w:val="710"/>
        </w:trPr>
        <w:tc>
          <w:tcPr>
            <w:tcBorders>
              <w:top w:val="single" w:color="auto" w:sz="12" w:space="0"/>
            </w:tcBorders>
            <w:tcW w:w="496" w:type="pct"/>
            <w:vAlign w:val="center"/>
            <w:vMerge w:val="restart"/>
            <w:textDirection w:val="lrTb"/>
            <w:noWrap/>
          </w:tcPr>
          <w:p>
            <w:pPr>
              <w:pStyle w:val="1227"/>
              <w:spacing w:line="440" w:lineRule="exact"/>
              <w:rPr>
                <w:rFonts w:cs="宋体"/>
                <w:color w:val="auto"/>
                <w:szCs w:val="21"/>
                <w:highlight w:val="none"/>
              </w:rPr>
            </w:pPr>
            <w:r>
              <w:rPr>
                <w:rFonts w:cs="宋体"/>
                <w:color w:val="auto"/>
                <w:szCs w:val="21"/>
                <w:highlight w:val="none"/>
              </w:rPr>
              <w:t xml:space="preserve">1</w:t>
            </w:r>
            <w:r/>
          </w:p>
        </w:tc>
        <w:tc>
          <w:tcPr>
            <w:tcBorders>
              <w:top w:val="single" w:color="auto" w:sz="12" w:space="0"/>
            </w:tcBorders>
            <w:tcW w:w="531" w:type="pct"/>
            <w:vAlign w:val="center"/>
            <w:vMerge w:val="restart"/>
            <w:textDirection w:val="lrTb"/>
            <w:noWrap/>
          </w:tcPr>
          <w:p>
            <w:pPr>
              <w:pStyle w:val="1227"/>
              <w:spacing w:line="440" w:lineRule="exact"/>
              <w:rPr>
                <w:rFonts w:cs="宋体"/>
                <w:color w:val="auto"/>
                <w:szCs w:val="21"/>
                <w:highlight w:val="none"/>
              </w:rPr>
            </w:pPr>
            <w:r>
              <w:rPr>
                <w:rFonts w:cs="宋体"/>
                <w:color w:val="auto"/>
                <w:szCs w:val="21"/>
                <w:highlight w:val="none"/>
              </w:rPr>
              <w:t xml:space="preserve">平台软件</w:t>
            </w:r>
            <w:r/>
          </w:p>
        </w:tc>
        <w:tc>
          <w:tcPr>
            <w:tcBorders>
              <w:top w:val="single" w:color="auto" w:sz="12" w:space="0"/>
            </w:tcBorders>
            <w:tcW w:w="723" w:type="pct"/>
            <w:vAlign w:val="center"/>
            <w:textDirection w:val="lrTb"/>
            <w:noWrap/>
          </w:tcPr>
          <w:p>
            <w:pPr>
              <w:pStyle w:val="1227"/>
              <w:spacing w:line="440" w:lineRule="exact"/>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融合法庭云庭审</w:t>
            </w:r>
            <w:r/>
          </w:p>
        </w:tc>
        <w:tc>
          <w:tcPr>
            <w:tcBorders>
              <w:top w:val="single" w:color="auto" w:sz="12" w:space="0"/>
            </w:tcBorders>
            <w:tcW w:w="2477" w:type="pct"/>
            <w:vAlign w:val="center"/>
            <w:textDirection w:val="lrTb"/>
            <w:noWrap w:val="false"/>
          </w:tcPr>
          <w:p>
            <w:pPr>
              <w:numPr>
                <w:ilvl w:val="0"/>
                <w:numId w:val="5"/>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融合法庭</w:t>
            </w:r>
            <w:r/>
          </w:p>
          <w:p>
            <w:pPr>
              <w:numPr>
                <w:ilvl w:val="0"/>
                <w:numId w:val="0"/>
              </w:numPr>
              <w:rPr>
                <w:rFonts w:hint="eastAsia" w:ascii="宋体" w:hAnsi="宋体" w:eastAsia="宋体" w:cs="宋体"/>
                <w:color w:val="auto"/>
                <w:sz w:val="21"/>
                <w:szCs w:val="21"/>
                <w:highlight w:val="none"/>
              </w:rPr>
            </w:pPr>
            <w:r/>
            <w:bookmarkStart w:id="42" w:name="_Toc2914"/>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庭外公示</w:t>
            </w:r>
            <w:bookmarkEnd w:id="42"/>
            <w:r/>
            <w:r/>
          </w:p>
          <w:p>
            <w:pPr>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在法庭入口部署庭外公示屏，系统支持将法庭信息、当前案件信息、当日排期信息进行展示，方便当事人查看、确认开庭法庭。</w:t>
            </w:r>
            <w:r/>
          </w:p>
          <w:p>
            <w:pPr>
              <w:pStyle w:val="87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bookmarkStart w:id="43" w:name="_Toc4115"/>
            <w:r>
              <w:rPr>
                <w:rFonts w:hint="eastAsia" w:ascii="宋体" w:hAnsi="宋体" w:eastAsia="宋体" w:cs="宋体"/>
                <w:color w:val="auto"/>
                <w:sz w:val="21"/>
                <w:szCs w:val="21"/>
                <w:highlight w:val="none"/>
              </w:rPr>
              <w:t xml:space="preserve">多画面合成</w:t>
            </w:r>
            <w:bookmarkEnd w:id="43"/>
            <w:r/>
            <w:r/>
          </w:p>
          <w:p>
            <w:pPr>
              <w:ind w:firstLine="420"/>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庭审主机将法庭里的席位画面、全景画面、证据画面等多个画面进行合成，具有稳定性高、灵活性好的优点。</w:t>
            </w:r>
            <w:r/>
          </w:p>
          <w:p>
            <w:pPr>
              <w:ind w:firstLine="420"/>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多种画面合成风格可选，支持1/2/3/4/5/6/8/9画面合成；</w:t>
            </w:r>
            <w:r/>
          </w:p>
          <w:p>
            <w:pPr>
              <w:ind w:firstLine="420"/>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所有摄像机图像、外接证据图像都可以在合成画面中显示；</w:t>
            </w:r>
            <w:r/>
          </w:p>
          <w:p>
            <w:pPr>
              <w:ind w:firstLine="420"/>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画面清晰，采用H.264、H.265编码算法，最高支持4K画面合成；</w:t>
            </w:r>
            <w:r/>
          </w:p>
          <w:p>
            <w:pPr>
              <w:ind w:firstLine="420"/>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合成画面中的主画面可以通过语音激励进行自动切换，也可以通过书记员客户端手动进行切换。</w:t>
            </w:r>
            <w:r/>
          </w:p>
          <w:p>
            <w:pPr>
              <w:numPr>
                <w:ilvl w:val="0"/>
                <w:numId w:val="6"/>
              </w:numPr>
              <w:rPr>
                <w:rFonts w:hint="eastAsia" w:ascii="宋体" w:hAnsi="宋体" w:eastAsia="宋体" w:cs="宋体"/>
                <w:color w:val="auto"/>
                <w:sz w:val="21"/>
                <w:szCs w:val="21"/>
                <w:highlight w:val="none"/>
              </w:rPr>
            </w:pPr>
            <w:r/>
            <w:bookmarkStart w:id="44" w:name="_Toc20995"/>
            <w:r>
              <w:rPr>
                <w:rFonts w:hint="eastAsia" w:ascii="宋体" w:hAnsi="宋体" w:eastAsia="宋体" w:cs="宋体"/>
                <w:color w:val="auto"/>
                <w:sz w:val="21"/>
                <w:szCs w:val="21"/>
                <w:highlight w:val="none"/>
              </w:rPr>
              <w:t xml:space="preserve">语音激励</w:t>
            </w:r>
            <w:bookmarkEnd w:id="44"/>
            <w:r/>
            <w:r/>
          </w:p>
          <w:p>
            <w:pPr>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语音激励功能可以将席位话筒与某个席位摄像机或者球机的预置位进行绑定，然后通过控制，实现谁发言就将视频主画面切换到谁，便于在视频图像中清楚地展现发言人的特写图像。发言结束后，主画面会根据设置的延迟时间保留该发言人画面数秒钟，然后切换回初始画面。系统支持手动开关，当法庭内不需要语音激励功能时，书记员可以通过客户端关闭语音激励，同时还支持手动切换当前激励主画面。</w:t>
            </w:r>
            <w:r/>
          </w:p>
          <w:p>
            <w:pPr>
              <w:numPr>
                <w:ilvl w:val="0"/>
                <w:numId w:val="6"/>
              </w:numPr>
              <w:ind w:left="0" w:firstLine="0"/>
              <w:rPr>
                <w:rFonts w:hint="eastAsia" w:ascii="宋体" w:hAnsi="宋体" w:eastAsia="宋体" w:cs="宋体"/>
                <w:color w:val="auto"/>
                <w:sz w:val="21"/>
                <w:szCs w:val="21"/>
                <w:highlight w:val="none"/>
              </w:rPr>
            </w:pPr>
            <w:r/>
            <w:bookmarkStart w:id="45" w:name="_Toc7904"/>
            <w:r>
              <w:rPr>
                <w:rFonts w:hint="eastAsia" w:ascii="宋体" w:hAnsi="宋体" w:eastAsia="宋体" w:cs="宋体"/>
                <w:color w:val="auto"/>
                <w:sz w:val="21"/>
                <w:szCs w:val="21"/>
                <w:highlight w:val="none"/>
              </w:rPr>
              <w:t xml:space="preserve">同步录音录像</w:t>
            </w:r>
            <w:bookmarkEnd w:id="45"/>
            <w:r/>
            <w:r/>
          </w:p>
          <w:p>
            <w:pPr>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步录音录像录制文件的内容包括一路庭审现场的合成画面加现场混音，并且可以录制单通道画面。文件可保存在本地庭审主机中或后台集中存储。保证录像有效性，利用视频叠加技术，系统可以将庭审的案号、案由、开庭时间、庭审序号、法庭名称等信息叠加到画面上。还可以在画面中显示每个画面的席位名称，叠加的内容和位置可以手动设置。</w:t>
            </w:r>
            <w:r/>
          </w:p>
          <w:p>
            <w:pPr>
              <w:pStyle w:val="875"/>
              <w:numPr>
                <w:ilvl w:val="0"/>
                <w:numId w:val="6"/>
              </w:numPr>
              <w:ind w:left="0" w:firstLine="0"/>
              <w:rPr>
                <w:rFonts w:hint="eastAsia" w:ascii="宋体" w:hAnsi="宋体" w:eastAsia="宋体" w:cs="宋体"/>
                <w:color w:val="auto"/>
                <w:sz w:val="21"/>
                <w:szCs w:val="21"/>
                <w:highlight w:val="none"/>
              </w:rPr>
            </w:pPr>
            <w:r/>
            <w:bookmarkStart w:id="46" w:name="_Toc14384"/>
            <w:r>
              <w:rPr>
                <w:rFonts w:hint="eastAsia" w:ascii="宋体" w:hAnsi="宋体" w:eastAsia="宋体" w:cs="宋体"/>
                <w:color w:val="auto"/>
                <w:sz w:val="21"/>
                <w:szCs w:val="21"/>
                <w:highlight w:val="none"/>
              </w:rPr>
              <w:t xml:space="preserve">双光盘实时刻录</w:t>
            </w:r>
            <w:bookmarkEnd w:id="46"/>
            <w:r/>
            <w:r/>
          </w:p>
          <w:p>
            <w:pPr>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庭审主机可以实时刻录庭审合成画面，并且在庭审结束之后将笔录文档也刻入光盘。刻录文件最高可支持4K分辨率，画面清晰。</w:t>
            </w:r>
            <w:r/>
          </w:p>
          <w:p>
            <w:pPr>
              <w:pStyle w:val="875"/>
              <w:numPr>
                <w:ilvl w:val="0"/>
                <w:numId w:val="6"/>
              </w:numPr>
              <w:ind w:left="0" w:firstLine="0"/>
              <w:rPr>
                <w:rFonts w:hint="eastAsia" w:ascii="宋体" w:hAnsi="宋体" w:eastAsia="宋体" w:cs="宋体"/>
                <w:color w:val="auto"/>
                <w:sz w:val="21"/>
                <w:szCs w:val="21"/>
                <w:highlight w:val="none"/>
              </w:rPr>
            </w:pPr>
            <w:r/>
            <w:bookmarkStart w:id="47" w:name="_Toc1207"/>
            <w:r>
              <w:rPr>
                <w:rFonts w:hint="eastAsia" w:ascii="宋体" w:hAnsi="宋体" w:eastAsia="宋体" w:cs="宋体"/>
                <w:color w:val="auto"/>
                <w:sz w:val="21"/>
                <w:szCs w:val="21"/>
                <w:highlight w:val="none"/>
              </w:rPr>
              <w:t xml:space="preserve">智能中控</w:t>
            </w:r>
            <w:bookmarkEnd w:id="47"/>
            <w:r/>
            <w:r/>
          </w:p>
          <w:p>
            <w:pPr>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智能中控支持网络协议统一开关控制管理。书记员可以通过中控平板，一键开启庭审所需的所有设备。庭审结束后，支持一键关闭法庭内所有设备。</w:t>
            </w:r>
            <w:r/>
          </w:p>
          <w:p>
            <w:pPr>
              <w:pStyle w:val="875"/>
              <w:numPr>
                <w:ilvl w:val="0"/>
                <w:numId w:val="6"/>
              </w:numPr>
              <w:ind w:left="0" w:firstLine="0"/>
              <w:rPr>
                <w:rFonts w:hint="eastAsia" w:ascii="宋体" w:hAnsi="宋体" w:eastAsia="宋体" w:cs="宋体"/>
                <w:color w:val="auto"/>
                <w:sz w:val="21"/>
                <w:szCs w:val="21"/>
                <w:highlight w:val="none"/>
              </w:rPr>
            </w:pPr>
            <w:r/>
            <w:bookmarkStart w:id="48" w:name="_Toc19757"/>
            <w:r>
              <w:rPr>
                <w:rFonts w:hint="eastAsia" w:ascii="宋体" w:hAnsi="宋体" w:eastAsia="宋体" w:cs="宋体"/>
                <w:color w:val="auto"/>
                <w:sz w:val="21"/>
                <w:szCs w:val="21"/>
                <w:highlight w:val="none"/>
              </w:rPr>
              <w:t xml:space="preserve">证人保护</w:t>
            </w:r>
            <w:bookmarkEnd w:id="48"/>
            <w:r/>
            <w:r/>
          </w:p>
          <w:p>
            <w:pPr>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障证人远程出庭作证时的合法权益和人身安全，支持对证人室采集的证人图像和声音进行处理。对采集的证人人脸支持马赛克遮挡，马赛克区域支持大小设置，并可随人脸移动；对采集的证人声音支持变声处理，变声功能支持音调变化，变声数值大小设置，男女声声音互变等。</w:t>
            </w:r>
            <w:r/>
          </w:p>
          <w:p>
            <w:pPr>
              <w:pStyle w:val="875"/>
              <w:numPr>
                <w:ilvl w:val="0"/>
                <w:numId w:val="6"/>
              </w:numPr>
              <w:ind w:left="0" w:firstLine="0"/>
              <w:rPr>
                <w:rFonts w:hint="eastAsia" w:ascii="宋体" w:hAnsi="宋体" w:eastAsia="宋体" w:cs="宋体"/>
                <w:color w:val="auto"/>
                <w:sz w:val="21"/>
                <w:szCs w:val="21"/>
                <w:highlight w:val="none"/>
              </w:rPr>
            </w:pPr>
            <w:r/>
            <w:bookmarkStart w:id="49" w:name="_Toc23948"/>
            <w:r/>
            <w:bookmarkStart w:id="50" w:name="_Toc2446"/>
            <w:r/>
            <w:bookmarkStart w:id="51" w:name="_Toc16520"/>
            <w:r/>
            <w:bookmarkStart w:id="52" w:name="_Toc22228"/>
            <w:r/>
            <w:bookmarkStart w:id="53" w:name="_Toc5339"/>
            <w:r/>
            <w:bookmarkStart w:id="54" w:name="_Toc27217"/>
            <w:r/>
            <w:bookmarkStart w:id="55" w:name="_Toc17242"/>
            <w:r/>
            <w:bookmarkStart w:id="56" w:name="_Toc29275"/>
            <w:r/>
            <w:bookmarkStart w:id="57" w:name="_Toc26185"/>
            <w:r/>
            <w:bookmarkStart w:id="58" w:name="_Toc24074"/>
            <w:r/>
            <w:bookmarkStart w:id="59" w:name="_Toc31586"/>
            <w:r/>
            <w:bookmarkStart w:id="60" w:name="_Toc19207"/>
            <w:r/>
            <w:bookmarkStart w:id="61" w:name="_Toc1093"/>
            <w:r/>
            <w:bookmarkStart w:id="62" w:name="_Toc10024"/>
            <w:r/>
            <w:bookmarkStart w:id="63" w:name="_Toc2598"/>
            <w:r>
              <w:rPr>
                <w:rFonts w:hint="eastAsia" w:ascii="宋体" w:hAnsi="宋体" w:eastAsia="宋体" w:cs="宋体"/>
                <w:color w:val="auto"/>
                <w:sz w:val="21"/>
                <w:szCs w:val="21"/>
                <w:highlight w:val="none"/>
              </w:rPr>
              <w:t xml:space="preserve">书记员客户端</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
          </w:p>
          <w:p>
            <w:pPr>
              <w:numPr>
                <w:ilvl w:val="0"/>
                <w:numId w:val="7"/>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支持导入笔录文件；</w:t>
            </w:r>
            <w:r/>
          </w:p>
          <w:p>
            <w:pPr>
              <w:pStyle w:val="875"/>
              <w:numPr>
                <w:ilvl w:val="0"/>
                <w:numId w:val="7"/>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支持引用预设好的笔录模板；</w:t>
            </w:r>
            <w:r/>
          </w:p>
          <w:p>
            <w:pPr>
              <w:numPr>
                <w:ilvl w:val="0"/>
                <w:numId w:val="7"/>
              </w:numPr>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开庭、休庭、闭庭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支持庭审的开庭、休庭、闭庭功能，可控制录像的开启，暂停，结束；</w:t>
            </w:r>
            <w:r/>
          </w:p>
          <w:p>
            <w:pPr>
              <w:pStyle w:val="875"/>
              <w:numPr>
                <w:ilvl w:val="0"/>
                <w:numId w:val="7"/>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转写控制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控制语音转写的开始、结束、插入转写光标；</w:t>
            </w:r>
            <w:r/>
          </w:p>
          <w:p>
            <w:pPr>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话筒管理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支持话筒管理，支持查看最近转写内容；</w:t>
            </w:r>
            <w:r/>
          </w:p>
          <w:p>
            <w:pPr>
              <w:pStyle w:val="875"/>
              <w:numPr>
                <w:ilvl w:val="0"/>
                <w:numId w:val="7"/>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全文笔录</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支持庭审</w:t>
            </w:r>
            <w:r>
              <w:rPr>
                <w:rFonts w:hint="eastAsia" w:ascii="宋体" w:hAnsi="宋体" w:eastAsia="宋体" w:cs="宋体"/>
                <w:color w:val="auto"/>
                <w:sz w:val="21"/>
                <w:szCs w:val="21"/>
                <w:highlight w:val="none"/>
              </w:rPr>
              <w:t xml:space="preserve">笔录和全文笔录双记录，书记员可切换使用，可从全文笔录选择复制内容插入庭审笔录；</w:t>
            </w:r>
            <w:r>
              <w:rPr>
                <w:rFonts w:hint="eastAsia" w:ascii="宋体" w:hAnsi="宋体" w:cs="宋体"/>
                <w:color w:val="auto"/>
                <w:sz w:val="21"/>
                <w:szCs w:val="21"/>
                <w:highlight w:val="none"/>
                <w:lang w:val="en-US" w:eastAsia="zh-CN"/>
              </w:rPr>
              <w:t xml:space="preserve">支持54间融合法庭语音转写功能。</w:t>
            </w:r>
            <w:r/>
          </w:p>
          <w:p>
            <w:pPr>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历史笔录：支持语音播报法庭纪律；</w:t>
            </w:r>
            <w:r/>
          </w:p>
          <w:p>
            <w:pPr>
              <w:pStyle w:val="875"/>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打印：支持打印笔录；</w:t>
            </w:r>
            <w:r/>
          </w:p>
          <w:p>
            <w:pPr>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导出：支持导出笔录；</w:t>
            </w:r>
            <w:r/>
          </w:p>
          <w:p>
            <w:pPr>
              <w:pStyle w:val="875"/>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法纪宣读：支持语音播报法庭纪律；</w:t>
            </w:r>
            <w:r/>
          </w:p>
          <w:p>
            <w:pPr>
              <w:pStyle w:val="875"/>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笔录校验：可通过边看笔录，边回看录像录像，笔录可关联录像播放；</w:t>
            </w:r>
            <w:r/>
          </w:p>
          <w:p>
            <w:pPr>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归档：支持笔录文档，归档后的笔录不允许修改；</w:t>
            </w:r>
            <w:r/>
          </w:p>
          <w:p>
            <w:pPr>
              <w:pStyle w:val="875"/>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实时视频：支持查看实时庭审视频，视频以合成画面方式展示，画面可全屏展示，可缩屏展示，可控制声音播放；</w:t>
            </w:r>
            <w:r/>
          </w:p>
          <w:p>
            <w:pPr>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一键检测：支持检测法庭状态一键检测，包括录音录像、法庭设备、软件系统、通讯网络，对网络连接故障的设备支持报警；</w:t>
            </w:r>
            <w:r/>
          </w:p>
          <w:p>
            <w:pPr>
              <w:pStyle w:val="875"/>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人证核验：展示法庭人证核验信息。</w:t>
            </w:r>
            <w:r/>
          </w:p>
          <w:p>
            <w:pPr>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案件信息：支持展示案件的基本信息；</w:t>
            </w:r>
            <w:r/>
          </w:p>
          <w:p>
            <w:pPr>
              <w:pStyle w:val="875"/>
              <w:numPr>
                <w:ilvl w:val="0"/>
                <w:numId w:val="7"/>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即时通信：支持即时通信功能，可以和法官进行即时通信群聊沟通</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（18）个性化词汇：支持录入法庭常用语，通过快捷键录入笔录；</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（19）笔录显示：支持控制笔录是否在当事人客户端进行展示</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（20）设备控制：支持对设备进行开关机控制；支持对设备刻录进行控制，支持全开仓、全关仓操作，支持暂停光盘录像刻录、停止光盘录像刻录；支持对话筒的语音激励控制；</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（21）电子卷宗：支持展示电子卷宗中的卷宗目录；支持上传、删除卷宗材料；支持查看卷宗材料</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（22）与会人控制：支持对互联网庭审参与人进行控制、可控制禁言、禁止视频；可查看互联网与会人的在线、离线状态</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（23）临时材料：支持上传临时证据材料，可根据名称检索材料，查看材料</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（24）电子签章：支持控制笔录电子签名；签名可选择仅签名或指纹和签名；</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支持签名预览；</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签名可手动插入，或自动插入，可自动插入每页页尾；</w:t>
            </w:r>
            <w:r/>
          </w:p>
          <w:p>
            <w:pPr>
              <w:pStyle w:val="875"/>
              <w:numPr>
                <w:ilvl w:val="0"/>
                <w:numId w:val="8"/>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证据展示：控制实物展台进行证据展示；控制法官笔录展示，录音证据展示，DVD证据展示；</w:t>
            </w:r>
            <w:r/>
          </w:p>
          <w:p>
            <w:pPr>
              <w:numPr>
                <w:ilvl w:val="0"/>
                <w:numId w:val="8"/>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书记员客户端：支持wps和富文本的记录方式</w:t>
            </w:r>
            <w:r/>
          </w:p>
          <w:p>
            <w:pPr>
              <w:pStyle w:val="875"/>
              <w:numPr>
                <w:ilvl w:val="0"/>
                <w:numId w:val="8"/>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置：支持对语音转写进行配置，可选择显示话筒管理，可对工具栏进行显示配置，选择显示或隐藏部分工具，可对客户端进行配置，配置内容包括法纪宣读文档配置；闭庭是否自动归档配置；闭庭未签名提醒配置；展示笔录确认配置；庭审结束提示配置；归档刻录笔录配置；笔录保存时间配置；语音合并配置；直播配置；</w:t>
            </w:r>
            <w:r/>
          </w:p>
          <w:p>
            <w:pPr>
              <w:numPr>
                <w:ilvl w:val="0"/>
                <w:numId w:val="6"/>
              </w:numPr>
              <w:ind w:left="0" w:firstLine="0"/>
              <w:rPr>
                <w:rFonts w:hint="eastAsia" w:ascii="宋体" w:hAnsi="宋体" w:eastAsia="宋体" w:cs="宋体"/>
                <w:color w:val="auto"/>
                <w:sz w:val="21"/>
                <w:szCs w:val="21"/>
                <w:highlight w:val="none"/>
              </w:rPr>
            </w:pPr>
            <w:r/>
            <w:bookmarkStart w:id="64" w:name="_Toc8961"/>
            <w:r/>
            <w:bookmarkStart w:id="65" w:name="_Toc9491"/>
            <w:r/>
            <w:bookmarkStart w:id="66" w:name="_Toc30332"/>
            <w:r/>
            <w:bookmarkStart w:id="67" w:name="_Toc24749"/>
            <w:r/>
            <w:bookmarkStart w:id="68" w:name="_Toc16930"/>
            <w:r>
              <w:rPr>
                <w:rFonts w:hint="eastAsia" w:ascii="宋体" w:hAnsi="宋体" w:eastAsia="宋体" w:cs="宋体"/>
                <w:color w:val="auto"/>
                <w:sz w:val="21"/>
                <w:szCs w:val="21"/>
                <w:highlight w:val="none"/>
              </w:rPr>
              <w:t xml:space="preserve">法官客户端</w:t>
            </w:r>
            <w:bookmarkEnd w:id="64"/>
            <w:r/>
            <w:bookmarkEnd w:id="65"/>
            <w:r/>
            <w:bookmarkEnd w:id="66"/>
            <w:r/>
            <w:bookmarkEnd w:id="67"/>
            <w:r/>
            <w:bookmarkEnd w:id="68"/>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（1）书记员笔录：支持法官实时查看书记员笔录；支持视频笔录、文本笔录两种展示方式</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（2）卷宗授权：支持法官对当事人查看卷宗进行授权，当事人只可查看经过法官授权的卷宗；</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（3）检索：支持根据卷宗名称查找卷宗材料；</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（4）收藏：支持庭前法官收藏卷宗，庭中快速调取收藏的卷宗；</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（5）共享：支持法官发起卷宗共享，共享后，其他庭审参与人可同屏查看，各参与人能进行卷宗圈画标记，标记内容也可同屏查看，卷宗材料支持放大缩小等操作。</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（6）即时通讯：支持法官通过即时通讯工具与书记员进行独立文字沟通；</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（7）法条查询：支持配置法信法条库地址，可庭中通过法官客户端进行法条查询；</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（8）类案库：支持配置法信案例库地址，可庭中通过法官客户端进行类案查询；</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（9）法官客户端：支持选择庭审的合成或独立画面查看；</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（10）语音唤醒：支持配合语音转写系统，实现法条通过语音调取证据材料；</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（11）原审、二审：支持分类查看原审和二审卷宗；</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（12）法官客户端：支持选择开庭模式，模式可选无书记员模式，无书记员模式时，操作页面变为法官控制页面；</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（13）开庭、休庭、闭庭：支持法官控制开庭、闭庭、休庭等操作；</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模板</w:t>
            </w:r>
            <w:r>
              <w:rPr>
                <w:rFonts w:hint="eastAsia" w:ascii="宋体" w:hAnsi="宋体" w:eastAsia="宋体" w:cs="宋体"/>
                <w:color w:val="auto"/>
                <w:sz w:val="21"/>
                <w:szCs w:val="21"/>
                <w:highlight w:val="none"/>
                <w:lang w:val="en-US" w:eastAsia="zh-CN"/>
              </w:rPr>
              <w:t xml:space="preserve">：支持导入笔录模板；</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（15）法官客户端：支持控制语音转写的开始、停止；</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（16）导出：支持法官导出笔录</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（17）电子签章：支持发起笔录电子签名</w:t>
            </w:r>
            <w:r/>
          </w:p>
          <w:p>
            <w:pPr>
              <w:pStyle w:val="87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bookmarkStart w:id="69" w:name="_Toc30946"/>
            <w:r/>
            <w:bookmarkStart w:id="70" w:name="_Toc20168"/>
            <w:r/>
            <w:bookmarkStart w:id="71" w:name="_Toc19311"/>
            <w:r/>
            <w:bookmarkStart w:id="72" w:name="_Toc25091"/>
            <w:r/>
            <w:bookmarkStart w:id="73" w:name="_Toc18352"/>
            <w:r/>
            <w:bookmarkStart w:id="74" w:name="_Toc23848"/>
            <w:r/>
            <w:bookmarkStart w:id="75" w:name="_Toc18809"/>
            <w:r/>
            <w:bookmarkStart w:id="76" w:name="_Toc9296"/>
            <w:r/>
            <w:bookmarkStart w:id="77" w:name="_Toc23835"/>
            <w:r/>
            <w:bookmarkStart w:id="78" w:name="_Toc14946"/>
            <w:r/>
            <w:bookmarkStart w:id="79" w:name="_Toc8530"/>
            <w:r/>
            <w:bookmarkStart w:id="80" w:name="_Toc19470"/>
            <w:r/>
            <w:bookmarkStart w:id="81" w:name="_Toc23699"/>
            <w:r/>
            <w:bookmarkStart w:id="82" w:name="_Toc28453"/>
            <w:r/>
            <w:bookmarkStart w:id="83" w:name="_Toc23129"/>
            <w:r>
              <w:rPr>
                <w:rFonts w:hint="eastAsia" w:ascii="宋体" w:hAnsi="宋体" w:eastAsia="宋体" w:cs="宋体"/>
                <w:color w:val="auto"/>
                <w:sz w:val="21"/>
                <w:szCs w:val="21"/>
                <w:highlight w:val="none"/>
              </w:rPr>
              <w:t xml:space="preserve">当事人</w:t>
            </w:r>
            <w:bookmarkEnd w:id="69"/>
            <w:r/>
            <w:bookmarkEnd w:id="70"/>
            <w:r/>
            <w:bookmarkEnd w:id="71"/>
            <w:r/>
            <w:bookmarkEnd w:id="72"/>
            <w:r/>
            <w:bookmarkEnd w:id="73"/>
            <w:r/>
            <w:bookmarkEnd w:id="74"/>
            <w:r/>
            <w:bookmarkEnd w:id="75"/>
            <w:r/>
            <w:bookmarkEnd w:id="76"/>
            <w:r/>
            <w:bookmarkEnd w:id="77"/>
            <w:r/>
            <w:bookmarkEnd w:id="78"/>
            <w:r>
              <w:rPr>
                <w:rFonts w:hint="eastAsia" w:ascii="宋体" w:hAnsi="宋体" w:eastAsia="宋体" w:cs="宋体"/>
                <w:color w:val="auto"/>
                <w:sz w:val="21"/>
                <w:szCs w:val="21"/>
                <w:highlight w:val="none"/>
              </w:rPr>
              <w:t xml:space="preserve">客户端</w:t>
            </w:r>
            <w:bookmarkEnd w:id="79"/>
            <w:r/>
            <w:bookmarkEnd w:id="80"/>
            <w:r/>
            <w:bookmarkEnd w:id="81"/>
            <w:r/>
            <w:bookmarkEnd w:id="82"/>
            <w:r/>
            <w:bookmarkEnd w:id="83"/>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）法纪查看：在进入庭审前，智能交互终端可以向当事人展示法庭纪律、权</w:t>
            </w:r>
            <w:r>
              <w:rPr>
                <w:rFonts w:hint="eastAsia" w:ascii="宋体" w:hAnsi="宋体" w:cs="宋体"/>
                <w:color w:val="auto"/>
                <w:sz w:val="21"/>
                <w:szCs w:val="21"/>
                <w:highlight w:val="none"/>
                <w:lang w:val="en-US" w:eastAsia="zh-CN"/>
              </w:rPr>
              <w:t xml:space="preserve">利</w:t>
            </w:r>
            <w:r>
              <w:rPr>
                <w:rFonts w:hint="eastAsia" w:ascii="宋体" w:hAnsi="宋体" w:eastAsia="宋体" w:cs="宋体"/>
                <w:color w:val="auto"/>
                <w:sz w:val="21"/>
                <w:szCs w:val="21"/>
                <w:highlight w:val="none"/>
                <w:lang w:eastAsia="zh-CN"/>
              </w:rPr>
              <w:t xml:space="preserve">义务以及本次开庭的基本案件信息。</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）材料查看：当事人无法主动查看卷宗等材料，只有当法官授权共享，允许当事人查看的卷宗材料，才会出现在当事人的卷宗目录中，对于法官共享的材料，当事人可以自由查看，并能够进行标记。</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）笔录查看：庭审过程中，书记员的笔录实时展示在智能交互终端上，所有庭审参与人均可查看。</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）证据上传：对于到庭的庭审参与人，如果有有当庭需要提交的电子材料，可以通过扫描智能交互终端上的证据二维码上传电子材料，上传后，法官可以查看该材料并可共享给所有庭审参与人查看。</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）登录：用户登录前需通过手机验证，验证成功后进入客户端功能页面</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）环境检测：开庭环境检测，可检测互联网当事人音频、视频是否正常，</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）法纪宣读：参与互联网庭审前，需仔细阅读庭审纪律</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）参与庭审：庭审开始后，互联网用户可直接参与到庭审中来，可观看庭审合成画面、庭审笔录，并可进行庭审交流。当事人对任意路的庭审画面，均能独立放大全屏查看</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）笔录签名：庭审结束前，互联网用户需确认笔录信息，并支持在线签名，签名信息自动同步至专网笔录中</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bookmarkStart w:id="84" w:name="_Toc30120"/>
            <w:r>
              <w:rPr>
                <w:rFonts w:hint="eastAsia" w:ascii="宋体" w:hAnsi="宋体" w:eastAsia="宋体" w:cs="宋体"/>
                <w:color w:val="auto"/>
                <w:sz w:val="21"/>
                <w:szCs w:val="21"/>
                <w:highlight w:val="none"/>
                <w:lang w:val="en-US" w:eastAsia="zh-CN"/>
              </w:rPr>
              <w:t xml:space="preserve">执前督促辅助平台</w:t>
            </w:r>
            <w:bookmarkEnd w:id="84"/>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案件接收及自动化批量执保立案：接收当事人立案申请并临时保存，支持批量执行执保立案操作，实现立案申请存储、审批、立案全流程管理，为后续执保工作奠定基础；系统可识别立案申请状态，完成从草稿、待审批到已立案的全流程流转管控</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自动/手动批量发起网络查询：执保立案后支持自动或手动批量发起网络查询，查询内容可按法院需求配置，实时展示查询状态，可直接查阅查询失败原因，为财产查控提供精准数据支撑，提升网络查询效率与针对性</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（3）自动/手动批量发起网络冻结：根据网络查询结果，可对案件或当事人批量发起网络冻结，支持自行控制冻结标的倍数并批量设置冻结金额，实时展示冻结状态，实现网络冻结的灵活化、批量化管控</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（4）文书批量生成及回传：实现执保阶段各类文书的批量制作、回传及送达管理，涵盖执保立案通知、执调立案通知等文书类型，实时展示文书制作、送达状态，支持文书批量预览、打印，保障文书流转效率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执保网查、网冻结果分析展示：整合网络查询与冻结结果，按法院设定金额阈值展示被执行人资产情况（有钱、有房、有车），展示银行及网络资金查询冻结金额，对足额查封案件自动标注，为办案决策提供直观数据支撑</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（6）首执批量转立案：针对执前督促的执保案件，支持一键批量转立首执/执恢案件，支持案件拆分与关联，可配置承办人、法官助理、书记员等办案人员信息，打通执保到执行的业务闭环</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外地不动产、车辆委托查封自动化处理：对被执行人外地不动产、车辆进行地址结构化解析，匹配对应委托法院，批量生成查封/解封文书并发起委托任务，自动上传文书、抓取委托结果，支持专员确认后回传电子卷宗，实现跨区域查封全流程自动化</w:t>
            </w:r>
            <w:r/>
          </w:p>
          <w:p>
            <w:pPr>
              <w:pStyle w:val="87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bookmarkStart w:id="85" w:name="_Toc21256"/>
            <w:r>
              <w:rPr>
                <w:rFonts w:hint="eastAsia" w:ascii="宋体" w:hAnsi="宋体" w:eastAsia="宋体" w:cs="宋体"/>
                <w:color w:val="auto"/>
                <w:sz w:val="21"/>
                <w:szCs w:val="21"/>
                <w:highlight w:val="none"/>
              </w:rPr>
              <w:t xml:space="preserve">互联网web客户端</w:t>
            </w:r>
            <w:bookmarkEnd w:id="85"/>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）登录：支持通过互联网电脑登录进入互联网web客户端</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）注册：支持账号注册及登录</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）材料上传：支持上传本地电子证据材料、支持查看电子证据材料，材料类型包括doc、docx、pdf、jpg、png、bmp、jpeg、mp3等</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）重置密码：支持重置密码</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）庭审码：支持通过庭审码登录客户端</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）案件筛选：支持根据案件状态进行案件筛选</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）搜索：支持根据案号搜索案件</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（8）环境监测：支持庭前设备检测，可检测本地电脑的音频、视频采集是否正常</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（9）法庭纪律：支持查看法庭纪律，当事人阅读法庭纪律后才可进入庭审</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（10）参与庭审：支持查看法庭本地、其他互联网庭审参与人的画面、画面可全屏观看</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（11）麦克风控制：支持麦克风、扬声器控制</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（12）笔录确认：支持对书记员的笔录进行确认</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（13）电子签名：支持手机扫描二维码实现电子签名功能</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（14）共享：支持将本地电脑的桌面共享给其他参与人</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（15）庭后查看：支持庭后查看笔录确认情况</w:t>
            </w:r>
            <w:r/>
          </w:p>
          <w:p>
            <w:pPr>
              <w:pStyle w:val="87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bookmarkStart w:id="86" w:name="_Toc1957"/>
            <w:r/>
            <w:bookmarkStart w:id="87" w:name="_Toc19181"/>
            <w:r/>
            <w:bookmarkStart w:id="88" w:name="_Toc9547"/>
            <w:r/>
            <w:bookmarkStart w:id="89" w:name="_Toc24496"/>
            <w:r/>
            <w:bookmarkStart w:id="90" w:name="_Toc17733"/>
            <w:r/>
            <w:bookmarkStart w:id="91" w:name="_Toc28763"/>
            <w:r/>
            <w:bookmarkStart w:id="92" w:name="_Toc28864"/>
            <w:r/>
            <w:bookmarkStart w:id="93" w:name="_Toc30791"/>
            <w:r/>
            <w:bookmarkStart w:id="94" w:name="_Toc2447"/>
            <w:r/>
            <w:bookmarkStart w:id="95" w:name="_Toc19669"/>
            <w:r/>
            <w:bookmarkStart w:id="96" w:name="_Toc3765"/>
            <w:r/>
            <w:bookmarkStart w:id="97" w:name="_Toc8091"/>
            <w:r/>
            <w:bookmarkStart w:id="98" w:name="_Toc20605"/>
            <w:r/>
            <w:bookmarkStart w:id="99" w:name="_Toc15673"/>
            <w:r/>
            <w:bookmarkStart w:id="100" w:name="_Toc514"/>
            <w:r>
              <w:rPr>
                <w:rFonts w:hint="eastAsia" w:ascii="宋体" w:hAnsi="宋体" w:eastAsia="宋体" w:cs="宋体"/>
                <w:color w:val="auto"/>
                <w:sz w:val="21"/>
                <w:szCs w:val="21"/>
                <w:highlight w:val="none"/>
              </w:rPr>
              <w:t xml:space="preserve">业务管理功能</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）案件管理-立案：通过对接或手动创建案件记录；</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记录信息包括案号、案件名称、案件类型（含刑事、民事等12个类型）、承办人、承办部门、立案日期、案由、案由细化、当事人（可搜索添加或手动添加）、审判长、审判员、书记员、合议庭成员、人民陪审员、原审案号；</w:t>
            </w:r>
            <w:r/>
          </w:p>
          <w:p>
            <w:pPr>
              <w:pStyle w:val="875"/>
              <w:numPr>
                <w:ilvl w:val="0"/>
                <w:numId w:val="9"/>
              </w:numPr>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高级搜索：可根据时间、案号、承办人、承办部门、创建时间、案件状态等进行案件检索；</w:t>
            </w:r>
            <w:r/>
          </w:p>
          <w:p>
            <w:pPr>
              <w:numPr>
                <w:ilvl w:val="0"/>
                <w:numId w:val="9"/>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案件管理：支持查看案件基本信息；</w:t>
            </w:r>
            <w:r/>
          </w:p>
          <w:p>
            <w:pPr>
              <w:pStyle w:val="875"/>
              <w:numPr>
                <w:ilvl w:val="0"/>
                <w:numId w:val="9"/>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删除：支持删除案件记录</w:t>
            </w:r>
            <w:r/>
          </w:p>
          <w:p>
            <w:pPr>
              <w:numPr>
                <w:ilvl w:val="0"/>
                <w:numId w:val="9"/>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导出：支持手动导出案件记录</w:t>
            </w:r>
            <w:r/>
          </w:p>
          <w:p>
            <w:pPr>
              <w:pStyle w:val="875"/>
              <w:numPr>
                <w:ilvl w:val="0"/>
                <w:numId w:val="9"/>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记录、详情、补刻、删除：支持查看历次办案记录，每次办案记录可查看详情、光盘补刻、笔录录像回看、记录删除等操作；</w:t>
            </w:r>
            <w:r/>
          </w:p>
          <w:p>
            <w:pPr>
              <w:numPr>
                <w:ilvl w:val="0"/>
                <w:numId w:val="9"/>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共享：支持案件共享，办案人员可将案件共享给相关部门人员，可授予读写或只读的权限；</w:t>
            </w:r>
            <w:r/>
          </w:p>
          <w:p>
            <w:pPr>
              <w:pStyle w:val="875"/>
              <w:numPr>
                <w:ilvl w:val="0"/>
                <w:numId w:val="9"/>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排期管理：支持查看和修改记录；支持根据时间、案件类型、案号、法庭及其他共10类条件检索案件排期数据；支持删除、导出安排记录；支持同步排期数据</w:t>
            </w:r>
            <w:r/>
          </w:p>
          <w:p>
            <w:pPr>
              <w:numPr>
                <w:ilvl w:val="0"/>
                <w:numId w:val="9"/>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本地庭审：</w:t>
            </w:r>
            <w:r/>
          </w:p>
          <w:p>
            <w:pPr>
              <w:pStyle w:val="875"/>
              <w:numPr>
                <w:ilvl w:val="0"/>
                <w:numId w:val="1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高级搜索：支持对本地庭审的案件进行排期管理，可按时间、案号、法庭、审判长、书记员等条件进行案件检索；</w:t>
            </w:r>
            <w:r/>
          </w:p>
          <w:p>
            <w:pPr>
              <w:pStyle w:val="875"/>
              <w:numPr>
                <w:ilvl w:val="0"/>
                <w:numId w:val="1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同步：支持手动同步排期数据；</w:t>
            </w:r>
            <w:r/>
          </w:p>
          <w:p>
            <w:pPr>
              <w:pStyle w:val="875"/>
              <w:numPr>
                <w:ilvl w:val="0"/>
                <w:numId w:val="10"/>
              </w:numPr>
              <w:ind w:left="42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导出、删除：支持导出、删除排期记录；</w:t>
            </w:r>
            <w:r/>
          </w:p>
          <w:p>
            <w:pPr>
              <w:numPr>
                <w:ilvl w:val="0"/>
                <w:numId w:val="10"/>
              </w:numPr>
              <w:ind w:left="42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合并审理：支持合并审理，可将多个案件选择并案，并修改法庭、审判长、审判员等信息</w:t>
            </w:r>
            <w:r/>
          </w:p>
          <w:p>
            <w:pPr>
              <w:pStyle w:val="875"/>
              <w:numPr>
                <w:ilvl w:val="0"/>
                <w:numId w:val="10"/>
              </w:numPr>
              <w:ind w:left="42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庭前准备：支持庭前准备功能，可跳转进入书记员客户端，并预先拉起庭审合成画面</w:t>
            </w:r>
            <w:r/>
          </w:p>
          <w:p>
            <w:pPr>
              <w:numPr>
                <w:ilvl w:val="0"/>
                <w:numId w:val="10"/>
              </w:numPr>
              <w:ind w:left="42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取消：支持取消排期，并根据原因进行取消，包括撤诉、改期、调解、其他</w:t>
            </w:r>
            <w:r/>
          </w:p>
          <w:p>
            <w:pPr>
              <w:pStyle w:val="875"/>
              <w:numPr>
                <w:ilvl w:val="0"/>
                <w:numId w:val="10"/>
              </w:numPr>
              <w:ind w:left="42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查看、笔录录像、补刻、删除：支持查看已结束的本地庭审案件记录，可根据案号、开庭时间、本地法庭、审判长、书记员、创建人、创建时间等信息进行检索；支持对案件进行详情查看、补刻录、笔录录像回看、删除等操作；</w:t>
            </w:r>
            <w:r/>
          </w:p>
          <w:p>
            <w:pPr>
              <w:numPr>
                <w:ilvl w:val="0"/>
                <w:numId w:val="10"/>
              </w:numPr>
              <w:ind w:left="42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归档：支持对已结束的庭审进行归档</w:t>
            </w:r>
            <w:r/>
          </w:p>
          <w:p>
            <w:pPr>
              <w:pStyle w:val="875"/>
              <w:numPr>
                <w:ilvl w:val="0"/>
                <w:numId w:val="10"/>
              </w:numPr>
              <w:ind w:left="42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庭前准备记录：支持展示庭前准备的记录，可根据案号、开庭时间、本地法庭、审判长、书记员、创建者、创建时间等字段等进行检索</w:t>
            </w:r>
            <w:r/>
          </w:p>
          <w:p>
            <w:pPr>
              <w:numPr>
                <w:ilvl w:val="0"/>
                <w:numId w:val="9"/>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远程提讯</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1）高级搜索：支持对远程提讯的案件进行排期管理，可按时间、案号、远程提讯室、审判长、书记员、开庭事项等条件进行案件检索；</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2）同步、删除、导出、新建：支持手动同步排期数据；支持导出、删除排期记录；支持创建排期，可选择本地法庭和远程提讯室；</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3）新建：支持手动创建排期，可选择本地法庭、远程提讯室、办案类型、提讯时间、审判员等信息；</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4）开始提讯：支持开始提讯，提讯可预设模板，模板可设置名称、画面合成风格，画面中对应成员，可预览画面</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5）取消、结束：支持取消排期记录，或手动结束提讯案件</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6）查看：支持查看已结束的远程提讯案件记录，可根据案号、开庭时间、本地提讯室、审判长、创建人、创建时间等字段进行检索</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7）查看、笔录录像、补刻、删除：支持查看已结束的远程提讯案件记录，可对案件进行详情查看、补刻录、笔录录像回看、删除等操作；</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8）提讯记录：支持补传笔录，下载笔录，下载录像，下载排期；支持手动补传录像；支持分享录像播放链接</w:t>
            </w:r>
            <w:r/>
          </w:p>
          <w:p>
            <w:pPr>
              <w:pStyle w:val="875"/>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（11）互联网庭审</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1）高级搜索：支持对互联网庭审的案件进行排期管理，可按时间、案号、本地法庭、审判长、书记员、开庭事项等条件进行案件检索；</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2）同步、删除、导出：支持手动同步排期数据；支持导出、删除排期记录；支持推送排期数据；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3）新建：支持创建排期，可添加本地法庭和互联网参与人；</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4）查看、笔录录像、补刻、删除：支持查看已结束的互联网庭审案件记录，可对案件进行详情查看、补刻录、笔录录像回看、删除等操作；</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5）取消、结束：支持取消排期，或手动结束案件</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6）庭审记录：支持对已结束的互联网庭审案件下载录像、下载笔录、补传笔录</w:t>
            </w:r>
            <w:r/>
          </w:p>
          <w:p>
            <w:pPr>
              <w:pStyle w:val="87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7）庭前准备记录：支持展示庭前准备的记录；</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（12）虚拟庭审</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1）高级搜索：支持对虚拟庭审的案件进行排期管理，可按时间、案号、本地法庭、审判长、书记员、开庭事项等条件进行案件检索；</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2）同步、删除、导出、新建：支持手动同步排期数据；支持导出、删除排期记录；可添加互联网参与人；</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3）查看、笔录录像、删除：支持查看已结束的虚拟庭审案件记录，可对案件进行详情查看、笔录录像回看、删除等操作；</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4）庭前准备记录：支持查看虚拟庭审庭前准备记录</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（13）融合庭审</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1）高级搜索：支持对融合庭审的案件进行排期管理，可按时间、案号、本地法庭、审判长、书记员、开庭事项等条件进行案件检索；</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2）同步、删除、导出：支持手动同步排期数据；支持导出、删除排期记录；</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3）新建：支持创建排期，可选择本地法庭、远程提讯室和互联网参与人；</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4）查看、笔录录像、补刻、删除：支持查看已结束的融合庭审案件记录，可对案件进行详情查看、补刻录、笔录录像回看、删除等操作；</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（14）播控管理</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1）直播管理：支持查看正在开庭的所有案件，可查看案件的实时图像、案件基本信息、实时笔录</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2）点播管理：支持查看已结案件的历次开庭记录，可查看历次案件的历史录像、案件基本信息、质证/庭审笔录、语音转写的全文笔录；</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3）下载：支持庭审笔录和庭审录像支持下载</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（15）房间状态</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1）法庭状态：支持查看本级及辖区法院的法庭状态，包括使用中、空闲、离线；</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2）庭审主机状态：支持进入正常的功能房间查看庭审主机的实时合成画面；</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3）目录树查找：支持根据单位目录树查找法院法庭</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4）开关机：支持对法庭设备进行远程开机或关机；</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（16）信息研判</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功能室统计：支持根据时间维度，统计各个法庭、提讯室等功能房间的使用情况、正点开庭率；使用情况可查看各功能房间进行各类型庭审的次数、办案总时长、平均办案时间、平均庭审时间、平均提讯时间、平均互联网庭审时间、平均融合庭审时间、平均虚拟庭审时间；整点开庭率统计各功能房间的整点开庭率，以柱状图形式展现；所有统计数据支持导出；</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2）案件统计：支持根据时间统计刑事、民事、行政等各类型案件的开庭数量，统计范围可包含辖区法院，支持统计数据导出并以柱状图形式呈现。</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3）办案统计：支持根据部门进行办案数据统计，可根据时间维度进行检索，以柱状图形式展示各个部门的办案统计数据，支持数据导出</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支持根据人员进行办案数据统计，可根据时间维度进行检索，以柱状图形式展示相关人员的办案统计数据，支持数据导出</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支持根据平均办案次数进行办案数据统计，案件包括刑事、民事、行政等类型进行划分。可根据时间维度进行检索，以柱状图形式展示各个案件类型的统计数据，支持数据导出</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支持根据平均办案时间进行办案数据统计，案件包括刑事、民事、行政等类型进行划分。可根据时间维度进行检索，以柱状图形式展示各个案件类型的平均办案时间，支持数据导出</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支持根据根据办案录像进行数据统计，统计基于人员进行独立统计，可统计相关人员的有录像和无录像办案次数，统计</w:t>
            </w:r>
            <w:r>
              <w:rPr>
                <w:rFonts w:hint="eastAsia" w:ascii="宋体" w:hAnsi="宋体" w:cs="宋体"/>
                <w:color w:val="auto"/>
                <w:sz w:val="21"/>
                <w:szCs w:val="21"/>
                <w:highlight w:val="none"/>
                <w:lang w:val="en-US" w:eastAsia="zh-CN"/>
              </w:rPr>
              <w:t xml:space="preserve">录像</w:t>
            </w:r>
            <w:r>
              <w:rPr>
                <w:rFonts w:hint="eastAsia" w:ascii="宋体" w:hAnsi="宋体" w:eastAsia="宋体" w:cs="宋体"/>
                <w:color w:val="auto"/>
                <w:sz w:val="21"/>
                <w:szCs w:val="21"/>
                <w:highlight w:val="none"/>
                <w:lang w:val="en-US" w:eastAsia="zh-CN"/>
              </w:rPr>
              <w:t xml:space="preserve">率，支持数据导出</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4）庭审记录统计：支持对庭审记录进行统计，可对某个法院进行全量办案数据统计，可根据案件类型查询单独案件类型开庭数量，可基于时间维度进行选择。</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（17）系统配置</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1）单位配置：支持配置单位信息，可录入单位名称、上级单位信息、法院代字、法院代码、法院分级码等信息</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2）部门配置：支持配置部门信息，可添加部门，并与单位进行关联</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3）角色配置：支持配置角色信息，角色可与页面权限</w:t>
            </w:r>
            <w:r>
              <w:rPr>
                <w:rFonts w:hint="eastAsia" w:ascii="宋体" w:hAnsi="宋体" w:cs="宋体"/>
                <w:color w:val="auto"/>
                <w:sz w:val="21"/>
                <w:szCs w:val="21"/>
                <w:highlight w:val="none"/>
                <w:lang w:val="en-US" w:eastAsia="zh-CN"/>
              </w:rPr>
              <w:t xml:space="preserve">进</w:t>
            </w:r>
            <w:r>
              <w:rPr>
                <w:rFonts w:hint="eastAsia" w:ascii="宋体" w:hAnsi="宋体" w:eastAsia="宋体" w:cs="宋体"/>
                <w:color w:val="auto"/>
                <w:sz w:val="21"/>
                <w:szCs w:val="21"/>
                <w:highlight w:val="none"/>
                <w:lang w:val="en-US" w:eastAsia="zh-CN"/>
              </w:rPr>
              <w:t xml:space="preserve">行绑定</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4）用户配置：支持配置用户信息，可创建用户，并于单位、部门、角色进行关联，可设置账号的有效期限和权限范围</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5）单位平台配置：支持设置系统关联的媒体平台类型，并可设置</w:t>
            </w:r>
            <w:r>
              <w:rPr>
                <w:rFonts w:hint="eastAsia" w:ascii="宋体" w:hAnsi="宋体" w:cs="宋体"/>
                <w:color w:val="auto"/>
                <w:sz w:val="21"/>
                <w:szCs w:val="21"/>
                <w:highlight w:val="none"/>
                <w:lang w:val="en-US" w:eastAsia="zh-CN"/>
              </w:rPr>
              <w:t xml:space="preserve">是</w:t>
            </w:r>
            <w:r>
              <w:rPr>
                <w:rFonts w:hint="eastAsia" w:ascii="宋体" w:hAnsi="宋体" w:eastAsia="宋体" w:cs="宋体"/>
                <w:color w:val="auto"/>
                <w:sz w:val="21"/>
                <w:szCs w:val="21"/>
                <w:highlight w:val="none"/>
                <w:lang w:val="en-US" w:eastAsia="zh-CN"/>
              </w:rPr>
              <w:t xml:space="preserve">否开启平台录像</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6）功能房间配置：支持设置法庭、提讯室等功能房间及坐席</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7）案件类型配置：支持设置案件类型配置，包括案件类型标识、案件类型名称、案件类型代字</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8）笔录</w:t>
            </w:r>
            <w:r>
              <w:rPr>
                <w:rFonts w:hint="eastAsia" w:ascii="宋体" w:hAnsi="宋体" w:eastAsia="宋体" w:cs="宋体"/>
                <w:color w:val="auto"/>
                <w:sz w:val="21"/>
                <w:szCs w:val="21"/>
                <w:highlight w:val="none"/>
              </w:rPr>
              <w:t xml:space="preserve">模板</w:t>
            </w:r>
            <w:r>
              <w:rPr>
                <w:rFonts w:hint="eastAsia" w:ascii="宋体" w:hAnsi="宋体" w:eastAsia="宋体" w:cs="宋体"/>
                <w:color w:val="auto"/>
                <w:sz w:val="21"/>
                <w:szCs w:val="21"/>
                <w:highlight w:val="none"/>
                <w:lang w:val="en-US" w:eastAsia="zh-CN"/>
              </w:rPr>
              <w:t xml:space="preserve">配置：支持设置笔录模板，可新建或删除笔录模板，模板可实现自动代入案号、案由、书记员等信息</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9）对接配置：支持案件排期、短信通知、互联网庭审、集中刻录主机、庭审直播等服务的对接配置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10）级联配置：支持级联服务配置，可配置上级服务器信息、下级服务器信息、路由表。服务器信息包括单位代码、服务器IP</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11）客户端版本配置：支持智能终端的客户端配置，可以根据终端的客户端环境（linux、国产化），设备架构（x86、arm）发布对应版本</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支持书记员客户端配置，可根据书记员电脑环境（linux、国产化）、设备架构（x86、arm）、笔录编辑工具（富文本、wps）发布对应版本</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支持虚拟庭审书记员客户端进行配置，可发布对应版本</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12）资源配置：支持对菜单资源进行配置，可设置名称、排序、类型等操作</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13）系统配置：支持logo、标题名称、互联网庭审、笔录前面等功能配置</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（18）设备接入配置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1）新媒体配置：对新媒体接入进行配置</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2）视讯平台配置：对MCU视讯平台进行配置</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3）监控平台配置：对监控管理平台进行配置</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4）会议终端配置：对接入的会议终端进行配置</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5）电源配置：对强电控制器进行配置</w:t>
            </w:r>
            <w:r/>
          </w:p>
          <w:p>
            <w:pPr>
              <w:pStyle w:val="87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6）签名</w:t>
            </w:r>
            <w:r>
              <w:rPr>
                <w:rFonts w:hint="eastAsia" w:ascii="宋体" w:hAnsi="宋体" w:cs="宋体"/>
                <w:color w:val="auto"/>
                <w:sz w:val="21"/>
                <w:szCs w:val="21"/>
                <w:highlight w:val="none"/>
                <w:lang w:val="en-US" w:eastAsia="zh-CN"/>
              </w:rPr>
              <w:t xml:space="preserve">板</w:t>
            </w:r>
            <w:r>
              <w:rPr>
                <w:rFonts w:hint="eastAsia" w:ascii="宋体" w:hAnsi="宋体" w:eastAsia="宋体" w:cs="宋体"/>
                <w:color w:val="auto"/>
                <w:sz w:val="21"/>
                <w:szCs w:val="21"/>
                <w:highlight w:val="none"/>
                <w:lang w:val="en-US" w:eastAsia="zh-CN"/>
              </w:rPr>
              <w:t xml:space="preserve">配置：对电子签名板</w:t>
            </w:r>
            <w:r>
              <w:rPr>
                <w:rFonts w:hint="eastAsia" w:ascii="宋体" w:hAnsi="宋体" w:cs="宋体"/>
                <w:color w:val="auto"/>
                <w:sz w:val="21"/>
                <w:szCs w:val="21"/>
                <w:highlight w:val="none"/>
                <w:lang w:val="en-US" w:eastAsia="zh-CN"/>
              </w:rPr>
              <w:t xml:space="preserve">进</w:t>
            </w:r>
            <w:r>
              <w:rPr>
                <w:rFonts w:hint="eastAsia" w:ascii="宋体" w:hAnsi="宋体" w:eastAsia="宋体" w:cs="宋体"/>
                <w:color w:val="auto"/>
                <w:sz w:val="21"/>
                <w:szCs w:val="21"/>
                <w:highlight w:val="none"/>
                <w:lang w:val="en-US" w:eastAsia="zh-CN"/>
              </w:rPr>
              <w:t xml:space="preserve">行配置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7）SVR配置：对SVR庭审主机进行配置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8）录像机配置：对会议录播设备进行配置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9）电子质证屏配置：对智能庭审终端进行配置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10）开庭公告屏配置：对开庭公告屏进行配置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11）AIBOX配置：对AIBOX设备进行配置</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12）人证核验配置：对人证核验设备进行配置</w:t>
            </w:r>
            <w:r/>
          </w:p>
          <w:p>
            <w:pPr>
              <w:pStyle w:val="87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bookmarkStart w:id="101" w:name="_Toc26534"/>
            <w:r>
              <w:rPr>
                <w:rFonts w:hint="eastAsia" w:ascii="宋体" w:hAnsi="宋体" w:eastAsia="宋体" w:cs="宋体"/>
                <w:color w:val="auto"/>
                <w:sz w:val="21"/>
                <w:szCs w:val="21"/>
                <w:highlight w:val="none"/>
              </w:rPr>
              <w:t xml:space="preserve">系统运维</w:t>
            </w:r>
            <w:bookmarkEnd w:id="101"/>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服务状态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支持查看庭审系统各类服务的名称、版本号、编译时间、启动时间</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）运行状态：支持查看庭审服务器的运行状态，包括CPU利用率、内存实时使用量、系统盘状态</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）网卡配置：支持网卡配置；</w:t>
            </w:r>
            <w:r/>
          </w:p>
          <w:p>
            <w:pPr>
              <w:pStyle w:val="875"/>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）SSH服务：支持SSH服务开启配置；</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）白名单配置：支持白名单配置；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（6）系统时间：支持系统时间配置；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（7）防火墙状态：支持防火墙状态配置；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（8）防火墙配置：支持防火墙配置；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（9）数据备份：支持数据备份；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（10）数据还原：支持数据还原；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（11）重启系统：支持系统重启，可重启当前服务器；</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（12）远程关机：支持远程关机</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（13）导出日志：支持日志导出，导出系统所有服务日志；</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（14）网络抓包：支持网络抓包；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（15）密码安全配置：支持密码安全性配置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（16）密码传输加密：支持密码传输加密方式配置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（17）密码时效性：支持密码时效性配置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（18）密码修改：支持首次登录强制修改密码配置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（19）存储容量：支持存储容量预警配置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（20）存储时间：支持日志存储时间配置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（21）操作超时：支持操作超时退出配置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（22）系统升级：支持上传升级包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（23）API管理：支持API对接配置，可配置服务名称、IP、开发单位、联系人、有效时间等信息</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15、数据备份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（1）业务数据备份：支持查看今日、本周、本月或自定义时间段查询庭审备份数据的状态，包括总庭次、备份成功数量、备份失败数量、备份中数量、待备份数量、未备份数量</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（2）业务数据备份：支持存储空间统计、可查看总容量多少，已用多少</w:t>
            </w:r>
            <w:r>
              <w:rPr>
                <w:rFonts w:hint="eastAsia" w:ascii="宋体" w:hAnsi="宋体" w:cs="宋体"/>
                <w:color w:val="auto"/>
                <w:sz w:val="21"/>
                <w:szCs w:val="21"/>
                <w:highlight w:val="none"/>
                <w:lang w:val="en-US" w:eastAsia="zh-CN"/>
              </w:rPr>
              <w:t xml:space="preserve">，满足54间融合法庭庭审录像本地化存储1PB空间要求。</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（3）浏览：支持以列表方式展示备份案件记录，可查看备份状态；可查看备份的笔录录像、手动备份。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（4）笔录录像：支持备份录像和笔录下载</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（5）日志管理</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1）操作日志：支持记录用户的操作行为，可根据用户、IP、模块、时间等检索用户操作记录，操作记录可查看操作时间、操作用户、IP地址、模块、操作描述等信息；</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2）导出、删除：操作日志支持导出或删除；</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3）查询、导出、删除：支持查看系统日志，可根据时间查询，日志可导出或删除；</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（6）诉服大厅公告功能：支持在诉讼服务大厅进行当日全量庭审的公告，可展示案号、案件名、开庭时间、开庭地点、法庭位置、开庭状态等。</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（7）数据迁移：开发定制庭审数据迁移工具，实现老庭审系统数据迁移至新庭审系统，实现数据无缝对接，不影响原有系统数据完整性。</w:t>
            </w:r>
            <w:r/>
          </w:p>
          <w:p>
            <w:pPr>
              <w:pStyle w:val="87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一张网对接：基于最高院“一张网”开发接口规范，开发对接实现一张网案件排期数据获取，法庭数据获取，庭审笔录和录像回传等功能。开发与“一张网”对接的配置页面功能；开发B/S架构的书记员客户端，实现与C/S书记员客户端一样的功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（9）短信平台对接：支持对接短信平台，实现互联网开庭发送短信功能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（10）国产化适配改造：适配国产化银河麒麟高级服务器操作系统、适配达梦国产化数据库、适配东方通国产化中间件及国产化海光、飞腾、鲲鹏处理器。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（11）登录页：支持用户手册下载、支持庭审客户端下载、支持相关设备驱动下载</w:t>
            </w:r>
            <w:r/>
          </w:p>
        </w:tc>
        <w:tc>
          <w:tcPr>
            <w:tcBorders>
              <w:top w:val="single" w:color="auto" w:sz="12" w:space="0"/>
            </w:tcBorders>
            <w:tcW w:w="384" w:type="pct"/>
            <w:vAlign w:val="center"/>
            <w:vMerge w:val="restart"/>
            <w:textDirection w:val="lrTb"/>
            <w:noWrap/>
          </w:tcPr>
          <w:p>
            <w:pPr>
              <w:pStyle w:val="1227"/>
              <w:spacing w:line="440" w:lineRule="exact"/>
              <w:rPr>
                <w:rFonts w:cs="宋体"/>
                <w:color w:val="auto"/>
                <w:szCs w:val="21"/>
                <w:highlight w:val="none"/>
              </w:rPr>
            </w:pPr>
            <w:r>
              <w:rPr>
                <w:rFonts w:cs="宋体"/>
                <w:color w:val="auto"/>
                <w:szCs w:val="21"/>
                <w:highlight w:val="none"/>
              </w:rPr>
              <w:t xml:space="preserve">1</w:t>
            </w:r>
            <w:r/>
          </w:p>
        </w:tc>
        <w:tc>
          <w:tcPr>
            <w:tcBorders>
              <w:top w:val="single" w:color="auto" w:sz="12" w:space="0"/>
            </w:tcBorders>
            <w:tcW w:w="384" w:type="pct"/>
            <w:vAlign w:val="center"/>
            <w:vMerge w:val="restart"/>
            <w:textDirection w:val="lrTb"/>
            <w:noWrap/>
          </w:tcPr>
          <w:p>
            <w:pPr>
              <w:pStyle w:val="1227"/>
              <w:spacing w:line="440" w:lineRule="exact"/>
              <w:rPr>
                <w:rFonts w:cs="宋体"/>
                <w:color w:val="auto"/>
                <w:szCs w:val="21"/>
                <w:highlight w:val="none"/>
              </w:rPr>
            </w:pPr>
            <w:r>
              <w:rPr>
                <w:rFonts w:cs="宋体"/>
                <w:color w:val="auto"/>
                <w:szCs w:val="21"/>
                <w:highlight w:val="none"/>
              </w:rPr>
              <w:t xml:space="preserve">套</w:t>
            </w:r>
            <w:r/>
          </w:p>
        </w:tc>
      </w:tr>
      <w:tr>
        <w:trPr>
          <w:trHeight w:val="346"/>
        </w:trPr>
        <w:tc>
          <w:tcPr>
            <w:tcW w:w="496"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531"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723" w:type="pct"/>
            <w:vAlign w:val="center"/>
            <w:textDirection w:val="lrTb"/>
            <w:noWrap/>
          </w:tcPr>
          <w:p>
            <w:pPr>
              <w:pStyle w:val="1227"/>
              <w:spacing w:line="440" w:lineRule="exact"/>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执法规范化平台</w:t>
            </w:r>
            <w:r/>
          </w:p>
        </w:tc>
        <w:tc>
          <w:tcPr>
            <w:tcW w:w="2477" w:type="pct"/>
            <w:vAlign w:val="center"/>
            <w:textDirection w:val="lrTb"/>
            <w:noWrap w:val="false"/>
          </w:tcPr>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1.首页</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1.1.单位名称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用户输入单位名称或时间搜索条件，平台根据输入条件展示目标数据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1.2.案件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支持根据单位名称和时间进行搜索，展示所属单位的案件数据。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支持根据单位名称和时间进行搜索，展示所属单位的警情数据。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1.4.六合一关联</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支持根据单位名称和时间进行搜索，展示所属单位的案件关联情况的统计数据。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1.5.警情关联</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支持根据单位名称和时间进行搜索，展示所属单位的警情关联情况的统计数据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1.6.视图文件摄录数量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支持根据单位名称和时间进行搜索，展示所属单位的视图文件摄录统计数据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1.7.资源类型分布</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支持根据单位名称和时间进行搜索，展示所属单位的视图文件分布情况，包括：资源类型、资源总数量、各类型资源的数量和占比</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1.8.视图文件摄录情况</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支持根据单位名称和时间进行搜索，通过柱状图展示所属单位所选时间段内每天的视音频文件、图片文件的上传量和平均每日上传量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1.9.执法仪实时在线情况</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展示所属单位的执法仪实时在线情况，包括：执法仪总数量、在线数量、离线数量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1.10.案件管理排序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展示所属单位的案件关联排序情况，支持三种排序方式，包括：按单位排序、按案事件总数量排序、按关联率排序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1.11.警情关联排序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展示所属单位的警情关联排序情况，支持三种排序方式，包括：按单位排序、按案事件总数量排序、按关联率排序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1.12.版本信息展示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系统支持展示版本信息，说明当下系统的前后端版本</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2.数据中心</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1.1.案事件资源</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支持根据查询条件，查询出目标案件；并且能够进行案件与视图文件的关联与解绑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1.2.案事件资源六合一</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1）支持案事件相关搜索功能。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2)类型：默认全部，包含全部、简易程序、强制措施。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3)决定书编号：支持全局模糊搜索。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4)违法时间：时间控件，精确到秒。</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5)开单时间：时间控件，精确到秒。</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6)单位名称：嵌入组织架构树，用户可以通过组织架构树搜索目标。</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7)警员：支持全局模糊搜索。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8)车牌号码：支持全局模糊搜索。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9)是否关联文件：默认全部，包含全部、是、否。</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10)取消关联：取消该资源与案事件的关联关系；</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11)详情：支持资源下载到本地，支持“取消关联”则取消该资源与案事件的关联关系；</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12）支持搜索不同设备类型的视频资源</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13)关联资源：建立该资源与案事件的关联关系；</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14）下载：支持下载关联音视频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15）操作日志：支持查看全部操作日志；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1.3.案事件资源警情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1)支持案事件资源警情的搜索。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2)类型：默认全部，包含全部、110、119、120、122。</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3)接警单编号：支持全局模糊搜索。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4)报警时间：时间控件，精确到秒。</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5)接警时间：时间控件，精确到秒。</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6)状态：默认全部，包含全部、未处理、处理中，已处理。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7)单位名称：嵌入组织架构树，用户可以通过组织架构树搜索目标。</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8)警员：支持全局模糊搜索。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9)是否关联文件：默认全部，包含全部、是、否。</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10)出警人：默认出警人是实际执法仪去处理的警员、或关联资源的拍摄警员，支持通过警员姓名或警号关键字搜索和继续添加警员。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11)处理时间：系统默认填充了当前时间；</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12)处理状态：系统默认填充了“处理中”状态，改为“已结束”后，不再出现此弹窗。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13)关闭“出警信息”弹窗，打开“关联详情”弹窗;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 当警情状态为“已处理”时，警情列表区域的操作项为详情，打开详情弹窗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15）显示警情详细信息，包括接警单编号、类型、报警时间、接警时间、报警内容等；</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16）展示已关联资源列表，显示已关联的视频、音频、图片资源；</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17)取消关联：当该资源若已关联该案事件，则显示的是“取消关联”，支持“取消关联”则取消该资源与案事件的关联关系；</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18）“出警记录”为在执法仪上去处理的人员信息、或平台手动补充的出警信息。</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19）若需关联更多资源，支持搜索不同设备类型的视频资源，选中资源后“关联资源”；</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20)关联资源：建立该资源与案事件的关联关系；</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21)“下载”：支持音视频资源下载；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22)“操作日志”：支持查看全部操作日志；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1.4.案事件认罪认罚</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支持在“认罪认罚”新建认罪认罚案件，或根据查询条件，查询出目标案件；并且能够进行案件与视图文件资源的关联与解绑，并支持扫码关联、案件下发关联、手动关联多种关联方式。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1.5.自定义案件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支持查询出目标案件/事件/任务，并且能够进行案件与视图文件资源的关联与解绑。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1.6.视图资源</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支持摄录资源按照设备类型分开展示，分为执法记录仪、智能头盔和车载记录仪、布控球。本文以执法记录仪为展示对象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1.7.视图资源搜索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a)起止日期：时间控件，用户选择起止时间，精确到秒。</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b)警员：支持全局模糊搜索。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c)单位名称：嵌入组织架构树，用户可以通过组织架构树搜索目标单位。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d)入库时间：时间控件，用户选择起止时间，精确到秒。</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e)文件名：支持全局模糊搜索。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f)设备：支持全局模糊搜索。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g)重点标记：包含全部、重点文件、普通文件、IMP重点。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h)采集方式：包含全部、其他、自动采集、手动采集。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i)存储位置：包含全部、视图库、采集站。</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j)文件标注：包括全部及所有标签。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k)是否关联案事件：默认全部，包含全部、是、否。</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1.8.视图资源排列方式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支持卡片模式切换，可查看视频缩略图。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1.9.摄录资源</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1)摄录资源管理页面，根据搜索条件搜索出目标视图文件。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2)列表模式下，摄录资源列表文件名或详情，卡片模式下，则可查看摄录资源详情。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(3)支持详情页弹窗后，同步播放视频（如若是音频则同步播放音频）。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(4)视频播放器右侧为文件信息，可修改文件到期时间、文件批注，以及更多操作，可下载、删除文件。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(5)摄录资源关联的案事件列表显示在下方：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a)已关联列表可在操作栏中取消；</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1.10.视图资源删除</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(1)摄录资源列表删除、或详情页中的删除，可以将摄录资源删除。</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(2)摄录资源列表/卡片模式下的卡片后，批量操作，批量删除，二次确认后即可批量删除文件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1.11.视图资源下载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(1)摄录资源列表右侧下载，将该视图下载至本地；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(2)摄录资源列表/卡片模式下的卡片后，批量操作，批量下载，即可批量下载所勾选文件。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1.12.视图资源修改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1)摄录资源列表区中到期时间超链接，可以修改文件的保存期限；如果用户选择永久存储，则对应文件保存到2099-12-31。</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(2)摄录资源列表/卡片模式下的卡片后，批量修改文件保存期限，即可批量修改所勾选文件的到期时间。</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1.13.视图资源文件批注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（1）摄录资源列表区或卡片模式、或详情页中的文件批注修改，可以修改文件的批注：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（2）在数据字典中可修改文件批注的类型，修改后，类型会显示在列表中。</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（3）摄录资源列表/卡片模式下的卡片后，批量修改文件批注，即可批量修改所勾选文件的文件批注。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1.14.视图资源重点标记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（1）摄录资源列表区或卡片模式的重点标记列的编辑图标或重点文件，可以修改文件重点标记：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（2）摄录资源列表区，若文件未被标记为重点文件，即将文件修改为“重点文件”，若文件已被标记为重点文件，勾选否，即将文件修改回“普通文件”。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（3）卡片模式，若文件未被标记为重点文件，重点标记将文件修改为“重点文件”；若文件已被标记为重点文件，取消重点标记将文件修改回普通文件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1.15.视图资源导出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支持导出文件信息，支持文件的列表信息导出；若未勾选任何文件，则将所筛选出来的所有文件信息导出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1.16.视图资源详情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支持打开此文件详情后操作日志可查看日志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1.17.视图资源上传</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当文件存储在采集站中，操作区存在上传中心存储；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(1)上传中心存储可以通知采集站将对应文件上传视图库</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1.18.视图资源导入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包括上传资源文件、拍摄人、拍摄开始时间、设备、文件标注、备注。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a)上传资源文件：支持音视频、图片常见格式，</w:t>
            </w:r>
            <w:r>
              <w:rPr>
                <w:rFonts w:hint="eastAsia" w:asciiTheme="minorEastAsia" w:hAnsiTheme="minorEastAsia" w:eastAsiaTheme="minorEastAsia" w:cstheme="minorEastAsia"/>
                <w:color w:val="auto"/>
                <w:sz w:val="21"/>
                <w:szCs w:val="21"/>
                <w:highlight w:val="none"/>
                <w:lang w:val="en-US" w:eastAsia="zh-CN"/>
              </w:rPr>
              <w:t xml:space="preserve">如</w:t>
            </w:r>
            <w:r>
              <w:rPr>
                <w:rFonts w:hint="eastAsia" w:asciiTheme="minorEastAsia" w:hAnsiTheme="minorEastAsia" w:eastAsiaTheme="minorEastAsia" w:cstheme="minorEastAsia"/>
                <w:color w:val="auto"/>
                <w:sz w:val="21"/>
                <w:szCs w:val="21"/>
                <w:highlight w:val="none"/>
              </w:rPr>
              <w:t xml:space="preserve">MOV、MP4、MP3、JPG等。</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b)拍摄人：默认当前登录人，可以修改。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c)设备：可以输入设备名称或设备编号</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3.数据统计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1.1.摄录情况统计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1)在平台上通过搜索条件，快速筛选出目标单位的进行统计，包括文件数量、文件大小、录制时长。</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(2)平台每天晚上会定时计算统计数据，所以当天的统计数据不支持查询操作。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(3)支持查询执法记录仪、智能头盔、车载记录仪的统计。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(4)支持查询单位数据详情列表、以及个人详情列表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1.2.关联情况统计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(1)该模块包含警情关联情况统计、案事件关联情况统计，两者都对接的现场可通过上方进行切换。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(2)在搜索区输入查询条件，可搜索统计数据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a)单位名称：嵌入组织架构树，用户可以通过鼠标滚动或搜索，选择目标单位。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b)时间范围：时间控件，精确到天，用户可以选择创建时间段。</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(3)警情列表，查看单位关联详情；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(4)可导出列表数据、列表详情数据。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(1)导出汇总信息：导出所有查询结果的报表数据。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(2)导出详细信息：导出统计到的案事件数据详情。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查询出的统计结果可分为列表模式与图表模式，列表模式则是通过树杈形式，统计每个层级部门的警情/案事件总数、已关联/未关联、关联率数据，其中，上级部门数据包含下级部门。图表模式则通过饼图、柱状图方式显示查询部门的数据、以及查询单位的下一级数据情况。</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1.3.图表、列表模式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切换图表模式与列表模式，图表模式下，纵轴为次数，横轴为所查询单位的下一级单位。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导出列表数据，或案件详情数据。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（4）查看案件列表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列表模式下“案件列表”，查看该行数据统计的具体案件信息。</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1.4.设备使用统计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(1)在平台上查询单位设备数量、以及查看单位设备详情。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(2)将列表页查询到的信息导出，包括导出汇总信息与导出详细信息两种方式。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(3)日志详情显示执法大数据个人统计情况，显示该单位该用户的领用次数、归还次数、断网次数、开机次数等指标</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4.监督中心</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1.1.抽查统计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（1）六合一：当前系统已对接六合一平台的情况下，视音频数据已关联至六合一执法信息，则在考核时、统计时，以六合一执法信息为维度进行考核与统计；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（2）警情：当前系统已对接警情相关平台的情况下，视音频数据已关联至警情执法信息，则在考核时、统计时，以警情执法信息为维度进行考核与统计；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（3）未对接执法信息：当前系统未对接执法仪信息的情况下，在考核与统计时以单个视频为维度进行考核与统计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1.2.抽查统计考评标签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管理人员或考核人员通过查询操作，查看某单位已考评的执法过程/视频文件中，考评未通过的标签分析</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1.3.抽查统计定向抽查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（1）定向抽查：提供全部文件列表，输入定向查询条件后，定向抽查具体执法信息/视频文件进行考评、核查。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（2）考评：未对接执法信息的时，考评人考评具体单个视频；已对接执法信息的时，考评关联该执法信息的多个视频文件；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（3）核查：对已考评的信息（核查他人的考评结果），核查人核查是否情况属实；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（4）查看：部门管理员查看本部门被考评、核查的结果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1.4.抽查统计考评统计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查看某一时间范围内，自己的音视频数据/已关联执法信息的音视频数据，被抽查、考评的数据情况，以及考评不通过的标签（原因）数据统计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1.5.抽查统计考评结果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（1）支持搜索查询条件。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5.基础设备管理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在平台上通过搜索条件，快速筛选出目标设备，平台目前支持执法记录仪、采集站、智能头盔。</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1.2.执法仪管理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(1)用户在设备搜索区输入查询条件，即可搜索出目标设备。</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1.3.执法仪详情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a)使用人单位：嵌入组织架构树，用户可以通过鼠标滚动或搜索，选择目标单位。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b)使用人：支持全局模糊搜索。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c)执法仪：支持全局模糊搜索。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d)设备国标状态：默认全部，包含全部、在用/在线、在用/离线、禁用。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e)拥用人单位：嵌入组织架构树，用户可以通过鼠标滚动或搜索，选择目标单位。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f)拥有人：支持全局模糊搜索。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g)国标ID：支持全局模糊搜索。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h)连接本平台状态：默认全部，包含全部、在线、离线</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1.4.执法仪配置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平台提供执法仪字段默认值编辑页面，可以维护平台配置、视频配置、音频配置、系统配置等参数，设备新增或同步至平台会继承默认值</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1.5.设备新增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(1)支持新增设备，填写配置信息后，通过系统校验后即可新增成功；</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1.6.设备</w:t>
            </w:r>
            <w:r>
              <w:rPr>
                <w:rFonts w:hint="eastAsia" w:asciiTheme="minorEastAsia" w:hAnsiTheme="minorEastAsia" w:eastAsiaTheme="minorEastAsia" w:cstheme="minorEastAsia"/>
                <w:color w:val="auto"/>
                <w:sz w:val="21"/>
                <w:szCs w:val="21"/>
                <w:highlight w:val="none"/>
                <w:lang w:eastAsia="zh-CN"/>
              </w:rPr>
              <w:t xml:space="preserve">模板</w:t>
            </w:r>
            <w:r>
              <w:rPr>
                <w:rFonts w:hint="eastAsia" w:asciiTheme="minorEastAsia" w:hAnsiTheme="minorEastAsia" w:eastAsiaTheme="minorEastAsia" w:cstheme="minorEastAsia"/>
                <w:color w:val="auto"/>
                <w:sz w:val="21"/>
                <w:szCs w:val="21"/>
                <w:highlight w:val="none"/>
              </w:rPr>
              <w:t xml:space="preserve">导入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2)填写基本信息如下：</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a)记录仪名称：最大长度40位。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b)记录仪密码：固定长度4位，用于锁屏后的解锁。</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c)记录仪编号：最大长度15位。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d)型号：二级联动下拉单选。</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e)单位名称：嵌入组织架构树，支持模糊搜索。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f)警员：支持模糊搜索。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1.7.设备配置保存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(1)支持设备配置信息修改与保存。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支持配置信息</w:t>
            </w:r>
            <w:r>
              <w:rPr>
                <w:rFonts w:hint="eastAsia" w:asciiTheme="minorEastAsia" w:hAnsiTheme="minorEastAsia" w:eastAsiaTheme="minorEastAsia" w:cstheme="minorEastAsia"/>
                <w:color w:val="auto"/>
                <w:sz w:val="21"/>
                <w:szCs w:val="21"/>
                <w:highlight w:val="none"/>
              </w:rPr>
              <w:t xml:space="preserve">可以远程推送给前端设备。</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(3)设备编辑参数支持4种：平台配置、视频配置、音频配置、系统配置。执法仪上线时即拉取平台中的配置，只拉取有值的参数，空值参数不拉取</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1.8.设备删除</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(1)支持设备删除；</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1.9.设备配置同步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(1)当设备连接状态是在线时，出现同步执法仪参数功能；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(2)用户同步执法仪参数，可以将设备端的信息同步至平台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1.10.设备导出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(1)平台支持将设备信息以EXCEL表格形式下载下来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1.11.采集站管理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(1)用户在设备搜索区输入查询条件，即可搜索出目标设备。</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(2)重置可快速清除已填写的搜索信息，提高检索速度。</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a)采集工作站编号：字符型，精确查询。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b)采集站名称：字符型，精确查询。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c)单位名称：嵌入组织架构树，用户可以通过鼠标滚动或搜索，选择目标单位。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d)状态：默认全部，包括全部、在用/在线、在用/离线、禁用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1.12.采集站新增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(1)支持采集站新增；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1.13.采集站详情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a)采集站编号：填写采集工作站编号。</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b)采集站名称：填写采集站名称。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c)单位名称：用户可以通过鼠标滚动或搜索。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d)IP地址：填写采集站设备IP。</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1.14.采集站配置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1)支持设备信息配置与修改。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2)编辑采集站支持设备配置和网络配置两种，支持下发采集站：</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3)采集站编号：采集工作站编号。</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4)采集站名称：采集站名称。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5)单位名称：用户可以通过滚动或搜索。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6)每天自动上传：默认立即上传。选择好对应时间即可；立即上传选项即可将摄录资源立即上传至视图库。</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7)视图库存储策略：默认仅重要文件备份至服务器，包括视图库备份、采集站备份、同时备份、仅重要文件备份至服务器。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8)数据清除策略：针对视图库存储策略选择“采集站备份、同时备份、仅重要文件备份至服务器”时，采集站数据清除策略，根据需要选择“超时覆盖、满覆盖”。</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9)覆盖周期：选择超时覆盖时，需要设置覆盖周期，输入1～180的整数。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10)文件删除方式：满覆盖或超时覆盖时，根据文件删除方式删除文件，下拉框操作，选项包括“全部删除、保留重点文件、保留未上传文件、仅保留未上传重点文件、保留重点文件及未上传文件”。</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11)设备状态同步平台心跳间隔：10s、20s、3s。</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12)IP地址：采集工作站IP地址。</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13)端口：采集工作站端口号。</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1.15.采集站删除</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(1)支持采集站删除功能。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1.16.用户关联</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(1)设备归属于部门，设备新增或导入时不再与警员强绑定。</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(2)当设备新增时填写了警员信息，则该警员既是拥有者又是使用者。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(3)当设备新增时没有填写警员信息，则该设备既没有拥有者也没有使用者。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(4)当设备在采集站中被领用了，则该设备有使用者但是没有拥有者。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(5)当用户在执法平台维护了用户后，则该用户被设置成拥有者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1.17.采集站参数同步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针对现场使用监控平台的情况；用户在监控平台中注册的设备信息会同步至该模块进行后续操作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6.安全审计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1.1.管理平台日志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支持平台对于用户的操作进行了详细的日志记录，包括在平台端和设备端的操作动作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1.2.设备日志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支持通过设备类型、操作时间快速查询用户操作执法记录仪、采集站的操作日志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1.3.站点日志管理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支持通过搜索条件快速查询用户对于执法仪在采集站上的插拔记录</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1.4.设备管控日志</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支持通过搜索条件快速查询用户对于执法仪的远程管控的日志记录</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7.系统管理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1.1.部门管理组织架构</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(2)部门编号，部门名称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1.2.部门新增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功能：支持部门进行新增。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1.3.部门批量录入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支持大批量的部门信息录入系统的操作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1.4.部门批量导出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支持将搜索出的部门信息导出系统的操作，支持Json与Excel格式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1.5.部门保存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支持设置部门管理员保存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1.6.批量有效无效</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部门管理列表，支持批量有效或批量无效操作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1.7.部门编辑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在部门管理列表的操作模块支持批量编辑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1.8.用户搜索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在平台上通过搜索条件，快速筛选出目标用户</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1.9.用户信息展示</w:t>
            </w:r>
            <w:r/>
          </w:p>
          <w:p>
            <w:pPr>
              <w:pStyle w:val="1227"/>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支持用户信息搜索并展示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1.10.用户权限</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支持用户名，初始密码，用户编号，所属部门，性别，邮箱，权限修改编辑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1.11.用户批量录入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支持用户编号，用户姓名，用户名，初始密码，所属部门编号，角色标识，性别批量录入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1.12.用户批量导出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支持用户名，用户姓名，用户编号，初始密码，性别，部门编号，用户角色，有效性批量导出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1.13.用户批量有效无效</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支持批量有效或批量无效操作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1.14.用户编辑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支持用户信息编辑修改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1.15.角色搜索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支持在平台上通过搜索条件，快速筛选出目标角色</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1.16.角色绑定</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支持角色名称、角色标识、角色类型、所属项目、有效性、操作（详情、编辑、设为无效、绑定资源）角色绑定</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1.17.角色备注保存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支持角色名称，角色标识，角色类型，所属项目，角色排序备注保存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1.18.角色录入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支持角色名称，角色标识，角色类型，有效性录入功能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1.19.角色导出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支持角色名称，角色标识，角色类型，有效性导出功能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1.20.角色批量有效无效</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支持批量有效或批量无效操作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1.21.角色编辑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支持修改角色信息</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1.22.角色资源绑定</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支持角色资源绑定功能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1.23.资源搜索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支持资源搜索功能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1.24.资源详情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支持操作资源名称、资源标识、资源地址、资源类型、资源排序、有效性、</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1.25.资源保存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支持资源保存功能。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1.26.资源录入</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支持资源录入功能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1.27.资源导出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支持资源导出功能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1.28.资源批量有效无效</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支持批量有效或批量无效操作</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1.29.资源编辑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支持资源编辑功能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8.数据字典</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1.1.数据搜索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支持数据搜索功能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1.2.新增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支持数据新增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1.3.查询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支持数据字典查询。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1.4.编辑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支持数据编辑功能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1.5.状态</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支持字典状态修改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9.存储目录管理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1.1.数据展示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支持展示当前实时的存储容量使用情况，存储服务器的在线情况以及存储容量使用的日趋势图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1.2.新增、测试、编辑、删除</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（2）新增，地址、IP、端口、远程账号、密码</w:t>
            </w:r>
            <w:r>
              <w:rPr>
                <w:rFonts w:hint="eastAsia" w:asciiTheme="minorEastAsia" w:hAnsiTheme="minorEastAsia" w:eastAsiaTheme="minorEastAsia" w:cstheme="minorEastAsia"/>
                <w:color w:val="auto"/>
                <w:sz w:val="21"/>
                <w:szCs w:val="21"/>
                <w:highlight w:val="none"/>
                <w:lang w:eastAsia="zh-CN"/>
              </w:rPr>
              <w:t xml:space="preserve">等</w:t>
            </w:r>
            <w:r>
              <w:rPr>
                <w:rFonts w:hint="eastAsia" w:asciiTheme="minorEastAsia" w:hAnsiTheme="minorEastAsia" w:eastAsiaTheme="minorEastAsia" w:cstheme="minorEastAsia"/>
                <w:color w:val="auto"/>
                <w:sz w:val="21"/>
                <w:szCs w:val="21"/>
                <w:highlight w:val="none"/>
              </w:rPr>
              <w:t xml:space="preserve">信息可进行新增。</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（3）测试，可测试访问服务器是否成功，如果成功则会提示目录访问成功。</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（4）编辑，可编辑目录地址、IP、端口、远程账号、密码</w:t>
            </w:r>
            <w:r>
              <w:rPr>
                <w:rFonts w:hint="eastAsia" w:asciiTheme="minorEastAsia" w:hAnsiTheme="minorEastAsia" w:eastAsiaTheme="minorEastAsia" w:cstheme="minorEastAsia"/>
                <w:color w:val="auto"/>
                <w:sz w:val="21"/>
                <w:szCs w:val="21"/>
                <w:highlight w:val="none"/>
                <w:lang w:eastAsia="zh-CN"/>
              </w:rPr>
              <w:t xml:space="preserve">等</w:t>
            </w:r>
            <w:r>
              <w:rPr>
                <w:rFonts w:hint="eastAsia" w:asciiTheme="minorEastAsia" w:hAnsiTheme="minorEastAsia" w:eastAsiaTheme="minorEastAsia" w:cstheme="minorEastAsia"/>
                <w:color w:val="auto"/>
                <w:sz w:val="21"/>
                <w:szCs w:val="21"/>
                <w:highlight w:val="none"/>
              </w:rPr>
              <w:t xml:space="preserve">信息。</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（5）删除，可删除对应服务器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10.升级版本管理</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执法仪、采集站通过平台发送采集站升级包升级</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11.系统配置</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支持在该模块设置相关基础参数（基本参数配置、预警参数配置、登录与系统配置、采集站密码配置、文案修改配置、资源管理配置），方便系统使用</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12.指挥调度</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1.1.图上设备框选</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(3)设备框选：可以采用矩形、圆形、多边形方式框选设备，进行群组创建。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(4)测距：利用鼠标在地图中划线，自动计算线路长度。</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(5)截图：可以将图片截图并下载。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(6)设备图层：支持通过选中设备图标，设备上图、或取消设备上图。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(7)图标显示设置：可以选择仅显示图标、显示警员信息或显示设备名称。</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1.2.图上设备状态</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地图页面展示执法记录仪、车载NVR、车载记录仪、布控球点位信息，在线设备高亮显示，离线设备置灰展示。点位出现密集的情况时，平台支持点位的聚合展示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1.3.图上设备树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支持执法仪、智能头盔、车载记录仪、布控球4种类型设备，根据现场需要，接入不同设备。</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1.4.图上定位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支持设备树选中设备自动定位上图；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或在地图上选择该设备，在地图中定位设备</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1.5.地图播放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支持地图上播放设备视频，支持4画面播放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1.6.语音通话</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支持设备与平台语音通话</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1.7.实时轨迹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支持地图上播放设备的实时轨迹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1.8.图上讨论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支持地图上不同设备之间的群组讨论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1.9.即时通讯</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支持群组、一对一会话聊天，包含：发送图片、发送文件、截图、查看历史聊天记录、发送短语音/PTT对讲功能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1.10.历史轨迹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支持多设备同时刻画历史轨迹，历史轨迹播放时显示时间轴，并可调整时间轴播放轨迹。支持暂停、快进/快退、倍速、快速定位设备等功能</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1.11.历史视频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默认显示该台设备的近2小时、5小时、12小时的视频，也可自定义查找该台设备的历史视频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1.12.设备收藏夹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(1)支持设备快速建立收藏夹便于查找播放。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(2)在设备列表等区域，可选择设备进行收藏，支持不同设备类型，在此处管理收藏夹与设备分组。</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(3)支持删除或重命名收藏夹。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(4)设备可收藏至多个收藏夹内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1.13.通讯录搜索</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在通讯录搜索区搜索关键字，可以搜索对应群聊、人员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1.14.电子围栏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显示出当日实时的电子围栏告警消息，消息包括电子围栏名称、告警设备名称、告警时间。</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1.2.1.1.窗口播放</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1)标题</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窗口显示窗口顺序，当该窗口有视频源播放时，显示设备名称、是否有声音的标示。</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(2)关闭</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支持关闭播放窗口。</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(3)通话</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支持与当前画面进行一对一通话。当前只能进行一对一语音通话，在与其他画面通话、或翻页时，会挂掉该通话</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1.15.一键收藏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(1)将该设备收藏至默认收藏夹</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1.16.人员执勤管控</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支持设置新的电子围栏，电子围栏形状可以有矩形、圆形、多边形、线形、缓冲区等形态，编辑时，选择“人员执勤管控”</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1.17.指令下发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通过设置电子围栏，在监测到人员进出某个区域时，下发开启或关闭人员抓拍、车辆抓拍功能的管控指令</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1.18.电子围栏编辑</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用户可以查看和编辑本人新建的电子围栏和自己权限范围内的全部电子围栏</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1.19.人员库查看</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用户可以查看和编辑本人新建的人员库和自己权限范围内的全部人员库</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1.20.布控任务</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用户可以查看本人新建的布控任务和自己权限范围内的布控任务，可以进行布控任务的下发设置、查看布控相关信息及告警和撤控</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1.21.人脸告警</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显示出当日实时的人脸告警消息，包括人脸名称、告警时间。</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1.22.告警详情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列表页按照告警时间排序，展示单个告警的目标图、相似度、拍摄时间、拍摄人及单位。</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1.23.车辆库查看</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用户可以查看和编辑本人新建的车辆库和自己权限范围内的全部车辆库</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1.24.车辆布控</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用户可以查看本人新建的布控任务和自己权限范围内的车辆布控任务，可以进行车辆布控任务的下发设置、查看布控相关信息及告警和撤控</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1.25.车辆告警详情</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显示出当日实时的车辆告警消息，包括人脸名称、告警时间。</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1.26.历史告警</w:t>
            </w:r>
            <w:r/>
          </w:p>
          <w:p>
            <w:pPr>
              <w:pStyle w:val="1227"/>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用户可以查看一定时间段内，在他权限范围内的布控任务产生的历史的告警消息</w:t>
            </w:r>
            <w:r/>
          </w:p>
        </w:tc>
        <w:tc>
          <w:tcPr>
            <w:tcW w:w="384"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384"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r>
      <w:tr>
        <w:trPr>
          <w:trHeight w:val="1440"/>
        </w:trPr>
        <w:tc>
          <w:tcPr>
            <w:tcW w:w="496"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531"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723" w:type="pct"/>
            <w:vAlign w:val="center"/>
            <w:textDirection w:val="lrTb"/>
            <w:noWrap/>
          </w:tcPr>
          <w:p>
            <w:pPr>
              <w:pStyle w:val="1227"/>
              <w:spacing w:line="440" w:lineRule="exact"/>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诉保系统</w:t>
            </w:r>
            <w:r/>
          </w:p>
        </w:tc>
        <w:tc>
          <w:tcPr>
            <w:tcW w:w="2477" w:type="pct"/>
            <w:vAlign w:val="center"/>
            <w:textDirection w:val="lrTb"/>
            <w:noWrap w:val="false"/>
          </w:tcPr>
          <w:p>
            <w:pPr>
              <w:numPr>
                <w:ilvl w:val="0"/>
                <w:numId w:val="11"/>
              </w:numPr>
              <w:rPr>
                <w:rFonts w:hint="eastAsia" w:ascii="宋体" w:hAnsi="宋体" w:eastAsia="宋体" w:cs="宋体"/>
                <w:color w:val="auto"/>
                <w:sz w:val="21"/>
                <w:szCs w:val="21"/>
                <w:highlight w:val="none"/>
                <w:lang w:eastAsia="zh-CN"/>
              </w:rPr>
            </w:pPr>
            <w:r/>
            <w:bookmarkStart w:id="102" w:name="_Toc22863"/>
            <w:r>
              <w:rPr>
                <w:rFonts w:hint="eastAsia" w:ascii="宋体" w:hAnsi="宋体" w:eastAsia="宋体" w:cs="宋体"/>
                <w:color w:val="auto"/>
                <w:sz w:val="21"/>
                <w:szCs w:val="21"/>
                <w:highlight w:val="none"/>
              </w:rPr>
              <w:t xml:space="preserve">立案数据同步</w:t>
            </w:r>
            <w:bookmarkEnd w:id="102"/>
            <w:r>
              <w:rPr>
                <w:rFonts w:hint="eastAsia" w:ascii="宋体" w:hAnsi="宋体" w:eastAsia="宋体" w:cs="宋体"/>
                <w:color w:val="auto"/>
                <w:sz w:val="21"/>
                <w:szCs w:val="21"/>
                <w:highlight w:val="none"/>
                <w:lang w:eastAsia="zh-CN"/>
              </w:rPr>
              <w:t xml:space="preserve">：</w:t>
            </w:r>
            <w:r/>
          </w:p>
          <w:p>
            <w:pPr>
              <w:pStyle w:val="905"/>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负责申请保全的立案数据同步管理，保障数据及时、精准流转至平台，为后续案件业务处理提供可靠数据支撑；</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2、诉保案件管理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负责诉保案件全流程关键操作与状态可视化管理，为办案人员提供高效案件管控支撑，保障案件处理及时性；</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3、裁定文书批量自动生成</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自动抓取案件基础信息与当事人详细信息，按配置的文书模板批量生成对应的保全裁定书；支持生成后的文书一键提交盖章操作，实现文书生成、提交、盖章的全流程闭环管理。</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4、裁定书批量预览</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支持办案人员批量勾选已生成的保全裁定书进行批量预览，便于快速检查文书内容并发现问题；可直接在线对文书内容进行修改调整，修改完成后同步完成保存操作。</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5、自动催费</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办案人员完成裁定文书内容确认且无异议后，平台将自动提取案件与当事人相关信息，生成并发送催费通知，无需人工手动发起。</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6、一键批量转立案</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系统自动识别并更新当事人缴费成功的案件状态，办案人员可基于该状态，对符合条件的案件执行一键批量操作，快速发起执保立案流程，</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7、自动化批量执保立案</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系统接收到执保立案任务后，自动启动批量立案流程，完成案件信息的标准化录入；立案操作完成后，同步回填生成的立案案号，确保立案全流程闭环管理</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8、自动/手动批量发起网络查询</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系统可根据预设配置，定时自动对已执保立案的案件发起网络查询任务；同时支持办案人员根据业务需求，手动批量发起针对性的网络查询操作</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9、获取网络查询结果</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根据网络查询任务发起状态，自动生成网络查询结果反馈任务、获取查询结果；</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系统实时监测已发起的网络查询任务状态，自动触发结果反馈任务；通过该任务完成网络查询结果的获取、汇总，为后续案件处理提供数据支撑。</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10、自动/手动批量发起网络冻结</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网络查询任务完成并获取结果后，系统可依据配置自动发起批量网络冻结操作；同时支持办案人员根据案件实际需求，手动批量发起网络冻结任务</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11、获取网络冻结结果</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系统持续监测已发起的网络冻结任务状态，自动触发结果查询任务；完成冻结结果的获取，同步将结果反馈至系统，并生成冻结结果明细，方便办案人员查阅与后续处置</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12、执保文书批量生成及回传</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根据案件执保进度与实际需求，批量生成查封文书、解封文书及各类送达文书；文书生成后自动回传至系统案件，支持办案人员使用</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13、外地不动产、车辆委托查封批量处理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自动识别案件中的外地不动产与车辆信息，依据资产地址匹配对应管辖的委托法院；批量发起跨区域查封委托申请，同步跟踪委托办理进度；获取委托法院的处理结果后，自动将结果回填至系统，形成委托查封全流程闭环</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14、本地不动产查封批量处理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针对本地不动产资产的批量查封管理，实现查封流程标准化、文书生成自动化，保障本地财产管控高效落地；</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系统根据资产地址自动解析识别本地不动产，批量生成对应的查封文书，直接提交至本地查封，通过点对点发起查封操作，同步跟踪查封进度并记录至系统。</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15、保全结果告知书自动生成及送达</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系统自动整合案件财产线索信息、网络冻结结果、不动产查封结果等核心数据，批量生成保全结果告知书；</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16、一键结案</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办案人员筛选系统内已完成财产查封、冻结、文书送达等全部执保流程的案件，批量勾选后操作一键结案；系统自动生成标准化结案任务，同步完成结案信息归档。</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17、一键归档</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办案人员筛选已办结的执保案件进行批量勾选，发起一键归档操作；系统自动生成标准化归档任务，对案件的文书、流程记录、处置结果等进行归档存储，支持后续调阅与核查</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18、执保系统可视化监管大屏</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实时展示执保案件的整体执行进度、案件流转效率；自动生成案件处理量的同比、环比分析图表，支持多维度数据筛选，直观呈现业务运行态势，辅助领导研判决策</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19、用户管理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实现用户账号使用和权限分配，具体可进行新增、修改、删除、修改密码、禁用账户和启用账户、授权不同用户权限，实现用户的有效管理</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20、菜单管理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负责系统菜单的全流程配置与维护，具体可进行菜单的新增、修改、删除，实现菜单结构的灵活调整与管控</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21、部门管理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负责部门权限配置与部门数据管理，具体可进行部门的新增、删除、修改、可授权部门的使用权限</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22、角色管理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负责权限精细化管控与用户角色分配，支持用户角色的灵活分配和管理，可进行新增、删除、修改、授权用户；</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模板</w:t>
            </w:r>
            <w:r>
              <w:rPr>
                <w:rFonts w:hint="eastAsia" w:ascii="宋体" w:hAnsi="宋体" w:eastAsia="宋体" w:cs="宋体"/>
                <w:color w:val="auto"/>
                <w:sz w:val="21"/>
                <w:szCs w:val="21"/>
                <w:highlight w:val="none"/>
                <w:lang w:val="en-US" w:eastAsia="zh-CN"/>
              </w:rPr>
              <w:t xml:space="preserve">类型管理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实现模板类型的全流程配置与授权管控，支撑业务场景下的模块灵活调用，可配置多样化的</w:t>
            </w:r>
            <w:r>
              <w:rPr>
                <w:rFonts w:hint="eastAsia" w:ascii="宋体" w:hAnsi="宋体" w:cs="宋体"/>
                <w:color w:val="auto"/>
                <w:sz w:val="21"/>
                <w:szCs w:val="21"/>
                <w:highlight w:val="none"/>
                <w:lang w:val="en-US" w:eastAsia="zh-CN"/>
              </w:rPr>
              <w:t xml:space="preserve">模板</w:t>
            </w:r>
            <w:r>
              <w:rPr>
                <w:rFonts w:hint="eastAsia" w:ascii="宋体" w:hAnsi="宋体" w:eastAsia="宋体" w:cs="宋体"/>
                <w:color w:val="auto"/>
                <w:sz w:val="21"/>
                <w:szCs w:val="21"/>
                <w:highlight w:val="none"/>
                <w:lang w:val="en-US" w:eastAsia="zh-CN"/>
              </w:rPr>
              <w:t xml:space="preserve">类型，新增、删除、修改和</w:t>
            </w:r>
            <w:r>
              <w:rPr>
                <w:rFonts w:hint="eastAsia" w:ascii="宋体" w:hAnsi="宋体" w:cs="宋体"/>
                <w:color w:val="auto"/>
                <w:sz w:val="21"/>
                <w:szCs w:val="21"/>
                <w:highlight w:val="none"/>
                <w:lang w:val="en-US" w:eastAsia="zh-CN"/>
              </w:rPr>
              <w:t xml:space="preserve">模板</w:t>
            </w:r>
            <w:r>
              <w:rPr>
                <w:rFonts w:hint="eastAsia" w:ascii="宋体" w:hAnsi="宋体" w:eastAsia="宋体" w:cs="宋体"/>
                <w:color w:val="auto"/>
                <w:sz w:val="21"/>
                <w:szCs w:val="21"/>
                <w:highlight w:val="none"/>
                <w:lang w:val="en-US" w:eastAsia="zh-CN"/>
              </w:rPr>
              <w:t xml:space="preserve">授权，保障业务使用时能按需调用对应模板</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24、文书</w:t>
            </w:r>
            <w:r>
              <w:rPr>
                <w:rFonts w:hint="eastAsia" w:ascii="宋体" w:hAnsi="宋体" w:cs="宋体"/>
                <w:color w:val="auto"/>
                <w:sz w:val="21"/>
                <w:szCs w:val="21"/>
                <w:highlight w:val="none"/>
                <w:lang w:val="en-US" w:eastAsia="zh-CN"/>
              </w:rPr>
              <w:t xml:space="preserve">模板</w:t>
            </w:r>
            <w:r>
              <w:rPr>
                <w:rFonts w:hint="eastAsia" w:ascii="宋体" w:hAnsi="宋体" w:eastAsia="宋体" w:cs="宋体"/>
                <w:color w:val="auto"/>
                <w:sz w:val="21"/>
                <w:szCs w:val="21"/>
                <w:highlight w:val="none"/>
                <w:lang w:val="en-US" w:eastAsia="zh-CN"/>
              </w:rPr>
              <w:t xml:space="preserve">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支持</w:t>
            </w:r>
            <w:r>
              <w:rPr>
                <w:rFonts w:hint="eastAsia" w:ascii="宋体" w:hAnsi="宋体" w:cs="宋体"/>
                <w:color w:val="auto"/>
                <w:sz w:val="21"/>
                <w:szCs w:val="21"/>
                <w:highlight w:val="none"/>
                <w:lang w:val="en-US" w:eastAsia="zh-CN"/>
              </w:rPr>
              <w:t xml:space="preserve">模板</w:t>
            </w:r>
            <w:r>
              <w:rPr>
                <w:rFonts w:hint="eastAsia" w:ascii="宋体" w:hAnsi="宋体" w:eastAsia="宋体" w:cs="宋体"/>
                <w:color w:val="auto"/>
                <w:sz w:val="21"/>
                <w:szCs w:val="21"/>
                <w:highlight w:val="none"/>
                <w:lang w:val="en-US" w:eastAsia="zh-CN"/>
              </w:rPr>
              <w:t xml:space="preserve">上传与规范化管理，为各业务使用场景提供精准的</w:t>
            </w:r>
            <w:r>
              <w:rPr>
                <w:rFonts w:hint="eastAsia" w:ascii="宋体" w:hAnsi="宋体" w:cs="宋体"/>
                <w:color w:val="auto"/>
                <w:sz w:val="21"/>
                <w:szCs w:val="21"/>
                <w:highlight w:val="none"/>
                <w:lang w:val="en-US" w:eastAsia="zh-CN"/>
              </w:rPr>
              <w:t xml:space="preserve">模板支持</w:t>
            </w:r>
            <w:r>
              <w:rPr>
                <w:rFonts w:hint="eastAsia" w:ascii="宋体" w:hAnsi="宋体" w:eastAsia="宋体" w:cs="宋体"/>
                <w:color w:val="auto"/>
                <w:sz w:val="21"/>
                <w:szCs w:val="21"/>
                <w:highlight w:val="none"/>
                <w:lang w:val="en-US" w:eastAsia="zh-CN"/>
              </w:rPr>
              <w:t xml:space="preserve">。可进行新增、修改、删除、上传、</w:t>
            </w:r>
            <w:r>
              <w:rPr>
                <w:rFonts w:hint="eastAsia" w:ascii="宋体" w:hAnsi="宋体" w:cs="宋体"/>
                <w:color w:val="auto"/>
                <w:sz w:val="21"/>
                <w:szCs w:val="21"/>
                <w:highlight w:val="none"/>
                <w:lang w:val="en-US" w:eastAsia="zh-CN"/>
              </w:rPr>
              <w:t xml:space="preserve">同时</w:t>
            </w:r>
            <w:r>
              <w:rPr>
                <w:rFonts w:hint="eastAsia" w:ascii="宋体" w:hAnsi="宋体" w:eastAsia="宋体" w:cs="宋体"/>
                <w:color w:val="auto"/>
                <w:sz w:val="21"/>
                <w:szCs w:val="21"/>
                <w:highlight w:val="none"/>
                <w:lang w:val="en-US" w:eastAsia="zh-CN"/>
              </w:rPr>
              <w:t xml:space="preserve">有下载文书功能，以保障业务场景下的便捷使用</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25、文书节点管理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负责文书节点管理，通过节点配置实现对应节点文书模板的精准调取，保证生成文书的准确性，可进行编辑节点和文书的联动</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26、标签管理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负责当事人标签与案件标签的标准化配置，通过标签精准关联对应业务流程，保障事务处理的规范性与高效性。可进行新增、修改、删除</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27、委托法院管理</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负责系统内所有案件关联委托法院的数据规范化维护，保障委托法院信息的准确性与完整性。可对委托法院数据进行全流程维护，支持新增、修改</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28、字典管理</w:t>
            </w:r>
            <w:r/>
          </w:p>
          <w:p>
            <w:pPr>
              <w:pStyle w:val="905"/>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系统内各类业务配置项的字典化管理，通过标准化的字典管控，实现核心数据的规范梳理与高效管控。可进行相关字典的新增、编辑、删除、可对字典关联数据进行集中维护，保障数据管理的有序性与精准性，为业务运转提供可靠的数据支持</w:t>
            </w:r>
            <w:r/>
          </w:p>
          <w:p>
            <w:pPr>
              <w:pStyle w:val="905"/>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29、配置管理</w:t>
            </w:r>
            <w:r/>
          </w:p>
          <w:p>
            <w:pPr>
              <w:pStyle w:val="905"/>
              <w:ind w:left="0" w:firstLine="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负责系统内任务流程、任务走向及各类表达式的标准化配置，通过精准配置保障任务流转的规范性与业务逻辑的顺畅性。可进行新增、修改，确保配置内容与业务需求精准匹配</w:t>
            </w:r>
            <w:r/>
          </w:p>
        </w:tc>
        <w:tc>
          <w:tcPr>
            <w:tcW w:w="384"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384"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r>
      <w:tr>
        <w:trPr>
          <w:trHeight w:val="1440"/>
        </w:trPr>
        <w:tc>
          <w:tcPr>
            <w:tcW w:w="496"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531"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723" w:type="pct"/>
            <w:vAlign w:val="center"/>
            <w:textDirection w:val="lrTb"/>
            <w:noWrap/>
          </w:tcPr>
          <w:p>
            <w:pPr>
              <w:pStyle w:val="1227"/>
              <w:spacing w:line="440" w:lineRule="exact"/>
              <w:rPr>
                <w:rFonts w:hint="default" w:cs="宋体"/>
                <w:color w:val="auto"/>
                <w:szCs w:val="21"/>
                <w:highlight w:val="none"/>
                <w:lang w:val="en-US" w:eastAsia="zh-CN"/>
              </w:rPr>
            </w:pPr>
            <w:r>
              <w:rPr>
                <w:rFonts w:hint="eastAsia" w:cs="宋体"/>
                <w:color w:val="auto"/>
                <w:szCs w:val="21"/>
                <w:highlight w:val="none"/>
                <w:lang w:val="en-US" w:eastAsia="zh-CN"/>
              </w:rPr>
              <w:t xml:space="preserve">智能体</w:t>
            </w:r>
            <w:r/>
          </w:p>
        </w:tc>
        <w:tc>
          <w:tcPr>
            <w:tcW w:w="2477" w:type="pct"/>
            <w:vAlign w:val="center"/>
            <w:textDirection w:val="lrTb"/>
            <w:noWrap w:val="false"/>
          </w:tcPr>
          <w:p>
            <w:pPr>
              <w:rPr>
                <w:rFonts w:hint="default"/>
                <w:color w:val="auto"/>
                <w:highlight w:val="none"/>
                <w:lang w:val="en-US" w:eastAsia="zh-CN"/>
              </w:rPr>
            </w:pPr>
            <w:r>
              <w:rPr>
                <w:rFonts w:hint="eastAsia"/>
                <w:color w:val="auto"/>
                <w:highlight w:val="none"/>
                <w:lang w:val="en-US" w:eastAsia="zh-CN"/>
              </w:rPr>
              <w:t xml:space="preserve">一、智能体</w:t>
            </w:r>
            <w:r/>
          </w:p>
          <w:p>
            <w:pPr>
              <w:rPr>
                <w:rFonts w:hint="eastAsia"/>
                <w:color w:val="auto"/>
                <w:highlight w:val="none"/>
                <w:lang w:val="en-US" w:eastAsia="zh-CN"/>
              </w:rPr>
            </w:pPr>
            <w:r>
              <w:rPr>
                <w:rFonts w:hint="eastAsia"/>
                <w:color w:val="auto"/>
                <w:highlight w:val="none"/>
                <w:lang w:val="en-US" w:eastAsia="zh-CN"/>
              </w:rPr>
              <w:t xml:space="preserve">1、执保中心智能体：执保中心相关辅助事项的自动化处理</w:t>
            </w:r>
            <w:r/>
          </w:p>
          <w:p>
            <w:pPr>
              <w:rPr>
                <w:rFonts w:hint="eastAsia"/>
                <w:color w:val="auto"/>
                <w:highlight w:val="none"/>
                <w:lang w:val="en-US" w:eastAsia="zh-CN"/>
              </w:rPr>
            </w:pPr>
            <w:r>
              <w:rPr>
                <w:rFonts w:hint="eastAsia"/>
                <w:color w:val="auto"/>
                <w:highlight w:val="none"/>
                <w:lang w:val="en-US" w:eastAsia="zh-CN"/>
              </w:rPr>
              <w:t xml:space="preserve">2、执行局智能体：执行局相关辅助事项的自动化处理</w:t>
            </w:r>
            <w:r/>
          </w:p>
          <w:p>
            <w:pPr>
              <w:rPr>
                <w:rFonts w:cs="宋体"/>
                <w:color w:val="auto"/>
                <w:szCs w:val="21"/>
                <w:highlight w:val="none"/>
                <w:lang w:bidi="ar"/>
              </w:rPr>
            </w:pPr>
            <w:r>
              <w:rPr>
                <w:rFonts w:hint="eastAsia"/>
                <w:color w:val="auto"/>
                <w:highlight w:val="none"/>
                <w:lang w:val="en-US" w:eastAsia="zh-CN"/>
              </w:rPr>
              <w:t xml:space="preserve">3、审理智能体：审理过程中相关辅助事项的自动化处理</w:t>
            </w:r>
            <w:r/>
          </w:p>
        </w:tc>
        <w:tc>
          <w:tcPr>
            <w:tcW w:w="384"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c>
          <w:tcPr>
            <w:tcW w:w="384" w:type="pct"/>
            <w:vAlign w:val="center"/>
            <w:vMerge w:val="continue"/>
            <w:textDirection w:val="lrTb"/>
            <w:noWrap/>
          </w:tcPr>
          <w:p>
            <w:pPr>
              <w:pStyle w:val="1227"/>
              <w:spacing w:line="440" w:lineRule="exact"/>
              <w:rPr>
                <w:rFonts w:cs="宋体"/>
                <w:color w:val="auto"/>
                <w:szCs w:val="21"/>
                <w:highlight w:val="none"/>
              </w:rPr>
            </w:pPr>
            <w:r>
              <w:rPr>
                <w:rFonts w:cs="宋体"/>
                <w:color w:val="auto"/>
                <w:szCs w:val="21"/>
                <w:highlight w:val="none"/>
              </w:rPr>
            </w:r>
            <w:r/>
          </w:p>
        </w:tc>
      </w:tr>
      <w:tr>
        <w:trPr>
          <w:trHeight w:val="1440"/>
        </w:trPr>
        <w:tc>
          <w:tcPr>
            <w:tcW w:w="496" w:type="pct"/>
            <w:vAlign w:val="center"/>
            <w:textDirection w:val="lrTb"/>
            <w:noWrap/>
          </w:tcPr>
          <w:p>
            <w:pPr>
              <w:pStyle w:val="1227"/>
              <w:spacing w:line="440" w:lineRule="exact"/>
              <w:rPr>
                <w:rFonts w:hint="eastAsia" w:eastAsia="宋体" w:cs="宋体"/>
                <w:color w:val="auto"/>
                <w:szCs w:val="21"/>
                <w:highlight w:val="none"/>
                <w:lang w:val="en-US" w:eastAsia="zh-CN"/>
              </w:rPr>
            </w:pPr>
            <w:r>
              <w:rPr>
                <w:rFonts w:hint="eastAsia" w:cs="宋体"/>
                <w:color w:val="auto"/>
                <w:szCs w:val="21"/>
                <w:highlight w:val="none"/>
                <w:lang w:val="en-US" w:eastAsia="zh-CN"/>
              </w:rPr>
              <w:t xml:space="preserve">2</w:t>
            </w:r>
            <w:r/>
          </w:p>
        </w:tc>
        <w:tc>
          <w:tcPr>
            <w:tcW w:w="531" w:type="pct"/>
            <w:vAlign w:val="center"/>
            <w:textDirection w:val="lrTb"/>
            <w:noWrap/>
          </w:tcPr>
          <w:p>
            <w:pPr>
              <w:pStyle w:val="1227"/>
              <w:spacing w:line="440" w:lineRule="exact"/>
              <w:rPr>
                <w:rFonts w:cs="宋体"/>
                <w:color w:val="auto"/>
                <w:szCs w:val="21"/>
                <w:highlight w:val="none"/>
              </w:rPr>
            </w:pPr>
            <w:r>
              <w:rPr>
                <w:rFonts w:hint="eastAsia" w:cs="宋体"/>
                <w:color w:val="auto"/>
                <w:szCs w:val="21"/>
                <w:highlight w:val="none"/>
              </w:rPr>
              <w:t xml:space="preserve">执法视音频记录仪</w:t>
            </w:r>
            <w:r/>
          </w:p>
        </w:tc>
        <w:tc>
          <w:tcPr>
            <w:tcW w:w="723" w:type="pct"/>
            <w:vAlign w:val="center"/>
            <w:textDirection w:val="lrTb"/>
            <w:noWrap/>
          </w:tcPr>
          <w:p>
            <w:pPr>
              <w:pStyle w:val="1227"/>
              <w:spacing w:line="440" w:lineRule="exact"/>
              <w:rPr>
                <w:rFonts w:hint="eastAsia" w:cs="宋体"/>
                <w:color w:val="auto"/>
                <w:szCs w:val="21"/>
                <w:highlight w:val="none"/>
                <w:lang w:val="en-US" w:eastAsia="zh-CN"/>
              </w:rPr>
            </w:pPr>
            <w:r>
              <w:rPr>
                <w:rFonts w:hint="eastAsia" w:cs="宋体"/>
                <w:color w:val="auto"/>
                <w:szCs w:val="21"/>
                <w:highlight w:val="none"/>
                <w:lang w:val="en-US" w:eastAsia="zh-CN"/>
              </w:rPr>
              <w:t xml:space="preserve">执法视音频记录仪</w:t>
            </w:r>
            <w:r/>
          </w:p>
        </w:tc>
        <w:tc>
          <w:tcPr>
            <w:tcW w:w="2477" w:type="pct"/>
            <w:vAlign w:val="center"/>
            <w:textDirection w:val="lrTb"/>
            <w:noWrap w:val="false"/>
          </w:tcPr>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1.执法记录仪应具有彩色显示屏，显示屏对角线尺寸大于或等于7.874 cm (3.1 in)</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2.视频分辨率大于或等于3840*2160，视频帧率大于或等于25帧/s，视频分辨</w:t>
            </w:r>
            <w:r>
              <w:rPr>
                <w:rFonts w:hint="eastAsia" w:cs="宋体"/>
                <w:color w:val="auto"/>
                <w:szCs w:val="21"/>
                <w:highlight w:val="none"/>
                <w:lang w:val="en-US" w:eastAsia="zh-CN" w:bidi="ar"/>
              </w:rPr>
              <w:t xml:space="preserve">率</w:t>
            </w:r>
            <w:r>
              <w:rPr>
                <w:rFonts w:hint="eastAsia" w:cs="宋体"/>
                <w:color w:val="auto"/>
                <w:szCs w:val="21"/>
                <w:highlight w:val="none"/>
                <w:lang w:bidi="ar"/>
              </w:rPr>
              <w:t xml:space="preserve">1400线</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3.</w:t>
            </w:r>
            <w:r>
              <w:rPr>
                <w:rFonts w:hint="eastAsia" w:cs="宋体"/>
                <w:color w:val="auto"/>
                <w:szCs w:val="21"/>
                <w:highlight w:val="none"/>
                <w:lang w:val="en-US" w:eastAsia="zh-CN" w:bidi="ar"/>
              </w:rPr>
              <w:t xml:space="preserve">照片</w:t>
            </w:r>
            <w:r>
              <w:rPr>
                <w:rFonts w:hint="eastAsia" w:cs="宋体"/>
                <w:color w:val="auto"/>
                <w:szCs w:val="21"/>
                <w:highlight w:val="none"/>
                <w:lang w:bidi="ar"/>
              </w:rPr>
              <w:t xml:space="preserve">分辨率大于或等于10368*7776、7392*5544，照片分辨</w:t>
            </w:r>
            <w:r>
              <w:rPr>
                <w:rFonts w:hint="eastAsia" w:cs="宋体"/>
                <w:color w:val="auto"/>
                <w:szCs w:val="21"/>
                <w:highlight w:val="none"/>
                <w:lang w:val="en-US" w:eastAsia="zh-CN" w:bidi="ar"/>
              </w:rPr>
              <w:t xml:space="preserve">率</w:t>
            </w:r>
            <w:r>
              <w:rPr>
                <w:rFonts w:hint="eastAsia" w:cs="宋体"/>
                <w:color w:val="auto"/>
                <w:szCs w:val="21"/>
                <w:highlight w:val="none"/>
                <w:lang w:bidi="ar"/>
              </w:rPr>
              <w:t xml:space="preserve">大于或等于1200线</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4.设备具有独立多功能按键，可设置该按键功能为爆闪警示、声光警示、一键切换分辨率、一键回放、快速设置、手动开启红外、补光</w:t>
            </w:r>
            <w:r>
              <w:rPr>
                <w:rFonts w:hint="eastAsia" w:cs="宋体"/>
                <w:color w:val="auto"/>
                <w:szCs w:val="21"/>
                <w:highlight w:val="none"/>
                <w:lang w:val="en-US" w:eastAsia="zh-CN" w:bidi="ar"/>
              </w:rPr>
              <w:t xml:space="preserve">等</w:t>
            </w:r>
            <w:r>
              <w:rPr>
                <w:rFonts w:hint="eastAsia" w:cs="宋体"/>
                <w:color w:val="auto"/>
                <w:szCs w:val="21"/>
                <w:highlight w:val="none"/>
                <w:lang w:bidi="ar"/>
              </w:rPr>
              <w:t xml:space="preserve">功能，并可通过按下独立按键调用当前配置的功能</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5.执法记录仪摄像头的水平视场角在生产厂声明的所有分辨率条件下均应大于或等于120°</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6.设备显示全场白测试信号时的最大亮度应大于或等于468cd/m2</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7.设备具有</w:t>
            </w:r>
            <w:r>
              <w:rPr>
                <w:rFonts w:hint="eastAsia" w:cs="宋体"/>
                <w:color w:val="auto"/>
                <w:szCs w:val="21"/>
                <w:highlight w:val="none"/>
                <w:lang w:val="en-US" w:eastAsia="zh-CN" w:bidi="ar"/>
              </w:rPr>
              <w:t xml:space="preserve">至少以下</w:t>
            </w:r>
            <w:r>
              <w:rPr>
                <w:rFonts w:hint="eastAsia" w:cs="宋体"/>
                <w:color w:val="auto"/>
                <w:szCs w:val="21"/>
                <w:highlight w:val="none"/>
                <w:lang w:bidi="ar"/>
              </w:rPr>
              <w:t xml:space="preserve"> 4 个摄像头，其中前置主摄像头拍照分辨率</w:t>
            </w:r>
            <w:r>
              <w:rPr>
                <w:rFonts w:hint="default" w:ascii="Arial" w:hAnsi="Arial" w:cs="Arial"/>
                <w:color w:val="auto"/>
                <w:szCs w:val="21"/>
                <w:highlight w:val="none"/>
                <w:lang w:bidi="ar"/>
              </w:rPr>
              <w:t xml:space="preserve">≥</w:t>
            </w:r>
            <w:r>
              <w:rPr>
                <w:rFonts w:hint="eastAsia" w:cs="宋体"/>
                <w:color w:val="auto"/>
                <w:szCs w:val="21"/>
                <w:highlight w:val="none"/>
                <w:lang w:bidi="ar"/>
              </w:rPr>
              <w:t xml:space="preserve">10368×7776，副摄像头拍照分辨率为</w:t>
            </w:r>
            <w:r>
              <w:rPr>
                <w:rFonts w:hint="default" w:ascii="Arial" w:hAnsi="Arial" w:cs="Arial"/>
                <w:color w:val="auto"/>
                <w:szCs w:val="21"/>
                <w:highlight w:val="none"/>
                <w:lang w:bidi="ar"/>
              </w:rPr>
              <w:t xml:space="preserve">≥</w:t>
            </w:r>
            <w:r>
              <w:rPr>
                <w:rFonts w:hint="eastAsia" w:cs="宋体"/>
                <w:color w:val="auto"/>
                <w:szCs w:val="21"/>
                <w:highlight w:val="none"/>
                <w:lang w:bidi="ar"/>
              </w:rPr>
              <w:t xml:space="preserve">2592×1944，AF 摄像头拍照分辨率</w:t>
            </w:r>
            <w:r>
              <w:rPr>
                <w:rFonts w:hint="default" w:ascii="Arial" w:hAnsi="Arial" w:cs="Arial"/>
                <w:color w:val="auto"/>
                <w:szCs w:val="21"/>
                <w:highlight w:val="none"/>
                <w:lang w:bidi="ar"/>
              </w:rPr>
              <w:t xml:space="preserve">≥</w:t>
            </w:r>
            <w:r>
              <w:rPr>
                <w:rFonts w:hint="eastAsia" w:cs="宋体"/>
                <w:color w:val="auto"/>
                <w:szCs w:val="21"/>
                <w:highlight w:val="none"/>
                <w:lang w:bidi="ar"/>
              </w:rPr>
              <w:t xml:space="preserve">4160×3120，红外夜视摄像头拍照分辨率</w:t>
            </w:r>
            <w:r>
              <w:rPr>
                <w:rFonts w:hint="default" w:ascii="Arial" w:hAnsi="Arial" w:cs="Arial"/>
                <w:color w:val="auto"/>
                <w:szCs w:val="21"/>
                <w:highlight w:val="none"/>
                <w:lang w:bidi="ar"/>
              </w:rPr>
              <w:t xml:space="preserve">≥</w:t>
            </w:r>
            <w:r>
              <w:rPr>
                <w:rFonts w:hint="eastAsia" w:cs="宋体"/>
                <w:color w:val="auto"/>
                <w:szCs w:val="21"/>
                <w:highlight w:val="none"/>
                <w:lang w:bidi="ar"/>
              </w:rPr>
              <w:t xml:space="preserve">1920×1080</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8.设备支持在录制的视频和所拍照片中叠加经纬度、存储、电量、设备序列号、码流录像标志、录像计时、系统时间、信号柱、单位编号、单位名称、用户编号、用户姓名以及 5 个自定义 OSD 等信息。每个字符信息支持单独配置显示/隐藏，每个字符信息位置支持自定义拖动；支持通过经纬度字符颜色区分定位类型：蓝色为北斗定位信息，黄色为最后一次有效定位信息</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9.设备支持选择是否显示网络传输速率，显示传输速率时，可在设备界面上查看实时传输速率</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10.设备支持开启/关闭短视频检测功能，可对录制时长低于设定时长的视频检测为短视频，短视频设定时长可设置为 3 秒、5 秒、10 秒、30 秒、60 秒</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11.设备支持对录像进行画面静止检测，在一个录像分段周期内，画面未发生改变则检测为画面静止录像，并进行通知提醒</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12.设备支持开启</w:t>
            </w:r>
            <w:r>
              <w:rPr>
                <w:rFonts w:hint="eastAsia" w:cs="宋体"/>
                <w:color w:val="auto"/>
                <w:szCs w:val="21"/>
                <w:highlight w:val="none"/>
                <w:lang w:val="en-US" w:eastAsia="zh-CN" w:bidi="ar"/>
              </w:rPr>
              <w:t xml:space="preserve">或</w:t>
            </w:r>
            <w:r>
              <w:rPr>
                <w:rFonts w:hint="eastAsia" w:cs="宋体"/>
                <w:color w:val="auto"/>
                <w:szCs w:val="21"/>
                <w:highlight w:val="none"/>
                <w:lang w:bidi="ar"/>
              </w:rPr>
              <w:t xml:space="preserve">关闭设备静置录像检测功能，可对设备长时间放置不动录像进行检测，并进行通知提醒</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13.支持开启</w:t>
            </w:r>
            <w:r>
              <w:rPr>
                <w:rFonts w:hint="eastAsia" w:cs="宋体"/>
                <w:color w:val="auto"/>
                <w:szCs w:val="21"/>
                <w:highlight w:val="none"/>
                <w:lang w:val="en-US" w:eastAsia="zh-CN" w:bidi="ar"/>
              </w:rPr>
              <w:t xml:space="preserve">或</w:t>
            </w:r>
            <w:r>
              <w:rPr>
                <w:rFonts w:hint="eastAsia" w:cs="宋体"/>
                <w:color w:val="auto"/>
                <w:szCs w:val="21"/>
                <w:highlight w:val="none"/>
                <w:lang w:bidi="ar"/>
              </w:rPr>
              <w:t xml:space="preserve">关闭视频黑屏检测功能，功能开启后，当录像过程中画面被遮挡或摄像头获取不到画面，则视频文件被检测为黑屏视频，并在文件命名中添加特殊标识</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14.设备支持统计当日、当月移动网络数据流量，并可设置当日、当月流量限额，当超出当日、当月流量限额时，暂停视音频文件自动上传，仅支持手动上传</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15.设备支持连接语音质检平台，通过平台设置语音质检敏感词，设备支持</w:t>
            </w:r>
            <w:r>
              <w:rPr>
                <w:rFonts w:hint="eastAsia" w:cs="宋体"/>
                <w:color w:val="auto"/>
                <w:szCs w:val="21"/>
                <w:highlight w:val="none"/>
                <w:lang w:eastAsia="zh-CN" w:bidi="ar"/>
              </w:rPr>
              <w:t xml:space="preserve">接收</w:t>
            </w:r>
            <w:r>
              <w:rPr>
                <w:rFonts w:hint="eastAsia" w:cs="宋体"/>
                <w:color w:val="auto"/>
                <w:szCs w:val="21"/>
                <w:highlight w:val="none"/>
                <w:lang w:bidi="ar"/>
              </w:rPr>
              <w:t xml:space="preserve">平台下发的语音质检指令进行实时语音质检并发送语音信息至平台进行敏感词识别分析，识别到敏感词时应能在设备端发出告警提示，设备可本地设置告警提示内容</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val="en-US" w:eastAsia="zh-CN" w:bidi="ar"/>
              </w:rPr>
              <w:t xml:space="preserve">16.</w:t>
            </w:r>
            <w:r>
              <w:rPr>
                <w:rFonts w:hint="eastAsia" w:cs="宋体"/>
                <w:color w:val="auto"/>
                <w:szCs w:val="21"/>
                <w:highlight w:val="none"/>
                <w:lang w:bidi="ar"/>
              </w:rPr>
              <w:t xml:space="preserve">执法记录仪支持拍照取证并将图片数据传至车载视频记录取证设备</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17.设备支持在平台中选定人员进行双人通信，可进行 PTT 实时语音聊天、本地图片发送、文本输入聊天、实时位置分享</w:t>
            </w:r>
            <w:r/>
          </w:p>
        </w:tc>
        <w:tc>
          <w:tcPr>
            <w:tcW w:w="384" w:type="pct"/>
            <w:vAlign w:val="center"/>
            <w:textDirection w:val="lrTb"/>
            <w:noWrap/>
          </w:tcPr>
          <w:p>
            <w:pPr>
              <w:pStyle w:val="1227"/>
              <w:spacing w:line="440" w:lineRule="exact"/>
              <w:rPr>
                <w:rFonts w:hint="eastAsia" w:eastAsia="宋体" w:cs="宋体"/>
                <w:color w:val="auto"/>
                <w:szCs w:val="21"/>
                <w:highlight w:val="none"/>
                <w:lang w:val="en-US" w:eastAsia="zh-CN"/>
              </w:rPr>
            </w:pPr>
            <w:r>
              <w:rPr>
                <w:rFonts w:hint="eastAsia" w:cs="宋体"/>
                <w:color w:val="auto"/>
                <w:szCs w:val="21"/>
                <w:highlight w:val="none"/>
                <w:lang w:val="en-US" w:eastAsia="zh-CN"/>
              </w:rPr>
              <w:t xml:space="preserve">1</w:t>
            </w:r>
            <w:r/>
          </w:p>
        </w:tc>
        <w:tc>
          <w:tcPr>
            <w:tcW w:w="384" w:type="pct"/>
            <w:vAlign w:val="center"/>
            <w:textDirection w:val="lrTb"/>
            <w:noWrap/>
          </w:tcPr>
          <w:p>
            <w:pPr>
              <w:pStyle w:val="1227"/>
              <w:spacing w:line="440" w:lineRule="exact"/>
              <w:rPr>
                <w:rFonts w:hint="eastAsia" w:eastAsia="宋体" w:cs="宋体"/>
                <w:color w:val="auto"/>
                <w:szCs w:val="21"/>
                <w:highlight w:val="none"/>
                <w:lang w:val="en-US" w:eastAsia="zh-CN"/>
              </w:rPr>
            </w:pPr>
            <w:r>
              <w:rPr>
                <w:rFonts w:hint="eastAsia" w:cs="宋体"/>
                <w:color w:val="auto"/>
                <w:szCs w:val="21"/>
                <w:highlight w:val="none"/>
                <w:lang w:val="en-US" w:eastAsia="zh-CN"/>
              </w:rPr>
              <w:t xml:space="preserve">台</w:t>
            </w:r>
            <w:r/>
          </w:p>
        </w:tc>
      </w:tr>
      <w:tr>
        <w:trPr>
          <w:trHeight w:val="1440"/>
        </w:trPr>
        <w:tc>
          <w:tcPr>
            <w:tcW w:w="496" w:type="pct"/>
            <w:vAlign w:val="center"/>
            <w:textDirection w:val="lrTb"/>
            <w:noWrap/>
          </w:tcPr>
          <w:p>
            <w:pPr>
              <w:pStyle w:val="1227"/>
              <w:spacing w:line="440" w:lineRule="exact"/>
              <w:rPr>
                <w:rFonts w:hint="default" w:cs="宋体"/>
                <w:color w:val="auto"/>
                <w:szCs w:val="21"/>
                <w:highlight w:val="none"/>
                <w:lang w:val="en-US" w:eastAsia="zh-CN"/>
              </w:rPr>
            </w:pPr>
            <w:r>
              <w:rPr>
                <w:rFonts w:hint="eastAsia" w:cs="宋体"/>
                <w:color w:val="auto"/>
                <w:szCs w:val="21"/>
                <w:highlight w:val="none"/>
                <w:lang w:val="en-US" w:eastAsia="zh-CN"/>
              </w:rPr>
              <w:t xml:space="preserve">3</w:t>
            </w:r>
            <w:r/>
          </w:p>
        </w:tc>
        <w:tc>
          <w:tcPr>
            <w:tcW w:w="531" w:type="pct"/>
            <w:vAlign w:val="center"/>
            <w:textDirection w:val="lrTb"/>
            <w:noWrap/>
          </w:tcPr>
          <w:p>
            <w:pPr>
              <w:pStyle w:val="1227"/>
              <w:spacing w:line="440" w:lineRule="exact"/>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执法数据采集</w:t>
            </w:r>
            <w:r/>
          </w:p>
        </w:tc>
        <w:tc>
          <w:tcPr>
            <w:tcW w:w="723" w:type="pct"/>
            <w:vAlign w:val="center"/>
            <w:textDirection w:val="lrTb"/>
            <w:noWrap/>
          </w:tcPr>
          <w:p>
            <w:pPr>
              <w:pStyle w:val="1227"/>
              <w:spacing w:line="440" w:lineRule="exact"/>
              <w:rPr>
                <w:rFonts w:hint="default" w:cs="宋体"/>
                <w:color w:val="auto"/>
                <w:szCs w:val="21"/>
                <w:highlight w:val="none"/>
                <w:lang w:val="en-US" w:eastAsia="zh-CN"/>
              </w:rPr>
            </w:pPr>
            <w:r>
              <w:rPr>
                <w:rFonts w:hint="eastAsia" w:cs="宋体"/>
                <w:color w:val="auto"/>
                <w:szCs w:val="21"/>
                <w:highlight w:val="none"/>
                <w:lang w:val="en-US" w:eastAsia="zh-CN"/>
              </w:rPr>
              <w:t xml:space="preserve">执法数据采集</w:t>
            </w:r>
            <w:r/>
          </w:p>
        </w:tc>
        <w:tc>
          <w:tcPr>
            <w:tcW w:w="2477" w:type="pct"/>
            <w:vAlign w:val="center"/>
            <w:textDirection w:val="lrTb"/>
            <w:noWrap w:val="false"/>
          </w:tcPr>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1.槽位舱室</w:t>
            </w:r>
            <w:r>
              <w:rPr>
                <w:rFonts w:hint="eastAsia" w:cs="宋体"/>
                <w:color w:val="auto"/>
                <w:szCs w:val="21"/>
                <w:highlight w:val="none"/>
                <w:lang w:val="en-US" w:eastAsia="zh-CN" w:bidi="ar"/>
              </w:rPr>
              <w:t xml:space="preserve">显示屏</w:t>
            </w:r>
            <w:r>
              <w:rPr>
                <w:rFonts w:hint="default" w:ascii="Arial" w:hAnsi="Arial" w:cs="Arial"/>
                <w:color w:val="auto"/>
                <w:szCs w:val="21"/>
                <w:highlight w:val="none"/>
                <w:lang w:bidi="ar"/>
              </w:rPr>
              <w:t xml:space="preserve">≥</w:t>
            </w:r>
            <w:r>
              <w:rPr>
                <w:rFonts w:hint="eastAsia" w:cs="宋体"/>
                <w:color w:val="auto"/>
                <w:szCs w:val="21"/>
                <w:highlight w:val="none"/>
                <w:lang w:bidi="ar"/>
              </w:rPr>
              <w:t xml:space="preserve">1.9英寸，支持对应显示接入执法仪的用户姓名、用户编号、设备电量、数据采集状态信息</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2.设备</w:t>
            </w:r>
            <w:r>
              <w:rPr>
                <w:rFonts w:hint="eastAsia" w:cs="宋体"/>
                <w:color w:val="auto"/>
                <w:szCs w:val="21"/>
                <w:highlight w:val="none"/>
                <w:lang w:val="en-US" w:eastAsia="zh-CN" w:bidi="ar"/>
              </w:rPr>
              <w:t xml:space="preserve">至少</w:t>
            </w:r>
            <w:r>
              <w:rPr>
                <w:rFonts w:hint="eastAsia" w:cs="宋体"/>
                <w:color w:val="auto"/>
                <w:szCs w:val="21"/>
                <w:highlight w:val="none"/>
                <w:lang w:bidi="ar"/>
              </w:rPr>
              <w:t xml:space="preserve">具备6个3.5寸硬盘位，硬盘采用抽取式设计，支持热插拔</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3.设备内置1个摄像机、</w:t>
            </w:r>
            <w:r>
              <w:rPr>
                <w:rFonts w:hint="eastAsia" w:cs="宋体"/>
                <w:color w:val="auto"/>
                <w:szCs w:val="21"/>
                <w:highlight w:val="none"/>
                <w:lang w:val="en-US" w:eastAsia="zh-CN" w:bidi="ar"/>
              </w:rPr>
              <w:t xml:space="preserve">至少内置</w:t>
            </w:r>
            <w:r>
              <w:rPr>
                <w:rFonts w:hint="eastAsia" w:cs="宋体"/>
                <w:color w:val="auto"/>
                <w:szCs w:val="21"/>
                <w:highlight w:val="none"/>
                <w:lang w:bidi="ar"/>
              </w:rPr>
              <w:t xml:space="preserve">1个指纹模块，可通过人脸比对或指纹比对完成登录认证</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4.执法数据采集设备应能自动采集已注册的执法记录仪的视音频、音频、照片和日志等数据，应能验证执法数据采集设备采集到的数据与执法记录仪存储的原始数据的一致性，并保证采集的数据应能正常浏览</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5.支持屏幕主界面展示舱室卡片，舱室卡片和物理槽位一一对应，可通过舱室卡片控制对应槽位锁具开启</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6.舱室卡片支持展现槽位编号、用户姓名编号、设备电量、数据采集进度、空闲状态、故障信息、升级状态等信息</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7.支持点击舱室卡片进行关联用户，申领解锁取用指定执法记录仪、申领打开空闲舱室归还执法记录仪</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8.支持通过舱室卡片或设备申领入口，采用人脸识别、指纹识别、账密登录多种方式申领执法记录仪</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9.用户申领执法记录仪时，执法数据采集站设备应能支持根据当前已接入执法记录仪的电量、数据采集状态、升级状态等情况，优先匹配与当前用户关联、数据已同步、未在升级中和电量最多的1-3设备供用户选择</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10.舱室关闭后，系统自动获取执法记录仪用户信息、电量并开始采集数据文件；可将获取到的用户信息、电量信息、数据文件采集进度展示在对应舱室卡片以及舱室屏幕</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11.设备应支持点击卡片开锁按钮，无需用户验证一键打开空闲舱室，归还执法记录仪</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12.舱室开锁后应能通过指示灯光、屏幕界面或语音提醒及时关闭舱门，未关舱门会持续提醒，可关闭提醒</w:t>
            </w:r>
            <w:r/>
          </w:p>
          <w:p>
            <w:pPr>
              <w:pStyle w:val="1227"/>
              <w:spacing w:line="440" w:lineRule="exact"/>
              <w:rPr>
                <w:rFonts w:hint="eastAsia" w:cs="宋体"/>
                <w:color w:val="auto"/>
                <w:szCs w:val="21"/>
                <w:highlight w:val="none"/>
                <w:lang w:bidi="ar"/>
              </w:rPr>
            </w:pPr>
            <w:r>
              <w:rPr>
                <w:rFonts w:hint="eastAsia" w:cs="宋体"/>
                <w:color w:val="auto"/>
                <w:szCs w:val="21"/>
                <w:highlight w:val="none"/>
                <w:lang w:eastAsia="zh-CN" w:bidi="ar"/>
              </w:rPr>
              <w:t xml:space="preserve">▲</w:t>
            </w:r>
            <w:r>
              <w:rPr>
                <w:rFonts w:hint="eastAsia" w:cs="宋体"/>
                <w:color w:val="auto"/>
                <w:szCs w:val="21"/>
                <w:highlight w:val="none"/>
                <w:lang w:bidi="ar"/>
              </w:rPr>
              <w:t xml:space="preserve">13.支持视音频缩率图，可点击弹出文件播放器页面，默认播放当前文件；播放器支持Wav、mp4、rm、rmvb、avi、dat、mkv、flv、vob视频播放。支持视频播放、暂停、播放、音量调整、支持显示当前播放时长和视音频总时长</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14.每个舱室槽位应具有标准USB3.0接口，支持通过配置的USB弹簧线缆接入Type_C、USB miniB、USB MicroB接口的执法记录仪，实现对执法记录仪自动充电和数据采集</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15.执法数据采集设备可对保存的视音频、音频或照片文件进行格式转换</w:t>
            </w:r>
            <w:r/>
          </w:p>
        </w:tc>
        <w:tc>
          <w:tcPr>
            <w:tcW w:w="384" w:type="pct"/>
            <w:vAlign w:val="center"/>
            <w:textDirection w:val="lrTb"/>
            <w:noWrap/>
          </w:tcPr>
          <w:p>
            <w:pPr>
              <w:pStyle w:val="1227"/>
              <w:spacing w:line="440" w:lineRule="exact"/>
              <w:rPr>
                <w:rFonts w:hint="eastAsia" w:eastAsia="宋体" w:cs="宋体"/>
                <w:color w:val="auto"/>
                <w:szCs w:val="21"/>
                <w:highlight w:val="none"/>
                <w:lang w:val="en-US" w:eastAsia="zh-CN"/>
              </w:rPr>
            </w:pPr>
            <w:r>
              <w:rPr>
                <w:rFonts w:hint="eastAsia" w:cs="宋体"/>
                <w:color w:val="auto"/>
                <w:szCs w:val="21"/>
                <w:highlight w:val="none"/>
                <w:lang w:val="en-US" w:eastAsia="zh-CN"/>
              </w:rPr>
              <w:t xml:space="preserve">1</w:t>
            </w:r>
            <w:r/>
          </w:p>
        </w:tc>
        <w:tc>
          <w:tcPr>
            <w:tcW w:w="384" w:type="pct"/>
            <w:vAlign w:val="center"/>
            <w:textDirection w:val="lrTb"/>
            <w:noWrap/>
          </w:tcPr>
          <w:p>
            <w:pPr>
              <w:pStyle w:val="1227"/>
              <w:spacing w:line="440" w:lineRule="exact"/>
              <w:rPr>
                <w:rFonts w:hint="eastAsia" w:eastAsia="宋体" w:cs="宋体"/>
                <w:color w:val="auto"/>
                <w:szCs w:val="21"/>
                <w:highlight w:val="none"/>
                <w:lang w:val="en-US" w:eastAsia="zh-CN"/>
              </w:rPr>
            </w:pPr>
            <w:r>
              <w:rPr>
                <w:rFonts w:hint="eastAsia" w:cs="宋体"/>
                <w:color w:val="auto"/>
                <w:szCs w:val="21"/>
                <w:highlight w:val="none"/>
                <w:lang w:val="en-US" w:eastAsia="zh-CN"/>
              </w:rPr>
              <w:t xml:space="preserve">台</w:t>
            </w:r>
            <w:r/>
          </w:p>
        </w:tc>
      </w:tr>
      <w:tr>
        <w:trPr>
          <w:trHeight w:val="1440"/>
        </w:trPr>
        <w:tc>
          <w:tcPr>
            <w:tcW w:w="496" w:type="pct"/>
            <w:vAlign w:val="center"/>
            <w:textDirection w:val="lrTb"/>
            <w:noWrap/>
          </w:tcPr>
          <w:p>
            <w:pPr>
              <w:pStyle w:val="1227"/>
              <w:spacing w:line="440" w:lineRule="exact"/>
              <w:rPr>
                <w:rFonts w:hint="default" w:cs="宋体"/>
                <w:color w:val="auto"/>
                <w:szCs w:val="21"/>
                <w:highlight w:val="none"/>
                <w:lang w:val="en-US" w:eastAsia="zh-CN"/>
              </w:rPr>
            </w:pPr>
            <w:r>
              <w:rPr>
                <w:rFonts w:hint="eastAsia" w:cs="宋体"/>
                <w:color w:val="auto"/>
                <w:szCs w:val="21"/>
                <w:highlight w:val="none"/>
                <w:lang w:val="en-US" w:eastAsia="zh-CN"/>
              </w:rPr>
              <w:t xml:space="preserve">4</w:t>
            </w:r>
            <w:r/>
          </w:p>
        </w:tc>
        <w:tc>
          <w:tcPr>
            <w:tcW w:w="531" w:type="pct"/>
            <w:vAlign w:val="center"/>
            <w:textDirection w:val="lrTb"/>
            <w:noWrap/>
          </w:tcPr>
          <w:p>
            <w:pPr>
              <w:pStyle w:val="1227"/>
              <w:spacing w:line="440" w:lineRule="exact"/>
              <w:rPr>
                <w:rFonts w:hint="default" w:cs="宋体"/>
                <w:color w:val="auto"/>
                <w:szCs w:val="21"/>
                <w:highlight w:val="none"/>
                <w:lang w:val="en-US" w:eastAsia="zh-CN"/>
              </w:rPr>
            </w:pPr>
            <w:r>
              <w:rPr>
                <w:rFonts w:hint="eastAsia" w:cs="宋体"/>
                <w:color w:val="auto"/>
                <w:szCs w:val="21"/>
                <w:highlight w:val="none"/>
                <w:lang w:val="en-US" w:eastAsia="zh-CN"/>
              </w:rPr>
              <w:t xml:space="preserve">数字音频主机</w:t>
            </w:r>
            <w:r/>
          </w:p>
        </w:tc>
        <w:tc>
          <w:tcPr>
            <w:tcW w:w="723" w:type="pct"/>
            <w:vAlign w:val="center"/>
            <w:textDirection w:val="lrTb"/>
            <w:noWrap/>
          </w:tcPr>
          <w:p>
            <w:pPr>
              <w:pStyle w:val="1227"/>
              <w:spacing w:line="440" w:lineRule="exact"/>
              <w:rPr>
                <w:rFonts w:hint="default" w:cs="宋体"/>
                <w:color w:val="auto"/>
                <w:szCs w:val="21"/>
                <w:highlight w:val="none"/>
                <w:lang w:val="en-US" w:eastAsia="zh-CN"/>
              </w:rPr>
            </w:pPr>
            <w:r>
              <w:rPr>
                <w:rFonts w:hint="eastAsia" w:cs="宋体"/>
                <w:color w:val="auto"/>
                <w:szCs w:val="21"/>
                <w:highlight w:val="none"/>
                <w:lang w:val="en-US" w:eastAsia="zh-CN"/>
              </w:rPr>
              <w:t xml:space="preserve">数字音频主机</w:t>
            </w:r>
            <w:r/>
          </w:p>
        </w:tc>
        <w:tc>
          <w:tcPr>
            <w:tcW w:w="2477" w:type="pct"/>
            <w:vAlign w:val="center"/>
            <w:textDirection w:val="lrTb"/>
            <w:noWrap w:val="false"/>
          </w:tcPr>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1.支持1路数字MIC输入、2路幻象MIC输入、3路Line输入、2路Audio输入</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2.支持3路Line输出、1路Audio输出</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3.支持1路RS485</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4.支持1路百兆以太网口</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5.支持AAC-LC（采样率可达48KHz）、G.722、PCMA、PCMU、ADPCM音频编码格式</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6.</w:t>
            </w:r>
            <w:r>
              <w:rPr>
                <w:rFonts w:hint="eastAsia" w:cs="宋体"/>
                <w:color w:val="auto"/>
                <w:szCs w:val="21"/>
                <w:highlight w:val="none"/>
                <w:lang w:eastAsia="zh-CN" w:bidi="ar"/>
              </w:rPr>
              <w:t xml:space="preserve">▲</w:t>
            </w:r>
            <w:r>
              <w:rPr>
                <w:rFonts w:hint="eastAsia" w:cs="宋体"/>
                <w:color w:val="auto"/>
                <w:szCs w:val="21"/>
                <w:highlight w:val="none"/>
                <w:lang w:bidi="ar"/>
              </w:rPr>
              <w:t xml:space="preserve">支持AEC回声抵消功能</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7.支持音频降噪功能，降噪等级可调</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8.支持均衡器功能，支持对每路输入音频进行十段均衡调节</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9.</w:t>
            </w:r>
            <w:r>
              <w:rPr>
                <w:rFonts w:hint="eastAsia" w:cs="宋体"/>
                <w:color w:val="auto"/>
                <w:szCs w:val="21"/>
                <w:highlight w:val="none"/>
                <w:lang w:eastAsia="zh-CN" w:bidi="ar"/>
              </w:rPr>
              <w:t xml:space="preserve">▲</w:t>
            </w:r>
            <w:r>
              <w:rPr>
                <w:rFonts w:hint="eastAsia" w:cs="宋体"/>
                <w:color w:val="auto"/>
                <w:szCs w:val="21"/>
                <w:highlight w:val="none"/>
                <w:lang w:bidi="ar"/>
              </w:rPr>
              <w:t xml:space="preserve">支持预设男女声方案，可保存</w:t>
            </w:r>
            <w:r>
              <w:rPr>
                <w:rFonts w:hint="eastAsia" w:cs="宋体"/>
                <w:color w:val="auto"/>
                <w:szCs w:val="21"/>
                <w:highlight w:val="none"/>
                <w:lang w:val="en-US" w:eastAsia="zh-CN" w:bidi="ar"/>
              </w:rPr>
              <w:t xml:space="preserve">至少</w:t>
            </w:r>
            <w:r>
              <w:rPr>
                <w:rFonts w:hint="eastAsia" w:cs="宋体"/>
                <w:color w:val="auto"/>
                <w:szCs w:val="21"/>
                <w:highlight w:val="none"/>
                <w:lang w:bidi="ar"/>
              </w:rPr>
              <w:t xml:space="preserve">3种自定义音效均衡方案</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10.支持7路音频输入，支持每路输入音频增益独立调节</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11.支持5路音频输出，并能对输出音量进行独立调节</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12.支持1路网络音频输出，并能对输出音量进行独立调节</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13.支持通过网络远程配置设备参数</w:t>
            </w:r>
            <w:r/>
          </w:p>
          <w:p>
            <w:pPr>
              <w:pStyle w:val="1227"/>
              <w:spacing w:line="440" w:lineRule="exact"/>
              <w:rPr>
                <w:rFonts w:hint="eastAsia" w:cs="宋体"/>
                <w:color w:val="auto"/>
                <w:szCs w:val="21"/>
                <w:highlight w:val="none"/>
                <w:lang w:bidi="ar"/>
              </w:rPr>
            </w:pPr>
            <w:r>
              <w:rPr>
                <w:rFonts w:hint="eastAsia" w:cs="宋体"/>
                <w:color w:val="auto"/>
                <w:szCs w:val="21"/>
                <w:highlight w:val="none"/>
                <w:lang w:bidi="ar"/>
              </w:rPr>
              <w:t xml:space="preserve">14.设备具备日志浏览功能，可以查询用户操作日志</w:t>
            </w:r>
            <w:r/>
          </w:p>
        </w:tc>
        <w:tc>
          <w:tcPr>
            <w:tcW w:w="384" w:type="pct"/>
            <w:vAlign w:val="center"/>
            <w:textDirection w:val="lrTb"/>
            <w:noWrap/>
          </w:tcPr>
          <w:p>
            <w:pPr>
              <w:pStyle w:val="1227"/>
              <w:spacing w:line="440" w:lineRule="exact"/>
              <w:rPr>
                <w:rFonts w:hint="eastAsia" w:eastAsia="宋体" w:cs="宋体"/>
                <w:color w:val="auto"/>
                <w:szCs w:val="21"/>
                <w:highlight w:val="none"/>
                <w:lang w:val="en-US" w:eastAsia="zh-CN"/>
              </w:rPr>
            </w:pPr>
            <w:r>
              <w:rPr>
                <w:rFonts w:hint="eastAsia" w:cs="宋体"/>
                <w:color w:val="auto"/>
                <w:szCs w:val="21"/>
                <w:highlight w:val="none"/>
                <w:lang w:val="en-US" w:eastAsia="zh-CN"/>
              </w:rPr>
              <w:t xml:space="preserve">1</w:t>
            </w:r>
            <w:r/>
          </w:p>
        </w:tc>
        <w:tc>
          <w:tcPr>
            <w:tcW w:w="384" w:type="pct"/>
            <w:vAlign w:val="center"/>
            <w:textDirection w:val="lrTb"/>
            <w:noWrap/>
          </w:tcPr>
          <w:p>
            <w:pPr>
              <w:pStyle w:val="1227"/>
              <w:spacing w:line="440" w:lineRule="exact"/>
              <w:rPr>
                <w:rFonts w:hint="eastAsia" w:eastAsia="宋体" w:cs="宋体"/>
                <w:color w:val="auto"/>
                <w:szCs w:val="21"/>
                <w:highlight w:val="none"/>
                <w:lang w:val="en-US" w:eastAsia="zh-CN"/>
              </w:rPr>
            </w:pPr>
            <w:r>
              <w:rPr>
                <w:rFonts w:hint="eastAsia" w:cs="宋体"/>
                <w:color w:val="auto"/>
                <w:szCs w:val="21"/>
                <w:highlight w:val="none"/>
                <w:lang w:val="en-US" w:eastAsia="zh-CN"/>
              </w:rPr>
              <w:t xml:space="preserve">台</w:t>
            </w:r>
            <w:r/>
          </w:p>
        </w:tc>
      </w:tr>
    </w:tbl>
    <w:p>
      <w:pPr>
        <w:ind w:firstLine="422"/>
        <w:rPr>
          <w:rFonts w:hint="eastAsia" w:ascii="宋体" w:hAnsi="宋体" w:eastAsia="宋体" w:cs="宋体"/>
          <w:b/>
          <w:bCs/>
          <w:color w:val="auto"/>
          <w:szCs w:val="21"/>
          <w:highlight w:val="none"/>
          <w:u w:val="single"/>
          <w:lang w:val="en-US" w:eastAsia="zh-CN" w:bidi="zh-CN"/>
        </w:rPr>
      </w:pPr>
      <w:r>
        <w:rPr>
          <w:rFonts w:hint="eastAsia" w:ascii="宋体" w:hAnsi="宋体" w:eastAsia="宋体" w:cs="宋体"/>
          <w:b/>
          <w:bCs/>
          <w:color w:val="auto"/>
          <w:szCs w:val="21"/>
          <w:highlight w:val="none"/>
          <w:u w:val="single"/>
          <w:lang w:val="en-US" w:eastAsia="zh-CN" w:bidi="zh-CN"/>
        </w:rPr>
        <w:t xml:space="preserve">★4.2实质性条款</w:t>
      </w:r>
      <w:r/>
    </w:p>
    <w:p>
      <w:pPr>
        <w:ind w:firstLine="422"/>
        <w:rPr>
          <w:rFonts w:hint="eastAsia" w:ascii="宋体" w:hAnsi="宋体" w:eastAsia="宋体" w:cs="宋体"/>
          <w:b w:val="0"/>
          <w:bCs w:val="0"/>
          <w:color w:val="auto"/>
          <w:szCs w:val="21"/>
          <w:highlight w:val="none"/>
          <w:u w:val="single"/>
          <w:lang w:val="en-US" w:eastAsia="zh-CN" w:bidi="zh-CN"/>
        </w:rPr>
      </w:pPr>
      <w:r>
        <w:rPr>
          <w:rFonts w:hint="eastAsia" w:ascii="宋体" w:hAnsi="宋体" w:cs="宋体"/>
          <w:b w:val="0"/>
          <w:bCs w:val="0"/>
          <w:color w:val="auto"/>
          <w:szCs w:val="21"/>
          <w:highlight w:val="none"/>
          <w:u w:val="single"/>
          <w:lang w:val="en-US" w:eastAsia="zh-CN" w:bidi="zh-CN"/>
        </w:rPr>
        <w:t xml:space="preserve">保障服务</w:t>
      </w:r>
      <w:r>
        <w:rPr>
          <w:rFonts w:hint="eastAsia" w:ascii="宋体" w:hAnsi="宋体" w:eastAsia="宋体" w:cs="宋体"/>
          <w:b w:val="0"/>
          <w:bCs w:val="0"/>
          <w:color w:val="auto"/>
          <w:szCs w:val="21"/>
          <w:highlight w:val="none"/>
          <w:u w:val="single"/>
          <w:lang w:val="en-US" w:eastAsia="zh-CN" w:bidi="zh-CN"/>
        </w:rPr>
        <w:t xml:space="preserve">：投标人所投融合法庭云庭审系统必须承诺能够与吴江区人民法院庭审云存储系统无缝对接，从而保证数据的完整性和稳定性。成交</w:t>
      </w:r>
      <w:r>
        <w:rPr>
          <w:rFonts w:hint="eastAsia" w:ascii="宋体" w:hAnsi="宋体" w:cs="宋体"/>
          <w:b w:val="0"/>
          <w:bCs w:val="0"/>
          <w:color w:val="auto"/>
          <w:szCs w:val="21"/>
          <w:highlight w:val="none"/>
          <w:u w:val="single"/>
          <w:lang w:val="en-US" w:eastAsia="zh-CN" w:bidi="zh-CN"/>
        </w:rPr>
        <w:t xml:space="preserve">结果公示后7天内完成对接测试</w:t>
      </w:r>
      <w:r>
        <w:rPr>
          <w:rFonts w:hint="eastAsia" w:ascii="宋体" w:hAnsi="宋体" w:eastAsia="宋体" w:cs="宋体"/>
          <w:b w:val="0"/>
          <w:bCs w:val="0"/>
          <w:color w:val="auto"/>
          <w:szCs w:val="21"/>
          <w:highlight w:val="none"/>
          <w:u w:val="single"/>
          <w:lang w:val="en-US" w:eastAsia="zh-CN" w:bidi="zh-CN"/>
        </w:rPr>
        <w:t xml:space="preserve">，如果无法完成对接的，采购单位有权取消其中标资格。对接所需费用由投标人承担。（投标人需提供承诺函，未提供承诺函的视为无效响应）</w:t>
      </w:r>
      <w:r/>
    </w:p>
    <w:p>
      <w:pPr>
        <w:ind w:firstLine="422"/>
        <w:rPr>
          <w:rFonts w:hint="default" w:ascii="宋体" w:hAnsi="宋体" w:eastAsia="宋体" w:cs="宋体"/>
          <w:b/>
          <w:bCs/>
          <w:color w:val="auto"/>
          <w:szCs w:val="21"/>
          <w:highlight w:val="none"/>
          <w:lang w:val="en-US" w:eastAsia="zh-CN" w:bidi="zh-CN"/>
        </w:rPr>
      </w:pPr>
      <w:r>
        <w:rPr>
          <w:rFonts w:hint="eastAsia" w:ascii="宋体" w:hAnsi="宋体" w:eastAsia="宋体" w:cs="宋体"/>
          <w:b/>
          <w:bCs/>
          <w:color w:val="auto"/>
          <w:szCs w:val="21"/>
          <w:highlight w:val="none"/>
          <w:lang w:val="en-US" w:eastAsia="zh-CN" w:bidi="zh-CN"/>
        </w:rPr>
        <w:t xml:space="preserve">（五）服务要求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1、项目实施及时间节点要求：</w:t>
      </w:r>
      <w:bookmarkStart w:id="103" w:name="_Toc58248883"/>
      <w:r/>
      <w:bookmarkStart w:id="104" w:name="_Toc57376409"/>
      <w:r/>
      <w:bookmarkStart w:id="105" w:name="_Hlk55741158"/>
      <w:r/>
      <w:bookmarkStart w:id="106" w:name="_Toc12719"/>
      <w:r/>
      <w:bookmarkStart w:id="107" w:name="_Toc5111"/>
      <w:r/>
      <w:bookmarkStart w:id="108" w:name="_Toc11789"/>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建设周期：合同签订后</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个月内</w:t>
      </w:r>
      <w:r>
        <w:rPr>
          <w:rFonts w:hint="eastAsia" w:ascii="宋体" w:hAnsi="宋体" w:cs="宋体"/>
          <w:color w:val="auto"/>
          <w:szCs w:val="21"/>
          <w:highlight w:val="none"/>
          <w:lang w:val="en-US" w:eastAsia="zh-CN"/>
        </w:rPr>
        <w:t xml:space="preserve">完成项目建设，且</w:t>
      </w:r>
      <w:r>
        <w:rPr>
          <w:rFonts w:hint="eastAsia" w:ascii="宋体" w:hAnsi="宋体" w:eastAsia="宋体" w:cs="宋体"/>
          <w:color w:val="auto"/>
          <w:szCs w:val="21"/>
          <w:highlight w:val="none"/>
          <w:lang w:val="en-US" w:eastAsia="zh-CN"/>
        </w:rPr>
        <w:t xml:space="preserve">必须具备上线运行条件；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试运行周期：</w:t>
      </w:r>
      <w:r>
        <w:rPr>
          <w:rFonts w:hint="eastAsia" w:ascii="宋体" w:hAnsi="宋体" w:cs="宋体"/>
          <w:color w:val="auto"/>
          <w:szCs w:val="21"/>
          <w:highlight w:val="none"/>
          <w:lang w:val="en-US" w:eastAsia="zh-CN"/>
        </w:rPr>
        <w:t xml:space="preserve">平台上线后</w:t>
      </w:r>
      <w:r>
        <w:rPr>
          <w:rFonts w:hint="eastAsia" w:ascii="宋体" w:hAnsi="宋体" w:eastAsia="宋体" w:cs="宋体"/>
          <w:color w:val="auto"/>
          <w:szCs w:val="21"/>
          <w:highlight w:val="none"/>
          <w:lang w:val="en-US" w:eastAsia="zh-CN"/>
        </w:rPr>
        <w:t xml:space="preserve">试运行周期不少于3个月</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合同履约期内</w:t>
      </w:r>
      <w:r>
        <w:rPr>
          <w:rFonts w:hint="eastAsia" w:ascii="宋体" w:hAnsi="宋体" w:cs="宋体"/>
          <w:color w:val="auto"/>
          <w:szCs w:val="21"/>
          <w:highlight w:val="none"/>
          <w:lang w:val="en-US" w:eastAsia="zh-CN"/>
        </w:rPr>
        <w:t xml:space="preserve">（含运维期间）</w:t>
      </w:r>
      <w:r>
        <w:rPr>
          <w:rFonts w:hint="eastAsia" w:ascii="宋体" w:hAnsi="宋体" w:eastAsia="宋体" w:cs="宋体"/>
          <w:color w:val="auto"/>
          <w:szCs w:val="21"/>
          <w:highlight w:val="none"/>
          <w:lang w:val="en-US" w:eastAsia="zh-CN"/>
        </w:rPr>
        <w:t xml:space="preserve">响应要求：提供全年7*24小时的电话支持；工作时间内，故障响应速度不超过1小时；非工作时间内，故障响应速度不超过2小时；一般性故障，需在1小时之内完成故障处理，特殊重大故障需在4小时之内提出解决方案，24小时内完成故障处理</w:t>
      </w:r>
      <w:bookmarkEnd w:id="103"/>
      <w:r/>
      <w:bookmarkEnd w:id="104"/>
      <w:r/>
      <w:bookmarkEnd w:id="105"/>
      <w:r/>
      <w:bookmarkEnd w:id="106"/>
      <w:r/>
      <w:bookmarkEnd w:id="107"/>
      <w:r/>
      <w:bookmarkEnd w:id="108"/>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2、运维服务要求：</w:t>
      </w:r>
      <w:r>
        <w:rPr>
          <w:rFonts w:hint="eastAsia" w:ascii="宋体" w:hAnsi="宋体" w:cs="宋体"/>
          <w:color w:val="auto"/>
          <w:szCs w:val="21"/>
          <w:highlight w:val="none"/>
          <w:lang w:val="en-US" w:eastAsia="zh-CN"/>
        </w:rPr>
        <w:t xml:space="preserve">试运行周期结束即对项目进行整体验收，</w:t>
      </w:r>
      <w:r>
        <w:rPr>
          <w:rFonts w:hint="eastAsia" w:ascii="宋体" w:hAnsi="宋体" w:cs="宋体"/>
          <w:b w:val="0"/>
          <w:bCs/>
          <w:color w:val="auto"/>
          <w:szCs w:val="21"/>
          <w:highlight w:val="none"/>
          <w:lang w:eastAsia="zh-CN"/>
        </w:rPr>
        <w:t xml:space="preserve">验收</w:t>
      </w:r>
      <w:r>
        <w:rPr>
          <w:rFonts w:hint="eastAsia" w:ascii="宋体" w:hAnsi="宋体" w:eastAsia="宋体" w:cs="宋体"/>
          <w:color w:val="auto"/>
          <w:szCs w:val="21"/>
          <w:highlight w:val="none"/>
          <w:lang w:val="en-US" w:eastAsia="zh-CN"/>
        </w:rPr>
        <w:t xml:space="preserve">合格之日起提供为期一年（12个月）的运维服务</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且在投标文件中提供运维方案，包括：运维流程设计、运维管理制度、技术支持流程设计、紧急情况响应流程、服务方式。</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培训要求：投标人须选派具有一定资质和实践经验，且受过专门训练的专业技术人员负责技术培训工作。投标人应提供完备的培训计划，包括：培训内容、培训方式、培训计划、培训课程和培训考核。用户或者系统维护单位在系统上线后，能熟练、准确地使用、管理、维护系统成果，并能根据用户业务或信息需求进行适当的流程变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4、质量保证期：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4.1本项目涉及的</w:t>
      </w:r>
      <w:r>
        <w:rPr>
          <w:rFonts w:hint="eastAsia" w:ascii="宋体" w:hAnsi="宋体" w:cs="宋体"/>
          <w:color w:val="auto"/>
          <w:szCs w:val="21"/>
          <w:highlight w:val="none"/>
          <w:lang w:val="en-US" w:eastAsia="zh-CN"/>
        </w:rPr>
        <w:t xml:space="preserve">硬件</w:t>
      </w:r>
      <w:r>
        <w:rPr>
          <w:rFonts w:hint="eastAsia" w:ascii="宋体" w:hAnsi="宋体" w:eastAsia="宋体" w:cs="宋体"/>
          <w:color w:val="auto"/>
          <w:szCs w:val="21"/>
          <w:highlight w:val="none"/>
          <w:lang w:val="en-US" w:eastAsia="zh-CN"/>
        </w:rPr>
        <w:t xml:space="preserve">设备（</w:t>
      </w:r>
      <w:r>
        <w:rPr>
          <w:rFonts w:hint="eastAsia" w:cs="宋体"/>
          <w:color w:val="auto"/>
          <w:szCs w:val="21"/>
          <w:highlight w:val="none"/>
        </w:rPr>
        <w:t xml:space="preserve">执法视音频记录仪</w:t>
      </w:r>
      <w:r>
        <w:rPr>
          <w:rFonts w:hint="eastAsia" w:ascii="宋体" w:hAnsi="宋体" w:cs="宋体"/>
          <w:color w:val="auto"/>
          <w:szCs w:val="21"/>
          <w:highlight w:val="none"/>
          <w:lang w:val="en-US" w:eastAsia="zh-CN"/>
        </w:rPr>
        <w:t xml:space="preserve">、执法数据采集、</w:t>
      </w:r>
      <w:r>
        <w:rPr>
          <w:rFonts w:hint="eastAsia" w:ascii="宋体" w:hAnsi="宋体" w:eastAsia="宋体" w:cs="宋体"/>
          <w:color w:val="auto"/>
          <w:szCs w:val="21"/>
          <w:highlight w:val="none"/>
          <w:lang w:val="en-US" w:eastAsia="zh-CN"/>
        </w:rPr>
        <w:t xml:space="preserve">数字音频主机），提供</w:t>
      </w:r>
      <w:r>
        <w:rPr>
          <w:rFonts w:hint="eastAsia" w:ascii="宋体" w:hAnsi="宋体" w:eastAsia="宋体" w:cs="宋体"/>
          <w:b/>
          <w:bCs/>
          <w:color w:val="auto"/>
          <w:szCs w:val="21"/>
          <w:highlight w:val="none"/>
          <w:lang w:val="en-US" w:eastAsia="zh-CN"/>
        </w:rPr>
        <w:t xml:space="preserve">不低于3年的原厂免费质保</w:t>
      </w:r>
      <w:r>
        <w:rPr>
          <w:rFonts w:hint="eastAsia" w:ascii="宋体" w:hAnsi="宋体" w:eastAsia="宋体" w:cs="宋体"/>
          <w:color w:val="auto"/>
          <w:szCs w:val="21"/>
          <w:highlight w:val="none"/>
          <w:lang w:val="en-US" w:eastAsia="zh-CN"/>
        </w:rPr>
        <w:t xml:space="preserve">，质保期自项目</w:t>
      </w:r>
      <w:r>
        <w:rPr>
          <w:rFonts w:hint="eastAsia" w:ascii="宋体" w:hAnsi="宋体" w:cs="宋体"/>
          <w:color w:val="auto"/>
          <w:szCs w:val="21"/>
          <w:highlight w:val="none"/>
          <w:lang w:val="en-US" w:eastAsia="zh-CN"/>
        </w:rPr>
        <w:t xml:space="preserve">整体</w:t>
      </w:r>
      <w:r>
        <w:rPr>
          <w:rFonts w:hint="eastAsia" w:ascii="宋体" w:hAnsi="宋体" w:eastAsia="宋体" w:cs="宋体"/>
          <w:color w:val="auto"/>
          <w:szCs w:val="21"/>
          <w:highlight w:val="none"/>
          <w:lang w:val="en-US" w:eastAsia="zh-CN"/>
        </w:rPr>
        <w:t xml:space="preserve">验收合格之日起计算。</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4.2质保期内，发生任何非人为故障，根据采购人报障的故障级别，供应商采取必要的服务措施（包括调整），尽快修复故障，恢复系统的正常运行。</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疑难问题（不危及运行）在24小时内答复用户。</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重大问题（危及运行）在2小时内到现场处理或通过网络远程处理。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特大问题（不能正常运行）在2小时内恢复系统运行，并在24小时内派技术人员到现场解决。</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5、验收要求</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lang w:val="en-US" w:eastAsia="zh-CN"/>
        </w:rPr>
        <w:t xml:space="preserve">5.1</w:t>
      </w:r>
      <w:r>
        <w:rPr>
          <w:rFonts w:hint="eastAsia" w:ascii="宋体" w:hAnsi="宋体"/>
          <w:color w:val="auto"/>
          <w:sz w:val="21"/>
          <w:highlight w:val="none"/>
        </w:rPr>
        <w:t xml:space="preserve">采购人按照本项目</w:t>
      </w:r>
      <w:r>
        <w:rPr>
          <w:rFonts w:hint="eastAsia" w:ascii="宋体" w:hAnsi="宋体"/>
          <w:color w:val="auto"/>
          <w:sz w:val="21"/>
          <w:highlight w:val="none"/>
          <w:lang w:val="en-US" w:eastAsia="zh-CN"/>
        </w:rPr>
        <w:t xml:space="preserve">采购</w:t>
      </w:r>
      <w:r>
        <w:rPr>
          <w:rFonts w:hint="eastAsia" w:ascii="宋体" w:hAnsi="宋体"/>
          <w:color w:val="auto"/>
          <w:sz w:val="21"/>
          <w:highlight w:val="none"/>
        </w:rPr>
        <w:t xml:space="preserve">文件要求和国家、省市相关标准规范，组织对本项目进行验收。</w:t>
      </w:r>
      <w:r/>
    </w:p>
    <w:p>
      <w:pPr>
        <w:ind w:left="0" w:firstLine="420"/>
        <w:spacing w:line="360" w:lineRule="auto"/>
        <w:tabs>
          <w:tab w:val="left" w:pos="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5.2验收时间：试运行周期结束后，由采购方组织整体验收（详见合同附件《履约验收方案》）</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lang w:val="en-US" w:eastAsia="zh-CN"/>
        </w:rPr>
        <w:t xml:space="preserve">5.3成交单位</w:t>
      </w:r>
      <w:r>
        <w:rPr>
          <w:rFonts w:hint="eastAsia" w:ascii="宋体" w:hAnsi="宋体"/>
          <w:color w:val="auto"/>
          <w:sz w:val="21"/>
          <w:highlight w:val="none"/>
        </w:rPr>
        <w:t xml:space="preserve">在</w:t>
      </w:r>
      <w:r>
        <w:rPr>
          <w:rFonts w:hint="eastAsia" w:ascii="宋体" w:hAnsi="宋体"/>
          <w:color w:val="auto"/>
          <w:sz w:val="21"/>
          <w:highlight w:val="none"/>
          <w:lang w:val="en-US" w:eastAsia="zh-CN"/>
        </w:rPr>
        <w:t xml:space="preserve">整体</w:t>
      </w:r>
      <w:r>
        <w:rPr>
          <w:rFonts w:hint="eastAsia" w:ascii="宋体" w:hAnsi="宋体"/>
          <w:color w:val="auto"/>
          <w:sz w:val="21"/>
          <w:highlight w:val="none"/>
        </w:rPr>
        <w:t xml:space="preserve">验收之前提供给采购人一份详细</w:t>
      </w:r>
      <w:r>
        <w:rPr>
          <w:rFonts w:hint="eastAsia" w:ascii="宋体" w:hAnsi="宋体"/>
          <w:color w:val="auto"/>
          <w:sz w:val="21"/>
          <w:highlight w:val="none"/>
          <w:lang w:val="en-US" w:eastAsia="zh-CN"/>
        </w:rPr>
        <w:t xml:space="preserve">具体</w:t>
      </w:r>
      <w:r>
        <w:rPr>
          <w:rFonts w:hint="eastAsia" w:ascii="宋体" w:hAnsi="宋体"/>
          <w:color w:val="auto"/>
          <w:sz w:val="21"/>
          <w:highlight w:val="none"/>
        </w:rPr>
        <w:t xml:space="preserve">的项目验收</w:t>
      </w:r>
      <w:r>
        <w:rPr>
          <w:rFonts w:hint="eastAsia" w:ascii="宋体" w:hAnsi="宋体"/>
          <w:color w:val="auto"/>
          <w:sz w:val="21"/>
          <w:highlight w:val="none"/>
          <w:lang w:val="en-US" w:eastAsia="zh-CN"/>
        </w:rPr>
        <w:t xml:space="preserve">资料</w:t>
      </w:r>
      <w:r>
        <w:rPr>
          <w:rFonts w:hint="eastAsia" w:ascii="宋体" w:hAnsi="宋体"/>
          <w:color w:val="auto"/>
          <w:sz w:val="21"/>
          <w:highlight w:val="none"/>
        </w:rPr>
        <w:t xml:space="preserve">。</w:t>
      </w:r>
      <w:r/>
    </w:p>
    <w:p>
      <w:pPr>
        <w:ind w:firstLine="422"/>
        <w:rPr>
          <w:rFonts w:hint="default"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t xml:space="preserve">六、其他说明</w:t>
      </w:r>
      <w:r/>
    </w:p>
    <w:p>
      <w:pPr>
        <w:ind w:firstLine="422"/>
        <w:rPr>
          <w:rFonts w:hint="eastAsia" w:ascii="宋体" w:hAnsi="宋体" w:cs="宋体"/>
          <w:b/>
          <w:bCs/>
          <w:color w:val="auto"/>
          <w:szCs w:val="21"/>
          <w:highlight w:val="none"/>
          <w:lang w:val="zh-CN" w:eastAsia="zh-CN" w:bidi="zh-CN"/>
        </w:rPr>
      </w:pPr>
      <w:r>
        <w:rPr>
          <w:rFonts w:hint="eastAsia" w:ascii="宋体" w:hAnsi="宋体" w:cs="宋体"/>
          <w:b/>
          <w:bCs/>
          <w:color w:val="auto"/>
          <w:szCs w:val="21"/>
          <w:highlight w:val="none"/>
          <w:lang w:val="en-US" w:eastAsia="zh-CN" w:bidi="zh-CN"/>
        </w:rPr>
        <w:t xml:space="preserve">（一）</w:t>
      </w:r>
      <w:r>
        <w:rPr>
          <w:rFonts w:hint="eastAsia" w:ascii="宋体" w:hAnsi="宋体" w:cs="宋体"/>
          <w:b/>
          <w:bCs/>
          <w:color w:val="auto"/>
          <w:szCs w:val="21"/>
          <w:highlight w:val="none"/>
          <w:lang w:val="zh-CN" w:eastAsia="zh-CN" w:bidi="zh-CN"/>
        </w:rPr>
        <w:t xml:space="preserve">报价要求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响应总报价包括软硬件的安装与调试、试运行、验收、运维、质保、利润、税金、人员工资、保险、培训、技术支持、代理服务费、政策性文件规定及合同包含的所有风险、责任等其它投标单位认为应纳入的一切费用，除非合同条款中另有规定，否则，投标单位所报价格在合同实施期间不因市场变化因素而变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2、付款步骤与方式：本合同签订并生效后甲方向乙方支付合同金额的30%，项目验收合格后30日内甲方支付合同金额的65%，合同金额的5%验收合格后一年内支付。</w:t>
      </w:r>
      <w:r/>
    </w:p>
    <w:p>
      <w:pPr>
        <w:ind w:firstLine="42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（二）其他要求</w:t>
      </w:r>
      <w:r/>
    </w:p>
    <w:p>
      <w:pPr>
        <w:ind w:firstLine="420"/>
        <w:spacing w:line="360" w:lineRule="auto"/>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1、本项目</w:t>
      </w:r>
      <w:r>
        <w:rPr>
          <w:rFonts w:hint="eastAsia" w:ascii="宋体" w:hAnsi="宋体" w:cs="宋体"/>
          <w:color w:val="auto"/>
          <w:szCs w:val="21"/>
          <w:highlight w:val="none"/>
          <w:u w:val="single"/>
          <w:lang w:val="en-US" w:eastAsia="zh-CN"/>
        </w:rPr>
        <w:t xml:space="preserve">成交单位</w:t>
      </w:r>
      <w:r>
        <w:rPr>
          <w:rFonts w:hint="eastAsia" w:ascii="宋体" w:hAnsi="宋体" w:eastAsia="宋体" w:cs="宋体"/>
          <w:color w:val="auto"/>
          <w:szCs w:val="21"/>
          <w:highlight w:val="none"/>
          <w:u w:val="single"/>
          <w:lang w:val="en-US" w:eastAsia="zh-CN"/>
        </w:rPr>
        <w:t xml:space="preserve">需在</w:t>
      </w:r>
      <w:r>
        <w:rPr>
          <w:rFonts w:hint="eastAsia" w:ascii="宋体" w:hAnsi="宋体" w:cs="宋体"/>
          <w:color w:val="auto"/>
          <w:szCs w:val="21"/>
          <w:highlight w:val="none"/>
          <w:u w:val="single"/>
          <w:lang w:val="en-US" w:eastAsia="zh-CN"/>
        </w:rPr>
        <w:t xml:space="preserve">合同签订前且成交公告发布后7个工作日内，</w:t>
      </w:r>
      <w:r>
        <w:rPr>
          <w:rFonts w:hint="eastAsia" w:ascii="宋体" w:hAnsi="宋体" w:eastAsia="宋体" w:cs="宋体"/>
          <w:color w:val="auto"/>
          <w:szCs w:val="21"/>
          <w:highlight w:val="none"/>
          <w:u w:val="single"/>
          <w:lang w:val="en-US" w:eastAsia="zh-CN"/>
        </w:rPr>
        <w:t xml:space="preserve">将</w:t>
      </w:r>
      <w:r>
        <w:rPr>
          <w:rFonts w:hint="eastAsia" w:ascii="宋体" w:hAnsi="宋体" w:cs="宋体"/>
          <w:color w:val="auto"/>
          <w:szCs w:val="21"/>
          <w:highlight w:val="none"/>
          <w:u w:val="single"/>
          <w:lang w:val="en-US" w:eastAsia="zh-CN"/>
        </w:rPr>
        <w:t xml:space="preserve">响应</w:t>
      </w:r>
      <w:r>
        <w:rPr>
          <w:rFonts w:hint="eastAsia" w:ascii="宋体" w:hAnsi="宋体" w:eastAsia="宋体" w:cs="宋体"/>
          <w:color w:val="auto"/>
          <w:szCs w:val="21"/>
          <w:highlight w:val="none"/>
          <w:u w:val="single"/>
          <w:lang w:val="en-US" w:eastAsia="zh-CN"/>
        </w:rPr>
        <w:t xml:space="preserve">文件中提供的相关证明材料原件送至</w:t>
      </w:r>
      <w:r>
        <w:rPr>
          <w:rFonts w:hint="eastAsia" w:ascii="宋体" w:hAnsi="宋体" w:cs="宋体"/>
          <w:color w:val="auto"/>
          <w:szCs w:val="21"/>
          <w:highlight w:val="none"/>
          <w:u w:val="single"/>
          <w:lang w:val="en-US" w:eastAsia="zh-CN"/>
        </w:rPr>
        <w:t xml:space="preserve">采购方进行</w:t>
      </w:r>
      <w:r>
        <w:rPr>
          <w:rFonts w:hint="eastAsia" w:ascii="宋体" w:hAnsi="宋体" w:eastAsia="宋体" w:cs="宋体"/>
          <w:color w:val="auto"/>
          <w:szCs w:val="21"/>
          <w:highlight w:val="none"/>
          <w:u w:val="single"/>
          <w:lang w:val="en-US" w:eastAsia="zh-CN"/>
        </w:rPr>
        <w:t xml:space="preserve">审核，如有未按时提供相关证明材料原件或发现有提供虚假材料（弄虚作假）的行为，采购单位将按本招标文件（第</w:t>
      </w:r>
      <w:r>
        <w:rPr>
          <w:rFonts w:hint="eastAsia" w:ascii="宋体" w:hAnsi="宋体" w:cs="宋体"/>
          <w:color w:val="auto"/>
          <w:szCs w:val="21"/>
          <w:highlight w:val="none"/>
          <w:u w:val="single"/>
          <w:lang w:val="en-US" w:eastAsia="zh-CN"/>
        </w:rPr>
        <w:t xml:space="preserve">二</w:t>
      </w:r>
      <w:r>
        <w:rPr>
          <w:rFonts w:hint="eastAsia" w:ascii="宋体" w:hAnsi="宋体" w:eastAsia="宋体" w:cs="宋体"/>
          <w:color w:val="auto"/>
          <w:szCs w:val="21"/>
          <w:highlight w:val="none"/>
          <w:u w:val="single"/>
          <w:lang w:val="en-US" w:eastAsia="zh-CN"/>
        </w:rPr>
        <w:t xml:space="preserve">章 第11.2.1条）要求取消</w:t>
      </w:r>
      <w:r>
        <w:rPr>
          <w:rFonts w:hint="eastAsia" w:ascii="宋体" w:hAnsi="宋体" w:cs="宋体"/>
          <w:color w:val="auto"/>
          <w:szCs w:val="21"/>
          <w:highlight w:val="none"/>
          <w:u w:val="single"/>
          <w:lang w:val="en-US" w:eastAsia="zh-CN"/>
        </w:rPr>
        <w:t xml:space="preserve">其中标</w:t>
      </w:r>
      <w:r>
        <w:rPr>
          <w:rFonts w:hint="eastAsia" w:ascii="宋体" w:hAnsi="宋体" w:eastAsia="宋体" w:cs="宋体"/>
          <w:color w:val="auto"/>
          <w:szCs w:val="21"/>
          <w:highlight w:val="none"/>
          <w:u w:val="single"/>
          <w:lang w:val="en-US" w:eastAsia="zh-CN"/>
        </w:rPr>
        <w:t xml:space="preserve">资格。</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保密及信息安全要求：要求成交单位针对本项目涉及内容制定保密措施并在项目实施过程中严格执行，对因成交方原因所造成的泄密结果，成交方应承担全部责任，要求提供对本项目的保密承诺，项目实施过程应严格遵守信息安全保护要求。</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、成交方须为本项目配备的服务人员按规定缴纳社会保险及人身意外险，若工作人员在项目实施期间出现的工伤及其他意外事故，均由成交方自行负责，采购人不承担任何责任。</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4、投标人按照采购文件的要求提交响应文件，并对所提供的全部资料的真实性承担法律责任。</w:t>
      </w:r>
      <w:r/>
    </w:p>
    <w:p>
      <w:pPr>
        <w:ind w:firstLine="420"/>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知识产权：成交单位应保证所提供标的和标的物涉及到的知识产权是合法取得，并享有完整的知识产权，不会因采购方的使用而被责令停止使用、追偿或要求赔偿损失，如出现此情况，一切经济和法律责任均由成交方承担。成交方应按投标文件的有关规定提供合格的标的和标的物，质量符合国际或国家通用标准。</w:t>
      </w:r>
      <w:r/>
    </w:p>
    <w:p>
      <w:pPr>
        <w:ind w:firstLine="422"/>
        <w:rPr>
          <w:rFonts w:ascii="宋体" w:hAnsi="宋体" w:cs="宋体"/>
          <w:color w:val="auto"/>
          <w:szCs w:val="21"/>
          <w:highlight w:val="none"/>
        </w:rPr>
      </w:pP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凡涉及招标文件的补充说明和修改，均以网上发布的通知为准。</w:t>
      </w:r>
      <w:r>
        <w:rPr>
          <w:rFonts w:hint="eastAsia" w:ascii="宋体" w:hAnsi="宋体" w:cs="宋体"/>
          <w:bCs/>
          <w:color w:val="auto"/>
          <w:szCs w:val="21"/>
          <w:highlight w:val="none"/>
        </w:rPr>
        <w:br w:type="page" w:clear="all"/>
      </w:r>
      <w:r/>
    </w:p>
    <w:p>
      <w:pPr>
        <w:pStyle w:val="864"/>
        <w:rPr>
          <w:color w:val="auto"/>
          <w:highlight w:val="none"/>
        </w:rPr>
      </w:pPr>
      <w:r/>
      <w:bookmarkStart w:id="109" w:name="_Toc7862"/>
      <w:r/>
      <w:bookmarkStart w:id="110" w:name="_Toc14846"/>
      <w:r>
        <w:rPr>
          <w:rFonts w:hint="eastAsia"/>
          <w:color w:val="auto"/>
          <w:highlight w:val="none"/>
        </w:rPr>
        <w:t xml:space="preserve">四、评标办法及评分标准</w:t>
      </w:r>
      <w:bookmarkEnd w:id="109"/>
      <w:r/>
      <w:bookmarkEnd w:id="110"/>
      <w:r/>
      <w:r/>
    </w:p>
    <w:p>
      <w:pPr>
        <w:ind w:firstLine="422"/>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pStyle w:val="1214"/>
        <w:ind w:firstLine="420"/>
        <w:rPr>
          <w:rFonts w:ascii="宋体" w:hAnsi="宋体" w:cs="宋体"/>
          <w:color w:val="auto"/>
          <w:highlight w:val="none"/>
        </w:rPr>
      </w:pPr>
      <w:r/>
      <w:bookmarkStart w:id="111" w:name="_Toc2682"/>
      <w:r>
        <w:rPr>
          <w:rFonts w:hint="eastAsia" w:ascii="宋体" w:hAnsi="宋体" w:cs="宋体"/>
          <w:color w:val="auto"/>
          <w:highlight w:val="none"/>
        </w:rPr>
        <w:t xml:space="preserve">1.本次磋商评标采用综合评分法，综合评分法是指投标文件满足投标文件全部实质性要求，且按照评审因素的量化指标评审得分最高的投标人为中标人的评标方法。</w:t>
      </w:r>
      <w:r/>
    </w:p>
    <w:p>
      <w:pPr>
        <w:pStyle w:val="1214"/>
        <w:ind w:firstLine="420"/>
        <w:rPr>
          <w:rFonts w:hint="eastAsia" w:ascii="宋体" w:hAnsi="宋体" w:cs="宋体"/>
          <w:color w:val="auto"/>
          <w:highlight w:val="none"/>
        </w:rPr>
      </w:pPr>
      <w:r>
        <w:rPr>
          <w:rFonts w:hint="eastAsia" w:ascii="宋体" w:hAnsi="宋体" w:cs="宋体"/>
          <w:color w:val="auto"/>
          <w:highlight w:val="none"/>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pStyle w:val="1214"/>
        <w:ind w:firstLine="42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pStyle w:val="1214"/>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214"/>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214"/>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(3)投标（响应）报价低于采购项目最高限价45%的，即投标（响应）报价&lt;采购项目最高限价×45%； </w:t>
      </w:r>
      <w:r/>
    </w:p>
    <w:p>
      <w:pPr>
        <w:pStyle w:val="1214"/>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 磋商小组基于专业判断，认为供应商报价过低，有可能影响产品质量或者不能诚信履约的其他情形。 </w:t>
      </w:r>
      <w:r/>
    </w:p>
    <w:p>
      <w:pPr>
        <w:pStyle w:val="1214"/>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相关法律法规对供应商报价有规定的，从其规定。</w:t>
      </w:r>
      <w:r/>
    </w:p>
    <w:p>
      <w:pPr>
        <w:pStyle w:val="1214"/>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1214"/>
        <w:ind w:firstLine="420"/>
        <w:rPr>
          <w:rFonts w:hint="eastAsia" w:ascii="宋体" w:hAnsi="宋体" w:cs="宋体"/>
          <w:color w:val="auto"/>
          <w:highlight w:val="none"/>
        </w:rPr>
      </w:pPr>
      <w:r>
        <w:rPr>
          <w:rFonts w:hint="eastAsia" w:ascii="宋体" w:hAnsi="宋体" w:cs="宋体"/>
          <w:color w:val="auto"/>
          <w:highlight w:val="none"/>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214"/>
        <w:ind w:firstLine="42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对报价异常低且经评审委员会启动相关审查机制后仍中标或成交的供应商，采购人要重点关注其履约能力、履约承诺、实际履约情况等。如供应商在中标或成交后无正当理由拒不签订采购合同，采购人将依法追究其法律责任；如供应商在签订采购合同后不严格履行合同，采购人应按照采购合同约定追究供应商违约责任。</w:t>
      </w:r>
      <w:r/>
    </w:p>
    <w:p>
      <w:pPr>
        <w:pStyle w:val="1214"/>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pStyle w:val="1214"/>
        <w:ind w:firstLine="420"/>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政府采购政策功能落实</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本项目专门面向中小微企业，不再享受价格折扣优惠政策。</w:t>
      </w:r>
      <w:r/>
    </w:p>
    <w:p>
      <w:pPr>
        <w:numPr>
          <w:ilvl w:val="0"/>
          <w:numId w:val="12"/>
        </w:numPr>
        <w:ind w:firstLine="422"/>
        <w:rPr>
          <w:rFonts w:ascii="宋体" w:hAnsi="宋体" w:cs="宋体"/>
          <w:b/>
          <w:color w:val="auto"/>
          <w:szCs w:val="21"/>
          <w:highlight w:val="none"/>
        </w:rPr>
      </w:pPr>
      <w:r>
        <w:rPr>
          <w:rFonts w:hint="eastAsia" w:ascii="宋体" w:hAnsi="宋体" w:cs="宋体"/>
          <w:b/>
          <w:color w:val="auto"/>
          <w:szCs w:val="21"/>
          <w:highlight w:val="none"/>
        </w:rPr>
        <w:t xml:space="preserve">评分标准</w:t>
      </w:r>
      <w:bookmarkEnd w:id="111"/>
      <w:r/>
      <w:r/>
    </w:p>
    <w:p>
      <w:pPr>
        <w:pStyle w:val="1214"/>
        <w:ind w:firstLine="420"/>
        <w:rPr>
          <w:rFonts w:ascii="宋体" w:hAnsi="宋体" w:cs="宋体"/>
          <w:color w:val="auto"/>
          <w:highlight w:val="none"/>
        </w:rPr>
      </w:pPr>
      <w:r>
        <w:rPr>
          <w:rFonts w:hint="eastAsia" w:ascii="宋体" w:hAnsi="宋体" w:cs="宋体"/>
          <w:color w:val="auto"/>
          <w:highlight w:val="none"/>
        </w:rPr>
        <w:t xml:space="preserve">总分值均为100分，评审因素及各比重如下：价格分值占总分值的比重为10%（权重），技术与方案及其它占90%（权重）。</w:t>
      </w:r>
      <w:r/>
    </w:p>
    <w:p>
      <w:pPr>
        <w:pStyle w:val="1214"/>
        <w:numPr>
          <w:ilvl w:val="0"/>
          <w:numId w:val="13"/>
        </w:numPr>
        <w:rPr>
          <w:rFonts w:ascii="宋体" w:hAnsi="宋体" w:cs="宋体"/>
          <w:b/>
          <w:bCs/>
          <w:color w:val="auto"/>
          <w:highlight w:val="none"/>
        </w:rPr>
      </w:pPr>
      <w:r/>
      <w:bookmarkStart w:id="112" w:name="_Toc1758"/>
      <w:r>
        <w:rPr>
          <w:rFonts w:hint="eastAsia" w:ascii="宋体" w:hAnsi="宋体" w:cs="宋体"/>
          <w:b/>
          <w:bCs/>
          <w:color w:val="auto"/>
          <w:highlight w:val="none"/>
        </w:rPr>
        <w:t xml:space="preserve">价格分（10分）</w:t>
      </w:r>
      <w:r/>
    </w:p>
    <w:p>
      <w:pPr>
        <w:pStyle w:val="1214"/>
        <w:ind w:firstLine="420"/>
        <w:rPr>
          <w:rFonts w:ascii="宋体" w:hAnsi="宋体" w:cs="宋体"/>
          <w:color w:val="auto"/>
          <w:highlight w:val="none"/>
        </w:rPr>
      </w:pPr>
      <w:r/>
      <w:bookmarkStart w:id="113" w:name="OLE_LINK39"/>
      <w:r/>
      <w:bookmarkStart w:id="114" w:name="OLE_LINK19"/>
      <w:r>
        <w:rPr>
          <w:rFonts w:hint="eastAsia" w:ascii="宋体" w:hAnsi="宋体" w:cs="宋体"/>
          <w:color w:val="auto"/>
          <w:highlight w:val="none"/>
        </w:rPr>
        <w:t xml:space="preserve">1.投标总报价低于或等于财政预算价格的，为有效投标报价。超财政预算的投标报价为无效投标报价。无效投标报价的投标文件不进行评审，也不得标。</w:t>
      </w:r>
      <w:r/>
    </w:p>
    <w:p>
      <w:pPr>
        <w:pStyle w:val="1214"/>
        <w:ind w:firstLine="420"/>
        <w:rPr>
          <w:rFonts w:ascii="宋体" w:hAnsi="宋体" w:cs="宋体"/>
          <w:color w:val="auto"/>
          <w:highlight w:val="none"/>
        </w:rPr>
      </w:pPr>
      <w:r>
        <w:rPr>
          <w:rFonts w:hint="eastAsia" w:ascii="宋体" w:hAnsi="宋体" w:cs="宋体"/>
          <w:color w:val="auto"/>
          <w:highlight w:val="none"/>
        </w:rPr>
        <w:t xml:space="preserve">2.价格分采用低价优先法计算，即满足招标文件要求且投标价格最低的投标报价为评标基准价。其他响应单位的价格分按照下列公式计算（计算结果四舍五入保留两位小数）。</w:t>
      </w:r>
      <w:r/>
    </w:p>
    <w:p>
      <w:pPr>
        <w:pStyle w:val="1214"/>
        <w:ind w:firstLine="420"/>
        <w:rPr>
          <w:rFonts w:ascii="宋体" w:hAnsi="宋体" w:cs="宋体"/>
          <w:color w:val="auto"/>
          <w:highlight w:val="none"/>
        </w:rPr>
      </w:pPr>
      <w:r>
        <w:rPr>
          <w:rFonts w:hint="eastAsia" w:ascii="宋体" w:hAnsi="宋体" w:cs="宋体"/>
          <w:color w:val="auto"/>
          <w:highlight w:val="none"/>
        </w:rPr>
        <w:t xml:space="preserve">投标报价得分=（评标基准价/投标报价）*10%*100，小数点后保留两位。</w:t>
      </w:r>
      <w:bookmarkEnd w:id="113"/>
      <w:r/>
      <w:bookmarkEnd w:id="114"/>
      <w:r/>
      <w:r/>
    </w:p>
    <w:p>
      <w:pPr>
        <w:pStyle w:val="1214"/>
        <w:ind w:firstLine="420"/>
        <w:rPr>
          <w:rFonts w:ascii="宋体" w:hAnsi="宋体" w:cs="宋体"/>
          <w:color w:val="auto"/>
          <w:highlight w:val="none"/>
        </w:rPr>
      </w:pPr>
      <w:r>
        <w:rPr>
          <w:rFonts w:hint="eastAsia" w:ascii="宋体" w:hAnsi="宋体" w:cs="宋体"/>
          <w:color w:val="auto"/>
          <w:highlight w:val="none"/>
        </w:rPr>
        <w:t xml:space="preserve">3.报价修正规则</w:t>
      </w:r>
      <w:r/>
    </w:p>
    <w:p>
      <w:pPr>
        <w:pStyle w:val="1214"/>
        <w:ind w:firstLine="420"/>
        <w:rPr>
          <w:rFonts w:ascii="宋体" w:hAnsi="宋体" w:cs="宋体"/>
          <w:color w:val="auto"/>
          <w:highlight w:val="none"/>
        </w:rPr>
      </w:pPr>
      <w:r>
        <w:rPr>
          <w:rFonts w:hint="eastAsia" w:ascii="宋体" w:hAnsi="宋体" w:cs="宋体"/>
          <w:color w:val="auto"/>
          <w:highlight w:val="none"/>
        </w:rPr>
        <w:t xml:space="preserve">在评审中，对投标报价出现前后不一致的，除招标文件另有规定外，按照下列规定修正：</w:t>
      </w:r>
      <w:r/>
    </w:p>
    <w:p>
      <w:pPr>
        <w:pStyle w:val="1214"/>
        <w:ind w:firstLine="420"/>
        <w:rPr>
          <w:rFonts w:ascii="宋体" w:hAnsi="宋体" w:cs="宋体"/>
          <w:color w:val="auto"/>
          <w:highlight w:val="none"/>
        </w:rPr>
      </w:pPr>
      <w:r>
        <w:rPr>
          <w:rFonts w:hint="eastAsia" w:ascii="宋体" w:hAnsi="宋体" w:cs="宋体"/>
          <w:color w:val="auto"/>
          <w:highlight w:val="none"/>
        </w:rPr>
        <w:t xml:space="preserve">（1）投标文件中磋商响应报价表内容与投标文件中明细表内容不一致的，以磋商响应报价表为准。</w:t>
      </w:r>
      <w:r/>
    </w:p>
    <w:p>
      <w:pPr>
        <w:pStyle w:val="1214"/>
        <w:ind w:firstLine="420"/>
        <w:rPr>
          <w:rFonts w:ascii="宋体" w:hAnsi="宋体" w:cs="宋体"/>
          <w:color w:val="auto"/>
          <w:highlight w:val="none"/>
        </w:rPr>
      </w:pPr>
      <w:r>
        <w:rPr>
          <w:rFonts w:hint="eastAsia" w:ascii="宋体" w:hAnsi="宋体" w:cs="宋体"/>
          <w:color w:val="auto"/>
          <w:highlight w:val="none"/>
        </w:rPr>
        <w:t xml:space="preserve">（2）投标文件的大写金额和小写金额不一致的，以大写金额为准。</w:t>
      </w:r>
      <w:r/>
    </w:p>
    <w:p>
      <w:pPr>
        <w:pStyle w:val="1214"/>
        <w:ind w:firstLine="420"/>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（3）单价金额小数点或者百分比有明显错位的，以磋商响应报价表的总价为准，并修改单价。</w:t>
      </w:r>
      <w:r/>
    </w:p>
    <w:p>
      <w:pPr>
        <w:pStyle w:val="1214"/>
        <w:ind w:firstLine="420"/>
        <w:rPr>
          <w:rFonts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pStyle w:val="1214"/>
        <w:ind w:firstLine="420"/>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w:t>
      </w:r>
      <w:r/>
    </w:p>
    <w:p>
      <w:pPr>
        <w:pStyle w:val="1214"/>
        <w:ind w:firstLine="420"/>
        <w:rPr>
          <w:rFonts w:ascii="宋体" w:hAnsi="宋体" w:cs="宋体"/>
          <w:color w:val="auto"/>
          <w:highlight w:val="none"/>
        </w:rPr>
      </w:pPr>
      <w:r>
        <w:rPr>
          <w:rFonts w:hint="eastAsia" w:ascii="宋体" w:hAnsi="宋体" w:cs="宋体"/>
          <w:color w:val="auto"/>
          <w:highlight w:val="none"/>
        </w:rPr>
        <w:t xml:space="preserve">按上述方法调整后的投标报价经投标人确认后产生约束力，投标人不确认的，其投标无效。</w:t>
      </w:r>
      <w:r/>
    </w:p>
    <w:p>
      <w:pPr>
        <w:pStyle w:val="1214"/>
        <w:numPr>
          <w:ilvl w:val="0"/>
          <w:numId w:val="13"/>
        </w:numPr>
        <w:rPr>
          <w:rFonts w:ascii="宋体" w:hAnsi="宋体" w:cs="宋体"/>
          <w:b/>
          <w:bCs/>
          <w:color w:val="auto"/>
          <w:highlight w:val="none"/>
        </w:rPr>
      </w:pPr>
      <w:r>
        <w:rPr>
          <w:rFonts w:hint="eastAsia" w:ascii="宋体" w:hAnsi="宋体" w:cs="宋体"/>
          <w:b/>
          <w:bCs/>
          <w:color w:val="auto"/>
          <w:highlight w:val="none"/>
        </w:rPr>
        <w:t xml:space="preserve">技术及商务评分（90分）</w:t>
      </w:r>
      <w:r/>
    </w:p>
    <w:tbl>
      <w:tblPr>
        <w:tblStyle w:val="874"/>
        <w:tblW w:w="4996"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1560"/>
        <w:gridCol w:w="5696"/>
        <w:gridCol w:w="811"/>
      </w:tblGrid>
      <w:tr>
        <w:trPr>
          <w:trHeight w:val="397"/>
        </w:trPr>
        <w:tc>
          <w:tcPr>
            <w:tcW w:w="654" w:type="pct"/>
            <w:vAlign w:val="center"/>
            <w:textDirection w:val="lrTb"/>
            <w:noWrap w:val="false"/>
          </w:tcPr>
          <w:p>
            <w:pPr>
              <w:jc w:val="center"/>
              <w:spacing w:line="440" w:lineRule="exact"/>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评审类别</w:t>
            </w:r>
            <w:r/>
          </w:p>
        </w:tc>
        <w:tc>
          <w:tcPr>
            <w:tcW w:w="840" w:type="pct"/>
            <w:vAlign w:val="center"/>
            <w:textDirection w:val="lrTb"/>
            <w:noWrap w:val="false"/>
          </w:tcPr>
          <w:p>
            <w:pPr>
              <w:jc w:val="center"/>
              <w:spacing w:line="440" w:lineRule="exact"/>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评审项</w:t>
            </w:r>
            <w:r/>
          </w:p>
        </w:tc>
        <w:tc>
          <w:tcPr>
            <w:tcW w:w="3068" w:type="pct"/>
            <w:vAlign w:val="center"/>
            <w:textDirection w:val="lrTb"/>
            <w:noWrap w:val="false"/>
          </w:tcPr>
          <w:p>
            <w:pPr>
              <w:jc w:val="center"/>
              <w:spacing w:line="440" w:lineRule="exact"/>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评审规则</w:t>
            </w:r>
            <w:r/>
          </w:p>
        </w:tc>
        <w:tc>
          <w:tcPr>
            <w:tcW w:w="437" w:type="pct"/>
            <w:vAlign w:val="center"/>
            <w:textDirection w:val="lrTb"/>
            <w:noWrap w:val="false"/>
          </w:tcPr>
          <w:p>
            <w:pPr>
              <w:jc w:val="center"/>
              <w:spacing w:line="44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分值</w:t>
            </w:r>
            <w:r/>
          </w:p>
        </w:tc>
      </w:tr>
      <w:tr>
        <w:trPr>
          <w:trHeight w:val="397"/>
        </w:trPr>
        <w:tc>
          <w:tcPr>
            <w:tcW w:w="654" w:type="pct"/>
            <w:vAlign w:val="center"/>
            <w:vMerge w:val="restart"/>
            <w:textDirection w:val="lrTb"/>
            <w:noWrap w:val="false"/>
          </w:tcPr>
          <w:p>
            <w:pPr>
              <w:jc w:val="center"/>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质量及技术部分</w:t>
            </w:r>
            <w:r/>
          </w:p>
          <w:p>
            <w:pPr>
              <w:jc w:val="center"/>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840" w:type="pct"/>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投标产品技术质量（包括产品技术参数、产品性能等）情况比较（20分）</w:t>
            </w:r>
            <w:r/>
          </w:p>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068" w:type="pct"/>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投标单位必须详尽真实的提供</w:t>
            </w:r>
            <w:r>
              <w:rPr>
                <w:rFonts w:hint="eastAsia" w:ascii="宋体" w:hAnsi="宋体" w:eastAsia="宋体" w:cs="宋体"/>
                <w:color w:val="auto"/>
                <w:sz w:val="21"/>
                <w:szCs w:val="21"/>
                <w:highlight w:val="none"/>
                <w:lang w:val="en-US" w:eastAsia="zh-CN"/>
              </w:rPr>
              <w:t xml:space="preserve">该标段</w:t>
            </w:r>
            <w:r>
              <w:rPr>
                <w:rFonts w:hint="eastAsia" w:ascii="宋体" w:hAnsi="宋体" w:eastAsia="宋体" w:cs="宋体"/>
                <w:color w:val="auto"/>
                <w:sz w:val="21"/>
                <w:szCs w:val="21"/>
                <w:highlight w:val="none"/>
              </w:rPr>
              <w:t xml:space="preserve">投标产品的技术参数表和技术响应对照表并提供相应的设备详细技术特性说明。</w:t>
            </w:r>
            <w:r/>
          </w:p>
          <w:p>
            <w:pPr>
              <w:jc w:val="left"/>
              <w:spacing w:line="44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评委根据投标设备的主要技术参数及功能的符合性进行评分，所投设备的技术参数及功能</w:t>
            </w:r>
            <w:r>
              <w:rPr>
                <w:rFonts w:hint="eastAsia" w:ascii="宋体" w:hAnsi="宋体" w:eastAsia="宋体" w:cs="宋体"/>
                <w:color w:val="auto"/>
                <w:sz w:val="21"/>
                <w:szCs w:val="21"/>
                <w:highlight w:val="none"/>
                <w:lang w:val="en-US" w:eastAsia="zh-CN"/>
              </w:rPr>
              <w:t xml:space="preserve">均须</w:t>
            </w:r>
            <w:r>
              <w:rPr>
                <w:rFonts w:hint="eastAsia" w:ascii="宋体" w:hAnsi="宋体" w:eastAsia="宋体" w:cs="宋体"/>
                <w:color w:val="auto"/>
                <w:sz w:val="21"/>
                <w:szCs w:val="21"/>
                <w:highlight w:val="none"/>
              </w:rPr>
              <w:t xml:space="preserve">满足或高于招标文件要求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”标注设备参数为重点参数，</w:t>
            </w:r>
            <w:r>
              <w:rPr>
                <w:rFonts w:hint="eastAsia" w:ascii="宋体" w:hAnsi="宋体" w:eastAsia="宋体" w:cs="宋体"/>
                <w:b/>
                <w:bCs/>
                <w:color w:val="auto"/>
                <w:sz w:val="21"/>
                <w:szCs w:val="21"/>
                <w:highlight w:val="none"/>
              </w:rPr>
              <w:t xml:space="preserve">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color w:val="auto"/>
                <w:sz w:val="21"/>
                <w:szCs w:val="21"/>
                <w:highlight w:val="none"/>
              </w:rPr>
              <w:t xml:space="preserve">”需提供</w:t>
            </w:r>
            <w:r>
              <w:rPr>
                <w:rFonts w:hint="eastAsia" w:ascii="宋体" w:hAnsi="宋体" w:eastAsia="宋体" w:cs="宋体"/>
                <w:b/>
                <w:bCs/>
                <w:color w:val="auto"/>
                <w:sz w:val="21"/>
                <w:szCs w:val="21"/>
                <w:highlight w:val="none"/>
                <w:lang w:val="en-US" w:eastAsia="zh-CN"/>
              </w:rPr>
              <w:t xml:space="preserve">公安部</w:t>
            </w:r>
            <w:r>
              <w:rPr>
                <w:rFonts w:hint="eastAsia" w:ascii="宋体" w:hAnsi="宋体" w:eastAsia="宋体" w:cs="宋体"/>
                <w:b/>
                <w:bCs/>
                <w:color w:val="auto"/>
                <w:sz w:val="21"/>
                <w:szCs w:val="21"/>
                <w:highlight w:val="none"/>
              </w:rPr>
              <w:t xml:space="preserve">权威机构出具的产品检验报告</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检测报告内容与参数要求相符或者高于参数要求的，每一项得1分,本项最高20分</w:t>
            </w:r>
            <w:r>
              <w:rPr>
                <w:rFonts w:hint="eastAsia" w:ascii="宋体" w:hAnsi="宋体" w:eastAsia="宋体" w:cs="宋体"/>
                <w:b/>
                <w:bCs/>
                <w:color w:val="auto"/>
                <w:sz w:val="21"/>
                <w:szCs w:val="21"/>
                <w:highlight w:val="none"/>
              </w:rPr>
              <w:t xml:space="preserve">（未按要求提供检测报告或提供检测报告不符合要求</w:t>
            </w:r>
            <w:r>
              <w:rPr>
                <w:rFonts w:hint="eastAsia" w:ascii="宋体" w:hAnsi="宋体" w:eastAsia="宋体" w:cs="宋体"/>
                <w:b/>
                <w:bCs/>
                <w:color w:val="auto"/>
                <w:sz w:val="21"/>
                <w:szCs w:val="21"/>
                <w:highlight w:val="none"/>
                <w:lang w:val="en-US" w:eastAsia="zh-CN"/>
              </w:rPr>
              <w:t xml:space="preserve">的不得分</w:t>
            </w:r>
            <w:r>
              <w:rPr>
                <w:rFonts w:hint="eastAsia" w:ascii="宋体" w:hAnsi="宋体" w:eastAsia="宋体" w:cs="宋体"/>
                <w:b/>
                <w:bCs/>
                <w:color w:val="auto"/>
                <w:sz w:val="21"/>
                <w:szCs w:val="21"/>
                <w:highlight w:val="none"/>
              </w:rPr>
              <w:t xml:space="preserve">）</w:t>
            </w:r>
            <w:r/>
          </w:p>
        </w:tc>
        <w:tc>
          <w:tcPr>
            <w:tcW w:w="437" w:type="pct"/>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20</w:t>
            </w:r>
            <w:r/>
          </w:p>
        </w:tc>
      </w:tr>
      <w:tr>
        <w:trPr>
          <w:trHeight w:val="397"/>
        </w:trPr>
        <w:tc>
          <w:tcPr>
            <w:tcW w:w="654" w:type="pct"/>
            <w:vAlign w:val="center"/>
            <w:vMerge w:val="continue"/>
            <w:textDirection w:val="lrTb"/>
            <w:noWrap w:val="false"/>
          </w:tcPr>
          <w:p>
            <w:pPr>
              <w:jc w:val="center"/>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840" w:type="pct"/>
            <w:vAlign w:val="center"/>
            <w:textDirection w:val="lrTb"/>
            <w:noWrap w:val="false"/>
          </w:tcPr>
          <w:p>
            <w:pPr>
              <w:jc w:val="center"/>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项目整体需求分析</w:t>
            </w:r>
            <w:r/>
          </w:p>
        </w:tc>
        <w:tc>
          <w:tcPr>
            <w:tcW w:w="3068" w:type="pct"/>
            <w:vAlign w:val="center"/>
            <w:textDirection w:val="lrTb"/>
            <w:noWrap w:val="false"/>
          </w:tcPr>
          <w:p>
            <w:pPr>
              <w:jc w:val="left"/>
              <w:spacing w:line="440" w:lineRule="exact"/>
              <w:rPr>
                <w:rFonts w:hint="eastAsia" w:ascii="宋体" w:hAnsi="宋体" w:cs="宋体"/>
                <w:color w:val="000000"/>
                <w:szCs w:val="21"/>
              </w:rPr>
            </w:pPr>
            <w:r/>
            <w:bookmarkStart w:id="115" w:name="OLE_LINK15"/>
            <w:r>
              <w:rPr>
                <w:rFonts w:hint="eastAsia" w:ascii="宋体" w:hAnsi="宋体" w:cs="宋体"/>
                <w:color w:val="auto"/>
                <w:sz w:val="21"/>
                <w:szCs w:val="21"/>
                <w:highlight w:val="none"/>
              </w:rPr>
              <w:t xml:space="preserve">投标单位对项目需求进行整体分析，包括对①业务现状、②需求理解、③业务流程。以上三项内容</w:t>
            </w:r>
            <w:r>
              <w:rPr>
                <w:rFonts w:hint="eastAsia" w:ascii="宋体" w:hAnsi="宋体" w:cs="宋体"/>
                <w:color w:val="000000"/>
                <w:szCs w:val="21"/>
              </w:rPr>
              <w:t xml:space="preserve">方案完整、符合本项目实际需求的，每项得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分，未提供不得分；每项内容里有一处内容不合理或错误的</w:t>
            </w:r>
            <w:r>
              <w:rPr>
                <w:rFonts w:hint="eastAsia" w:ascii="宋体" w:hAnsi="宋体" w:cs="宋体"/>
                <w:color w:val="000000"/>
                <w:szCs w:val="21"/>
                <w:lang w:val="en-US" w:eastAsia="zh-CN"/>
              </w:rPr>
              <w:t xml:space="preserve">扣</w:t>
            </w:r>
            <w:r>
              <w:rPr>
                <w:rFonts w:hint="eastAsia" w:ascii="宋体" w:hAnsi="宋体" w:cs="宋体"/>
                <w:color w:val="000000"/>
                <w:szCs w:val="21"/>
              </w:rPr>
              <w:t xml:space="preserve">1分，出现二处及以上的此</w:t>
            </w:r>
            <w:r>
              <w:rPr>
                <w:rFonts w:hint="eastAsia" w:ascii="宋体" w:hAnsi="宋体" w:cs="宋体"/>
                <w:color w:val="000000"/>
                <w:szCs w:val="21"/>
                <w:lang w:val="en-US" w:eastAsia="zh-CN"/>
              </w:rPr>
              <w:t xml:space="preserve">小</w:t>
            </w:r>
            <w:r>
              <w:rPr>
                <w:rFonts w:hint="eastAsia" w:ascii="宋体" w:hAnsi="宋体" w:cs="宋体"/>
                <w:color w:val="000000"/>
                <w:szCs w:val="21"/>
              </w:rPr>
              <w:t xml:space="preserve">项不得分。最高分</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bookmarkEnd w:id="115"/>
            <w:r/>
            <w:r/>
          </w:p>
          <w:p>
            <w:pPr>
              <w:jc w:val="left"/>
              <w:spacing w:line="440" w:lineRule="exact"/>
              <w:rPr>
                <w:rFonts w:ascii="宋体" w:hAnsi="宋体" w:cs="宋体"/>
                <w:bCs/>
                <w:color w:val="auto"/>
                <w:sz w:val="21"/>
                <w:szCs w:val="21"/>
                <w:highlight w:val="none"/>
              </w:rPr>
            </w:pPr>
            <w:r>
              <w:rPr>
                <w:rFonts w:hint="eastAsia" w:ascii="宋体" w:hAnsi="宋体" w:cs="宋体"/>
                <w:color w:val="auto"/>
                <w:sz w:val="21"/>
                <w:szCs w:val="21"/>
                <w:highlight w:val="none"/>
              </w:rPr>
              <w:t xml:space="preserve">注：以上内容“不合理”、“错误”是指：存在不适用项目实际情况、套用其他无关内容、内容不完整、与本项目履约无关、逻辑存在漏洞以及不满足采购文件要求的其他情况。</w:t>
            </w:r>
            <w:r/>
          </w:p>
        </w:tc>
        <w:tc>
          <w:tcPr>
            <w:tcW w:w="437" w:type="pct"/>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trHeight w:val="397"/>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textDirection w:val="lrTb"/>
            <w:noWrap w:val="false"/>
          </w:tcPr>
          <w:p>
            <w:pPr>
              <w:jc w:val="center"/>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项目总体架构</w:t>
            </w:r>
            <w:r/>
          </w:p>
        </w:tc>
        <w:tc>
          <w:tcPr>
            <w:tcW w:w="3068" w:type="pct"/>
            <w:vAlign w:val="center"/>
            <w:textDirection w:val="lrTb"/>
            <w:noWrap w:val="false"/>
          </w:tcPr>
          <w:p>
            <w:pPr>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投标单位提供平台的①网络部署架构、②应用构架。</w:t>
            </w:r>
            <w:r>
              <w:rPr>
                <w:rFonts w:hint="eastAsia" w:ascii="宋体" w:hAnsi="宋体" w:cs="宋体"/>
                <w:color w:val="auto"/>
                <w:sz w:val="21"/>
                <w:szCs w:val="21"/>
                <w:highlight w:val="none"/>
              </w:rPr>
              <w:t xml:space="preserve">以上</w:t>
            </w:r>
            <w:r>
              <w:rPr>
                <w:rFonts w:hint="eastAsia" w:ascii="宋体" w:hAnsi="宋体" w:cs="宋体"/>
                <w:color w:val="auto"/>
                <w:sz w:val="21"/>
                <w:szCs w:val="21"/>
                <w:highlight w:val="none"/>
                <w:lang w:val="en-US" w:eastAsia="zh-CN"/>
              </w:rPr>
              <w:t xml:space="preserve">两</w:t>
            </w:r>
            <w:r>
              <w:rPr>
                <w:rFonts w:hint="eastAsia" w:ascii="宋体" w:hAnsi="宋体" w:cs="宋体"/>
                <w:color w:val="auto"/>
                <w:sz w:val="21"/>
                <w:szCs w:val="21"/>
                <w:highlight w:val="none"/>
              </w:rPr>
              <w:t xml:space="preserve">项内容</w:t>
            </w:r>
            <w:r>
              <w:rPr>
                <w:rFonts w:hint="eastAsia" w:ascii="宋体" w:hAnsi="宋体" w:cs="宋体"/>
                <w:color w:val="000000"/>
                <w:szCs w:val="21"/>
              </w:rPr>
              <w:t xml:space="preserve">方案完整、符合本项目实际需求的，每项得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分，未提供不得分；每项内容里有一处内容不合理或错误的</w:t>
            </w:r>
            <w:r>
              <w:rPr>
                <w:rFonts w:hint="eastAsia" w:ascii="宋体" w:hAnsi="宋体" w:cs="宋体"/>
                <w:color w:val="000000"/>
                <w:szCs w:val="21"/>
                <w:lang w:val="en-US" w:eastAsia="zh-CN"/>
              </w:rPr>
              <w:t xml:space="preserve">扣</w:t>
            </w:r>
            <w:r>
              <w:rPr>
                <w:rFonts w:hint="eastAsia" w:ascii="宋体" w:hAnsi="宋体" w:cs="宋体"/>
                <w:color w:val="000000"/>
                <w:szCs w:val="21"/>
              </w:rPr>
              <w:t xml:space="preserve">1分，出现二处及以上的此</w:t>
            </w:r>
            <w:r>
              <w:rPr>
                <w:rFonts w:hint="eastAsia" w:ascii="宋体" w:hAnsi="宋体" w:cs="宋体"/>
                <w:color w:val="000000"/>
                <w:szCs w:val="21"/>
                <w:lang w:val="en-US" w:eastAsia="zh-CN"/>
              </w:rPr>
              <w:t xml:space="preserve">小</w:t>
            </w:r>
            <w:r>
              <w:rPr>
                <w:rFonts w:hint="eastAsia" w:ascii="宋体" w:hAnsi="宋体" w:cs="宋体"/>
                <w:color w:val="000000"/>
                <w:szCs w:val="21"/>
              </w:rPr>
              <w:t xml:space="preserve">项不得分。最高分</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p>
            <w:pPr>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注：以上内容“不合理”、“错误”是指：存在不适用项目实际情况、套用其他无关内容、内容不完整、与本项目履约无关、逻辑存在漏洞以及不满足采购文件要求的其他情况。</w:t>
            </w:r>
            <w:r/>
          </w:p>
        </w:tc>
        <w:tc>
          <w:tcPr>
            <w:tcW w:w="437" w:type="pct"/>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trHeight w:val="2495"/>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textDirection w:val="lrTb"/>
            <w:noWrap w:val="false"/>
          </w:tcPr>
          <w:p>
            <w:pPr>
              <w:jc w:val="center"/>
              <w:spacing w:line="440" w:lineRule="exact"/>
              <w:rPr>
                <w:rFonts w:ascii="宋体" w:hAnsi="宋体" w:cs="宋体"/>
                <w:color w:val="auto"/>
                <w:sz w:val="21"/>
                <w:szCs w:val="21"/>
                <w:highlight w:val="none"/>
              </w:rPr>
            </w:pPr>
            <w:r>
              <w:rPr>
                <w:rFonts w:hint="eastAsia" w:ascii="宋体" w:hAnsi="宋体"/>
                <w:color w:val="auto"/>
                <w:sz w:val="21"/>
                <w:szCs w:val="21"/>
                <w:highlight w:val="none"/>
                <w:lang w:val="en-US" w:eastAsia="zh-CN"/>
              </w:rPr>
              <w:t xml:space="preserve">融合法庭云庭审</w:t>
            </w:r>
            <w:r>
              <w:rPr>
                <w:rFonts w:ascii="宋体" w:hAnsi="宋体"/>
                <w:color w:val="auto"/>
                <w:sz w:val="21"/>
                <w:szCs w:val="21"/>
                <w:highlight w:val="none"/>
                <w:lang w:val="zh-CN"/>
              </w:rPr>
              <w:t xml:space="preserve">建设方案</w:t>
            </w:r>
            <w:r/>
          </w:p>
        </w:tc>
        <w:tc>
          <w:tcPr>
            <w:tcW w:w="3068" w:type="pct"/>
            <w:vAlign w:val="center"/>
            <w:textDirection w:val="lrTb"/>
            <w:noWrap w:val="false"/>
          </w:tcPr>
          <w:p>
            <w:pPr>
              <w:jc w:val="left"/>
              <w:spacing w:line="440" w:lineRule="exact"/>
              <w:rPr>
                <w:rFonts w:hint="eastAsia" w:ascii="宋体" w:hAnsi="宋体" w:cs="宋体"/>
                <w:color w:val="000000"/>
                <w:szCs w:val="21"/>
              </w:rPr>
            </w:pPr>
            <w:r>
              <w:rPr>
                <w:rFonts w:ascii="宋体" w:hAnsi="宋体"/>
                <w:color w:val="auto"/>
                <w:sz w:val="21"/>
                <w:szCs w:val="21"/>
                <w:highlight w:val="none"/>
                <w:lang w:val="zh-CN"/>
              </w:rPr>
              <w:t xml:space="preserve">投标单位提供</w:t>
            </w:r>
            <w:r>
              <w:rPr>
                <w:rFonts w:hint="eastAsia" w:ascii="宋体" w:hAnsi="宋体"/>
                <w:color w:val="auto"/>
                <w:sz w:val="21"/>
                <w:szCs w:val="21"/>
                <w:highlight w:val="none"/>
                <w:lang w:val="en-US" w:eastAsia="zh-CN"/>
              </w:rPr>
              <w:t xml:space="preserve">融合法庭云庭审</w:t>
            </w:r>
            <w:r>
              <w:rPr>
                <w:rFonts w:ascii="宋体" w:hAnsi="宋体"/>
                <w:color w:val="auto"/>
                <w:sz w:val="21"/>
                <w:szCs w:val="21"/>
                <w:highlight w:val="none"/>
                <w:lang w:val="zh-CN"/>
              </w:rPr>
              <w:t xml:space="preserve">的建设方案，方案包括①</w:t>
            </w:r>
            <w:r>
              <w:rPr>
                <w:rFonts w:hint="eastAsia" w:ascii="宋体" w:hAnsi="宋体"/>
                <w:color w:val="auto"/>
                <w:sz w:val="21"/>
                <w:szCs w:val="21"/>
                <w:highlight w:val="none"/>
                <w:lang w:val="en-US" w:eastAsia="zh-CN"/>
              </w:rPr>
              <w:t xml:space="preserve">书记员客户端</w:t>
            </w:r>
            <w:r>
              <w:rPr>
                <w:rFonts w:ascii="宋体" w:hAnsi="宋体"/>
                <w:color w:val="auto"/>
                <w:sz w:val="21"/>
                <w:szCs w:val="21"/>
                <w:highlight w:val="none"/>
                <w:lang w:val="zh-CN"/>
              </w:rPr>
              <w:t xml:space="preserve">、②</w:t>
            </w:r>
            <w:r>
              <w:rPr>
                <w:rFonts w:hint="eastAsia" w:ascii="宋体" w:hAnsi="宋体"/>
                <w:color w:val="auto"/>
                <w:sz w:val="21"/>
                <w:szCs w:val="21"/>
                <w:highlight w:val="none"/>
                <w:lang w:val="en-US" w:eastAsia="zh-CN"/>
              </w:rPr>
              <w:t xml:space="preserve">证人保护</w:t>
            </w:r>
            <w:r>
              <w:rPr>
                <w:rFonts w:ascii="宋体" w:hAnsi="宋体"/>
                <w:color w:val="auto"/>
                <w:sz w:val="21"/>
                <w:szCs w:val="21"/>
                <w:highlight w:val="none"/>
                <w:lang w:val="zh-CN"/>
              </w:rPr>
              <w:t xml:space="preserve">③</w:t>
            </w:r>
            <w:r>
              <w:rPr>
                <w:rFonts w:hint="eastAsia" w:ascii="宋体" w:hAnsi="宋体"/>
                <w:color w:val="auto"/>
                <w:sz w:val="21"/>
                <w:szCs w:val="21"/>
                <w:highlight w:val="none"/>
                <w:lang w:val="en-US" w:eastAsia="zh-CN"/>
              </w:rPr>
              <w:t xml:space="preserve">当事人客户端</w:t>
            </w:r>
            <w:r>
              <w:rPr>
                <w:rFonts w:ascii="宋体" w:hAnsi="宋体"/>
                <w:color w:val="auto"/>
                <w:sz w:val="21"/>
                <w:szCs w:val="21"/>
                <w:highlight w:val="none"/>
                <w:lang w:val="zh-CN"/>
              </w:rPr>
              <w:t xml:space="preserve">④</w:t>
            </w:r>
            <w:r>
              <w:rPr>
                <w:rFonts w:hint="eastAsia" w:ascii="宋体" w:hAnsi="宋体"/>
                <w:color w:val="auto"/>
                <w:sz w:val="21"/>
                <w:szCs w:val="21"/>
                <w:highlight w:val="none"/>
                <w:lang w:val="en-US" w:eastAsia="zh-CN"/>
              </w:rPr>
              <w:t xml:space="preserve">数据备份</w:t>
            </w:r>
            <w:r>
              <w:rPr>
                <w:rFonts w:ascii="宋体" w:hAnsi="宋体"/>
                <w:color w:val="auto"/>
                <w:sz w:val="21"/>
                <w:szCs w:val="21"/>
                <w:highlight w:val="none"/>
                <w:lang w:val="zh-CN"/>
              </w:rPr>
              <w:t xml:space="preserve">⑤</w:t>
            </w:r>
            <w:r>
              <w:rPr>
                <w:rFonts w:hint="eastAsia" w:ascii="宋体" w:hAnsi="宋体"/>
                <w:color w:val="auto"/>
                <w:sz w:val="21"/>
                <w:szCs w:val="21"/>
                <w:highlight w:val="none"/>
                <w:lang w:val="en-US" w:eastAsia="zh-CN"/>
              </w:rPr>
              <w:t xml:space="preserve">信息研判</w:t>
            </w:r>
            <w:r>
              <w:rPr>
                <w:rFonts w:ascii="宋体" w:hAnsi="宋体"/>
                <w:color w:val="auto"/>
                <w:sz w:val="21"/>
                <w:szCs w:val="21"/>
                <w:highlight w:val="none"/>
                <w:lang w:val="zh-CN"/>
              </w:rPr>
              <w:t xml:space="preserve">。</w:t>
            </w:r>
            <w:r>
              <w:rPr>
                <w:rFonts w:hint="eastAsia" w:ascii="宋体" w:hAnsi="宋体" w:cs="宋体"/>
                <w:color w:val="auto"/>
                <w:sz w:val="21"/>
                <w:szCs w:val="21"/>
                <w:highlight w:val="none"/>
              </w:rPr>
              <w:t xml:space="preserve">以上</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项内容</w:t>
            </w:r>
            <w:r>
              <w:rPr>
                <w:rFonts w:hint="eastAsia" w:ascii="宋体" w:hAnsi="宋体" w:cs="宋体"/>
                <w:color w:val="000000"/>
                <w:szCs w:val="21"/>
              </w:rPr>
              <w:t xml:space="preserve">方案完整、符合本项目实际需求的，每项</w:t>
            </w:r>
            <w:r>
              <w:rPr>
                <w:rFonts w:hint="eastAsia" w:ascii="宋体" w:hAnsi="宋体" w:cs="宋体"/>
                <w:color w:val="auto"/>
                <w:sz w:val="21"/>
                <w:szCs w:val="21"/>
                <w:highlight w:val="none"/>
                <w:lang w:val="en-US" w:eastAsia="zh-CN"/>
              </w:rPr>
              <w:t xml:space="preserve">内</w:t>
            </w:r>
            <w:r>
              <w:rPr>
                <w:rFonts w:hint="eastAsia" w:ascii="宋体" w:hAnsi="宋体" w:cs="宋体"/>
                <w:b w:val="0"/>
                <w:bCs w:val="0"/>
                <w:color w:val="auto"/>
                <w:sz w:val="21"/>
                <w:szCs w:val="21"/>
                <w:highlight w:val="none"/>
                <w:lang w:val="en-US" w:eastAsia="zh-CN"/>
              </w:rPr>
              <w:t xml:space="preserve">容</w:t>
            </w:r>
            <w:r>
              <w:rPr>
                <w:rFonts w:hint="eastAsia"/>
                <w:b w:val="0"/>
                <w:bCs w:val="0"/>
                <w:color w:val="auto"/>
                <w:sz w:val="21"/>
                <w:szCs w:val="21"/>
                <w:highlight w:val="none"/>
                <w:lang w:val="en-US"/>
              </w:rPr>
              <w:t xml:space="preserve">包含产品原型图</w:t>
            </w:r>
            <w:r>
              <w:rPr>
                <w:rFonts w:hint="eastAsia"/>
                <w:b w:val="0"/>
                <w:bCs w:val="0"/>
                <w:color w:val="auto"/>
                <w:sz w:val="21"/>
                <w:szCs w:val="21"/>
                <w:highlight w:val="none"/>
                <w:lang w:val="en-US" w:eastAsia="zh-CN"/>
              </w:rPr>
              <w:t xml:space="preserve">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分，未提供不得分；每项内容里有一处内容不合理或错误的</w:t>
            </w:r>
            <w:r>
              <w:rPr>
                <w:rFonts w:hint="eastAsia" w:ascii="宋体" w:hAnsi="宋体" w:cs="宋体"/>
                <w:color w:val="000000"/>
                <w:szCs w:val="21"/>
                <w:lang w:val="en-US" w:eastAsia="zh-CN"/>
              </w:rPr>
              <w:t xml:space="preserve">扣</w:t>
            </w:r>
            <w:r>
              <w:rPr>
                <w:rFonts w:hint="eastAsia" w:ascii="宋体" w:hAnsi="宋体" w:cs="宋体"/>
                <w:color w:val="000000"/>
                <w:szCs w:val="21"/>
              </w:rPr>
              <w:t xml:space="preserve">1分，出现二处及以上的此</w:t>
            </w:r>
            <w:r>
              <w:rPr>
                <w:rFonts w:hint="eastAsia" w:ascii="宋体" w:hAnsi="宋体" w:cs="宋体"/>
                <w:color w:val="000000"/>
                <w:szCs w:val="21"/>
                <w:lang w:val="en-US" w:eastAsia="zh-CN"/>
              </w:rPr>
              <w:t xml:space="preserve">小</w:t>
            </w:r>
            <w:r>
              <w:rPr>
                <w:rFonts w:hint="eastAsia" w:ascii="宋体" w:hAnsi="宋体" w:cs="宋体"/>
                <w:color w:val="000000"/>
                <w:szCs w:val="21"/>
              </w:rPr>
              <w:t xml:space="preserve">项不得分。最高分</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p>
          <w:p>
            <w:pPr>
              <w:jc w:val="left"/>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注：以上内容“不合理”、“错误”是指：存在不适用项目实际情况、套用其他无关内容、内容不完整、与本项目履约无关、逻辑存在漏洞以及不满足采购文件要求的其他情况。</w:t>
            </w:r>
            <w:r/>
          </w:p>
        </w:tc>
        <w:tc>
          <w:tcPr>
            <w:tcW w:w="437" w:type="pct"/>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p>
        </w:tc>
      </w:tr>
      <w:tr>
        <w:trPr>
          <w:trHeight w:val="2495"/>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textDirection w:val="lrTb"/>
            <w:noWrap w:val="false"/>
          </w:tcPr>
          <w:p>
            <w:pPr>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执法规范化平台</w:t>
            </w:r>
            <w:r>
              <w:rPr>
                <w:rFonts w:ascii="宋体" w:hAnsi="宋体"/>
                <w:color w:val="auto"/>
                <w:sz w:val="21"/>
                <w:szCs w:val="21"/>
                <w:highlight w:val="none"/>
                <w:lang w:val="zh-CN"/>
              </w:rPr>
              <w:t xml:space="preserve">的建设方案</w:t>
            </w:r>
            <w:r/>
          </w:p>
        </w:tc>
        <w:tc>
          <w:tcPr>
            <w:tcW w:w="3068" w:type="pct"/>
            <w:vAlign w:val="center"/>
            <w:textDirection w:val="lrTb"/>
            <w:noWrap w:val="false"/>
          </w:tcPr>
          <w:p>
            <w:pPr>
              <w:jc w:val="left"/>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投标单位提供</w:t>
            </w:r>
            <w:r>
              <w:rPr>
                <w:rFonts w:hint="eastAsia" w:ascii="宋体" w:hAnsi="宋体"/>
                <w:color w:val="auto"/>
                <w:sz w:val="21"/>
                <w:szCs w:val="21"/>
                <w:highlight w:val="none"/>
                <w:lang w:val="en-US" w:eastAsia="zh-CN"/>
              </w:rPr>
              <w:t xml:space="preserve">执法规范化</w:t>
            </w:r>
            <w:r>
              <w:rPr>
                <w:rFonts w:ascii="宋体" w:hAnsi="宋体"/>
                <w:color w:val="auto"/>
                <w:sz w:val="21"/>
                <w:szCs w:val="21"/>
                <w:highlight w:val="none"/>
                <w:lang w:val="zh-CN"/>
              </w:rPr>
              <w:t xml:space="preserve">平台的建设方案，方案包括①</w:t>
            </w:r>
            <w:r>
              <w:rPr>
                <w:rFonts w:hint="eastAsia" w:ascii="宋体" w:hAnsi="宋体"/>
                <w:color w:val="auto"/>
                <w:sz w:val="21"/>
                <w:szCs w:val="21"/>
                <w:highlight w:val="none"/>
                <w:lang w:val="en-US" w:eastAsia="zh-CN"/>
              </w:rPr>
              <w:t xml:space="preserve">数据统计</w:t>
            </w:r>
            <w:r>
              <w:rPr>
                <w:rFonts w:ascii="宋体" w:hAnsi="宋体"/>
                <w:color w:val="auto"/>
                <w:sz w:val="21"/>
                <w:szCs w:val="21"/>
                <w:highlight w:val="none"/>
                <w:lang w:val="zh-CN"/>
              </w:rPr>
              <w:t xml:space="preserve">②</w:t>
            </w:r>
            <w:r>
              <w:rPr>
                <w:rFonts w:hint="eastAsia" w:ascii="宋体" w:hAnsi="宋体"/>
                <w:color w:val="auto"/>
                <w:sz w:val="21"/>
                <w:szCs w:val="21"/>
                <w:highlight w:val="none"/>
                <w:lang w:val="en-US" w:eastAsia="zh-CN"/>
              </w:rPr>
              <w:t xml:space="preserve">指挥调度</w:t>
            </w:r>
            <w:r>
              <w:rPr>
                <w:rFonts w:ascii="宋体" w:hAnsi="宋体"/>
                <w:color w:val="auto"/>
                <w:sz w:val="21"/>
                <w:szCs w:val="21"/>
                <w:highlight w:val="none"/>
                <w:lang w:val="zh-CN"/>
              </w:rPr>
              <w:t xml:space="preserve">③</w:t>
            </w:r>
            <w:r>
              <w:rPr>
                <w:rFonts w:hint="eastAsia" w:ascii="宋体" w:hAnsi="宋体"/>
                <w:color w:val="auto"/>
                <w:sz w:val="21"/>
                <w:szCs w:val="21"/>
                <w:highlight w:val="none"/>
                <w:lang w:val="en-US" w:eastAsia="zh-CN"/>
              </w:rPr>
              <w:t xml:space="preserve">数据中心</w:t>
            </w:r>
            <w:r>
              <w:rPr>
                <w:rFonts w:ascii="宋体" w:hAnsi="宋体"/>
                <w:color w:val="auto"/>
                <w:sz w:val="21"/>
                <w:szCs w:val="21"/>
                <w:highlight w:val="none"/>
                <w:lang w:val="zh-CN"/>
              </w:rPr>
              <w:t xml:space="preserve">④</w:t>
            </w:r>
            <w:r>
              <w:rPr>
                <w:rFonts w:hint="eastAsia" w:ascii="宋体" w:hAnsi="宋体"/>
                <w:color w:val="auto"/>
                <w:sz w:val="21"/>
                <w:szCs w:val="21"/>
                <w:highlight w:val="none"/>
                <w:lang w:val="en-US" w:eastAsia="zh-CN"/>
              </w:rPr>
              <w:t xml:space="preserve">监督中心</w:t>
            </w:r>
            <w:r>
              <w:rPr>
                <w:rFonts w:ascii="宋体" w:hAnsi="宋体"/>
                <w:color w:val="auto"/>
                <w:sz w:val="21"/>
                <w:szCs w:val="21"/>
                <w:highlight w:val="none"/>
                <w:lang w:val="zh-CN"/>
              </w:rPr>
              <w:t xml:space="preserve">。</w:t>
            </w:r>
            <w:r/>
          </w:p>
          <w:p>
            <w:pPr>
              <w:jc w:val="left"/>
              <w:spacing w:line="440" w:lineRule="exact"/>
              <w:rPr>
                <w:rFonts w:hint="eastAsia" w:ascii="宋体" w:hAnsi="宋体" w:cs="宋体"/>
                <w:color w:val="000000"/>
                <w:szCs w:val="21"/>
              </w:rPr>
            </w:pPr>
            <w:r>
              <w:rPr>
                <w:rFonts w:hint="eastAsia" w:ascii="宋体" w:hAnsi="宋体" w:cs="宋体"/>
                <w:color w:val="auto"/>
                <w:sz w:val="21"/>
                <w:szCs w:val="21"/>
                <w:highlight w:val="none"/>
              </w:rPr>
              <w:t xml:space="preserve">以上</w:t>
            </w:r>
            <w:r>
              <w:rPr>
                <w:rFonts w:hint="eastAsia" w:ascii="宋体" w:hAnsi="宋体" w:cs="宋体"/>
                <w:color w:val="auto"/>
                <w:sz w:val="21"/>
                <w:szCs w:val="21"/>
                <w:highlight w:val="none"/>
                <w:lang w:val="en-US" w:eastAsia="zh-CN"/>
              </w:rPr>
              <w:t xml:space="preserve">四</w:t>
            </w:r>
            <w:r>
              <w:rPr>
                <w:rFonts w:hint="eastAsia" w:ascii="宋体" w:hAnsi="宋体" w:cs="宋体"/>
                <w:color w:val="auto"/>
                <w:sz w:val="21"/>
                <w:szCs w:val="21"/>
                <w:highlight w:val="none"/>
              </w:rPr>
              <w:t xml:space="preserve">项内容</w:t>
            </w:r>
            <w:r>
              <w:rPr>
                <w:rFonts w:hint="eastAsia" w:ascii="宋体" w:hAnsi="宋体" w:cs="宋体"/>
                <w:color w:val="000000"/>
                <w:szCs w:val="21"/>
              </w:rPr>
              <w:t xml:space="preserve">方案完整、符合本项目实际需求的，每项</w:t>
            </w:r>
            <w:r>
              <w:rPr>
                <w:rFonts w:hint="eastAsia" w:ascii="宋体" w:hAnsi="宋体" w:cs="宋体"/>
                <w:color w:val="auto"/>
                <w:sz w:val="21"/>
                <w:szCs w:val="21"/>
                <w:highlight w:val="none"/>
                <w:lang w:val="en-US" w:eastAsia="zh-CN"/>
              </w:rPr>
              <w:t xml:space="preserve">内</w:t>
            </w:r>
            <w:r>
              <w:rPr>
                <w:rFonts w:hint="eastAsia" w:ascii="宋体" w:hAnsi="宋体" w:cs="宋体"/>
                <w:b w:val="0"/>
                <w:bCs w:val="0"/>
                <w:color w:val="auto"/>
                <w:sz w:val="21"/>
                <w:szCs w:val="21"/>
                <w:highlight w:val="none"/>
                <w:lang w:val="en-US" w:eastAsia="zh-CN"/>
              </w:rPr>
              <w:t xml:space="preserve">容</w:t>
            </w:r>
            <w:r>
              <w:rPr>
                <w:rFonts w:hint="eastAsia"/>
                <w:b w:val="0"/>
                <w:bCs w:val="0"/>
                <w:color w:val="auto"/>
                <w:sz w:val="21"/>
                <w:szCs w:val="21"/>
                <w:highlight w:val="none"/>
                <w:lang w:val="en-US"/>
              </w:rPr>
              <w:t xml:space="preserve">包含产品原型图</w:t>
            </w:r>
            <w:r>
              <w:rPr>
                <w:rFonts w:hint="eastAsia"/>
                <w:b w:val="0"/>
                <w:bCs w:val="0"/>
                <w:color w:val="auto"/>
                <w:sz w:val="21"/>
                <w:szCs w:val="21"/>
                <w:highlight w:val="none"/>
                <w:lang w:val="en-US" w:eastAsia="zh-CN"/>
              </w:rPr>
              <w:t xml:space="preserve">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分，未提供不得分；每项内容里有一处内容不合理或错误的</w:t>
            </w:r>
            <w:r>
              <w:rPr>
                <w:rFonts w:hint="eastAsia" w:ascii="宋体" w:hAnsi="宋体" w:cs="宋体"/>
                <w:color w:val="000000"/>
                <w:szCs w:val="21"/>
                <w:lang w:val="en-US" w:eastAsia="zh-CN"/>
              </w:rPr>
              <w:t xml:space="preserve">扣</w:t>
            </w: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分，出现二处及以上的此</w:t>
            </w:r>
            <w:r>
              <w:rPr>
                <w:rFonts w:hint="eastAsia" w:ascii="宋体" w:hAnsi="宋体" w:cs="宋体"/>
                <w:color w:val="000000"/>
                <w:szCs w:val="21"/>
                <w:lang w:val="en-US" w:eastAsia="zh-CN"/>
              </w:rPr>
              <w:t xml:space="preserve">小</w:t>
            </w:r>
            <w:r>
              <w:rPr>
                <w:rFonts w:hint="eastAsia" w:ascii="宋体" w:hAnsi="宋体" w:cs="宋体"/>
                <w:color w:val="000000"/>
                <w:szCs w:val="21"/>
              </w:rPr>
              <w:t xml:space="preserve">项不得分。最高分</w:t>
            </w: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分。</w:t>
            </w:r>
            <w:bookmarkStart w:id="140" w:name="_GoBack"/>
            <w:r/>
            <w:bookmarkEnd w:id="140"/>
            <w:r/>
            <w:r/>
          </w:p>
          <w:p>
            <w:pPr>
              <w:jc w:val="left"/>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注：以上内容“不合理”、“错误”是指：存在不适用项目实际情况、套用其他无关内容、内容不完整、与本项目履约无关、逻辑存在漏洞以及不满足采购文件要求的其他情况。</w:t>
            </w:r>
            <w:r/>
          </w:p>
        </w:tc>
        <w:tc>
          <w:tcPr>
            <w:tcW w:w="437" w:type="pct"/>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trHeight w:val="397"/>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vMerge w:val="restart"/>
            <w:textDirection w:val="lrTb"/>
            <w:noWrap w:val="false"/>
          </w:tcPr>
          <w:p>
            <w:pPr>
              <w:jc w:val="left"/>
              <w:spacing w:line="440" w:lineRule="exact"/>
              <w:rPr>
                <w:rFonts w:hint="eastAsia" w:ascii="宋体" w:hAnsi="宋体"/>
                <w:color w:val="auto"/>
                <w:sz w:val="21"/>
                <w:szCs w:val="21"/>
                <w:highlight w:val="none"/>
              </w:rPr>
            </w:pPr>
            <w:r/>
            <w:bookmarkStart w:id="116" w:name="OLE_LINK6"/>
            <w:r>
              <w:rPr>
                <w:rFonts w:hint="eastAsia" w:ascii="宋体" w:hAnsi="宋体"/>
                <w:color w:val="auto"/>
                <w:sz w:val="21"/>
                <w:szCs w:val="21"/>
                <w:highlight w:val="none"/>
                <w:lang w:val="en-US" w:eastAsia="zh-CN"/>
              </w:rPr>
              <w:t xml:space="preserve">融合法庭云庭审</w:t>
            </w:r>
            <w:r>
              <w:rPr>
                <w:rFonts w:hint="eastAsia" w:ascii="宋体" w:hAnsi="宋体"/>
                <w:color w:val="auto"/>
                <w:sz w:val="21"/>
                <w:szCs w:val="21"/>
                <w:highlight w:val="none"/>
              </w:rPr>
              <w:t xml:space="preserve">系统功能演示</w:t>
            </w:r>
            <w:bookmarkEnd w:id="116"/>
            <w:r/>
            <w:r/>
          </w:p>
          <w:p>
            <w:pPr>
              <w:jc w:val="left"/>
              <w:spacing w:line="440" w:lineRule="exact"/>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注：</w:t>
            </w:r>
            <w:r>
              <w:rPr>
                <w:rFonts w:hint="eastAsia"/>
                <w:color w:val="auto"/>
                <w:sz w:val="21"/>
                <w:szCs w:val="21"/>
                <w:highlight w:val="none"/>
              </w:rPr>
              <w:t xml:space="preserve">统一采用录制真实软件或者软件DEMO操作视频方式进行功能演示</w:t>
            </w:r>
            <w:r>
              <w:rPr>
                <w:rFonts w:hint="eastAsia"/>
                <w:color w:val="auto"/>
                <w:sz w:val="21"/>
                <w:szCs w:val="21"/>
                <w:highlight w:val="none"/>
                <w:lang w:eastAsia="zh-CN"/>
              </w:rPr>
              <w:t xml:space="preserve">（</w:t>
            </w:r>
            <w:r>
              <w:rPr>
                <w:rFonts w:hint="eastAsia"/>
                <w:color w:val="auto"/>
                <w:sz w:val="21"/>
                <w:szCs w:val="21"/>
                <w:highlight w:val="none"/>
              </w:rPr>
              <w:t xml:space="preserve">视频画面须清晰</w:t>
            </w:r>
            <w:r>
              <w:rPr>
                <w:rFonts w:hint="eastAsia"/>
                <w:color w:val="auto"/>
                <w:sz w:val="21"/>
                <w:szCs w:val="21"/>
                <w:highlight w:val="none"/>
                <w:lang w:eastAsia="zh-CN"/>
              </w:rPr>
              <w:t xml:space="preserve">）</w:t>
            </w:r>
            <w:r>
              <w:rPr>
                <w:rFonts w:hint="eastAsia"/>
                <w:color w:val="auto"/>
                <w:sz w:val="21"/>
                <w:szCs w:val="21"/>
                <w:highlight w:val="none"/>
              </w:rPr>
              <w:t xml:space="preserve">，时间不超过8分钟</w:t>
            </w:r>
            <w:r>
              <w:rPr>
                <w:rFonts w:hint="eastAsia"/>
                <w:color w:val="auto"/>
                <w:sz w:val="21"/>
                <w:szCs w:val="21"/>
                <w:highlight w:val="none"/>
                <w:lang w:eastAsia="zh-CN"/>
              </w:rPr>
              <w:t xml:space="preserve">）。</w:t>
            </w:r>
            <w:r>
              <w:rPr>
                <w:rFonts w:hint="eastAsia"/>
                <w:color w:val="auto"/>
                <w:sz w:val="21"/>
                <w:szCs w:val="21"/>
                <w:highlight w:val="none"/>
              </w:rPr>
              <w:t xml:space="preserve">演示主要内容包括</w:t>
            </w:r>
            <w:r>
              <w:rPr>
                <w:rFonts w:hint="eastAsia"/>
                <w:color w:val="auto"/>
                <w:sz w:val="21"/>
                <w:szCs w:val="21"/>
                <w:highlight w:val="none"/>
                <w:lang w:eastAsia="zh-CN"/>
              </w:rPr>
              <w:t xml:space="preserve">：</w:t>
            </w:r>
            <w:r/>
          </w:p>
        </w:tc>
        <w:tc>
          <w:tcPr>
            <w:tcW w:w="3068" w:type="pct"/>
            <w:vAlign w:val="top"/>
            <w:textDirection w:val="lrTb"/>
            <w:noWrap w:val="false"/>
          </w:tcPr>
          <w:p>
            <w:pPr>
              <w:jc w:val="left"/>
              <w:spacing w:line="440" w:lineRule="exact"/>
              <w:rPr>
                <w:rFonts w:hint="default" w:eastAsia="宋体"/>
                <w:color w:val="auto"/>
                <w:sz w:val="21"/>
                <w:szCs w:val="21"/>
                <w:highlight w:val="none"/>
                <w:lang w:val="en-US" w:eastAsia="zh-CN"/>
              </w:rPr>
            </w:pPr>
            <w:r>
              <w:rPr>
                <w:color w:val="auto"/>
                <w:sz w:val="21"/>
                <w:szCs w:val="21"/>
                <w:highlight w:val="none"/>
              </w:rPr>
              <w:t xml:space="preserve">1</w:t>
            </w:r>
            <w:r>
              <w:rPr>
                <w:rFonts w:hint="eastAsia"/>
                <w:color w:val="auto"/>
                <w:sz w:val="21"/>
                <w:szCs w:val="21"/>
                <w:highlight w:val="none"/>
              </w:rPr>
              <w:t xml:space="preserve">、投标单位能够提供</w:t>
            </w:r>
            <w:r>
              <w:rPr>
                <w:rFonts w:hint="eastAsia" w:ascii="宋体" w:hAnsi="宋体" w:eastAsia="宋体"/>
                <w:color w:val="auto"/>
                <w:sz w:val="21"/>
                <w:szCs w:val="21"/>
                <w:highlight w:val="none"/>
              </w:rPr>
              <w:t xml:space="preserve">庭审录像、笔录数据备份功能，可以展示所有庭次数据备份情况，包括备份成功、备份失败、等待备份等状态展示，备份的录像和笔录可查看，下载</w:t>
            </w:r>
            <w:r>
              <w:rPr>
                <w:rFonts w:hint="eastAsia"/>
                <w:color w:val="auto"/>
                <w:sz w:val="21"/>
                <w:szCs w:val="21"/>
                <w:highlight w:val="none"/>
              </w:rPr>
              <w:t xml:space="preserve">的现场系统演示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按要求提供的得3分，未提供或未按要求提供的不得分。</w:t>
            </w:r>
            <w:r/>
          </w:p>
        </w:tc>
        <w:tc>
          <w:tcPr>
            <w:tcW w:w="437" w:type="pct"/>
            <w:vAlign w:val="center"/>
            <w:textDirection w:val="lrTb"/>
            <w:noWrap w:val="false"/>
          </w:tcPr>
          <w:p>
            <w:pPr>
              <w:jc w:val="center"/>
              <w:spacing w:line="4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r>
      <w:tr>
        <w:trPr>
          <w:trHeight w:val="413"/>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vMerge w:val="continue"/>
            <w:textDirection w:val="lrTb"/>
            <w:noWrap w:val="false"/>
          </w:tcPr>
          <w:p>
            <w:pPr>
              <w:jc w:val="center"/>
              <w:spacing w:line="4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W w:w="3068" w:type="pct"/>
            <w:vAlign w:val="top"/>
            <w:textDirection w:val="lrTb"/>
            <w:noWrap w:val="false"/>
          </w:tcPr>
          <w:p>
            <w:pPr>
              <w:jc w:val="left"/>
              <w:spacing w:line="440" w:lineRule="exact"/>
              <w:rPr>
                <w:rFonts w:hint="eastAsia"/>
                <w:color w:val="auto"/>
                <w:sz w:val="21"/>
                <w:szCs w:val="21"/>
                <w:highlight w:val="none"/>
                <w:lang w:val="en-US" w:eastAsia="zh-CN"/>
              </w:rPr>
            </w:pPr>
            <w:r>
              <w:rPr>
                <w:rFonts w:hint="eastAsia"/>
                <w:color w:val="auto"/>
                <w:sz w:val="21"/>
                <w:szCs w:val="21"/>
                <w:highlight w:val="none"/>
              </w:rPr>
              <w:t xml:space="preserve">2、</w:t>
            </w:r>
            <w:bookmarkStart w:id="117" w:name="OLE_LINK7"/>
            <w:r>
              <w:rPr>
                <w:rFonts w:hint="eastAsia"/>
                <w:color w:val="auto"/>
                <w:sz w:val="21"/>
                <w:szCs w:val="21"/>
                <w:highlight w:val="none"/>
              </w:rPr>
              <w:t xml:space="preserve">投标单位能够提供</w:t>
            </w:r>
            <w:r>
              <w:rPr>
                <w:rFonts w:hint="eastAsia" w:ascii="宋体" w:hAnsi="宋体" w:eastAsia="宋体"/>
                <w:color w:val="auto"/>
                <w:sz w:val="21"/>
                <w:szCs w:val="21"/>
                <w:highlight w:val="none"/>
              </w:rPr>
              <w:t xml:space="preserve">在书记员笔录客户端里进行庭审语音转写笔录，支持分角色进行转写，系统操作简单，无需额外开启多个客户端进行操作</w:t>
            </w:r>
            <w:r>
              <w:rPr>
                <w:rFonts w:hint="eastAsia"/>
                <w:color w:val="auto"/>
                <w:sz w:val="21"/>
                <w:szCs w:val="21"/>
                <w:highlight w:val="none"/>
              </w:rPr>
              <w:t xml:space="preserve">的现场系统演示</w:t>
            </w:r>
            <w:r>
              <w:rPr>
                <w:color w:val="auto"/>
                <w:sz w:val="21"/>
                <w:szCs w:val="21"/>
                <w:highlight w:val="none"/>
              </w:rPr>
              <w:t xml:space="preserve">。</w:t>
            </w:r>
            <w:bookmarkEnd w:id="117"/>
            <w:r>
              <w:rPr>
                <w:rFonts w:hint="eastAsia"/>
                <w:color w:val="auto"/>
                <w:sz w:val="21"/>
                <w:szCs w:val="21"/>
                <w:highlight w:val="none"/>
                <w:lang w:val="en-US" w:eastAsia="zh-CN"/>
              </w:rPr>
              <w:t xml:space="preserve">按要求提供的得3分，未提供或未按要求提供的不得分。</w:t>
            </w:r>
            <w:r/>
          </w:p>
        </w:tc>
        <w:tc>
          <w:tcPr>
            <w:tcW w:w="437" w:type="pct"/>
            <w:vAlign w:val="center"/>
            <w:textDirection w:val="lrTb"/>
            <w:noWrap w:val="false"/>
          </w:tcPr>
          <w:p>
            <w:pPr>
              <w:jc w:val="center"/>
              <w:spacing w:line="4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r>
      <w:tr>
        <w:trPr>
          <w:trHeight w:val="413"/>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vMerge w:val="continue"/>
            <w:textDirection w:val="lrTb"/>
            <w:noWrap w:val="false"/>
          </w:tcPr>
          <w:p>
            <w:pPr>
              <w:jc w:val="center"/>
              <w:spacing w:line="4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W w:w="3068" w:type="pct"/>
            <w:vAlign w:val="top"/>
            <w:textDirection w:val="lrTb"/>
            <w:noWrap w:val="false"/>
          </w:tcPr>
          <w:p>
            <w:pPr>
              <w:jc w:val="left"/>
              <w:spacing w:line="440" w:lineRule="exact"/>
              <w:rPr>
                <w:rFonts w:hint="eastAsia"/>
                <w:color w:val="auto"/>
                <w:sz w:val="21"/>
                <w:szCs w:val="21"/>
                <w:highlight w:val="none"/>
                <w:lang w:val="en-US" w:eastAsia="zh-CN"/>
              </w:rPr>
            </w:pPr>
            <w:r>
              <w:rPr>
                <w:color w:val="auto"/>
                <w:sz w:val="21"/>
                <w:szCs w:val="21"/>
                <w:highlight w:val="none"/>
              </w:rPr>
              <w:t xml:space="preserve">3</w:t>
            </w:r>
            <w:r>
              <w:rPr>
                <w:rFonts w:hint="eastAsia"/>
                <w:color w:val="auto"/>
                <w:sz w:val="21"/>
                <w:szCs w:val="21"/>
                <w:highlight w:val="none"/>
              </w:rPr>
              <w:t xml:space="preserve">、投标单位能够提供</w:t>
            </w:r>
            <w:r>
              <w:rPr>
                <w:rFonts w:hint="eastAsia" w:ascii="宋体" w:hAnsi="宋体" w:eastAsia="宋体"/>
                <w:color w:val="auto"/>
                <w:sz w:val="21"/>
                <w:szCs w:val="21"/>
                <w:highlight w:val="none"/>
              </w:rPr>
              <w:t xml:space="preserve">办案数据统计，可按部门、人员、平均办案次数、平均办案时间、录像情况统计相关办案数据。可根据自定义时间查询数据、导出数据</w:t>
            </w:r>
            <w:r>
              <w:rPr>
                <w:rFonts w:hint="eastAsia"/>
                <w:color w:val="auto"/>
                <w:sz w:val="21"/>
                <w:szCs w:val="21"/>
                <w:highlight w:val="none"/>
              </w:rPr>
              <w:t xml:space="preserve">的现场系统演示</w:t>
            </w:r>
            <w:r>
              <w:rPr>
                <w:color w:val="auto"/>
                <w:sz w:val="21"/>
                <w:szCs w:val="21"/>
                <w:highlight w:val="none"/>
              </w:rPr>
              <w:t xml:space="preserve">。</w:t>
            </w:r>
            <w:r>
              <w:rPr>
                <w:rFonts w:hint="eastAsia"/>
                <w:color w:val="auto"/>
                <w:sz w:val="21"/>
                <w:szCs w:val="21"/>
                <w:highlight w:val="none"/>
                <w:lang w:val="en-US" w:eastAsia="zh-CN"/>
              </w:rPr>
              <w:t xml:space="preserve">按要求提供的得2分，未提供或未按要求提供的不得分。</w:t>
            </w:r>
            <w:r/>
          </w:p>
        </w:tc>
        <w:tc>
          <w:tcPr>
            <w:tcW w:w="437" w:type="pct"/>
            <w:vAlign w:val="center"/>
            <w:textDirection w:val="lrTb"/>
            <w:noWrap w:val="false"/>
          </w:tcPr>
          <w:p>
            <w:pPr>
              <w:jc w:val="center"/>
              <w:spacing w:line="4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r>
      <w:tr>
        <w:trPr>
          <w:trHeight w:val="397"/>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vMerge w:val="continue"/>
            <w:textDirection w:val="lrTb"/>
            <w:noWrap w:val="false"/>
          </w:tcPr>
          <w:p>
            <w:pPr>
              <w:jc w:val="center"/>
              <w:spacing w:line="4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W w:w="3068" w:type="pct"/>
            <w:vAlign w:val="top"/>
            <w:textDirection w:val="lrTb"/>
            <w:noWrap w:val="false"/>
          </w:tcPr>
          <w:p>
            <w:pPr>
              <w:jc w:val="left"/>
              <w:spacing w:line="440" w:lineRule="exact"/>
              <w:rPr>
                <w:rFonts w:hint="eastAsia"/>
                <w:color w:val="auto"/>
                <w:sz w:val="21"/>
                <w:szCs w:val="21"/>
                <w:highlight w:val="none"/>
                <w:lang w:val="en-US" w:eastAsia="zh-CN"/>
              </w:rPr>
            </w:pPr>
            <w:r>
              <w:rPr>
                <w:rFonts w:hint="eastAsia"/>
                <w:color w:val="auto"/>
                <w:sz w:val="21"/>
                <w:szCs w:val="21"/>
                <w:highlight w:val="none"/>
              </w:rPr>
              <w:t xml:space="preserve">4、投标单位能够提供</w:t>
            </w:r>
            <w:r>
              <w:rPr>
                <w:rFonts w:hint="eastAsia" w:ascii="宋体" w:hAnsi="宋体" w:eastAsia="宋体"/>
                <w:color w:val="auto"/>
                <w:sz w:val="21"/>
                <w:szCs w:val="21"/>
                <w:highlight w:val="none"/>
              </w:rPr>
              <w:t xml:space="preserve">案件共享功能，办案人员可以将自己承办的案件共享给其他办案人员，并赋予其只读或读写的权限</w:t>
            </w:r>
            <w:r>
              <w:rPr>
                <w:rFonts w:hint="eastAsia"/>
                <w:color w:val="auto"/>
                <w:sz w:val="21"/>
                <w:szCs w:val="21"/>
                <w:highlight w:val="none"/>
              </w:rPr>
              <w:t xml:space="preserve">的现场系统演示</w:t>
            </w:r>
            <w:r>
              <w:rPr>
                <w:color w:val="auto"/>
                <w:sz w:val="21"/>
                <w:szCs w:val="21"/>
                <w:highlight w:val="none"/>
              </w:rPr>
              <w:t xml:space="preserve">。</w:t>
            </w:r>
            <w:r>
              <w:rPr>
                <w:rFonts w:hint="eastAsia"/>
                <w:color w:val="auto"/>
                <w:sz w:val="21"/>
                <w:szCs w:val="21"/>
                <w:highlight w:val="none"/>
                <w:lang w:val="en-US" w:eastAsia="zh-CN"/>
              </w:rPr>
              <w:t xml:space="preserve">按要求提供的得2分，未提供或未按要求提供的不得分。</w:t>
            </w:r>
            <w:r/>
          </w:p>
        </w:tc>
        <w:tc>
          <w:tcPr>
            <w:tcW w:w="437" w:type="pct"/>
            <w:vAlign w:val="center"/>
            <w:textDirection w:val="lrTb"/>
            <w:noWrap w:val="false"/>
          </w:tcPr>
          <w:p>
            <w:pPr>
              <w:jc w:val="center"/>
              <w:spacing w:line="4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r>
      <w:tr>
        <w:trPr>
          <w:trHeight w:val="397"/>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vMerge w:val="continue"/>
            <w:textDirection w:val="lrTb"/>
            <w:noWrap w:val="false"/>
          </w:tcPr>
          <w:p>
            <w:pPr>
              <w:jc w:val="center"/>
              <w:spacing w:line="4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W w:w="3068" w:type="pct"/>
            <w:vAlign w:val="top"/>
            <w:textDirection w:val="lrTb"/>
            <w:noWrap w:val="false"/>
          </w:tcPr>
          <w:p>
            <w:pPr>
              <w:jc w:val="left"/>
              <w:spacing w:line="44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5</w:t>
            </w:r>
            <w:r>
              <w:rPr>
                <w:rFonts w:hint="eastAsia"/>
                <w:color w:val="auto"/>
                <w:sz w:val="21"/>
                <w:szCs w:val="21"/>
                <w:highlight w:val="none"/>
              </w:rPr>
              <w:t xml:space="preserve">、</w:t>
            </w:r>
            <w:bookmarkStart w:id="118" w:name="OLE_LINK8"/>
            <w:r>
              <w:rPr>
                <w:rFonts w:hint="eastAsia"/>
                <w:color w:val="auto"/>
                <w:sz w:val="21"/>
                <w:szCs w:val="21"/>
                <w:highlight w:val="none"/>
              </w:rPr>
              <w:t xml:space="preserve">投标单位能够提供</w:t>
            </w:r>
            <w:r>
              <w:rPr>
                <w:rFonts w:hint="eastAsia" w:ascii="宋体" w:hAnsi="宋体" w:eastAsia="宋体"/>
                <w:color w:val="auto"/>
                <w:sz w:val="21"/>
                <w:szCs w:val="21"/>
                <w:highlight w:val="none"/>
              </w:rPr>
              <w:t xml:space="preserve">庭审控制功能，可以查看庭审的合成通道画面、检测庭审设备运行状态、包括录音录像状态、法庭设备状态、软件系统状态、网络通讯状态</w:t>
            </w:r>
            <w:r>
              <w:rPr>
                <w:rFonts w:hint="eastAsia"/>
                <w:color w:val="auto"/>
                <w:sz w:val="21"/>
                <w:szCs w:val="21"/>
                <w:highlight w:val="none"/>
              </w:rPr>
              <w:t xml:space="preserve">的现场系统演示</w:t>
            </w:r>
            <w:r>
              <w:rPr>
                <w:color w:val="auto"/>
                <w:sz w:val="21"/>
                <w:szCs w:val="21"/>
                <w:highlight w:val="none"/>
              </w:rPr>
              <w:t xml:space="preserve">。</w:t>
            </w:r>
            <w:r>
              <w:rPr>
                <w:rFonts w:hint="eastAsia"/>
                <w:color w:val="auto"/>
                <w:sz w:val="21"/>
                <w:szCs w:val="21"/>
                <w:highlight w:val="none"/>
                <w:lang w:val="en-US" w:eastAsia="zh-CN"/>
              </w:rPr>
              <w:t xml:space="preserve">按要求提供的得2分，未提供或未按要求提供的不得分。</w:t>
            </w:r>
            <w:bookmarkEnd w:id="118"/>
            <w:r/>
            <w:r/>
          </w:p>
        </w:tc>
        <w:tc>
          <w:tcPr>
            <w:tcW w:w="437" w:type="pct"/>
            <w:vAlign w:val="center"/>
            <w:textDirection w:val="lrTb"/>
            <w:noWrap w:val="false"/>
          </w:tcPr>
          <w:p>
            <w:pPr>
              <w:jc w:val="center"/>
              <w:spacing w:line="4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r>
      <w:tr>
        <w:trPr>
          <w:trHeight w:val="397"/>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vMerge w:val="continue"/>
            <w:textDirection w:val="lrTb"/>
            <w:noWrap w:val="false"/>
          </w:tcPr>
          <w:p>
            <w:pPr>
              <w:jc w:val="center"/>
              <w:spacing w:line="4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W w:w="3068" w:type="pct"/>
            <w:vAlign w:val="top"/>
            <w:textDirection w:val="lrTb"/>
            <w:noWrap w:val="false"/>
          </w:tcPr>
          <w:p>
            <w:pPr>
              <w:jc w:val="left"/>
              <w:spacing w:line="44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color w:val="auto"/>
                <w:sz w:val="21"/>
                <w:szCs w:val="21"/>
                <w:highlight w:val="none"/>
              </w:rPr>
              <w:t xml:space="preserve">、</w:t>
            </w:r>
            <w:bookmarkStart w:id="119" w:name="OLE_LINK9"/>
            <w:r>
              <w:rPr>
                <w:rFonts w:hint="eastAsia"/>
                <w:color w:val="auto"/>
                <w:sz w:val="21"/>
                <w:szCs w:val="21"/>
                <w:highlight w:val="none"/>
              </w:rPr>
              <w:t xml:space="preserve">投标单位能够提供</w:t>
            </w:r>
            <w:r>
              <w:rPr>
                <w:rFonts w:hint="eastAsia" w:ascii="宋体" w:hAnsi="宋体" w:eastAsia="宋体"/>
                <w:color w:val="auto"/>
                <w:sz w:val="21"/>
                <w:szCs w:val="21"/>
                <w:highlight w:val="none"/>
              </w:rPr>
              <w:t xml:space="preserve">运行状态管理功能，以可视化图形的方式展示CPU的实时利用率、内存实时使用量、系统盘的使用率，包括系统区、数据区、数据库、应用区、日志区的已使用率、剩余可用容量</w:t>
            </w:r>
            <w:r>
              <w:rPr>
                <w:rFonts w:hint="eastAsia"/>
                <w:color w:val="auto"/>
                <w:sz w:val="21"/>
                <w:szCs w:val="21"/>
                <w:highlight w:val="none"/>
              </w:rPr>
              <w:t xml:space="preserve">的现场系统演示</w:t>
            </w:r>
            <w:r>
              <w:rPr>
                <w:color w:val="auto"/>
                <w:sz w:val="21"/>
                <w:szCs w:val="21"/>
                <w:highlight w:val="none"/>
              </w:rPr>
              <w:t xml:space="preserve">。</w:t>
            </w:r>
            <w:r>
              <w:rPr>
                <w:rFonts w:hint="eastAsia"/>
                <w:color w:val="auto"/>
                <w:sz w:val="21"/>
                <w:szCs w:val="21"/>
                <w:highlight w:val="none"/>
                <w:lang w:val="en-US" w:eastAsia="zh-CN"/>
              </w:rPr>
              <w:t xml:space="preserve">按要求提供的得3分，未提供或未按要求提供的不得分。</w:t>
            </w:r>
            <w:bookmarkEnd w:id="119"/>
            <w:r/>
            <w:r/>
          </w:p>
        </w:tc>
        <w:tc>
          <w:tcPr>
            <w:tcW w:w="437" w:type="pct"/>
            <w:vAlign w:val="center"/>
            <w:textDirection w:val="lrTb"/>
            <w:noWrap w:val="false"/>
          </w:tcPr>
          <w:p>
            <w:pPr>
              <w:jc w:val="center"/>
              <w:spacing w:line="4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r>
      <w:tr>
        <w:trPr>
          <w:trHeight w:val="1207"/>
        </w:trPr>
        <w:tc>
          <w:tcPr>
            <w:tcW w:w="654" w:type="pct"/>
            <w:vAlign w:val="center"/>
            <w:vMerge w:val="continue"/>
            <w:textDirection w:val="lrTb"/>
            <w:noWrap w:val="false"/>
          </w:tcPr>
          <w:p>
            <w:pPr>
              <w:jc w:val="center"/>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tc>
        <w:tc>
          <w:tcPr>
            <w:tcW w:w="840" w:type="pct"/>
            <w:vAlign w:val="center"/>
            <w:vMerge w:val="restart"/>
            <w:textDirection w:val="lrTb"/>
            <w:noWrap w:val="false"/>
          </w:tcPr>
          <w:p>
            <w:pPr>
              <w:jc w:val="center"/>
              <w:spacing w:line="440" w:lineRule="exact"/>
              <w:rPr>
                <w:rFonts w:hint="eastAsia"/>
                <w:color w:val="auto"/>
                <w:highlight w:val="none"/>
              </w:rPr>
            </w:pPr>
            <w:r>
              <w:rPr>
                <w:rFonts w:hint="eastAsia"/>
                <w:color w:val="auto"/>
                <w:highlight w:val="none"/>
                <w:lang w:val="en-US" w:eastAsia="zh-CN"/>
              </w:rPr>
              <w:t xml:space="preserve">执法规范化</w:t>
            </w:r>
            <w:r>
              <w:rPr>
                <w:rFonts w:hint="eastAsia"/>
                <w:color w:val="auto"/>
                <w:highlight w:val="none"/>
              </w:rPr>
              <w:t xml:space="preserve">系统功能演示</w:t>
            </w:r>
            <w:r/>
          </w:p>
          <w:p>
            <w:pPr>
              <w:jc w:val="left"/>
              <w:spacing w:line="440" w:lineRule="exact"/>
              <w:rPr>
                <w:rFonts w:hint="eastAsia"/>
                <w:color w:val="auto"/>
                <w:sz w:val="21"/>
                <w:szCs w:val="21"/>
                <w:highlight w:val="none"/>
              </w:rPr>
            </w:pPr>
            <w:r>
              <w:rPr>
                <w:rFonts w:hint="eastAsia" w:ascii="宋体" w:hAnsi="宋体"/>
                <w:color w:val="auto"/>
                <w:sz w:val="21"/>
                <w:szCs w:val="21"/>
                <w:highlight w:val="none"/>
                <w:lang w:val="en-US" w:eastAsia="zh-CN"/>
              </w:rPr>
              <w:t xml:space="preserve">注：</w:t>
            </w:r>
            <w:r>
              <w:rPr>
                <w:rFonts w:hint="eastAsia"/>
                <w:color w:val="auto"/>
                <w:sz w:val="21"/>
                <w:szCs w:val="21"/>
                <w:highlight w:val="none"/>
              </w:rPr>
              <w:t xml:space="preserve">统一采用录制真实软件或者软件DEMO操作视频方式进行功能演示（视频画面须清晰），时间不超过8分钟。</w:t>
            </w:r>
            <w:r/>
          </w:p>
          <w:p>
            <w:pPr>
              <w:jc w:val="left"/>
              <w:spacing w:line="440" w:lineRule="exact"/>
              <w:rPr>
                <w:color w:val="auto"/>
                <w:sz w:val="21"/>
                <w:szCs w:val="21"/>
                <w:highlight w:val="none"/>
              </w:rPr>
            </w:pPr>
            <w:r>
              <w:rPr>
                <w:rFonts w:hint="eastAsia"/>
                <w:color w:val="auto"/>
                <w:sz w:val="21"/>
                <w:szCs w:val="21"/>
                <w:highlight w:val="none"/>
              </w:rPr>
              <w:t xml:space="preserve">演示主要内容包括：</w:t>
            </w:r>
            <w:r/>
          </w:p>
          <w:p>
            <w:pPr>
              <w:pStyle w:val="875"/>
              <w:rPr>
                <w:rFonts w:hint="eastAsia" w:eastAsia="宋体"/>
                <w:color w:val="auto"/>
                <w:highlight w:val="none"/>
                <w:lang w:val="en-US" w:eastAsia="zh-CN"/>
              </w:rPr>
            </w:pPr>
            <w:r>
              <w:rPr>
                <w:rFonts w:hint="eastAsia" w:eastAsia="宋体"/>
                <w:color w:val="auto"/>
                <w:highlight w:val="none"/>
                <w:lang w:val="en-US" w:eastAsia="zh-CN"/>
              </w:rPr>
            </w:r>
            <w:r/>
          </w:p>
        </w:tc>
        <w:tc>
          <w:tcPr>
            <w:tcW w:w="3068" w:type="pct"/>
            <w:vAlign w:val="top"/>
            <w:textDirection w:val="lrTb"/>
            <w:noWrap w:val="false"/>
          </w:tcPr>
          <w:p>
            <w:pPr>
              <w:jc w:val="left"/>
              <w:spacing w:line="44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1.</w:t>
            </w:r>
            <w:r>
              <w:rPr>
                <w:rFonts w:hint="eastAsia"/>
                <w:color w:val="auto"/>
                <w:sz w:val="21"/>
                <w:szCs w:val="21"/>
                <w:highlight w:val="none"/>
              </w:rPr>
              <w:t xml:space="preserve">投标单位能够提供通过摄录情况，快速筛选出记录仪的视图资源进行统计，包括文件数量、文件大小、录制时长的现场系统演示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按要求提供的得3分，未提供或未按要求提供的不得分。</w:t>
            </w:r>
            <w:r/>
          </w:p>
        </w:tc>
        <w:tc>
          <w:tcPr>
            <w:tcW w:w="437" w:type="pct"/>
            <w:vAlign w:val="center"/>
            <w:textDirection w:val="lrTb"/>
            <w:noWrap w:val="false"/>
          </w:tcPr>
          <w:p>
            <w:pPr>
              <w:jc w:val="center"/>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r>
      <w:tr>
        <w:trPr>
          <w:trHeight w:val="1207"/>
        </w:trPr>
        <w:tc>
          <w:tcPr>
            <w:tcW w:w="654" w:type="pct"/>
            <w:vAlign w:val="center"/>
            <w:vMerge w:val="continue"/>
            <w:textDirection w:val="lrTb"/>
            <w:noWrap w:val="false"/>
          </w:tcPr>
          <w:p>
            <w:pPr>
              <w:jc w:val="left"/>
              <w:spacing w:line="440" w:lineRule="exact"/>
              <w:rPr>
                <w:color w:val="auto"/>
                <w:highlight w:val="none"/>
              </w:rPr>
            </w:pPr>
            <w:r>
              <w:rPr>
                <w:color w:val="auto"/>
                <w:highlight w:val="none"/>
              </w:rPr>
            </w:r>
            <w:r/>
          </w:p>
        </w:tc>
        <w:tc>
          <w:tcPr>
            <w:tcW w:w="840" w:type="pct"/>
            <w:vAlign w:val="center"/>
            <w:vMerge w:val="continue"/>
            <w:textDirection w:val="lrTb"/>
            <w:noWrap w:val="false"/>
          </w:tcPr>
          <w:p>
            <w:pPr>
              <w:jc w:val="left"/>
              <w:spacing w:line="440" w:lineRule="exact"/>
              <w:rPr>
                <w:color w:val="auto"/>
                <w:highlight w:val="none"/>
              </w:rPr>
            </w:pPr>
            <w:r>
              <w:rPr>
                <w:color w:val="auto"/>
                <w:highlight w:val="none"/>
              </w:rPr>
            </w:r>
            <w:r/>
          </w:p>
        </w:tc>
        <w:tc>
          <w:tcPr>
            <w:tcW w:w="3068" w:type="pct"/>
            <w:vAlign w:val="top"/>
            <w:textDirection w:val="lrTb"/>
            <w:noWrap w:val="false"/>
          </w:tcPr>
          <w:p>
            <w:pPr>
              <w:jc w:val="left"/>
              <w:spacing w:line="440" w:lineRule="exact"/>
              <w:rPr>
                <w:rFonts w:hint="eastAsia"/>
                <w:color w:val="auto"/>
                <w:sz w:val="21"/>
                <w:szCs w:val="21"/>
                <w:highlight w:val="none"/>
              </w:rPr>
            </w:pPr>
            <w:r>
              <w:rPr>
                <w:rFonts w:hint="eastAsia"/>
                <w:color w:val="auto"/>
                <w:sz w:val="21"/>
                <w:szCs w:val="21"/>
                <w:highlight w:val="none"/>
              </w:rPr>
              <w:t xml:space="preserve">2、</w:t>
            </w:r>
            <w:bookmarkStart w:id="120" w:name="OLE_LINK10"/>
            <w:r>
              <w:rPr>
                <w:rFonts w:hint="eastAsia"/>
                <w:color w:val="auto"/>
                <w:sz w:val="21"/>
                <w:szCs w:val="21"/>
                <w:highlight w:val="none"/>
              </w:rPr>
              <w:t xml:space="preserve">投标单位能够提供</w:t>
            </w:r>
            <w:r>
              <w:rPr>
                <w:rFonts w:ascii="宋体" w:hAnsi="宋体" w:eastAsia="宋体" w:cs="宋体"/>
                <w:color w:val="auto"/>
                <w:sz w:val="21"/>
                <w:szCs w:val="21"/>
                <w:highlight w:val="none"/>
              </w:rPr>
              <w:t xml:space="preserve">支持筛选未考评视频，随机抽查N条考评</w:t>
            </w:r>
            <w:r>
              <w:rPr>
                <w:rFonts w:hint="eastAsia"/>
                <w:color w:val="auto"/>
                <w:sz w:val="21"/>
                <w:szCs w:val="21"/>
                <w:highlight w:val="none"/>
              </w:rPr>
              <w:t xml:space="preserve">的现场系统演示</w:t>
            </w:r>
            <w:r>
              <w:rPr>
                <w:color w:val="auto"/>
                <w:sz w:val="21"/>
                <w:szCs w:val="21"/>
                <w:highlight w:val="none"/>
              </w:rPr>
              <w:t xml:space="preserve">。</w:t>
            </w:r>
            <w:r>
              <w:rPr>
                <w:rFonts w:hint="eastAsia"/>
                <w:color w:val="auto"/>
                <w:sz w:val="21"/>
                <w:szCs w:val="21"/>
                <w:highlight w:val="none"/>
                <w:lang w:val="en-US" w:eastAsia="zh-CN"/>
              </w:rPr>
              <w:t xml:space="preserve">按要求提供的得3分，未提供或未按要求提供的不得分。</w:t>
            </w:r>
            <w:bookmarkEnd w:id="120"/>
            <w:r/>
            <w:r/>
          </w:p>
        </w:tc>
        <w:tc>
          <w:tcPr>
            <w:tcW w:w="437" w:type="pct"/>
            <w:vAlign w:val="center"/>
            <w:textDirection w:val="lrTb"/>
            <w:noWrap w:val="false"/>
          </w:tcPr>
          <w:p>
            <w:pPr>
              <w:jc w:val="center"/>
              <w:spacing w:line="44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3</w:t>
            </w:r>
            <w:r/>
          </w:p>
        </w:tc>
      </w:tr>
      <w:tr>
        <w:trPr>
          <w:trHeight w:val="1207"/>
        </w:trPr>
        <w:tc>
          <w:tcPr>
            <w:tcW w:w="654" w:type="pct"/>
            <w:vAlign w:val="center"/>
            <w:vMerge w:val="continue"/>
            <w:textDirection w:val="lrTb"/>
            <w:noWrap w:val="false"/>
          </w:tcPr>
          <w:p>
            <w:pPr>
              <w:jc w:val="left"/>
              <w:spacing w:line="440" w:lineRule="exact"/>
              <w:rPr>
                <w:rFonts w:hint="eastAsia"/>
                <w:color w:val="auto"/>
                <w:sz w:val="21"/>
                <w:szCs w:val="21"/>
                <w:highlight w:val="none"/>
              </w:rPr>
            </w:pPr>
            <w:r>
              <w:rPr>
                <w:rFonts w:hint="eastAsia"/>
                <w:color w:val="auto"/>
                <w:sz w:val="21"/>
                <w:szCs w:val="21"/>
                <w:highlight w:val="none"/>
              </w:rPr>
            </w:r>
            <w:r/>
          </w:p>
        </w:tc>
        <w:tc>
          <w:tcPr>
            <w:tcW w:w="840" w:type="pct"/>
            <w:vAlign w:val="center"/>
            <w:vMerge w:val="continue"/>
            <w:textDirection w:val="lrTb"/>
            <w:noWrap w:val="false"/>
          </w:tcPr>
          <w:p>
            <w:pPr>
              <w:jc w:val="left"/>
              <w:spacing w:line="440" w:lineRule="exact"/>
              <w:rPr>
                <w:rFonts w:hint="eastAsia"/>
                <w:color w:val="auto"/>
                <w:sz w:val="21"/>
                <w:szCs w:val="21"/>
                <w:highlight w:val="none"/>
              </w:rPr>
            </w:pPr>
            <w:r>
              <w:rPr>
                <w:rFonts w:hint="eastAsia"/>
                <w:color w:val="auto"/>
                <w:sz w:val="21"/>
                <w:szCs w:val="21"/>
                <w:highlight w:val="none"/>
              </w:rPr>
            </w:r>
            <w:r/>
          </w:p>
        </w:tc>
        <w:tc>
          <w:tcPr>
            <w:tcW w:w="3068" w:type="pct"/>
            <w:vAlign w:val="top"/>
            <w:textDirection w:val="lrTb"/>
            <w:noWrap w:val="false"/>
          </w:tcPr>
          <w:p>
            <w:pPr>
              <w:jc w:val="left"/>
              <w:spacing w:line="440" w:lineRule="exact"/>
              <w:rPr>
                <w:rFonts w:hint="eastAsia"/>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w:t>
            </w:r>
            <w:bookmarkStart w:id="121" w:name="OLE_LINK11"/>
            <w:r>
              <w:rPr>
                <w:rFonts w:hint="eastAsia"/>
                <w:color w:val="auto"/>
                <w:sz w:val="21"/>
                <w:szCs w:val="21"/>
                <w:highlight w:val="none"/>
              </w:rPr>
              <w:t xml:space="preserve">投标单位能够提供人员组织架构、群组，可进行群组会话、一对一聊天。通过搜索区关键字搜索， 可搜索人员、群组的现场系统演示</w:t>
            </w:r>
            <w:r>
              <w:rPr>
                <w:color w:val="auto"/>
                <w:sz w:val="21"/>
                <w:szCs w:val="21"/>
                <w:highlight w:val="none"/>
              </w:rPr>
              <w:t xml:space="preserve">。</w:t>
            </w:r>
            <w:r>
              <w:rPr>
                <w:rFonts w:hint="eastAsia"/>
                <w:color w:val="auto"/>
                <w:sz w:val="21"/>
                <w:szCs w:val="21"/>
                <w:highlight w:val="none"/>
                <w:lang w:val="en-US" w:eastAsia="zh-CN"/>
              </w:rPr>
              <w:t xml:space="preserve">按要求提供的得3分，未提供或未按要求提供的不得分。</w:t>
            </w:r>
            <w:bookmarkEnd w:id="121"/>
            <w:r/>
            <w:r/>
          </w:p>
        </w:tc>
        <w:tc>
          <w:tcPr>
            <w:tcW w:w="437" w:type="pct"/>
            <w:vAlign w:val="center"/>
            <w:textDirection w:val="lrTb"/>
            <w:noWrap w:val="false"/>
          </w:tcPr>
          <w:p>
            <w:pPr>
              <w:jc w:val="center"/>
              <w:spacing w:line="44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3</w:t>
            </w:r>
            <w:r/>
          </w:p>
        </w:tc>
      </w:tr>
      <w:tr>
        <w:trPr>
          <w:trHeight w:val="1207"/>
        </w:trPr>
        <w:tc>
          <w:tcPr>
            <w:tcW w:w="654" w:type="pct"/>
            <w:vAlign w:val="center"/>
            <w:vMerge w:val="continue"/>
            <w:textDirection w:val="lrTb"/>
            <w:noWrap w:val="false"/>
          </w:tcPr>
          <w:p>
            <w:pPr>
              <w:jc w:val="left"/>
              <w:spacing w:line="440" w:lineRule="exact"/>
              <w:rPr>
                <w:rFonts w:hint="eastAsia"/>
                <w:color w:val="auto"/>
                <w:sz w:val="21"/>
                <w:szCs w:val="21"/>
                <w:highlight w:val="none"/>
              </w:rPr>
            </w:pPr>
            <w:r>
              <w:rPr>
                <w:rFonts w:hint="eastAsia"/>
                <w:color w:val="auto"/>
                <w:sz w:val="21"/>
                <w:szCs w:val="21"/>
                <w:highlight w:val="none"/>
              </w:rPr>
            </w:r>
            <w:r/>
          </w:p>
        </w:tc>
        <w:tc>
          <w:tcPr>
            <w:tcW w:w="840" w:type="pct"/>
            <w:vAlign w:val="center"/>
            <w:vMerge w:val="continue"/>
            <w:textDirection w:val="lrTb"/>
            <w:noWrap w:val="false"/>
          </w:tcPr>
          <w:p>
            <w:pPr>
              <w:jc w:val="left"/>
              <w:spacing w:line="440" w:lineRule="exact"/>
              <w:rPr>
                <w:rFonts w:hint="eastAsia"/>
                <w:color w:val="auto"/>
                <w:sz w:val="21"/>
                <w:szCs w:val="21"/>
                <w:highlight w:val="none"/>
              </w:rPr>
            </w:pPr>
            <w:r>
              <w:rPr>
                <w:rFonts w:hint="eastAsia"/>
                <w:color w:val="auto"/>
                <w:sz w:val="21"/>
                <w:szCs w:val="21"/>
                <w:highlight w:val="none"/>
              </w:rPr>
            </w:r>
            <w:r/>
          </w:p>
        </w:tc>
        <w:tc>
          <w:tcPr>
            <w:tcW w:w="3068" w:type="pct"/>
            <w:vAlign w:val="top"/>
            <w:textDirection w:val="lrTb"/>
            <w:noWrap w:val="false"/>
          </w:tcPr>
          <w:p>
            <w:pPr>
              <w:jc w:val="left"/>
              <w:spacing w:line="440" w:lineRule="exact"/>
              <w:rPr>
                <w:rFonts w:hint="eastAsia"/>
                <w:color w:val="auto"/>
                <w:sz w:val="21"/>
                <w:szCs w:val="21"/>
                <w:highlight w:val="none"/>
              </w:rPr>
            </w:pPr>
            <w:r>
              <w:rPr>
                <w:rFonts w:hint="eastAsia"/>
                <w:color w:val="auto"/>
                <w:sz w:val="21"/>
                <w:szCs w:val="21"/>
                <w:highlight w:val="none"/>
              </w:rPr>
              <w:t xml:space="preserve">4、</w:t>
            </w:r>
            <w:bookmarkStart w:id="122" w:name="OLE_LINK12"/>
            <w:r>
              <w:rPr>
                <w:rFonts w:hint="eastAsia"/>
                <w:color w:val="auto"/>
                <w:sz w:val="21"/>
                <w:szCs w:val="21"/>
                <w:highlight w:val="none"/>
              </w:rPr>
              <w:t xml:space="preserve">投标单位能够提供新建电子围栏按钮，可以设置新的电子围栏，电子围栏形状可以有矩形、圆形、多边形、线形、缓冲区等形态的现场系统演示</w:t>
            </w:r>
            <w:r>
              <w:rPr>
                <w:color w:val="auto"/>
                <w:sz w:val="21"/>
                <w:szCs w:val="21"/>
                <w:highlight w:val="none"/>
              </w:rPr>
              <w:t xml:space="preserve">。</w:t>
            </w:r>
            <w:r>
              <w:rPr>
                <w:rFonts w:hint="eastAsia"/>
                <w:color w:val="auto"/>
                <w:sz w:val="21"/>
                <w:szCs w:val="21"/>
                <w:highlight w:val="none"/>
                <w:lang w:val="en-US" w:eastAsia="zh-CN"/>
              </w:rPr>
              <w:t xml:space="preserve">按要求提供的得2分，未提供或未按要求提供的不得分。</w:t>
            </w:r>
            <w:bookmarkEnd w:id="122"/>
            <w:r/>
            <w:r/>
          </w:p>
        </w:tc>
        <w:tc>
          <w:tcPr>
            <w:tcW w:w="437" w:type="pct"/>
            <w:vAlign w:val="center"/>
            <w:textDirection w:val="lrTb"/>
            <w:noWrap w:val="false"/>
          </w:tcPr>
          <w:p>
            <w:pPr>
              <w:jc w:val="center"/>
              <w:spacing w:line="44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2</w:t>
            </w:r>
            <w:r/>
          </w:p>
        </w:tc>
      </w:tr>
      <w:tr>
        <w:trPr>
          <w:trHeight w:val="2230"/>
        </w:trPr>
        <w:tc>
          <w:tcPr>
            <w:tcW w:w="654" w:type="pct"/>
            <w:vAlign w:val="center"/>
            <w:textDirection w:val="lrTb"/>
            <w:noWrap w:val="false"/>
          </w:tcPr>
          <w:p>
            <w:pPr>
              <w:jc w:val="center"/>
              <w:spacing w:line="440" w:lineRule="exact"/>
              <w:rPr>
                <w:color w:val="auto"/>
                <w:sz w:val="21"/>
                <w:szCs w:val="21"/>
                <w:highlight w:val="none"/>
              </w:rPr>
            </w:pPr>
            <w:r>
              <w:rPr>
                <w:rFonts w:hint="eastAsia" w:ascii="宋体" w:hAnsi="宋体" w:cs="宋体"/>
                <w:b/>
                <w:color w:val="auto"/>
                <w:sz w:val="21"/>
                <w:szCs w:val="21"/>
                <w:highlight w:val="none"/>
              </w:rPr>
              <w:t xml:space="preserve">实施方案</w:t>
            </w:r>
            <w:r/>
          </w:p>
        </w:tc>
        <w:tc>
          <w:tcPr>
            <w:tcW w:w="840" w:type="pct"/>
            <w:vAlign w:val="center"/>
            <w:textDirection w:val="lrTb"/>
            <w:noWrap w:val="false"/>
          </w:tcPr>
          <w:p>
            <w:pPr>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实施方案计划措施</w:t>
            </w:r>
            <w:r/>
          </w:p>
        </w:tc>
        <w:tc>
          <w:tcPr>
            <w:tcW w:w="3068" w:type="pct"/>
            <w:vAlign w:val="top"/>
            <w:textDirection w:val="lrTb"/>
            <w:noWrap w:val="false"/>
          </w:tcPr>
          <w:p>
            <w:pPr>
              <w:jc w:val="left"/>
              <w:spacing w:line="440" w:lineRule="exact"/>
              <w:rPr>
                <w:rFonts w:hint="eastAsia"/>
                <w:color w:val="auto"/>
                <w:sz w:val="21"/>
                <w:szCs w:val="21"/>
                <w:highlight w:val="none"/>
                <w:lang w:eastAsia="zh-CN"/>
              </w:rPr>
            </w:pPr>
            <w:r>
              <w:rPr>
                <w:rFonts w:hint="eastAsia"/>
                <w:color w:val="auto"/>
                <w:sz w:val="21"/>
                <w:szCs w:val="21"/>
                <w:highlight w:val="none"/>
              </w:rPr>
              <w:t xml:space="preserve">根据投标人提供的①进度计划、②组织计划、③质量保证措施</w:t>
            </w:r>
            <w:r>
              <w:rPr>
                <w:rFonts w:hint="eastAsia"/>
                <w:color w:val="auto"/>
                <w:sz w:val="21"/>
                <w:szCs w:val="21"/>
                <w:highlight w:val="none"/>
                <w:lang w:eastAsia="zh-CN"/>
              </w:rPr>
              <w:t xml:space="preserve">。</w:t>
            </w:r>
            <w:r>
              <w:rPr>
                <w:rFonts w:hint="eastAsia" w:ascii="宋体" w:hAnsi="宋体" w:cs="宋体"/>
                <w:color w:val="auto"/>
                <w:sz w:val="21"/>
                <w:szCs w:val="21"/>
                <w:highlight w:val="none"/>
              </w:rPr>
              <w:t xml:space="preserve">以上</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项内容</w:t>
            </w:r>
            <w:r>
              <w:rPr>
                <w:rFonts w:hint="eastAsia" w:ascii="宋体" w:hAnsi="宋体" w:cs="宋体"/>
                <w:color w:val="000000"/>
                <w:szCs w:val="21"/>
              </w:rPr>
              <w:t xml:space="preserve">方案完整、符合本项目实际需求的每项得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分，未提供不得分；每项内容里有一处内容不合理或错误的</w:t>
            </w:r>
            <w:r>
              <w:rPr>
                <w:rFonts w:hint="eastAsia" w:ascii="宋体" w:hAnsi="宋体" w:cs="宋体"/>
                <w:color w:val="000000"/>
                <w:szCs w:val="21"/>
                <w:lang w:val="en-US" w:eastAsia="zh-CN"/>
              </w:rPr>
              <w:t xml:space="preserve">扣0.5</w:t>
            </w:r>
            <w:r>
              <w:rPr>
                <w:rFonts w:hint="eastAsia" w:ascii="宋体" w:hAnsi="宋体" w:cs="宋体"/>
                <w:color w:val="000000"/>
                <w:szCs w:val="21"/>
              </w:rPr>
              <w:t xml:space="preserve">分，出现二处及以上的此</w:t>
            </w:r>
            <w:r>
              <w:rPr>
                <w:rFonts w:hint="eastAsia" w:ascii="宋体" w:hAnsi="宋体" w:cs="宋体"/>
                <w:color w:val="000000"/>
                <w:szCs w:val="21"/>
                <w:lang w:val="en-US" w:eastAsia="zh-CN"/>
              </w:rPr>
              <w:t xml:space="preserve">小</w:t>
            </w:r>
            <w:r>
              <w:rPr>
                <w:rFonts w:hint="eastAsia" w:ascii="宋体" w:hAnsi="宋体" w:cs="宋体"/>
                <w:color w:val="000000"/>
                <w:szCs w:val="21"/>
              </w:rPr>
              <w:t xml:space="preserve">项不得分。最高分</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spacing w:line="440" w:lineRule="exact"/>
              <w:rPr>
                <w:rFonts w:hint="eastAsia" w:ascii="宋体" w:hAnsi="宋体"/>
                <w:color w:val="auto"/>
                <w:sz w:val="21"/>
                <w:szCs w:val="21"/>
                <w:highlight w:val="none"/>
              </w:rPr>
            </w:pPr>
            <w:r>
              <w:rPr>
                <w:rFonts w:hint="eastAsia"/>
                <w:color w:val="auto"/>
                <w:sz w:val="21"/>
                <w:szCs w:val="21"/>
                <w:highlight w:val="none"/>
              </w:rPr>
              <w:t xml:space="preserve">注：以上内容“不合理”、“错误”是指：存在不适用项目实际情况、套用其他无关内容、内容不完整、与本项目履约无关、逻辑存在漏洞以及不满足采购文件要求的其他情况。</w:t>
            </w:r>
            <w:r/>
          </w:p>
        </w:tc>
        <w:tc>
          <w:tcPr>
            <w:tcW w:w="437" w:type="pct"/>
            <w:vAlign w:val="center"/>
            <w:textDirection w:val="lrTb"/>
            <w:noWrap w:val="false"/>
          </w:tcPr>
          <w:p>
            <w:pPr>
              <w:jc w:val="center"/>
              <w:spacing w:line="44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w:t>
            </w:r>
            <w:r/>
          </w:p>
        </w:tc>
      </w:tr>
      <w:tr>
        <w:trPr>
          <w:trHeight w:val="2230"/>
        </w:trPr>
        <w:tc>
          <w:tcPr>
            <w:tcW w:w="654" w:type="pct"/>
            <w:vAlign w:val="center"/>
            <w:textDirection w:val="lrTb"/>
            <w:noWrap w:val="false"/>
          </w:tcPr>
          <w:p>
            <w:pPr>
              <w:jc w:val="center"/>
              <w:spacing w:line="440" w:lineRule="exact"/>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rPr>
              <w:t xml:space="preserve">售后保障</w:t>
            </w:r>
            <w:r/>
          </w:p>
        </w:tc>
        <w:tc>
          <w:tcPr>
            <w:tcW w:w="840" w:type="pct"/>
            <w:vAlign w:val="center"/>
            <w:textDirection w:val="lrTb"/>
            <w:noWrap w:val="false"/>
          </w:tcPr>
          <w:p>
            <w:pPr>
              <w:jc w:val="center"/>
              <w:spacing w:line="440" w:lineRule="exact"/>
              <w:rPr>
                <w:rFonts w:hint="eastAsia"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rPr>
              <w:t xml:space="preserve">售后服务保障</w:t>
            </w:r>
            <w:r/>
          </w:p>
        </w:tc>
        <w:tc>
          <w:tcPr>
            <w:tcW w:w="3068" w:type="pct"/>
            <w:vAlign w:val="top"/>
            <w:textDirection w:val="lrTb"/>
            <w:noWrap w:val="false"/>
          </w:tcPr>
          <w:p>
            <w:pPr>
              <w:jc w:val="left"/>
              <w:spacing w:line="440" w:lineRule="exact"/>
              <w:rPr>
                <w:rFonts w:hint="eastAsia"/>
                <w:color w:val="auto"/>
                <w:sz w:val="21"/>
                <w:szCs w:val="21"/>
                <w:highlight w:val="none"/>
              </w:rPr>
            </w:pPr>
            <w:r>
              <w:rPr>
                <w:rFonts w:hint="eastAsia"/>
                <w:color w:val="auto"/>
                <w:sz w:val="21"/>
                <w:szCs w:val="21"/>
                <w:highlight w:val="none"/>
              </w:rPr>
              <w:t xml:space="preserve">提供售后服务保障方案，方案包括①运维流程设计、②运维管理制度、③技术支持流程设计、④紧急情况响应流程、⑤服务方式、⑥培训内容、培训方式、培训计划、培训课程</w:t>
            </w:r>
            <w:r>
              <w:rPr>
                <w:rFonts w:hint="eastAsia"/>
                <w:color w:val="auto"/>
                <w:sz w:val="21"/>
                <w:szCs w:val="21"/>
                <w:highlight w:val="none"/>
                <w:lang w:eastAsia="zh-CN"/>
              </w:rPr>
              <w:t xml:space="preserve">、</w:t>
            </w:r>
            <w:r>
              <w:rPr>
                <w:rFonts w:hint="eastAsia"/>
                <w:color w:val="auto"/>
                <w:sz w:val="21"/>
                <w:szCs w:val="21"/>
                <w:highlight w:val="none"/>
              </w:rPr>
              <w:t xml:space="preserve">培训考核。</w:t>
            </w:r>
            <w:r>
              <w:rPr>
                <w:rFonts w:hint="eastAsia" w:ascii="宋体" w:hAnsi="宋体" w:cs="宋体"/>
                <w:color w:val="auto"/>
                <w:sz w:val="21"/>
                <w:szCs w:val="21"/>
                <w:highlight w:val="none"/>
              </w:rPr>
              <w:t xml:space="preserve">以上</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项内容</w:t>
            </w:r>
            <w:r>
              <w:rPr>
                <w:rFonts w:hint="eastAsia" w:ascii="宋体" w:hAnsi="宋体" w:cs="宋体"/>
                <w:color w:val="000000"/>
                <w:szCs w:val="21"/>
              </w:rPr>
              <w:t xml:space="preserve">方案完整、符合本项目实际需求的每项得</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分，未提供不得分；每项内容里有一处内容不合理或错误的</w:t>
            </w:r>
            <w:r>
              <w:rPr>
                <w:rFonts w:hint="eastAsia" w:ascii="宋体" w:hAnsi="宋体" w:cs="宋体"/>
                <w:color w:val="000000"/>
                <w:szCs w:val="21"/>
                <w:lang w:val="en-US" w:eastAsia="zh-CN"/>
              </w:rPr>
              <w:t xml:space="preserve">扣0.25</w:t>
            </w:r>
            <w:r>
              <w:rPr>
                <w:rFonts w:hint="eastAsia" w:ascii="宋体" w:hAnsi="宋体" w:cs="宋体"/>
                <w:color w:val="000000"/>
                <w:szCs w:val="21"/>
              </w:rPr>
              <w:t xml:space="preserve">分，出现二处及以上的此</w:t>
            </w:r>
            <w:r>
              <w:rPr>
                <w:rFonts w:hint="eastAsia" w:ascii="宋体" w:hAnsi="宋体" w:cs="宋体"/>
                <w:color w:val="000000"/>
                <w:szCs w:val="21"/>
                <w:lang w:val="en-US" w:eastAsia="zh-CN"/>
              </w:rPr>
              <w:t xml:space="preserve">小</w:t>
            </w:r>
            <w:r>
              <w:rPr>
                <w:rFonts w:hint="eastAsia" w:ascii="宋体" w:hAnsi="宋体" w:cs="宋体"/>
                <w:color w:val="000000"/>
                <w:szCs w:val="21"/>
              </w:rPr>
              <w:t xml:space="preserve">项不得分。最高分</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spacing w:line="440" w:lineRule="exact"/>
              <w:rPr>
                <w:rFonts w:hint="eastAsia" w:ascii="Times New Roman" w:hAnsi="Times New Roman" w:eastAsia="宋体" w:cs="Times New Roman"/>
                <w:color w:val="auto"/>
                <w:sz w:val="21"/>
                <w:szCs w:val="21"/>
                <w:highlight w:val="none"/>
                <w:lang w:val="en-US" w:eastAsia="zh-CN" w:bidi="ar-SA"/>
              </w:rPr>
            </w:pPr>
            <w:r>
              <w:rPr>
                <w:rFonts w:hint="eastAsia"/>
                <w:color w:val="auto"/>
                <w:sz w:val="21"/>
                <w:szCs w:val="21"/>
                <w:highlight w:val="none"/>
              </w:rPr>
              <w:t xml:space="preserve">注：以上内容“不合理”、“错误”是指：存在不适用项目实际情况、套用其他无关内容、内容不完整、与本项目履约无关、逻辑存在漏洞以及不满足采购文件要求的其他情况。</w:t>
            </w:r>
            <w:r/>
          </w:p>
        </w:tc>
        <w:tc>
          <w:tcPr>
            <w:tcW w:w="437" w:type="pct"/>
            <w:vAlign w:val="center"/>
            <w:textDirection w:val="lrTb"/>
            <w:noWrap w:val="false"/>
          </w:tcPr>
          <w:p>
            <w:pPr>
              <w:jc w:val="center"/>
              <w:spacing w:line="440" w:lineRule="exact"/>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3</w:t>
            </w:r>
            <w:r/>
          </w:p>
        </w:tc>
      </w:tr>
      <w:tr>
        <w:trPr>
          <w:trHeight w:val="397"/>
        </w:trPr>
        <w:tc>
          <w:tcPr>
            <w:tcW w:w="654" w:type="pct"/>
            <w:vAlign w:val="center"/>
            <w:vMerge w:val="restart"/>
            <w:textDirection w:val="lrTb"/>
            <w:noWrap w:val="false"/>
          </w:tcPr>
          <w:p>
            <w:pPr>
              <w:jc w:val="center"/>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履约能力</w:t>
            </w:r>
            <w:r/>
          </w:p>
          <w:p>
            <w:pPr>
              <w:jc w:val="center"/>
              <w:spacing w:line="440" w:lineRule="exact"/>
              <w:rPr>
                <w:color w:val="auto"/>
                <w:sz w:val="21"/>
                <w:szCs w:val="21"/>
                <w:highlight w:val="none"/>
              </w:rPr>
            </w:pPr>
            <w:r>
              <w:rPr>
                <w:color w:val="auto"/>
                <w:sz w:val="21"/>
                <w:szCs w:val="21"/>
                <w:highlight w:val="none"/>
              </w:rPr>
            </w:r>
            <w:r/>
          </w:p>
        </w:tc>
        <w:tc>
          <w:tcPr>
            <w:tcW w:w="840" w:type="pct"/>
            <w:vAlign w:val="center"/>
            <w:textDirection w:val="lrTb"/>
            <w:noWrap w:val="false"/>
          </w:tcPr>
          <w:p>
            <w:pPr>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类似业绩</w:t>
            </w:r>
            <w:r/>
          </w:p>
        </w:tc>
        <w:tc>
          <w:tcPr>
            <w:tcW w:w="3068" w:type="pct"/>
            <w:vAlign w:val="top"/>
            <w:textDirection w:val="lrTb"/>
            <w:noWrap w:val="false"/>
          </w:tcPr>
          <w:p>
            <w:pPr>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投标单位提供202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年1月（以签订合同日期为准）至今的类似本项目业绩得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分，最高得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p>
          <w:p>
            <w:pPr>
              <w:jc w:val="left"/>
              <w:spacing w:line="440" w:lineRule="exact"/>
              <w:rPr>
                <w:color w:val="auto"/>
                <w:sz w:val="21"/>
                <w:szCs w:val="21"/>
                <w:highlight w:val="none"/>
              </w:rPr>
            </w:pPr>
            <w:r>
              <w:rPr>
                <w:rFonts w:hint="eastAsia" w:ascii="宋体" w:hAnsi="宋体"/>
                <w:color w:val="auto"/>
                <w:sz w:val="21"/>
                <w:szCs w:val="21"/>
                <w:highlight w:val="none"/>
              </w:rPr>
              <w:t xml:space="preserve">注：响应文件须提供清晰的合同及任意一期的发票复印件或扫描件，并加盖投标单位公章，未提供的不得分。</w:t>
            </w:r>
            <w:r/>
          </w:p>
        </w:tc>
        <w:tc>
          <w:tcPr>
            <w:tcW w:w="437" w:type="pct"/>
            <w:vAlign w:val="center"/>
            <w:textDirection w:val="lrTb"/>
            <w:noWrap w:val="false"/>
          </w:tcPr>
          <w:p>
            <w:pPr>
              <w:jc w:val="center"/>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r>
      <w:tr>
        <w:trPr>
          <w:trHeight w:val="1728"/>
        </w:trPr>
        <w:tc>
          <w:tcPr>
            <w:tcW w:w="654" w:type="pct"/>
            <w:vAlign w:val="center"/>
            <w:vMerge w:val="continue"/>
            <w:textDirection w:val="lrTb"/>
            <w:noWrap w:val="false"/>
          </w:tcPr>
          <w:p>
            <w:pPr>
              <w:jc w:val="center"/>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40" w:type="pct"/>
            <w:vAlign w:val="center"/>
            <w:textDirection w:val="lrTb"/>
            <w:noWrap w:val="false"/>
          </w:tcPr>
          <w:p>
            <w:pPr>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软件著作权</w:t>
            </w:r>
            <w:r/>
          </w:p>
        </w:tc>
        <w:tc>
          <w:tcPr>
            <w:tcW w:w="3068" w:type="pct"/>
            <w:vAlign w:val="top"/>
            <w:textDirection w:val="lrTb"/>
            <w:noWrap w:val="false"/>
          </w:tcPr>
          <w:p>
            <w:pPr>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投标单位具有类似本项目的软件著作权证书，每提供一个得</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rPr>
              <w:t xml:space="preserve">分，最高分</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w:t>
            </w:r>
            <w:r/>
          </w:p>
          <w:p>
            <w:pPr>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注：响应文件中需提供相应证书复印件或扫描件，并加盖投标单位公章，未提供的不得分。</w:t>
            </w:r>
            <w:r/>
          </w:p>
        </w:tc>
        <w:tc>
          <w:tcPr>
            <w:tcW w:w="437" w:type="pct"/>
            <w:vAlign w:val="center"/>
            <w:textDirection w:val="lrTb"/>
            <w:noWrap w:val="false"/>
          </w:tcPr>
          <w:p>
            <w:pPr>
              <w:jc w:val="center"/>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r>
    </w:tbl>
    <w:p>
      <w:pPr>
        <w:ind w:firstLine="211"/>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211"/>
        <w:jc w:val="left"/>
        <w:rPr>
          <w:rFonts w:ascii="宋体" w:hAnsi="宋体" w:cs="宋体"/>
          <w:b/>
          <w:bCs/>
          <w:color w:val="auto"/>
          <w:szCs w:val="21"/>
          <w:highlight w:val="none"/>
        </w:rPr>
      </w:pPr>
      <w:r>
        <w:rPr>
          <w:rFonts w:hint="eastAsia" w:ascii="宋体" w:hAnsi="宋体" w:cs="宋体"/>
          <w:b/>
          <w:bCs/>
          <w:color w:val="auto"/>
          <w:szCs w:val="21"/>
          <w:highlight w:val="none"/>
        </w:rPr>
        <w:t xml:space="preserve">备注：</w:t>
      </w:r>
      <w:bookmarkEnd w:id="112"/>
      <w:r/>
      <w:r/>
    </w:p>
    <w:p>
      <w:pPr>
        <w:ind w:firstLine="210"/>
        <w:rPr>
          <w:rFonts w:ascii="宋体" w:hAnsi="宋体" w:cs="宋体"/>
          <w:bCs/>
          <w:color w:val="auto"/>
          <w:szCs w:val="21"/>
          <w:highlight w:val="none"/>
          <w:lang w:val="zh-TW" w:eastAsia="zh-TW"/>
        </w:rPr>
      </w:pPr>
      <w:r/>
      <w:bookmarkStart w:id="123" w:name="_Toc11197"/>
      <w:r>
        <w:rPr>
          <w:rFonts w:hint="eastAsia" w:ascii="宋体" w:hAnsi="宋体" w:cs="宋体"/>
          <w:bCs/>
          <w:color w:val="auto"/>
          <w:szCs w:val="21"/>
          <w:highlight w:val="none"/>
          <w:lang w:val="zh-TW" w:eastAsia="zh-TW"/>
        </w:rPr>
        <w:t xml:space="preserve">1、</w:t>
      </w:r>
      <w:r>
        <w:rPr>
          <w:rFonts w:hint="eastAsia" w:ascii="宋体" w:hAnsi="宋体" w:cs="宋体"/>
          <w:bCs/>
          <w:color w:val="auto"/>
          <w:szCs w:val="21"/>
          <w:highlight w:val="none"/>
        </w:rPr>
        <w:t xml:space="preserve">响应</w:t>
      </w:r>
      <w:r>
        <w:rPr>
          <w:rFonts w:hint="eastAsia" w:ascii="宋体" w:hAnsi="宋体" w:cs="宋体"/>
          <w:bCs/>
          <w:color w:val="auto"/>
          <w:szCs w:val="21"/>
          <w:highlight w:val="none"/>
          <w:lang w:val="zh-TW" w:eastAsia="zh-TW"/>
        </w:rPr>
        <w:t xml:space="preserve">总报价超过采购预算的将不进入综合评审程序，也不得标。</w:t>
      </w:r>
      <w:bookmarkEnd w:id="123"/>
      <w:r/>
      <w:r/>
    </w:p>
    <w:p>
      <w:pPr>
        <w:ind w:firstLine="210"/>
        <w:rPr>
          <w:rFonts w:ascii="宋体" w:hAnsi="宋体" w:cs="宋体"/>
          <w:bCs/>
          <w:color w:val="auto"/>
          <w:szCs w:val="21"/>
          <w:highlight w:val="none"/>
          <w:lang w:val="zh-TW" w:eastAsia="zh-TW"/>
        </w:rPr>
      </w:pPr>
      <w:r/>
      <w:bookmarkStart w:id="124" w:name="_Toc8909"/>
      <w:r>
        <w:rPr>
          <w:rFonts w:hint="eastAsia" w:ascii="宋体" w:hAnsi="宋体" w:cs="宋体"/>
          <w:bCs/>
          <w:color w:val="auto"/>
          <w:szCs w:val="21"/>
          <w:highlight w:val="none"/>
          <w:lang w:val="zh-TW" w:eastAsia="zh-TW"/>
        </w:rPr>
        <w:t xml:space="preserve">2、服务期、付款步骤如有负偏离的不得标。</w:t>
      </w:r>
      <w:bookmarkEnd w:id="124"/>
      <w:r/>
      <w:r/>
    </w:p>
    <w:p>
      <w:pPr>
        <w:ind w:firstLine="210"/>
        <w:rPr>
          <w:rFonts w:ascii="宋体" w:hAnsi="宋体" w:cs="宋体"/>
          <w:bCs/>
          <w:color w:val="auto"/>
          <w:szCs w:val="21"/>
          <w:highlight w:val="none"/>
          <w:lang w:val="zh-TW" w:eastAsia="zh-TW"/>
        </w:rPr>
      </w:pPr>
      <w:r/>
      <w:bookmarkStart w:id="125" w:name="_Toc22215"/>
      <w:r>
        <w:rPr>
          <w:rFonts w:hint="eastAsia" w:ascii="宋体" w:hAnsi="宋体" w:cs="宋体"/>
          <w:bCs/>
          <w:color w:val="auto"/>
          <w:szCs w:val="21"/>
          <w:highlight w:val="none"/>
          <w:lang w:val="zh-TW" w:eastAsia="zh-TW"/>
        </w:rPr>
        <w:t xml:space="preserve">3、响应文件中如出现前后不一致时,评委有权请</w:t>
      </w:r>
      <w:r>
        <w:rPr>
          <w:rFonts w:hint="eastAsia" w:ascii="宋体" w:hAnsi="宋体" w:cs="宋体"/>
          <w:bCs/>
          <w:color w:val="auto"/>
          <w:szCs w:val="21"/>
          <w:highlight w:val="none"/>
          <w:lang w:val="zh-TW"/>
        </w:rPr>
        <w:t xml:space="preserve">供应商</w:t>
      </w:r>
      <w:r>
        <w:rPr>
          <w:rFonts w:hint="eastAsia" w:ascii="宋体" w:hAnsi="宋体" w:cs="宋体"/>
          <w:bCs/>
          <w:color w:val="auto"/>
          <w:szCs w:val="21"/>
          <w:highlight w:val="none"/>
          <w:lang w:val="zh-TW" w:eastAsia="zh-TW"/>
        </w:rPr>
        <w:t xml:space="preserve">澄清说明,澄清说明事项涉及评分时,评委有权酌情扣分。</w:t>
      </w:r>
      <w:bookmarkEnd w:id="125"/>
      <w:r/>
      <w:r/>
    </w:p>
    <w:p>
      <w:pPr>
        <w:ind w:firstLine="210"/>
        <w:rPr>
          <w:rFonts w:hint="eastAsia" w:ascii="宋体" w:hAnsi="宋体" w:cs="宋体"/>
          <w:bCs/>
          <w:color w:val="auto"/>
          <w:szCs w:val="21"/>
          <w:highlight w:val="none"/>
        </w:rPr>
      </w:pPr>
      <w:r>
        <w:rPr>
          <w:rFonts w:hint="eastAsia" w:ascii="宋体" w:hAnsi="宋体" w:cs="宋体"/>
          <w:b w:val="0"/>
          <w:bCs/>
          <w:color w:val="auto"/>
          <w:szCs w:val="21"/>
          <w:highlight w:val="none"/>
        </w:rPr>
        <w:t xml:space="preserve">4、</w:t>
      </w:r>
      <w:r>
        <w:rPr>
          <w:rFonts w:hint="eastAsia" w:ascii="宋体" w:hAnsi="宋体" w:cs="宋体"/>
          <w:b/>
          <w:bCs w:val="0"/>
          <w:color w:val="auto"/>
          <w:szCs w:val="21"/>
          <w:highlight w:val="none"/>
        </w:rPr>
        <w:t xml:space="preserve">响应人提供资料必须真实有效，成交后采购人</w:t>
      </w:r>
      <w:r>
        <w:rPr>
          <w:rFonts w:hint="eastAsia" w:ascii="宋体" w:hAnsi="宋体" w:cs="宋体"/>
          <w:b/>
          <w:bCs w:val="0"/>
          <w:color w:val="auto"/>
          <w:szCs w:val="21"/>
          <w:highlight w:val="none"/>
          <w:lang w:val="en-US" w:eastAsia="zh-CN"/>
        </w:rPr>
        <w:t xml:space="preserve">有权对成交单位在响应文件中提供的检测报告、业绩、证书等相关资料进行原件</w:t>
      </w:r>
      <w:r>
        <w:rPr>
          <w:rFonts w:hint="eastAsia" w:ascii="宋体" w:hAnsi="宋体" w:cs="宋体"/>
          <w:b/>
          <w:bCs w:val="0"/>
          <w:color w:val="auto"/>
          <w:szCs w:val="21"/>
          <w:highlight w:val="none"/>
        </w:rPr>
        <w:t xml:space="preserve">核查，响应单位如若提供虚假资料，</w:t>
      </w:r>
      <w:r>
        <w:rPr>
          <w:rFonts w:hint="eastAsia" w:ascii="宋体" w:hAnsi="宋体" w:cs="宋体"/>
          <w:b/>
          <w:bCs w:val="0"/>
          <w:color w:val="auto"/>
          <w:szCs w:val="21"/>
          <w:highlight w:val="none"/>
          <w:lang w:val="en-US" w:eastAsia="zh-CN"/>
        </w:rPr>
        <w:t xml:space="preserve">采购单位有权取消其中标资格，且该单位须</w:t>
      </w:r>
      <w:r>
        <w:rPr>
          <w:rFonts w:hint="eastAsia" w:ascii="宋体" w:hAnsi="宋体" w:cs="宋体"/>
          <w:b/>
          <w:bCs w:val="0"/>
          <w:color w:val="auto"/>
          <w:szCs w:val="21"/>
          <w:highlight w:val="none"/>
        </w:rPr>
        <w:t xml:space="preserve">承担相应法律责任。</w:t>
      </w:r>
      <w:r>
        <w:rPr>
          <w:rFonts w:hint="eastAsia" w:ascii="宋体" w:hAnsi="宋体" w:cs="宋体"/>
          <w:bCs/>
          <w:color w:val="auto"/>
          <w:szCs w:val="21"/>
          <w:highlight w:val="none"/>
        </w:rPr>
        <w:t xml:space="preserve">以上</w:t>
      </w:r>
      <w:r>
        <w:rPr>
          <w:rFonts w:hint="eastAsia" w:ascii="宋体" w:hAnsi="宋体" w:cs="宋体"/>
          <w:bCs/>
          <w:color w:val="auto"/>
          <w:szCs w:val="21"/>
          <w:highlight w:val="none"/>
          <w:lang w:eastAsia="zh-CN"/>
        </w:rPr>
        <w:t xml:space="preserve">需要</w:t>
      </w:r>
      <w:r>
        <w:rPr>
          <w:rFonts w:hint="eastAsia" w:ascii="宋体" w:hAnsi="宋体" w:cs="宋体"/>
          <w:bCs/>
          <w:color w:val="auto"/>
          <w:szCs w:val="21"/>
          <w:highlight w:val="none"/>
        </w:rPr>
        <w:t xml:space="preserve">递交的资</w:t>
      </w:r>
      <w:r>
        <w:rPr>
          <w:rFonts w:hint="eastAsia" w:ascii="宋体" w:hAnsi="宋体" w:cs="宋体"/>
          <w:bCs/>
          <w:color w:val="auto"/>
          <w:szCs w:val="21"/>
          <w:highlight w:val="none"/>
          <w:lang w:eastAsia="zh-CN"/>
        </w:rPr>
        <w:t xml:space="preserve">料在</w:t>
      </w:r>
      <w:r>
        <w:rPr>
          <w:rFonts w:hint="eastAsia" w:ascii="宋体" w:hAnsi="宋体" w:cs="宋体"/>
          <w:bCs/>
          <w:color w:val="auto"/>
          <w:szCs w:val="21"/>
          <w:highlight w:val="none"/>
        </w:rPr>
        <w:t xml:space="preserve">投标截止时间之前递交，逾时递交的资料将不作为评审依据。</w:t>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5、采购文件中要求加盖响应单位公章的，可用电子签章代替。</w:t>
      </w:r>
      <w:r/>
    </w:p>
    <w:p>
      <w:pPr>
        <w:ind w:firstLine="210"/>
        <w:rPr>
          <w:rFonts w:ascii="宋体" w:hAnsi="宋体" w:cs="宋体"/>
          <w:color w:val="auto"/>
          <w:highlight w:val="none"/>
        </w:rPr>
      </w:pPr>
      <w:r>
        <w:rPr>
          <w:rFonts w:hint="eastAsia" w:ascii="宋体" w:hAnsi="宋体" w:cs="宋体"/>
          <w:bCs/>
          <w:color w:val="auto"/>
          <w:szCs w:val="21"/>
          <w:highlight w:val="none"/>
        </w:rPr>
        <w:t xml:space="preserve">6、</w:t>
      </w:r>
      <w:r>
        <w:rPr>
          <w:rFonts w:hint="eastAsia"/>
          <w:color w:val="auto"/>
          <w:highlight w:val="none"/>
        </w:rPr>
        <w:t xml:space="preserve">投标响应文件中扫描件须清晰可辨，如因扫描件模糊，造成无法辨认，该项不得分。</w:t>
      </w:r>
      <w:bookmarkStart w:id="126" w:name="_Toc29409"/>
      <w:r>
        <w:rPr>
          <w:rFonts w:hint="eastAsia" w:ascii="宋体" w:hAnsi="宋体" w:cs="宋体"/>
          <w:color w:val="auto"/>
          <w:highlight w:val="none"/>
        </w:rPr>
        <w:br w:type="page" w:clear="all"/>
      </w:r>
      <w:r/>
    </w:p>
    <w:p>
      <w:pPr>
        <w:pStyle w:val="864"/>
        <w:rPr>
          <w:color w:val="auto"/>
          <w:highlight w:val="none"/>
        </w:rPr>
      </w:pPr>
      <w:r/>
      <w:bookmarkStart w:id="127" w:name="_Toc21982"/>
      <w:r>
        <w:rPr>
          <w:rFonts w:hint="eastAsia"/>
          <w:color w:val="auto"/>
          <w:highlight w:val="none"/>
        </w:rPr>
        <w:t xml:space="preserve">五、合同主要条款</w:t>
      </w:r>
      <w:bookmarkEnd w:id="126"/>
      <w:r/>
      <w:bookmarkEnd w:id="127"/>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甲方（采购单位）：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乙方（成交单位）：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pStyle w:val="919"/>
        <w:rPr>
          <w:color w:val="auto"/>
          <w:highlight w:val="none"/>
        </w:rPr>
      </w:pPr>
      <w:r>
        <w:rPr>
          <w:color w:val="auto"/>
          <w:highlight w:val="none"/>
        </w:rPr>
      </w:r>
      <w:r/>
    </w:p>
    <w:p>
      <w:pPr>
        <w:ind w:firstLine="420"/>
        <w:rPr>
          <w:rFonts w:hint="eastAsia" w:asciiTheme="minorEastAsia" w:hAnsiTheme="minorEastAsia" w:eastAsiaTheme="minorEastAsia" w:cstheme="minorEastAsia"/>
          <w:color w:val="auto"/>
          <w:sz w:val="21"/>
          <w:szCs w:val="21"/>
          <w:highlight w:val="none"/>
        </w:rPr>
      </w:pPr>
      <w:r/>
      <w:bookmarkStart w:id="128" w:name="_Toc31533"/>
      <w:r>
        <w:rPr>
          <w:rFonts w:hint="eastAsia" w:asciiTheme="minorEastAsia" w:hAnsiTheme="minorEastAsia" w:eastAsiaTheme="minorEastAsia" w:cstheme="minorEastAsia"/>
          <w:color w:val="auto"/>
          <w:sz w:val="21"/>
          <w:szCs w:val="21"/>
          <w:highlight w:val="none"/>
        </w:rPr>
        <w:t xml:space="preserve">依据甲方委托</w:t>
      </w:r>
      <w:r>
        <w:rPr>
          <w:rFonts w:hint="eastAsia" w:asciiTheme="minorEastAsia" w:hAnsiTheme="minorEastAsia" w:eastAsiaTheme="minorEastAsia" w:cstheme="minorEastAsia"/>
          <w:color w:val="auto"/>
          <w:sz w:val="21"/>
          <w:szCs w:val="21"/>
          <w:highlight w:val="none"/>
          <w:u w:val="single"/>
        </w:rPr>
        <w:t xml:space="preserve">苏州通宜房地产土地评估咨询有限公司</w:t>
      </w:r>
      <w:r>
        <w:rPr>
          <w:rFonts w:hint="eastAsia" w:asciiTheme="minorEastAsia" w:hAnsiTheme="minorEastAsia" w:eastAsiaTheme="minorEastAsia" w:cstheme="minorEastAsia"/>
          <w:color w:val="auto"/>
          <w:sz w:val="21"/>
          <w:szCs w:val="21"/>
          <w:highlight w:val="none"/>
        </w:rPr>
        <w:t xml:space="preserve">进行</w:t>
      </w:r>
      <w:r>
        <w:rPr>
          <w:rFonts w:hint="eastAsia" w:asciiTheme="minorEastAsia" w:hAnsiTheme="minorEastAsia" w:eastAsiaTheme="minorEastAsia" w:cstheme="minorEastAsia"/>
          <w:color w:val="auto"/>
          <w:sz w:val="21"/>
          <w:szCs w:val="21"/>
          <w:highlight w:val="none"/>
          <w:u w:val="single"/>
          <w:lang w:eastAsia="zh-CN"/>
        </w:rPr>
        <w:t xml:space="preserve">2026年吴江区数智庭审系统升级</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项目编号</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JSZC-320509-SZTY-C2026-0009</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rPr>
        <w:t xml:space="preserve">政府采购的成交结果，确定乙方为本次成交单位，现依照采购文件、乙方的响应文件及相关文件的内容，签订本合同书。</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一、合同内容：</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1、合同总金额（含税）（大写）人民币                 元（￥                ）。</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合同价格包括软硬件的安装与调试、试运行、验收、运维、质保、利润、税金、人员工资、保险、培训、技术支持、代理服务费、政策性文件规定及合同包含的所有风险、责任等其他投标单位认为应纳入的一切费用，除非合同条款中另有规定，否则，投标单位所报价格在合同实施期间不因市场变化因素而变动。</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3、根据国家现行税法对甲方征收的与本合同有关的税费均由甲方承担；根据国家现行税法对乙方征收的与本合同有关的一切税费均由乙方承担。如乙方在履约过程中产生额外的收益，归甲方所有。</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4、下列文件为本合同不可分割组成部分，以上文件与本合同具有同等法律效力：</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（1）中标通知书。</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（2）乙方的投标文件。</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（3）乙方在招投标过程中所作的其他承诺、声明、书面澄清等。</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（4）招标文件及其附件。</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（5）合同附件。</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二、服务范围：</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甲方聘请乙方提供以下服务：</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1、本合同项下的服务指：（详见招标文件）。</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2、服务期限：成交公告发布后7天内完成对接测试，自项目验收合格之日起提供为期一年的运维服务。</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2.1具体时间节点要求如下：</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建设周期：合同签订后3个月内完成项目建设，且必须具备上线运行条件；</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试运行周期：平台上线后试运行周期不少于3个月。</w:t>
      </w:r>
      <w:r/>
    </w:p>
    <w:p>
      <w:pPr>
        <w:pStyle w:val="1137"/>
        <w:ind w:firstLine="420"/>
        <w:spacing w:line="460" w:lineRule="exact"/>
        <w:rPr>
          <w:rFonts w:hint="default" w:asciiTheme="minorEastAsia" w:hAnsiTheme="minorEastAsia" w:eastAsiaTheme="minorEastAsia" w:cstheme="minorEastAsia"/>
          <w:color w:val="auto"/>
          <w:sz w:val="21"/>
          <w:szCs w:val="21"/>
          <w:highlight w:val="none"/>
          <w:lang w:val="en-US" w:eastAsia="zh-CN" w:bidi="ar-SA"/>
        </w:rPr>
      </w:pPr>
      <w:r>
        <w:rPr>
          <w:rFonts w:hint="eastAsia" w:ascii="宋体" w:hAnsi="宋体"/>
          <w:color w:val="auto"/>
          <w:sz w:val="21"/>
          <w:highlight w:val="none"/>
          <w:lang w:val="en-US" w:eastAsia="zh-CN"/>
        </w:rPr>
        <w:t xml:space="preserve">验收时间：试运行周期结束后，由甲方组织整体验收。</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3、乙方工作职责：（具体内容见招标文件和乙方的投标文件）。</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4、服务内容：（详见招标文件）。</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5、服务要求：（详见招标文件）。</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三、甲方的权利和义务：</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1、根据甲方服务要求及乙方投标文件中的承诺，要求乙方按照本合同约定提交技术服务，并对乙方提供的服务及履行本合同情况实行检查、监督、考核，要求乙方对其服务过程中存在的问题进行整改。</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2、按照招标文件要求和相关约定，及时支付服务费用。</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3、要求乙方提供相关的技术资料和必要的技术指导，听取乙方提出的建议并给予答复。</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四、乙方的权利和义务：</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1、接受甲方提供的技术资料、数据等。</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2、交付符合本合同要求的工作成果并获得报酬。</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3、根据甲方要求提供相关的技术资料和必要的技术指导，依据甲方提出的建议后并及时给予答复。</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五、合同价格支付：</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1、支付步骤和比例：本合同签订并生效后甲方向乙方支付合同金额的30%，项目验收合格后30日内甲方支付合同金额的65%，合同金额的5%验收合格后一年内支付。</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bookmarkStart w:id="129" w:name="OLE_LINK43"/>
      <w:r>
        <w:rPr>
          <w:rFonts w:hint="eastAsia" w:asciiTheme="minorEastAsia" w:hAnsiTheme="minorEastAsia" w:eastAsiaTheme="minorEastAsia" w:cstheme="minorEastAsia"/>
          <w:color w:val="auto"/>
          <w:sz w:val="21"/>
          <w:szCs w:val="21"/>
          <w:highlight w:val="none"/>
          <w:lang w:val="en-US" w:eastAsia="zh-CN" w:bidi="ar-SA"/>
        </w:rPr>
        <w:t xml:space="preserve">2、乙方要求付款应提供以下材料：</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（1）合法的增值税发票。</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（2）由甲乙双方签字盖章的验收合格报告。</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5、支付方式：银行电汇或转账。</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6、乙方信息如下：</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户名：【                     】</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数字人民币账号：【                     】</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数字钱包开户行：【                     】</w:t>
      </w:r>
      <w:bookmarkEnd w:id="129"/>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六、违约责任：</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1、甲方违约责任：</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（1）在合同生效后，甲方无理由要求的毁约，应向乙方偿付合同总价款的1%，作为违约金，违约金不足以补偿损失的，乙方有权要求甲方补足。</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（2）甲方逾期付款的，每逾期一日，应按照逾期付款金额的万分之四支付逾期付款违约金。</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（3）甲方违反合同约定，拒绝接受乙方交付的合格技术服务，应当承担乙方由此造成的损失。</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2、乙方违约责任：</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乙方不能按时提供服务，或服务不合格从而影响甲方按期正常使用的，应向甲方偿付合同总价款1%的违约金，违约金不足以补偿损失的甲方有权要求乙方补足。如乙方逾期超过15天未能提供服务的，视为根本违约，甲方有权解除合同并要求乙方赔偿合同总价款的1%作为违约金。</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（2）乙方逾期服务的，应在事前与甲方和政府采购管理部门协商，甲方仍需求的，乙方应立即提供服务并应按照逾期服务部分的款项的每天万分之四支付逾期违约金，同时承担甲方因此遭致的损失费用。</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（3）乙方在服务过程中，若有违反招标文件相关规定及内容的，甲方有权延迟付款或从未付款项中扣除甲方损失费用。</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七、不可抗力</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1、因不可抗力（或甲、乙双方不能控制的原因）不能履行合同的，根据不可抗力的影响，部分或者全部免除责任。但合同一方迟延履行后发生不可抗力的，不能免除责任。</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2、合同一方因不可抗力不能履行合同的，应当及时通知对方，以减轻可能给对方造成的损失，并应当在合理期限内提供证明。</w:t>
      </w:r>
      <w:r/>
    </w:p>
    <w:p>
      <w:pPr>
        <w:pStyle w:val="1137"/>
        <w:spacing w:line="460" w:lineRule="exact"/>
        <w:rPr>
          <w:rFonts w:hint="default"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八、保密义务</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乙方针对本项目涉及内容制定保密措施并在项目实施过程中严格执行，对因乙方原因所造成的泄密结果，乙方应承担全部责任，要求提供对本项目的保密承诺，项目实施过程应严格遵守信息安全保护要求。</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九、知识产权</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乙方应保证所提供标的和标的物涉及到的知识产权是合法取得，并享有完整的知识产权，不会因采购方的使用而被责令停止使用、追偿或要求赔偿损失，如出现此情况，一切经济和法律责任均由成交方承担。成交方应按投标文件的有关规定提供合格的标的和标的物，质量符合国际或国家通用标准。</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十、合同的解除和转让</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1、甲方和乙方协商一致，可以解除合同。</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2、有下列情形之一，合同一方可以解除合同：</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（1）因不可抗力致使不能实现合同目的，未受不可抗力影响的一方有权解除合同；</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（2）因合同一方违约导致合同不能履行，另一方有权解除合同。</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3、有权解除合同的一方，应当在违约事实或不可抗力发生之后三十天内书面通知对方提出解除合同，合同在书面通知到达对方时解除。</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4、合同的部分和全部都不得转让。</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十一、争议解决办法</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1、双方在不违背本合同和招标文件的原则下协商解决，协商结果以书面形式盖章记录在案，作为本合同的附件，与本合同具有同等效力，提交政府采购监督管理部门和采购代理机构备存。</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2、因本合同或与本合同有关的一切事项发生争议，由双方友好协商解决。协商不成的，任何一方均可选择以下方式 二 解决：</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方式一：双方达成仲裁协议，向约定的仲裁委员会申请仲裁，本合同约定的仲裁委员会是合同履行地仲裁机构；</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方式二：向甲方所在地的人民法院起诉。</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十二、合同修改和补充</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2、合同未尽事宜，合同当事人另行签订补充协议，补充协议是合同的组成部分。</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十三、其它</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乙方除应做好职工的安全生产教育外，还应为服务人员提供必要的劳动保护条件，还应为服务人员办理人身安全保险和意外伤害险，一切安全责任事故均由乙方负责（保险种类由乙方自行选择）。</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十四、合同生效</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本合同在双方法定（授权）代表人签字盖单位公章（或合同章）后生效，并须报送政府采购监督管理部门备案。</w:t>
      </w:r>
      <w:r/>
    </w:p>
    <w:p>
      <w:pPr>
        <w:pStyle w:val="1137"/>
        <w:spacing w:line="4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十五、附则：</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1、合同份数：本合同一式陆份，甲乙双方各执贰份，采购代理机构壹份，政府采购管理部门壹份。</w:t>
      </w:r>
      <w:r/>
    </w:p>
    <w:p>
      <w:pPr>
        <w:pStyle w:val="1137"/>
        <w:ind w:firstLine="420"/>
        <w:spacing w:line="460" w:lineRule="exact"/>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2、未尽事宜：</w:t>
      </w:r>
      <w:r>
        <w:rPr>
          <w:rFonts w:hint="eastAsia" w:asciiTheme="minorEastAsia" w:hAnsiTheme="minorEastAsia" w:eastAsiaTheme="minorEastAsia" w:cstheme="minorEastAsia"/>
          <w:color w:val="auto"/>
          <w:sz w:val="21"/>
          <w:szCs w:val="21"/>
          <w:highlight w:val="none"/>
          <w:lang w:val="zh-CN" w:eastAsia="zh-CN" w:bidi="ar-SA"/>
        </w:rPr>
        <w:t xml:space="preserve">本合同未尽事宜应按《中华人民共和国民法典》、《中华人民共和国政府采购法》以及其他相关法律、法规之规定解释。</w:t>
      </w:r>
      <w:r/>
    </w:p>
    <w:p>
      <w:pPr>
        <w:pStyle w:val="1137"/>
        <w:ind w:firstLine="4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3、</w:t>
      </w:r>
      <w:r>
        <w:rPr>
          <w:rFonts w:hint="eastAsia" w:asciiTheme="minorEastAsia" w:hAnsiTheme="minorEastAsia" w:eastAsiaTheme="minorEastAsia" w:cstheme="minorEastAsia"/>
          <w:color w:val="auto"/>
          <w:sz w:val="21"/>
          <w:szCs w:val="21"/>
          <w:highlight w:val="none"/>
          <w:lang w:val="zh-CN" w:eastAsia="zh-CN" w:bidi="ar-SA"/>
        </w:rPr>
        <w:t xml:space="preserve">本合同载明的地址是双方确认的送达地址。任何一方变更送达地址的应书面通知对方方为有效变更送达地址。本协议的通知或司法机关的法律文书自通过中国邮政EMS或挂号信寄出至送达地址后的第三天，即为送达。</w:t>
      </w:r>
      <w:r/>
    </w:p>
    <w:tbl>
      <w:tblPr>
        <w:tblStyle w:val="90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6"/>
        <w:gridCol w:w="4460"/>
      </w:tblGrid>
      <w:tr>
        <w:trPr/>
        <w:tc>
          <w:tcPr>
            <w:tcW w:w="2598" w:type="pct"/>
            <w:textDirection w:val="lrTb"/>
            <w:noWrap w:val="false"/>
          </w:tcPr>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甲方（签章）：</w:t>
            </w:r>
            <w:r/>
          </w:p>
          <w:p>
            <w:pPr>
              <w:pStyle w:val="918"/>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法人代表                </w:t>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ind w:firstLine="189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    </w:t>
            </w:r>
            <w:r/>
          </w:p>
        </w:tc>
        <w:tc>
          <w:tcPr>
            <w:tcW w:w="2401" w:type="pct"/>
            <w:textDirection w:val="lrTb"/>
            <w:noWrap w:val="false"/>
          </w:tcPr>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乙方（签章）：</w:t>
            </w:r>
            <w:r/>
          </w:p>
          <w:p>
            <w:pPr>
              <w:pStyle w:val="918"/>
              <w:rPr>
                <w:rFonts w:hAnsi="宋体" w:cs="宋体"/>
                <w:color w:val="auto"/>
                <w:szCs w:val="21"/>
                <w:highlight w:val="none"/>
              </w:rPr>
            </w:pPr>
            <w:r>
              <w:rPr>
                <w:rFonts w:hAnsi="宋体" w:cs="宋体"/>
                <w:color w:val="auto"/>
                <w:szCs w:val="21"/>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法人代表</w:t>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ind w:firstLine="147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bl>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81"/>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：履约验收方案</w:t>
      </w:r>
      <w:r/>
    </w:p>
    <w:p>
      <w:pPr>
        <w:jc w:val="center"/>
        <w:spacing w:line="480" w:lineRule="auto"/>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履约验收方案</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1、履约验收标准：采购合同中相关服务内容的完成质量，验收组意见为“合格”的视为通过验收。</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2、履约验收主体：由甲方组织验收。</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、验收程序：</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.1 总体要求：试运行周期结束后，由</w:t>
      </w:r>
      <w:r>
        <w:rPr>
          <w:rFonts w:hint="eastAsia" w:ascii="宋体" w:hAnsi="宋体" w:cs="宋体"/>
          <w:b w:val="0"/>
          <w:bCs/>
          <w:color w:val="auto"/>
          <w:szCs w:val="21"/>
          <w:highlight w:val="none"/>
          <w:lang w:val="en-US" w:eastAsia="zh-CN"/>
        </w:rPr>
        <w:t xml:space="preserve">甲</w:t>
      </w:r>
      <w:r>
        <w:rPr>
          <w:rFonts w:hint="eastAsia" w:ascii="宋体" w:hAnsi="宋体" w:cs="宋体"/>
          <w:b w:val="0"/>
          <w:bCs/>
          <w:color w:val="auto"/>
          <w:szCs w:val="21"/>
          <w:highlight w:val="none"/>
          <w:lang w:eastAsia="zh-CN"/>
        </w:rPr>
        <w:t xml:space="preserve">方组织整体验收。</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2 </w:t>
      </w:r>
      <w:r>
        <w:rPr>
          <w:rFonts w:hint="eastAsia" w:ascii="宋体" w:hAnsi="宋体" w:cs="宋体"/>
          <w:b w:val="0"/>
          <w:bCs/>
          <w:color w:val="auto"/>
          <w:szCs w:val="21"/>
          <w:highlight w:val="none"/>
          <w:lang w:val="en-US" w:eastAsia="zh-CN"/>
        </w:rPr>
        <w:t xml:space="preserve">验收标准：</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3.2.1</w:t>
      </w:r>
      <w:r>
        <w:rPr>
          <w:rFonts w:hint="eastAsia" w:ascii="宋体" w:hAnsi="宋体" w:cs="宋体"/>
          <w:b w:val="0"/>
          <w:bCs/>
          <w:color w:val="auto"/>
          <w:szCs w:val="21"/>
          <w:highlight w:val="none"/>
          <w:lang w:eastAsia="zh-CN"/>
        </w:rPr>
        <w:t xml:space="preserve">所有验收工作均依据本采购文件技术要求、投标响应文件承诺、国家及行业相关标准执行。</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3.2.2</w:t>
      </w:r>
      <w:r>
        <w:rPr>
          <w:rFonts w:hint="eastAsia" w:ascii="宋体" w:hAnsi="宋体" w:cs="宋体"/>
          <w:b w:val="0"/>
          <w:bCs/>
          <w:color w:val="auto"/>
          <w:szCs w:val="21"/>
          <w:highlight w:val="none"/>
          <w:lang w:eastAsia="zh-CN"/>
        </w:rPr>
        <w:t xml:space="preserve">平台</w:t>
      </w:r>
      <w:r>
        <w:rPr>
          <w:rFonts w:hint="eastAsia" w:ascii="宋体" w:hAnsi="宋体" w:cs="宋体"/>
          <w:b w:val="0"/>
          <w:bCs/>
          <w:color w:val="auto"/>
          <w:szCs w:val="21"/>
          <w:highlight w:val="none"/>
          <w:lang w:val="en-US" w:eastAsia="zh-CN"/>
        </w:rPr>
        <w:t xml:space="preserve">试运行至少3个月</w:t>
      </w:r>
      <w:r>
        <w:rPr>
          <w:rFonts w:hint="eastAsia" w:ascii="宋体" w:hAnsi="宋体" w:cs="宋体"/>
          <w:b w:val="0"/>
          <w:bCs/>
          <w:color w:val="auto"/>
          <w:szCs w:val="21"/>
          <w:highlight w:val="none"/>
          <w:lang w:eastAsia="zh-CN"/>
        </w:rPr>
        <w:t xml:space="preserve">，各项技术指标满足采购文件全部要求，全部文档资料交付齐全；完成功能测试、性能测试；人员培训完成；售后服务相关承诺全部落实，经采购人组织测试核查无误后签署</w:t>
      </w:r>
      <w:r>
        <w:rPr>
          <w:rFonts w:hint="eastAsia" w:ascii="宋体" w:hAnsi="宋体" w:cs="宋体"/>
          <w:b w:val="0"/>
          <w:bCs/>
          <w:color w:val="auto"/>
          <w:szCs w:val="21"/>
          <w:highlight w:val="none"/>
          <w:lang w:val="en-US" w:eastAsia="zh-CN"/>
        </w:rPr>
        <w:t xml:space="preserve">合格</w:t>
      </w:r>
      <w:r>
        <w:rPr>
          <w:rFonts w:hint="eastAsia" w:ascii="宋体" w:hAnsi="宋体" w:cs="宋体"/>
          <w:b w:val="0"/>
          <w:bCs/>
          <w:color w:val="auto"/>
          <w:szCs w:val="21"/>
          <w:highlight w:val="none"/>
          <w:lang w:eastAsia="zh-CN"/>
        </w:rPr>
        <w:t xml:space="preserve">验收报告。 </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 验收资料：验收时供应商须提交完整项目文档，包含设备说明书、配置清单、测试报告、操作维护手册、培训记录等纸质及电子文档。 </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eastAsia="zh-CN"/>
        </w:rPr>
        <w:t xml:space="preserve"> 如验收不通过，供应商须在采购人规定时限内完成整改，整改后再次组织验收，由此产生一切费用由供应商自行承担。</w:t>
      </w:r>
      <w:r/>
    </w:p>
    <w:p>
      <w:pPr>
        <w:spacing w:line="480" w:lineRule="auto"/>
        <w:tabs>
          <w:tab w:val="left" w:pos="540" w:leader="none"/>
          <w:tab w:val="left" w:pos="567" w:leader="none"/>
        </w:tabs>
        <w:rPr>
          <w:rFonts w:hint="eastAsia" w:ascii="宋体" w:hAnsi="宋体" w:cs="宋体"/>
          <w:b/>
          <w:color w:val="auto"/>
          <w:szCs w:val="21"/>
          <w:highlight w:val="none"/>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eastAsia="zh-CN"/>
        </w:rPr>
        <w:t xml:space="preserve">、其他验收要求按照江苏省财政厅《关于印发&lt;江苏省政府采购履约验收管理办法&gt;的通知》（苏财规〔2024〕7号）规定执行。</w:t>
      </w:r>
      <w:r/>
    </w:p>
    <w:p>
      <w:pPr>
        <w:rPr>
          <w:rFonts w:ascii="宋体" w:hAnsi="宋体" w:cs="宋体"/>
          <w:b/>
          <w:bCs/>
          <w:color w:val="auto"/>
          <w:szCs w:val="21"/>
          <w:highlight w:val="none"/>
        </w:rPr>
      </w:pPr>
      <w:r>
        <w:rPr>
          <w:rFonts w:hint="eastAsia" w:ascii="宋体" w:hAnsi="宋体" w:cs="宋体"/>
          <w:b/>
          <w:color w:val="auto"/>
          <w:szCs w:val="21"/>
          <w:highlight w:val="none"/>
          <w:shd w:val="clear" w:color="auto" w:fill="ffffff"/>
        </w:rPr>
        <w:b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81"/>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附件3：政府采购履约验收通知单</w:t>
      </w:r>
      <w:r/>
    </w:p>
    <w:p>
      <w:pPr>
        <w:jc w:val="center"/>
        <w:spacing w:before="263" w:line="223" w:lineRule="auto"/>
        <w:rPr>
          <w:rFonts w:ascii="宋体" w:hAnsi="宋体" w:cs="宋体"/>
          <w:color w:val="auto"/>
          <w:sz w:val="36"/>
          <w:szCs w:val="36"/>
          <w:highlight w:val="none"/>
        </w:rPr>
        <w:outlineLvl w:val="0"/>
      </w:pPr>
      <w:r/>
      <w:bookmarkStart w:id="130" w:name="_Toc23715"/>
      <w:r>
        <w:rPr>
          <w:rFonts w:hint="eastAsia" w:ascii="宋体" w:hAnsi="宋体" w:cs="宋体"/>
          <w:color w:val="auto"/>
          <w:spacing w:val="17"/>
          <w:sz w:val="36"/>
          <w:szCs w:val="36"/>
          <w:highlight w:val="none"/>
        </w:rPr>
        <w:t xml:space="preserve">政府采购履约验收通知单</w:t>
      </w:r>
      <w:bookmarkEnd w:id="130"/>
      <w:r/>
      <w:r/>
    </w:p>
    <w:p>
      <w:pPr>
        <w:ind w:left="85"/>
        <w:spacing w:before="216" w:line="214" w:lineRule="auto"/>
        <w:rPr>
          <w:rFonts w:ascii="宋体" w:hAnsi="宋体" w:cs="宋体"/>
          <w:color w:val="auto"/>
          <w:sz w:val="23"/>
          <w:szCs w:val="23"/>
          <w:highlight w:val="none"/>
        </w:rPr>
      </w:pPr>
      <w:r>
        <w:rPr>
          <w:rFonts w:hint="eastAsia" w:ascii="宋体" w:hAnsi="宋体" w:cs="宋体"/>
          <w:color w:val="auto"/>
          <w:spacing w:val="9"/>
          <w:sz w:val="23"/>
          <w:szCs w:val="23"/>
          <w:highlight w:val="none"/>
        </w:rPr>
        <w:t xml:space="preserve">供应商：</w:t>
      </w:r>
      <w:r/>
    </w:p>
    <w:p>
      <w:pPr>
        <w:spacing w:line="44" w:lineRule="exact"/>
        <w:rPr>
          <w:rFonts w:ascii="宋体" w:hAnsi="宋体" w:cs="宋体"/>
          <w:color w:val="auto"/>
          <w:highlight w:val="none"/>
        </w:rPr>
      </w:pPr>
      <w:r>
        <w:rPr>
          <w:rFonts w:ascii="宋体" w:hAnsi="宋体" w:cs="宋体"/>
          <w:color w:val="auto"/>
          <w:highlight w:val="none"/>
        </w:rPr>
      </w:r>
      <w:r/>
    </w:p>
    <w:tbl>
      <w:tblPr>
        <w:tblStyle w:val="1219"/>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采购人</w:t>
            </w:r>
            <w:r/>
          </w:p>
        </w:tc>
        <w:tc>
          <w:tcPr>
            <w:gridSpan w:val="3"/>
            <w:tcW w:w="6708"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841"/>
              <w:spacing w:before="249" w:line="211"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项目名称</w:t>
            </w:r>
            <w:r/>
          </w:p>
        </w:tc>
        <w:tc>
          <w:tcPr>
            <w:gridSpan w:val="3"/>
            <w:tcW w:w="6708"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2610" w:type="dxa"/>
            <w:textDirection w:val="lrTb"/>
            <w:noWrap w:val="false"/>
          </w:tcPr>
          <w:p>
            <w:pPr>
              <w:ind w:left="841"/>
              <w:spacing w:before="247" w:line="213"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合同名称</w:t>
            </w:r>
            <w:r/>
          </w:p>
        </w:tc>
        <w:tc>
          <w:tcPr>
            <w:gridSpan w:val="3"/>
            <w:tcW w:w="6708"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841"/>
              <w:spacing w:before="247" w:line="212"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合同编号</w:t>
            </w:r>
            <w:r/>
          </w:p>
        </w:tc>
        <w:tc>
          <w:tcPr>
            <w:tcW w:w="1961"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7"/>
              <w:spacing w:before="247" w:line="213"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合同金额</w:t>
            </w:r>
            <w:r/>
          </w:p>
        </w:tc>
        <w:tc>
          <w:tcPr>
            <w:tcW w:w="2608"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2610" w:type="dxa"/>
            <w:textDirection w:val="lrTb"/>
            <w:noWrap w:val="false"/>
          </w:tcPr>
          <w:p>
            <w:pPr>
              <w:ind w:left="841"/>
              <w:spacing w:before="248" w:line="212" w:lineRule="auto"/>
              <w:rPr>
                <w:rFonts w:ascii="宋体" w:hAnsi="宋体" w:cs="宋体"/>
                <w:color w:val="auto"/>
                <w:sz w:val="23"/>
                <w:szCs w:val="23"/>
                <w:highlight w:val="none"/>
              </w:rPr>
            </w:pPr>
            <w:r>
              <w:rPr>
                <w:rFonts w:hint="eastAsia" w:ascii="宋体" w:hAnsi="宋体" w:cs="宋体"/>
                <w:color w:val="auto"/>
                <w:spacing w:val="4"/>
                <w:sz w:val="23"/>
                <w:szCs w:val="23"/>
                <w:highlight w:val="none"/>
              </w:rPr>
              <w:t xml:space="preserve">验收时间</w:t>
            </w:r>
            <w:r/>
          </w:p>
        </w:tc>
        <w:tc>
          <w:tcPr>
            <w:tcW w:w="1961"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7"/>
              <w:spacing w:before="248" w:line="213" w:lineRule="auto"/>
              <w:rPr>
                <w:rFonts w:ascii="宋体" w:hAnsi="宋体" w:cs="宋体"/>
                <w:color w:val="auto"/>
                <w:sz w:val="23"/>
                <w:szCs w:val="23"/>
                <w:highlight w:val="none"/>
              </w:rPr>
            </w:pPr>
            <w:r>
              <w:rPr>
                <w:rFonts w:hint="eastAsia" w:ascii="宋体" w:hAnsi="宋体" w:cs="宋体"/>
                <w:color w:val="auto"/>
                <w:spacing w:val="4"/>
                <w:sz w:val="23"/>
                <w:szCs w:val="23"/>
                <w:highlight w:val="none"/>
              </w:rPr>
              <w:t xml:space="preserve">验收地点</w:t>
            </w:r>
            <w:r/>
          </w:p>
        </w:tc>
        <w:tc>
          <w:tcPr>
            <w:tcW w:w="2608"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960"/>
              <w:spacing w:before="248" w:line="213" w:lineRule="auto"/>
              <w:rPr>
                <w:rFonts w:ascii="宋体" w:hAnsi="宋体" w:cs="宋体"/>
                <w:color w:val="auto"/>
                <w:sz w:val="23"/>
                <w:szCs w:val="23"/>
                <w:highlight w:val="none"/>
              </w:rPr>
            </w:pPr>
            <w:r>
              <w:rPr>
                <w:rFonts w:hint="eastAsia" w:ascii="宋体" w:hAnsi="宋体" w:cs="宋体"/>
                <w:color w:val="auto"/>
                <w:spacing w:val="1"/>
                <w:sz w:val="23"/>
                <w:szCs w:val="23"/>
                <w:highlight w:val="none"/>
              </w:rPr>
              <w:t xml:space="preserve">联系人</w:t>
            </w:r>
            <w:r/>
          </w:p>
        </w:tc>
        <w:tc>
          <w:tcPr>
            <w:tcW w:w="1961"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5"/>
              <w:spacing w:before="248" w:line="213" w:lineRule="auto"/>
              <w:rPr>
                <w:rFonts w:ascii="宋体" w:hAnsi="宋体" w:cs="宋体"/>
                <w:color w:val="auto"/>
                <w:sz w:val="23"/>
                <w:szCs w:val="23"/>
                <w:highlight w:val="none"/>
              </w:rPr>
            </w:pPr>
            <w:r>
              <w:rPr>
                <w:rFonts w:hint="eastAsia" w:ascii="宋体" w:hAnsi="宋体" w:cs="宋体"/>
                <w:color w:val="auto"/>
                <w:spacing w:val="3"/>
                <w:sz w:val="23"/>
                <w:szCs w:val="23"/>
                <w:highlight w:val="none"/>
              </w:rPr>
              <w:t xml:space="preserve">联系电话</w:t>
            </w:r>
            <w:r/>
          </w:p>
        </w:tc>
        <w:tc>
          <w:tcPr>
            <w:tcW w:w="2608"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3"/>
                <w:szCs w:val="23"/>
                <w:highlight w:val="none"/>
              </w:rPr>
            </w:pPr>
            <w:r>
              <w:rPr>
                <w:rFonts w:hint="eastAsia" w:ascii="宋体" w:hAnsi="宋体" w:cs="宋体"/>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4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128" w:right="2893" w:firstLine="183"/>
              <w:spacing w:before="75" w:line="507" w:lineRule="auto"/>
              <w:rPr>
                <w:rFonts w:ascii="宋体" w:hAnsi="宋体" w:cs="宋体"/>
                <w:color w:val="auto"/>
                <w:sz w:val="23"/>
                <w:szCs w:val="23"/>
                <w:highlight w:val="none"/>
              </w:rPr>
            </w:pPr>
            <w:r>
              <w:rPr>
                <w:rFonts w:hint="eastAsia" w:ascii="宋体" w:hAnsi="宋体" w:cs="宋体"/>
                <w:color w:val="auto"/>
                <w:spacing w:val="3"/>
                <w:sz w:val="23"/>
                <w:szCs w:val="23"/>
                <w:highlight w:val="none"/>
              </w:rPr>
              <w:t xml:space="preserve">单位公章</w:t>
            </w:r>
            <w:r>
              <w:rPr>
                <w:rFonts w:hint="eastAsia" w:ascii="宋体" w:hAnsi="宋体" w:cs="宋体"/>
                <w:color w:val="auto"/>
                <w:sz w:val="23"/>
                <w:szCs w:val="23"/>
                <w:highlight w:val="none"/>
              </w:rPr>
              <w:t xml:space="preserve">  </w:t>
            </w:r>
            <w:r>
              <w:rPr>
                <w:rFonts w:hint="eastAsia" w:ascii="宋体" w:hAnsi="宋体" w:cs="宋体"/>
                <w:color w:val="auto"/>
                <w:spacing w:val="-16"/>
                <w:sz w:val="23"/>
                <w:szCs w:val="23"/>
                <w:highlight w:val="none"/>
              </w:rPr>
              <w:t xml:space="preserve">年</w:t>
            </w:r>
            <w:r>
              <w:rPr>
                <w:rFonts w:hint="eastAsia" w:ascii="宋体" w:hAnsi="宋体" w:cs="宋体"/>
                <w:color w:val="auto"/>
                <w:spacing w:val="18"/>
                <w:sz w:val="23"/>
                <w:szCs w:val="23"/>
                <w:highlight w:val="none"/>
              </w:rPr>
              <w:t xml:space="preserve">  </w:t>
            </w:r>
            <w:r>
              <w:rPr>
                <w:rFonts w:hint="eastAsia" w:ascii="宋体" w:hAnsi="宋体" w:cs="宋体"/>
                <w:color w:val="auto"/>
                <w:spacing w:val="-16"/>
                <w:sz w:val="23"/>
                <w:szCs w:val="23"/>
                <w:highlight w:val="none"/>
              </w:rPr>
              <w:t xml:space="preserve">月</w:t>
            </w:r>
            <w:r>
              <w:rPr>
                <w:rFonts w:hint="eastAsia" w:ascii="宋体" w:hAnsi="宋体" w:cs="宋体"/>
                <w:color w:val="auto"/>
                <w:spacing w:val="12"/>
                <w:sz w:val="23"/>
                <w:szCs w:val="23"/>
                <w:highlight w:val="none"/>
              </w:rPr>
              <w:t xml:space="preserve">   </w:t>
            </w:r>
            <w:r>
              <w:rPr>
                <w:rFonts w:hint="eastAsia" w:ascii="宋体" w:hAnsi="宋体" w:cs="宋体"/>
                <w:color w:val="auto"/>
                <w:spacing w:val="-16"/>
                <w:sz w:val="23"/>
                <w:szCs w:val="23"/>
                <w:highlight w:val="none"/>
              </w:rPr>
              <w:t xml:space="preserve">日</w:t>
            </w:r>
            <w:r/>
          </w:p>
        </w:tc>
      </w:tr>
    </w:tbl>
    <w:p>
      <w:pPr>
        <w:pStyle w:val="881"/>
        <w:ind w:left="513"/>
        <w:spacing w:before="284" w:line="219" w:lineRule="auto"/>
        <w:rPr>
          <w:rFonts w:ascii="宋体" w:hAnsi="宋体" w:cs="宋体"/>
          <w:b/>
          <w:bCs/>
          <w:color w:val="auto"/>
          <w:spacing w:val="-5"/>
          <w:sz w:val="21"/>
          <w:szCs w:val="21"/>
          <w:highlight w:val="none"/>
        </w:rPr>
        <w:sectPr>
          <w:headerReference w:type="default" r:id="rId10"/>
          <w:footerReference w:type="default" r:id="rId14"/>
          <w:footnotePr/>
          <w:endnotePr/>
          <w:type w:val="nextPage"/>
          <w:pgSz w:w="11906" w:h="16838" w:orient="portrait"/>
          <w:pgMar w:top="1440" w:right="1417" w:bottom="1134" w:left="1417" w:header="851" w:footer="850" w:gutter="0"/>
          <w:pgNumType w:start="1"/>
          <w:cols w:num="1" w:sep="0" w:space="1701" w:equalWidth="1"/>
          <w:docGrid w:linePitch="360"/>
        </w:sectPr>
        <w:outlineLvl w:val="0"/>
      </w:pPr>
      <w:r>
        <w:rPr>
          <w:rFonts w:ascii="宋体" w:hAnsi="宋体" w:cs="宋体"/>
          <w:b/>
          <w:bCs/>
          <w:color w:val="auto"/>
          <w:spacing w:val="-5"/>
          <w:sz w:val="21"/>
          <w:szCs w:val="21"/>
          <w:highlight w:val="none"/>
        </w:rPr>
      </w:r>
      <w:r/>
    </w:p>
    <w:p>
      <w:pPr>
        <w:pStyle w:val="881"/>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附件4：政府采购履约验收书</w:t>
      </w:r>
      <w:r/>
    </w:p>
    <w:p>
      <w:pPr>
        <w:ind w:left="3812"/>
        <w:spacing w:before="104" w:line="185" w:lineRule="auto"/>
        <w:rPr>
          <w:rFonts w:ascii="宋体" w:hAnsi="宋体" w:cs="宋体"/>
          <w:color w:val="auto"/>
          <w:sz w:val="36"/>
          <w:szCs w:val="36"/>
          <w:highlight w:val="none"/>
        </w:rPr>
      </w:pPr>
      <w:r>
        <w:rPr>
          <w:rFonts w:hint="eastAsia" w:ascii="宋体" w:hAnsi="宋体" w:cs="宋体"/>
          <w:color w:val="auto"/>
          <w:spacing w:val="19"/>
          <w:sz w:val="36"/>
          <w:szCs w:val="36"/>
          <w:highlight w:val="none"/>
        </w:rPr>
        <w:t xml:space="preserve">政府采购履约验收书(服务类)</w:t>
      </w:r>
      <w:r/>
    </w:p>
    <w:tbl>
      <w:tblPr>
        <w:tblStyle w:val="1219"/>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spacing w:before="29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采购人</w:t>
            </w:r>
            <w:r/>
          </w:p>
        </w:tc>
        <w:tc>
          <w:tcPr>
            <w:tcW w:w="1714"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ind w:left="553"/>
              <w:spacing w:before="298" w:line="208"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项目名称</w:t>
            </w:r>
            <w:r/>
          </w:p>
        </w:tc>
        <w:tc>
          <w:tcPr>
            <w:tcW w:w="2476"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ind w:left="1640"/>
              <w:spacing w:before="29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合同名称</w:t>
            </w:r>
            <w:r/>
          </w:p>
        </w:tc>
        <w:tc>
          <w:tcPr>
            <w:tcW w:w="2556"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64"/>
        </w:trPr>
        <w:tc>
          <w:tcPr>
            <w:tcW w:w="1625" w:type="dxa"/>
            <w:textDirection w:val="lrTb"/>
            <w:noWrap w:val="false"/>
          </w:tcPr>
          <w:p>
            <w:pPr>
              <w:ind w:left="544"/>
              <w:spacing w:before="29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供应商</w:t>
            </w:r>
            <w:r/>
          </w:p>
        </w:tc>
        <w:tc>
          <w:tcPr>
            <w:tcW w:w="1714"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ind w:left="285"/>
              <w:spacing w:before="29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项目及合同编号</w:t>
            </w:r>
            <w:r/>
          </w:p>
        </w:tc>
        <w:tc>
          <w:tcPr>
            <w:tcW w:w="2476"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ind w:left="1640"/>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合同金额</w:t>
            </w:r>
            <w:r/>
          </w:p>
        </w:tc>
        <w:tc>
          <w:tcPr>
            <w:tcW w:w="2556"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1625" w:type="dxa"/>
            <w:textDirection w:val="lrTb"/>
            <w:noWrap w:val="false"/>
          </w:tcPr>
          <w:p>
            <w:pPr>
              <w:ind w:left="186"/>
              <w:spacing w:before="267"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分期（段）验收</w:t>
            </w:r>
            <w:r/>
          </w:p>
        </w:tc>
        <w:tc>
          <w:tcPr>
            <w:tcW w:w="1714" w:type="dxa"/>
            <w:textDirection w:val="lrTb"/>
            <w:noWrap w:val="false"/>
          </w:tcPr>
          <w:p>
            <w:pPr>
              <w:ind w:left="367"/>
              <w:spacing w:before="267" w:line="240" w:lineRule="exact"/>
              <w:rPr>
                <w:rFonts w:ascii="宋体" w:hAnsi="宋体" w:cs="宋体"/>
                <w:color w:val="auto"/>
                <w:sz w:val="18"/>
                <w:szCs w:val="18"/>
                <w:highlight w:val="none"/>
              </w:rPr>
            </w:pPr>
            <w:r>
              <w:rPr>
                <w:rFonts w:hint="eastAsia" w:ascii="宋体" w:hAnsi="宋体" w:cs="宋体"/>
                <w:color w:val="auto"/>
                <w:spacing w:val="-6"/>
                <w:position w:val="1"/>
                <w:sz w:val="18"/>
                <w:szCs w:val="18"/>
                <w:highlight w:val="none"/>
              </w:rPr>
              <w:t xml:space="preserve">是□</w:t>
            </w:r>
            <w:r>
              <w:rPr>
                <w:rFonts w:hint="eastAsia" w:ascii="宋体" w:hAnsi="宋体" w:cs="宋体"/>
                <w:color w:val="auto"/>
                <w:spacing w:val="4"/>
                <w:position w:val="1"/>
                <w:sz w:val="18"/>
                <w:szCs w:val="18"/>
                <w:highlight w:val="none"/>
              </w:rPr>
              <w:t xml:space="preserve">   </w:t>
            </w:r>
            <w:r>
              <w:rPr>
                <w:rFonts w:hint="eastAsia" w:ascii="宋体" w:hAnsi="宋体" w:cs="宋体"/>
                <w:color w:val="auto"/>
                <w:spacing w:val="-6"/>
                <w:position w:val="1"/>
                <w:sz w:val="18"/>
                <w:szCs w:val="18"/>
                <w:highlight w:val="none"/>
              </w:rPr>
              <w:t xml:space="preserve">否□</w:t>
            </w:r>
            <w:r/>
          </w:p>
        </w:tc>
        <w:tc>
          <w:tcPr>
            <w:tcW w:w="1816" w:type="dxa"/>
            <w:textDirection w:val="lrTb"/>
            <w:noWrap w:val="false"/>
          </w:tcPr>
          <w:p>
            <w:pPr>
              <w:ind w:left="284"/>
              <w:spacing w:before="267"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分期（段）情况</w:t>
            </w:r>
            <w:r/>
          </w:p>
        </w:tc>
        <w:tc>
          <w:tcPr>
            <w:gridSpan w:val="4"/>
            <w:tcW w:w="9019" w:type="dxa"/>
            <w:textDirection w:val="lrTb"/>
            <w:noWrap w:val="false"/>
          </w:tcPr>
          <w:p>
            <w:pPr>
              <w:ind w:left="2804"/>
              <w:spacing w:before="267" w:line="240"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共分   期（段</w:t>
            </w:r>
            <w:r>
              <w:rPr>
                <w:rFonts w:hint="eastAsia" w:ascii="宋体" w:hAnsi="宋体" w:cs="宋体"/>
                <w:color w:val="auto"/>
                <w:spacing w:val="6"/>
                <w:position w:val="1"/>
                <w:sz w:val="18"/>
                <w:szCs w:val="18"/>
                <w:highlight w:val="none"/>
              </w:rPr>
              <w:t xml:space="preserve">），</w:t>
            </w:r>
            <w:r>
              <w:rPr>
                <w:rFonts w:hint="eastAsia" w:ascii="宋体" w:hAnsi="宋体" w:cs="宋体"/>
                <w:color w:val="auto"/>
                <w:spacing w:val="-1"/>
                <w:position w:val="1"/>
                <w:sz w:val="18"/>
                <w:szCs w:val="18"/>
                <w:highlight w:val="none"/>
              </w:rPr>
              <w:t xml:space="preserve">此为第   期（段）验收</w:t>
            </w:r>
            <w:r/>
          </w:p>
        </w:tc>
      </w:tr>
      <w:tr>
        <w:trPr>
          <w:trHeight w:val="1679"/>
        </w:trPr>
        <w:tc>
          <w:tcPr>
            <w:tcW w:w="1625" w:type="dxa"/>
            <w:textDirection w:val="lrTb"/>
            <w:noWrap w:val="false"/>
          </w:tcPr>
          <w:p>
            <w:pPr>
              <w:pStyle w:val="1220"/>
              <w:spacing w:line="264"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64"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6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454"/>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验收时间</w:t>
            </w:r>
            <w:r/>
          </w:p>
        </w:tc>
        <w:tc>
          <w:tcPr>
            <w:tcW w:w="1714"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pStyle w:val="1220"/>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20"/>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20"/>
              <w:spacing w:line="265" w:lineRule="auto"/>
              <w:rPr>
                <w:rFonts w:ascii="宋体" w:hAnsi="宋体" w:eastAsia="宋体" w:cs="宋体"/>
                <w:color w:val="auto"/>
                <w:highlight w:val="none"/>
              </w:rPr>
            </w:pPr>
            <w:r>
              <w:rPr>
                <w:rFonts w:ascii="宋体" w:hAnsi="宋体" w:eastAsia="宋体" w:cs="宋体"/>
                <w:color w:val="auto"/>
                <w:highlight w:val="none"/>
              </w:rPr>
            </w:r>
            <w:r/>
          </w:p>
          <w:p>
            <w:pPr>
              <w:ind w:left="550"/>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验收地点</w:t>
            </w:r>
            <w:r/>
          </w:p>
        </w:tc>
        <w:tc>
          <w:tcPr>
            <w:tcW w:w="2476"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pStyle w:val="1220"/>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20"/>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20"/>
              <w:spacing w:line="265" w:lineRule="auto"/>
              <w:rPr>
                <w:rFonts w:ascii="宋体" w:hAnsi="宋体" w:eastAsia="宋体" w:cs="宋体"/>
                <w:color w:val="auto"/>
                <w:highlight w:val="none"/>
              </w:rPr>
            </w:pPr>
            <w:r>
              <w:rPr>
                <w:rFonts w:ascii="宋体" w:hAnsi="宋体" w:eastAsia="宋体" w:cs="宋体"/>
                <w:color w:val="auto"/>
                <w:highlight w:val="none"/>
              </w:rPr>
            </w:r>
            <w:r/>
          </w:p>
          <w:p>
            <w:pPr>
              <w:ind w:left="1459"/>
              <w:spacing w:before="59"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验收组织形式</w:t>
            </w:r>
            <w:r/>
          </w:p>
        </w:tc>
        <w:tc>
          <w:tcPr>
            <w:tcW w:w="2556" w:type="dxa"/>
            <w:textDirection w:val="lrTb"/>
            <w:noWrap w:val="false"/>
          </w:tcPr>
          <w:p>
            <w:pPr>
              <w:ind w:left="673"/>
              <w:spacing w:before="267" w:line="239" w:lineRule="exact"/>
              <w:rPr>
                <w:rFonts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□自行简易验收</w:t>
            </w:r>
            <w:r/>
          </w:p>
          <w:p>
            <w:pPr>
              <w:pStyle w:val="1220"/>
              <w:spacing w:line="260"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673"/>
              <w:spacing w:before="58" w:line="240" w:lineRule="exact"/>
              <w:rPr>
                <w:rFonts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□验收小组验收</w:t>
            </w:r>
            <w:r/>
          </w:p>
          <w:p>
            <w:pPr>
              <w:pStyle w:val="1220"/>
              <w:spacing w:line="26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82"/>
              <w:spacing w:before="58" w:line="239" w:lineRule="exact"/>
              <w:rPr>
                <w:rFonts w:ascii="宋体" w:hAnsi="宋体" w:cs="宋体"/>
                <w:color w:val="auto"/>
                <w:sz w:val="18"/>
                <w:szCs w:val="18"/>
                <w:highlight w:val="none"/>
              </w:rPr>
            </w:pPr>
            <w:r>
              <w:rPr>
                <w:rFonts w:hint="eastAsia" w:ascii="宋体" w:hAnsi="宋体" w:cs="宋体"/>
                <w:color w:val="auto"/>
                <w:spacing w:val="-3"/>
                <w:position w:val="1"/>
                <w:sz w:val="18"/>
                <w:szCs w:val="18"/>
                <w:highlight w:val="none"/>
              </w:rPr>
              <w:t xml:space="preserve">□采购代理机构验收</w:t>
            </w:r>
            <w:r/>
          </w:p>
        </w:tc>
      </w:tr>
      <w:tr>
        <w:trPr>
          <w:trHeight w:val="560"/>
        </w:trPr>
        <w:tc>
          <w:tcPr>
            <w:tcBorders>
              <w:bottom w:val="none" w:color="000000" w:sz="4" w:space="0"/>
            </w:tcBorders>
            <w:tcW w:w="1625" w:type="dxa"/>
            <w:vMerge w:val="restart"/>
            <w:textDirection w:val="lrTb"/>
            <w:noWrap w:val="false"/>
          </w:tcPr>
          <w:p>
            <w:pPr>
              <w:pStyle w:val="1220"/>
              <w:spacing w:line="265" w:lineRule="auto"/>
              <w:rPr>
                <w:rFonts w:ascii="宋体" w:hAnsi="宋体" w:eastAsia="宋体" w:cs="宋体"/>
                <w:color w:val="auto"/>
                <w:highlight w:val="none"/>
              </w:rPr>
            </w:pPr>
            <w:r>
              <w:rPr>
                <w:rFonts w:ascii="宋体" w:hAnsi="宋体" w:eastAsia="宋体" w:cs="宋体"/>
                <w:color w:val="auto"/>
                <w:highlight w:val="none"/>
              </w:rPr>
            </w:r>
            <w:r/>
          </w:p>
          <w:p>
            <w:pPr>
              <w:pStyle w:val="1220"/>
              <w:spacing w:line="265" w:lineRule="auto"/>
              <w:rPr>
                <w:rFonts w:ascii="宋体" w:hAnsi="宋体" w:eastAsia="宋体" w:cs="宋体"/>
                <w:color w:val="auto"/>
                <w:highlight w:val="none"/>
              </w:rPr>
            </w:pPr>
            <w:r>
              <w:rPr>
                <w:rFonts w:ascii="宋体" w:hAnsi="宋体" w:eastAsia="宋体" w:cs="宋体"/>
                <w:color w:val="auto"/>
                <w:highlight w:val="none"/>
              </w:rPr>
            </w:r>
            <w:r/>
          </w:p>
          <w:p>
            <w:pPr>
              <w:pStyle w:val="1220"/>
              <w:spacing w:line="266" w:lineRule="auto"/>
              <w:rPr>
                <w:rFonts w:ascii="宋体" w:hAnsi="宋体" w:eastAsia="宋体" w:cs="宋体"/>
                <w:color w:val="auto"/>
                <w:highlight w:val="none"/>
              </w:rPr>
            </w:pPr>
            <w:r>
              <w:rPr>
                <w:rFonts w:ascii="宋体" w:hAnsi="宋体" w:eastAsia="宋体" w:cs="宋体"/>
                <w:color w:val="auto"/>
                <w:highlight w:val="none"/>
              </w:rPr>
            </w:r>
            <w:r/>
          </w:p>
          <w:p>
            <w:pPr>
              <w:ind w:left="454"/>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验收内容</w:t>
            </w:r>
            <w:r/>
          </w:p>
        </w:tc>
        <w:tc>
          <w:tcPr>
            <w:tcW w:w="1714" w:type="dxa"/>
            <w:textDirection w:val="lrTb"/>
            <w:noWrap w:val="false"/>
          </w:tcPr>
          <w:p>
            <w:pPr>
              <w:ind w:left="498"/>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服务质量</w:t>
            </w:r>
            <w:r/>
          </w:p>
        </w:tc>
        <w:tc>
          <w:tcPr>
            <w:tcW w:w="1816" w:type="dxa"/>
            <w:textDirection w:val="lrTb"/>
            <w:noWrap w:val="false"/>
          </w:tcPr>
          <w:p>
            <w:pPr>
              <w:ind w:left="551"/>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服务进度</w:t>
            </w:r>
            <w:r/>
          </w:p>
        </w:tc>
        <w:tc>
          <w:tcPr>
            <w:tcW w:w="2476" w:type="dxa"/>
            <w:textDirection w:val="lrTb"/>
            <w:noWrap w:val="false"/>
          </w:tcPr>
          <w:p>
            <w:pPr>
              <w:ind w:left="387"/>
              <w:spacing w:before="298" w:line="207"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人员、设备 配备情况</w:t>
            </w:r>
            <w:r/>
          </w:p>
        </w:tc>
        <w:tc>
          <w:tcPr>
            <w:tcW w:w="1705" w:type="dxa"/>
            <w:textDirection w:val="lrTb"/>
            <w:noWrap w:val="false"/>
          </w:tcPr>
          <w:p>
            <w:pPr>
              <w:ind w:left="231"/>
              <w:spacing w:before="297" w:line="209"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行业、安全标准</w:t>
            </w:r>
            <w:r/>
          </w:p>
        </w:tc>
        <w:tc>
          <w:tcPr>
            <w:tcW w:w="2282" w:type="dxa"/>
            <w:textDirection w:val="lrTb"/>
            <w:noWrap w:val="false"/>
          </w:tcPr>
          <w:p>
            <w:pPr>
              <w:ind w:left="340"/>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项目需求、服务承诺</w:t>
            </w:r>
            <w:r/>
          </w:p>
        </w:tc>
        <w:tc>
          <w:tcPr>
            <w:tcW w:w="2556" w:type="dxa"/>
            <w:textDirection w:val="lrTb"/>
            <w:noWrap w:val="false"/>
          </w:tcPr>
          <w:p>
            <w:pPr>
              <w:ind w:left="159"/>
              <w:spacing w:before="299" w:line="208"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合同履约时间、 地点、方式</w:t>
            </w:r>
            <w:r/>
          </w:p>
        </w:tc>
      </w:tr>
      <w:tr>
        <w:trPr>
          <w:trHeight w:val="1119"/>
        </w:trPr>
        <w:tc>
          <w:tcPr>
            <w:tcBorders>
              <w:top w:val="none" w:color="000000" w:sz="4" w:space="0"/>
            </w:tcBorders>
            <w:tcW w:w="1625" w:type="dxa"/>
            <w:vMerge w:val="continue"/>
            <w:textDirection w:val="lrTb"/>
            <w:noWrap w:val="false"/>
          </w:tcPr>
          <w:p>
            <w:pPr>
              <w:pStyle w:val="1220"/>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tcW w:w="1714" w:type="dxa"/>
            <w:textDirection w:val="lrTb"/>
            <w:noWrap w:val="false"/>
          </w:tcPr>
          <w:p>
            <w:pPr>
              <w:ind w:left="501" w:right="497"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816" w:type="dxa"/>
            <w:textDirection w:val="lrTb"/>
            <w:noWrap w:val="false"/>
          </w:tcPr>
          <w:p>
            <w:pPr>
              <w:ind w:left="553" w:right="547" w:hanging="1"/>
              <w:spacing w:before="270" w:line="430" w:lineRule="auto"/>
              <w:rPr>
                <w:rFonts w:ascii="宋体" w:hAnsi="宋体" w:cs="宋体"/>
                <w:color w:val="auto"/>
                <w:sz w:val="18"/>
                <w:szCs w:val="18"/>
                <w:highlight w:val="none"/>
              </w:rPr>
            </w:pPr>
            <w:r>
              <w:rPr>
                <w:rFonts w:hint="eastAsia" w:ascii="宋体" w:hAnsi="宋体" w:cs="宋体"/>
                <w:color w:val="auto"/>
                <w:spacing w:val="-8"/>
                <w:sz w:val="18"/>
                <w:szCs w:val="18"/>
                <w:highlight w:val="none"/>
              </w:rPr>
              <w:t xml:space="preserve">按</w:t>
            </w:r>
            <w:r>
              <w:rPr>
                <w:rFonts w:hint="eastAsia" w:ascii="宋体" w:hAnsi="宋体" w:cs="宋体"/>
                <w:color w:val="auto"/>
                <w:spacing w:val="7"/>
                <w:sz w:val="18"/>
                <w:szCs w:val="18"/>
                <w:highlight w:val="none"/>
              </w:rPr>
              <w:t xml:space="preserve">  </w:t>
            </w:r>
            <w:r>
              <w:rPr>
                <w:rFonts w:hint="eastAsia" w:ascii="宋体" w:hAnsi="宋体" w:cs="宋体"/>
                <w:color w:val="auto"/>
                <w:spacing w:val="-8"/>
                <w:sz w:val="18"/>
                <w:szCs w:val="18"/>
                <w:highlight w:val="none"/>
              </w:rPr>
              <w:t xml:space="preserve">时□</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不按时□</w:t>
            </w:r>
            <w:r/>
          </w:p>
        </w:tc>
        <w:tc>
          <w:tcPr>
            <w:tcW w:w="2476" w:type="dxa"/>
            <w:textDirection w:val="lrTb"/>
            <w:noWrap w:val="false"/>
          </w:tcPr>
          <w:p>
            <w:pPr>
              <w:ind w:left="885" w:right="875"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705" w:type="dxa"/>
            <w:textDirection w:val="lrTb"/>
            <w:noWrap w:val="false"/>
          </w:tcPr>
          <w:p>
            <w:pPr>
              <w:ind w:left="500" w:right="489"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282" w:type="dxa"/>
            <w:textDirection w:val="lrTb"/>
            <w:noWrap w:val="false"/>
          </w:tcPr>
          <w:p>
            <w:pPr>
              <w:ind w:left="789" w:right="777"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556" w:type="dxa"/>
            <w:textDirection w:val="lrTb"/>
            <w:noWrap w:val="false"/>
          </w:tcPr>
          <w:p>
            <w:pPr>
              <w:ind w:left="926" w:right="914"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r>
      <w:tr>
        <w:trPr>
          <w:trHeight w:val="1119"/>
        </w:trPr>
        <w:tc>
          <w:tcPr>
            <w:tcW w:w="1625" w:type="dxa"/>
            <w:textDirection w:val="lrTb"/>
            <w:noWrap w:val="false"/>
          </w:tcPr>
          <w:p>
            <w:pPr>
              <w:ind w:left="185"/>
              <w:spacing w:before="299"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专业检测机构情</w:t>
            </w:r>
            <w:r/>
          </w:p>
          <w:p>
            <w:pPr>
              <w:pStyle w:val="1220"/>
              <w:spacing w:line="298"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45"/>
              <w:spacing w:before="59"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况说明</w:t>
            </w:r>
            <w:r/>
          </w:p>
        </w:tc>
        <w:tc>
          <w:tcPr>
            <w:gridSpan w:val="6"/>
            <w:tcW w:w="12549" w:type="dxa"/>
            <w:textDirection w:val="lrTb"/>
            <w:noWrap w:val="false"/>
          </w:tcPr>
          <w:p>
            <w:pPr>
              <w:pStyle w:val="1220"/>
              <w:rPr>
                <w:rFonts w:ascii="宋体" w:hAnsi="宋体" w:eastAsia="宋体" w:cs="宋体"/>
                <w:color w:val="auto"/>
                <w:highlight w:val="none"/>
                <w:lang w:eastAsia="zh-CN"/>
              </w:rPr>
            </w:pPr>
            <w:r>
              <w:rPr>
                <w:rFonts w:ascii="宋体" w:hAnsi="宋体" w:eastAsia="宋体" w:cs="宋体"/>
                <w:color w:val="auto"/>
                <w:highlight w:val="none"/>
                <w:lang w:eastAsia="zh-CN"/>
              </w:rPr>
            </w:r>
            <w:r/>
          </w:p>
        </w:tc>
      </w:tr>
      <w:tr>
        <w:trPr>
          <w:trHeight w:val="1120"/>
        </w:trPr>
        <w:tc>
          <w:tcPr>
            <w:tcW w:w="1625" w:type="dxa"/>
            <w:textDirection w:val="lrTb"/>
            <w:noWrap w:val="false"/>
          </w:tcPr>
          <w:p>
            <w:pPr>
              <w:pStyle w:val="1220"/>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454"/>
              <w:spacing w:before="5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存在问题</w:t>
            </w:r>
            <w:r/>
          </w:p>
          <w:p>
            <w:pPr>
              <w:pStyle w:val="1220"/>
              <w:spacing w:line="297" w:lineRule="auto"/>
              <w:rPr>
                <w:rFonts w:ascii="宋体" w:hAnsi="宋体" w:eastAsia="宋体" w:cs="宋体"/>
                <w:color w:val="auto"/>
                <w:highlight w:val="none"/>
              </w:rPr>
            </w:pPr>
            <w:r>
              <w:rPr>
                <w:rFonts w:ascii="宋体" w:hAnsi="宋体" w:eastAsia="宋体" w:cs="宋体"/>
                <w:color w:val="auto"/>
                <w:highlight w:val="none"/>
              </w:rPr>
            </w:r>
            <w:r/>
          </w:p>
          <w:p>
            <w:pPr>
              <w:ind w:left="365"/>
              <w:spacing w:before="5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和改进意见</w:t>
            </w:r>
            <w:r/>
          </w:p>
        </w:tc>
        <w:tc>
          <w:tcPr>
            <w:gridSpan w:val="6"/>
            <w:tcW w:w="12549"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rPr>
        <w:sectPr>
          <w:footerReference w:type="default" r:id="rId15"/>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cs="宋体"/>
          <w:color w:val="auto"/>
          <w:szCs w:val="21"/>
          <w:highlight w:val="none"/>
        </w:rPr>
      </w:r>
      <w:r/>
    </w:p>
    <w:p>
      <w:pPr>
        <w:spacing w:before="164"/>
        <w:rPr>
          <w:rFonts w:ascii="宋体" w:hAnsi="宋体" w:cs="宋体"/>
          <w:color w:val="auto"/>
          <w:highlight w:val="none"/>
        </w:rPr>
      </w:pPr>
      <w:r>
        <w:rPr>
          <w:rFonts w:ascii="宋体" w:hAnsi="宋体" w:cs="宋体"/>
          <w:color w:val="auto"/>
          <w:highlight w:val="none"/>
        </w:rPr>
      </w:r>
      <w:r/>
    </w:p>
    <w:tbl>
      <w:tblPr>
        <w:tblStyle w:val="1219"/>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pStyle w:val="1220"/>
              <w:spacing w:line="301" w:lineRule="auto"/>
              <w:rPr>
                <w:rFonts w:ascii="宋体" w:hAnsi="宋体" w:eastAsia="宋体" w:cs="宋体"/>
                <w:color w:val="auto"/>
                <w:highlight w:val="none"/>
              </w:rPr>
            </w:pPr>
            <w:r>
              <w:rPr>
                <w:rFonts w:ascii="宋体" w:hAnsi="宋体" w:eastAsia="宋体" w:cs="宋体"/>
                <w:color w:val="auto"/>
                <w:highlight w:val="none"/>
              </w:rPr>
            </w:r>
            <w:r/>
          </w:p>
          <w:p>
            <w:pPr>
              <w:ind w:left="457"/>
              <w:spacing w:before="5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最终结论</w:t>
            </w:r>
            <w:r/>
          </w:p>
        </w:tc>
        <w:tc>
          <w:tcPr>
            <w:gridSpan w:val="2"/>
            <w:tcW w:w="12550" w:type="dxa"/>
            <w:textDirection w:val="lrTb"/>
            <w:noWrap w:val="false"/>
          </w:tcPr>
          <w:p>
            <w:pPr>
              <w:pStyle w:val="1220"/>
              <w:spacing w:line="271" w:lineRule="auto"/>
              <w:rPr>
                <w:rFonts w:ascii="宋体" w:hAnsi="宋体" w:eastAsia="宋体" w:cs="宋体"/>
                <w:color w:val="auto"/>
                <w:highlight w:val="none"/>
              </w:rPr>
            </w:pPr>
            <w:r>
              <w:rPr>
                <w:rFonts w:ascii="宋体" w:hAnsi="宋体" w:eastAsia="宋体" w:cs="宋体"/>
                <w:color w:val="auto"/>
                <w:highlight w:val="none"/>
              </w:rPr>
            </w:r>
            <w:r/>
          </w:p>
          <w:p>
            <w:pPr>
              <w:ind w:left="4210"/>
              <w:spacing w:before="58"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合  格□</w:t>
            </w:r>
            <w:r>
              <w:rPr>
                <w:rFonts w:hint="eastAsia" w:ascii="宋体" w:hAnsi="宋体" w:cs="宋体"/>
                <w:color w:val="auto"/>
                <w:position w:val="1"/>
                <w:sz w:val="18"/>
                <w:szCs w:val="18"/>
                <w:highlight w:val="none"/>
              </w:rPr>
              <w:t xml:space="preserve">                              </w:t>
            </w:r>
            <w:r>
              <w:rPr>
                <w:rFonts w:hint="eastAsia" w:ascii="宋体" w:hAnsi="宋体" w:cs="宋体"/>
                <w:color w:val="auto"/>
                <w:spacing w:val="-2"/>
                <w:position w:val="1"/>
                <w:sz w:val="18"/>
                <w:szCs w:val="18"/>
                <w:highlight w:val="none"/>
              </w:rPr>
              <w:t xml:space="preserve">不合格□</w:t>
            </w:r>
            <w:r/>
          </w:p>
        </w:tc>
      </w:tr>
      <w:tr>
        <w:trPr>
          <w:trHeight w:val="1119"/>
        </w:trPr>
        <w:tc>
          <w:tcPr>
            <w:tcW w:w="1624" w:type="dxa"/>
            <w:textDirection w:val="lrTb"/>
            <w:noWrap w:val="false"/>
          </w:tcPr>
          <w:p>
            <w:pPr>
              <w:ind w:left="274"/>
              <w:spacing w:before="295"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验收小组成员</w:t>
            </w:r>
            <w:r/>
          </w:p>
          <w:p>
            <w:pPr>
              <w:pStyle w:val="1220"/>
              <w:spacing w:line="298" w:lineRule="auto"/>
              <w:rPr>
                <w:rFonts w:ascii="宋体" w:hAnsi="宋体" w:eastAsia="宋体" w:cs="宋体"/>
                <w:color w:val="auto"/>
                <w:highlight w:val="none"/>
              </w:rPr>
            </w:pPr>
            <w:r>
              <w:rPr>
                <w:rFonts w:ascii="宋体" w:hAnsi="宋体" w:eastAsia="宋体" w:cs="宋体"/>
                <w:color w:val="auto"/>
                <w:highlight w:val="none"/>
              </w:rPr>
            </w:r>
            <w:r/>
          </w:p>
          <w:p>
            <w:pPr>
              <w:ind w:left="635"/>
              <w:spacing w:before="58" w:line="208" w:lineRule="auto"/>
              <w:rPr>
                <w:rFonts w:ascii="宋体" w:hAnsi="宋体" w:cs="宋体"/>
                <w:color w:val="auto"/>
                <w:sz w:val="18"/>
                <w:szCs w:val="18"/>
                <w:highlight w:val="none"/>
              </w:rPr>
            </w:pPr>
            <w:r>
              <w:rPr>
                <w:rFonts w:hint="eastAsia" w:ascii="宋体" w:hAnsi="宋体" w:cs="宋体"/>
                <w:color w:val="auto"/>
                <w:spacing w:val="-4"/>
                <w:sz w:val="18"/>
                <w:szCs w:val="18"/>
                <w:highlight w:val="none"/>
              </w:rPr>
              <w:t xml:space="preserve">签字</w:t>
            </w:r>
            <w:r/>
          </w:p>
        </w:tc>
        <w:tc>
          <w:tcPr>
            <w:gridSpan w:val="2"/>
            <w:tcW w:w="12550" w:type="dxa"/>
            <w:textDirection w:val="lrTb"/>
            <w:noWrap w:val="false"/>
          </w:tcPr>
          <w:p>
            <w:pPr>
              <w:pStyle w:val="1220"/>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gridSpan w:val="2"/>
            <w:tcW w:w="7059" w:type="dxa"/>
            <w:textDirection w:val="lrTb"/>
            <w:noWrap w:val="false"/>
          </w:tcPr>
          <w:p>
            <w:pPr>
              <w:ind w:left="2814"/>
              <w:spacing w:before="297" w:line="208"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采购代理机构意见</w:t>
            </w:r>
            <w:r/>
          </w:p>
        </w:tc>
        <w:tc>
          <w:tcPr>
            <w:tcW w:w="7115" w:type="dxa"/>
            <w:textDirection w:val="lrTb"/>
            <w:noWrap w:val="false"/>
          </w:tcPr>
          <w:p>
            <w:pPr>
              <w:ind w:left="3111"/>
              <w:spacing w:before="297"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采购人意见</w:t>
            </w:r>
            <w:r/>
          </w:p>
        </w:tc>
      </w:tr>
      <w:tr>
        <w:trPr>
          <w:trHeight w:val="1119"/>
        </w:trPr>
        <w:tc>
          <w:tcPr>
            <w:gridSpan w:val="2"/>
            <w:tcW w:w="7059" w:type="dxa"/>
            <w:textDirection w:val="lrTb"/>
            <w:noWrap w:val="false"/>
          </w:tcPr>
          <w:p>
            <w:pPr>
              <w:pStyle w:val="1220"/>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3"/>
              <w:spacing w:before="59" w:line="238"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8"/>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8"/>
                <w:position w:val="1"/>
                <w:sz w:val="18"/>
                <w:szCs w:val="18"/>
                <w:highlight w:val="none"/>
              </w:rPr>
              <w:t xml:space="preserve">（</w:t>
            </w:r>
            <w:r>
              <w:rPr>
                <w:rFonts w:hint="eastAsia" w:ascii="宋体" w:hAnsi="宋体" w:cs="宋体"/>
                <w:color w:val="auto"/>
                <w:spacing w:val="1"/>
                <w:position w:val="1"/>
                <w:sz w:val="18"/>
                <w:szCs w:val="18"/>
                <w:highlight w:val="none"/>
              </w:rPr>
              <w:t xml:space="preserve">采购代理机构公章）</w:t>
            </w:r>
            <w:r/>
          </w:p>
        </w:tc>
        <w:tc>
          <w:tcPr>
            <w:tcW w:w="7115" w:type="dxa"/>
            <w:textDirection w:val="lrTb"/>
            <w:noWrap w:val="false"/>
          </w:tcPr>
          <w:p>
            <w:pPr>
              <w:pStyle w:val="1220"/>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5"/>
              <w:spacing w:before="59" w:line="238"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7"/>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7"/>
                <w:position w:val="1"/>
                <w:sz w:val="18"/>
                <w:szCs w:val="18"/>
                <w:highlight w:val="none"/>
              </w:rPr>
              <w:t xml:space="preserve">（</w:t>
            </w:r>
            <w:r>
              <w:rPr>
                <w:rFonts w:hint="eastAsia" w:ascii="宋体" w:hAnsi="宋体" w:cs="宋体"/>
                <w:color w:val="auto"/>
                <w:spacing w:val="1"/>
                <w:position w:val="1"/>
                <w:sz w:val="18"/>
                <w:szCs w:val="18"/>
                <w:highlight w:val="none"/>
              </w:rPr>
              <w:t xml:space="preserve">采购人公章）</w:t>
            </w:r>
            <w:r/>
          </w:p>
        </w:tc>
      </w:tr>
      <w:tr>
        <w:trPr>
          <w:trHeight w:val="1681"/>
        </w:trPr>
        <w:tc>
          <w:tcPr>
            <w:gridSpan w:val="3"/>
            <w:tcW w:w="14174" w:type="dxa"/>
            <w:textDirection w:val="lrTb"/>
            <w:noWrap w:val="false"/>
          </w:tcPr>
          <w:p>
            <w:pPr>
              <w:ind w:left="112"/>
              <w:spacing w:before="299"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供应商确认：</w:t>
            </w:r>
            <w:r/>
          </w:p>
          <w:p>
            <w:pPr>
              <w:pStyle w:val="1220"/>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20"/>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7"/>
              <w:spacing w:before="58" w:line="239"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说明：1.该表为服务类项目履约验收的参考样表，采购人或采购代理机构可以</w:t>
      </w:r>
      <w:r>
        <w:rPr>
          <w:rFonts w:hint="eastAsia" w:ascii="宋体" w:hAnsi="宋体" w:cs="宋体"/>
          <w:color w:val="auto"/>
          <w:spacing w:val="-1"/>
          <w:sz w:val="18"/>
          <w:szCs w:val="18"/>
          <w:highlight w:val="none"/>
        </w:rPr>
        <w:t xml:space="preserve">根据工作实际进行调整。</w:t>
      </w:r>
      <w:r/>
    </w:p>
    <w:p>
      <w:pPr>
        <w:spacing w:line="295" w:lineRule="auto"/>
        <w:rPr>
          <w:rFonts w:ascii="宋体" w:hAnsi="宋体" w:cs="宋体"/>
          <w:color w:val="auto"/>
          <w:highlight w:val="none"/>
        </w:rPr>
      </w:pPr>
      <w:r>
        <w:rPr>
          <w:rFonts w:ascii="宋体" w:hAnsi="宋体" w:cs="宋体"/>
          <w:color w:val="auto"/>
          <w:highlight w:val="none"/>
        </w:rPr>
      </w:r>
      <w:r/>
    </w:p>
    <w:p>
      <w:pPr>
        <w:ind w:left="625"/>
        <w:spacing w:before="59" w:line="211"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2.未委托采购代理机构开展履约验收工作的，无需填写“</w:t>
      </w:r>
      <w:r>
        <w:rPr>
          <w:rFonts w:hint="eastAsia" w:ascii="宋体" w:hAnsi="宋体" w:cs="宋体"/>
          <w:color w:val="auto"/>
          <w:spacing w:val="-1"/>
          <w:sz w:val="18"/>
          <w:szCs w:val="18"/>
          <w:highlight w:val="none"/>
        </w:rPr>
        <w:t xml:space="preserve">采购代理机构意见</w:t>
      </w:r>
      <w:r>
        <w:rPr>
          <w:rFonts w:hint="eastAsia" w:ascii="宋体" w:hAnsi="宋体" w:cs="宋体"/>
          <w:color w:val="auto"/>
          <w:spacing w:val="-66"/>
          <w:sz w:val="18"/>
          <w:szCs w:val="18"/>
          <w:highlight w:val="none"/>
        </w:rPr>
        <w:t xml:space="preserve"> </w:t>
      </w:r>
      <w:r>
        <w:rPr>
          <w:rFonts w:hint="eastAsia" w:ascii="宋体" w:hAnsi="宋体" w:cs="宋体"/>
          <w:color w:val="auto"/>
          <w:spacing w:val="-1"/>
          <w:sz w:val="18"/>
          <w:szCs w:val="18"/>
          <w:highlight w:val="none"/>
        </w:rPr>
        <w:t xml:space="preserve">”。</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sectPr>
          <w:footerReference w:type="default" r:id="rId16"/>
          <w:footnotePr/>
          <w:endnotePr/>
          <w:type w:val="nextPage"/>
          <w:pgSz w:w="16838" w:h="11906" w:orient="landscape"/>
          <w:pgMar w:top="1417" w:right="1440" w:bottom="1417" w:left="1134" w:header="851" w:footer="850" w:gutter="0"/>
          <w:cols w:num="1" w:sep="0" w:space="0" w:equalWidth="1"/>
          <w:docGrid w:linePitch="360"/>
        </w:sectPr>
      </w:pPr>
      <w:r>
        <w:rPr>
          <w:rFonts w:hint="eastAsia" w:ascii="宋体" w:hAnsi="宋体" w:cs="宋体"/>
          <w:color w:val="auto"/>
          <w:highlight w:val="none"/>
        </w:rPr>
        <w:br w:type="page" w:clear="all"/>
      </w:r>
      <w:r/>
    </w:p>
    <w:p>
      <w:pPr>
        <w:pStyle w:val="864"/>
        <w:rPr>
          <w:color w:val="auto"/>
          <w:highlight w:val="none"/>
        </w:rPr>
      </w:pPr>
      <w:r/>
      <w:bookmarkStart w:id="131" w:name="_Toc30803"/>
      <w:r>
        <w:rPr>
          <w:rFonts w:hint="eastAsia"/>
          <w:color w:val="auto"/>
          <w:highlight w:val="none"/>
        </w:rPr>
        <w:t xml:space="preserve">六、响应文件格式</w:t>
      </w:r>
      <w:bookmarkEnd w:id="128"/>
      <w:r/>
      <w:bookmarkEnd w:id="131"/>
      <w:r/>
      <w:r/>
    </w:p>
    <w:p>
      <w:pPr>
        <w:pStyle w:val="925"/>
        <w:ind w:firstLine="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92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对本章所有的格式 ，供应商可根据自身情况进行补充和修改，但补充和修改不得造成与本格式内容有实质性的违背。</w:t>
      </w:r>
      <w:r/>
    </w:p>
    <w:p>
      <w:pPr>
        <w:pStyle w:val="92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（格式为参考，响应单位可参照下述格式自制表格投标，但至少应包括下述格式中的内容，没有参考格式的则可根据情况自行编制）</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Cs w:val="21"/>
          <w:highlight w:val="none"/>
        </w:rPr>
      </w:pPr>
      <w:r/>
      <w:bookmarkStart w:id="132" w:name="_Toc20788"/>
      <w:r/>
      <w:bookmarkStart w:id="133" w:name="_Toc1865"/>
      <w:r/>
      <w:bookmarkStart w:id="134" w:name="_Toc20200"/>
      <w:r/>
      <w:bookmarkStart w:id="135" w:name="_Toc29544"/>
      <w:r/>
      <w:bookmarkStart w:id="136" w:name="_Toc21635"/>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附件1：磋商响应函</w:t>
      </w:r>
      <w:r/>
    </w:p>
    <w:p>
      <w:pPr>
        <w:pStyle w:val="1196"/>
        <w:jc w:val="center"/>
        <w:spacing w:after="100" w:line="400" w:lineRule="exact"/>
        <w:rPr>
          <w:rFonts w:hAnsi="宋体" w:cs="宋体"/>
          <w:color w:val="auto"/>
          <w:szCs w:val="21"/>
          <w:highlight w:val="none"/>
        </w:rPr>
      </w:pPr>
      <w:r>
        <w:rPr>
          <w:rFonts w:hint="eastAsia" w:hAnsi="宋体" w:cs="宋体"/>
          <w:b/>
          <w:color w:val="auto"/>
          <w:szCs w:val="21"/>
          <w:highlight w:val="none"/>
        </w:rPr>
        <w:t xml:space="preserve">磋商响应函</w:t>
      </w:r>
      <w:r/>
    </w:p>
    <w:p>
      <w:pPr>
        <w:pStyle w:val="1196"/>
        <w:spacing w:after="100" w:line="400" w:lineRule="exact"/>
        <w:rPr>
          <w:rFonts w:hAnsi="宋体" w:cs="宋体"/>
          <w:color w:val="auto"/>
          <w:szCs w:val="21"/>
          <w:highlight w:val="none"/>
        </w:rPr>
      </w:pPr>
      <w:r>
        <w:rPr>
          <w:rFonts w:hint="eastAsia" w:hAnsi="宋体" w:cs="宋体"/>
          <w:color w:val="auto"/>
          <w:szCs w:val="21"/>
          <w:highlight w:val="none"/>
          <w:u w:val="single"/>
        </w:rPr>
        <w:t xml:space="preserve">苏州通宜房地产土地评估咨询有限公司</w:t>
      </w:r>
      <w:r>
        <w:rPr>
          <w:rFonts w:hint="eastAsia" w:hAnsi="宋体" w:cs="宋体"/>
          <w:color w:val="auto"/>
          <w:szCs w:val="21"/>
          <w:highlight w:val="none"/>
        </w:rPr>
        <w:t xml:space="preserve">： </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我们收到贵公司</w:t>
      </w:r>
      <w:r>
        <w:rPr>
          <w:rFonts w:hint="eastAsia" w:hAnsi="宋体" w:eastAsia="宋体" w:cs="宋体"/>
          <w:color w:val="auto"/>
          <w:sz w:val="21"/>
          <w:szCs w:val="21"/>
          <w:highlight w:val="none"/>
          <w:u w:val="single"/>
          <w:lang w:eastAsia="zh-CN"/>
        </w:rPr>
        <w:t xml:space="preserve">JSZC-320509-SZTY-C2026-0009</w:t>
      </w:r>
      <w:r>
        <w:rPr>
          <w:rFonts w:hint="eastAsia" w:hAnsi="宋体" w:eastAsia="宋体" w:cs="宋体"/>
          <w:color w:val="auto"/>
          <w:sz w:val="21"/>
          <w:szCs w:val="21"/>
          <w:highlight w:val="none"/>
        </w:rPr>
        <w:t xml:space="preserve">号磋商采购文件，经仔细阅读和研究，我们决定参加磋商活动。</w:t>
      </w:r>
      <w:r/>
    </w:p>
    <w:p>
      <w:pPr>
        <w:pStyle w:val="938"/>
        <w:ind w:firstLine="420"/>
        <w:spacing w:after="100" w:line="400" w:lineRule="exact"/>
        <w:rPr>
          <w:rFonts w:hAnsi="宋体" w:eastAsia="宋体" w:cs="宋体"/>
          <w:b/>
          <w:color w:val="auto"/>
          <w:sz w:val="21"/>
          <w:szCs w:val="21"/>
          <w:highlight w:val="none"/>
        </w:rPr>
      </w:pPr>
      <w:r>
        <w:rPr>
          <w:rFonts w:hint="eastAsia" w:hAnsi="宋体" w:eastAsia="宋体" w:cs="宋体"/>
          <w:color w:val="auto"/>
          <w:sz w:val="21"/>
          <w:szCs w:val="21"/>
          <w:highlight w:val="none"/>
        </w:rPr>
        <w:t xml:space="preserve">1、我们愿意按照磋商采购文件的一切要求，完成该项目的全部内容。</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2、如果我们的磋商响应文件被接受，我们将严格履行磋商采购文件中规定的每一项要求，按期、按质、按量履行合同的义务。</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3、我们已详细阅读全部磋商采购文件，包括更正公告(如有)，对磋商采购文件及更正公告(如有)无任何异议。我们完全理解并同意放弃对这方面有不明及误解的权利。</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4、我们同意按磋商采购文件中的规定，本响应文件的有效期限自提交响应文件截止时间之日起</w:t>
      </w:r>
      <w:r>
        <w:rPr>
          <w:rFonts w:hint="eastAsia" w:hAnsi="宋体" w:eastAsia="宋体" w:cs="宋体"/>
          <w:color w:val="auto"/>
          <w:sz w:val="21"/>
          <w:szCs w:val="21"/>
          <w:highlight w:val="none"/>
          <w:u w:val="single"/>
          <w:lang w:val="en-US" w:eastAsia="zh-CN"/>
        </w:rPr>
        <w:t xml:space="preserve">90</w:t>
      </w:r>
      <w:r>
        <w:rPr>
          <w:rFonts w:hint="eastAsia" w:hAnsi="宋体" w:eastAsia="宋体" w:cs="宋体"/>
          <w:color w:val="auto"/>
          <w:sz w:val="21"/>
          <w:szCs w:val="21"/>
          <w:highlight w:val="none"/>
        </w:rPr>
        <w:t xml:space="preserve">天。</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5、我们愿意提供采购单位在磋商采购文件中要求的所有资料。</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6、我们愿意遵守磋商采购文件中所列的收费标准。</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7、我们承诺该响应文件在磋商开始后的全过程中保持有效，不作任何更改和变动。</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8、我们承诺我公司符合磋商采购文件供应商须知中“合格供应商资格条件”的要求，若与真实情况不符，本公司愿意承担由此而产生的一切后果。</w:t>
      </w:r>
      <w:r/>
    </w:p>
    <w:p>
      <w:pPr>
        <w:pStyle w:val="938"/>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所有有关磋商采购文件的函电，请按下列地址联系：</w:t>
      </w:r>
      <w:r/>
    </w:p>
    <w:p>
      <w:pPr>
        <w:pStyle w:val="938"/>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单位：                             联系人：</w:t>
      </w:r>
      <w:r/>
    </w:p>
    <w:p>
      <w:pPr>
        <w:pStyle w:val="938"/>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938"/>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938"/>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938"/>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938"/>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1207"/>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207"/>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207"/>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207"/>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附件2：（磋商响应单位）法定代表人授权委托书</w:t>
      </w:r>
      <w:r/>
    </w:p>
    <w:p>
      <w:pPr>
        <w:pStyle w:val="1207"/>
        <w:jc w:val="center"/>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207"/>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法定代表人授权委托书</w:t>
      </w:r>
      <w:r/>
    </w:p>
    <w:p>
      <w:pPr>
        <w:pStyle w:val="1207"/>
        <w:rPr>
          <w:rFonts w:ascii="宋体" w:hAnsi="宋体" w:cs="宋体"/>
          <w:color w:val="auto"/>
          <w:sz w:val="21"/>
          <w:szCs w:val="21"/>
          <w:highlight w:val="none"/>
        </w:rPr>
      </w:pPr>
      <w:r>
        <w:rPr>
          <w:rFonts w:ascii="宋体" w:hAnsi="宋体" w:cs="宋体"/>
          <w:color w:val="auto"/>
          <w:sz w:val="21"/>
          <w:szCs w:val="21"/>
          <w:highlight w:val="none"/>
        </w:rPr>
      </w:r>
      <w:r/>
    </w:p>
    <w:p>
      <w:pPr>
        <w:pStyle w:val="1207"/>
        <w:rPr>
          <w:rFonts w:ascii="宋体" w:hAnsi="宋体" w:cs="宋体"/>
          <w:color w:val="auto"/>
          <w:sz w:val="21"/>
          <w:szCs w:val="21"/>
          <w:highlight w:val="none"/>
        </w:rPr>
      </w:pPr>
      <w:r>
        <w:rPr>
          <w:rFonts w:ascii="宋体" w:hAnsi="宋体" w:cs="宋体"/>
          <w:color w:val="auto"/>
          <w:sz w:val="21"/>
          <w:szCs w:val="21"/>
          <w:highlight w:val="none"/>
        </w:rPr>
      </w:r>
      <w:r/>
    </w:p>
    <w:p>
      <w:pPr>
        <w:pStyle w:val="1207"/>
        <w:spacing w:line="48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  我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（磋商响应单位名称）的法定代表人，现授权委托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（姓名）为我公司委托代理人，以本公司的名义参加苏州通宜房地产土地评估咨询有限公司组织实施的编号为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1207"/>
        <w:spacing w:line="48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1207"/>
        <w:ind w:firstLine="51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委托代理人无转委托权。特此委托。</w:t>
      </w:r>
      <w:r/>
    </w:p>
    <w:p>
      <w:pPr>
        <w:pStyle w:val="1207"/>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07"/>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磋商响应单位：（公章）</w:t>
      </w:r>
      <w:r/>
    </w:p>
    <w:p>
      <w:pPr>
        <w:pStyle w:val="1207"/>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法定代表人：（签字或盖章）</w:t>
      </w:r>
      <w:r/>
    </w:p>
    <w:p>
      <w:pPr>
        <w:pStyle w:val="1207"/>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委托代理人：（签字或盖章）</w:t>
      </w:r>
      <w:r/>
    </w:p>
    <w:p>
      <w:pPr>
        <w:pStyle w:val="1207"/>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right="480"/>
        <w:rPr>
          <w:rFonts w:ascii="宋体" w:hAnsi="宋体" w:cs="宋体"/>
          <w:color w:val="auto"/>
          <w:highlight w:val="none"/>
        </w:rPr>
      </w:pPr>
      <w:r>
        <w:rPr>
          <w:rFonts w:ascii="宋体" w:hAnsi="宋体" w:cs="宋体"/>
          <w:color w:val="auto"/>
          <w:highlight w:val="none"/>
        </w:rPr>
      </w:r>
      <w:r/>
    </w:p>
    <w:p>
      <w:pPr>
        <w:jc w:val="left"/>
        <w:rPr>
          <w:rFonts w:ascii="宋体" w:hAnsi="宋体" w:cs="宋体"/>
          <w:b/>
          <w:bCs/>
          <w:color w:val="auto"/>
          <w:sz w:val="24"/>
          <w:highlight w:val="none"/>
        </w:rPr>
      </w:pPr>
      <w:r>
        <w:rPr>
          <w:rFonts w:ascii="宋体" w:hAnsi="宋体" w:cs="宋体"/>
          <w:b/>
          <w:bCs/>
          <w:color w:val="auto"/>
          <w:sz w:val="24"/>
          <w:highlight w:val="none"/>
        </w:rPr>
      </w:r>
      <w:r/>
    </w:p>
    <w:p>
      <w:pPr>
        <w:pStyle w:val="1207"/>
        <w:ind w:firstLine="0"/>
        <w:rPr>
          <w:rFonts w:ascii="宋体" w:hAnsi="宋体" w:cs="宋体"/>
          <w:b/>
          <w:bCs/>
          <w:color w:val="auto"/>
          <w:highlight w:val="none"/>
        </w:rPr>
      </w:pPr>
      <w:r>
        <w:rPr>
          <w:rFonts w:hint="eastAsia" w:ascii="宋体" w:hAnsi="宋体" w:cs="宋体"/>
          <w:b/>
          <w:bCs/>
          <w:color w:val="auto"/>
          <w:sz w:val="21"/>
          <w:szCs w:val="21"/>
          <w:highlight w:val="none"/>
        </w:rPr>
        <w:t xml:space="preserve">注：须单位签章、法定代表人签字或盖章、代理人签字或盖章三者齐全，否则该授权委托书无效。</w:t>
      </w:r>
      <w:r/>
    </w:p>
    <w:p>
      <w:pPr>
        <w:pStyle w:val="1207"/>
        <w:ind w:firstLine="0"/>
        <w:pageBreakBefore/>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附件3：</w:t>
      </w:r>
      <w:r>
        <w:rPr>
          <w:rFonts w:hint="eastAsia" w:ascii="宋体" w:hAnsi="宋体" w:cs="宋体"/>
          <w:b/>
          <w:bCs/>
          <w:color w:val="auto"/>
          <w:sz w:val="21"/>
          <w:szCs w:val="21"/>
          <w:highlight w:val="none"/>
          <w:lang w:val="en-US" w:eastAsia="zh-CN"/>
        </w:rPr>
        <w:t xml:space="preserve">开标一览表（</w:t>
      </w:r>
      <w:r>
        <w:rPr>
          <w:rFonts w:hint="eastAsia" w:ascii="宋体" w:hAnsi="宋体" w:cs="宋体"/>
          <w:b/>
          <w:bCs/>
          <w:color w:val="auto"/>
          <w:sz w:val="21"/>
          <w:szCs w:val="21"/>
          <w:highlight w:val="none"/>
        </w:rPr>
        <w:t xml:space="preserve">具体按照“苏采云”系统格式填报投标总报价并签章</w:t>
      </w:r>
      <w:r>
        <w:rPr>
          <w:rFonts w:hint="eastAsia" w:ascii="宋体" w:hAnsi="宋体" w:cs="宋体"/>
          <w:b/>
          <w:bCs/>
          <w:color w:val="auto"/>
          <w:sz w:val="21"/>
          <w:szCs w:val="21"/>
          <w:highlight w:val="none"/>
          <w:lang w:eastAsia="zh-CN"/>
        </w:rPr>
        <w:t xml:space="preserve">）</w:t>
      </w:r>
      <w:r/>
    </w:p>
    <w:p>
      <w:pPr>
        <w:pStyle w:val="1196"/>
        <w:spacing w:line="380" w:lineRule="exact"/>
        <w:rPr>
          <w:rFonts w:hAnsi="宋体" w:cs="宋体"/>
          <w:b/>
          <w:color w:val="auto"/>
          <w:szCs w:val="21"/>
          <w:highlight w:val="none"/>
        </w:rPr>
      </w:pPr>
      <w:r>
        <w:rPr>
          <w:rFonts w:hAnsi="宋体" w:cs="宋体"/>
          <w:b/>
          <w:color w:val="auto"/>
          <w:szCs w:val="21"/>
          <w:highlight w:val="none"/>
        </w:rPr>
      </w:r>
      <w:r/>
    </w:p>
    <w:p>
      <w:pPr>
        <w:pStyle w:val="938"/>
        <w:jc w:val="center"/>
        <w:spacing w:after="100" w:line="400" w:lineRule="exact"/>
        <w:rPr>
          <w:rFonts w:hAnsi="宋体" w:eastAsia="宋体" w:cs="宋体"/>
          <w:color w:val="auto"/>
          <w:sz w:val="21"/>
          <w:szCs w:val="21"/>
          <w:highlight w:val="none"/>
        </w:rPr>
      </w:pPr>
      <w:r>
        <w:rPr>
          <w:rFonts w:hint="eastAsia" w:hAnsi="宋体" w:eastAsia="宋体" w:cs="宋体"/>
          <w:b/>
          <w:color w:val="auto"/>
          <w:sz w:val="21"/>
          <w:szCs w:val="21"/>
          <w:highlight w:val="none"/>
        </w:rPr>
        <w:t xml:space="preserve">磋商响应报价表</w:t>
      </w:r>
      <w:r>
        <w:rPr>
          <w:rStyle w:val="1208"/>
          <w:rFonts w:hint="eastAsia" w:ascii="宋体" w:hAnsi="宋体" w:cs="宋体"/>
          <w:b/>
          <w:color w:val="auto"/>
          <w:highlight w:val="none"/>
        </w:rPr>
        <w:t xml:space="preserve">（第一次报价）</w:t>
      </w:r>
      <w:r>
        <w:rPr>
          <w:rFonts w:hint="eastAsia" w:hAnsi="宋体" w:eastAsia="宋体" w:cs="宋体"/>
          <w:b/>
          <w:color w:val="auto"/>
          <w:sz w:val="21"/>
          <w:szCs w:val="21"/>
          <w:highlight w:val="none"/>
        </w:rPr>
        <w:t xml:space="preserve"> </w:t>
      </w:r>
      <w:r>
        <w:rPr>
          <w:rFonts w:hint="eastAsia" w:hAnsi="宋体" w:eastAsia="宋体" w:cs="宋体"/>
          <w:color w:val="auto"/>
          <w:spacing w:val="20"/>
          <w:sz w:val="21"/>
          <w:szCs w:val="21"/>
          <w:highlight w:val="none"/>
        </w:rPr>
        <w:t xml:space="preserve">               </w:t>
      </w:r>
      <w:r/>
    </w:p>
    <w:p>
      <w:pPr>
        <w:pStyle w:val="938"/>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38"/>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项目编号：                                                 </w:t>
      </w:r>
      <w:r/>
    </w:p>
    <w:tbl>
      <w:tblPr>
        <w:tblStyle w:val="874"/>
        <w:tblW w:w="92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485"/>
        <w:gridCol w:w="2387"/>
        <w:gridCol w:w="2529"/>
        <w:gridCol w:w="983"/>
      </w:tblGrid>
      <w:tr>
        <w:trPr>
          <w:trHeight w:val="791"/>
        </w:trPr>
        <w:tc>
          <w:tcPr>
            <w:tcW w:w="853" w:type="dxa"/>
            <w:textDirection w:val="lrTb"/>
            <w:noWrap w:val="false"/>
          </w:tcPr>
          <w:p>
            <w:pPr>
              <w:pStyle w:val="938"/>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485" w:type="dxa"/>
            <w:textDirection w:val="lrTb"/>
            <w:noWrap w:val="false"/>
          </w:tcPr>
          <w:p>
            <w:pPr>
              <w:pStyle w:val="938"/>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   目</w:t>
            </w:r>
            <w:r/>
          </w:p>
        </w:tc>
        <w:tc>
          <w:tcPr>
            <w:tcW w:w="2387" w:type="dxa"/>
            <w:textDirection w:val="lrTb"/>
            <w:noWrap w:val="false"/>
          </w:tcPr>
          <w:p>
            <w:pPr>
              <w:pStyle w:val="938"/>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投标报价（元）</w:t>
            </w:r>
            <w:r/>
          </w:p>
        </w:tc>
        <w:tc>
          <w:tcPr>
            <w:tcW w:w="2529" w:type="dxa"/>
            <w:textDirection w:val="lrTb"/>
            <w:noWrap w:val="false"/>
          </w:tcPr>
          <w:p>
            <w:pPr>
              <w:pStyle w:val="938"/>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服务期限</w:t>
            </w:r>
            <w:r/>
          </w:p>
        </w:tc>
        <w:tc>
          <w:tcPr>
            <w:tcW w:w="983" w:type="dxa"/>
            <w:textDirection w:val="lrTb"/>
            <w:noWrap w:val="false"/>
          </w:tcPr>
          <w:p>
            <w:pPr>
              <w:pStyle w:val="938"/>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trHeight w:val="923"/>
        </w:trPr>
        <w:tc>
          <w:tcPr>
            <w:tcW w:w="853" w:type="dxa"/>
            <w:vAlign w:val="center"/>
            <w:textDirection w:val="lrTb"/>
            <w:noWrap w:val="false"/>
          </w:tcPr>
          <w:p>
            <w:pPr>
              <w:pStyle w:val="938"/>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2485" w:type="dxa"/>
            <w:textDirection w:val="lrTb"/>
            <w:noWrap w:val="false"/>
          </w:tcPr>
          <w:p>
            <w:pPr>
              <w:pStyle w:val="938"/>
              <w:jc w:val="center"/>
              <w:spacing w:after="100"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2026年吴江区数智庭审系统升级</w:t>
            </w:r>
            <w:r/>
          </w:p>
        </w:tc>
        <w:tc>
          <w:tcPr>
            <w:tcW w:w="2387" w:type="dxa"/>
            <w:vAlign w:val="center"/>
            <w:textDirection w:val="lrTb"/>
            <w:noWrap w:val="false"/>
          </w:tcPr>
          <w:p>
            <w:pPr>
              <w:pStyle w:val="938"/>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W w:w="2529" w:type="dxa"/>
            <w:vAlign w:val="center"/>
            <w:textDirection w:val="lrTb"/>
            <w:noWrap w:val="false"/>
          </w:tcPr>
          <w:p>
            <w:pPr>
              <w:pStyle w:val="938"/>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W w:w="983" w:type="dxa"/>
            <w:vAlign w:val="center"/>
            <w:textDirection w:val="lrTb"/>
            <w:noWrap w:val="false"/>
          </w:tcPr>
          <w:p>
            <w:pPr>
              <w:pStyle w:val="938"/>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899"/>
        </w:trPr>
        <w:tc>
          <w:tcPr>
            <w:gridSpan w:val="5"/>
            <w:tcW w:w="9237" w:type="dxa"/>
            <w:vAlign w:val="center"/>
            <w:textDirection w:val="lrTb"/>
            <w:noWrap w:val="false"/>
          </w:tcPr>
          <w:p>
            <w:pPr>
              <w:pStyle w:val="938"/>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合计（人民币）大写金额：                       小写金额：（</w:t>
            </w:r>
            <w:r>
              <w:rPr>
                <w:rFonts w:hint="eastAsia" w:hAnsi="宋体" w:eastAsia="宋体" w:cs="宋体"/>
                <w:color w:val="auto"/>
                <w:spacing w:val="20"/>
                <w:sz w:val="21"/>
                <w:szCs w:val="21"/>
                <w:highlight w:val="none"/>
              </w:rPr>
              <w:t xml:space="preserve">￥：    ）</w:t>
            </w:r>
            <w:r/>
          </w:p>
        </w:tc>
      </w:tr>
    </w:tbl>
    <w:p>
      <w:pPr>
        <w:pStyle w:val="938"/>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38"/>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938"/>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938"/>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938"/>
        <w:ind w:firstLine="210"/>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注：本表中的报价为综合报价，包括完成本次</w:t>
      </w:r>
      <w:r>
        <w:rPr>
          <w:rFonts w:hint="eastAsia" w:ascii="宋体" w:hAnsi="宋体" w:cs="宋体"/>
          <w:color w:val="auto"/>
          <w:szCs w:val="21"/>
          <w:highlight w:val="none"/>
          <w:lang w:val="en-US" w:eastAsia="zh-CN"/>
        </w:rPr>
        <w:t xml:space="preserve">项目全部</w:t>
      </w:r>
      <w:r>
        <w:rPr>
          <w:rFonts w:hint="eastAsia" w:asciiTheme="minorEastAsia" w:hAnsiTheme="minorEastAsia" w:eastAsiaTheme="minorEastAsia" w:cstheme="minorEastAsia"/>
          <w:color w:val="auto"/>
          <w:sz w:val="21"/>
          <w:szCs w:val="21"/>
          <w:highlight w:val="none"/>
          <w:lang w:val="en-US" w:eastAsia="zh-CN" w:bidi="ar-SA"/>
        </w:rPr>
        <w:t xml:space="preserve">软硬件的安装与调试、试运行、验收、运维、质保、利润、税金、人员工资、保险、培训、技术支持、代理服务费、政策性文件规定及合同包含的所有风险、责任等其他响应单位认为应纳入的一切费用，除非合同条款中另有规定，否则，响应单位所报价格在合同实施期间不因市场变化因素而变动。</w:t>
      </w:r>
      <w:r/>
    </w:p>
    <w:p>
      <w:pPr>
        <w:ind w:firstLine="420"/>
        <w:spacing w:after="100" w:line="400" w:lineRule="exact"/>
        <w:rPr>
          <w:rFonts w:ascii="宋体" w:hAnsi="宋体" w:cs="宋体"/>
          <w:color w:val="auto"/>
          <w:szCs w:val="21"/>
          <w:highlight w:val="none"/>
        </w:rPr>
      </w:pPr>
      <w:r>
        <w:rPr>
          <w:rFonts w:ascii="宋体" w:hAnsi="宋体" w:cs="宋体"/>
          <w:color w:val="auto"/>
          <w:szCs w:val="21"/>
          <w:highlight w:val="none"/>
        </w:rPr>
      </w:r>
      <w:r/>
    </w:p>
    <w:p>
      <w:pPr>
        <w:pStyle w:val="1207"/>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附件4：磋商响应报价分项报价表</w:t>
      </w:r>
      <w:r/>
    </w:p>
    <w:p>
      <w:pPr>
        <w:pStyle w:val="938"/>
        <w:jc w:val="center"/>
        <w:spacing w:after="100" w:line="400" w:lineRule="exact"/>
        <w:rPr>
          <w:rFonts w:hAnsi="宋体" w:eastAsia="宋体" w:cs="宋体"/>
          <w:b/>
          <w:color w:val="auto"/>
          <w:sz w:val="21"/>
          <w:szCs w:val="21"/>
          <w:highlight w:val="none"/>
        </w:rPr>
      </w:pPr>
      <w:r>
        <w:rPr>
          <w:rFonts w:hAnsi="宋体" w:eastAsia="宋体" w:cs="宋体"/>
          <w:b/>
          <w:color w:val="auto"/>
          <w:sz w:val="21"/>
          <w:szCs w:val="21"/>
          <w:highlight w:val="none"/>
        </w:rPr>
      </w:r>
      <w:r/>
    </w:p>
    <w:p>
      <w:pPr>
        <w:pStyle w:val="938"/>
        <w:jc w:val="center"/>
        <w:spacing w:after="100" w:line="400" w:lineRule="exact"/>
        <w:rPr>
          <w:rFonts w:hAnsi="宋体" w:eastAsia="宋体" w:cs="宋体"/>
          <w:color w:val="auto"/>
          <w:sz w:val="21"/>
          <w:szCs w:val="21"/>
          <w:highlight w:val="none"/>
        </w:rPr>
      </w:pPr>
      <w:r>
        <w:rPr>
          <w:rFonts w:hint="eastAsia" w:hAnsi="宋体" w:eastAsia="宋体" w:cs="宋体"/>
          <w:b/>
          <w:color w:val="auto"/>
          <w:sz w:val="21"/>
          <w:szCs w:val="21"/>
          <w:highlight w:val="none"/>
        </w:rPr>
        <w:t xml:space="preserve">磋商报价分析表</w:t>
      </w:r>
      <w:r/>
    </w:p>
    <w:p>
      <w:pPr>
        <w:pStyle w:val="885"/>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rPr>
        <w:t xml:space="preserve">：            </w:t>
      </w:r>
      <w:r/>
    </w:p>
    <w:tbl>
      <w:tblPr>
        <w:tblStyle w:val="874"/>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786"/>
        <w:gridCol w:w="2735"/>
        <w:gridCol w:w="1619"/>
        <w:gridCol w:w="840"/>
        <w:gridCol w:w="1968"/>
        <w:gridCol w:w="2067"/>
      </w:tblGrid>
      <w:tr>
        <w:trPr>
          <w:jc w:val="center"/>
          <w:trHeight w:val="567"/>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7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合价</w:t>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gridSpan w:val="6"/>
            <w:tcBorders>
              <w:top w:val="single" w:color="auto" w:sz="4" w:space="0"/>
              <w:left w:val="single" w:color="auto" w:sz="4" w:space="0"/>
              <w:bottom w:val="single" w:color="auto" w:sz="4" w:space="0"/>
              <w:right w:val="single" w:color="auto" w:sz="4" w:space="0"/>
            </w:tcBorders>
            <w:tcW w:w="1001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b/>
                <w:color w:val="auto"/>
                <w:sz w:val="21"/>
                <w:szCs w:val="21"/>
                <w:highlight w:val="none"/>
              </w:rPr>
              <w:t xml:space="preserve">投标总报价</w:t>
            </w:r>
            <w:r>
              <w:rPr>
                <w:rFonts w:hint="eastAsia" w:ascii="宋体" w:hAnsi="宋体"/>
                <w:color w:val="auto"/>
                <w:sz w:val="21"/>
                <w:szCs w:val="21"/>
                <w:highlight w:val="none"/>
              </w:rPr>
              <w:t xml:space="preserve">：人民币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元</w:t>
            </w:r>
            <w:r/>
          </w:p>
        </w:tc>
      </w:tr>
      <w:tr>
        <w:trPr>
          <w:cantSplit/>
          <w:jc w:val="center"/>
          <w:trHeight w:val="567"/>
        </w:trPr>
        <w:tc>
          <w:tcPr>
            <w:gridSpan w:val="6"/>
            <w:tcBorders>
              <w:top w:val="single" w:color="auto" w:sz="4" w:space="0"/>
              <w:left w:val="single" w:color="auto" w:sz="4" w:space="0"/>
              <w:bottom w:val="single" w:color="auto" w:sz="4" w:space="0"/>
              <w:right w:val="single" w:color="auto" w:sz="4" w:space="0"/>
            </w:tcBorders>
            <w:tcW w:w="10015"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b/>
                <w:color w:val="auto"/>
                <w:sz w:val="21"/>
                <w:szCs w:val="21"/>
                <w:highlight w:val="none"/>
              </w:rPr>
              <w:t xml:space="preserve">本采购包中提供的符合本国产品标准的产品成本之和占该采购包提供的全部产品成本之和的比例</w:t>
            </w:r>
            <w:r>
              <w:rPr>
                <w:rFonts w:hint="eastAsia" w:ascii="宋体" w:hAnsi="宋体"/>
                <w:b/>
                <w:color w:val="auto"/>
                <w:sz w:val="21"/>
                <w:szCs w:val="21"/>
                <w:highlight w:val="none"/>
                <w:lang w:val="en-US" w:eastAsia="zh-CN"/>
              </w:rPr>
              <w:t xml:space="preserve">为</w:t>
            </w:r>
            <w:r>
              <w:rPr>
                <w:rFonts w:ascii="宋体" w:hAnsi="宋体"/>
                <w:b/>
                <w:color w:val="auto"/>
                <w:sz w:val="21"/>
                <w:szCs w:val="21"/>
                <w:highlight w:val="none"/>
                <w:u w:val="single"/>
              </w:rPr>
              <w:t xml:space="preserve">    </w:t>
            </w:r>
            <w:r>
              <w:rPr>
                <w:rFonts w:hint="eastAsia" w:ascii="宋体" w:hAnsi="宋体"/>
                <w:b/>
                <w:color w:val="auto"/>
                <w:sz w:val="21"/>
                <w:szCs w:val="21"/>
                <w:highlight w:val="none"/>
              </w:rPr>
              <w:t xml:space="preserve">%。</w:t>
            </w:r>
            <w:r/>
          </w:p>
        </w:tc>
      </w:tr>
    </w:tbl>
    <w:p>
      <w:pPr>
        <w:ind w:firstLine="210"/>
        <w:spacing w:after="100" w:line="400" w:lineRule="exact"/>
        <w:rPr>
          <w:rFonts w:ascii="宋体" w:hAnsi="宋体" w:cs="宋体"/>
          <w:color w:val="auto"/>
          <w:szCs w:val="21"/>
          <w:highlight w:val="none"/>
        </w:rPr>
      </w:pPr>
      <w:r>
        <w:rPr>
          <w:rFonts w:ascii="宋体" w:hAnsi="宋体" w:cs="宋体"/>
          <w:color w:val="auto"/>
          <w:szCs w:val="21"/>
          <w:highlight w:val="none"/>
        </w:rPr>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                 </w:t>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pStyle w:val="1159"/>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注：</w:t>
      </w:r>
      <w:r/>
    </w:p>
    <w:p>
      <w:pPr>
        <w:pStyle w:val="1159"/>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1.本表合计金额应与磋商响应报价表</w:t>
      </w:r>
      <w:r>
        <w:rPr>
          <w:rFonts w:hint="eastAsia" w:hAnsi="宋体" w:eastAsia="宋体" w:cs="宋体"/>
          <w:color w:val="auto"/>
          <w:sz w:val="21"/>
          <w:szCs w:val="21"/>
          <w:highlight w:val="none"/>
        </w:rPr>
        <w:t xml:space="preserve">中磋商总价</w:t>
      </w:r>
      <w:r>
        <w:rPr>
          <w:rFonts w:hint="eastAsia" w:hAnsi="宋体" w:eastAsia="宋体" w:cs="宋体"/>
          <w:color w:val="auto"/>
          <w:sz w:val="21"/>
          <w:szCs w:val="21"/>
          <w:highlight w:val="none"/>
          <w:lang w:val="zh-CN"/>
        </w:rPr>
        <w:t xml:space="preserve">一致，否则磋商总报价将以磋商响应报价表为准。</w:t>
      </w:r>
      <w:r/>
    </w:p>
    <w:p>
      <w:pPr>
        <w:pStyle w:val="1159"/>
        <w:rPr>
          <w:rFonts w:hAnsi="宋体" w:eastAsia="宋体" w:cs="宋体"/>
          <w:color w:val="auto"/>
          <w:sz w:val="21"/>
          <w:szCs w:val="21"/>
          <w:highlight w:val="none"/>
          <w:lang w:val="zh-CN"/>
        </w:rPr>
      </w:pPr>
      <w:r>
        <w:rPr>
          <w:rFonts w:ascii="宋体" w:hAnsi="宋体" w:eastAsia="宋体" w:cs="宋体"/>
          <w:color w:val="auto"/>
          <w:sz w:val="22"/>
          <w:highlight w:val="none"/>
        </w:rPr>
        <w:t xml:space="preserve">2、投标单位应详细列明布展项清单报价。投标人应对招标文件内所要采购的全部内容进行报价，只投其中部分内容者，其标书将被拒绝。</w:t>
      </w:r>
      <w:r/>
    </w:p>
    <w:p>
      <w:pPr>
        <w:pStyle w:val="1159"/>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w:t>
      </w:r>
      <w:r>
        <w:rPr>
          <w:rFonts w:hint="eastAsia" w:ascii="宋体" w:hAnsi="宋体" w:eastAsia="宋体" w:cs="宋体"/>
          <w:color w:val="auto"/>
          <w:sz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rPr>
          <w:rFonts w:hint="default" w:ascii="宋体" w:hAnsi="宋体" w:eastAsia="宋体" w:cs="宋体"/>
          <w:b/>
          <w:bCs/>
          <w:color w:val="auto"/>
          <w:szCs w:val="21"/>
          <w:highlight w:val="none"/>
          <w:lang w:val="en-US" w:eastAsia="zh-CN"/>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资格文件声明函格式</w:t>
      </w:r>
      <w:r/>
    </w:p>
    <w:p>
      <w:pPr>
        <w:ind w:firstLine="420"/>
        <w:jc w:val="center"/>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5.1</w:t>
      </w:r>
      <w:r>
        <w:rPr>
          <w:rFonts w:hint="eastAsia" w:ascii="宋体" w:hAnsi="宋体" w:cs="宋体"/>
          <w:color w:val="auto"/>
          <w:szCs w:val="21"/>
          <w:highlight w:val="none"/>
          <w:lang w:val="zh-CN"/>
        </w:rPr>
        <w:t xml:space="preserve">关于资格文件的声明函</w:t>
      </w:r>
      <w:r/>
    </w:p>
    <w:p>
      <w:pPr>
        <w:ind w:firstLine="420"/>
        <w:jc w:val="center"/>
        <w:rPr>
          <w:rFonts w:ascii="宋体" w:hAnsi="宋体" w:cs="宋体"/>
          <w:color w:val="auto"/>
          <w:szCs w:val="21"/>
          <w:highlight w:val="none"/>
          <w:lang w:val="zh-CN"/>
        </w:rPr>
      </w:pPr>
      <w:r>
        <w:rPr>
          <w:rFonts w:ascii="宋体" w:hAnsi="宋体" w:cs="宋体"/>
          <w:color w:val="auto"/>
          <w:szCs w:val="21"/>
          <w:highlight w:val="none"/>
          <w:lang w:val="zh-CN"/>
        </w:rPr>
      </w:r>
      <w:r/>
    </w:p>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pStyle w:val="1207"/>
        <w:ind w:firstLine="660"/>
        <w:rPr>
          <w:rFonts w:ascii="宋体" w:hAnsi="宋体" w:cs="宋体"/>
          <w:color w:val="auto"/>
          <w:sz w:val="21"/>
          <w:szCs w:val="21"/>
          <w:highlight w:val="none"/>
        </w:rPr>
      </w:pPr>
      <w:r>
        <w:rPr>
          <w:rFonts w:hint="eastAsia" w:ascii="宋体" w:hAnsi="宋体" w:cs="宋体"/>
          <w:color w:val="auto"/>
          <w:sz w:val="21"/>
          <w:szCs w:val="21"/>
          <w:highlight w:val="none"/>
        </w:rPr>
        <w:t xml:space="preserve">本公司愿就由贵公司组织实施的编号为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207"/>
        <w:tabs>
          <w:tab w:val="left" w:pos="324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207"/>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响应单位法定代表人或委托代理人：（签字或盖章）</w:t>
      </w:r>
      <w:r/>
    </w:p>
    <w:p>
      <w:pPr>
        <w:pStyle w:val="1207"/>
        <w:ind w:left="1700"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磋商响应单位：（公章）</w:t>
      </w:r>
      <w:r/>
    </w:p>
    <w:p>
      <w:pPr>
        <w:pStyle w:val="1207"/>
        <w:ind w:left="4675"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07"/>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月 </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日</w:t>
      </w:r>
      <w:r/>
    </w:p>
    <w:p>
      <w:pPr>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br w:type="page" w:clear="all"/>
      </w:r>
      <w:r/>
    </w:p>
    <w:p>
      <w:pPr>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5.2 </w:t>
      </w:r>
      <w:r>
        <w:rPr>
          <w:rFonts w:hint="eastAsia" w:ascii="宋体" w:hAnsi="宋体" w:cs="宋体"/>
          <w:color w:val="auto"/>
          <w:szCs w:val="21"/>
          <w:highlight w:val="none"/>
          <w:lang w:val="zh-CN"/>
        </w:rPr>
        <w:t xml:space="preserve">响应单位资格承诺书</w:t>
      </w:r>
      <w:r/>
    </w:p>
    <w:p>
      <w:pPr>
        <w:ind w:firstLine="315"/>
        <w:rPr>
          <w:rFonts w:ascii="宋体" w:hAnsi="宋体" w:cs="宋体"/>
          <w:color w:val="auto"/>
          <w:szCs w:val="21"/>
          <w:highlight w:val="none"/>
          <w:lang w:val="zh-CN"/>
        </w:rPr>
      </w:pPr>
      <w:r>
        <w:rPr>
          <w:rFonts w:hint="eastAsia" w:ascii="宋体" w:hAnsi="宋体" w:cs="宋体"/>
          <w:color w:val="auto"/>
          <w:szCs w:val="21"/>
          <w:highlight w:val="none"/>
        </w:rPr>
        <w:t xml:space="preserve">响应单位：（公章）                             </w:t>
      </w: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号</w:t>
      </w:r>
      <w:r/>
    </w:p>
    <w:tbl>
      <w:tblPr>
        <w:tblStyle w:val="87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012"/>
        <w:gridCol w:w="1756"/>
        <w:gridCol w:w="3555"/>
      </w:tblGrid>
      <w:tr>
        <w:trPr>
          <w:jc w:val="center"/>
          <w:trHeight w:val="696"/>
        </w:trPr>
        <w:tc>
          <w:tcPr>
            <w:tcW w:w="959"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1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响应单位部分资格要求</w:t>
            </w:r>
            <w:r/>
          </w:p>
        </w:tc>
        <w:tc>
          <w:tcPr>
            <w:tcW w:w="175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是否完全满足</w:t>
            </w:r>
            <w:r/>
          </w:p>
        </w:tc>
        <w:tc>
          <w:tcPr>
            <w:tcW w:w="3555"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提供包括但不限于最近一期经审计的财务报告或最近一期财务报表，其他组织、自然人及成立未满一年的法人应提供银行出具的资信证明</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提供承诺或相关证明材料</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bl>
    <w:p>
      <w:pPr>
        <w:pStyle w:val="1205"/>
        <w:ind w:firstLine="630"/>
        <w:spacing w:before="0" w:beforeAutospacing="0" w:after="0" w:afterAutospacing="0"/>
        <w:rPr>
          <w:rFonts w:hint="eastAsia"/>
          <w:color w:val="auto"/>
          <w:sz w:val="21"/>
          <w:szCs w:val="21"/>
          <w:highlight w:val="none"/>
        </w:rPr>
      </w:pPr>
      <w:r>
        <w:rPr>
          <w:rFonts w:hint="eastAsia"/>
          <w:color w:val="auto"/>
          <w:sz w:val="21"/>
          <w:szCs w:val="21"/>
          <w:highlight w:val="none"/>
        </w:rPr>
      </w:r>
      <w:r/>
    </w:p>
    <w:p>
      <w:pPr>
        <w:pStyle w:val="1205"/>
        <w:ind w:firstLine="630"/>
        <w:spacing w:before="0" w:beforeAutospacing="0" w:after="0" w:afterAutospacing="0"/>
        <w:rPr>
          <w:color w:val="auto"/>
          <w:sz w:val="21"/>
          <w:szCs w:val="21"/>
          <w:highlight w:val="none"/>
        </w:rPr>
      </w:pPr>
      <w:r>
        <w:rPr>
          <w:rFonts w:hint="eastAsia"/>
          <w:color w:val="auto"/>
          <w:sz w:val="21"/>
          <w:szCs w:val="21"/>
          <w:highlight w:val="none"/>
        </w:rPr>
        <w:t xml:space="preserve">磋商响应单位（公章）：</w:t>
      </w:r>
      <w:r/>
    </w:p>
    <w:p>
      <w:pPr>
        <w:pStyle w:val="1205"/>
        <w:ind w:firstLine="630"/>
        <w:spacing w:before="0" w:beforeAutospacing="0" w:after="0" w:afterAutospacing="0"/>
        <w:rPr>
          <w:color w:val="auto"/>
          <w:sz w:val="21"/>
          <w:szCs w:val="21"/>
          <w:highlight w:val="none"/>
        </w:rPr>
      </w:pPr>
      <w:r>
        <w:rPr>
          <w:rFonts w:hint="eastAsia"/>
          <w:color w:val="auto"/>
          <w:sz w:val="21"/>
          <w:szCs w:val="21"/>
          <w:highlight w:val="none"/>
        </w:rPr>
        <w:t xml:space="preserve">法定代表人或委托代理人：（签字或盖章）</w:t>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en-US" w:eastAsia="zh-CN"/>
        </w:rPr>
        <w:t xml:space="preserve">附件6：</w:t>
      </w:r>
      <w:r>
        <w:rPr>
          <w:rFonts w:hint="eastAsia" w:ascii="宋体" w:hAnsi="宋体" w:cs="宋体"/>
          <w:b/>
          <w:bCs/>
          <w:color w:val="auto"/>
          <w:szCs w:val="21"/>
          <w:highlight w:val="none"/>
        </w:rPr>
        <w:t xml:space="preserve">具备履行合同所必需的设备和专业技术能力的书面声明</w:t>
      </w:r>
      <w:r/>
    </w:p>
    <w:p>
      <w:pPr>
        <w:jc w:val="center"/>
        <w:spacing w:line="44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w:t>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我单位具备履行本项采购合同所必需的设备和专业技术能力。</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pStyle w:val="1207"/>
        <w:ind w:left="2940" w:firstLine="0"/>
        <w:rPr>
          <w:rFonts w:ascii="宋体" w:hAnsi="宋体" w:cs="宋体"/>
          <w:color w:val="auto"/>
          <w:sz w:val="21"/>
          <w:szCs w:val="21"/>
          <w:highlight w:val="none"/>
        </w:rPr>
      </w:pPr>
      <w:r>
        <w:rPr>
          <w:rFonts w:ascii="宋体" w:hAnsi="宋体" w:cs="宋体"/>
          <w:color w:val="auto"/>
          <w:sz w:val="21"/>
          <w:szCs w:val="21"/>
          <w:highlight w:val="none"/>
        </w:rPr>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en-US" w:eastAsia="zh-CN"/>
        </w:rPr>
        <w:t xml:space="preserve">附件7：</w:t>
      </w:r>
      <w:r>
        <w:rPr>
          <w:rFonts w:hint="eastAsia" w:ascii="宋体" w:hAnsi="宋体" w:cs="宋体"/>
          <w:b/>
          <w:bCs/>
          <w:color w:val="auto"/>
          <w:szCs w:val="21"/>
          <w:highlight w:val="none"/>
        </w:rPr>
        <w:t xml:space="preserve">参加采购活动前3年内在经营活动中没有重大违法记录的书面声明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pStyle w:val="1207"/>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附件8：</w:t>
      </w:r>
      <w:r>
        <w:rPr>
          <w:rFonts w:hint="eastAsia" w:ascii="宋体" w:hAnsi="宋体" w:cs="宋体"/>
          <w:b/>
          <w:bCs/>
          <w:color w:val="auto"/>
          <w:szCs w:val="21"/>
          <w:highlight w:val="none"/>
          <w:lang w:val="zh-CN"/>
        </w:rPr>
        <w:t xml:space="preserve">响应单位情况表</w:t>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响应单位基本情况表</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磋商响应单位：（公章）</w:t>
      </w:r>
      <w:r/>
    </w:p>
    <w:tbl>
      <w:tblPr>
        <w:tblStyle w:val="874"/>
        <w:tblW w:w="4996"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05"/>
        <w:gridCol w:w="1995"/>
        <w:gridCol w:w="2145"/>
        <w:gridCol w:w="2336"/>
      </w:tblGrid>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99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99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3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995"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9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3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9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3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      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199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    万元</w:t>
            </w:r>
            <w:r/>
          </w:p>
        </w:tc>
        <w:tc>
          <w:tcPr>
            <w:tcW w:w="214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99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3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31"/>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760"/>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Height w:val="1245"/>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618"/>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法定代表人或其授权代表：（签字或盖章）</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w:t>
      </w:r>
      <w:r/>
    </w:p>
    <w:p>
      <w:pPr>
        <w:rPr>
          <w:rFonts w:ascii="宋体" w:hAnsi="宋体" w:cs="宋体"/>
          <w:b/>
          <w:bCs/>
          <w:color w:val="auto"/>
          <w:szCs w:val="21"/>
          <w:highlight w:val="none"/>
        </w:rPr>
      </w:pPr>
      <w:r>
        <w:rPr>
          <w:rFonts w:ascii="宋体" w:hAnsi="宋体" w:cs="宋体"/>
          <w:b/>
          <w:bCs/>
          <w:color w:val="auto"/>
          <w:szCs w:val="21"/>
          <w:highlight w:val="none"/>
        </w:rPr>
      </w:r>
      <w:r/>
    </w:p>
    <w:p>
      <w:pPr>
        <w:pageBreakBefore/>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附件8：</w:t>
      </w:r>
      <w:r>
        <w:rPr>
          <w:rFonts w:hint="eastAsia" w:ascii="宋体" w:hAnsi="宋体" w:cs="宋体"/>
          <w:b/>
          <w:bCs/>
          <w:color w:val="auto"/>
          <w:szCs w:val="21"/>
          <w:highlight w:val="none"/>
          <w:lang w:val="zh-CN"/>
        </w:rPr>
        <w:t xml:space="preserve">中小企业声明资料</w:t>
      </w:r>
      <w:r/>
    </w:p>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8.1 </w:t>
      </w:r>
      <w:r>
        <w:rPr>
          <w:rFonts w:hint="eastAsia" w:ascii="宋体" w:hAnsi="宋体" w:cs="宋体"/>
          <w:color w:val="auto"/>
          <w:szCs w:val="21"/>
          <w:highlight w:val="none"/>
        </w:rPr>
        <w:t xml:space="preserve">中小企业声明函（服务）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采购活动，服务全部由符合政策要求的中小企业承接。相关企业（含联合体中的中小企业、签订分包意向协议的中小企业）的具体情况如下：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095"/>
        <w:rPr>
          <w:rFonts w:ascii="宋体" w:hAnsi="宋体" w:cs="宋体"/>
          <w:color w:val="auto"/>
          <w:szCs w:val="21"/>
          <w:highlight w:val="none"/>
          <w:lang w:val="zh-CN"/>
        </w:rPr>
      </w:pPr>
      <w:r>
        <w:rPr>
          <w:rFonts w:hint="eastAsia" w:ascii="宋体" w:hAnsi="宋体" w:cs="宋体"/>
          <w:color w:val="auto"/>
          <w:szCs w:val="21"/>
          <w:highlight w:val="none"/>
        </w:rPr>
        <w:t xml:space="preserve">日 期：</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注：供应商对照《关于印发中小企业划型标准规定的通知》（工信部联企业【2011】300号）中的标准，明确标的承接企业所属企业类型。</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备注：1.从业人员、营业收入、资产总额填报上一年度数据，无上一年度数据的新成立企业可不填报。</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Cs w:val="21"/>
          <w:highlight w:val="none"/>
        </w:rPr>
        <w:t xml:space="preserve">服务类项目中供应商若使用退休人员，将不享受相应扶持政策。具体见《政府采购促进中小企业发展管理办法》第四条第（三）点的规定。</w:t>
      </w:r>
      <w:r/>
    </w:p>
    <w:p>
      <w:pPr>
        <w:pStyle w:val="1131"/>
        <w:ind w:firstLine="428"/>
        <w:rPr>
          <w:rFonts w:ascii="宋体" w:hAnsi="宋体" w:cs="宋体"/>
          <w:b/>
          <w:bCs/>
          <w:color w:val="auto"/>
          <w:szCs w:val="21"/>
          <w:highlight w:val="none"/>
        </w:rPr>
      </w:pPr>
      <w:r>
        <w:rPr>
          <w:rFonts w:ascii="宋体" w:hAnsi="宋体" w:cs="宋体"/>
          <w:b/>
          <w:bCs/>
          <w:color w:val="auto"/>
          <w:szCs w:val="21"/>
          <w:highlight w:val="none"/>
        </w:rPr>
      </w:r>
      <w:r/>
    </w:p>
    <w:p>
      <w:pPr>
        <w:pStyle w:val="1131"/>
        <w:ind w:firstLine="428"/>
        <w:rPr>
          <w:rFonts w:ascii="宋体" w:hAnsi="宋体" w:cs="宋体"/>
          <w:color w:val="auto"/>
          <w:szCs w:val="21"/>
          <w:highlight w:val="none"/>
        </w:rPr>
      </w:pPr>
      <w:r>
        <w:rPr>
          <w:rFonts w:hint="eastAsia" w:ascii="宋体" w:hAnsi="宋体" w:cs="宋体"/>
          <w:b/>
          <w:bCs/>
          <w:color w:val="auto"/>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auto"/>
          <w:szCs w:val="21"/>
          <w:highlight w:val="none"/>
        </w:rPr>
        <w:t xml:space="preserve">。</w:t>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lang w:val="zh-CN"/>
        </w:rPr>
      </w:pPr>
      <w:r>
        <w:rPr>
          <w:rFonts w:ascii="宋体" w:hAnsi="宋体" w:cs="宋体"/>
          <w:color w:val="auto"/>
          <w:szCs w:val="21"/>
          <w:highlight w:val="none"/>
          <w:lang w:val="zh-CN"/>
        </w:rPr>
      </w:r>
      <w:r/>
    </w:p>
    <w:p>
      <w:pPr>
        <w:jc w:val="right"/>
        <w:rPr>
          <w:rFonts w:ascii="宋体" w:hAnsi="宋体" w:cs="宋体"/>
          <w:color w:val="auto"/>
          <w:szCs w:val="21"/>
          <w:highlight w:val="none"/>
        </w:rPr>
      </w:pPr>
      <w:r>
        <w:rPr>
          <w:rFonts w:ascii="宋体" w:hAnsi="宋体" w:cs="宋体"/>
          <w:color w:val="auto"/>
          <w:szCs w:val="21"/>
          <w:highlight w:val="none"/>
        </w:rPr>
      </w:r>
      <w:r/>
    </w:p>
    <w:p>
      <w:pPr>
        <w:pStyle w:val="1209"/>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209"/>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209"/>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ind w:right="-5"/>
        <w:pageBreakBefore/>
        <w:rPr>
          <w:rFonts w:ascii="宋体" w:hAnsi="宋体" w:cs="宋体"/>
          <w:b/>
          <w:color w:val="auto"/>
          <w:szCs w:val="21"/>
          <w:highlight w:val="none"/>
        </w:rPr>
      </w:pPr>
      <w:r/>
      <w:bookmarkStart w:id="137" w:name="OLE_LINK13"/>
      <w:r/>
      <w:bookmarkStart w:id="138" w:name="OLE_LINK14"/>
      <w:r>
        <w:rPr>
          <w:rFonts w:hint="eastAsia" w:ascii="宋体" w:hAnsi="宋体" w:cs="宋体"/>
          <w:b/>
          <w:color w:val="auto"/>
          <w:szCs w:val="21"/>
          <w:highlight w:val="none"/>
          <w:lang w:val="en-US" w:eastAsia="zh-CN"/>
        </w:rPr>
        <w:t xml:space="preserve">8.2 </w:t>
      </w:r>
      <w:r>
        <w:rPr>
          <w:rFonts w:hint="eastAsia" w:ascii="宋体" w:hAnsi="宋体" w:cs="宋体"/>
          <w:b/>
          <w:color w:val="auto"/>
          <w:szCs w:val="21"/>
          <w:highlight w:val="none"/>
        </w:rPr>
        <w:t xml:space="preserve">残疾人福利性单位声明函</w:t>
      </w:r>
      <w:r/>
    </w:p>
    <w:p>
      <w:pPr>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bookmarkEnd w:id="137"/>
      <w:r/>
      <w:bookmarkEnd w:id="138"/>
      <w:r/>
      <w:r/>
    </w:p>
    <w:p>
      <w:pPr>
        <w:rPr>
          <w:rFonts w:ascii="宋体" w:hAnsi="宋体" w:cs="宋体"/>
          <w:b/>
          <w:color w:val="auto"/>
          <w:spacing w:val="6"/>
          <w:szCs w:val="21"/>
          <w:highlight w:val="none"/>
        </w:rPr>
      </w:pPr>
      <w:r>
        <w:rPr>
          <w:rFonts w:ascii="宋体" w:hAnsi="宋体" w:cs="宋体"/>
          <w:b/>
          <w:color w:val="auto"/>
          <w:spacing w:val="6"/>
          <w:szCs w:val="21"/>
          <w:highlight w:val="none"/>
        </w:rPr>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widowControl/>
        <w:rPr>
          <w:rFonts w:ascii="宋体" w:hAnsi="宋体" w:cs="宋体"/>
          <w:color w:val="auto"/>
          <w:szCs w:val="21"/>
          <w:highlight w:val="none"/>
        </w:rPr>
      </w:pPr>
      <w:r>
        <w:rPr>
          <w:rFonts w:ascii="宋体" w:hAnsi="宋体" w:cs="宋体"/>
          <w:color w:val="auto"/>
          <w:szCs w:val="21"/>
          <w:highlight w:val="none"/>
        </w:rPr>
      </w:r>
      <w:r/>
    </w:p>
    <w:p>
      <w:pPr>
        <w:ind w:right="492" w:firstLine="388"/>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ageBreakBefore/>
        <w:rPr>
          <w:rFonts w:ascii="宋体" w:hAnsi="宋体" w:cs="宋体"/>
          <w:b/>
          <w:bCs/>
          <w:color w:val="auto"/>
          <w:szCs w:val="21"/>
          <w:highlight w:val="none"/>
        </w:rPr>
      </w:pPr>
      <w:r>
        <w:rPr>
          <w:rFonts w:hint="eastAsia" w:ascii="宋体" w:hAnsi="宋体" w:cs="宋体"/>
          <w:b/>
          <w:color w:val="auto"/>
          <w:szCs w:val="21"/>
          <w:highlight w:val="none"/>
          <w:lang w:val="en-US" w:eastAsia="zh-CN"/>
        </w:rPr>
        <w:t xml:space="preserve">8.3 </w:t>
      </w:r>
      <w:r>
        <w:rPr>
          <w:rFonts w:hint="eastAsia" w:ascii="宋体" w:hAnsi="宋体" w:cs="宋体"/>
          <w:b/>
          <w:color w:val="auto"/>
          <w:szCs w:val="21"/>
          <w:highlight w:val="none"/>
        </w:rPr>
        <w:t xml:space="preserve">监狱企业声明函</w:t>
      </w:r>
      <w:r/>
    </w:p>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监狱企业声明函</w:t>
      </w:r>
      <w:r/>
    </w:p>
    <w:p>
      <w:pPr>
        <w:pStyle w:val="1205"/>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1205"/>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1205"/>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1205"/>
        <w:numPr>
          <w:ilvl w:val="0"/>
          <w:numId w:val="14"/>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1205"/>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1205"/>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1205"/>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1205"/>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1205"/>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ageBreakBefore/>
        <w:rPr>
          <w:rFonts w:hint="eastAsia" w:ascii="宋体" w:hAnsi="宋体" w:cs="宋体"/>
          <w:b/>
          <w:color w:val="auto"/>
          <w:szCs w:val="21"/>
          <w:highlight w:val="none"/>
          <w:lang w:eastAsia="zh-CN"/>
        </w:rPr>
      </w:pPr>
      <w:r>
        <w:rPr>
          <w:rFonts w:hint="eastAsia" w:ascii="宋体" w:hAnsi="宋体" w:cs="宋体"/>
          <w:b/>
          <w:color w:val="auto"/>
          <w:szCs w:val="21"/>
          <w:highlight w:val="none"/>
          <w:lang w:val="en-US" w:eastAsia="zh-CN"/>
        </w:rPr>
        <w:t xml:space="preserve">附件9：</w:t>
      </w:r>
      <w:r>
        <w:rPr>
          <w:rFonts w:hint="eastAsia" w:ascii="宋体" w:hAnsi="宋体" w:cs="宋体"/>
          <w:b/>
          <w:color w:val="auto"/>
          <w:szCs w:val="21"/>
          <w:highlight w:val="none"/>
          <w:lang w:eastAsia="zh-CN"/>
        </w:rPr>
        <w:t xml:space="preserve">关于符合本国产品标准的声明函</w:t>
      </w:r>
      <w:r/>
    </w:p>
    <w:p>
      <w:pPr>
        <w:pStyle w:val="881"/>
        <w:spacing w:line="252" w:lineRule="auto"/>
        <w:rPr>
          <w:color w:val="auto"/>
          <w:highlight w:val="none"/>
          <w:lang w:eastAsia="zh-CN"/>
        </w:rPr>
      </w:pPr>
      <w:r>
        <w:rPr>
          <w:color w:val="auto"/>
          <w:highlight w:val="none"/>
          <w:lang w:eastAsia="zh-CN"/>
        </w:rPr>
      </w:r>
      <w:r/>
    </w:p>
    <w:p>
      <w:pPr>
        <w:pStyle w:val="881"/>
        <w:spacing w:line="252" w:lineRule="auto"/>
        <w:rPr>
          <w:color w:val="auto"/>
          <w:highlight w:val="none"/>
          <w:lang w:eastAsia="zh-CN"/>
        </w:rPr>
      </w:pPr>
      <w:r>
        <w:rPr>
          <w:color w:val="auto"/>
          <w:highlight w:val="none"/>
          <w:lang w:eastAsia="zh-CN"/>
        </w:rPr>
      </w:r>
      <w:r/>
    </w:p>
    <w:p>
      <w:pPr>
        <w:jc w:val="center"/>
        <w:spacing w:before="65" w:line="227" w:lineRule="auto"/>
        <w:rPr>
          <w:rFonts w:ascii="宋体" w:hAnsi="宋体" w:eastAsia="宋体" w:cs="宋体"/>
          <w:color w:val="auto"/>
          <w:sz w:val="21"/>
          <w:szCs w:val="21"/>
          <w:highlight w:val="none"/>
          <w:lang w:eastAsia="zh-CN"/>
        </w:rPr>
      </w:pPr>
      <w:r>
        <w:rPr>
          <w:rFonts w:ascii="宋体" w:hAnsi="宋体" w:eastAsia="宋体" w:cs="宋体"/>
          <w:b/>
          <w:bCs/>
          <w:color w:val="auto"/>
          <w:spacing w:val="7"/>
          <w:sz w:val="21"/>
          <w:szCs w:val="21"/>
          <w:highlight w:val="none"/>
          <w:lang w:eastAsia="zh-CN"/>
        </w:rPr>
        <w:t xml:space="preserve">关于符合本国产品标准的声明函</w:t>
      </w:r>
      <w:r/>
    </w:p>
    <w:p>
      <w:pPr>
        <w:pStyle w:val="881"/>
        <w:spacing w:line="250" w:lineRule="auto"/>
        <w:rPr>
          <w:color w:val="auto"/>
          <w:sz w:val="21"/>
          <w:szCs w:val="21"/>
          <w:highlight w:val="none"/>
          <w:lang w:eastAsia="zh-CN"/>
        </w:rPr>
      </w:pPr>
      <w:r>
        <w:rPr>
          <w:color w:val="auto"/>
          <w:sz w:val="21"/>
          <w:szCs w:val="21"/>
          <w:highlight w:val="none"/>
          <w:lang w:eastAsia="zh-CN"/>
        </w:rPr>
      </w:r>
      <w:r/>
    </w:p>
    <w:p>
      <w:pPr>
        <w:pStyle w:val="881"/>
        <w:spacing w:line="251" w:lineRule="auto"/>
        <w:rPr>
          <w:color w:val="auto"/>
          <w:sz w:val="21"/>
          <w:szCs w:val="21"/>
          <w:highlight w:val="none"/>
          <w:lang w:eastAsia="zh-CN"/>
        </w:rPr>
      </w:pPr>
      <w:r>
        <w:rPr>
          <w:color w:val="auto"/>
          <w:sz w:val="21"/>
          <w:szCs w:val="21"/>
          <w:highlight w:val="none"/>
          <w:lang w:eastAsia="zh-CN"/>
        </w:rPr>
      </w:r>
      <w:r/>
    </w:p>
    <w:p>
      <w:pPr>
        <w:pStyle w:val="903"/>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8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612140</wp:posOffset>
                </wp:positionH>
                <wp:positionV relativeFrom="paragraph">
                  <wp:posOffset>586105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48.2pt;mso-position-horizontal:absolute;mso-position-vertical-relative:text;margin-top:46.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-333374</wp:posOffset>
                </wp:positionH>
                <wp:positionV relativeFrom="paragraph">
                  <wp:posOffset>553085</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26.2pt;mso-position-horizontal:absolute;mso-position-vertical-relative:text;margin-top:43.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3469640</wp:posOffset>
                </wp:positionH>
                <wp:positionV relativeFrom="paragraph">
                  <wp:posOffset>274955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4384;o:allowoverlap:true;o:allowincell:true;mso-position-horizontal-relative:text;margin-left:273.2pt;mso-position-horizontal:absolute;mso-position-vertical-relative:text;margin-top:21.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2314575</wp:posOffset>
                </wp:positionH>
                <wp:positionV relativeFrom="paragraph">
                  <wp:posOffset>303530</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82.2pt;mso-position-horizontal:absolute;mso-position-vertical-relative:text;margin-top:23.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1329690</wp:posOffset>
                </wp:positionH>
                <wp:positionV relativeFrom="paragraph">
                  <wp:posOffset>252730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104.7pt;mso-position-horizontal:absolute;mso-position-vertical-relative:text;margin-top:19.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4043680</wp:posOffset>
                </wp:positionH>
                <wp:positionV relativeFrom="paragraph">
                  <wp:posOffset>90170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w:t xml:space="preserve">1.</w:t>
      </w:r>
      <w:r>
        <w:rPr>
          <w:rStyle w:val="908"/>
          <w:rFonts w:hint="eastAsia" w:ascii="宋体" w:hAnsi="宋体" w:eastAsia="宋体" w:cs="宋体"/>
          <w:color w:val="auto"/>
          <w:sz w:val="21"/>
          <w:szCs w:val="21"/>
          <w:highlight w:val="none"/>
          <w:u w:val="single"/>
        </w:rPr>
        <w:t xml:space="preserve">（产品名称1）</w:t>
      </w:r>
      <w:r>
        <w:rPr>
          <w:rStyle w:val="908"/>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，生产厂为</w:t>
      </w:r>
      <w:r>
        <w:rPr>
          <w:rStyle w:val="908"/>
          <w:rFonts w:hint="eastAsia" w:ascii="宋体" w:hAnsi="宋体" w:eastAsia="宋体" w:cs="宋体"/>
          <w:color w:val="auto"/>
          <w:sz w:val="21"/>
          <w:szCs w:val="21"/>
          <w:highlight w:val="none"/>
          <w:u w:val="single"/>
        </w:rPr>
        <w:t xml:space="preserve">（厂名）</w:t>
      </w:r>
      <w:r>
        <w:rPr>
          <w:rStyle w:val="908"/>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，厂址为</w:t>
      </w:r>
      <w:r>
        <w:rPr>
          <w:rStyle w:val="908"/>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Style w:val="908"/>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rPr>
        <w:t xml:space="preserve">的中国境内生产的组件成本占比≥</w:t>
      </w:r>
      <w:r>
        <w:rPr>
          <w:rStyle w:val="908"/>
          <w:rFonts w:hint="eastAsia" w:ascii="宋体" w:hAnsi="宋体" w:eastAsia="宋体" w:cs="宋体"/>
          <w:color w:val="auto"/>
          <w:sz w:val="21"/>
          <w:szCs w:val="21"/>
          <w:highlight w:val="none"/>
          <w:u w:val="single"/>
        </w:rPr>
        <w:t xml:space="preserve">（规定比例）</w:t>
      </w:r>
      <w:r>
        <w:rPr>
          <w:rStyle w:val="908"/>
          <w:rFonts w:hint="eastAsia" w:ascii="宋体" w:hAnsi="宋体" w:eastAsia="宋体" w:cs="宋体"/>
          <w:color w:val="auto"/>
          <w:sz w:val="21"/>
          <w:szCs w:val="21"/>
          <w:highlight w:val="none"/>
          <w:vertAlign w:val="superscript"/>
        </w:rPr>
        <w:t xml:space="preserve">3</w:t>
      </w:r>
      <w:r>
        <w:rPr>
          <w:rFonts w:hint="eastAsia" w:ascii="宋体" w:hAnsi="宋体" w:eastAsia="宋体" w:cs="宋体"/>
          <w:color w:val="auto"/>
          <w:sz w:val="21"/>
          <w:szCs w:val="21"/>
          <w:highlight w:val="none"/>
        </w:rPr>
        <w:t xml:space="preserve">。</w:t>
      </w:r>
      <w:r>
        <w:rPr>
          <w:rStyle w:val="908"/>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rPr>
        <w:t xml:space="preserve">的</w:t>
      </w:r>
      <w:r>
        <w:rPr>
          <w:rStyle w:val="908"/>
          <w:rFonts w:hint="eastAsia" w:ascii="宋体" w:hAnsi="宋体" w:eastAsia="宋体" w:cs="宋体"/>
          <w:color w:val="auto"/>
          <w:sz w:val="21"/>
          <w:szCs w:val="21"/>
          <w:highlight w:val="none"/>
          <w:u w:val="single"/>
        </w:rPr>
        <w:t xml:space="preserve">（关键组件）</w:t>
      </w:r>
      <w:r>
        <w:rPr>
          <w:rStyle w:val="908"/>
          <w:rFonts w:hint="eastAsia" w:ascii="宋体" w:hAnsi="宋体" w:eastAsia="宋体" w:cs="宋体"/>
          <w:color w:val="auto"/>
          <w:sz w:val="21"/>
          <w:szCs w:val="21"/>
          <w:highlight w:val="none"/>
          <w:vertAlign w:val="superscript"/>
        </w:rPr>
        <w:t xml:space="preserve">4</w:t>
      </w:r>
      <w:r>
        <w:rPr>
          <w:rFonts w:hint="eastAsia" w:ascii="宋体" w:hAnsi="宋体" w:eastAsia="宋体" w:cs="宋体"/>
          <w:color w:val="auto"/>
          <w:sz w:val="21"/>
          <w:szCs w:val="21"/>
          <w:highlight w:val="none"/>
        </w:rPr>
        <w:t xml:space="preserve">在中国境内生产。</w:t>
      </w:r>
      <w:r>
        <w:rPr>
          <w:rStyle w:val="908"/>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rPr>
        <w:t xml:space="preserve">的</w:t>
      </w:r>
      <w:r>
        <w:rPr>
          <w:rStyle w:val="908"/>
          <w:rFonts w:hint="eastAsia" w:ascii="宋体" w:hAnsi="宋体" w:eastAsia="宋体" w:cs="宋体"/>
          <w:color w:val="auto"/>
          <w:sz w:val="21"/>
          <w:szCs w:val="21"/>
          <w:highlight w:val="none"/>
          <w:u w:val="single"/>
        </w:rPr>
        <w:t xml:space="preserve">（关键工序）</w:t>
      </w:r>
      <w:r>
        <w:rPr>
          <w:rStyle w:val="908"/>
          <w:rFonts w:hint="eastAsia" w:ascii="宋体" w:hAnsi="宋体" w:eastAsia="宋体" w:cs="宋体"/>
          <w:color w:val="auto"/>
          <w:sz w:val="21"/>
          <w:szCs w:val="21"/>
          <w:highlight w:val="none"/>
          <w:vertAlign w:val="superscript"/>
        </w:rPr>
        <w:t xml:space="preserve">5</w:t>
      </w:r>
      <w:r>
        <w:rPr>
          <w:rFonts w:hint="eastAsia" w:ascii="宋体" w:hAnsi="宋体" w:eastAsia="宋体" w:cs="宋体"/>
          <w:color w:val="auto"/>
          <w:sz w:val="21"/>
          <w:szCs w:val="21"/>
          <w:highlight w:val="none"/>
        </w:rPr>
        <w:t xml:space="preserve">在中国境内完成。</w:t>
      </w:r>
      <w:r/>
    </w:p>
    <w:p>
      <w:pPr>
        <w:pStyle w:val="903"/>
        <w:ind w:firstLine="48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5079365</wp:posOffset>
                </wp:positionH>
                <wp:positionV relativeFrom="paragraph">
                  <wp:posOffset>297180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72576;o:allowoverlap:true;o:allowincell:true;mso-position-horizontal-relative:text;margin-left:399.9pt;mso-position-horizontal:absolute;mso-position-vertical-relative:text;margin-top:23.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3221990</wp:posOffset>
                </wp:positionH>
                <wp:positionV relativeFrom="paragraph">
                  <wp:posOffset>278130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53.7pt;mso-position-horizontal:absolute;mso-position-vertical-relative:text;margin-top:21.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2205990</wp:posOffset>
                </wp:positionH>
                <wp:positionV relativeFrom="paragraph">
                  <wp:posOffset>303530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73.7pt;mso-position-horizontal:absolute;mso-position-vertical-relative:text;margin-top:23.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1167765</wp:posOffset>
                </wp:positionH>
                <wp:positionV relativeFrom="paragraph">
                  <wp:posOffset>255905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91.9pt;mso-position-horizontal:absolute;mso-position-vertical-relative:text;margin-top:20.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437515</wp:posOffset>
                </wp:positionH>
                <wp:positionV relativeFrom="paragraph">
                  <wp:posOffset>577215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34.4pt;mso-position-horizontal:absolute;mso-position-vertical-relative:text;margin-top:45.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w:t xml:space="preserve">2.</w:t>
      </w:r>
      <w:r>
        <w:rPr>
          <w:rStyle w:val="908"/>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，生产厂为</w:t>
      </w:r>
      <w:r>
        <w:rPr>
          <w:rStyle w:val="908"/>
          <w:rFonts w:hint="eastAsia" w:ascii="宋体" w:hAnsi="宋体" w:eastAsia="宋体" w:cs="宋体"/>
          <w:color w:val="auto"/>
          <w:sz w:val="21"/>
          <w:szCs w:val="21"/>
          <w:highlight w:val="none"/>
          <w:u w:val="single"/>
        </w:rPr>
        <w:t xml:space="preserve">（厂名）</w:t>
      </w:r>
      <w:r>
        <w:rPr>
          <w:rFonts w:hint="eastAsia" w:ascii="宋体" w:hAnsi="宋体" w:eastAsia="宋体" w:cs="宋体"/>
          <w:color w:val="auto"/>
          <w:sz w:val="21"/>
          <w:szCs w:val="21"/>
          <w:highlight w:val="none"/>
        </w:rPr>
        <w:t xml:space="preserve">，厂址为</w:t>
      </w:r>
      <w:r>
        <w:rPr>
          <w:rStyle w:val="908"/>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Style w:val="908"/>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的中国境内生产的组件成本占比≥</w:t>
      </w:r>
      <w:r>
        <w:rPr>
          <w:rStyle w:val="908"/>
          <w:rFonts w:hint="eastAsia" w:ascii="宋体" w:hAnsi="宋体" w:eastAsia="宋体" w:cs="宋体"/>
          <w:color w:val="auto"/>
          <w:sz w:val="21"/>
          <w:szCs w:val="21"/>
          <w:highlight w:val="none"/>
          <w:u w:val="single"/>
        </w:rPr>
        <w:t xml:space="preserve">（规定比例）</w:t>
      </w:r>
      <w:r>
        <w:rPr>
          <w:rFonts w:hint="eastAsia" w:ascii="宋体" w:hAnsi="宋体" w:eastAsia="宋体" w:cs="宋体"/>
          <w:color w:val="auto"/>
          <w:sz w:val="21"/>
          <w:szCs w:val="21"/>
          <w:highlight w:val="none"/>
        </w:rPr>
        <w:t xml:space="preserve">。</w:t>
      </w:r>
      <w:r>
        <w:rPr>
          <w:rStyle w:val="908"/>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的</w:t>
      </w:r>
      <w:r>
        <w:rPr>
          <w:rStyle w:val="908"/>
          <w:rFonts w:hint="eastAsia" w:ascii="宋体" w:hAnsi="宋体" w:eastAsia="宋体" w:cs="宋体"/>
          <w:color w:val="auto"/>
          <w:sz w:val="21"/>
          <w:szCs w:val="21"/>
          <w:highlight w:val="none"/>
          <w:u w:val="single"/>
        </w:rPr>
        <w:t xml:space="preserve">（关键组件）</w:t>
      </w:r>
      <w:r>
        <w:rPr>
          <w:rFonts w:hint="eastAsia" w:ascii="宋体" w:hAnsi="宋体" w:eastAsia="宋体" w:cs="宋体"/>
          <w:color w:val="auto"/>
          <w:sz w:val="21"/>
          <w:szCs w:val="21"/>
          <w:highlight w:val="none"/>
        </w:rPr>
        <w:t xml:space="preserve">在中国境内生产。</w:t>
      </w:r>
      <w:r>
        <w:rPr>
          <w:rStyle w:val="908"/>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的</w:t>
      </w:r>
      <w:r>
        <w:rPr>
          <w:rStyle w:val="908"/>
          <w:rFonts w:hint="eastAsia" w:ascii="宋体" w:hAnsi="宋体" w:eastAsia="宋体" w:cs="宋体"/>
          <w:color w:val="auto"/>
          <w:sz w:val="21"/>
          <w:szCs w:val="21"/>
          <w:highlight w:val="none"/>
          <w:u w:val="single"/>
        </w:rPr>
        <w:t xml:space="preserve">（关键工序）</w:t>
      </w:r>
      <w:r>
        <w:rPr>
          <w:rFonts w:hint="eastAsia" w:ascii="宋体" w:hAnsi="宋体" w:eastAsia="宋体" w:cs="宋体"/>
          <w:color w:val="auto"/>
          <w:sz w:val="21"/>
          <w:szCs w:val="21"/>
          <w:highlight w:val="none"/>
        </w:rPr>
        <w:t xml:space="preserve">在中国境内完成。</w:t>
      </w:r>
      <w:r/>
    </w:p>
    <w:p>
      <w:pPr>
        <w:pStyle w:val="903"/>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903"/>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pStyle w:val="881"/>
        <w:spacing w:line="280" w:lineRule="auto"/>
        <w:rPr>
          <w:color w:val="auto"/>
          <w:sz w:val="21"/>
          <w:szCs w:val="21"/>
          <w:highlight w:val="none"/>
          <w:lang w:eastAsia="zh-CN"/>
        </w:rPr>
      </w:pPr>
      <w:r>
        <w:rPr>
          <w:color w:val="auto"/>
          <w:sz w:val="21"/>
          <w:szCs w:val="21"/>
          <w:highlight w:val="none"/>
          <w:lang w:eastAsia="zh-CN"/>
        </w:rPr>
      </w:r>
      <w:r/>
    </w:p>
    <w:p>
      <w:pPr>
        <w:pStyle w:val="881"/>
        <w:spacing w:line="281" w:lineRule="auto"/>
        <w:rPr>
          <w:color w:val="auto"/>
          <w:sz w:val="21"/>
          <w:szCs w:val="21"/>
          <w:highlight w:val="none"/>
          <w:lang w:eastAsia="zh-CN"/>
        </w:rPr>
      </w:pPr>
      <w:r>
        <w:rPr>
          <w:color w:val="auto"/>
          <w:sz w:val="21"/>
          <w:szCs w:val="21"/>
          <w:highlight w:val="none"/>
          <w:lang w:eastAsia="zh-CN"/>
        </w:rPr>
      </w:r>
      <w:r/>
    </w:p>
    <w:p>
      <w:pPr>
        <w:ind w:left="3419"/>
        <w:spacing w:before="65" w:line="227"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公司（单位）名称（签章</w:t>
      </w:r>
      <w:r>
        <w:rPr>
          <w:rFonts w:ascii="宋体" w:hAnsi="宋体" w:eastAsia="宋体" w:cs="宋体"/>
          <w:color w:val="auto"/>
          <w:spacing w:val="2"/>
          <w:sz w:val="21"/>
          <w:szCs w:val="21"/>
          <w:highlight w:val="none"/>
          <w:lang w:eastAsia="zh-CN"/>
        </w:rPr>
        <w:t xml:space="preserve">）：</w:t>
      </w:r>
      <w:r/>
    </w:p>
    <w:p>
      <w:pPr>
        <w:ind w:left="4963"/>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日期：</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年</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月</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日</w:t>
      </w:r>
      <w:r/>
    </w:p>
    <w:p>
      <w:pPr>
        <w:pStyle w:val="881"/>
        <w:spacing w:line="281" w:lineRule="auto"/>
        <w:rPr>
          <w:color w:val="auto"/>
          <w:sz w:val="21"/>
          <w:szCs w:val="21"/>
          <w:highlight w:val="none"/>
          <w:lang w:eastAsia="zh-CN"/>
        </w:rPr>
      </w:pPr>
      <w:r>
        <w:rPr>
          <w:color w:val="auto"/>
          <w:sz w:val="21"/>
          <w:szCs w:val="21"/>
          <w:highlight w:val="none"/>
          <w:lang w:eastAsia="zh-CN"/>
        </w:rPr>
      </w:r>
      <w:r/>
    </w:p>
    <w:p>
      <w:pPr>
        <w:pStyle w:val="881"/>
        <w:spacing w:line="281" w:lineRule="auto"/>
        <w:rPr>
          <w:color w:val="auto"/>
          <w:sz w:val="21"/>
          <w:szCs w:val="21"/>
          <w:highlight w:val="none"/>
          <w:lang w:eastAsia="zh-CN"/>
        </w:rPr>
      </w:pPr>
      <w:r>
        <w:rPr>
          <w:color w:val="auto"/>
          <w:sz w:val="21"/>
          <w:szCs w:val="21"/>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1285875</wp:posOffset>
                </wp:positionH>
                <wp:positionV relativeFrom="paragraph">
                  <wp:posOffset>69850</wp:posOffset>
                </wp:positionV>
                <wp:extent cx="9525" cy="6350"/>
                <wp:effectExtent l="0" t="0" r="0" b="0"/>
                <wp:wrapNone/>
                <wp:docPr id="18" name="IM 58"/>
                <wp:cNvGraphicFramePr/>
                <a:graphic xmlns:a="http://schemas.openxmlformats.org/drawingml/2006/main">
                  <a:graphicData uri="http://schemas.openxmlformats.org/drawingml/2006/picture">
                    <pic:pic xmlns:pic="http://schemas.openxmlformats.org/drawingml/2006/picture">
                      <pic:nvPicPr>
                        <pic:cNvPr id="7" name="IM 58"/>
                        <pic:cNvPicPr/>
                        <pic:nvPr/>
                      </pic:nvPicPr>
                      <pic:blipFill>
                        <a:blip r:embed="rId18"/>
                        <a:stretch/>
                      </pic:blipFill>
                      <pic:spPr bwMode="auto">
                        <a:xfrm>
                          <a:off x="0" y="0"/>
                          <a:ext cx="9524" cy="6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01.2pt;mso-position-horizontal:absolute;mso-position-vertical-relative:text;margin-top:5.5pt;mso-position-vertical:absolute;width:0.8pt;height:0.5pt;mso-wrap-distance-left:0.0pt;mso-wrap-distance-top:0.0pt;mso-wrap-distance-right:0.0pt;mso-wrap-distance-bottom:0.0pt;" stroked="false">
                <v:path textboxrect="0,0,0,0"/>
                <v:imagedata r:id="rId18" o:title=""/>
              </v:shape>
            </w:pict>
          </mc:Fallback>
        </mc:AlternateContent>
      </w:r>
      <w:r/>
    </w:p>
    <w:p>
      <w:pPr>
        <w:ind w:left="174"/>
        <w:spacing w:before="66" w:line="228" w:lineRule="auto"/>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1.产品如有型号，请在“产品名称”栏一并填写。</w:t>
      </w:r>
      <w:r/>
    </w:p>
    <w:p>
      <w:pPr>
        <w:ind w:left="161"/>
        <w:spacing w:before="190" w:line="228" w:lineRule="auto"/>
        <w:rPr>
          <w:rFonts w:ascii="宋体" w:hAnsi="宋体" w:eastAsia="宋体" w:cs="宋体"/>
          <w:color w:val="auto"/>
          <w:sz w:val="21"/>
          <w:szCs w:val="21"/>
          <w:highlight w:val="none"/>
          <w:lang w:eastAsia="zh-CN"/>
        </w:rPr>
      </w:pPr>
      <w:r>
        <w:rPr>
          <w:rFonts w:ascii="宋体" w:hAnsi="宋体" w:eastAsia="宋体" w:cs="宋体"/>
          <w:color w:val="auto"/>
          <w:spacing w:val="9"/>
          <w:sz w:val="21"/>
          <w:szCs w:val="21"/>
          <w:highlight w:val="none"/>
          <w:lang w:eastAsia="zh-CN"/>
        </w:rPr>
        <w:t xml:space="preserve">2.生产厂名与厂址应与生产厂营业执照载明的相关信息</w:t>
      </w:r>
      <w:r>
        <w:rPr>
          <w:rFonts w:ascii="宋体" w:hAnsi="宋体" w:eastAsia="宋体" w:cs="宋体"/>
          <w:color w:val="auto"/>
          <w:spacing w:val="8"/>
          <w:sz w:val="21"/>
          <w:szCs w:val="21"/>
          <w:highlight w:val="none"/>
          <w:lang w:eastAsia="zh-CN"/>
        </w:rPr>
        <w:t xml:space="preserve">保持一致。</w:t>
      </w:r>
      <w:r/>
    </w:p>
    <w:p>
      <w:pPr>
        <w:ind w:left="163"/>
        <w:spacing w:before="192" w:line="227"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3.该产品的中国境内生产的组件成本占比相关要求实施前，“规定比例”栏可不填，下同。</w:t>
      </w:r>
      <w:r/>
    </w:p>
    <w:p>
      <w:pPr>
        <w:ind w:left="157"/>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4.该产品的关键组件要求实施前，“关键组件”栏可不填，下同。</w:t>
      </w:r>
      <w:r/>
    </w:p>
    <w:p>
      <w:pPr>
        <w:ind w:left="163"/>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5.该产品的关键工序要求实施前，“关键工序”栏可</w:t>
      </w:r>
      <w:r>
        <w:rPr>
          <w:rFonts w:ascii="宋体" w:hAnsi="宋体" w:eastAsia="宋体" w:cs="宋体"/>
          <w:color w:val="auto"/>
          <w:spacing w:val="7"/>
          <w:sz w:val="21"/>
          <w:szCs w:val="21"/>
          <w:highlight w:val="none"/>
          <w:lang w:eastAsia="zh-CN"/>
        </w:rPr>
        <w:t xml:space="preserve">不填，下同。</w:t>
      </w:r>
      <w:r/>
    </w:p>
    <w:p>
      <w:pPr>
        <w:ind w:left="160"/>
        <w:spacing w:before="189" w:line="228" w:lineRule="auto"/>
        <w:rPr>
          <w:rFonts w:ascii="宋体" w:hAnsi="宋体" w:eastAsia="宋体" w:cs="宋体"/>
          <w:color w:val="auto"/>
          <w:sz w:val="21"/>
          <w:szCs w:val="21"/>
          <w:highlight w:val="none"/>
          <w:lang w:eastAsia="zh-CN"/>
        </w:rPr>
      </w:pPr>
      <w:r>
        <w:rPr>
          <w:rFonts w:ascii="宋体" w:hAnsi="宋体" w:eastAsia="宋体" w:cs="宋体"/>
          <w:color w:val="auto"/>
          <w:spacing w:val="7"/>
          <w:sz w:val="21"/>
          <w:szCs w:val="21"/>
          <w:highlight w:val="none"/>
          <w:lang w:eastAsia="zh-CN"/>
        </w:rPr>
        <w:t xml:space="preserve">6.用斜线划除的地方无需填写。</w:t>
      </w:r>
      <w:r/>
    </w:p>
    <w:p>
      <w:pPr>
        <w:ind w:firstLine="422"/>
        <w:jc w:val="center"/>
        <w:rPr>
          <w:rFonts w:ascii="宋体" w:hAnsi="宋体" w:cs="宋体"/>
          <w:b/>
          <w:color w:val="auto"/>
          <w:sz w:val="21"/>
          <w:szCs w:val="21"/>
          <w:highlight w:val="none"/>
        </w:rPr>
      </w:pPr>
      <w:r>
        <w:rPr>
          <w:rFonts w:ascii="宋体" w:hAnsi="宋体" w:cs="宋体"/>
          <w:b/>
          <w:color w:val="auto"/>
          <w:sz w:val="21"/>
          <w:szCs w:val="21"/>
          <w:highlight w:val="none"/>
        </w:rPr>
      </w:r>
      <w:r/>
    </w:p>
    <w:p>
      <w:pPr>
        <w:pageBreakBefore/>
        <w:widowControl/>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附件10：</w:t>
      </w:r>
      <w:r>
        <w:rPr>
          <w:rFonts w:hint="eastAsia" w:ascii="宋体" w:hAnsi="宋体" w:cs="宋体"/>
          <w:b/>
          <w:bCs/>
          <w:color w:val="auto"/>
          <w:szCs w:val="21"/>
          <w:highlight w:val="none"/>
        </w:rPr>
        <w:t xml:space="preserve">投标（响应）保证承诺书</w:t>
      </w:r>
      <w:r/>
    </w:p>
    <w:p>
      <w:pPr>
        <w:pStyle w:val="1209"/>
        <w:jc w:val="center"/>
        <w:spacing w:line="360" w:lineRule="auto"/>
        <w:tabs>
          <w:tab w:val="left" w:pos="525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投标（响应）保证承诺书</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w:t>
      </w:r>
      <w:r>
        <w:rPr>
          <w:rFonts w:hint="eastAsia" w:ascii="宋体" w:hAnsi="宋体" w:cs="宋体"/>
          <w:color w:val="auto"/>
          <w:szCs w:val="21"/>
          <w:highlight w:val="none"/>
          <w:u w:val="single"/>
          <w:lang w:eastAsia="zh-CN"/>
        </w:rPr>
        <w:t xml:space="preserve">项目编号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的投标（响应）,并做出如下承诺：</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3.中标（成交）后不按本采购文件规定向采购人提交履约保证金（如有）；</w:t>
      </w:r>
      <w:r/>
    </w:p>
    <w:p>
      <w:pPr>
        <w:ind w:firstLine="555"/>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4.中标（成交）后不按本采购文件规定向贵方缴纳采购代理费。</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     </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bookmarkEnd w:id="132"/>
      <w:r/>
      <w:bookmarkEnd w:id="133"/>
      <w:r/>
      <w:bookmarkEnd w:id="134"/>
      <w:r/>
      <w:bookmarkEnd w:id="135"/>
      <w:r/>
      <w:bookmarkEnd w:id="136"/>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u w:val="single"/>
        </w:rPr>
        <w:br w:type="page" w:clear="all"/>
      </w: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商务及</w:t>
      </w:r>
      <w:r>
        <w:rPr>
          <w:rFonts w:hint="eastAsia" w:ascii="宋体" w:hAnsi="宋体" w:cs="宋体"/>
          <w:b/>
          <w:bCs/>
          <w:color w:val="auto"/>
          <w:szCs w:val="21"/>
          <w:highlight w:val="none"/>
        </w:rPr>
        <w:t xml:space="preserve">技术部分（格式为参考，磋商响应单位可参照下述格式自制表格投标，但至少应包括下述格式中的内容，没有参考格式的则可根据情况自行编制）</w:t>
      </w:r>
      <w:r/>
    </w:p>
    <w:p>
      <w:pPr>
        <w:jc w:val="left"/>
        <w:rPr>
          <w:rFonts w:ascii="宋体" w:hAnsi="宋体" w:cs="宋体"/>
          <w:b/>
          <w:bCs/>
          <w:color w:val="auto"/>
          <w:szCs w:val="21"/>
          <w:highlight w:val="none"/>
        </w:rPr>
      </w:pPr>
      <w:r>
        <w:rPr>
          <w:rFonts w:ascii="宋体" w:hAnsi="宋体" w:cs="宋体"/>
          <w:b/>
          <w:bCs/>
          <w:color w:val="auto"/>
          <w:szCs w:val="21"/>
          <w:highlight w:val="none"/>
        </w:rPr>
      </w:r>
      <w:r/>
    </w:p>
    <w:p>
      <w:pPr>
        <w:jc w:val="lef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.1服务条款偏离表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服务条款偏离表</w:t>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874"/>
        <w:tblW w:w="5038"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2738"/>
        <w:gridCol w:w="3483"/>
        <w:gridCol w:w="2109"/>
      </w:tblGrid>
      <w:tr>
        <w:trPr>
          <w:trHeight w:val="1345"/>
        </w:trPr>
        <w:tc>
          <w:tcPr>
            <w:tcW w:w="1029" w:type="dxa"/>
            <w:vAlign w:val="center"/>
            <w:textDirection w:val="lrTb"/>
            <w:noWrap w:val="false"/>
          </w:tcPr>
          <w:p>
            <w:pPr>
              <w:jc w:val="center"/>
              <w:rPr>
                <w:rFonts w:hint="eastAsia"/>
                <w:color w:val="auto"/>
                <w:highlight w:val="none"/>
              </w:rPr>
            </w:pPr>
            <w:r>
              <w:rPr>
                <w:rFonts w:hint="eastAsia"/>
                <w:color w:val="auto"/>
                <w:highlight w:val="none"/>
              </w:rPr>
            </w:r>
            <w:r/>
          </w:p>
          <w:p>
            <w:pPr>
              <w:jc w:val="center"/>
              <w:rPr>
                <w:color w:val="auto"/>
                <w:highlight w:val="none"/>
              </w:rPr>
            </w:pPr>
            <w:r>
              <w:rPr>
                <w:rFonts w:hint="eastAsia"/>
                <w:color w:val="auto"/>
                <w:highlight w:val="none"/>
              </w:rPr>
              <w:t xml:space="preserve">序号</w:t>
            </w:r>
            <w:r/>
          </w:p>
        </w:tc>
        <w:tc>
          <w:tcPr>
            <w:tcW w:w="2738" w:type="dxa"/>
            <w:vAlign w:val="center"/>
            <w:textDirection w:val="lrTb"/>
            <w:noWrap w:val="false"/>
          </w:tcPr>
          <w:p>
            <w:pPr>
              <w:pStyle w:val="1220"/>
              <w:jc w:val="both"/>
              <w:spacing w:before="291" w:line="227" w:lineRule="auto"/>
              <w:rPr>
                <w:rFonts w:ascii="宋体" w:hAnsi="宋体" w:cs="宋体"/>
                <w:color w:val="auto"/>
                <w:szCs w:val="21"/>
                <w:highlight w:val="none"/>
              </w:rPr>
            </w:pPr>
            <w:r>
              <w:rPr>
                <w:color w:val="auto"/>
                <w:spacing w:val="9"/>
                <w:highlight w:val="none"/>
              </w:rPr>
              <w:t xml:space="preserve">采购技术及服务要求</w:t>
            </w:r>
            <w:r/>
          </w:p>
        </w:tc>
        <w:tc>
          <w:tcPr>
            <w:tcW w:w="3483" w:type="dxa"/>
            <w:vAlign w:val="center"/>
            <w:textDirection w:val="lrTb"/>
            <w:noWrap w:val="false"/>
          </w:tcPr>
          <w:p>
            <w:pPr>
              <w:pStyle w:val="1220"/>
              <w:jc w:val="both"/>
              <w:spacing w:before="291" w:line="228" w:lineRule="auto"/>
              <w:rPr>
                <w:color w:val="auto"/>
                <w:spacing w:val="8"/>
                <w:highlight w:val="none"/>
                <w:lang w:eastAsia="zh-CN"/>
              </w:rPr>
            </w:pPr>
            <w:r>
              <w:rPr>
                <w:color w:val="auto"/>
                <w:spacing w:val="8"/>
                <w:highlight w:val="none"/>
                <w:lang w:eastAsia="zh-CN"/>
              </w:rPr>
              <w:t xml:space="preserve">投标响应（正偏离、负偏离、无偏离）</w:t>
            </w:r>
            <w:r/>
          </w:p>
        </w:tc>
        <w:tc>
          <w:tcPr>
            <w:tcW w:w="2109" w:type="dxa"/>
            <w:vAlign w:val="center"/>
            <w:textDirection w:val="lrTb"/>
            <w:noWrap w:val="false"/>
          </w:tcPr>
          <w:p>
            <w:pPr>
              <w:pStyle w:val="1220"/>
              <w:jc w:val="both"/>
              <w:spacing w:before="291" w:line="228" w:lineRule="auto"/>
              <w:rPr>
                <w:rFonts w:ascii="宋体" w:hAnsi="宋体" w:cs="宋体"/>
                <w:color w:val="auto"/>
                <w:szCs w:val="21"/>
                <w:highlight w:val="none"/>
              </w:rPr>
            </w:pPr>
            <w:r>
              <w:rPr>
                <w:color w:val="auto"/>
                <w:spacing w:val="7"/>
                <w:highlight w:val="none"/>
              </w:rPr>
              <w:t xml:space="preserve">偏离说明（如有）</w:t>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75"/>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注：1、磋商响应单位应对照采购文件技术要求等要求，所投标的物（服务）与采购文件的规定有偏离的，应在此表中申明与技术要求条文的偏差和例外。</w:t>
      </w:r>
      <w:r/>
    </w:p>
    <w:p>
      <w:pPr>
        <w:pStyle w:val="931"/>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3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.2商务条款偏离表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pStyle w:val="1207"/>
        <w:ind w:firstLine="0"/>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874"/>
        <w:tblW w:w="4996"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935"/>
        <w:gridCol w:w="2417"/>
        <w:gridCol w:w="2416"/>
        <w:gridCol w:w="1728"/>
      </w:tblGrid>
      <w:tr>
        <w:trPr/>
        <w:tc>
          <w:tcPr>
            <w:tcW w:w="785"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序号</w:t>
            </w:r>
            <w:r/>
          </w:p>
        </w:tc>
        <w:tc>
          <w:tcPr>
            <w:tcW w:w="1935"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名称</w:t>
            </w:r>
            <w:r/>
          </w:p>
        </w:tc>
        <w:tc>
          <w:tcPr>
            <w:tcW w:w="2417"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磋商文件商务要求</w:t>
            </w:r>
            <w:r/>
          </w:p>
        </w:tc>
        <w:tc>
          <w:tcPr>
            <w:tcW w:w="2416" w:type="dxa"/>
            <w:vAlign w:val="center"/>
            <w:textDirection w:val="lrTb"/>
            <w:noWrap w:val="false"/>
          </w:tcPr>
          <w:p>
            <w:pPr>
              <w:jc w:val="center"/>
              <w:rPr>
                <w:rFonts w:ascii="宋体" w:hAnsi="宋体" w:cs="宋体"/>
                <w:color w:val="auto"/>
                <w:szCs w:val="21"/>
                <w:highlight w:val="none"/>
              </w:rPr>
            </w:pPr>
            <w:r/>
            <w:bookmarkStart w:id="139" w:name="OLE_LINK2"/>
            <w:r>
              <w:rPr>
                <w:rFonts w:hint="eastAsia" w:ascii="宋体" w:hAnsi="宋体" w:cs="宋体"/>
                <w:b/>
                <w:bCs/>
                <w:color w:val="auto"/>
                <w:szCs w:val="21"/>
                <w:highlight w:val="none"/>
              </w:rPr>
              <w:t xml:space="preserve">响应文件响应情</w:t>
            </w:r>
            <w:bookmarkEnd w:id="139"/>
            <w:r>
              <w:rPr>
                <w:rFonts w:hint="eastAsia" w:ascii="宋体" w:hAnsi="宋体" w:cs="宋体"/>
                <w:b/>
                <w:bCs/>
                <w:color w:val="auto"/>
                <w:szCs w:val="21"/>
                <w:highlight w:val="none"/>
              </w:rPr>
              <w:t xml:space="preserve">况</w:t>
            </w:r>
            <w:r/>
          </w:p>
        </w:tc>
        <w:tc>
          <w:tcPr>
            <w:tcW w:w="1728"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W w:w="78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合同履约</w:t>
            </w:r>
            <w:r>
              <w:rPr>
                <w:rFonts w:hint="eastAsia" w:ascii="宋体" w:hAnsi="宋体" w:cs="宋体"/>
                <w:color w:val="auto"/>
                <w:szCs w:val="21"/>
                <w:highlight w:val="none"/>
              </w:rPr>
              <w:t xml:space="preserve">期限</w:t>
            </w:r>
            <w:r/>
          </w:p>
        </w:tc>
        <w:tc>
          <w:tcPr>
            <w:tcW w:w="2417" w:type="dxa"/>
            <w:vAlign w:val="top"/>
            <w:textDirection w:val="lrTb"/>
            <w:noWrap w:val="false"/>
          </w:tcPr>
          <w:p>
            <w:pPr>
              <w:pStyle w:val="1220"/>
              <w:ind w:left="73"/>
              <w:spacing w:before="298" w:line="228" w:lineRule="auto"/>
              <w:rPr>
                <w:rFonts w:hint="default" w:ascii="Arial" w:hAnsi="Arial" w:eastAsia="Arial" w:cs="Arial"/>
                <w:color w:val="auto"/>
                <w:sz w:val="21"/>
                <w:szCs w:val="21"/>
                <w:highlight w:val="none"/>
                <w:lang w:val="en-US" w:eastAsia="zh-CN" w:bidi="ar-SA"/>
              </w:rPr>
            </w:pPr>
            <w:r>
              <w:rPr>
                <w:rFonts w:hint="default" w:ascii="Arial" w:hAnsi="Arial" w:eastAsia="Arial" w:cs="Arial"/>
                <w:color w:val="auto"/>
                <w:sz w:val="21"/>
                <w:szCs w:val="21"/>
                <w:highlight w:val="none"/>
                <w:lang w:val="en-US" w:eastAsia="zh-CN"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17" w:type="dxa"/>
            <w:vAlign w:val="top"/>
            <w:textDirection w:val="lrTb"/>
            <w:noWrap w:val="false"/>
          </w:tcPr>
          <w:p>
            <w:pPr>
              <w:pStyle w:val="1220"/>
              <w:ind w:left="72"/>
              <w:spacing w:before="213"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44"/>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售后服务</w:t>
            </w:r>
            <w:r/>
          </w:p>
        </w:tc>
        <w:tc>
          <w:tcPr>
            <w:tcW w:w="2417" w:type="dxa"/>
            <w:vAlign w:val="top"/>
            <w:textDirection w:val="lrTb"/>
            <w:noWrap w:val="false"/>
          </w:tcPr>
          <w:p>
            <w:pPr>
              <w:pStyle w:val="1220"/>
              <w:ind w:left="73"/>
              <w:spacing w:before="215"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417" w:type="dxa"/>
            <w:vAlign w:val="top"/>
            <w:textDirection w:val="lrTb"/>
            <w:noWrap w:val="false"/>
          </w:tcPr>
          <w:p>
            <w:pPr>
              <w:pStyle w:val="1220"/>
              <w:ind w:left="72"/>
              <w:spacing w:before="216"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合同主要条款</w:t>
            </w:r>
            <w:r/>
          </w:p>
        </w:tc>
        <w:tc>
          <w:tcPr>
            <w:tcW w:w="2417" w:type="dxa"/>
            <w:vAlign w:val="top"/>
            <w:textDirection w:val="lrTb"/>
            <w:noWrap w:val="false"/>
          </w:tcPr>
          <w:p>
            <w:pPr>
              <w:pStyle w:val="1220"/>
              <w:ind w:left="73"/>
              <w:spacing w:before="218"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81"/>
        </w:trPr>
        <w:tc>
          <w:tcPr>
            <w:tcW w:w="78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其他商务条款</w:t>
            </w:r>
            <w:r/>
          </w:p>
        </w:tc>
        <w:tc>
          <w:tcPr>
            <w:tcW w:w="2417" w:type="dxa"/>
            <w:vAlign w:val="top"/>
            <w:textDirection w:val="lrTb"/>
            <w:noWrap w:val="false"/>
          </w:tcPr>
          <w:p>
            <w:pPr>
              <w:pStyle w:val="1220"/>
              <w:ind w:left="73"/>
              <w:spacing w:before="220"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w:t>
            </w:r>
            <w:r/>
          </w:p>
        </w:tc>
        <w:tc>
          <w:tcPr>
            <w:tcW w:w="2417" w:type="dxa"/>
            <w:vAlign w:val="top"/>
            <w:textDirection w:val="lrTb"/>
            <w:noWrap w:val="false"/>
          </w:tcPr>
          <w:p>
            <w:pPr>
              <w:pStyle w:val="1220"/>
              <w:ind w:left="78"/>
              <w:spacing w:before="65" w:line="84" w:lineRule="exact"/>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35"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3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3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注：磋商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pStyle w:val="1207"/>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clear="all"/>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11.3技术要求偏离表</w:t>
      </w:r>
      <w:r/>
    </w:p>
    <w:p>
      <w:pPr>
        <w:pStyle w:val="875"/>
        <w:rPr>
          <w:rFonts w:hint="eastAsia"/>
          <w:color w:val="auto"/>
          <w:highlight w:val="none"/>
        </w:rPr>
      </w:pPr>
      <w:r>
        <w:rPr>
          <w:rFonts w:hint="eastAsia"/>
          <w:color w:val="auto"/>
          <w:highlight w:val="none"/>
        </w:rPr>
      </w:r>
      <w:r/>
    </w:p>
    <w:p>
      <w:pPr>
        <w:pStyle w:val="875"/>
        <w:jc w:val="center"/>
        <w:rPr>
          <w:color w:val="auto"/>
          <w:highlight w:val="none"/>
        </w:rPr>
      </w:pPr>
      <w:r>
        <w:rPr>
          <w:rFonts w:hint="eastAsia" w:ascii="宋体" w:hAnsi="宋体" w:cs="宋体"/>
          <w:b/>
          <w:bCs/>
          <w:color w:val="auto"/>
          <w:szCs w:val="21"/>
          <w:highlight w:val="none"/>
          <w:lang w:val="en-US" w:eastAsia="zh-CN"/>
        </w:rPr>
        <w:t xml:space="preserve">技术要求偏离表</w:t>
      </w:r>
      <w:r/>
    </w:p>
    <w:tbl>
      <w:tblPr>
        <w:tblStyle w:val="874"/>
        <w:tblW w:w="5306" w:type="pct"/>
        <w:jc w:val="center"/>
        <w:tblLayout w:type="fixed"/>
        <w:tblCellMar>
          <w:left w:w="0" w:type="dxa"/>
          <w:top w:w="0" w:type="dxa"/>
          <w:right w:w="0" w:type="dxa"/>
          <w:bottom w:w="0" w:type="dxa"/>
        </w:tblCellMar>
        <w:tblLook w:val="04A0" w:firstRow="1" w:lastRow="0" w:firstColumn="1" w:lastColumn="0" w:noHBand="0" w:noVBand="1"/>
      </w:tblPr>
      <w:tblGrid>
        <w:gridCol w:w="674"/>
        <w:gridCol w:w="2014"/>
        <w:gridCol w:w="2014"/>
        <w:gridCol w:w="1420"/>
        <w:gridCol w:w="1449"/>
        <w:gridCol w:w="1350"/>
        <w:gridCol w:w="826"/>
      </w:tblGrid>
      <w:tr>
        <w:trPr>
          <w:jc w:val="center"/>
          <w:trHeight w:val="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 w:type="pct"/>
            <w:vAlign w:val="center"/>
            <w:textDirection w:val="lrTb"/>
            <w:noWrap/>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pct"/>
            <w:vAlign w:val="center"/>
            <w:textDirection w:val="lrTb"/>
            <w:noWrap/>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磋商文件技术要求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 w:type="pct"/>
            <w:vAlign w:val="center"/>
            <w:textDirection w:val="lrTb"/>
            <w:noWrap/>
          </w:tcPr>
          <w:p>
            <w:pPr>
              <w:jc w:val="center"/>
              <w:rPr>
                <w:rFonts w:hint="default"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 xml:space="preserve">响应文件响应情</w:t>
            </w:r>
            <w:r>
              <w:rPr>
                <w:rFonts w:hint="eastAsia" w:ascii="宋体" w:hAnsi="宋体" w:eastAsia="宋体" w:cs="宋体"/>
                <w:b/>
                <w:bCs/>
                <w:color w:val="auto"/>
                <w:szCs w:val="21"/>
                <w:highlight w:val="none"/>
                <w:lang w:val="en-US" w:eastAsia="zh-CN"/>
              </w:rPr>
              <w:t xml:space="preserve">况</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偏离</w:t>
            </w:r>
            <w:r>
              <w:rPr>
                <w:rFonts w:hint="eastAsia" w:ascii="宋体" w:hAnsi="宋体" w:eastAsia="宋体" w:cs="宋体"/>
                <w:b/>
                <w:bCs/>
                <w:color w:val="auto"/>
                <w:szCs w:val="21"/>
                <w:highlight w:val="none"/>
                <w:lang w:val="en-US" w:eastAsia="zh-CN"/>
              </w:rPr>
              <w:t xml:space="preserve">说明</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证明材料</w:t>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 w:type="pct"/>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1</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033" w:type="pct"/>
            <w:vAlign w:val="center"/>
            <w:vMerge w:val="restart"/>
            <w:textDirection w:val="lrTb"/>
            <w:noWrap/>
          </w:tcPr>
          <w:p>
            <w:pPr>
              <w:jc w:val="center"/>
              <w:spacing w:line="360" w:lineRule="auto"/>
              <w:rPr>
                <w:rFonts w:ascii="宋体" w:hAnsi="宋体"/>
                <w:color w:val="auto"/>
                <w:szCs w:val="21"/>
                <w:highlight w:val="none"/>
              </w:rPr>
            </w:pPr>
            <w:r>
              <w:rPr>
                <w:rFonts w:cs="宋体"/>
                <w:color w:val="auto"/>
                <w:szCs w:val="21"/>
                <w:highlight w:val="none"/>
              </w:rPr>
              <w:t xml:space="preserve">平台软件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融合法庭云庭审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2"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 w:type="pct"/>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2</w:t>
            </w:r>
            <w:r/>
          </w:p>
        </w:tc>
        <w:tc>
          <w:tcPr>
            <w:tcBorders>
              <w:left w:val="single" w:color="000000" w:sz="4" w:space="0"/>
              <w:right w:val="single" w:color="000000" w:sz="4" w:space="0"/>
            </w:tcBorders>
            <w:tcMar>
              <w:left w:w="108" w:type="dxa"/>
              <w:top w:w="0" w:type="dxa"/>
              <w:right w:w="108" w:type="dxa"/>
              <w:bottom w:w="0" w:type="dxa"/>
            </w:tcMar>
            <w:tcW w:w="1033" w:type="pct"/>
            <w:vMerge w:val="continue"/>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执法规范化平台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2"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 w:type="pct"/>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3</w:t>
            </w:r>
            <w:r/>
          </w:p>
        </w:tc>
        <w:tc>
          <w:tcPr>
            <w:tcBorders>
              <w:left w:val="single" w:color="000000" w:sz="4" w:space="0"/>
              <w:right w:val="single" w:color="000000" w:sz="4" w:space="0"/>
            </w:tcBorders>
            <w:tcMar>
              <w:left w:w="108" w:type="dxa"/>
              <w:top w:w="0" w:type="dxa"/>
              <w:right w:w="108" w:type="dxa"/>
              <w:bottom w:w="0" w:type="dxa"/>
            </w:tcMar>
            <w:tcW w:w="1033" w:type="pct"/>
            <w:vMerge w:val="continue"/>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诉保系统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2"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 w:type="pct"/>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4</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033" w:type="pct"/>
            <w:vMerge w:val="continue"/>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智能体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2"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 w:type="pct"/>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rPr>
              <w:t xml:space="preserve">执法视音频记录仪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执法视音频记录仪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2"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 w:type="pct"/>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执法数据采集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执法数据采集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2"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 w:type="pct"/>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数字音频主机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3" w:type="pct"/>
            <w:vAlign w:val="center"/>
            <w:textDirection w:val="lrTb"/>
            <w:noWrap/>
          </w:tcPr>
          <w:p>
            <w:pPr>
              <w:pStyle w:val="1227"/>
              <w:spacing w:line="440" w:lineRule="exact"/>
              <w:rPr>
                <w:rFonts w:ascii="宋体" w:hAnsi="宋体"/>
                <w:color w:val="auto"/>
                <w:szCs w:val="21"/>
                <w:highlight w:val="none"/>
              </w:rPr>
            </w:pPr>
            <w:r>
              <w:rPr>
                <w:rFonts w:hint="eastAsia" w:cs="宋体"/>
                <w:color w:val="auto"/>
                <w:szCs w:val="21"/>
                <w:highlight w:val="none"/>
                <w:lang w:val="en-US" w:eastAsia="zh-CN"/>
              </w:rPr>
              <w:t xml:space="preserve">数字音频主机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2"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3" w:type="pct"/>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75"/>
        <w:ind w:left="0" w:firstLine="0"/>
        <w:rPr>
          <w:rFonts w:hint="eastAsia"/>
          <w:color w:val="auto"/>
          <w:highlight w:val="none"/>
          <w:lang w:val="en-US" w:eastAsia="zh-CN"/>
        </w:rPr>
      </w:pPr>
      <w:r>
        <w:rPr>
          <w:rFonts w:hint="eastAsia"/>
          <w:color w:val="auto"/>
          <w:highlight w:val="none"/>
        </w:rPr>
        <w:t xml:space="preserve">注：</w:t>
      </w:r>
      <w:r>
        <w:rPr>
          <w:rFonts w:hint="eastAsia"/>
          <w:color w:val="auto"/>
          <w:highlight w:val="none"/>
          <w:lang w:val="en-US" w:eastAsia="zh-CN"/>
        </w:rPr>
        <w:t xml:space="preserve">投标人应在本表中对照磋商文件技术要求逐项对应列出响应内容，并在“偏离说明”项下填写以下内容：优于的，填写“正偏离”；符合的，填写“无偏离”；低于的，填写“负偏离”。</w:t>
      </w:r>
      <w:r/>
    </w:p>
    <w:p>
      <w:pPr>
        <w:pStyle w:val="875"/>
        <w:ind w:left="0" w:firstLine="0"/>
        <w:rPr>
          <w:rFonts w:hint="eastAsia"/>
          <w:color w:val="auto"/>
          <w:highlight w:val="none"/>
          <w:lang w:val="en-US" w:eastAsia="zh-CN"/>
        </w:rPr>
      </w:pPr>
      <w:r>
        <w:rPr>
          <w:rFonts w:hint="eastAsia"/>
          <w:color w:val="auto"/>
          <w:highlight w:val="none"/>
          <w:lang w:val="en-US" w:eastAsia="zh-CN"/>
        </w:rPr>
        <w:t xml:space="preserve">以上表格内容不够的请自行添加。</w:t>
      </w:r>
      <w:r/>
    </w:p>
    <w:p>
      <w:pPr>
        <w:pStyle w:val="875"/>
        <w:ind w:left="0" w:firstLine="0"/>
        <w:rPr>
          <w:rFonts w:hint="eastAsia"/>
          <w:color w:val="auto"/>
          <w:highlight w:val="none"/>
          <w:lang w:val="en-US" w:eastAsia="zh-CN"/>
        </w:rPr>
      </w:pPr>
      <w:r>
        <w:rPr>
          <w:rFonts w:hint="eastAsia"/>
          <w:color w:val="auto"/>
          <w:highlight w:val="none"/>
          <w:lang w:val="en-US" w:eastAsia="zh-CN"/>
        </w:rPr>
      </w:r>
      <w:r/>
    </w:p>
    <w:p>
      <w:pPr>
        <w:pStyle w:val="875"/>
        <w:ind w:left="0" w:firstLine="0"/>
        <w:rPr>
          <w:rFonts w:hint="eastAsia"/>
          <w:color w:val="auto"/>
          <w:highlight w:val="none"/>
          <w:lang w:val="en-US" w:eastAsia="zh-CN"/>
        </w:rPr>
      </w:pPr>
      <w:r>
        <w:rPr>
          <w:rFonts w:hint="eastAsia"/>
          <w:color w:val="auto"/>
          <w:highlight w:val="none"/>
          <w:lang w:val="en-US" w:eastAsia="zh-CN"/>
        </w:rPr>
        <w:t xml:space="preserve">磋商响应单位：（单位盖章）</w:t>
      </w:r>
      <w:r/>
    </w:p>
    <w:p>
      <w:pPr>
        <w:pStyle w:val="875"/>
        <w:ind w:left="0" w:firstLine="0"/>
        <w:rPr>
          <w:rFonts w:hint="eastAsia"/>
          <w:color w:val="auto"/>
          <w:highlight w:val="none"/>
          <w:lang w:val="en-US" w:eastAsia="zh-CN"/>
        </w:rPr>
      </w:pPr>
      <w:r>
        <w:rPr>
          <w:rFonts w:hint="eastAsia"/>
          <w:color w:val="auto"/>
          <w:highlight w:val="none"/>
          <w:lang w:val="en-US" w:eastAsia="zh-CN"/>
        </w:rPr>
        <w:t xml:space="preserve">法定代表人或委托代理人：（签字或盖章）</w:t>
      </w:r>
      <w:r/>
    </w:p>
    <w:p>
      <w:pPr>
        <w:pStyle w:val="875"/>
        <w:ind w:left="0" w:firstLine="0"/>
        <w:rPr>
          <w:rFonts w:hint="eastAsia"/>
          <w:color w:val="auto"/>
          <w:highlight w:val="none"/>
          <w:lang w:val="en-US" w:eastAsia="zh-CN"/>
        </w:rPr>
      </w:pPr>
      <w:r>
        <w:rPr>
          <w:rFonts w:hint="eastAsia"/>
          <w:color w:val="auto"/>
          <w:highlight w:val="none"/>
          <w:lang w:val="en-US" w:eastAsia="zh-CN"/>
        </w:rPr>
        <w:t xml:space="preserve">日期：         年         月       日</w:t>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附件12：</w:t>
      </w:r>
      <w:r>
        <w:rPr>
          <w:rFonts w:hint="eastAsia" w:ascii="宋体" w:hAnsi="宋体" w:cs="宋体"/>
          <w:b/>
          <w:bCs/>
          <w:color w:val="auto"/>
          <w:szCs w:val="21"/>
          <w:highlight w:val="none"/>
        </w:rPr>
        <w:t xml:space="preserve">针对本项目的人员配置表</w:t>
      </w:r>
      <w:r/>
    </w:p>
    <w:p>
      <w:pPr>
        <w:jc w:val="center"/>
        <w:rPr>
          <w:rFonts w:ascii="宋体" w:hAnsi="宋体" w:cs="宋体"/>
          <w:b/>
          <w:bCs/>
          <w:color w:val="auto"/>
          <w:spacing w:val="20"/>
          <w:highlight w:val="none"/>
        </w:rPr>
      </w:pPr>
      <w:r>
        <w:rPr>
          <w:rFonts w:hint="eastAsia" w:ascii="宋体" w:hAnsi="宋体" w:cs="宋体"/>
          <w:b/>
          <w:bCs/>
          <w:color w:val="auto"/>
          <w:spacing w:val="20"/>
          <w:highlight w:val="none"/>
        </w:rPr>
        <w:t xml:space="preserve">（1）针对本项目的人员配置表</w:t>
      </w:r>
      <w:r/>
    </w:p>
    <w:p>
      <w:pPr>
        <w:rPr>
          <w:rFonts w:ascii="宋体" w:hAnsi="宋体" w:cs="宋体"/>
          <w:color w:val="auto"/>
          <w:szCs w:val="21"/>
          <w:highlight w:val="none"/>
        </w:rPr>
      </w:pP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项目名称：</w:t>
      </w:r>
      <w:r/>
    </w:p>
    <w:tbl>
      <w:tblPr>
        <w:tblStyle w:val="874"/>
        <w:tblW w:w="9218"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3"/>
        <w:gridCol w:w="1119"/>
        <w:gridCol w:w="1005"/>
        <w:gridCol w:w="716"/>
        <w:gridCol w:w="760"/>
        <w:gridCol w:w="718"/>
        <w:gridCol w:w="1319"/>
        <w:gridCol w:w="1186"/>
        <w:gridCol w:w="1422"/>
      </w:tblGrid>
      <w:tr>
        <w:trPr>
          <w:trHeight w:val="803"/>
        </w:trPr>
        <w:tc>
          <w:tcPr>
            <w:tcW w:w="973" w:type="dxa"/>
            <w:textDirection w:val="lrTb"/>
            <w:noWrap w:val="false"/>
          </w:tcPr>
          <w:p>
            <w:pPr>
              <w:pStyle w:val="1197"/>
              <w:ind w:left="175" w:right="172"/>
              <w:jc w:val="center"/>
              <w:rPr>
                <w:rFonts w:hint="eastAsia"/>
                <w:color w:val="auto"/>
                <w:highlight w:val="none"/>
              </w:rPr>
            </w:pPr>
            <w:r>
              <w:rPr>
                <w:rFonts w:hint="eastAsia"/>
                <w:color w:val="auto"/>
                <w:highlight w:val="none"/>
              </w:rPr>
            </w:r>
            <w:r/>
          </w:p>
          <w:p>
            <w:pPr>
              <w:pStyle w:val="1197"/>
              <w:ind w:left="175" w:right="172"/>
              <w:jc w:val="center"/>
              <w:rPr>
                <w:color w:val="auto"/>
                <w:highlight w:val="none"/>
              </w:rPr>
            </w:pPr>
            <w:r>
              <w:rPr>
                <w:rFonts w:hint="eastAsia"/>
                <w:color w:val="auto"/>
                <w:highlight w:val="none"/>
              </w:rPr>
              <w:t xml:space="preserve">序号</w:t>
            </w:r>
            <w:r/>
          </w:p>
        </w:tc>
        <w:tc>
          <w:tcPr>
            <w:tcW w:w="1119" w:type="dxa"/>
            <w:textDirection w:val="lrTb"/>
            <w:noWrap w:val="false"/>
          </w:tcPr>
          <w:p>
            <w:pPr>
              <w:pStyle w:val="1197"/>
              <w:ind w:left="433" w:right="106" w:hanging="315"/>
              <w:spacing w:before="134" w:line="278" w:lineRule="auto"/>
              <w:rPr>
                <w:rFonts w:hint="eastAsia"/>
                <w:color w:val="auto"/>
                <w:highlight w:val="none"/>
              </w:rPr>
            </w:pPr>
            <w:r>
              <w:rPr>
                <w:rFonts w:hint="eastAsia"/>
                <w:color w:val="auto"/>
                <w:highlight w:val="none"/>
              </w:rPr>
              <w:t xml:space="preserve">项目组所</w:t>
            </w:r>
            <w:r/>
          </w:p>
          <w:p>
            <w:pPr>
              <w:pStyle w:val="1197"/>
              <w:ind w:left="433" w:right="106" w:hanging="315"/>
              <w:spacing w:before="134" w:line="278" w:lineRule="auto"/>
              <w:rPr>
                <w:color w:val="auto"/>
                <w:highlight w:val="none"/>
              </w:rPr>
            </w:pPr>
            <w:r>
              <w:rPr>
                <w:rFonts w:hint="eastAsia"/>
                <w:color w:val="auto"/>
                <w:highlight w:val="none"/>
              </w:rPr>
              <w:t xml:space="preserve">任职务</w:t>
            </w:r>
            <w:r/>
          </w:p>
        </w:tc>
        <w:tc>
          <w:tcPr>
            <w:tcW w:w="1005" w:type="dxa"/>
            <w:textDirection w:val="lrTb"/>
            <w:noWrap w:val="false"/>
          </w:tcPr>
          <w:p>
            <w:pPr>
              <w:pStyle w:val="1197"/>
              <w:spacing w:before="8"/>
              <w:rPr>
                <w:b/>
                <w:color w:val="auto"/>
                <w:highlight w:val="none"/>
              </w:rPr>
            </w:pPr>
            <w:r>
              <w:rPr>
                <w:b/>
                <w:color w:val="auto"/>
                <w:highlight w:val="none"/>
              </w:rPr>
            </w:r>
            <w:r/>
          </w:p>
          <w:p>
            <w:pPr>
              <w:pStyle w:val="1197"/>
              <w:ind w:left="366"/>
              <w:rPr>
                <w:color w:val="auto"/>
                <w:highlight w:val="none"/>
              </w:rPr>
            </w:pPr>
            <w:r>
              <w:rPr>
                <w:rFonts w:hint="eastAsia"/>
                <w:color w:val="auto"/>
                <w:highlight w:val="none"/>
              </w:rPr>
              <w:t xml:space="preserve">姓名</w:t>
            </w:r>
            <w:r/>
          </w:p>
        </w:tc>
        <w:tc>
          <w:tcPr>
            <w:tcW w:w="716" w:type="dxa"/>
            <w:textDirection w:val="lrTb"/>
            <w:noWrap w:val="false"/>
          </w:tcPr>
          <w:p>
            <w:pPr>
              <w:pStyle w:val="1197"/>
              <w:spacing w:before="8"/>
              <w:rPr>
                <w:b/>
                <w:color w:val="auto"/>
                <w:highlight w:val="none"/>
              </w:rPr>
            </w:pPr>
            <w:r>
              <w:rPr>
                <w:b/>
                <w:color w:val="auto"/>
                <w:highlight w:val="none"/>
              </w:rPr>
            </w:r>
            <w:r/>
          </w:p>
          <w:p>
            <w:pPr>
              <w:pStyle w:val="1197"/>
              <w:ind w:left="200"/>
              <w:rPr>
                <w:color w:val="auto"/>
                <w:highlight w:val="none"/>
              </w:rPr>
            </w:pPr>
            <w:r>
              <w:rPr>
                <w:rFonts w:hint="eastAsia"/>
                <w:color w:val="auto"/>
                <w:highlight w:val="none"/>
              </w:rPr>
              <w:t xml:space="preserve">性别</w:t>
            </w:r>
            <w:r/>
          </w:p>
        </w:tc>
        <w:tc>
          <w:tcPr>
            <w:tcW w:w="760" w:type="dxa"/>
            <w:textDirection w:val="lrTb"/>
            <w:noWrap w:val="false"/>
          </w:tcPr>
          <w:p>
            <w:pPr>
              <w:pStyle w:val="1197"/>
              <w:spacing w:before="8"/>
              <w:rPr>
                <w:b/>
                <w:color w:val="auto"/>
                <w:highlight w:val="none"/>
              </w:rPr>
            </w:pPr>
            <w:r>
              <w:rPr>
                <w:b/>
                <w:color w:val="auto"/>
                <w:highlight w:val="none"/>
              </w:rPr>
            </w:r>
            <w:r/>
          </w:p>
          <w:p>
            <w:pPr>
              <w:pStyle w:val="1197"/>
              <w:ind w:left="226"/>
              <w:rPr>
                <w:color w:val="auto"/>
                <w:highlight w:val="none"/>
              </w:rPr>
            </w:pPr>
            <w:r>
              <w:rPr>
                <w:rFonts w:hint="eastAsia"/>
                <w:color w:val="auto"/>
                <w:highlight w:val="none"/>
              </w:rPr>
              <w:t xml:space="preserve">年龄</w:t>
            </w:r>
            <w:r/>
          </w:p>
        </w:tc>
        <w:tc>
          <w:tcPr>
            <w:tcW w:w="718" w:type="dxa"/>
            <w:textDirection w:val="lrTb"/>
            <w:noWrap w:val="false"/>
          </w:tcPr>
          <w:p>
            <w:pPr>
              <w:pStyle w:val="1197"/>
              <w:spacing w:before="8"/>
              <w:rPr>
                <w:b/>
                <w:color w:val="auto"/>
                <w:highlight w:val="none"/>
              </w:rPr>
            </w:pPr>
            <w:r>
              <w:rPr>
                <w:b/>
                <w:color w:val="auto"/>
                <w:highlight w:val="none"/>
              </w:rPr>
            </w:r>
            <w:r/>
          </w:p>
          <w:p>
            <w:pPr>
              <w:pStyle w:val="1197"/>
              <w:ind w:left="200"/>
              <w:rPr>
                <w:color w:val="auto"/>
                <w:highlight w:val="none"/>
              </w:rPr>
            </w:pPr>
            <w:r>
              <w:rPr>
                <w:rFonts w:hint="eastAsia"/>
                <w:color w:val="auto"/>
                <w:highlight w:val="none"/>
              </w:rPr>
              <w:t xml:space="preserve">职称</w:t>
            </w:r>
            <w:r/>
          </w:p>
        </w:tc>
        <w:tc>
          <w:tcPr>
            <w:tcW w:w="1319" w:type="dxa"/>
            <w:textDirection w:val="lrTb"/>
            <w:noWrap w:val="false"/>
          </w:tcPr>
          <w:p>
            <w:pPr>
              <w:pStyle w:val="1197"/>
              <w:spacing w:before="8"/>
              <w:rPr>
                <w:b/>
                <w:color w:val="auto"/>
                <w:highlight w:val="none"/>
              </w:rPr>
            </w:pPr>
            <w:r>
              <w:rPr>
                <w:b/>
                <w:color w:val="auto"/>
                <w:highlight w:val="none"/>
              </w:rPr>
            </w:r>
            <w:r/>
          </w:p>
          <w:p>
            <w:pPr>
              <w:pStyle w:val="1197"/>
              <w:rPr>
                <w:color w:val="auto"/>
                <w:highlight w:val="none"/>
              </w:rPr>
            </w:pPr>
            <w:r>
              <w:rPr>
                <w:rFonts w:hint="eastAsia"/>
                <w:color w:val="auto"/>
                <w:highlight w:val="none"/>
              </w:rPr>
              <w:t xml:space="preserve">专业/资格</w:t>
            </w:r>
            <w:r/>
          </w:p>
        </w:tc>
        <w:tc>
          <w:tcPr>
            <w:tcW w:w="1186" w:type="dxa"/>
            <w:textDirection w:val="lrTb"/>
            <w:noWrap w:val="false"/>
          </w:tcPr>
          <w:p>
            <w:pPr>
              <w:pStyle w:val="1197"/>
              <w:ind w:left="469" w:right="146" w:hanging="315"/>
              <w:spacing w:before="134" w:line="278" w:lineRule="auto"/>
              <w:rPr>
                <w:rFonts w:hint="eastAsia"/>
                <w:color w:val="auto"/>
                <w:highlight w:val="none"/>
              </w:rPr>
            </w:pPr>
            <w:r>
              <w:rPr>
                <w:rFonts w:hint="eastAsia"/>
                <w:color w:val="auto"/>
                <w:highlight w:val="none"/>
              </w:rPr>
              <w:t xml:space="preserve">从事本工</w:t>
            </w:r>
            <w:r/>
          </w:p>
          <w:p>
            <w:pPr>
              <w:pStyle w:val="1197"/>
              <w:ind w:left="469" w:right="146" w:hanging="315"/>
              <w:spacing w:before="134" w:line="278" w:lineRule="auto"/>
              <w:rPr>
                <w:color w:val="auto"/>
                <w:highlight w:val="none"/>
              </w:rPr>
            </w:pPr>
            <w:r>
              <w:rPr>
                <w:rFonts w:hint="eastAsia"/>
                <w:color w:val="auto"/>
                <w:highlight w:val="none"/>
              </w:rPr>
              <w:t xml:space="preserve">作时间</w:t>
            </w:r>
            <w:r/>
          </w:p>
        </w:tc>
        <w:tc>
          <w:tcPr>
            <w:tcW w:w="1422" w:type="dxa"/>
            <w:textDirection w:val="lrTb"/>
            <w:noWrap w:val="false"/>
          </w:tcPr>
          <w:p>
            <w:pPr>
              <w:pStyle w:val="1197"/>
              <w:ind w:right="280"/>
              <w:spacing w:before="134" w:line="278" w:lineRule="auto"/>
              <w:rPr>
                <w:color w:val="auto"/>
                <w:highlight w:val="none"/>
              </w:rPr>
            </w:pPr>
            <w:r>
              <w:rPr>
                <w:rFonts w:hint="eastAsia"/>
                <w:color w:val="auto"/>
                <w:highlight w:val="none"/>
              </w:rPr>
              <w:t xml:space="preserve">典型业务与技术专长</w:t>
            </w:r>
            <w:r/>
          </w:p>
        </w:tc>
      </w:tr>
      <w:tr>
        <w:trPr>
          <w:trHeight w:val="539"/>
        </w:trPr>
        <w:tc>
          <w:tcPr>
            <w:tcW w:w="973" w:type="dxa"/>
            <w:textDirection w:val="lrTb"/>
            <w:noWrap w:val="false"/>
          </w:tcPr>
          <w:p>
            <w:pPr>
              <w:pStyle w:val="1197"/>
              <w:ind w:left="7"/>
              <w:jc w:val="center"/>
              <w:spacing w:before="163"/>
              <w:rPr>
                <w:color w:val="auto"/>
                <w:highlight w:val="none"/>
              </w:rPr>
            </w:pPr>
            <w:r>
              <w:rPr>
                <w:rFonts w:hint="eastAsia"/>
                <w:color w:val="auto"/>
                <w:highlight w:val="none"/>
              </w:rPr>
              <w:t xml:space="preserve">1</w:t>
            </w:r>
            <w:r/>
          </w:p>
        </w:tc>
        <w:tc>
          <w:tcPr>
            <w:tcW w:w="1119" w:type="dxa"/>
            <w:textDirection w:val="lrTb"/>
            <w:noWrap w:val="false"/>
          </w:tcPr>
          <w:p>
            <w:pPr>
              <w:pStyle w:val="1197"/>
              <w:rPr>
                <w:color w:val="auto"/>
                <w:sz w:val="20"/>
                <w:highlight w:val="none"/>
              </w:rPr>
            </w:pPr>
            <w:r>
              <w:rPr>
                <w:color w:val="auto"/>
                <w:sz w:val="20"/>
                <w:highlight w:val="none"/>
              </w:rPr>
            </w:r>
            <w:r/>
          </w:p>
        </w:tc>
        <w:tc>
          <w:tcPr>
            <w:tcW w:w="1005" w:type="dxa"/>
            <w:textDirection w:val="lrTb"/>
            <w:noWrap w:val="false"/>
          </w:tcPr>
          <w:p>
            <w:pPr>
              <w:pStyle w:val="1197"/>
              <w:rPr>
                <w:color w:val="auto"/>
                <w:sz w:val="20"/>
                <w:highlight w:val="none"/>
              </w:rPr>
            </w:pPr>
            <w:r>
              <w:rPr>
                <w:color w:val="auto"/>
                <w:sz w:val="20"/>
                <w:highlight w:val="none"/>
              </w:rPr>
            </w:r>
            <w:r/>
          </w:p>
        </w:tc>
        <w:tc>
          <w:tcPr>
            <w:tcW w:w="716" w:type="dxa"/>
            <w:textDirection w:val="lrTb"/>
            <w:noWrap w:val="false"/>
          </w:tcPr>
          <w:p>
            <w:pPr>
              <w:pStyle w:val="1197"/>
              <w:rPr>
                <w:color w:val="auto"/>
                <w:sz w:val="20"/>
                <w:highlight w:val="none"/>
              </w:rPr>
            </w:pPr>
            <w:r>
              <w:rPr>
                <w:color w:val="auto"/>
                <w:sz w:val="20"/>
                <w:highlight w:val="none"/>
              </w:rPr>
            </w:r>
            <w:r/>
          </w:p>
        </w:tc>
        <w:tc>
          <w:tcPr>
            <w:tcW w:w="760" w:type="dxa"/>
            <w:textDirection w:val="lrTb"/>
            <w:noWrap w:val="false"/>
          </w:tcPr>
          <w:p>
            <w:pPr>
              <w:pStyle w:val="1197"/>
              <w:rPr>
                <w:color w:val="auto"/>
                <w:sz w:val="20"/>
                <w:highlight w:val="none"/>
              </w:rPr>
            </w:pPr>
            <w:r>
              <w:rPr>
                <w:color w:val="auto"/>
                <w:sz w:val="20"/>
                <w:highlight w:val="none"/>
              </w:rPr>
            </w:r>
            <w:r/>
          </w:p>
        </w:tc>
        <w:tc>
          <w:tcPr>
            <w:tcW w:w="718" w:type="dxa"/>
            <w:textDirection w:val="lrTb"/>
            <w:noWrap w:val="false"/>
          </w:tcPr>
          <w:p>
            <w:pPr>
              <w:pStyle w:val="1197"/>
              <w:rPr>
                <w:color w:val="auto"/>
                <w:sz w:val="20"/>
                <w:highlight w:val="none"/>
              </w:rPr>
            </w:pPr>
            <w:r>
              <w:rPr>
                <w:color w:val="auto"/>
                <w:sz w:val="20"/>
                <w:highlight w:val="none"/>
              </w:rPr>
            </w:r>
            <w:r/>
          </w:p>
        </w:tc>
        <w:tc>
          <w:tcPr>
            <w:tcW w:w="1319" w:type="dxa"/>
            <w:textDirection w:val="lrTb"/>
            <w:noWrap w:val="false"/>
          </w:tcPr>
          <w:p>
            <w:pPr>
              <w:pStyle w:val="1197"/>
              <w:rPr>
                <w:color w:val="auto"/>
                <w:sz w:val="20"/>
                <w:highlight w:val="none"/>
              </w:rPr>
            </w:pPr>
            <w:r>
              <w:rPr>
                <w:color w:val="auto"/>
                <w:sz w:val="20"/>
                <w:highlight w:val="none"/>
              </w:rPr>
            </w:r>
            <w:r/>
          </w:p>
        </w:tc>
        <w:tc>
          <w:tcPr>
            <w:tcW w:w="1186" w:type="dxa"/>
            <w:textDirection w:val="lrTb"/>
            <w:noWrap w:val="false"/>
          </w:tcPr>
          <w:p>
            <w:pPr>
              <w:pStyle w:val="1197"/>
              <w:rPr>
                <w:color w:val="auto"/>
                <w:sz w:val="20"/>
                <w:highlight w:val="none"/>
              </w:rPr>
            </w:pPr>
            <w:r>
              <w:rPr>
                <w:color w:val="auto"/>
                <w:sz w:val="20"/>
                <w:highlight w:val="none"/>
              </w:rPr>
            </w:r>
            <w:r/>
          </w:p>
        </w:tc>
        <w:tc>
          <w:tcPr>
            <w:tcW w:w="1422" w:type="dxa"/>
            <w:textDirection w:val="lrTb"/>
            <w:noWrap w:val="false"/>
          </w:tcPr>
          <w:p>
            <w:pPr>
              <w:pStyle w:val="1197"/>
              <w:rPr>
                <w:color w:val="auto"/>
                <w:sz w:val="20"/>
                <w:highlight w:val="none"/>
              </w:rPr>
            </w:pPr>
            <w:r>
              <w:rPr>
                <w:color w:val="auto"/>
                <w:sz w:val="20"/>
                <w:highlight w:val="none"/>
              </w:rPr>
            </w:r>
            <w:r/>
          </w:p>
        </w:tc>
      </w:tr>
      <w:tr>
        <w:trPr>
          <w:trHeight w:val="539"/>
        </w:trPr>
        <w:tc>
          <w:tcPr>
            <w:tcW w:w="973" w:type="dxa"/>
            <w:textDirection w:val="lrTb"/>
            <w:noWrap w:val="false"/>
          </w:tcPr>
          <w:p>
            <w:pPr>
              <w:pStyle w:val="1197"/>
              <w:ind w:left="7"/>
              <w:jc w:val="center"/>
              <w:spacing w:before="162"/>
              <w:rPr>
                <w:color w:val="auto"/>
                <w:highlight w:val="none"/>
              </w:rPr>
            </w:pPr>
            <w:r>
              <w:rPr>
                <w:rFonts w:hint="eastAsia"/>
                <w:color w:val="auto"/>
                <w:highlight w:val="none"/>
              </w:rPr>
              <w:t xml:space="preserve">2</w:t>
            </w:r>
            <w:r/>
          </w:p>
        </w:tc>
        <w:tc>
          <w:tcPr>
            <w:tcW w:w="1119" w:type="dxa"/>
            <w:textDirection w:val="lrTb"/>
            <w:noWrap w:val="false"/>
          </w:tcPr>
          <w:p>
            <w:pPr>
              <w:pStyle w:val="1197"/>
              <w:rPr>
                <w:color w:val="auto"/>
                <w:sz w:val="20"/>
                <w:highlight w:val="none"/>
              </w:rPr>
            </w:pPr>
            <w:r>
              <w:rPr>
                <w:color w:val="auto"/>
                <w:sz w:val="20"/>
                <w:highlight w:val="none"/>
              </w:rPr>
            </w:r>
            <w:r/>
          </w:p>
        </w:tc>
        <w:tc>
          <w:tcPr>
            <w:tcW w:w="1005" w:type="dxa"/>
            <w:textDirection w:val="lrTb"/>
            <w:noWrap w:val="false"/>
          </w:tcPr>
          <w:p>
            <w:pPr>
              <w:pStyle w:val="1197"/>
              <w:rPr>
                <w:color w:val="auto"/>
                <w:sz w:val="20"/>
                <w:highlight w:val="none"/>
              </w:rPr>
            </w:pPr>
            <w:r>
              <w:rPr>
                <w:color w:val="auto"/>
                <w:sz w:val="20"/>
                <w:highlight w:val="none"/>
              </w:rPr>
            </w:r>
            <w:r/>
          </w:p>
        </w:tc>
        <w:tc>
          <w:tcPr>
            <w:tcW w:w="716" w:type="dxa"/>
            <w:textDirection w:val="lrTb"/>
            <w:noWrap w:val="false"/>
          </w:tcPr>
          <w:p>
            <w:pPr>
              <w:pStyle w:val="1197"/>
              <w:rPr>
                <w:color w:val="auto"/>
                <w:sz w:val="20"/>
                <w:highlight w:val="none"/>
              </w:rPr>
            </w:pPr>
            <w:r>
              <w:rPr>
                <w:color w:val="auto"/>
                <w:sz w:val="20"/>
                <w:highlight w:val="none"/>
              </w:rPr>
            </w:r>
            <w:r/>
          </w:p>
        </w:tc>
        <w:tc>
          <w:tcPr>
            <w:tcW w:w="760" w:type="dxa"/>
            <w:textDirection w:val="lrTb"/>
            <w:noWrap w:val="false"/>
          </w:tcPr>
          <w:p>
            <w:pPr>
              <w:pStyle w:val="1197"/>
              <w:rPr>
                <w:color w:val="auto"/>
                <w:sz w:val="20"/>
                <w:highlight w:val="none"/>
              </w:rPr>
            </w:pPr>
            <w:r>
              <w:rPr>
                <w:color w:val="auto"/>
                <w:sz w:val="20"/>
                <w:highlight w:val="none"/>
              </w:rPr>
            </w:r>
            <w:r/>
          </w:p>
        </w:tc>
        <w:tc>
          <w:tcPr>
            <w:tcW w:w="718" w:type="dxa"/>
            <w:textDirection w:val="lrTb"/>
            <w:noWrap w:val="false"/>
          </w:tcPr>
          <w:p>
            <w:pPr>
              <w:pStyle w:val="1197"/>
              <w:rPr>
                <w:color w:val="auto"/>
                <w:sz w:val="20"/>
                <w:highlight w:val="none"/>
              </w:rPr>
            </w:pPr>
            <w:r>
              <w:rPr>
                <w:color w:val="auto"/>
                <w:sz w:val="20"/>
                <w:highlight w:val="none"/>
              </w:rPr>
            </w:r>
            <w:r/>
          </w:p>
        </w:tc>
        <w:tc>
          <w:tcPr>
            <w:tcW w:w="1319" w:type="dxa"/>
            <w:textDirection w:val="lrTb"/>
            <w:noWrap w:val="false"/>
          </w:tcPr>
          <w:p>
            <w:pPr>
              <w:pStyle w:val="1197"/>
              <w:rPr>
                <w:color w:val="auto"/>
                <w:sz w:val="20"/>
                <w:highlight w:val="none"/>
              </w:rPr>
            </w:pPr>
            <w:r>
              <w:rPr>
                <w:color w:val="auto"/>
                <w:sz w:val="20"/>
                <w:highlight w:val="none"/>
              </w:rPr>
            </w:r>
            <w:r/>
          </w:p>
        </w:tc>
        <w:tc>
          <w:tcPr>
            <w:tcW w:w="1186" w:type="dxa"/>
            <w:textDirection w:val="lrTb"/>
            <w:noWrap w:val="false"/>
          </w:tcPr>
          <w:p>
            <w:pPr>
              <w:pStyle w:val="1197"/>
              <w:rPr>
                <w:color w:val="auto"/>
                <w:sz w:val="20"/>
                <w:highlight w:val="none"/>
              </w:rPr>
            </w:pPr>
            <w:r>
              <w:rPr>
                <w:color w:val="auto"/>
                <w:sz w:val="20"/>
                <w:highlight w:val="none"/>
              </w:rPr>
            </w:r>
            <w:r/>
          </w:p>
        </w:tc>
        <w:tc>
          <w:tcPr>
            <w:tcW w:w="1422" w:type="dxa"/>
            <w:textDirection w:val="lrTb"/>
            <w:noWrap w:val="false"/>
          </w:tcPr>
          <w:p>
            <w:pPr>
              <w:pStyle w:val="1197"/>
              <w:rPr>
                <w:color w:val="auto"/>
                <w:sz w:val="20"/>
                <w:highlight w:val="none"/>
              </w:rPr>
            </w:pPr>
            <w:r>
              <w:rPr>
                <w:color w:val="auto"/>
                <w:sz w:val="20"/>
                <w:highlight w:val="none"/>
              </w:rPr>
            </w:r>
            <w:r/>
          </w:p>
        </w:tc>
      </w:tr>
      <w:tr>
        <w:trPr>
          <w:trHeight w:val="539"/>
        </w:trPr>
        <w:tc>
          <w:tcPr>
            <w:tcW w:w="973" w:type="dxa"/>
            <w:textDirection w:val="lrTb"/>
            <w:noWrap w:val="false"/>
          </w:tcPr>
          <w:p>
            <w:pPr>
              <w:pStyle w:val="1197"/>
              <w:ind w:left="7"/>
              <w:jc w:val="center"/>
              <w:spacing w:before="161"/>
              <w:rPr>
                <w:color w:val="auto"/>
                <w:highlight w:val="none"/>
              </w:rPr>
            </w:pPr>
            <w:r>
              <w:rPr>
                <w:rFonts w:hint="eastAsia"/>
                <w:color w:val="auto"/>
                <w:highlight w:val="none"/>
              </w:rPr>
              <w:t xml:space="preserve">3</w:t>
            </w:r>
            <w:r/>
          </w:p>
        </w:tc>
        <w:tc>
          <w:tcPr>
            <w:tcW w:w="1119" w:type="dxa"/>
            <w:textDirection w:val="lrTb"/>
            <w:noWrap w:val="false"/>
          </w:tcPr>
          <w:p>
            <w:pPr>
              <w:pStyle w:val="1197"/>
              <w:rPr>
                <w:color w:val="auto"/>
                <w:sz w:val="20"/>
                <w:highlight w:val="none"/>
              </w:rPr>
            </w:pPr>
            <w:r>
              <w:rPr>
                <w:color w:val="auto"/>
                <w:sz w:val="20"/>
                <w:highlight w:val="none"/>
              </w:rPr>
            </w:r>
            <w:r/>
          </w:p>
        </w:tc>
        <w:tc>
          <w:tcPr>
            <w:tcW w:w="1005" w:type="dxa"/>
            <w:textDirection w:val="lrTb"/>
            <w:noWrap w:val="false"/>
          </w:tcPr>
          <w:p>
            <w:pPr>
              <w:pStyle w:val="1197"/>
              <w:rPr>
                <w:color w:val="auto"/>
                <w:sz w:val="20"/>
                <w:highlight w:val="none"/>
              </w:rPr>
            </w:pPr>
            <w:r>
              <w:rPr>
                <w:color w:val="auto"/>
                <w:sz w:val="20"/>
                <w:highlight w:val="none"/>
              </w:rPr>
            </w:r>
            <w:r/>
          </w:p>
        </w:tc>
        <w:tc>
          <w:tcPr>
            <w:tcW w:w="716" w:type="dxa"/>
            <w:textDirection w:val="lrTb"/>
            <w:noWrap w:val="false"/>
          </w:tcPr>
          <w:p>
            <w:pPr>
              <w:pStyle w:val="1197"/>
              <w:rPr>
                <w:color w:val="auto"/>
                <w:sz w:val="20"/>
                <w:highlight w:val="none"/>
              </w:rPr>
            </w:pPr>
            <w:r>
              <w:rPr>
                <w:color w:val="auto"/>
                <w:sz w:val="20"/>
                <w:highlight w:val="none"/>
              </w:rPr>
            </w:r>
            <w:r/>
          </w:p>
        </w:tc>
        <w:tc>
          <w:tcPr>
            <w:tcW w:w="760" w:type="dxa"/>
            <w:textDirection w:val="lrTb"/>
            <w:noWrap w:val="false"/>
          </w:tcPr>
          <w:p>
            <w:pPr>
              <w:pStyle w:val="1197"/>
              <w:rPr>
                <w:color w:val="auto"/>
                <w:sz w:val="20"/>
                <w:highlight w:val="none"/>
              </w:rPr>
            </w:pPr>
            <w:r>
              <w:rPr>
                <w:color w:val="auto"/>
                <w:sz w:val="20"/>
                <w:highlight w:val="none"/>
              </w:rPr>
            </w:r>
            <w:r/>
          </w:p>
        </w:tc>
        <w:tc>
          <w:tcPr>
            <w:tcW w:w="718" w:type="dxa"/>
            <w:textDirection w:val="lrTb"/>
            <w:noWrap w:val="false"/>
          </w:tcPr>
          <w:p>
            <w:pPr>
              <w:pStyle w:val="1197"/>
              <w:rPr>
                <w:color w:val="auto"/>
                <w:sz w:val="20"/>
                <w:highlight w:val="none"/>
              </w:rPr>
            </w:pPr>
            <w:r>
              <w:rPr>
                <w:color w:val="auto"/>
                <w:sz w:val="20"/>
                <w:highlight w:val="none"/>
              </w:rPr>
            </w:r>
            <w:r/>
          </w:p>
        </w:tc>
        <w:tc>
          <w:tcPr>
            <w:tcW w:w="1319" w:type="dxa"/>
            <w:textDirection w:val="lrTb"/>
            <w:noWrap w:val="false"/>
          </w:tcPr>
          <w:p>
            <w:pPr>
              <w:pStyle w:val="1197"/>
              <w:rPr>
                <w:color w:val="auto"/>
                <w:sz w:val="20"/>
                <w:highlight w:val="none"/>
              </w:rPr>
            </w:pPr>
            <w:r>
              <w:rPr>
                <w:color w:val="auto"/>
                <w:sz w:val="20"/>
                <w:highlight w:val="none"/>
              </w:rPr>
            </w:r>
            <w:r/>
          </w:p>
        </w:tc>
        <w:tc>
          <w:tcPr>
            <w:tcW w:w="1186" w:type="dxa"/>
            <w:textDirection w:val="lrTb"/>
            <w:noWrap w:val="false"/>
          </w:tcPr>
          <w:p>
            <w:pPr>
              <w:pStyle w:val="1197"/>
              <w:rPr>
                <w:color w:val="auto"/>
                <w:sz w:val="20"/>
                <w:highlight w:val="none"/>
              </w:rPr>
            </w:pPr>
            <w:r>
              <w:rPr>
                <w:color w:val="auto"/>
                <w:sz w:val="20"/>
                <w:highlight w:val="none"/>
              </w:rPr>
            </w:r>
            <w:r/>
          </w:p>
        </w:tc>
        <w:tc>
          <w:tcPr>
            <w:tcW w:w="1422" w:type="dxa"/>
            <w:textDirection w:val="lrTb"/>
            <w:noWrap w:val="false"/>
          </w:tcPr>
          <w:p>
            <w:pPr>
              <w:pStyle w:val="1197"/>
              <w:rPr>
                <w:color w:val="auto"/>
                <w:sz w:val="20"/>
                <w:highlight w:val="none"/>
              </w:rPr>
            </w:pPr>
            <w:r>
              <w:rPr>
                <w:color w:val="auto"/>
                <w:sz w:val="20"/>
                <w:highlight w:val="none"/>
              </w:rPr>
            </w:r>
            <w:r/>
          </w:p>
        </w:tc>
      </w:tr>
      <w:tr>
        <w:trPr>
          <w:trHeight w:val="538"/>
        </w:trPr>
        <w:tc>
          <w:tcPr>
            <w:tcW w:w="973" w:type="dxa"/>
            <w:textDirection w:val="lrTb"/>
            <w:noWrap w:val="false"/>
          </w:tcPr>
          <w:p>
            <w:pPr>
              <w:pStyle w:val="1197"/>
              <w:ind w:left="7"/>
              <w:jc w:val="center"/>
              <w:spacing w:before="162"/>
              <w:rPr>
                <w:color w:val="auto"/>
                <w:highlight w:val="none"/>
              </w:rPr>
            </w:pPr>
            <w:r>
              <w:rPr>
                <w:rFonts w:hint="eastAsia"/>
                <w:color w:val="auto"/>
                <w:highlight w:val="none"/>
              </w:rPr>
              <w:t xml:space="preserve">4</w:t>
            </w:r>
            <w:r/>
          </w:p>
        </w:tc>
        <w:tc>
          <w:tcPr>
            <w:tcW w:w="1119" w:type="dxa"/>
            <w:textDirection w:val="lrTb"/>
            <w:noWrap w:val="false"/>
          </w:tcPr>
          <w:p>
            <w:pPr>
              <w:pStyle w:val="1197"/>
              <w:rPr>
                <w:color w:val="auto"/>
                <w:sz w:val="20"/>
                <w:highlight w:val="none"/>
              </w:rPr>
            </w:pPr>
            <w:r>
              <w:rPr>
                <w:color w:val="auto"/>
                <w:sz w:val="20"/>
                <w:highlight w:val="none"/>
              </w:rPr>
            </w:r>
            <w:r/>
          </w:p>
        </w:tc>
        <w:tc>
          <w:tcPr>
            <w:tcW w:w="1005" w:type="dxa"/>
            <w:textDirection w:val="lrTb"/>
            <w:noWrap w:val="false"/>
          </w:tcPr>
          <w:p>
            <w:pPr>
              <w:pStyle w:val="1197"/>
              <w:rPr>
                <w:color w:val="auto"/>
                <w:sz w:val="20"/>
                <w:highlight w:val="none"/>
              </w:rPr>
            </w:pPr>
            <w:r>
              <w:rPr>
                <w:color w:val="auto"/>
                <w:sz w:val="20"/>
                <w:highlight w:val="none"/>
              </w:rPr>
            </w:r>
            <w:r/>
          </w:p>
        </w:tc>
        <w:tc>
          <w:tcPr>
            <w:tcW w:w="716" w:type="dxa"/>
            <w:textDirection w:val="lrTb"/>
            <w:noWrap w:val="false"/>
          </w:tcPr>
          <w:p>
            <w:pPr>
              <w:pStyle w:val="1197"/>
              <w:rPr>
                <w:color w:val="auto"/>
                <w:sz w:val="20"/>
                <w:highlight w:val="none"/>
              </w:rPr>
            </w:pPr>
            <w:r>
              <w:rPr>
                <w:color w:val="auto"/>
                <w:sz w:val="20"/>
                <w:highlight w:val="none"/>
              </w:rPr>
            </w:r>
            <w:r/>
          </w:p>
        </w:tc>
        <w:tc>
          <w:tcPr>
            <w:tcW w:w="760" w:type="dxa"/>
            <w:textDirection w:val="lrTb"/>
            <w:noWrap w:val="false"/>
          </w:tcPr>
          <w:p>
            <w:pPr>
              <w:pStyle w:val="1197"/>
              <w:rPr>
                <w:color w:val="auto"/>
                <w:sz w:val="20"/>
                <w:highlight w:val="none"/>
              </w:rPr>
            </w:pPr>
            <w:r>
              <w:rPr>
                <w:color w:val="auto"/>
                <w:sz w:val="20"/>
                <w:highlight w:val="none"/>
              </w:rPr>
            </w:r>
            <w:r/>
          </w:p>
        </w:tc>
        <w:tc>
          <w:tcPr>
            <w:tcW w:w="718" w:type="dxa"/>
            <w:textDirection w:val="lrTb"/>
            <w:noWrap w:val="false"/>
          </w:tcPr>
          <w:p>
            <w:pPr>
              <w:pStyle w:val="1197"/>
              <w:rPr>
                <w:color w:val="auto"/>
                <w:sz w:val="20"/>
                <w:highlight w:val="none"/>
              </w:rPr>
            </w:pPr>
            <w:r>
              <w:rPr>
                <w:color w:val="auto"/>
                <w:sz w:val="20"/>
                <w:highlight w:val="none"/>
              </w:rPr>
            </w:r>
            <w:r/>
          </w:p>
        </w:tc>
        <w:tc>
          <w:tcPr>
            <w:tcW w:w="1319" w:type="dxa"/>
            <w:textDirection w:val="lrTb"/>
            <w:noWrap w:val="false"/>
          </w:tcPr>
          <w:p>
            <w:pPr>
              <w:pStyle w:val="1197"/>
              <w:rPr>
                <w:color w:val="auto"/>
                <w:sz w:val="20"/>
                <w:highlight w:val="none"/>
              </w:rPr>
            </w:pPr>
            <w:r>
              <w:rPr>
                <w:color w:val="auto"/>
                <w:sz w:val="20"/>
                <w:highlight w:val="none"/>
              </w:rPr>
            </w:r>
            <w:r/>
          </w:p>
        </w:tc>
        <w:tc>
          <w:tcPr>
            <w:tcW w:w="1186" w:type="dxa"/>
            <w:textDirection w:val="lrTb"/>
            <w:noWrap w:val="false"/>
          </w:tcPr>
          <w:p>
            <w:pPr>
              <w:pStyle w:val="1197"/>
              <w:rPr>
                <w:color w:val="auto"/>
                <w:sz w:val="20"/>
                <w:highlight w:val="none"/>
              </w:rPr>
            </w:pPr>
            <w:r>
              <w:rPr>
                <w:color w:val="auto"/>
                <w:sz w:val="20"/>
                <w:highlight w:val="none"/>
              </w:rPr>
            </w:r>
            <w:r/>
          </w:p>
        </w:tc>
        <w:tc>
          <w:tcPr>
            <w:tcW w:w="1422" w:type="dxa"/>
            <w:textDirection w:val="lrTb"/>
            <w:noWrap w:val="false"/>
          </w:tcPr>
          <w:p>
            <w:pPr>
              <w:pStyle w:val="1197"/>
              <w:rPr>
                <w:color w:val="auto"/>
                <w:sz w:val="20"/>
                <w:highlight w:val="none"/>
              </w:rPr>
            </w:pPr>
            <w:r>
              <w:rPr>
                <w:color w:val="auto"/>
                <w:sz w:val="20"/>
                <w:highlight w:val="none"/>
              </w:rPr>
            </w:r>
            <w:r/>
          </w:p>
        </w:tc>
      </w:tr>
      <w:tr>
        <w:trPr>
          <w:trHeight w:val="539"/>
        </w:trPr>
        <w:tc>
          <w:tcPr>
            <w:tcW w:w="973" w:type="dxa"/>
            <w:textDirection w:val="lrTb"/>
            <w:noWrap w:val="false"/>
          </w:tcPr>
          <w:p>
            <w:pPr>
              <w:pStyle w:val="1197"/>
              <w:ind w:left="7"/>
              <w:jc w:val="center"/>
              <w:spacing w:before="161"/>
              <w:rPr>
                <w:color w:val="auto"/>
                <w:highlight w:val="none"/>
              </w:rPr>
            </w:pPr>
            <w:r>
              <w:rPr>
                <w:rFonts w:hint="eastAsia"/>
                <w:color w:val="auto"/>
                <w:highlight w:val="none"/>
              </w:rPr>
              <w:t xml:space="preserve">5</w:t>
            </w:r>
            <w:r/>
          </w:p>
        </w:tc>
        <w:tc>
          <w:tcPr>
            <w:tcW w:w="1119" w:type="dxa"/>
            <w:textDirection w:val="lrTb"/>
            <w:noWrap w:val="false"/>
          </w:tcPr>
          <w:p>
            <w:pPr>
              <w:pStyle w:val="1197"/>
              <w:rPr>
                <w:color w:val="auto"/>
                <w:sz w:val="20"/>
                <w:highlight w:val="none"/>
              </w:rPr>
            </w:pPr>
            <w:r>
              <w:rPr>
                <w:color w:val="auto"/>
                <w:sz w:val="20"/>
                <w:highlight w:val="none"/>
              </w:rPr>
            </w:r>
            <w:r/>
          </w:p>
        </w:tc>
        <w:tc>
          <w:tcPr>
            <w:tcW w:w="1005" w:type="dxa"/>
            <w:textDirection w:val="lrTb"/>
            <w:noWrap w:val="false"/>
          </w:tcPr>
          <w:p>
            <w:pPr>
              <w:pStyle w:val="1197"/>
              <w:rPr>
                <w:color w:val="auto"/>
                <w:sz w:val="20"/>
                <w:highlight w:val="none"/>
              </w:rPr>
            </w:pPr>
            <w:r>
              <w:rPr>
                <w:color w:val="auto"/>
                <w:sz w:val="20"/>
                <w:highlight w:val="none"/>
              </w:rPr>
            </w:r>
            <w:r/>
          </w:p>
        </w:tc>
        <w:tc>
          <w:tcPr>
            <w:tcW w:w="716" w:type="dxa"/>
            <w:textDirection w:val="lrTb"/>
            <w:noWrap w:val="false"/>
          </w:tcPr>
          <w:p>
            <w:pPr>
              <w:pStyle w:val="1197"/>
              <w:rPr>
                <w:color w:val="auto"/>
                <w:sz w:val="20"/>
                <w:highlight w:val="none"/>
              </w:rPr>
            </w:pPr>
            <w:r>
              <w:rPr>
                <w:color w:val="auto"/>
                <w:sz w:val="20"/>
                <w:highlight w:val="none"/>
              </w:rPr>
            </w:r>
            <w:r/>
          </w:p>
        </w:tc>
        <w:tc>
          <w:tcPr>
            <w:tcW w:w="760" w:type="dxa"/>
            <w:textDirection w:val="lrTb"/>
            <w:noWrap w:val="false"/>
          </w:tcPr>
          <w:p>
            <w:pPr>
              <w:pStyle w:val="1197"/>
              <w:rPr>
                <w:color w:val="auto"/>
                <w:sz w:val="20"/>
                <w:highlight w:val="none"/>
              </w:rPr>
            </w:pPr>
            <w:r>
              <w:rPr>
                <w:color w:val="auto"/>
                <w:sz w:val="20"/>
                <w:highlight w:val="none"/>
              </w:rPr>
            </w:r>
            <w:r/>
          </w:p>
        </w:tc>
        <w:tc>
          <w:tcPr>
            <w:tcW w:w="718" w:type="dxa"/>
            <w:textDirection w:val="lrTb"/>
            <w:noWrap w:val="false"/>
          </w:tcPr>
          <w:p>
            <w:pPr>
              <w:pStyle w:val="1197"/>
              <w:rPr>
                <w:color w:val="auto"/>
                <w:sz w:val="20"/>
                <w:highlight w:val="none"/>
              </w:rPr>
            </w:pPr>
            <w:r>
              <w:rPr>
                <w:color w:val="auto"/>
                <w:sz w:val="20"/>
                <w:highlight w:val="none"/>
              </w:rPr>
            </w:r>
            <w:r/>
          </w:p>
        </w:tc>
        <w:tc>
          <w:tcPr>
            <w:tcW w:w="1319" w:type="dxa"/>
            <w:textDirection w:val="lrTb"/>
            <w:noWrap w:val="false"/>
          </w:tcPr>
          <w:p>
            <w:pPr>
              <w:pStyle w:val="1197"/>
              <w:rPr>
                <w:color w:val="auto"/>
                <w:sz w:val="20"/>
                <w:highlight w:val="none"/>
              </w:rPr>
            </w:pPr>
            <w:r>
              <w:rPr>
                <w:color w:val="auto"/>
                <w:sz w:val="20"/>
                <w:highlight w:val="none"/>
              </w:rPr>
            </w:r>
            <w:r/>
          </w:p>
        </w:tc>
        <w:tc>
          <w:tcPr>
            <w:tcW w:w="1186" w:type="dxa"/>
            <w:textDirection w:val="lrTb"/>
            <w:noWrap w:val="false"/>
          </w:tcPr>
          <w:p>
            <w:pPr>
              <w:pStyle w:val="1197"/>
              <w:rPr>
                <w:color w:val="auto"/>
                <w:sz w:val="20"/>
                <w:highlight w:val="none"/>
              </w:rPr>
            </w:pPr>
            <w:r>
              <w:rPr>
                <w:color w:val="auto"/>
                <w:sz w:val="20"/>
                <w:highlight w:val="none"/>
              </w:rPr>
            </w:r>
            <w:r/>
          </w:p>
        </w:tc>
        <w:tc>
          <w:tcPr>
            <w:tcW w:w="1422" w:type="dxa"/>
            <w:textDirection w:val="lrTb"/>
            <w:noWrap w:val="false"/>
          </w:tcPr>
          <w:p>
            <w:pPr>
              <w:pStyle w:val="1197"/>
              <w:rPr>
                <w:color w:val="auto"/>
                <w:sz w:val="20"/>
                <w:highlight w:val="none"/>
              </w:rPr>
            </w:pPr>
            <w:r>
              <w:rPr>
                <w:color w:val="auto"/>
                <w:sz w:val="20"/>
                <w:highlight w:val="none"/>
              </w:rPr>
            </w:r>
            <w:r/>
          </w:p>
        </w:tc>
      </w:tr>
      <w:tr>
        <w:trPr>
          <w:trHeight w:val="538"/>
        </w:trPr>
        <w:tc>
          <w:tcPr>
            <w:tcW w:w="973" w:type="dxa"/>
            <w:textDirection w:val="lrTb"/>
            <w:noWrap w:val="false"/>
          </w:tcPr>
          <w:p>
            <w:pPr>
              <w:pStyle w:val="1197"/>
              <w:ind w:left="7"/>
              <w:jc w:val="center"/>
              <w:spacing w:before="162"/>
              <w:rPr>
                <w:color w:val="auto"/>
                <w:highlight w:val="none"/>
              </w:rPr>
            </w:pPr>
            <w:r>
              <w:rPr>
                <w:rFonts w:hint="eastAsia"/>
                <w:color w:val="auto"/>
                <w:highlight w:val="none"/>
              </w:rPr>
              <w:t xml:space="preserve">6</w:t>
            </w:r>
            <w:r/>
          </w:p>
        </w:tc>
        <w:tc>
          <w:tcPr>
            <w:tcW w:w="1119" w:type="dxa"/>
            <w:textDirection w:val="lrTb"/>
            <w:noWrap w:val="false"/>
          </w:tcPr>
          <w:p>
            <w:pPr>
              <w:pStyle w:val="1197"/>
              <w:rPr>
                <w:color w:val="auto"/>
                <w:sz w:val="20"/>
                <w:highlight w:val="none"/>
              </w:rPr>
            </w:pPr>
            <w:r>
              <w:rPr>
                <w:color w:val="auto"/>
                <w:sz w:val="20"/>
                <w:highlight w:val="none"/>
              </w:rPr>
            </w:r>
            <w:r/>
          </w:p>
        </w:tc>
        <w:tc>
          <w:tcPr>
            <w:tcW w:w="1005" w:type="dxa"/>
            <w:textDirection w:val="lrTb"/>
            <w:noWrap w:val="false"/>
          </w:tcPr>
          <w:p>
            <w:pPr>
              <w:pStyle w:val="1197"/>
              <w:rPr>
                <w:color w:val="auto"/>
                <w:sz w:val="20"/>
                <w:highlight w:val="none"/>
              </w:rPr>
            </w:pPr>
            <w:r>
              <w:rPr>
                <w:color w:val="auto"/>
                <w:sz w:val="20"/>
                <w:highlight w:val="none"/>
              </w:rPr>
            </w:r>
            <w:r/>
          </w:p>
        </w:tc>
        <w:tc>
          <w:tcPr>
            <w:tcW w:w="716" w:type="dxa"/>
            <w:textDirection w:val="lrTb"/>
            <w:noWrap w:val="false"/>
          </w:tcPr>
          <w:p>
            <w:pPr>
              <w:pStyle w:val="1197"/>
              <w:rPr>
                <w:color w:val="auto"/>
                <w:sz w:val="20"/>
                <w:highlight w:val="none"/>
              </w:rPr>
            </w:pPr>
            <w:r>
              <w:rPr>
                <w:color w:val="auto"/>
                <w:sz w:val="20"/>
                <w:highlight w:val="none"/>
              </w:rPr>
            </w:r>
            <w:r/>
          </w:p>
        </w:tc>
        <w:tc>
          <w:tcPr>
            <w:tcW w:w="760" w:type="dxa"/>
            <w:textDirection w:val="lrTb"/>
            <w:noWrap w:val="false"/>
          </w:tcPr>
          <w:p>
            <w:pPr>
              <w:pStyle w:val="1197"/>
              <w:rPr>
                <w:color w:val="auto"/>
                <w:sz w:val="20"/>
                <w:highlight w:val="none"/>
              </w:rPr>
            </w:pPr>
            <w:r>
              <w:rPr>
                <w:color w:val="auto"/>
                <w:sz w:val="20"/>
                <w:highlight w:val="none"/>
              </w:rPr>
            </w:r>
            <w:r/>
          </w:p>
        </w:tc>
        <w:tc>
          <w:tcPr>
            <w:tcW w:w="718" w:type="dxa"/>
            <w:textDirection w:val="lrTb"/>
            <w:noWrap w:val="false"/>
          </w:tcPr>
          <w:p>
            <w:pPr>
              <w:pStyle w:val="1197"/>
              <w:rPr>
                <w:color w:val="auto"/>
                <w:sz w:val="20"/>
                <w:highlight w:val="none"/>
              </w:rPr>
            </w:pPr>
            <w:r>
              <w:rPr>
                <w:color w:val="auto"/>
                <w:sz w:val="20"/>
                <w:highlight w:val="none"/>
              </w:rPr>
            </w:r>
            <w:r/>
          </w:p>
        </w:tc>
        <w:tc>
          <w:tcPr>
            <w:tcW w:w="1319" w:type="dxa"/>
            <w:textDirection w:val="lrTb"/>
            <w:noWrap w:val="false"/>
          </w:tcPr>
          <w:p>
            <w:pPr>
              <w:pStyle w:val="1197"/>
              <w:rPr>
                <w:color w:val="auto"/>
                <w:sz w:val="20"/>
                <w:highlight w:val="none"/>
              </w:rPr>
            </w:pPr>
            <w:r>
              <w:rPr>
                <w:color w:val="auto"/>
                <w:sz w:val="20"/>
                <w:highlight w:val="none"/>
              </w:rPr>
            </w:r>
            <w:r/>
          </w:p>
        </w:tc>
        <w:tc>
          <w:tcPr>
            <w:tcW w:w="1186" w:type="dxa"/>
            <w:textDirection w:val="lrTb"/>
            <w:noWrap w:val="false"/>
          </w:tcPr>
          <w:p>
            <w:pPr>
              <w:pStyle w:val="1197"/>
              <w:rPr>
                <w:color w:val="auto"/>
                <w:sz w:val="20"/>
                <w:highlight w:val="none"/>
              </w:rPr>
            </w:pPr>
            <w:r>
              <w:rPr>
                <w:color w:val="auto"/>
                <w:sz w:val="20"/>
                <w:highlight w:val="none"/>
              </w:rPr>
            </w:r>
            <w:r/>
          </w:p>
        </w:tc>
        <w:tc>
          <w:tcPr>
            <w:tcW w:w="1422" w:type="dxa"/>
            <w:textDirection w:val="lrTb"/>
            <w:noWrap w:val="false"/>
          </w:tcPr>
          <w:p>
            <w:pPr>
              <w:pStyle w:val="1197"/>
              <w:rPr>
                <w:color w:val="auto"/>
                <w:sz w:val="20"/>
                <w:highlight w:val="none"/>
              </w:rPr>
            </w:pPr>
            <w:r>
              <w:rPr>
                <w:color w:val="auto"/>
                <w:sz w:val="20"/>
                <w:highlight w:val="none"/>
              </w:rPr>
            </w:r>
            <w:r/>
          </w:p>
        </w:tc>
      </w:tr>
      <w:tr>
        <w:trPr>
          <w:trHeight w:val="548"/>
        </w:trPr>
        <w:tc>
          <w:tcPr>
            <w:tcW w:w="973" w:type="dxa"/>
            <w:textDirection w:val="lrTb"/>
            <w:noWrap w:val="false"/>
          </w:tcPr>
          <w:p>
            <w:pPr>
              <w:pStyle w:val="1197"/>
              <w:ind w:left="6"/>
              <w:jc w:val="center"/>
              <w:spacing w:before="161"/>
              <w:rPr>
                <w:color w:val="auto"/>
                <w:highlight w:val="none"/>
              </w:rPr>
            </w:pPr>
            <w:r>
              <w:rPr>
                <w:rFonts w:hint="eastAsia"/>
                <w:color w:val="auto"/>
                <w:highlight w:val="none"/>
              </w:rPr>
              <w:t xml:space="preserve">…</w:t>
            </w:r>
            <w:r/>
          </w:p>
        </w:tc>
        <w:tc>
          <w:tcPr>
            <w:tcW w:w="1119" w:type="dxa"/>
            <w:textDirection w:val="lrTb"/>
            <w:noWrap w:val="false"/>
          </w:tcPr>
          <w:p>
            <w:pPr>
              <w:pStyle w:val="1197"/>
              <w:rPr>
                <w:color w:val="auto"/>
                <w:sz w:val="20"/>
                <w:highlight w:val="none"/>
              </w:rPr>
            </w:pPr>
            <w:r>
              <w:rPr>
                <w:color w:val="auto"/>
                <w:sz w:val="20"/>
                <w:highlight w:val="none"/>
              </w:rPr>
            </w:r>
            <w:r/>
          </w:p>
        </w:tc>
        <w:tc>
          <w:tcPr>
            <w:tcW w:w="1005" w:type="dxa"/>
            <w:textDirection w:val="lrTb"/>
            <w:noWrap w:val="false"/>
          </w:tcPr>
          <w:p>
            <w:pPr>
              <w:pStyle w:val="1197"/>
              <w:rPr>
                <w:color w:val="auto"/>
                <w:sz w:val="20"/>
                <w:highlight w:val="none"/>
              </w:rPr>
            </w:pPr>
            <w:r>
              <w:rPr>
                <w:color w:val="auto"/>
                <w:sz w:val="20"/>
                <w:highlight w:val="none"/>
              </w:rPr>
            </w:r>
            <w:r/>
          </w:p>
        </w:tc>
        <w:tc>
          <w:tcPr>
            <w:tcW w:w="716" w:type="dxa"/>
            <w:textDirection w:val="lrTb"/>
            <w:noWrap w:val="false"/>
          </w:tcPr>
          <w:p>
            <w:pPr>
              <w:pStyle w:val="1197"/>
              <w:rPr>
                <w:color w:val="auto"/>
                <w:sz w:val="20"/>
                <w:highlight w:val="none"/>
              </w:rPr>
            </w:pPr>
            <w:r>
              <w:rPr>
                <w:color w:val="auto"/>
                <w:sz w:val="20"/>
                <w:highlight w:val="none"/>
              </w:rPr>
            </w:r>
            <w:r/>
          </w:p>
        </w:tc>
        <w:tc>
          <w:tcPr>
            <w:tcW w:w="760" w:type="dxa"/>
            <w:textDirection w:val="lrTb"/>
            <w:noWrap w:val="false"/>
          </w:tcPr>
          <w:p>
            <w:pPr>
              <w:pStyle w:val="1197"/>
              <w:rPr>
                <w:color w:val="auto"/>
                <w:sz w:val="20"/>
                <w:highlight w:val="none"/>
              </w:rPr>
            </w:pPr>
            <w:r>
              <w:rPr>
                <w:color w:val="auto"/>
                <w:sz w:val="20"/>
                <w:highlight w:val="none"/>
              </w:rPr>
            </w:r>
            <w:r/>
          </w:p>
        </w:tc>
        <w:tc>
          <w:tcPr>
            <w:tcW w:w="718" w:type="dxa"/>
            <w:textDirection w:val="lrTb"/>
            <w:noWrap w:val="false"/>
          </w:tcPr>
          <w:p>
            <w:pPr>
              <w:pStyle w:val="1197"/>
              <w:rPr>
                <w:color w:val="auto"/>
                <w:sz w:val="20"/>
                <w:highlight w:val="none"/>
              </w:rPr>
            </w:pPr>
            <w:r>
              <w:rPr>
                <w:color w:val="auto"/>
                <w:sz w:val="20"/>
                <w:highlight w:val="none"/>
              </w:rPr>
            </w:r>
            <w:r/>
          </w:p>
        </w:tc>
        <w:tc>
          <w:tcPr>
            <w:tcW w:w="1319" w:type="dxa"/>
            <w:textDirection w:val="lrTb"/>
            <w:noWrap w:val="false"/>
          </w:tcPr>
          <w:p>
            <w:pPr>
              <w:pStyle w:val="1197"/>
              <w:rPr>
                <w:color w:val="auto"/>
                <w:sz w:val="20"/>
                <w:highlight w:val="none"/>
              </w:rPr>
            </w:pPr>
            <w:r>
              <w:rPr>
                <w:color w:val="auto"/>
                <w:sz w:val="20"/>
                <w:highlight w:val="none"/>
              </w:rPr>
            </w:r>
            <w:r/>
          </w:p>
        </w:tc>
        <w:tc>
          <w:tcPr>
            <w:tcW w:w="1186" w:type="dxa"/>
            <w:textDirection w:val="lrTb"/>
            <w:noWrap w:val="false"/>
          </w:tcPr>
          <w:p>
            <w:pPr>
              <w:pStyle w:val="1197"/>
              <w:rPr>
                <w:color w:val="auto"/>
                <w:sz w:val="20"/>
                <w:highlight w:val="none"/>
              </w:rPr>
            </w:pPr>
            <w:r>
              <w:rPr>
                <w:color w:val="auto"/>
                <w:sz w:val="20"/>
                <w:highlight w:val="none"/>
              </w:rPr>
            </w:r>
            <w:r/>
          </w:p>
        </w:tc>
        <w:tc>
          <w:tcPr>
            <w:tcW w:w="1422" w:type="dxa"/>
            <w:textDirection w:val="lrTb"/>
            <w:noWrap w:val="false"/>
          </w:tcPr>
          <w:p>
            <w:pPr>
              <w:pStyle w:val="1197"/>
              <w:rPr>
                <w:color w:val="auto"/>
                <w:sz w:val="20"/>
                <w:highlight w:val="none"/>
              </w:rPr>
            </w:pPr>
            <w:r>
              <w:rPr>
                <w:color w:val="auto"/>
                <w:sz w:val="20"/>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注：采购单位可参照上述格式自行设计表格投标。</w:t>
      </w:r>
      <w:r/>
    </w:p>
    <w:p>
      <w:pPr>
        <w:rPr>
          <w:rFonts w:ascii="宋体" w:hAnsi="宋体" w:cs="宋体"/>
          <w:color w:val="auto"/>
          <w:highlight w:val="none"/>
        </w:rPr>
      </w:pPr>
      <w:r>
        <w:rPr>
          <w:rFonts w:hint="eastAsia" w:ascii="宋体" w:hAnsi="宋体" w:cs="宋体"/>
          <w:color w:val="auto"/>
          <w:highlight w:val="none"/>
        </w:rPr>
        <w:t xml:space="preserve">磋商响应单位（盖章）：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日期：</w:t>
      </w:r>
      <w:r/>
    </w:p>
    <w:p>
      <w:pP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ind w:left="1254" w:right="1244"/>
        <w:jc w:val="center"/>
        <w:spacing w:before="81"/>
        <w:rPr>
          <w:rFonts w:ascii="宋体" w:hAnsi="宋体" w:cs="宋体"/>
          <w:b/>
          <w:color w:val="auto"/>
          <w:sz w:val="24"/>
          <w:highlight w:val="none"/>
        </w:rPr>
      </w:pPr>
      <w:r>
        <w:rPr>
          <w:rFonts w:hint="eastAsia" w:ascii="宋体" w:hAnsi="宋体" w:cs="宋体"/>
          <w:b/>
          <w:color w:val="auto"/>
          <w:highlight w:val="none"/>
        </w:rPr>
        <w:t xml:space="preserve">（2）</w:t>
      </w:r>
      <w:r>
        <w:rPr>
          <w:rFonts w:hint="eastAsia" w:ascii="宋体" w:hAnsi="宋体" w:cs="宋体"/>
          <w:b/>
          <w:color w:val="auto"/>
          <w:sz w:val="24"/>
          <w:highlight w:val="none"/>
        </w:rPr>
        <w:t xml:space="preserve">项目负责人情况一览表</w:t>
      </w:r>
      <w:r/>
    </w:p>
    <w:p>
      <w:pPr>
        <w:pStyle w:val="881"/>
        <w:rPr>
          <w:rFonts w:ascii="宋体" w:hAnsi="宋体" w:cs="宋体"/>
          <w:b/>
          <w:color w:val="auto"/>
          <w:sz w:val="20"/>
          <w:highlight w:val="none"/>
        </w:rPr>
      </w:pPr>
      <w:r>
        <w:rPr>
          <w:rFonts w:ascii="宋体" w:hAnsi="宋体" w:cs="宋体"/>
          <w:b/>
          <w:color w:val="auto"/>
          <w:sz w:val="20"/>
          <w:highlight w:val="none"/>
        </w:rPr>
      </w:r>
      <w:r/>
    </w:p>
    <w:tbl>
      <w:tblPr>
        <w:tblStyle w:val="874"/>
        <w:tblpPr w:horzAnchor="page" w:tblpX="1536" w:vertAnchor="text" w:tblpY="345"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851"/>
        <w:gridCol w:w="1329"/>
        <w:gridCol w:w="1065"/>
        <w:gridCol w:w="1083"/>
        <w:gridCol w:w="1254"/>
        <w:gridCol w:w="1818"/>
      </w:tblGrid>
      <w:tr>
        <w:trPr>
          <w:trHeight w:val="594"/>
        </w:trPr>
        <w:tc>
          <w:tcPr>
            <w:tcW w:w="628" w:type="dxa"/>
            <w:textDirection w:val="lrTb"/>
            <w:noWrap w:val="false"/>
          </w:tcPr>
          <w:p>
            <w:pPr>
              <w:pStyle w:val="1197"/>
              <w:ind w:left="261"/>
              <w:spacing w:before="161"/>
              <w:rPr>
                <w:color w:val="auto"/>
                <w:highlight w:val="none"/>
              </w:rPr>
            </w:pPr>
            <w:r>
              <w:rPr>
                <w:rFonts w:hint="eastAsia"/>
                <w:color w:val="auto"/>
                <w:highlight w:val="none"/>
              </w:rPr>
              <w:t xml:space="preserve">1</w:t>
            </w:r>
            <w:r/>
          </w:p>
        </w:tc>
        <w:tc>
          <w:tcPr>
            <w:tcW w:w="1851" w:type="dxa"/>
            <w:textDirection w:val="lrTb"/>
            <w:noWrap w:val="false"/>
          </w:tcPr>
          <w:p>
            <w:pPr>
              <w:pStyle w:val="1197"/>
              <w:ind w:left="11"/>
              <w:jc w:val="center"/>
              <w:spacing w:before="161"/>
              <w:tabs>
                <w:tab w:val="left" w:pos="851" w:leader="none"/>
              </w:tabs>
              <w:rPr>
                <w:color w:val="auto"/>
                <w:highlight w:val="none"/>
              </w:rPr>
            </w:pPr>
            <w:r>
              <w:rPr>
                <w:rFonts w:hint="eastAsia"/>
                <w:color w:val="auto"/>
                <w:highlight w:val="none"/>
              </w:rPr>
              <w:t xml:space="preserve">姓</w:t>
            </w:r>
            <w:r>
              <w:rPr>
                <w:rFonts w:hint="eastAsia"/>
                <w:color w:val="auto"/>
                <w:highlight w:val="none"/>
              </w:rPr>
              <w:tab/>
            </w:r>
            <w:r>
              <w:rPr>
                <w:rFonts w:hint="eastAsia"/>
                <w:color w:val="auto"/>
                <w:highlight w:val="none"/>
              </w:rPr>
              <w:t xml:space="preserve">名</w:t>
            </w:r>
            <w:r/>
          </w:p>
        </w:tc>
        <w:tc>
          <w:tcPr>
            <w:gridSpan w:val="2"/>
            <w:tcW w:w="2394" w:type="dxa"/>
            <w:textDirection w:val="lrTb"/>
            <w:noWrap w:val="false"/>
          </w:tcPr>
          <w:p>
            <w:pPr>
              <w:pStyle w:val="1197"/>
              <w:rPr>
                <w:color w:val="auto"/>
                <w:sz w:val="20"/>
                <w:highlight w:val="none"/>
              </w:rPr>
            </w:pPr>
            <w:r>
              <w:rPr>
                <w:color w:val="auto"/>
                <w:sz w:val="20"/>
                <w:highlight w:val="none"/>
              </w:rPr>
            </w:r>
            <w:r/>
          </w:p>
        </w:tc>
        <w:tc>
          <w:tcPr>
            <w:tcW w:w="1083" w:type="dxa"/>
            <w:textDirection w:val="lrTb"/>
            <w:noWrap w:val="false"/>
          </w:tcPr>
          <w:p>
            <w:pPr>
              <w:pStyle w:val="1197"/>
              <w:ind w:left="174"/>
              <w:spacing w:before="161"/>
              <w:tabs>
                <w:tab w:val="left" w:pos="699" w:leader="none"/>
              </w:tabs>
              <w:rPr>
                <w:color w:val="auto"/>
                <w:highlight w:val="none"/>
              </w:rPr>
            </w:pPr>
            <w:r>
              <w:rPr>
                <w:rFonts w:hint="eastAsia"/>
                <w:color w:val="auto"/>
                <w:highlight w:val="none"/>
              </w:rPr>
              <w:t xml:space="preserve">性</w:t>
            </w:r>
            <w:r>
              <w:rPr>
                <w:rFonts w:hint="eastAsia"/>
                <w:color w:val="auto"/>
                <w:highlight w:val="none"/>
              </w:rPr>
              <w:tab/>
            </w:r>
            <w:r>
              <w:rPr>
                <w:rFonts w:hint="eastAsia"/>
                <w:color w:val="auto"/>
                <w:highlight w:val="none"/>
              </w:rPr>
              <w:t xml:space="preserve">别</w:t>
            </w:r>
            <w:r/>
          </w:p>
        </w:tc>
        <w:tc>
          <w:tcPr>
            <w:gridSpan w:val="2"/>
            <w:tcW w:w="3072" w:type="dxa"/>
            <w:textDirection w:val="lrTb"/>
            <w:noWrap w:val="false"/>
          </w:tcPr>
          <w:p>
            <w:pPr>
              <w:pStyle w:val="1197"/>
              <w:rPr>
                <w:color w:val="auto"/>
                <w:sz w:val="20"/>
                <w:highlight w:val="none"/>
              </w:rPr>
            </w:pPr>
            <w:r>
              <w:rPr>
                <w:color w:val="auto"/>
                <w:sz w:val="20"/>
                <w:highlight w:val="none"/>
              </w:rPr>
            </w:r>
            <w:r/>
          </w:p>
        </w:tc>
      </w:tr>
      <w:tr>
        <w:trPr>
          <w:trHeight w:val="645"/>
        </w:trPr>
        <w:tc>
          <w:tcPr>
            <w:tcW w:w="628" w:type="dxa"/>
            <w:textDirection w:val="lrTb"/>
            <w:noWrap w:val="false"/>
          </w:tcPr>
          <w:p>
            <w:pPr>
              <w:pStyle w:val="1197"/>
              <w:spacing w:before="8"/>
              <w:rPr>
                <w:b/>
                <w:color w:val="auto"/>
                <w:sz w:val="14"/>
                <w:highlight w:val="none"/>
              </w:rPr>
            </w:pPr>
            <w:r>
              <w:rPr>
                <w:b/>
                <w:color w:val="auto"/>
                <w:sz w:val="14"/>
                <w:highlight w:val="none"/>
              </w:rPr>
            </w:r>
            <w:r/>
          </w:p>
          <w:p>
            <w:pPr>
              <w:pStyle w:val="1197"/>
              <w:ind w:left="261"/>
              <w:rPr>
                <w:color w:val="auto"/>
                <w:highlight w:val="none"/>
              </w:rPr>
            </w:pPr>
            <w:r>
              <w:rPr>
                <w:rFonts w:hint="eastAsia"/>
                <w:color w:val="auto"/>
                <w:highlight w:val="none"/>
              </w:rPr>
              <w:t xml:space="preserve">2</w:t>
            </w:r>
            <w:r/>
          </w:p>
        </w:tc>
        <w:tc>
          <w:tcPr>
            <w:tcW w:w="1851" w:type="dxa"/>
            <w:textDirection w:val="lrTb"/>
            <w:noWrap w:val="false"/>
          </w:tcPr>
          <w:p>
            <w:pPr>
              <w:pStyle w:val="1197"/>
              <w:spacing w:before="8"/>
              <w:rPr>
                <w:b/>
                <w:color w:val="auto"/>
                <w:sz w:val="14"/>
                <w:highlight w:val="none"/>
              </w:rPr>
            </w:pPr>
            <w:r>
              <w:rPr>
                <w:b/>
                <w:color w:val="auto"/>
                <w:sz w:val="14"/>
                <w:highlight w:val="none"/>
              </w:rPr>
            </w:r>
            <w:r/>
          </w:p>
          <w:p>
            <w:pPr>
              <w:pStyle w:val="1197"/>
              <w:ind w:left="11"/>
              <w:jc w:val="center"/>
              <w:rPr>
                <w:color w:val="auto"/>
                <w:highlight w:val="none"/>
              </w:rPr>
            </w:pPr>
            <w:r>
              <w:rPr>
                <w:rFonts w:hint="eastAsia"/>
                <w:color w:val="auto"/>
                <w:highlight w:val="none"/>
              </w:rPr>
              <w:t xml:space="preserve">身份证号码</w:t>
            </w:r>
            <w:r/>
          </w:p>
        </w:tc>
        <w:tc>
          <w:tcPr>
            <w:gridSpan w:val="3"/>
            <w:tcW w:w="3477" w:type="dxa"/>
            <w:textDirection w:val="lrTb"/>
            <w:noWrap w:val="false"/>
          </w:tcPr>
          <w:p>
            <w:pPr>
              <w:pStyle w:val="1197"/>
              <w:rPr>
                <w:color w:val="auto"/>
                <w:sz w:val="20"/>
                <w:highlight w:val="none"/>
              </w:rPr>
            </w:pPr>
            <w:r>
              <w:rPr>
                <w:color w:val="auto"/>
                <w:sz w:val="20"/>
                <w:highlight w:val="none"/>
              </w:rPr>
            </w:r>
            <w:r/>
          </w:p>
        </w:tc>
        <w:tc>
          <w:tcPr>
            <w:tcW w:w="1254" w:type="dxa"/>
            <w:textDirection w:val="lrTb"/>
            <w:noWrap w:val="false"/>
          </w:tcPr>
          <w:p>
            <w:pPr>
              <w:pStyle w:val="1197"/>
              <w:spacing w:before="8"/>
              <w:rPr>
                <w:b/>
                <w:color w:val="auto"/>
                <w:sz w:val="14"/>
                <w:highlight w:val="none"/>
              </w:rPr>
            </w:pPr>
            <w:r>
              <w:rPr>
                <w:b/>
                <w:color w:val="auto"/>
                <w:sz w:val="14"/>
                <w:highlight w:val="none"/>
              </w:rPr>
            </w:r>
            <w:r/>
          </w:p>
          <w:p>
            <w:pPr>
              <w:pStyle w:val="1197"/>
              <w:ind w:left="207"/>
              <w:rPr>
                <w:color w:val="auto"/>
                <w:highlight w:val="none"/>
              </w:rPr>
            </w:pPr>
            <w:r>
              <w:rPr>
                <w:rFonts w:hint="eastAsia"/>
                <w:color w:val="auto"/>
                <w:highlight w:val="none"/>
              </w:rPr>
              <w:t xml:space="preserve">出生年月</w:t>
            </w:r>
            <w:r/>
          </w:p>
        </w:tc>
        <w:tc>
          <w:tcPr>
            <w:tcW w:w="1818" w:type="dxa"/>
            <w:textDirection w:val="lrTb"/>
            <w:noWrap w:val="false"/>
          </w:tcPr>
          <w:p>
            <w:pPr>
              <w:pStyle w:val="1197"/>
              <w:spacing w:before="8"/>
              <w:rPr>
                <w:b/>
                <w:color w:val="auto"/>
                <w:sz w:val="14"/>
                <w:highlight w:val="none"/>
              </w:rPr>
            </w:pPr>
            <w:r>
              <w:rPr>
                <w:b/>
                <w:color w:val="auto"/>
                <w:sz w:val="14"/>
                <w:highlight w:val="none"/>
              </w:rPr>
            </w:r>
            <w:r/>
          </w:p>
          <w:p>
            <w:pPr>
              <w:pStyle w:val="1197"/>
              <w:ind w:left="539"/>
              <w:tabs>
                <w:tab w:val="left" w:pos="1065" w:leader="none"/>
              </w:tabs>
              <w:rPr>
                <w:color w:val="auto"/>
                <w:highlight w:val="none"/>
              </w:rPr>
            </w:pPr>
            <w:r>
              <w:rPr>
                <w:rFonts w:hint="eastAsia"/>
                <w:color w:val="auto"/>
                <w:highlight w:val="none"/>
              </w:rPr>
              <w:t xml:space="preserve">年</w:t>
            </w:r>
            <w:r>
              <w:rPr>
                <w:rFonts w:hint="eastAsia"/>
                <w:color w:val="auto"/>
                <w:highlight w:val="none"/>
              </w:rPr>
              <w:tab/>
            </w:r>
            <w:r>
              <w:rPr>
                <w:rFonts w:hint="eastAsia"/>
                <w:color w:val="auto"/>
                <w:highlight w:val="none"/>
              </w:rPr>
              <w:t xml:space="preserve">月</w:t>
            </w:r>
            <w:r/>
          </w:p>
        </w:tc>
      </w:tr>
      <w:tr>
        <w:trPr>
          <w:trHeight w:val="645"/>
        </w:trPr>
        <w:tc>
          <w:tcPr>
            <w:tcW w:w="628" w:type="dxa"/>
            <w:textDirection w:val="lrTb"/>
            <w:noWrap w:val="false"/>
          </w:tcPr>
          <w:p>
            <w:pPr>
              <w:pStyle w:val="1197"/>
              <w:spacing w:before="8"/>
              <w:rPr>
                <w:b/>
                <w:color w:val="auto"/>
                <w:sz w:val="14"/>
                <w:highlight w:val="none"/>
              </w:rPr>
            </w:pPr>
            <w:r>
              <w:rPr>
                <w:b/>
                <w:color w:val="auto"/>
                <w:sz w:val="14"/>
                <w:highlight w:val="none"/>
              </w:rPr>
            </w:r>
            <w:r/>
          </w:p>
          <w:p>
            <w:pPr>
              <w:pStyle w:val="1197"/>
              <w:ind w:left="261"/>
              <w:rPr>
                <w:color w:val="auto"/>
                <w:highlight w:val="none"/>
              </w:rPr>
            </w:pPr>
            <w:r>
              <w:rPr>
                <w:rFonts w:hint="eastAsia"/>
                <w:color w:val="auto"/>
                <w:highlight w:val="none"/>
              </w:rPr>
              <w:t xml:space="preserve">3</w:t>
            </w:r>
            <w:r/>
          </w:p>
        </w:tc>
        <w:tc>
          <w:tcPr>
            <w:gridSpan w:val="2"/>
            <w:tcW w:w="3180" w:type="dxa"/>
            <w:textDirection w:val="lrTb"/>
            <w:noWrap w:val="false"/>
          </w:tcPr>
          <w:p>
            <w:pPr>
              <w:pStyle w:val="1197"/>
              <w:spacing w:before="8"/>
              <w:rPr>
                <w:b/>
                <w:color w:val="auto"/>
                <w:sz w:val="14"/>
                <w:highlight w:val="none"/>
              </w:rPr>
            </w:pPr>
            <w:r>
              <w:rPr>
                <w:b/>
                <w:color w:val="auto"/>
                <w:sz w:val="14"/>
                <w:highlight w:val="none"/>
              </w:rPr>
            </w:r>
            <w:r/>
          </w:p>
          <w:p>
            <w:pPr>
              <w:pStyle w:val="1197"/>
              <w:ind w:left="27"/>
              <w:rPr>
                <w:color w:val="auto"/>
                <w:highlight w:val="none"/>
              </w:rPr>
            </w:pPr>
            <w:r>
              <w:rPr>
                <w:rFonts w:hint="eastAsia"/>
                <w:color w:val="auto"/>
                <w:highlight w:val="none"/>
              </w:rPr>
              <w:t xml:space="preserve">联系电话：</w:t>
            </w:r>
            <w:r/>
          </w:p>
        </w:tc>
        <w:tc>
          <w:tcPr>
            <w:gridSpan w:val="2"/>
            <w:tcW w:w="2148" w:type="dxa"/>
            <w:textDirection w:val="lrTb"/>
            <w:noWrap w:val="false"/>
          </w:tcPr>
          <w:p>
            <w:pPr>
              <w:pStyle w:val="1197"/>
              <w:spacing w:before="8"/>
              <w:rPr>
                <w:b/>
                <w:color w:val="auto"/>
                <w:sz w:val="14"/>
                <w:highlight w:val="none"/>
              </w:rPr>
            </w:pPr>
            <w:r>
              <w:rPr>
                <w:b/>
                <w:color w:val="auto"/>
                <w:sz w:val="14"/>
                <w:highlight w:val="none"/>
              </w:rPr>
            </w:r>
            <w:r/>
          </w:p>
          <w:p>
            <w:pPr>
              <w:pStyle w:val="1197"/>
              <w:ind w:left="27"/>
              <w:rPr>
                <w:color w:val="auto"/>
                <w:highlight w:val="none"/>
              </w:rPr>
            </w:pPr>
            <w:r>
              <w:rPr>
                <w:rFonts w:hint="eastAsia"/>
                <w:color w:val="auto"/>
                <w:highlight w:val="none"/>
              </w:rPr>
              <w:t xml:space="preserve">传真：</w:t>
            </w:r>
            <w:r/>
          </w:p>
        </w:tc>
        <w:tc>
          <w:tcPr>
            <w:gridSpan w:val="2"/>
            <w:tcW w:w="3072" w:type="dxa"/>
            <w:textDirection w:val="lrTb"/>
            <w:noWrap w:val="false"/>
          </w:tcPr>
          <w:p>
            <w:pPr>
              <w:pStyle w:val="1197"/>
              <w:spacing w:before="8"/>
              <w:rPr>
                <w:b/>
                <w:color w:val="auto"/>
                <w:sz w:val="14"/>
                <w:highlight w:val="none"/>
              </w:rPr>
            </w:pPr>
            <w:r>
              <w:rPr>
                <w:b/>
                <w:color w:val="auto"/>
                <w:sz w:val="14"/>
                <w:highlight w:val="none"/>
              </w:rPr>
            </w:r>
            <w:r/>
          </w:p>
          <w:p>
            <w:pPr>
              <w:pStyle w:val="1197"/>
              <w:ind w:left="27"/>
              <w:rPr>
                <w:color w:val="auto"/>
                <w:highlight w:val="none"/>
              </w:rPr>
            </w:pPr>
            <w:r>
              <w:rPr>
                <w:rFonts w:hint="eastAsia"/>
                <w:color w:val="auto"/>
                <w:highlight w:val="none"/>
              </w:rPr>
              <w:t xml:space="preserve">电子邮箱：</w:t>
            </w:r>
            <w:r/>
          </w:p>
        </w:tc>
      </w:tr>
      <w:tr>
        <w:trPr>
          <w:trHeight w:val="645"/>
        </w:trPr>
        <w:tc>
          <w:tcPr>
            <w:tcW w:w="628" w:type="dxa"/>
            <w:textDirection w:val="lrTb"/>
            <w:noWrap w:val="false"/>
          </w:tcPr>
          <w:p>
            <w:pPr>
              <w:pStyle w:val="1197"/>
              <w:spacing w:before="8"/>
              <w:rPr>
                <w:b/>
                <w:color w:val="auto"/>
                <w:sz w:val="14"/>
                <w:highlight w:val="none"/>
              </w:rPr>
            </w:pPr>
            <w:r>
              <w:rPr>
                <w:b/>
                <w:color w:val="auto"/>
                <w:sz w:val="14"/>
                <w:highlight w:val="none"/>
              </w:rPr>
            </w:r>
            <w:r/>
          </w:p>
          <w:p>
            <w:pPr>
              <w:pStyle w:val="1197"/>
              <w:ind w:left="261"/>
              <w:rPr>
                <w:color w:val="auto"/>
                <w:highlight w:val="none"/>
              </w:rPr>
            </w:pPr>
            <w:r>
              <w:rPr>
                <w:rFonts w:hint="eastAsia"/>
                <w:color w:val="auto"/>
                <w:highlight w:val="none"/>
              </w:rPr>
              <w:t xml:space="preserve">4</w:t>
            </w:r>
            <w:r/>
          </w:p>
        </w:tc>
        <w:tc>
          <w:tcPr>
            <w:gridSpan w:val="6"/>
            <w:tcW w:w="8400" w:type="dxa"/>
            <w:textDirection w:val="lrTb"/>
            <w:noWrap w:val="false"/>
          </w:tcPr>
          <w:p>
            <w:pPr>
              <w:pStyle w:val="1197"/>
              <w:spacing w:before="8"/>
              <w:rPr>
                <w:b/>
                <w:color w:val="auto"/>
                <w:sz w:val="14"/>
                <w:highlight w:val="none"/>
              </w:rPr>
            </w:pPr>
            <w:r>
              <w:rPr>
                <w:b/>
                <w:color w:val="auto"/>
                <w:sz w:val="14"/>
                <w:highlight w:val="none"/>
              </w:rPr>
            </w:r>
            <w:r/>
          </w:p>
          <w:p>
            <w:pPr>
              <w:pStyle w:val="1197"/>
              <w:ind w:left="27"/>
              <w:rPr>
                <w:color w:val="auto"/>
                <w:highlight w:val="none"/>
              </w:rPr>
            </w:pPr>
            <w:r>
              <w:rPr>
                <w:rFonts w:hint="eastAsia"/>
                <w:color w:val="auto"/>
                <w:highlight w:val="none"/>
              </w:rPr>
              <w:t xml:space="preserve">从事类似项目工作时间：</w:t>
            </w:r>
            <w:r/>
          </w:p>
        </w:tc>
      </w:tr>
      <w:tr>
        <w:trPr>
          <w:trHeight w:val="625"/>
        </w:trPr>
        <w:tc>
          <w:tcPr>
            <w:tcW w:w="628" w:type="dxa"/>
            <w:textDirection w:val="lrTb"/>
            <w:noWrap w:val="false"/>
          </w:tcPr>
          <w:p>
            <w:pPr>
              <w:pStyle w:val="1197"/>
              <w:ind w:left="261"/>
              <w:spacing w:before="176"/>
              <w:rPr>
                <w:color w:val="auto"/>
                <w:highlight w:val="none"/>
              </w:rPr>
            </w:pPr>
            <w:r>
              <w:rPr>
                <w:rFonts w:hint="eastAsia"/>
                <w:color w:val="auto"/>
                <w:highlight w:val="none"/>
              </w:rPr>
              <w:t xml:space="preserve">5</w:t>
            </w:r>
            <w:r/>
          </w:p>
        </w:tc>
        <w:tc>
          <w:tcPr>
            <w:gridSpan w:val="6"/>
            <w:tcW w:w="8400" w:type="dxa"/>
            <w:textDirection w:val="lrTb"/>
            <w:noWrap w:val="false"/>
          </w:tcPr>
          <w:p>
            <w:pPr>
              <w:pStyle w:val="1197"/>
              <w:ind w:left="27"/>
              <w:spacing w:before="176"/>
              <w:rPr>
                <w:color w:val="auto"/>
                <w:highlight w:val="none"/>
              </w:rPr>
            </w:pPr>
            <w:r>
              <w:rPr>
                <w:rFonts w:hint="eastAsia"/>
                <w:color w:val="auto"/>
                <w:highlight w:val="none"/>
              </w:rPr>
              <w:t xml:space="preserve">拥有的职称：</w:t>
            </w:r>
            <w:r/>
          </w:p>
        </w:tc>
      </w:tr>
      <w:tr>
        <w:trPr>
          <w:trHeight w:val="1871"/>
        </w:trPr>
        <w:tc>
          <w:tcPr>
            <w:tcW w:w="628" w:type="dxa"/>
            <w:textDirection w:val="lrTb"/>
            <w:noWrap w:val="false"/>
          </w:tcPr>
          <w:p>
            <w:pPr>
              <w:pStyle w:val="1197"/>
              <w:rPr>
                <w:b/>
                <w:color w:val="auto"/>
                <w:sz w:val="20"/>
                <w:highlight w:val="none"/>
              </w:rPr>
            </w:pPr>
            <w:r>
              <w:rPr>
                <w:b/>
                <w:color w:val="auto"/>
                <w:sz w:val="20"/>
                <w:highlight w:val="none"/>
              </w:rPr>
            </w:r>
            <w:r/>
          </w:p>
          <w:p>
            <w:pPr>
              <w:pStyle w:val="1197"/>
              <w:rPr>
                <w:b/>
                <w:color w:val="auto"/>
                <w:sz w:val="20"/>
                <w:highlight w:val="none"/>
              </w:rPr>
            </w:pPr>
            <w:r>
              <w:rPr>
                <w:b/>
                <w:color w:val="auto"/>
                <w:sz w:val="20"/>
                <w:highlight w:val="none"/>
              </w:rPr>
            </w:r>
            <w:r/>
          </w:p>
          <w:p>
            <w:pPr>
              <w:pStyle w:val="1197"/>
              <w:spacing w:before="6"/>
              <w:rPr>
                <w:b/>
                <w:color w:val="auto"/>
                <w:highlight w:val="none"/>
              </w:rPr>
            </w:pPr>
            <w:r>
              <w:rPr>
                <w:b/>
                <w:color w:val="auto"/>
                <w:highlight w:val="none"/>
              </w:rPr>
            </w:r>
            <w:r/>
          </w:p>
          <w:p>
            <w:pPr>
              <w:pStyle w:val="1197"/>
              <w:ind w:left="259"/>
              <w:rPr>
                <w:color w:val="auto"/>
                <w:highlight w:val="none"/>
              </w:rPr>
            </w:pPr>
            <w:r>
              <w:rPr>
                <w:rFonts w:hint="eastAsia"/>
                <w:color w:val="auto"/>
                <w:highlight w:val="none"/>
              </w:rPr>
              <w:t xml:space="preserve">6</w:t>
            </w:r>
            <w:r/>
          </w:p>
        </w:tc>
        <w:tc>
          <w:tcPr>
            <w:gridSpan w:val="6"/>
            <w:tcW w:w="8400" w:type="dxa"/>
            <w:textDirection w:val="lrTb"/>
            <w:noWrap w:val="false"/>
          </w:tcPr>
          <w:p>
            <w:pPr>
              <w:pStyle w:val="1197"/>
              <w:ind w:left="27"/>
              <w:spacing w:before="21"/>
              <w:rPr>
                <w:color w:val="auto"/>
                <w:highlight w:val="none"/>
              </w:rPr>
            </w:pPr>
            <w:r>
              <w:rPr>
                <w:rFonts w:hint="eastAsia"/>
                <w:color w:val="auto"/>
                <w:highlight w:val="none"/>
              </w:rPr>
              <w:t xml:space="preserve">曾获得的奖励情况：</w:t>
            </w:r>
            <w:r/>
          </w:p>
          <w:p>
            <w:pPr>
              <w:pStyle w:val="1197"/>
              <w:ind w:left="27"/>
              <w:spacing w:before="43"/>
              <w:tabs>
                <w:tab w:val="left" w:pos="4647" w:leader="none"/>
              </w:tabs>
              <w:rPr>
                <w:color w:val="auto"/>
                <w:highlight w:val="none"/>
              </w:rPr>
            </w:pPr>
            <w:r>
              <w:rPr>
                <w:rFonts w:hint="eastAsia"/>
                <w:color w:val="auto"/>
                <w:highlight w:val="none"/>
              </w:rPr>
              <w:t xml:space="preserve">1、</w:t>
            </w:r>
            <w:r>
              <w:rPr>
                <w:rFonts w:hint="eastAsia"/>
                <w:color w:val="auto"/>
                <w:highlight w:val="none"/>
                <w:u w:val="single"/>
              </w:rPr>
              <w:t xml:space="preserve"> </w:t>
            </w:r>
            <w:r>
              <w:rPr>
                <w:rFonts w:hint="eastAsia"/>
                <w:color w:val="auto"/>
                <w:highlight w:val="none"/>
                <w:u w:val="single"/>
              </w:rPr>
              <w:tab/>
            </w:r>
            <w:r>
              <w:rPr>
                <w:rFonts w:hint="eastAsia"/>
                <w:color w:val="auto"/>
                <w:highlight w:val="none"/>
              </w:rPr>
              <w:t xml:space="preserve">_</w:t>
            </w:r>
            <w:r/>
          </w:p>
          <w:p>
            <w:pPr>
              <w:pStyle w:val="1197"/>
              <w:ind w:left="27"/>
              <w:spacing w:before="42"/>
              <w:tabs>
                <w:tab w:val="left" w:pos="4908" w:leader="none"/>
              </w:tabs>
              <w:rPr>
                <w:color w:val="auto"/>
                <w:highlight w:val="none"/>
              </w:rPr>
            </w:pPr>
            <w:r>
              <w:rPr>
                <w:rFonts w:hint="eastAsia"/>
                <w:color w:val="auto"/>
                <w:highlight w:val="none"/>
              </w:rPr>
              <w:t xml:space="preserve">2、 </w:t>
            </w:r>
            <w:r>
              <w:rPr>
                <w:rFonts w:hint="eastAsia"/>
                <w:color w:val="auto"/>
                <w:highlight w:val="none"/>
                <w:u w:val="single"/>
              </w:rPr>
              <w:t xml:space="preserve"> </w:t>
            </w:r>
            <w:r>
              <w:rPr>
                <w:rFonts w:hint="eastAsia"/>
                <w:color w:val="auto"/>
                <w:highlight w:val="none"/>
                <w:u w:val="single"/>
              </w:rPr>
              <w:tab/>
            </w:r>
            <w:r/>
          </w:p>
          <w:p>
            <w:pPr>
              <w:pStyle w:val="1197"/>
              <w:ind w:left="27"/>
              <w:spacing w:before="43"/>
              <w:tabs>
                <w:tab w:val="left" w:pos="4803" w:leader="none"/>
              </w:tabs>
              <w:rPr>
                <w:color w:val="auto"/>
                <w:highlight w:val="none"/>
              </w:rPr>
            </w:pPr>
            <w:r>
              <w:rPr>
                <w:rFonts w:hint="eastAsia"/>
                <w:color w:val="auto"/>
                <w:highlight w:val="none"/>
              </w:rPr>
              <w:t xml:space="preserve">3、</w:t>
            </w:r>
            <w:r>
              <w:rPr>
                <w:rFonts w:hint="eastAsia"/>
                <w:color w:val="auto"/>
                <w:highlight w:val="none"/>
                <w:u w:val="single"/>
              </w:rPr>
              <w:t xml:space="preserve"> </w:t>
            </w:r>
            <w:r>
              <w:rPr>
                <w:rFonts w:hint="eastAsia"/>
                <w:color w:val="auto"/>
                <w:highlight w:val="none"/>
                <w:u w:val="single"/>
              </w:rPr>
              <w:tab/>
            </w:r>
            <w:r/>
          </w:p>
          <w:p>
            <w:pPr>
              <w:pStyle w:val="1197"/>
              <w:ind w:left="27"/>
              <w:spacing w:before="43"/>
              <w:rPr>
                <w:color w:val="auto"/>
                <w:highlight w:val="none"/>
              </w:rPr>
            </w:pPr>
            <w:r>
              <w:rPr>
                <w:rFonts w:hint="eastAsia"/>
                <w:color w:val="auto"/>
                <w:highlight w:val="none"/>
              </w:rPr>
              <w:t xml:space="preserve">……………</w:t>
            </w:r>
            <w:r/>
          </w:p>
        </w:tc>
      </w:tr>
      <w:tr>
        <w:trPr>
          <w:trHeight w:val="1132"/>
        </w:trPr>
        <w:tc>
          <w:tcPr>
            <w:tcW w:w="628" w:type="dxa"/>
            <w:textDirection w:val="lrTb"/>
            <w:noWrap w:val="false"/>
          </w:tcPr>
          <w:p>
            <w:pPr>
              <w:pStyle w:val="1197"/>
              <w:rPr>
                <w:b/>
                <w:color w:val="auto"/>
                <w:sz w:val="20"/>
                <w:highlight w:val="none"/>
              </w:rPr>
            </w:pPr>
            <w:r>
              <w:rPr>
                <w:b/>
                <w:color w:val="auto"/>
                <w:sz w:val="20"/>
                <w:highlight w:val="none"/>
              </w:rPr>
            </w:r>
            <w:r/>
          </w:p>
          <w:p>
            <w:pPr>
              <w:pStyle w:val="1197"/>
              <w:ind w:left="259"/>
              <w:spacing w:before="174"/>
              <w:rPr>
                <w:color w:val="auto"/>
                <w:highlight w:val="none"/>
              </w:rPr>
            </w:pPr>
            <w:r>
              <w:rPr>
                <w:rFonts w:hint="eastAsia"/>
                <w:color w:val="auto"/>
                <w:highlight w:val="none"/>
              </w:rPr>
              <w:t xml:space="preserve">7</w:t>
            </w:r>
            <w:r/>
          </w:p>
        </w:tc>
        <w:tc>
          <w:tcPr>
            <w:gridSpan w:val="6"/>
            <w:tcW w:w="8400" w:type="dxa"/>
            <w:textDirection w:val="lrTb"/>
            <w:noWrap w:val="false"/>
          </w:tcPr>
          <w:p>
            <w:pPr>
              <w:pStyle w:val="1197"/>
              <w:ind w:left="27"/>
              <w:spacing w:before="20"/>
              <w:rPr>
                <w:color w:val="auto"/>
                <w:highlight w:val="none"/>
              </w:rPr>
            </w:pPr>
            <w:r>
              <w:rPr>
                <w:rFonts w:hint="eastAsia"/>
                <w:color w:val="auto"/>
                <w:highlight w:val="none"/>
              </w:rPr>
              <w:t xml:space="preserve">本公司承诺：</w:t>
            </w:r>
            <w:r/>
          </w:p>
          <w:p>
            <w:pPr>
              <w:pStyle w:val="1197"/>
              <w:ind w:left="27"/>
              <w:spacing w:before="43"/>
              <w:rPr>
                <w:color w:val="auto"/>
                <w:highlight w:val="none"/>
              </w:rPr>
            </w:pPr>
            <w:r>
              <w:rPr>
                <w:rFonts w:hint="eastAsia"/>
                <w:color w:val="auto"/>
                <w:highlight w:val="none"/>
              </w:rPr>
              <w:t xml:space="preserve">该项目负责人在从业经历中没有任何违法、违规而被查处的不良记录。</w:t>
            </w:r>
            <w:r/>
          </w:p>
        </w:tc>
      </w:tr>
      <w:tr>
        <w:trPr>
          <w:trHeight w:val="2846"/>
        </w:trPr>
        <w:tc>
          <w:tcPr>
            <w:tcW w:w="628" w:type="dxa"/>
            <w:textDirection w:val="lrTb"/>
            <w:noWrap w:val="false"/>
          </w:tcPr>
          <w:p>
            <w:pPr>
              <w:pStyle w:val="1197"/>
              <w:rPr>
                <w:b/>
                <w:color w:val="auto"/>
                <w:sz w:val="20"/>
                <w:highlight w:val="none"/>
              </w:rPr>
            </w:pPr>
            <w:r>
              <w:rPr>
                <w:b/>
                <w:color w:val="auto"/>
                <w:sz w:val="20"/>
                <w:highlight w:val="none"/>
              </w:rPr>
            </w:r>
            <w:r/>
          </w:p>
          <w:p>
            <w:pPr>
              <w:pStyle w:val="1197"/>
              <w:rPr>
                <w:b/>
                <w:color w:val="auto"/>
                <w:sz w:val="20"/>
                <w:highlight w:val="none"/>
              </w:rPr>
            </w:pPr>
            <w:r>
              <w:rPr>
                <w:b/>
                <w:color w:val="auto"/>
                <w:sz w:val="20"/>
                <w:highlight w:val="none"/>
              </w:rPr>
            </w:r>
            <w:r/>
          </w:p>
          <w:p>
            <w:pPr>
              <w:pStyle w:val="1197"/>
              <w:rPr>
                <w:b/>
                <w:color w:val="auto"/>
                <w:sz w:val="20"/>
                <w:highlight w:val="none"/>
              </w:rPr>
            </w:pPr>
            <w:r>
              <w:rPr>
                <w:b/>
                <w:color w:val="auto"/>
                <w:sz w:val="20"/>
                <w:highlight w:val="none"/>
              </w:rPr>
            </w:r>
            <w:r/>
          </w:p>
          <w:p>
            <w:pPr>
              <w:pStyle w:val="1197"/>
              <w:rPr>
                <w:b/>
                <w:color w:val="auto"/>
                <w:sz w:val="20"/>
                <w:highlight w:val="none"/>
              </w:rPr>
            </w:pPr>
            <w:r>
              <w:rPr>
                <w:b/>
                <w:color w:val="auto"/>
                <w:sz w:val="20"/>
                <w:highlight w:val="none"/>
              </w:rPr>
            </w:r>
            <w:r/>
          </w:p>
          <w:p>
            <w:pPr>
              <w:pStyle w:val="1197"/>
              <w:spacing w:before="7"/>
              <w:rPr>
                <w:b/>
                <w:color w:val="auto"/>
                <w:sz w:val="20"/>
                <w:highlight w:val="none"/>
              </w:rPr>
            </w:pPr>
            <w:r>
              <w:rPr>
                <w:b/>
                <w:color w:val="auto"/>
                <w:sz w:val="20"/>
                <w:highlight w:val="none"/>
              </w:rPr>
            </w:r>
            <w:r/>
          </w:p>
          <w:p>
            <w:pPr>
              <w:pStyle w:val="1197"/>
              <w:ind w:left="259"/>
              <w:spacing w:before="1"/>
              <w:rPr>
                <w:color w:val="auto"/>
                <w:highlight w:val="none"/>
              </w:rPr>
            </w:pPr>
            <w:r>
              <w:rPr>
                <w:rFonts w:hint="eastAsia"/>
                <w:color w:val="auto"/>
                <w:highlight w:val="none"/>
              </w:rPr>
              <w:t xml:space="preserve">8</w:t>
            </w:r>
            <w:r/>
          </w:p>
        </w:tc>
        <w:tc>
          <w:tcPr>
            <w:gridSpan w:val="6"/>
            <w:tcW w:w="8400" w:type="dxa"/>
            <w:textDirection w:val="lrTb"/>
            <w:noWrap w:val="false"/>
          </w:tcPr>
          <w:p>
            <w:pPr>
              <w:pStyle w:val="1197"/>
              <w:ind w:left="27"/>
              <w:spacing w:before="22"/>
              <w:rPr>
                <w:color w:val="auto"/>
                <w:highlight w:val="none"/>
              </w:rPr>
            </w:pPr>
            <w:r>
              <w:rPr>
                <w:rFonts w:hint="eastAsia"/>
                <w:color w:val="auto"/>
                <w:highlight w:val="none"/>
              </w:rPr>
              <w:t xml:space="preserve">其他需要说明的情况</w:t>
            </w:r>
            <w:r/>
          </w:p>
        </w:tc>
      </w:tr>
    </w:tbl>
    <w:p>
      <w:pPr>
        <w:pStyle w:val="881"/>
        <w:spacing w:before="9" w:after="1"/>
        <w:rPr>
          <w:rFonts w:ascii="宋体" w:hAnsi="宋体" w:cs="宋体"/>
          <w:b/>
          <w:color w:val="auto"/>
          <w:sz w:val="22"/>
          <w:highlight w:val="none"/>
        </w:rPr>
      </w:pPr>
      <w:r>
        <w:rPr>
          <w:rFonts w:ascii="宋体" w:hAnsi="宋体" w:cs="宋体"/>
          <w:b/>
          <w:color w:val="auto"/>
          <w:sz w:val="22"/>
          <w:highlight w:val="none"/>
        </w:rPr>
      </w:r>
      <w:r/>
    </w:p>
    <w:p>
      <w:pPr>
        <w:rPr>
          <w:rFonts w:ascii="宋体" w:hAnsi="宋体" w:cs="宋体"/>
          <w:color w:val="auto"/>
          <w:highlight w:val="none"/>
        </w:rPr>
      </w:pPr>
      <w:r>
        <w:rPr>
          <w:rFonts w:hint="eastAsia" w:ascii="宋体" w:hAnsi="宋体" w:cs="宋体"/>
          <w:color w:val="auto"/>
          <w:highlight w:val="none"/>
        </w:rPr>
        <w:t xml:space="preserve">磋商响应单位（盖章）：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日期：</w:t>
      </w:r>
      <w:r/>
    </w:p>
    <w:p>
      <w:pPr>
        <w:spacing w:line="500" w:lineRule="exact"/>
        <w:rPr>
          <w:rFonts w:ascii="宋体" w:hAnsi="宋体" w:cs="宋体"/>
          <w:b/>
          <w:bCs/>
          <w:color w:val="auto"/>
          <w:szCs w:val="21"/>
          <w:highlight w:val="none"/>
          <w:lang w:eastAsia="zh-TW"/>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附件13：</w:t>
      </w:r>
      <w:r>
        <w:rPr>
          <w:rFonts w:hint="eastAsia" w:ascii="宋体" w:hAnsi="宋体" w:cs="宋体"/>
          <w:b/>
          <w:color w:val="auto"/>
          <w:szCs w:val="21"/>
          <w:highlight w:val="none"/>
        </w:rPr>
        <w:t xml:space="preserve">类似项目业绩表</w:t>
      </w:r>
      <w:r/>
    </w:p>
    <w:p>
      <w:pPr>
        <w:jc w:val="cente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类似项目业绩表</w:t>
      </w:r>
      <w:r/>
    </w:p>
    <w:p>
      <w:pPr>
        <w:rPr>
          <w:rFonts w:ascii="宋体" w:hAnsi="宋体" w:cs="宋体"/>
          <w:color w:val="auto"/>
          <w:szCs w:val="21"/>
          <w:highlight w:val="none"/>
        </w:rPr>
      </w:pP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项目名称：</w:t>
      </w:r>
      <w:r/>
    </w:p>
    <w:tbl>
      <w:tblPr>
        <w:tblStyle w:val="874"/>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1"/>
        <w:gridCol w:w="1411"/>
        <w:gridCol w:w="1349"/>
        <w:gridCol w:w="1678"/>
        <w:gridCol w:w="2169"/>
        <w:gridCol w:w="1605"/>
      </w:tblGrid>
      <w:tr>
        <w:trPr>
          <w:cantSplit/>
          <w:trHeight w:val="740"/>
        </w:trPr>
        <w:tc>
          <w:tcPr>
            <w:tcW w:w="480"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序号</w:t>
            </w:r>
            <w:r/>
          </w:p>
        </w:tc>
        <w:tc>
          <w:tcPr>
            <w:tcW w:w="776"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项目名称</w:t>
            </w:r>
            <w:r/>
          </w:p>
        </w:tc>
        <w:tc>
          <w:tcPr>
            <w:tcW w:w="742"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合同期</w:t>
            </w:r>
            <w:r/>
          </w:p>
        </w:tc>
        <w:tc>
          <w:tcPr>
            <w:tcW w:w="923"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服务范围</w:t>
            </w:r>
            <w:r/>
          </w:p>
        </w:tc>
        <w:tc>
          <w:tcPr>
            <w:tcW w:w="1193"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合同金额（万元）</w:t>
            </w:r>
            <w:r/>
          </w:p>
        </w:tc>
        <w:tc>
          <w:tcPr>
            <w:tcW w:w="883"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备注</w:t>
            </w:r>
            <w:r/>
          </w:p>
        </w:tc>
      </w:tr>
      <w:tr>
        <w:trPr>
          <w:cantSplit/>
          <w:trHeight w:val="510" w:hRule="exact"/>
        </w:trPr>
        <w:tc>
          <w:tcPr>
            <w:tcW w:w="480"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1</w:t>
            </w:r>
            <w:r/>
          </w:p>
        </w:tc>
        <w:tc>
          <w:tcPr>
            <w:tcW w:w="776"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2</w:t>
            </w:r>
            <w:r/>
          </w:p>
        </w:tc>
        <w:tc>
          <w:tcPr>
            <w:tcW w:w="776"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3</w:t>
            </w:r>
            <w:r/>
          </w:p>
        </w:tc>
        <w:tc>
          <w:tcPr>
            <w:tcW w:w="776"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4</w:t>
            </w:r>
            <w:r/>
          </w:p>
        </w:tc>
        <w:tc>
          <w:tcPr>
            <w:tcW w:w="776"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10"/>
                <w:rFonts w:ascii="宋体" w:hAnsi="宋体" w:cs="宋体"/>
                <w:color w:val="auto"/>
                <w:szCs w:val="21"/>
                <w:highlight w:val="none"/>
              </w:rPr>
            </w:pPr>
            <w:r>
              <w:rPr>
                <w:rStyle w:val="1210"/>
                <w:rFonts w:hint="eastAsia" w:ascii="宋体" w:hAnsi="宋体" w:cs="宋体"/>
                <w:color w:val="auto"/>
                <w:szCs w:val="21"/>
                <w:highlight w:val="none"/>
              </w:rPr>
              <w:t xml:space="preserve">5</w:t>
            </w:r>
            <w:r/>
          </w:p>
        </w:tc>
        <w:tc>
          <w:tcPr>
            <w:tcW w:w="776"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tbRlV"/>
            <w:noWrap w:val="false"/>
          </w:tcPr>
          <w:p>
            <w:pPr>
              <w:ind w:left="113" w:right="113"/>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400" w:lineRule="exact"/>
              <w:rPr>
                <w:rStyle w:val="1210"/>
                <w:rFonts w:ascii="宋体" w:hAnsi="宋体" w:cs="宋体"/>
                <w:color w:val="auto"/>
                <w:szCs w:val="21"/>
                <w:highlight w:val="none"/>
              </w:rPr>
            </w:pPr>
            <w:r>
              <w:rPr>
                <w:rFonts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注：请按评审方法与评分标准规定的内容附相关证明材料。</w:t>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磋商响应单位（盖章）：     </w:t>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法定代表人或委托代理人：（签字或盖章）                   </w:t>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1211"/>
        <w:numPr>
          <w:ilvl w:val="2"/>
          <w:numId w:val="0"/>
        </w:numPr>
        <w:jc w:val="both"/>
        <w:keepLines w:val="0"/>
        <w:keepNext w:val="0"/>
        <w:spacing w:before="240" w:after="240"/>
        <w:rPr>
          <w:rFonts w:ascii="宋体" w:hAnsi="宋体" w:eastAsia="宋体"/>
          <w:bCs w:val="0"/>
          <w:color w:val="auto"/>
          <w:spacing w:val="20"/>
          <w:sz w:val="21"/>
          <w:szCs w:val="21"/>
          <w:highlight w:val="none"/>
        </w:rPr>
        <w:sectPr>
          <w:footnotePr/>
          <w:endnotePr/>
          <w:type w:val="nextPage"/>
          <w:pgSz w:w="11906" w:h="16838" w:orient="portrait"/>
          <w:pgMar w:top="1440" w:right="1417" w:bottom="1134" w:left="1417" w:header="851" w:footer="850" w:gutter="0"/>
          <w:cols w:num="1" w:sep="0" w:space="0" w:equalWidth="1"/>
          <w:docGrid w:linePitch="360"/>
        </w:sectPr>
        <w:outlineLvl w:val="9"/>
      </w:pPr>
      <w:r>
        <w:rPr>
          <w:rFonts w:hint="eastAsia" w:ascii="宋体" w:hAnsi="宋体" w:eastAsia="宋体"/>
          <w:bCs w:val="0"/>
          <w:color w:val="auto"/>
          <w:spacing w:val="20"/>
          <w:sz w:val="21"/>
          <w:szCs w:val="21"/>
          <w:highlight w:val="none"/>
        </w:rPr>
        <w:br w:type="page" w:clear="all"/>
      </w:r>
      <w:r/>
    </w:p>
    <w:p>
      <w:pPr>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附件14：</w:t>
      </w:r>
      <w:r>
        <w:rPr>
          <w:rFonts w:hint="eastAsia" w:ascii="宋体" w:hAnsi="宋体" w:cs="宋体"/>
          <w:b/>
          <w:bCs/>
          <w:color w:val="auto"/>
          <w:szCs w:val="21"/>
          <w:highlight w:val="none"/>
        </w:rPr>
        <w:t xml:space="preserve">服务方案： </w:t>
      </w:r>
      <w:r/>
    </w:p>
    <w:p>
      <w:pPr>
        <w:jc w:val="center"/>
        <w:rPr>
          <w:rFonts w:ascii="宋体" w:hAnsi="宋体" w:cs="宋体"/>
          <w:b/>
          <w:bCs/>
          <w:color w:val="auto"/>
          <w:sz w:val="32"/>
          <w:szCs w:val="32"/>
          <w:highlight w:val="none"/>
        </w:rPr>
      </w:pPr>
      <w:r>
        <w:rPr>
          <w:rFonts w:hint="eastAsia" w:ascii="宋体" w:hAnsi="宋体" w:cs="宋体"/>
          <w:b/>
          <w:bCs/>
          <w:color w:val="auto"/>
          <w:szCs w:val="21"/>
          <w:highlight w:val="none"/>
        </w:rPr>
        <w:t xml:space="preserve">服务方案</w:t>
      </w:r>
      <w:r/>
    </w:p>
    <w:tbl>
      <w:tblPr>
        <w:tblStyle w:val="87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提示：</w:t>
            </w:r>
            <w:r/>
          </w:p>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1、响应单位应针对本项目特点编写成交后拟采取的方案。</w:t>
            </w:r>
            <w:r/>
          </w:p>
          <w:p>
            <w:pPr>
              <w:jc w:val="left"/>
              <w:rPr>
                <w:rFonts w:ascii="宋体" w:hAnsi="宋体" w:cs="宋体"/>
                <w:color w:val="auto"/>
                <w:highlight w:val="none"/>
              </w:rPr>
            </w:pPr>
            <w:r>
              <w:rPr>
                <w:rFonts w:hint="eastAsia" w:ascii="宋体" w:hAnsi="宋体" w:cs="宋体"/>
                <w:color w:val="auto"/>
                <w:szCs w:val="21"/>
                <w:highlight w:val="none"/>
                <w:lang w:val="zh-CN"/>
              </w:rPr>
              <w:t xml:space="preserve">2、响应单位可根据自身情况编写，本页不够可另加页附后。</w:t>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lang w:val="zh-CN"/>
              </w:rPr>
            </w:pPr>
            <w:r>
              <w:rPr>
                <w:rFonts w:hint="eastAsia" w:ascii="宋体" w:hAnsi="宋体" w:cs="宋体"/>
                <w:color w:val="auto"/>
                <w:highlight w:val="none"/>
              </w:rPr>
              <w:t xml:space="preserve">   </w:t>
            </w:r>
            <w:r>
              <w:rPr>
                <w:rFonts w:hint="eastAsia" w:ascii="宋体" w:hAnsi="宋体" w:cs="宋体"/>
                <w:color w:val="auto"/>
                <w:szCs w:val="21"/>
                <w:highlight w:val="none"/>
                <w:lang w:val="zh-CN"/>
              </w:rPr>
              <w:t xml:space="preserve">磋商响应单位（盖章）：</w:t>
            </w:r>
            <w:r/>
          </w:p>
          <w:p>
            <w:pPr>
              <w:ind w:firstLine="420"/>
              <w:jc w:val="lef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jc w:val="lef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日期：    年    月    日</w:t>
            </w:r>
            <w:r/>
          </w:p>
        </w:tc>
      </w:tr>
    </w:tbl>
    <w:p>
      <w:pPr>
        <w:jc w:val="righ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（全文完）</w:t>
      </w:r>
      <w:r/>
    </w:p>
    <w:sectPr>
      <w:footnotePr/>
      <w:endnotePr/>
      <w:type w:val="nextPage"/>
      <w:pgSz w:w="11906" w:h="16838" w:orient="portrait"/>
      <w:pgMar w:top="1440" w:right="1417" w:bottom="1134" w:left="1417"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v.萀">
    <w:panose1 w:val="02010609060101010101"/>
  </w:font>
  <w:font w:name="楷体">
    <w:panose1 w:val="02010609060101010101"/>
  </w:font>
  <w:font w:name="Symbol">
    <w:panose1 w:val="05050102010706020507"/>
  </w:font>
  <w:font w:name="Calibri">
    <w:panose1 w:val="020F0502020204030204"/>
  </w:font>
  <w:font w:name="黑体">
    <w:panose1 w:val="02010609060101010101"/>
  </w:font>
  <w:font w:name="仿宋_GB2312">
    <w:panose1 w:val="02010609060101010101"/>
  </w:font>
  <w:font w:name="Verdan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Cambria">
    <w:panose1 w:val="0204050305040603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890" cy="4273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5890" cy="427355"/>
                      </a:xfrm>
                      <a:prstGeom prst="rect">
                        <a:avLst/>
                      </a:prstGeom>
                      <a:noFill/>
                      <a:ln>
                        <a:noFill/>
                        <a:miter/>
                      </a:ln>
                    </wps:spPr>
                    <wps:txbx>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0.7pt;height:33.6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0500" cy="236220"/>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90753" cy="236371"/>
                      </a:xfrm>
                      <a:prstGeom prst="rect">
                        <a:avLst/>
                      </a:prstGeom>
                      <a:noFill/>
                      <a:ln>
                        <a:noFill/>
                        <a:miter/>
                      </a:ln>
                    </wps:spPr>
                    <wps:txbx>
                      <w:txbxContent>
                        <w:p>
                          <w:pPr>
                            <w:pStyle w:val="890"/>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5.0pt;height:18.6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22"/>
      <w:spacing w:line="158" w:lineRule="auto"/>
      <w:tabs>
        <w:tab w:val="left" w:pos="7240" w:leader="none"/>
      </w:tabs>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4630" cy="153035"/>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14778" cy="153339"/>
                      </a:xfrm>
                      <a:prstGeom prst="rect">
                        <a:avLst/>
                      </a:prstGeom>
                      <a:noFill/>
                      <a:ln>
                        <a:noFill/>
                        <a:miter/>
                      </a:ln>
                    </wps:spPr>
                    <wps:txbx>
                      <w:txbxContent>
                        <w:p>
                          <w:pPr>
                            <w:pStyle w:val="890"/>
                          </w:pPr>
                          <w:r>
                            <w:fldChar w:fldCharType="begin"/>
                          </w:r>
                          <w:r>
                            <w:instrText xml:space="preserve"> PAGE  \* MERGEFORMAT </w:instrText>
                          </w:r>
                          <w:r>
                            <w:fldChar w:fldCharType="separate"/>
                          </w:r>
                          <w:r>
                            <w:t xml:space="preserve">69</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6.9pt;height:12.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rPr>
        <w:rFonts w:hint="eastAsia" w:ascii="Arial" w:hAnsi="Arial" w:eastAsia="宋体" w:cs="Arial"/>
        <w:highlight w:val="yellow"/>
        <w:lang w:eastAsia="zh-CN"/>
      </w:rPr>
    </w:pPr>
    <w:r>
      <w:rPr>
        <w:rFonts w:hint="eastAsia" w:ascii="Arial" w:hAnsi="Arial" w:cs="Arial"/>
      </w:rPr>
      <w:t xml:space="preserve">苏州通宜房地产土地评估咨询有限公司</w:t>
    </w:r>
    <w:r>
      <w:rPr>
        <w:rFonts w:hint="eastAsia" w:ascii="Arial" w:hAnsi="Arial" w:eastAsia="Arial" w:cs="Arial"/>
      </w:rPr>
      <w:t xml:space="preserve">                                  </w:t>
    </w:r>
    <w:r>
      <w:rPr>
        <w:rFonts w:hint="eastAsia" w:ascii="Arial" w:hAnsi="Arial" w:cs="Arial"/>
      </w:rPr>
      <w:t xml:space="preserve"> </w:t>
    </w:r>
    <w:r>
      <w:rPr>
        <w:rFonts w:hint="eastAsia" w:ascii="Arial" w:hAnsi="Arial" w:cs="Arial"/>
        <w:lang w:eastAsia="zh-CN"/>
      </w:rPr>
      <w:t xml:space="preserve">JSZC-320509-SZTY-C2026-0009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spacing w:line="14" w:lineRule="auto"/>
      <w:rPr>
        <w:sz w:val="20"/>
      </w:rPr>
      <w:pBdr>
        <w:bottom w:val="single" w:color="auto"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4441190</wp:posOffset>
              </wp:positionH>
              <wp:positionV relativeFrom="page">
                <wp:posOffset>371475</wp:posOffset>
              </wp:positionV>
              <wp:extent cx="2254250" cy="1492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54250" cy="149225"/>
                      </a:xfrm>
                      <a:prstGeom prst="rect">
                        <a:avLst/>
                      </a:prstGeom>
                      <a:noFill/>
                      <a:ln>
                        <a:noFill/>
                        <a:miter/>
                      </a:ln>
                    </wps:spPr>
                    <wps:txbx>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JSZC-320509-SZTY-C2026-0009</w:t>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page;margin-left:349.7pt;mso-position-horizontal:absolute;mso-position-vertical-relative:page;margin-top:29.2pt;mso-position-vertical:absolute;width:177.5pt;height:11.8pt;mso-wrap-distance-left:9.0pt;mso-wrap-distance-top:0.0pt;mso-wrap-distance-right:9.0pt;mso-wrap-distance-bottom:0.0pt;visibility:visible;" filled="f" stroked="f">
              <v:textbox inset="0,0,0,0">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JSZC-320509-SZTY-C2026-0009</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887095</wp:posOffset>
              </wp:positionH>
              <wp:positionV relativeFrom="page">
                <wp:posOffset>371475</wp:posOffset>
              </wp:positionV>
              <wp:extent cx="2491740" cy="1485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91740" cy="148590"/>
                      </a:xfrm>
                      <a:prstGeom prst="rect">
                        <a:avLst/>
                      </a:prstGeom>
                      <a:noFill/>
                      <a:ln>
                        <a:noFill/>
                        <a:miter/>
                      </a:ln>
                    </wps:spPr>
                    <wps:txbx>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page;margin-left:69.8pt;mso-position-horizontal:absolute;mso-position-vertical-relative:page;margin-top:29.2pt;mso-position-vertical:absolute;width:196.2pt;height:11.7pt;mso-wrap-distance-left:9.0pt;mso-wrap-distance-top:0.0pt;mso-wrap-distance-right:9.0pt;mso-wrap-distance-bottom:0.0pt;visibility:visible;" filled="f" stroked="f">
              <v:textbox inset="0,0,0,0">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pStyle w:val="117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14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927"/>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147"/>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3"/>
  </w:num>
  <w:num w:numId="5">
    <w:abstractNumId w:val="8"/>
  </w:num>
  <w:num w:numId="6">
    <w:abstractNumId w:val="11"/>
  </w:num>
  <w:num w:numId="7">
    <w:abstractNumId w:val="9"/>
  </w:num>
  <w:num w:numId="8">
    <w:abstractNumId w:val="1"/>
  </w:num>
  <w:num w:numId="9">
    <w:abstractNumId w:val="5"/>
  </w:num>
  <w:num w:numId="10">
    <w:abstractNumId w:val="0"/>
  </w:num>
  <w:num w:numId="11">
    <w:abstractNumId w:val="13"/>
  </w:num>
  <w:num w:numId="12">
    <w:abstractNumId w:val="2"/>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next w:val="875"/>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64">
    <w:name w:val="Heading 1"/>
    <w:basedOn w:val="863"/>
    <w:next w:val="863"/>
    <w:link w:val="1122"/>
    <w:uiPriority w:val="0"/>
    <w:qFormat/>
    <w:pPr>
      <w:jc w:val="center"/>
      <w:keepLines/>
      <w:keepNext/>
      <w:spacing w:before="160" w:after="160" w:line="480" w:lineRule="auto"/>
      <w:outlineLvl w:val="0"/>
    </w:pPr>
    <w:rPr>
      <w:b/>
      <w:bCs/>
      <w:sz w:val="32"/>
      <w:szCs w:val="44"/>
    </w:rPr>
  </w:style>
  <w:style w:type="paragraph" w:styleId="865">
    <w:name w:val="Heading 2"/>
    <w:basedOn w:val="863"/>
    <w:next w:val="876"/>
    <w:link w:val="1123"/>
    <w:uiPriority w:val="0"/>
    <w:qFormat/>
    <w:pPr>
      <w:keepLines/>
      <w:keepNext/>
      <w:spacing w:before="260" w:after="260" w:line="416" w:lineRule="auto"/>
      <w:outlineLvl w:val="1"/>
    </w:pPr>
    <w:rPr>
      <w:rFonts w:ascii="Cambria" w:hAnsi="Cambria"/>
      <w:b/>
      <w:sz w:val="32"/>
    </w:rPr>
  </w:style>
  <w:style w:type="paragraph" w:styleId="866">
    <w:name w:val="Heading 3"/>
    <w:basedOn w:val="863"/>
    <w:next w:val="863"/>
    <w:link w:val="1124"/>
    <w:uiPriority w:val="0"/>
    <w:qFormat/>
    <w:pPr>
      <w:keepLines/>
      <w:keepNext/>
      <w:spacing w:before="260" w:after="260" w:line="416" w:lineRule="auto"/>
      <w:outlineLvl w:val="2"/>
    </w:pPr>
    <w:rPr>
      <w:b/>
      <w:bCs/>
      <w:sz w:val="32"/>
      <w:szCs w:val="32"/>
    </w:rPr>
  </w:style>
  <w:style w:type="paragraph" w:styleId="867">
    <w:name w:val="Heading 4"/>
    <w:basedOn w:val="863"/>
    <w:next w:val="863"/>
    <w:link w:val="1125"/>
    <w:uiPriority w:val="0"/>
    <w:qFormat/>
    <w:pPr>
      <w:spacing w:before="240" w:after="60"/>
      <w:outlineLvl w:val="3"/>
    </w:pPr>
    <w:rPr>
      <w:sz w:val="28"/>
      <w:szCs w:val="28"/>
    </w:rPr>
  </w:style>
  <w:style w:type="paragraph" w:styleId="868">
    <w:name w:val="Heading 5"/>
    <w:basedOn w:val="863"/>
    <w:next w:val="863"/>
    <w:link w:val="1126"/>
    <w:uiPriority w:val="0"/>
    <w:qFormat/>
    <w:pPr>
      <w:spacing w:before="240" w:after="60"/>
      <w:outlineLvl w:val="4"/>
    </w:pPr>
    <w:rPr>
      <w:b/>
      <w:bCs/>
      <w:i/>
      <w:iCs/>
      <w:sz w:val="26"/>
      <w:szCs w:val="26"/>
    </w:rPr>
  </w:style>
  <w:style w:type="paragraph" w:styleId="869">
    <w:name w:val="Heading 6"/>
    <w:basedOn w:val="863"/>
    <w:next w:val="863"/>
    <w:link w:val="984"/>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86"/>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87"/>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Body Text Indent"/>
    <w:basedOn w:val="863"/>
    <w:next w:val="863"/>
    <w:uiPriority w:val="0"/>
    <w:qFormat/>
    <w:pPr>
      <w:ind w:left="420"/>
      <w:spacing w:after="120"/>
    </w:pPr>
  </w:style>
  <w:style w:type="paragraph" w:styleId="876" w:customStyle="1">
    <w:name w:val="正文2"/>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877">
    <w:name w:val="toc 7"/>
    <w:basedOn w:val="864"/>
    <w:next w:val="863"/>
    <w:uiPriority w:val="39"/>
    <w:unhideWhenUsed/>
    <w:qFormat/>
    <w:pPr>
      <w:ind w:left="1701"/>
      <w:spacing w:after="57"/>
    </w:pPr>
  </w:style>
  <w:style w:type="paragraph" w:styleId="878">
    <w:name w:val="Normal Indent"/>
    <w:basedOn w:val="863"/>
    <w:next w:val="863"/>
    <w:uiPriority w:val="0"/>
    <w:qFormat/>
    <w:pPr>
      <w:ind w:firstLine="420"/>
      <w:jc w:val="left"/>
    </w:pPr>
    <w:rPr>
      <w:rFonts w:eastAsia="楷体_GB2312"/>
      <w:sz w:val="24"/>
    </w:rPr>
  </w:style>
  <w:style w:type="paragraph" w:styleId="879">
    <w:name w:val="Caption"/>
    <w:basedOn w:val="863"/>
    <w:next w:val="863"/>
    <w:uiPriority w:val="35"/>
    <w:semiHidden/>
    <w:unhideWhenUsed/>
    <w:qFormat/>
    <w:pPr>
      <w:spacing w:line="276" w:lineRule="auto"/>
    </w:pPr>
    <w:rPr>
      <w:b/>
      <w:bCs/>
      <w:color w:val="4f81bd" w:themeColor="accent1"/>
      <w:sz w:val="18"/>
      <w:szCs w:val="18"/>
    </w:rPr>
  </w:style>
  <w:style w:type="paragraph" w:styleId="880">
    <w:name w:val="annotation text"/>
    <w:basedOn w:val="863"/>
    <w:uiPriority w:val="99"/>
    <w:semiHidden/>
    <w:unhideWhenUsed/>
    <w:qFormat/>
    <w:pPr>
      <w:jc w:val="left"/>
    </w:pPr>
  </w:style>
  <w:style w:type="paragraph" w:styleId="881">
    <w:name w:val="Body Text"/>
    <w:basedOn w:val="863"/>
    <w:uiPriority w:val="0"/>
    <w:qFormat/>
    <w:pPr>
      <w:tabs>
        <w:tab w:val="left" w:pos="5250" w:leader="none"/>
      </w:tabs>
    </w:pPr>
    <w:rPr>
      <w:sz w:val="28"/>
    </w:rPr>
  </w:style>
  <w:style w:type="paragraph" w:styleId="882">
    <w:name w:val="List 2"/>
    <w:basedOn w:val="864"/>
    <w:next w:val="877"/>
    <w:uiPriority w:val="0"/>
    <w:qFormat/>
    <w:pPr>
      <w:ind w:left="100" w:firstLine="3640"/>
      <w:spacing w:before="0" w:after="0" w:line="240" w:lineRule="auto"/>
    </w:pPr>
    <w:rPr>
      <w:rFonts w:ascii="Times New Roman" w:hAnsi="Times New Roman" w:cs="Times New Roman"/>
    </w:rPr>
  </w:style>
  <w:style w:type="paragraph" w:styleId="883">
    <w:name w:val="toc 5"/>
    <w:basedOn w:val="863"/>
    <w:next w:val="863"/>
    <w:uiPriority w:val="39"/>
    <w:unhideWhenUsed/>
    <w:qFormat/>
    <w:pPr>
      <w:ind w:left="1134"/>
      <w:spacing w:after="57"/>
    </w:pPr>
  </w:style>
  <w:style w:type="paragraph" w:styleId="884">
    <w:name w:val="toc 3"/>
    <w:basedOn w:val="863"/>
    <w:next w:val="863"/>
    <w:uiPriority w:val="39"/>
    <w:unhideWhenUsed/>
    <w:qFormat/>
    <w:pPr>
      <w:ind w:left="567"/>
      <w:spacing w:after="57"/>
    </w:pPr>
  </w:style>
  <w:style w:type="paragraph" w:styleId="885">
    <w:name w:val="Plain Text"/>
    <w:basedOn w:val="863"/>
    <w:link w:val="1226"/>
    <w:uiPriority w:val="0"/>
    <w:qFormat/>
    <w:pPr>
      <w:ind w:firstLine="420"/>
    </w:pPr>
    <w:rPr>
      <w:rFonts w:ascii="宋体" w:hAnsi="Courier New" w:eastAsia="楷体_GB2312" w:cs="宋体"/>
      <w:sz w:val="28"/>
      <w:szCs w:val="20"/>
    </w:rPr>
  </w:style>
  <w:style w:type="paragraph" w:styleId="886">
    <w:name w:val="toc 8"/>
    <w:basedOn w:val="863"/>
    <w:next w:val="863"/>
    <w:uiPriority w:val="39"/>
    <w:unhideWhenUsed/>
    <w:qFormat/>
    <w:pPr>
      <w:ind w:left="1984"/>
      <w:spacing w:after="57"/>
    </w:pPr>
  </w:style>
  <w:style w:type="paragraph" w:styleId="887">
    <w:name w:val="Date"/>
    <w:basedOn w:val="863"/>
    <w:next w:val="863"/>
    <w:uiPriority w:val="0"/>
    <w:qFormat/>
    <w:rPr>
      <w:rFonts w:hint="eastAsia" w:ascii="宋体" w:hAnsi="宋体" w:eastAsia="楷体_GB2312"/>
      <w:sz w:val="24"/>
      <w:szCs w:val="20"/>
    </w:rPr>
  </w:style>
  <w:style w:type="paragraph" w:styleId="888">
    <w:name w:val="endnote text"/>
    <w:basedOn w:val="863"/>
    <w:uiPriority w:val="99"/>
    <w:semiHidden/>
    <w:unhideWhenUsed/>
    <w:qFormat/>
    <w:pPr>
      <w:spacing w:line="240" w:lineRule="auto"/>
    </w:pPr>
    <w:rPr>
      <w:sz w:val="20"/>
    </w:rPr>
  </w:style>
  <w:style w:type="paragraph" w:styleId="889">
    <w:name w:val="Balloon Text"/>
    <w:basedOn w:val="863"/>
    <w:uiPriority w:val="99"/>
    <w:unhideWhenUsed/>
    <w:qFormat/>
    <w:rPr>
      <w:sz w:val="18"/>
      <w:szCs w:val="18"/>
    </w:rPr>
  </w:style>
  <w:style w:type="paragraph" w:styleId="890">
    <w:name w:val="Footer"/>
    <w:basedOn w:val="863"/>
    <w:uiPriority w:val="99"/>
    <w:unhideWhenUsed/>
    <w:qFormat/>
    <w:pPr>
      <w:spacing w:line="240" w:lineRule="auto"/>
      <w:tabs>
        <w:tab w:val="center" w:pos="7143" w:leader="none"/>
        <w:tab w:val="right" w:pos="14287" w:leader="none"/>
      </w:tabs>
    </w:pPr>
  </w:style>
  <w:style w:type="paragraph" w:styleId="891">
    <w:name w:val="envelope return"/>
    <w:basedOn w:val="863"/>
    <w:uiPriority w:val="0"/>
    <w:qFormat/>
    <w:rPr>
      <w:rFonts w:ascii="Arial" w:hAnsi="Arial"/>
    </w:rPr>
  </w:style>
  <w:style w:type="paragraph" w:styleId="892">
    <w:name w:val="Header"/>
    <w:basedOn w:val="863"/>
    <w:uiPriority w:val="99"/>
    <w:unhideWhenUsed/>
    <w:qFormat/>
    <w:pPr>
      <w:spacing w:line="240" w:lineRule="auto"/>
      <w:tabs>
        <w:tab w:val="center" w:pos="7143" w:leader="none"/>
        <w:tab w:val="right" w:pos="14287" w:leader="none"/>
      </w:tabs>
    </w:pPr>
  </w:style>
  <w:style w:type="paragraph" w:styleId="893">
    <w:name w:val="toc 1"/>
    <w:basedOn w:val="863"/>
    <w:next w:val="863"/>
    <w:uiPriority w:val="39"/>
    <w:unhideWhenUsed/>
    <w:qFormat/>
    <w:pPr>
      <w:spacing w:after="57"/>
    </w:pPr>
  </w:style>
  <w:style w:type="paragraph" w:styleId="894">
    <w:name w:val="toc 4"/>
    <w:basedOn w:val="863"/>
    <w:next w:val="863"/>
    <w:uiPriority w:val="39"/>
    <w:unhideWhenUsed/>
    <w:qFormat/>
    <w:pPr>
      <w:ind w:left="850"/>
      <w:spacing w:after="57"/>
    </w:pPr>
  </w:style>
  <w:style w:type="paragraph" w:styleId="895">
    <w:name w:val="Subtitle"/>
    <w:basedOn w:val="863"/>
    <w:next w:val="863"/>
    <w:uiPriority w:val="11"/>
    <w:qFormat/>
    <w:pPr>
      <w:spacing w:before="200" w:after="200"/>
    </w:pPr>
    <w:rPr>
      <w:sz w:val="24"/>
    </w:rPr>
  </w:style>
  <w:style w:type="paragraph" w:styleId="896">
    <w:name w:val="List"/>
    <w:basedOn w:val="863"/>
    <w:next w:val="863"/>
    <w:uiPriority w:val="0"/>
    <w:qFormat/>
    <w:pPr>
      <w:ind w:left="420" w:hanging="420"/>
    </w:pPr>
    <w:rPr>
      <w:rFonts w:ascii="Arial" w:hAnsi="Arial" w:eastAsia="楷体_GB2312"/>
      <w:sz w:val="28"/>
    </w:rPr>
  </w:style>
  <w:style w:type="paragraph" w:styleId="897">
    <w:name w:val="footnote text"/>
    <w:basedOn w:val="863"/>
    <w:uiPriority w:val="99"/>
    <w:semiHidden/>
    <w:unhideWhenUsed/>
    <w:qFormat/>
    <w:pPr>
      <w:spacing w:after="40" w:line="240" w:lineRule="auto"/>
    </w:pPr>
    <w:rPr>
      <w:sz w:val="18"/>
    </w:rPr>
  </w:style>
  <w:style w:type="paragraph" w:styleId="898">
    <w:name w:val="toc 6"/>
    <w:basedOn w:val="863"/>
    <w:next w:val="863"/>
    <w:uiPriority w:val="39"/>
    <w:unhideWhenUsed/>
    <w:qFormat/>
    <w:pPr>
      <w:ind w:left="1417"/>
      <w:spacing w:after="57"/>
    </w:pPr>
  </w:style>
  <w:style w:type="paragraph" w:styleId="899">
    <w:name w:val="table of figures"/>
    <w:basedOn w:val="863"/>
    <w:next w:val="863"/>
    <w:uiPriority w:val="99"/>
    <w:unhideWhenUsed/>
    <w:qFormat/>
  </w:style>
  <w:style w:type="paragraph" w:styleId="900">
    <w:name w:val="toc 2"/>
    <w:basedOn w:val="863"/>
    <w:next w:val="863"/>
    <w:uiPriority w:val="39"/>
    <w:unhideWhenUsed/>
    <w:qFormat/>
    <w:pPr>
      <w:ind w:left="283"/>
      <w:spacing w:after="57"/>
    </w:pPr>
  </w:style>
  <w:style w:type="paragraph" w:styleId="901">
    <w:name w:val="toc 9"/>
    <w:basedOn w:val="863"/>
    <w:next w:val="863"/>
    <w:uiPriority w:val="39"/>
    <w:unhideWhenUsed/>
    <w:qFormat/>
    <w:pPr>
      <w:ind w:left="2268"/>
      <w:spacing w:after="57"/>
    </w:pPr>
  </w:style>
  <w:style w:type="paragraph" w:styleId="902">
    <w:name w:val="Body Text 2"/>
    <w:basedOn w:val="863"/>
    <w:uiPriority w:val="0"/>
    <w:qFormat/>
    <w:rPr>
      <w:color w:val="ff0000"/>
    </w:rPr>
  </w:style>
  <w:style w:type="paragraph" w:styleId="903">
    <w:name w:val="Normal (Web)"/>
    <w:basedOn w:val="863"/>
    <w:next w:val="882"/>
    <w:uiPriority w:val="0"/>
    <w:qFormat/>
    <w:pPr>
      <w:jc w:val="left"/>
      <w:spacing w:before="100" w:beforeAutospacing="1" w:after="100" w:afterAutospacing="1"/>
      <w:widowControl/>
    </w:pPr>
    <w:rPr>
      <w:rFonts w:ascii="宋体" w:hAnsi="宋体"/>
      <w:sz w:val="24"/>
    </w:rPr>
  </w:style>
  <w:style w:type="paragraph" w:styleId="904">
    <w:name w:val="Title"/>
    <w:basedOn w:val="863"/>
    <w:next w:val="863"/>
    <w:uiPriority w:val="10"/>
    <w:qFormat/>
    <w:pPr>
      <w:contextualSpacing/>
      <w:spacing w:before="300" w:after="200"/>
    </w:pPr>
    <w:rPr>
      <w:sz w:val="48"/>
      <w:szCs w:val="48"/>
    </w:rPr>
  </w:style>
  <w:style w:type="paragraph" w:styleId="905">
    <w:name w:val="Body Text First Indent 2"/>
    <w:basedOn w:val="875"/>
    <w:next w:val="896"/>
    <w:uiPriority w:val="99"/>
    <w:unhideWhenUsed/>
    <w:qFormat/>
    <w:pPr>
      <w:ind w:firstLine="420"/>
    </w:pPr>
  </w:style>
  <w:style w:type="table" w:styleId="9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Emphasis"/>
    <w:uiPriority w:val="0"/>
    <w:qFormat/>
    <w:rPr>
      <w:rFonts w:ascii="Times New Roman" w:hAnsi="Times New Roman" w:eastAsia="宋体" w:cs="Times New Roman"/>
      <w:i/>
      <w:sz w:val="21"/>
    </w:rPr>
  </w:style>
  <w:style w:type="character" w:styleId="909">
    <w:name w:val="Hyperlink"/>
    <w:uiPriority w:val="99"/>
    <w:unhideWhenUsed/>
    <w:qFormat/>
    <w:rPr>
      <w:color w:val="0000ff" w:themeColor="hyperlink"/>
      <w:u w:val="single"/>
    </w:rPr>
  </w:style>
  <w:style w:type="character" w:styleId="910">
    <w:name w:val="footnote reference"/>
    <w:uiPriority w:val="99"/>
    <w:unhideWhenUsed/>
    <w:qFormat/>
    <w:rPr>
      <w:vertAlign w:val="superscript"/>
    </w:rPr>
  </w:style>
  <w:style w:type="character" w:styleId="911" w:customStyle="1">
    <w:name w:val="Heading 6 Char"/>
    <w:basedOn w:val="873"/>
    <w:uiPriority w:val="9"/>
    <w:qFormat/>
    <w:rPr>
      <w:rFonts w:ascii="Arial" w:hAnsi="Arial" w:eastAsia="Arial" w:cs="Arial"/>
      <w:b/>
      <w:bCs/>
      <w:sz w:val="22"/>
      <w:szCs w:val="22"/>
    </w:rPr>
  </w:style>
  <w:style w:type="character" w:styleId="912" w:customStyle="1">
    <w:name w:val="Heading 7 Char"/>
    <w:basedOn w:val="873"/>
    <w:uiPriority w:val="9"/>
    <w:qFormat/>
    <w:rPr>
      <w:rFonts w:ascii="Arial" w:hAnsi="Arial" w:eastAsia="Arial" w:cs="Arial"/>
      <w:b/>
      <w:bCs/>
      <w:i/>
      <w:iCs/>
      <w:sz w:val="22"/>
      <w:szCs w:val="22"/>
    </w:rPr>
  </w:style>
  <w:style w:type="character" w:styleId="913" w:customStyle="1">
    <w:name w:val="Heading 8 Char"/>
    <w:basedOn w:val="873"/>
    <w:uiPriority w:val="9"/>
    <w:qFormat/>
    <w:rPr>
      <w:rFonts w:ascii="Arial" w:hAnsi="Arial" w:eastAsia="Arial" w:cs="Arial"/>
      <w:i/>
      <w:iCs/>
      <w:sz w:val="22"/>
      <w:szCs w:val="22"/>
    </w:rPr>
  </w:style>
  <w:style w:type="character" w:styleId="914" w:customStyle="1">
    <w:name w:val="Heading 9 Char"/>
    <w:basedOn w:val="873"/>
    <w:uiPriority w:val="9"/>
    <w:qFormat/>
    <w:rPr>
      <w:rFonts w:ascii="Arial" w:hAnsi="Arial" w:eastAsia="Arial" w:cs="Arial"/>
      <w:i/>
      <w:iCs/>
      <w:sz w:val="21"/>
      <w:szCs w:val="21"/>
    </w:rPr>
  </w:style>
  <w:style w:type="character" w:styleId="915" w:customStyle="1">
    <w:name w:val="Quote Char"/>
    <w:uiPriority w:val="29"/>
    <w:qFormat/>
    <w:rPr>
      <w:i/>
    </w:rPr>
  </w:style>
  <w:style w:type="character" w:styleId="916" w:customStyle="1">
    <w:name w:val="Intense Quote Char"/>
    <w:uiPriority w:val="30"/>
    <w:qFormat/>
    <w:rPr>
      <w:i/>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段"/>
    <w:next w:val="863"/>
    <w:uiPriority w:val="0"/>
    <w:qFormat/>
    <w:pPr>
      <w:ind w:firstLine="200"/>
      <w:jc w:val="both"/>
    </w:pPr>
    <w:rPr>
      <w:rFonts w:hint="default" w:ascii="宋体" w:hAnsi="Times New Roman" w:eastAsia="宋体" w:cs="Times New Roman"/>
      <w:sz w:val="21"/>
      <w:lang w:val="en-US" w:eastAsia="zh-CN" w:bidi="ar-SA"/>
    </w:rPr>
  </w:style>
  <w:style w:type="paragraph" w:styleId="919" w:customStyle="1">
    <w:name w:val="正文文本缩进1"/>
    <w:basedOn w:val="863"/>
    <w:next w:val="863"/>
    <w:link w:val="934"/>
    <w:uiPriority w:val="99"/>
    <w:qFormat/>
    <w:pPr>
      <w:ind w:left="420"/>
      <w:spacing w:after="120"/>
    </w:pPr>
  </w:style>
  <w:style w:type="paragraph" w:styleId="920" w:customStyle="1">
    <w:name w:val="标题 11"/>
    <w:basedOn w:val="863"/>
    <w:next w:val="863"/>
    <w:link w:val="923"/>
    <w:uiPriority w:val="9"/>
    <w:qFormat/>
    <w:pPr>
      <w:jc w:val="center"/>
      <w:keepLines/>
      <w:keepNext/>
      <w:spacing w:before="160" w:after="160" w:line="480" w:lineRule="auto"/>
      <w:outlineLvl w:val="0"/>
    </w:pPr>
    <w:rPr>
      <w:b/>
      <w:sz w:val="32"/>
    </w:rPr>
  </w:style>
  <w:style w:type="character" w:styleId="921" w:customStyle="1">
    <w:name w:val="默认段落字体1"/>
    <w:uiPriority w:val="1"/>
    <w:unhideWhenUsed/>
    <w:qFormat/>
  </w:style>
  <w:style w:type="table" w:styleId="922" w:customStyle="1">
    <w:name w:val="普通表格1"/>
    <w:uiPriority w:val="99"/>
    <w:unhideWhenUsed/>
    <w:qFormat/>
    <w:tblPr>
      <w:tblCellMar>
        <w:left w:w="0" w:type="dxa"/>
        <w:top w:w="0" w:type="dxa"/>
        <w:right w:w="0" w:type="dxa"/>
        <w:bottom w:w="0" w:type="dxa"/>
      </w:tblCellMar>
    </w:tblPr>
  </w:style>
  <w:style w:type="character" w:styleId="923" w:customStyle="1">
    <w:name w:val="标题 1 Char"/>
    <w:basedOn w:val="873"/>
    <w:link w:val="920"/>
    <w:uiPriority w:val="0"/>
    <w:qFormat/>
    <w:rPr>
      <w:rFonts w:ascii="Times New Roman" w:hAnsi="Times New Roman" w:eastAsia="宋体"/>
      <w:b/>
      <w:sz w:val="32"/>
    </w:rPr>
  </w:style>
  <w:style w:type="paragraph" w:styleId="924" w:customStyle="1">
    <w:name w:val="目录 71"/>
    <w:basedOn w:val="863"/>
    <w:next w:val="863"/>
    <w:uiPriority w:val="39"/>
    <w:unhideWhenUsed/>
    <w:qFormat/>
    <w:pPr>
      <w:ind w:left="1701"/>
      <w:spacing w:after="57"/>
    </w:pPr>
  </w:style>
  <w:style w:type="paragraph" w:styleId="925" w:customStyle="1">
    <w:name w:val="正文缩进11"/>
    <w:basedOn w:val="863"/>
    <w:link w:val="926"/>
    <w:uiPriority w:val="0"/>
    <w:qFormat/>
    <w:pPr>
      <w:ind w:firstLine="420"/>
      <w:jc w:val="left"/>
      <w:widowControl/>
    </w:pPr>
    <w:rPr>
      <w:rFonts w:eastAsia="楷体_GB2312"/>
      <w:sz w:val="24"/>
      <w:szCs w:val="20"/>
    </w:rPr>
  </w:style>
  <w:style w:type="character" w:styleId="926" w:customStyle="1">
    <w:name w:val="正文缩进 字符1"/>
    <w:link w:val="925"/>
    <w:uiPriority w:val="0"/>
    <w:qFormat/>
    <w:rPr>
      <w:rFonts w:eastAsia="楷体_GB2312"/>
      <w:sz w:val="24"/>
      <w:lang w:val="en-US" w:eastAsia="zh-CN" w:bidi="ar-SA"/>
    </w:rPr>
  </w:style>
  <w:style w:type="paragraph" w:styleId="927" w:customStyle="1">
    <w:name w:val="列表项目符号1"/>
    <w:basedOn w:val="863"/>
    <w:uiPriority w:val="0"/>
    <w:qFormat/>
    <w:pPr>
      <w:numPr>
        <w:ilvl w:val="0"/>
        <w:numId w:val="1"/>
      </w:numPr>
      <w:tabs>
        <w:tab w:val="left" w:pos="1155" w:leader="none"/>
      </w:tabs>
    </w:pPr>
    <w:rPr>
      <w:rFonts w:eastAsia="仿宋_GB2312"/>
      <w:sz w:val="30"/>
      <w:szCs w:val="20"/>
    </w:rPr>
  </w:style>
  <w:style w:type="paragraph" w:styleId="928" w:customStyle="1">
    <w:name w:val="文档结构图1"/>
    <w:basedOn w:val="863"/>
    <w:uiPriority w:val="0"/>
    <w:semiHidden/>
    <w:qFormat/>
    <w:pPr>
      <w:shd w:val="clear" w:color="auto" w:fill="000080"/>
    </w:pPr>
  </w:style>
  <w:style w:type="paragraph" w:styleId="929" w:customStyle="1">
    <w:name w:val="批注文字1"/>
    <w:basedOn w:val="863"/>
    <w:link w:val="930"/>
    <w:uiPriority w:val="0"/>
    <w:qFormat/>
    <w:pPr>
      <w:jc w:val="left"/>
    </w:pPr>
  </w:style>
  <w:style w:type="character" w:styleId="930" w:customStyle="1">
    <w:name w:val="批注文字 字符"/>
    <w:link w:val="929"/>
    <w:uiPriority w:val="0"/>
    <w:qFormat/>
    <w:rPr>
      <w:sz w:val="21"/>
      <w:szCs w:val="24"/>
    </w:rPr>
  </w:style>
  <w:style w:type="paragraph" w:styleId="931" w:customStyle="1">
    <w:name w:val="正文文本11"/>
    <w:basedOn w:val="863"/>
    <w:next w:val="863"/>
    <w:link w:val="932"/>
    <w:uiPriority w:val="0"/>
    <w:qFormat/>
    <w:pPr>
      <w:spacing w:after="120"/>
    </w:pPr>
  </w:style>
  <w:style w:type="character" w:styleId="932" w:customStyle="1">
    <w:name w:val="正文文本 字符"/>
    <w:link w:val="931"/>
    <w:uiPriority w:val="0"/>
    <w:qFormat/>
    <w:rPr>
      <w:rFonts w:eastAsia="宋体"/>
      <w:sz w:val="21"/>
      <w:szCs w:val="24"/>
      <w:lang w:val="en-US" w:eastAsia="zh-CN" w:bidi="ar-SA"/>
    </w:rPr>
  </w:style>
  <w:style w:type="paragraph" w:styleId="933" w:customStyle="1">
    <w:name w:val="寄信人地址1"/>
    <w:basedOn w:val="863"/>
    <w:uiPriority w:val="0"/>
    <w:qFormat/>
    <w:rPr>
      <w:rFonts w:ascii="Arial" w:hAnsi="Arial"/>
    </w:rPr>
  </w:style>
  <w:style w:type="character" w:styleId="934" w:customStyle="1">
    <w:name w:val="正文文本缩进 字符"/>
    <w:link w:val="919"/>
    <w:uiPriority w:val="99"/>
    <w:qFormat/>
    <w:rPr>
      <w:sz w:val="21"/>
      <w:szCs w:val="24"/>
    </w:rPr>
  </w:style>
  <w:style w:type="paragraph" w:styleId="935" w:customStyle="1">
    <w:name w:val="文本块1"/>
    <w:basedOn w:val="863"/>
    <w:uiPriority w:val="0"/>
    <w:qFormat/>
    <w:pPr>
      <w:ind w:left="630" w:right="-609" w:firstLine="420"/>
    </w:pPr>
    <w:rPr>
      <w:rFonts w:hint="eastAsia" w:ascii="仿宋_GB2312" w:eastAsia="仿宋_GB2312"/>
      <w:szCs w:val="20"/>
    </w:rPr>
  </w:style>
  <w:style w:type="paragraph" w:styleId="936" w:customStyle="1">
    <w:name w:val="目录 51"/>
    <w:basedOn w:val="863"/>
    <w:next w:val="863"/>
    <w:uiPriority w:val="39"/>
    <w:unhideWhenUsed/>
    <w:qFormat/>
    <w:pPr>
      <w:ind w:left="1134"/>
      <w:spacing w:after="57"/>
    </w:pPr>
  </w:style>
  <w:style w:type="paragraph" w:styleId="937" w:customStyle="1">
    <w:name w:val="目录 31"/>
    <w:basedOn w:val="863"/>
    <w:next w:val="863"/>
    <w:uiPriority w:val="0"/>
    <w:qFormat/>
    <w:pPr>
      <w:ind w:left="840" w:firstLine="200"/>
      <w:jc w:val="left"/>
    </w:pPr>
    <w:rPr>
      <w:sz w:val="24"/>
      <w:szCs w:val="22"/>
    </w:rPr>
  </w:style>
  <w:style w:type="paragraph" w:styleId="938" w:customStyle="1">
    <w:name w:val="纯文本11"/>
    <w:basedOn w:val="863"/>
    <w:link w:val="939"/>
    <w:uiPriority w:val="0"/>
    <w:qFormat/>
    <w:pPr>
      <w:jc w:val="left"/>
      <w:widowControl/>
    </w:pPr>
    <w:rPr>
      <w:rFonts w:ascii="宋体" w:hAnsi="Courier New" w:eastAsia="楷体_GB2312"/>
      <w:sz w:val="26"/>
    </w:rPr>
  </w:style>
  <w:style w:type="character" w:styleId="939" w:customStyle="1">
    <w:name w:val="纯文本 字符"/>
    <w:link w:val="938"/>
    <w:uiPriority w:val="0"/>
    <w:qFormat/>
    <w:rPr>
      <w:rFonts w:ascii="宋体" w:hAnsi="Courier New" w:eastAsia="楷体_GB2312"/>
      <w:sz w:val="26"/>
      <w:szCs w:val="24"/>
    </w:rPr>
  </w:style>
  <w:style w:type="paragraph" w:styleId="940" w:customStyle="1">
    <w:name w:val="目录 81"/>
    <w:basedOn w:val="863"/>
    <w:next w:val="863"/>
    <w:uiPriority w:val="39"/>
    <w:unhideWhenUsed/>
    <w:qFormat/>
    <w:pPr>
      <w:ind w:left="1984"/>
      <w:spacing w:after="57"/>
    </w:pPr>
  </w:style>
  <w:style w:type="paragraph" w:styleId="941" w:customStyle="1">
    <w:name w:val="日期1"/>
    <w:basedOn w:val="863"/>
    <w:next w:val="863"/>
    <w:link w:val="942"/>
    <w:uiPriority w:val="0"/>
    <w:qFormat/>
  </w:style>
  <w:style w:type="character" w:styleId="942" w:customStyle="1">
    <w:name w:val="日期 字符"/>
    <w:link w:val="941"/>
    <w:uiPriority w:val="0"/>
    <w:qFormat/>
    <w:rPr>
      <w:rFonts w:eastAsia="宋体"/>
      <w:sz w:val="21"/>
      <w:szCs w:val="24"/>
      <w:lang w:val="en-US" w:eastAsia="zh-CN" w:bidi="ar-SA"/>
    </w:rPr>
  </w:style>
  <w:style w:type="paragraph" w:styleId="943" w:customStyle="1">
    <w:name w:val="正文文本缩进 21"/>
    <w:basedOn w:val="863"/>
    <w:link w:val="944"/>
    <w:uiPriority w:val="0"/>
    <w:qFormat/>
    <w:pPr>
      <w:ind w:left="420"/>
      <w:spacing w:after="120" w:line="480" w:lineRule="auto"/>
    </w:pPr>
  </w:style>
  <w:style w:type="character" w:styleId="944" w:customStyle="1">
    <w:name w:val="正文文本缩进 2 Char"/>
    <w:link w:val="943"/>
    <w:uiPriority w:val="0"/>
    <w:qFormat/>
  </w:style>
  <w:style w:type="paragraph" w:styleId="945" w:customStyle="1">
    <w:name w:val="尾注文本1"/>
    <w:basedOn w:val="863"/>
    <w:link w:val="946"/>
    <w:uiPriority w:val="99"/>
    <w:unhideWhenUsed/>
    <w:qFormat/>
    <w:pPr>
      <w:spacing w:line="240" w:lineRule="auto"/>
    </w:pPr>
    <w:rPr>
      <w:sz w:val="20"/>
    </w:rPr>
  </w:style>
  <w:style w:type="character" w:styleId="946" w:customStyle="1">
    <w:name w:val="Endnote Text Char"/>
    <w:link w:val="945"/>
    <w:uiPriority w:val="99"/>
    <w:qFormat/>
    <w:rPr>
      <w:sz w:val="20"/>
    </w:rPr>
  </w:style>
  <w:style w:type="paragraph" w:styleId="947" w:customStyle="1">
    <w:name w:val="批注框文本1"/>
    <w:basedOn w:val="863"/>
    <w:link w:val="948"/>
    <w:uiPriority w:val="0"/>
    <w:semiHidden/>
    <w:qFormat/>
    <w:rPr>
      <w:sz w:val="18"/>
      <w:szCs w:val="18"/>
    </w:rPr>
  </w:style>
  <w:style w:type="character" w:styleId="948" w:customStyle="1">
    <w:name w:val="批注框文本 字符"/>
    <w:link w:val="947"/>
    <w:uiPriority w:val="0"/>
    <w:semiHidden/>
    <w:qFormat/>
    <w:rPr>
      <w:rFonts w:eastAsia="宋体"/>
      <w:sz w:val="18"/>
      <w:szCs w:val="18"/>
      <w:lang w:val="en-US" w:eastAsia="zh-CN" w:bidi="ar-SA"/>
    </w:rPr>
  </w:style>
  <w:style w:type="paragraph" w:styleId="949" w:customStyle="1">
    <w:name w:val="页脚1"/>
    <w:basedOn w:val="863"/>
    <w:uiPriority w:val="99"/>
    <w:unhideWhenUsed/>
    <w:qFormat/>
    <w:pPr>
      <w:jc w:val="left"/>
      <w:tabs>
        <w:tab w:val="center" w:pos="4153" w:leader="none"/>
        <w:tab w:val="right" w:pos="8306" w:leader="none"/>
      </w:tabs>
    </w:pPr>
    <w:rPr>
      <w:sz w:val="18"/>
    </w:rPr>
  </w:style>
  <w:style w:type="paragraph" w:styleId="950" w:customStyle="1">
    <w:name w:val="目录 11"/>
    <w:basedOn w:val="863"/>
    <w:next w:val="863"/>
    <w:uiPriority w:val="0"/>
    <w:semiHidden/>
    <w:qFormat/>
    <w:pPr>
      <w:jc w:val="left"/>
    </w:pPr>
    <w:rPr>
      <w:sz w:val="28"/>
      <w:szCs w:val="20"/>
    </w:rPr>
  </w:style>
  <w:style w:type="paragraph" w:styleId="951" w:customStyle="1">
    <w:name w:val="目录 41"/>
    <w:basedOn w:val="863"/>
    <w:next w:val="863"/>
    <w:uiPriority w:val="39"/>
    <w:unhideWhenUsed/>
    <w:qFormat/>
    <w:pPr>
      <w:ind w:left="850"/>
      <w:spacing w:after="57"/>
    </w:pPr>
  </w:style>
  <w:style w:type="paragraph" w:styleId="952" w:customStyle="1">
    <w:name w:val="副标题1"/>
    <w:basedOn w:val="863"/>
    <w:next w:val="863"/>
    <w:link w:val="953"/>
    <w:uiPriority w:val="0"/>
    <w:qFormat/>
    <w:pPr>
      <w:jc w:val="center"/>
      <w:spacing w:before="240" w:after="60" w:line="312" w:lineRule="auto"/>
      <w:outlineLvl w:val="1"/>
    </w:pPr>
    <w:rPr>
      <w:rFonts w:ascii="宋体" w:hAnsi="Courier New" w:eastAsia="楷体_GB2312"/>
      <w:sz w:val="26"/>
    </w:rPr>
  </w:style>
  <w:style w:type="character" w:styleId="953" w:customStyle="1">
    <w:name w:val="副标题 字符"/>
    <w:link w:val="952"/>
    <w:uiPriority w:val="0"/>
    <w:qFormat/>
    <w:rPr>
      <w:rFonts w:ascii="宋体" w:hAnsi="Courier New" w:eastAsia="楷体_GB2312"/>
      <w:sz w:val="26"/>
      <w:szCs w:val="24"/>
    </w:rPr>
  </w:style>
  <w:style w:type="paragraph" w:styleId="954" w:customStyle="1">
    <w:name w:val="列表1"/>
    <w:basedOn w:val="863"/>
    <w:next w:val="863"/>
    <w:uiPriority w:val="0"/>
    <w:qFormat/>
    <w:pPr>
      <w:ind w:left="420" w:hanging="420"/>
    </w:pPr>
    <w:rPr>
      <w:rFonts w:ascii="Arial" w:hAnsi="Arial" w:eastAsia="楷体_GB2312"/>
      <w:sz w:val="28"/>
    </w:rPr>
  </w:style>
  <w:style w:type="paragraph" w:styleId="955" w:customStyle="1">
    <w:name w:val="脚注文本1"/>
    <w:basedOn w:val="863"/>
    <w:link w:val="956"/>
    <w:uiPriority w:val="99"/>
    <w:unhideWhenUsed/>
    <w:qFormat/>
    <w:pPr>
      <w:spacing w:after="40" w:line="240" w:lineRule="auto"/>
    </w:pPr>
    <w:rPr>
      <w:sz w:val="18"/>
    </w:rPr>
  </w:style>
  <w:style w:type="character" w:styleId="956" w:customStyle="1">
    <w:name w:val="Footnote Text Char"/>
    <w:link w:val="955"/>
    <w:uiPriority w:val="99"/>
    <w:qFormat/>
    <w:rPr>
      <w:sz w:val="18"/>
    </w:rPr>
  </w:style>
  <w:style w:type="paragraph" w:styleId="957" w:customStyle="1">
    <w:name w:val="目录 61"/>
    <w:basedOn w:val="863"/>
    <w:next w:val="863"/>
    <w:uiPriority w:val="39"/>
    <w:unhideWhenUsed/>
    <w:qFormat/>
    <w:pPr>
      <w:ind w:left="1417"/>
      <w:spacing w:after="57"/>
    </w:pPr>
  </w:style>
  <w:style w:type="paragraph" w:styleId="958" w:customStyle="1">
    <w:name w:val="正文文本缩进 31"/>
    <w:basedOn w:val="863"/>
    <w:uiPriority w:val="0"/>
    <w:qFormat/>
    <w:pPr>
      <w:ind w:firstLine="480"/>
      <w:jc w:val="left"/>
      <w:spacing w:line="440" w:lineRule="atLeast"/>
    </w:pPr>
    <w:rPr>
      <w:sz w:val="24"/>
    </w:rPr>
  </w:style>
  <w:style w:type="paragraph" w:styleId="959" w:customStyle="1">
    <w:name w:val="图表目录1"/>
    <w:basedOn w:val="863"/>
    <w:next w:val="863"/>
    <w:uiPriority w:val="99"/>
    <w:unhideWhenUsed/>
    <w:qFormat/>
  </w:style>
  <w:style w:type="paragraph" w:styleId="960" w:customStyle="1">
    <w:name w:val="目录 21"/>
    <w:basedOn w:val="863"/>
    <w:next w:val="863"/>
    <w:uiPriority w:val="0"/>
    <w:qFormat/>
    <w:pPr>
      <w:ind w:left="420" w:firstLine="200"/>
      <w:jc w:val="left"/>
    </w:pPr>
    <w:rPr>
      <w:sz w:val="24"/>
      <w:szCs w:val="22"/>
    </w:rPr>
  </w:style>
  <w:style w:type="paragraph" w:styleId="961" w:customStyle="1">
    <w:name w:val="目录 91"/>
    <w:basedOn w:val="863"/>
    <w:next w:val="863"/>
    <w:uiPriority w:val="39"/>
    <w:unhideWhenUsed/>
    <w:qFormat/>
    <w:pPr>
      <w:ind w:left="2268"/>
      <w:spacing w:after="57"/>
    </w:pPr>
  </w:style>
  <w:style w:type="paragraph" w:styleId="962" w:customStyle="1">
    <w:name w:val="正文文本 21"/>
    <w:basedOn w:val="863"/>
    <w:uiPriority w:val="0"/>
    <w:qFormat/>
    <w:pPr>
      <w:spacing w:after="120" w:line="480" w:lineRule="auto"/>
    </w:pPr>
  </w:style>
  <w:style w:type="paragraph" w:styleId="963" w:customStyle="1">
    <w:name w:val="普通(网站)11"/>
    <w:basedOn w:val="863"/>
    <w:uiPriority w:val="0"/>
    <w:qFormat/>
    <w:pPr>
      <w:jc w:val="left"/>
      <w:spacing w:before="100" w:beforeAutospacing="1" w:after="100" w:afterAutospacing="1"/>
      <w:widowControl/>
    </w:pPr>
    <w:rPr>
      <w:rFonts w:ascii="宋体" w:hAnsi="宋体" w:cs="宋体"/>
      <w:sz w:val="24"/>
    </w:rPr>
  </w:style>
  <w:style w:type="paragraph" w:styleId="964" w:customStyle="1">
    <w:name w:val="索引 11"/>
    <w:basedOn w:val="863"/>
    <w:next w:val="863"/>
    <w:uiPriority w:val="0"/>
    <w:semiHidden/>
    <w:qFormat/>
  </w:style>
  <w:style w:type="paragraph" w:styleId="965" w:customStyle="1">
    <w:name w:val="标题1"/>
    <w:basedOn w:val="863"/>
    <w:link w:val="966"/>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character" w:styleId="966" w:customStyle="1">
    <w:name w:val="标题 字符"/>
    <w:link w:val="965"/>
    <w:uiPriority w:val="0"/>
    <w:qFormat/>
    <w:rPr>
      <w:rFonts w:ascii="Arial" w:hAnsi="Arial"/>
      <w:b/>
      <w:bCs/>
      <w:sz w:val="32"/>
      <w:szCs w:val="32"/>
    </w:rPr>
  </w:style>
  <w:style w:type="paragraph" w:styleId="967" w:customStyle="1">
    <w:name w:val="批注主题1"/>
    <w:basedOn w:val="929"/>
    <w:next w:val="929"/>
    <w:link w:val="968"/>
    <w:uiPriority w:val="0"/>
    <w:qFormat/>
    <w:rPr>
      <w:b/>
      <w:bCs/>
    </w:rPr>
  </w:style>
  <w:style w:type="character" w:styleId="968" w:customStyle="1">
    <w:name w:val="批注主题 字符"/>
    <w:link w:val="967"/>
    <w:uiPriority w:val="0"/>
    <w:qFormat/>
    <w:rPr>
      <w:b/>
      <w:bCs/>
      <w:sz w:val="21"/>
      <w:szCs w:val="24"/>
    </w:rPr>
  </w:style>
  <w:style w:type="paragraph" w:styleId="969" w:customStyle="1">
    <w:name w:val="正文首行缩进1"/>
    <w:uiPriority w:val="0"/>
    <w:qFormat/>
    <w:pPr>
      <w:ind w:firstLine="420"/>
      <w:jc w:val="both"/>
      <w:spacing w:after="120"/>
      <w:widowControl w:val="off"/>
    </w:pPr>
    <w:rPr>
      <w:rFonts w:hint="default" w:ascii="Calibri" w:hAnsi="Calibri" w:eastAsia="宋体" w:cs="Times New Roman"/>
      <w:sz w:val="21"/>
      <w:szCs w:val="24"/>
      <w:lang w:val="en-US" w:eastAsia="zh-CN" w:bidi="ar-SA"/>
    </w:rPr>
  </w:style>
  <w:style w:type="paragraph" w:styleId="970" w:customStyle="1">
    <w:name w:val="正文首行缩进 21"/>
    <w:basedOn w:val="919"/>
    <w:next w:val="971"/>
    <w:uiPriority w:val="0"/>
    <w:qFormat/>
    <w:pPr>
      <w:ind w:firstLine="420"/>
    </w:pPr>
    <w:rPr>
      <w:rFonts w:ascii="宋体" w:hAnsi="Courier New"/>
    </w:rPr>
  </w:style>
  <w:style w:type="paragraph" w:styleId="971" w:customStyle="1">
    <w:name w:val="Body"/>
    <w:next w:val="972"/>
    <w:uiPriority w:val="0"/>
    <w:qFormat/>
    <w:pPr>
      <w:ind w:left="567" w:right="2835" w:firstLine="3584"/>
      <w:spacing w:after="60"/>
    </w:pPr>
    <w:rPr>
      <w:rFonts w:hint="default" w:ascii="Calibri" w:hAnsi="Calibri" w:eastAsia="宋体" w:cs="宋体"/>
      <w:lang w:val="en-US" w:eastAsia="zh-CN" w:bidi="ar-SA"/>
    </w:rPr>
  </w:style>
  <w:style w:type="paragraph" w:styleId="972" w:customStyle="1">
    <w:name w:val="索引 91"/>
    <w:basedOn w:val="864"/>
    <w:next w:val="863"/>
    <w:uiPriority w:val="0"/>
    <w:qFormat/>
    <w:pPr>
      <w:ind w:left="1600" w:firstLine="2560"/>
      <w:spacing w:before="0" w:after="0" w:line="360" w:lineRule="auto"/>
    </w:pPr>
  </w:style>
  <w:style w:type="table" w:styleId="973" w:customStyle="1">
    <w:name w:val="网格型1"/>
    <w:basedOn w:val="922"/>
    <w:uiPriority w:val="0"/>
    <w:qFormat/>
    <w:tblPr>
      <w:tblCellMar>
        <w:left w:w="0" w:type="dxa"/>
        <w:top w:w="0" w:type="dxa"/>
        <w:right w:w="0" w:type="dxa"/>
        <w:bottom w:w="0" w:type="dxa"/>
      </w:tblCellMar>
    </w:tblPr>
  </w:style>
  <w:style w:type="character" w:styleId="974" w:customStyle="1">
    <w:name w:val="要点1"/>
    <w:basedOn w:val="921"/>
    <w:uiPriority w:val="0"/>
    <w:qFormat/>
    <w:rPr>
      <w:b/>
      <w:bCs/>
    </w:rPr>
  </w:style>
  <w:style w:type="character" w:styleId="975" w:customStyle="1">
    <w:name w:val="尾注引用1"/>
    <w:basedOn w:val="921"/>
    <w:uiPriority w:val="99"/>
    <w:unhideWhenUsed/>
    <w:qFormat/>
    <w:rPr>
      <w:vertAlign w:val="superscript"/>
    </w:rPr>
  </w:style>
  <w:style w:type="character" w:styleId="976" w:customStyle="1">
    <w:name w:val="页码1"/>
    <w:basedOn w:val="921"/>
    <w:uiPriority w:val="0"/>
    <w:qFormat/>
  </w:style>
  <w:style w:type="character" w:styleId="977" w:customStyle="1">
    <w:name w:val="已访问的超链接1"/>
    <w:uiPriority w:val="0"/>
    <w:qFormat/>
    <w:rPr>
      <w:color w:val="800080"/>
      <w:szCs w:val="24"/>
      <w:u w:val="none"/>
    </w:rPr>
  </w:style>
  <w:style w:type="character" w:styleId="978" w:customStyle="1">
    <w:name w:val="强调1"/>
    <w:uiPriority w:val="0"/>
    <w:qFormat/>
    <w:rPr>
      <w:i/>
      <w:iCs/>
    </w:rPr>
  </w:style>
  <w:style w:type="character" w:styleId="979" w:customStyle="1">
    <w:name w:val="超链接1"/>
    <w:uiPriority w:val="0"/>
    <w:qFormat/>
    <w:rPr>
      <w:color w:val="000000"/>
      <w:szCs w:val="24"/>
      <w:u w:val="none"/>
    </w:rPr>
  </w:style>
  <w:style w:type="character" w:styleId="980" w:customStyle="1">
    <w:name w:val="批注引用11"/>
    <w:uiPriority w:val="0"/>
    <w:qFormat/>
    <w:rPr>
      <w:sz w:val="21"/>
      <w:szCs w:val="21"/>
    </w:rPr>
  </w:style>
  <w:style w:type="character" w:styleId="981" w:customStyle="1">
    <w:name w:val="脚注引用1"/>
    <w:basedOn w:val="921"/>
    <w:uiPriority w:val="99"/>
    <w:unhideWhenUsed/>
    <w:qFormat/>
    <w:rPr>
      <w:vertAlign w:val="superscript"/>
    </w:rPr>
  </w:style>
  <w:style w:type="character" w:styleId="982" w:customStyle="1">
    <w:name w:val="Heading 1 Char"/>
    <w:basedOn w:val="921"/>
    <w:uiPriority w:val="9"/>
    <w:qFormat/>
    <w:rPr>
      <w:rFonts w:ascii="Arial" w:hAnsi="Arial" w:eastAsia="Arial" w:cs="Arial"/>
      <w:sz w:val="40"/>
      <w:szCs w:val="40"/>
    </w:rPr>
  </w:style>
  <w:style w:type="character" w:styleId="983" w:customStyle="1">
    <w:name w:val="Heading 2 Char"/>
    <w:basedOn w:val="921"/>
    <w:uiPriority w:val="9"/>
    <w:qFormat/>
    <w:rPr>
      <w:rFonts w:ascii="Arial" w:hAnsi="Arial" w:eastAsia="Arial" w:cs="Arial"/>
      <w:sz w:val="34"/>
    </w:rPr>
  </w:style>
  <w:style w:type="character" w:styleId="984" w:customStyle="1">
    <w:name w:val="标题 6 Char"/>
    <w:basedOn w:val="921"/>
    <w:link w:val="869"/>
    <w:uiPriority w:val="9"/>
    <w:qFormat/>
    <w:rPr>
      <w:rFonts w:ascii="Arial" w:hAnsi="Arial" w:eastAsia="Arial" w:cs="Arial"/>
      <w:b/>
      <w:bCs/>
      <w:sz w:val="22"/>
      <w:szCs w:val="22"/>
    </w:rPr>
  </w:style>
  <w:style w:type="character" w:styleId="985" w:customStyle="1">
    <w:name w:val="标题 7 Char"/>
    <w:basedOn w:val="921"/>
    <w:link w:val="870"/>
    <w:uiPriority w:val="9"/>
    <w:qFormat/>
    <w:rPr>
      <w:rFonts w:ascii="Arial" w:hAnsi="Arial" w:eastAsia="Arial" w:cs="Arial"/>
      <w:b/>
      <w:bCs/>
      <w:i/>
      <w:iCs/>
      <w:sz w:val="22"/>
      <w:szCs w:val="22"/>
    </w:rPr>
  </w:style>
  <w:style w:type="character" w:styleId="986" w:customStyle="1">
    <w:name w:val="标题 8 Char"/>
    <w:basedOn w:val="921"/>
    <w:link w:val="871"/>
    <w:uiPriority w:val="9"/>
    <w:qFormat/>
    <w:rPr>
      <w:rFonts w:ascii="Arial" w:hAnsi="Arial" w:eastAsia="Arial" w:cs="Arial"/>
      <w:i/>
      <w:iCs/>
      <w:sz w:val="22"/>
      <w:szCs w:val="22"/>
    </w:rPr>
  </w:style>
  <w:style w:type="character" w:styleId="987" w:customStyle="1">
    <w:name w:val="标题 9 Char"/>
    <w:basedOn w:val="921"/>
    <w:link w:val="872"/>
    <w:uiPriority w:val="9"/>
    <w:qFormat/>
    <w:rPr>
      <w:rFonts w:ascii="Arial" w:hAnsi="Arial" w:eastAsia="Arial" w:cs="Arial"/>
      <w:i/>
      <w:iCs/>
      <w:sz w:val="21"/>
      <w:szCs w:val="21"/>
    </w:rPr>
  </w:style>
  <w:style w:type="character" w:styleId="988" w:customStyle="1">
    <w:name w:val="Title Char"/>
    <w:basedOn w:val="921"/>
    <w:uiPriority w:val="10"/>
    <w:qFormat/>
    <w:rPr>
      <w:sz w:val="48"/>
      <w:szCs w:val="48"/>
    </w:rPr>
  </w:style>
  <w:style w:type="character" w:styleId="989" w:customStyle="1">
    <w:name w:val="Subtitle Char"/>
    <w:basedOn w:val="921"/>
    <w:uiPriority w:val="11"/>
    <w:qFormat/>
    <w:rPr>
      <w:sz w:val="24"/>
      <w:szCs w:val="24"/>
    </w:rPr>
  </w:style>
  <w:style w:type="paragraph" w:styleId="990">
    <w:name w:val="Quote"/>
    <w:basedOn w:val="863"/>
    <w:next w:val="863"/>
    <w:link w:val="991"/>
    <w:uiPriority w:val="29"/>
    <w:qFormat/>
    <w:pPr>
      <w:ind w:left="720" w:right="720"/>
    </w:pPr>
    <w:rPr>
      <w:i/>
    </w:rPr>
  </w:style>
  <w:style w:type="character" w:styleId="991" w:customStyle="1">
    <w:name w:val="引用 Char"/>
    <w:link w:val="990"/>
    <w:uiPriority w:val="29"/>
    <w:qFormat/>
    <w:rPr>
      <w:i/>
    </w:rPr>
  </w:style>
  <w:style w:type="paragraph" w:styleId="992">
    <w:name w:val="Intense Quote"/>
    <w:basedOn w:val="863"/>
    <w:next w:val="863"/>
    <w:link w:val="9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3" w:customStyle="1">
    <w:name w:val="明显引用 Char"/>
    <w:link w:val="992"/>
    <w:uiPriority w:val="30"/>
    <w:qFormat/>
    <w:rPr>
      <w:i/>
    </w:rPr>
  </w:style>
  <w:style w:type="paragraph" w:styleId="994" w:customStyle="1">
    <w:name w:val="Caption1"/>
    <w:basedOn w:val="863"/>
    <w:next w:val="863"/>
    <w:uiPriority w:val="35"/>
    <w:unhideWhenUsed/>
    <w:qFormat/>
    <w:pPr>
      <w:spacing w:line="276" w:lineRule="auto"/>
    </w:pPr>
    <w:rPr>
      <w:b/>
      <w:bCs/>
      <w:color w:val="4f81bd"/>
      <w:sz w:val="18"/>
      <w:szCs w:val="18"/>
    </w:rPr>
  </w:style>
  <w:style w:type="character" w:styleId="995" w:customStyle="1">
    <w:name w:val="Caption Char"/>
    <w:uiPriority w:val="99"/>
    <w:qFormat/>
  </w:style>
  <w:style w:type="table" w:styleId="996" w:customStyle="1">
    <w:name w:val="Table Grid Light"/>
    <w:basedOn w:val="922"/>
    <w:uiPriority w:val="59"/>
    <w:qFormat/>
    <w:tblPr>
      <w:tblCellMar>
        <w:left w:w="0" w:type="dxa"/>
        <w:top w:w="0" w:type="dxa"/>
        <w:right w:w="0" w:type="dxa"/>
        <w:bottom w:w="0" w:type="dxa"/>
      </w:tblCellMar>
    </w:tblPr>
  </w:style>
  <w:style w:type="table" w:styleId="997" w:customStyle="1">
    <w:name w:val="Plain Table 1"/>
    <w:basedOn w:val="922"/>
    <w:uiPriority w:val="59"/>
    <w:qFormat/>
    <w:tblPr>
      <w:tblCellMar>
        <w:left w:w="0" w:type="dxa"/>
        <w:top w:w="0" w:type="dxa"/>
        <w:right w:w="0" w:type="dxa"/>
        <w:bottom w:w="0" w:type="dxa"/>
      </w:tblCellMar>
    </w:tblPr>
  </w:style>
  <w:style w:type="table" w:styleId="998" w:customStyle="1">
    <w:name w:val="Plain Table 2"/>
    <w:basedOn w:val="922"/>
    <w:uiPriority w:val="59"/>
    <w:qFormat/>
    <w:tblPr>
      <w:tblCellMar>
        <w:left w:w="0" w:type="dxa"/>
        <w:top w:w="0" w:type="dxa"/>
        <w:right w:w="0" w:type="dxa"/>
        <w:bottom w:w="0" w:type="dxa"/>
      </w:tblCellMar>
    </w:tblPr>
  </w:style>
  <w:style w:type="table" w:styleId="999" w:customStyle="1">
    <w:name w:val="Plain Table 3"/>
    <w:basedOn w:val="922"/>
    <w:uiPriority w:val="99"/>
    <w:qFormat/>
    <w:tblPr>
      <w:tblCellMar>
        <w:left w:w="0" w:type="dxa"/>
        <w:top w:w="0" w:type="dxa"/>
        <w:right w:w="0" w:type="dxa"/>
        <w:bottom w:w="0" w:type="dxa"/>
      </w:tblCellMar>
    </w:tblPr>
  </w:style>
  <w:style w:type="table" w:styleId="1000" w:customStyle="1">
    <w:name w:val="Plain Table 4"/>
    <w:basedOn w:val="922"/>
    <w:uiPriority w:val="99"/>
    <w:qFormat/>
    <w:tblPr>
      <w:tblCellMar>
        <w:left w:w="0" w:type="dxa"/>
        <w:top w:w="0" w:type="dxa"/>
        <w:right w:w="0" w:type="dxa"/>
        <w:bottom w:w="0" w:type="dxa"/>
      </w:tblCellMar>
    </w:tblPr>
  </w:style>
  <w:style w:type="table" w:styleId="1001" w:customStyle="1">
    <w:name w:val="Plain Table 5"/>
    <w:basedOn w:val="922"/>
    <w:uiPriority w:val="99"/>
    <w:qFormat/>
    <w:tblPr>
      <w:tblCellMar>
        <w:left w:w="0" w:type="dxa"/>
        <w:top w:w="0" w:type="dxa"/>
        <w:right w:w="0" w:type="dxa"/>
        <w:bottom w:w="0" w:type="dxa"/>
      </w:tblCellMar>
    </w:tblPr>
  </w:style>
  <w:style w:type="table" w:styleId="1002" w:customStyle="1">
    <w:name w:val="Grid Table 1 Light"/>
    <w:basedOn w:val="922"/>
    <w:uiPriority w:val="99"/>
    <w:qFormat/>
    <w:tblPr>
      <w:tblCellMar>
        <w:left w:w="0" w:type="dxa"/>
        <w:top w:w="0" w:type="dxa"/>
        <w:right w:w="0" w:type="dxa"/>
        <w:bottom w:w="0" w:type="dxa"/>
      </w:tblCellMar>
    </w:tblPr>
  </w:style>
  <w:style w:type="table" w:styleId="1003" w:customStyle="1">
    <w:name w:val="Grid Table 1 Light - Accent 1"/>
    <w:basedOn w:val="922"/>
    <w:uiPriority w:val="99"/>
    <w:qFormat/>
    <w:tblPr>
      <w:tblCellMar>
        <w:left w:w="0" w:type="dxa"/>
        <w:top w:w="0" w:type="dxa"/>
        <w:right w:w="0" w:type="dxa"/>
        <w:bottom w:w="0" w:type="dxa"/>
      </w:tblCellMar>
    </w:tblPr>
  </w:style>
  <w:style w:type="table" w:styleId="1004" w:customStyle="1">
    <w:name w:val="Grid Table 1 Light - Accent 2"/>
    <w:basedOn w:val="922"/>
    <w:uiPriority w:val="99"/>
    <w:qFormat/>
    <w:tblPr>
      <w:tblCellMar>
        <w:left w:w="0" w:type="dxa"/>
        <w:top w:w="0" w:type="dxa"/>
        <w:right w:w="0" w:type="dxa"/>
        <w:bottom w:w="0" w:type="dxa"/>
      </w:tblCellMar>
    </w:tblPr>
  </w:style>
  <w:style w:type="table" w:styleId="1005" w:customStyle="1">
    <w:name w:val="Grid Table 1 Light - Accent 3"/>
    <w:basedOn w:val="922"/>
    <w:uiPriority w:val="99"/>
    <w:qFormat/>
    <w:tblPr>
      <w:tblCellMar>
        <w:left w:w="0" w:type="dxa"/>
        <w:top w:w="0" w:type="dxa"/>
        <w:right w:w="0" w:type="dxa"/>
        <w:bottom w:w="0" w:type="dxa"/>
      </w:tblCellMar>
    </w:tblPr>
  </w:style>
  <w:style w:type="table" w:styleId="1006" w:customStyle="1">
    <w:name w:val="Grid Table 1 Light - Accent 4"/>
    <w:basedOn w:val="922"/>
    <w:uiPriority w:val="99"/>
    <w:qFormat/>
    <w:tblPr>
      <w:tblCellMar>
        <w:left w:w="0" w:type="dxa"/>
        <w:top w:w="0" w:type="dxa"/>
        <w:right w:w="0" w:type="dxa"/>
        <w:bottom w:w="0" w:type="dxa"/>
      </w:tblCellMar>
    </w:tblPr>
  </w:style>
  <w:style w:type="table" w:styleId="1007" w:customStyle="1">
    <w:name w:val="Grid Table 1 Light - Accent 5"/>
    <w:basedOn w:val="922"/>
    <w:uiPriority w:val="99"/>
    <w:qFormat/>
    <w:tblPr>
      <w:tblCellMar>
        <w:left w:w="0" w:type="dxa"/>
        <w:top w:w="0" w:type="dxa"/>
        <w:right w:w="0" w:type="dxa"/>
        <w:bottom w:w="0" w:type="dxa"/>
      </w:tblCellMar>
    </w:tblPr>
  </w:style>
  <w:style w:type="table" w:styleId="1008" w:customStyle="1">
    <w:name w:val="Grid Table 1 Light - Accent 6"/>
    <w:basedOn w:val="922"/>
    <w:uiPriority w:val="99"/>
    <w:qFormat/>
    <w:tblPr>
      <w:tblCellMar>
        <w:left w:w="0" w:type="dxa"/>
        <w:top w:w="0" w:type="dxa"/>
        <w:right w:w="0" w:type="dxa"/>
        <w:bottom w:w="0" w:type="dxa"/>
      </w:tblCellMar>
    </w:tblPr>
  </w:style>
  <w:style w:type="table" w:styleId="1009" w:customStyle="1">
    <w:name w:val="Grid Table 2"/>
    <w:basedOn w:val="922"/>
    <w:uiPriority w:val="99"/>
    <w:qFormat/>
    <w:tblPr>
      <w:tblCellMar>
        <w:left w:w="0" w:type="dxa"/>
        <w:top w:w="0" w:type="dxa"/>
        <w:right w:w="0" w:type="dxa"/>
        <w:bottom w:w="0" w:type="dxa"/>
      </w:tblCellMar>
    </w:tblPr>
  </w:style>
  <w:style w:type="table" w:styleId="1010" w:customStyle="1">
    <w:name w:val="Grid Table 2 - Accent 1"/>
    <w:basedOn w:val="922"/>
    <w:uiPriority w:val="99"/>
    <w:qFormat/>
    <w:tblPr>
      <w:tblCellMar>
        <w:left w:w="0" w:type="dxa"/>
        <w:top w:w="0" w:type="dxa"/>
        <w:right w:w="0" w:type="dxa"/>
        <w:bottom w:w="0" w:type="dxa"/>
      </w:tblCellMar>
    </w:tblPr>
  </w:style>
  <w:style w:type="table" w:styleId="1011" w:customStyle="1">
    <w:name w:val="Grid Table 2 - Accent 2"/>
    <w:basedOn w:val="922"/>
    <w:uiPriority w:val="99"/>
    <w:qFormat/>
    <w:tblPr>
      <w:tblCellMar>
        <w:left w:w="0" w:type="dxa"/>
        <w:top w:w="0" w:type="dxa"/>
        <w:right w:w="0" w:type="dxa"/>
        <w:bottom w:w="0" w:type="dxa"/>
      </w:tblCellMar>
    </w:tblPr>
  </w:style>
  <w:style w:type="table" w:styleId="1012" w:customStyle="1">
    <w:name w:val="Grid Table 2 - Accent 3"/>
    <w:basedOn w:val="922"/>
    <w:uiPriority w:val="99"/>
    <w:qFormat/>
    <w:tblPr>
      <w:tblCellMar>
        <w:left w:w="0" w:type="dxa"/>
        <w:top w:w="0" w:type="dxa"/>
        <w:right w:w="0" w:type="dxa"/>
        <w:bottom w:w="0" w:type="dxa"/>
      </w:tblCellMar>
    </w:tblPr>
  </w:style>
  <w:style w:type="table" w:styleId="1013" w:customStyle="1">
    <w:name w:val="Grid Table 2 - Accent 4"/>
    <w:basedOn w:val="922"/>
    <w:uiPriority w:val="99"/>
    <w:qFormat/>
    <w:tblPr>
      <w:tblCellMar>
        <w:left w:w="0" w:type="dxa"/>
        <w:top w:w="0" w:type="dxa"/>
        <w:right w:w="0" w:type="dxa"/>
        <w:bottom w:w="0" w:type="dxa"/>
      </w:tblCellMar>
    </w:tblPr>
  </w:style>
  <w:style w:type="table" w:styleId="1014" w:customStyle="1">
    <w:name w:val="Grid Table 2 - Accent 5"/>
    <w:basedOn w:val="922"/>
    <w:uiPriority w:val="99"/>
    <w:qFormat/>
    <w:tblPr>
      <w:tblCellMar>
        <w:left w:w="0" w:type="dxa"/>
        <w:top w:w="0" w:type="dxa"/>
        <w:right w:w="0" w:type="dxa"/>
        <w:bottom w:w="0" w:type="dxa"/>
      </w:tblCellMar>
    </w:tblPr>
  </w:style>
  <w:style w:type="table" w:styleId="1015" w:customStyle="1">
    <w:name w:val="Grid Table 2 - Accent 6"/>
    <w:basedOn w:val="922"/>
    <w:uiPriority w:val="99"/>
    <w:qFormat/>
    <w:tblPr>
      <w:tblCellMar>
        <w:left w:w="0" w:type="dxa"/>
        <w:top w:w="0" w:type="dxa"/>
        <w:right w:w="0" w:type="dxa"/>
        <w:bottom w:w="0" w:type="dxa"/>
      </w:tblCellMar>
    </w:tblPr>
  </w:style>
  <w:style w:type="table" w:styleId="1016" w:customStyle="1">
    <w:name w:val="Grid Table 3"/>
    <w:basedOn w:val="922"/>
    <w:uiPriority w:val="99"/>
    <w:qFormat/>
    <w:tblPr>
      <w:tblCellMar>
        <w:left w:w="0" w:type="dxa"/>
        <w:top w:w="0" w:type="dxa"/>
        <w:right w:w="0" w:type="dxa"/>
        <w:bottom w:w="0" w:type="dxa"/>
      </w:tblCellMar>
    </w:tblPr>
  </w:style>
  <w:style w:type="table" w:styleId="1017" w:customStyle="1">
    <w:name w:val="Grid Table 3 - Accent 1"/>
    <w:basedOn w:val="922"/>
    <w:uiPriority w:val="99"/>
    <w:qFormat/>
    <w:tblPr>
      <w:tblCellMar>
        <w:left w:w="0" w:type="dxa"/>
        <w:top w:w="0" w:type="dxa"/>
        <w:right w:w="0" w:type="dxa"/>
        <w:bottom w:w="0" w:type="dxa"/>
      </w:tblCellMar>
    </w:tblPr>
  </w:style>
  <w:style w:type="table" w:styleId="1018" w:customStyle="1">
    <w:name w:val="Grid Table 3 - Accent 2"/>
    <w:basedOn w:val="922"/>
    <w:uiPriority w:val="99"/>
    <w:qFormat/>
    <w:tblPr>
      <w:tblCellMar>
        <w:left w:w="0" w:type="dxa"/>
        <w:top w:w="0" w:type="dxa"/>
        <w:right w:w="0" w:type="dxa"/>
        <w:bottom w:w="0" w:type="dxa"/>
      </w:tblCellMar>
    </w:tblPr>
  </w:style>
  <w:style w:type="table" w:styleId="1019" w:customStyle="1">
    <w:name w:val="Grid Table 3 - Accent 3"/>
    <w:basedOn w:val="922"/>
    <w:uiPriority w:val="99"/>
    <w:qFormat/>
    <w:tblPr>
      <w:tblCellMar>
        <w:left w:w="0" w:type="dxa"/>
        <w:top w:w="0" w:type="dxa"/>
        <w:right w:w="0" w:type="dxa"/>
        <w:bottom w:w="0" w:type="dxa"/>
      </w:tblCellMar>
    </w:tblPr>
  </w:style>
  <w:style w:type="table" w:styleId="1020" w:customStyle="1">
    <w:name w:val="Grid Table 3 - Accent 4"/>
    <w:basedOn w:val="922"/>
    <w:uiPriority w:val="99"/>
    <w:qFormat/>
    <w:tblPr>
      <w:tblCellMar>
        <w:left w:w="0" w:type="dxa"/>
        <w:top w:w="0" w:type="dxa"/>
        <w:right w:w="0" w:type="dxa"/>
        <w:bottom w:w="0" w:type="dxa"/>
      </w:tblCellMar>
    </w:tblPr>
  </w:style>
  <w:style w:type="table" w:styleId="1021" w:customStyle="1">
    <w:name w:val="Grid Table 3 - Accent 5"/>
    <w:basedOn w:val="922"/>
    <w:uiPriority w:val="99"/>
    <w:qFormat/>
    <w:tblPr>
      <w:tblCellMar>
        <w:left w:w="0" w:type="dxa"/>
        <w:top w:w="0" w:type="dxa"/>
        <w:right w:w="0" w:type="dxa"/>
        <w:bottom w:w="0" w:type="dxa"/>
      </w:tblCellMar>
    </w:tblPr>
  </w:style>
  <w:style w:type="table" w:styleId="1022" w:customStyle="1">
    <w:name w:val="Grid Table 3 - Accent 6"/>
    <w:basedOn w:val="922"/>
    <w:uiPriority w:val="99"/>
    <w:qFormat/>
    <w:tblPr>
      <w:tblCellMar>
        <w:left w:w="0" w:type="dxa"/>
        <w:top w:w="0" w:type="dxa"/>
        <w:right w:w="0" w:type="dxa"/>
        <w:bottom w:w="0" w:type="dxa"/>
      </w:tblCellMar>
    </w:tblPr>
  </w:style>
  <w:style w:type="table" w:styleId="1023" w:customStyle="1">
    <w:name w:val="Grid Table 4"/>
    <w:basedOn w:val="922"/>
    <w:uiPriority w:val="59"/>
    <w:qFormat/>
    <w:tblPr>
      <w:tblCellMar>
        <w:left w:w="0" w:type="dxa"/>
        <w:top w:w="0" w:type="dxa"/>
        <w:right w:w="0" w:type="dxa"/>
        <w:bottom w:w="0" w:type="dxa"/>
      </w:tblCellMar>
    </w:tblPr>
  </w:style>
  <w:style w:type="table" w:styleId="1024" w:customStyle="1">
    <w:name w:val="Grid Table 4 - Accent 1"/>
    <w:basedOn w:val="922"/>
    <w:uiPriority w:val="59"/>
    <w:qFormat/>
    <w:tblPr>
      <w:tblCellMar>
        <w:left w:w="0" w:type="dxa"/>
        <w:top w:w="0" w:type="dxa"/>
        <w:right w:w="0" w:type="dxa"/>
        <w:bottom w:w="0" w:type="dxa"/>
      </w:tblCellMar>
    </w:tblPr>
  </w:style>
  <w:style w:type="table" w:styleId="1025" w:customStyle="1">
    <w:name w:val="Grid Table 4 - Accent 2"/>
    <w:basedOn w:val="922"/>
    <w:uiPriority w:val="59"/>
    <w:qFormat/>
    <w:tblPr>
      <w:tblCellMar>
        <w:left w:w="0" w:type="dxa"/>
        <w:top w:w="0" w:type="dxa"/>
        <w:right w:w="0" w:type="dxa"/>
        <w:bottom w:w="0" w:type="dxa"/>
      </w:tblCellMar>
    </w:tblPr>
  </w:style>
  <w:style w:type="table" w:styleId="1026" w:customStyle="1">
    <w:name w:val="Grid Table 4 - Accent 3"/>
    <w:basedOn w:val="922"/>
    <w:uiPriority w:val="59"/>
    <w:qFormat/>
    <w:tblPr>
      <w:tblCellMar>
        <w:left w:w="0" w:type="dxa"/>
        <w:top w:w="0" w:type="dxa"/>
        <w:right w:w="0" w:type="dxa"/>
        <w:bottom w:w="0" w:type="dxa"/>
      </w:tblCellMar>
    </w:tblPr>
  </w:style>
  <w:style w:type="table" w:styleId="1027" w:customStyle="1">
    <w:name w:val="Grid Table 4 - Accent 4"/>
    <w:basedOn w:val="922"/>
    <w:uiPriority w:val="59"/>
    <w:qFormat/>
    <w:tblPr>
      <w:tblCellMar>
        <w:left w:w="0" w:type="dxa"/>
        <w:top w:w="0" w:type="dxa"/>
        <w:right w:w="0" w:type="dxa"/>
        <w:bottom w:w="0" w:type="dxa"/>
      </w:tblCellMar>
    </w:tblPr>
  </w:style>
  <w:style w:type="table" w:styleId="1028" w:customStyle="1">
    <w:name w:val="Grid Table 4 - Accent 5"/>
    <w:basedOn w:val="922"/>
    <w:uiPriority w:val="59"/>
    <w:qFormat/>
    <w:tblPr>
      <w:tblCellMar>
        <w:left w:w="0" w:type="dxa"/>
        <w:top w:w="0" w:type="dxa"/>
        <w:right w:w="0" w:type="dxa"/>
        <w:bottom w:w="0" w:type="dxa"/>
      </w:tblCellMar>
    </w:tblPr>
  </w:style>
  <w:style w:type="table" w:styleId="1029" w:customStyle="1">
    <w:name w:val="Grid Table 4 - Accent 6"/>
    <w:basedOn w:val="922"/>
    <w:uiPriority w:val="59"/>
    <w:qFormat/>
    <w:tblPr>
      <w:tblCellMar>
        <w:left w:w="0" w:type="dxa"/>
        <w:top w:w="0" w:type="dxa"/>
        <w:right w:w="0" w:type="dxa"/>
        <w:bottom w:w="0" w:type="dxa"/>
      </w:tblCellMar>
    </w:tblPr>
  </w:style>
  <w:style w:type="table" w:styleId="1030" w:customStyle="1">
    <w:name w:val="Grid Table 5 Dark"/>
    <w:basedOn w:val="922"/>
    <w:uiPriority w:val="99"/>
    <w:qFormat/>
    <w:tblPr>
      <w:tblCellMar>
        <w:left w:w="0" w:type="dxa"/>
        <w:top w:w="0" w:type="dxa"/>
        <w:right w:w="0" w:type="dxa"/>
        <w:bottom w:w="0" w:type="dxa"/>
      </w:tblCellMar>
    </w:tblPr>
  </w:style>
  <w:style w:type="table" w:styleId="1031" w:customStyle="1">
    <w:name w:val="Grid Table 5 Dark- Accent 1"/>
    <w:basedOn w:val="922"/>
    <w:uiPriority w:val="99"/>
    <w:qFormat/>
    <w:tblPr>
      <w:tblCellMar>
        <w:left w:w="0" w:type="dxa"/>
        <w:top w:w="0" w:type="dxa"/>
        <w:right w:w="0" w:type="dxa"/>
        <w:bottom w:w="0" w:type="dxa"/>
      </w:tblCellMar>
    </w:tblPr>
  </w:style>
  <w:style w:type="table" w:styleId="1032" w:customStyle="1">
    <w:name w:val="Grid Table 5 Dark - Accent 2"/>
    <w:basedOn w:val="922"/>
    <w:uiPriority w:val="99"/>
    <w:qFormat/>
    <w:tblPr>
      <w:tblCellMar>
        <w:left w:w="0" w:type="dxa"/>
        <w:top w:w="0" w:type="dxa"/>
        <w:right w:w="0" w:type="dxa"/>
        <w:bottom w:w="0" w:type="dxa"/>
      </w:tblCellMar>
    </w:tblPr>
  </w:style>
  <w:style w:type="table" w:styleId="1033" w:customStyle="1">
    <w:name w:val="Grid Table 5 Dark - Accent 3"/>
    <w:basedOn w:val="922"/>
    <w:uiPriority w:val="99"/>
    <w:qFormat/>
    <w:tblPr>
      <w:tblCellMar>
        <w:left w:w="0" w:type="dxa"/>
        <w:top w:w="0" w:type="dxa"/>
        <w:right w:w="0" w:type="dxa"/>
        <w:bottom w:w="0" w:type="dxa"/>
      </w:tblCellMar>
    </w:tblPr>
  </w:style>
  <w:style w:type="table" w:styleId="1034" w:customStyle="1">
    <w:name w:val="Grid Table 5 Dark- Accent 4"/>
    <w:basedOn w:val="922"/>
    <w:uiPriority w:val="99"/>
    <w:qFormat/>
    <w:tblPr>
      <w:tblCellMar>
        <w:left w:w="0" w:type="dxa"/>
        <w:top w:w="0" w:type="dxa"/>
        <w:right w:w="0" w:type="dxa"/>
        <w:bottom w:w="0" w:type="dxa"/>
      </w:tblCellMar>
    </w:tblPr>
  </w:style>
  <w:style w:type="table" w:styleId="1035" w:customStyle="1">
    <w:name w:val="Grid Table 5 Dark - Accent 5"/>
    <w:basedOn w:val="922"/>
    <w:uiPriority w:val="99"/>
    <w:qFormat/>
    <w:tblPr>
      <w:tblCellMar>
        <w:left w:w="0" w:type="dxa"/>
        <w:top w:w="0" w:type="dxa"/>
        <w:right w:w="0" w:type="dxa"/>
        <w:bottom w:w="0" w:type="dxa"/>
      </w:tblCellMar>
    </w:tblPr>
  </w:style>
  <w:style w:type="table" w:styleId="1036" w:customStyle="1">
    <w:name w:val="Grid Table 5 Dark - Accent 6"/>
    <w:basedOn w:val="922"/>
    <w:uiPriority w:val="99"/>
    <w:qFormat/>
    <w:tblPr>
      <w:tblCellMar>
        <w:left w:w="0" w:type="dxa"/>
        <w:top w:w="0" w:type="dxa"/>
        <w:right w:w="0" w:type="dxa"/>
        <w:bottom w:w="0" w:type="dxa"/>
      </w:tblCellMar>
    </w:tblPr>
  </w:style>
  <w:style w:type="table" w:styleId="1037" w:customStyle="1">
    <w:name w:val="Grid Table 6 Colorful"/>
    <w:basedOn w:val="922"/>
    <w:uiPriority w:val="99"/>
    <w:qFormat/>
    <w:tblPr>
      <w:tblCellMar>
        <w:left w:w="0" w:type="dxa"/>
        <w:top w:w="0" w:type="dxa"/>
        <w:right w:w="0" w:type="dxa"/>
        <w:bottom w:w="0" w:type="dxa"/>
      </w:tblCellMar>
    </w:tblPr>
  </w:style>
  <w:style w:type="table" w:styleId="1038" w:customStyle="1">
    <w:name w:val="Grid Table 6 Colorful - Accent 1"/>
    <w:basedOn w:val="922"/>
    <w:uiPriority w:val="99"/>
    <w:qFormat/>
    <w:tblPr>
      <w:tblCellMar>
        <w:left w:w="0" w:type="dxa"/>
        <w:top w:w="0" w:type="dxa"/>
        <w:right w:w="0" w:type="dxa"/>
        <w:bottom w:w="0" w:type="dxa"/>
      </w:tblCellMar>
    </w:tblPr>
  </w:style>
  <w:style w:type="table" w:styleId="1039" w:customStyle="1">
    <w:name w:val="Grid Table 6 Colorful - Accent 2"/>
    <w:basedOn w:val="922"/>
    <w:uiPriority w:val="99"/>
    <w:qFormat/>
    <w:tblPr>
      <w:tblCellMar>
        <w:left w:w="0" w:type="dxa"/>
        <w:top w:w="0" w:type="dxa"/>
        <w:right w:w="0" w:type="dxa"/>
        <w:bottom w:w="0" w:type="dxa"/>
      </w:tblCellMar>
    </w:tblPr>
  </w:style>
  <w:style w:type="table" w:styleId="1040" w:customStyle="1">
    <w:name w:val="Grid Table 6 Colorful - Accent 3"/>
    <w:basedOn w:val="922"/>
    <w:uiPriority w:val="99"/>
    <w:qFormat/>
    <w:tblPr>
      <w:tblCellMar>
        <w:left w:w="0" w:type="dxa"/>
        <w:top w:w="0" w:type="dxa"/>
        <w:right w:w="0" w:type="dxa"/>
        <w:bottom w:w="0" w:type="dxa"/>
      </w:tblCellMar>
    </w:tblPr>
  </w:style>
  <w:style w:type="table" w:styleId="1041" w:customStyle="1">
    <w:name w:val="Grid Table 6 Colorful - Accent 4"/>
    <w:basedOn w:val="922"/>
    <w:uiPriority w:val="99"/>
    <w:qFormat/>
    <w:tblPr>
      <w:tblCellMar>
        <w:left w:w="0" w:type="dxa"/>
        <w:top w:w="0" w:type="dxa"/>
        <w:right w:w="0" w:type="dxa"/>
        <w:bottom w:w="0" w:type="dxa"/>
      </w:tblCellMar>
    </w:tblPr>
  </w:style>
  <w:style w:type="table" w:styleId="1042" w:customStyle="1">
    <w:name w:val="Grid Table 6 Colorful - Accent 5"/>
    <w:basedOn w:val="922"/>
    <w:uiPriority w:val="99"/>
    <w:qFormat/>
    <w:tblPr>
      <w:tblCellMar>
        <w:left w:w="0" w:type="dxa"/>
        <w:top w:w="0" w:type="dxa"/>
        <w:right w:w="0" w:type="dxa"/>
        <w:bottom w:w="0" w:type="dxa"/>
      </w:tblCellMar>
    </w:tblPr>
  </w:style>
  <w:style w:type="table" w:styleId="1043" w:customStyle="1">
    <w:name w:val="Grid Table 6 Colorful - Accent 6"/>
    <w:basedOn w:val="922"/>
    <w:uiPriority w:val="99"/>
    <w:qFormat/>
    <w:tblPr>
      <w:tblCellMar>
        <w:left w:w="0" w:type="dxa"/>
        <w:top w:w="0" w:type="dxa"/>
        <w:right w:w="0" w:type="dxa"/>
        <w:bottom w:w="0" w:type="dxa"/>
      </w:tblCellMar>
    </w:tblPr>
  </w:style>
  <w:style w:type="table" w:styleId="1044" w:customStyle="1">
    <w:name w:val="Grid Table 7 Colorful"/>
    <w:basedOn w:val="922"/>
    <w:uiPriority w:val="99"/>
    <w:qFormat/>
    <w:tblPr>
      <w:tblCellMar>
        <w:left w:w="0" w:type="dxa"/>
        <w:top w:w="0" w:type="dxa"/>
        <w:right w:w="0" w:type="dxa"/>
        <w:bottom w:w="0" w:type="dxa"/>
      </w:tblCellMar>
    </w:tblPr>
  </w:style>
  <w:style w:type="table" w:styleId="1045" w:customStyle="1">
    <w:name w:val="Grid Table 7 Colorful - Accent 1"/>
    <w:basedOn w:val="922"/>
    <w:uiPriority w:val="99"/>
    <w:qFormat/>
    <w:tblPr>
      <w:tblCellMar>
        <w:left w:w="0" w:type="dxa"/>
        <w:top w:w="0" w:type="dxa"/>
        <w:right w:w="0" w:type="dxa"/>
        <w:bottom w:w="0" w:type="dxa"/>
      </w:tblCellMar>
    </w:tblPr>
  </w:style>
  <w:style w:type="table" w:styleId="1046" w:customStyle="1">
    <w:name w:val="Grid Table 7 Colorful - Accent 2"/>
    <w:basedOn w:val="922"/>
    <w:uiPriority w:val="99"/>
    <w:qFormat/>
    <w:tblPr>
      <w:tblCellMar>
        <w:left w:w="0" w:type="dxa"/>
        <w:top w:w="0" w:type="dxa"/>
        <w:right w:w="0" w:type="dxa"/>
        <w:bottom w:w="0" w:type="dxa"/>
      </w:tblCellMar>
    </w:tblPr>
  </w:style>
  <w:style w:type="table" w:styleId="1047" w:customStyle="1">
    <w:name w:val="Grid Table 7 Colorful - Accent 3"/>
    <w:basedOn w:val="922"/>
    <w:uiPriority w:val="99"/>
    <w:qFormat/>
    <w:tblPr>
      <w:tblCellMar>
        <w:left w:w="0" w:type="dxa"/>
        <w:top w:w="0" w:type="dxa"/>
        <w:right w:w="0" w:type="dxa"/>
        <w:bottom w:w="0" w:type="dxa"/>
      </w:tblCellMar>
    </w:tblPr>
  </w:style>
  <w:style w:type="table" w:styleId="1048" w:customStyle="1">
    <w:name w:val="Grid Table 7 Colorful - Accent 4"/>
    <w:basedOn w:val="922"/>
    <w:uiPriority w:val="99"/>
    <w:qFormat/>
    <w:tblPr>
      <w:tblCellMar>
        <w:left w:w="0" w:type="dxa"/>
        <w:top w:w="0" w:type="dxa"/>
        <w:right w:w="0" w:type="dxa"/>
        <w:bottom w:w="0" w:type="dxa"/>
      </w:tblCellMar>
    </w:tblPr>
  </w:style>
  <w:style w:type="table" w:styleId="1049" w:customStyle="1">
    <w:name w:val="Grid Table 7 Colorful - Accent 5"/>
    <w:basedOn w:val="922"/>
    <w:uiPriority w:val="99"/>
    <w:qFormat/>
    <w:tblPr>
      <w:tblCellMar>
        <w:left w:w="0" w:type="dxa"/>
        <w:top w:w="0" w:type="dxa"/>
        <w:right w:w="0" w:type="dxa"/>
        <w:bottom w:w="0" w:type="dxa"/>
      </w:tblCellMar>
    </w:tblPr>
  </w:style>
  <w:style w:type="table" w:styleId="1050" w:customStyle="1">
    <w:name w:val="Grid Table 7 Colorful - Accent 6"/>
    <w:basedOn w:val="922"/>
    <w:uiPriority w:val="99"/>
    <w:qFormat/>
    <w:tblPr>
      <w:tblCellMar>
        <w:left w:w="0" w:type="dxa"/>
        <w:top w:w="0" w:type="dxa"/>
        <w:right w:w="0" w:type="dxa"/>
        <w:bottom w:w="0" w:type="dxa"/>
      </w:tblCellMar>
    </w:tblPr>
  </w:style>
  <w:style w:type="table" w:styleId="1051" w:customStyle="1">
    <w:name w:val="List Table 1 Light"/>
    <w:basedOn w:val="922"/>
    <w:uiPriority w:val="99"/>
    <w:qFormat/>
    <w:tblPr>
      <w:tblCellMar>
        <w:left w:w="0" w:type="dxa"/>
        <w:top w:w="0" w:type="dxa"/>
        <w:right w:w="0" w:type="dxa"/>
        <w:bottom w:w="0" w:type="dxa"/>
      </w:tblCellMar>
    </w:tblPr>
  </w:style>
  <w:style w:type="table" w:styleId="1052" w:customStyle="1">
    <w:name w:val="List Table 1 Light - Accent 1"/>
    <w:basedOn w:val="922"/>
    <w:uiPriority w:val="99"/>
    <w:qFormat/>
    <w:tblPr>
      <w:tblCellMar>
        <w:left w:w="0" w:type="dxa"/>
        <w:top w:w="0" w:type="dxa"/>
        <w:right w:w="0" w:type="dxa"/>
        <w:bottom w:w="0" w:type="dxa"/>
      </w:tblCellMar>
    </w:tblPr>
  </w:style>
  <w:style w:type="table" w:styleId="1053" w:customStyle="1">
    <w:name w:val="List Table 1 Light - Accent 2"/>
    <w:basedOn w:val="922"/>
    <w:uiPriority w:val="99"/>
    <w:qFormat/>
    <w:tblPr>
      <w:tblCellMar>
        <w:left w:w="0" w:type="dxa"/>
        <w:top w:w="0" w:type="dxa"/>
        <w:right w:w="0" w:type="dxa"/>
        <w:bottom w:w="0" w:type="dxa"/>
      </w:tblCellMar>
    </w:tblPr>
  </w:style>
  <w:style w:type="table" w:styleId="1054" w:customStyle="1">
    <w:name w:val="List Table 1 Light - Accent 3"/>
    <w:basedOn w:val="922"/>
    <w:uiPriority w:val="99"/>
    <w:qFormat/>
    <w:tblPr>
      <w:tblCellMar>
        <w:left w:w="0" w:type="dxa"/>
        <w:top w:w="0" w:type="dxa"/>
        <w:right w:w="0" w:type="dxa"/>
        <w:bottom w:w="0" w:type="dxa"/>
      </w:tblCellMar>
    </w:tblPr>
  </w:style>
  <w:style w:type="table" w:styleId="1055" w:customStyle="1">
    <w:name w:val="List Table 1 Light - Accent 4"/>
    <w:basedOn w:val="922"/>
    <w:uiPriority w:val="99"/>
    <w:qFormat/>
    <w:tblPr>
      <w:tblCellMar>
        <w:left w:w="0" w:type="dxa"/>
        <w:top w:w="0" w:type="dxa"/>
        <w:right w:w="0" w:type="dxa"/>
        <w:bottom w:w="0" w:type="dxa"/>
      </w:tblCellMar>
    </w:tblPr>
  </w:style>
  <w:style w:type="table" w:styleId="1056" w:customStyle="1">
    <w:name w:val="List Table 1 Light - Accent 5"/>
    <w:basedOn w:val="922"/>
    <w:uiPriority w:val="99"/>
    <w:qFormat/>
    <w:tblPr>
      <w:tblCellMar>
        <w:left w:w="0" w:type="dxa"/>
        <w:top w:w="0" w:type="dxa"/>
        <w:right w:w="0" w:type="dxa"/>
        <w:bottom w:w="0" w:type="dxa"/>
      </w:tblCellMar>
    </w:tblPr>
  </w:style>
  <w:style w:type="table" w:styleId="1057" w:customStyle="1">
    <w:name w:val="List Table 1 Light - Accent 6"/>
    <w:basedOn w:val="922"/>
    <w:uiPriority w:val="99"/>
    <w:qFormat/>
    <w:tblPr>
      <w:tblCellMar>
        <w:left w:w="0" w:type="dxa"/>
        <w:top w:w="0" w:type="dxa"/>
        <w:right w:w="0" w:type="dxa"/>
        <w:bottom w:w="0" w:type="dxa"/>
      </w:tblCellMar>
    </w:tblPr>
  </w:style>
  <w:style w:type="table" w:styleId="1058" w:customStyle="1">
    <w:name w:val="List Table 2"/>
    <w:basedOn w:val="922"/>
    <w:uiPriority w:val="99"/>
    <w:qFormat/>
    <w:tblPr>
      <w:tblCellMar>
        <w:left w:w="0" w:type="dxa"/>
        <w:top w:w="0" w:type="dxa"/>
        <w:right w:w="0" w:type="dxa"/>
        <w:bottom w:w="0" w:type="dxa"/>
      </w:tblCellMar>
    </w:tblPr>
  </w:style>
  <w:style w:type="table" w:styleId="1059" w:customStyle="1">
    <w:name w:val="List Table 2 - Accent 1"/>
    <w:basedOn w:val="922"/>
    <w:uiPriority w:val="99"/>
    <w:qFormat/>
    <w:tblPr>
      <w:tblCellMar>
        <w:left w:w="0" w:type="dxa"/>
        <w:top w:w="0" w:type="dxa"/>
        <w:right w:w="0" w:type="dxa"/>
        <w:bottom w:w="0" w:type="dxa"/>
      </w:tblCellMar>
    </w:tblPr>
  </w:style>
  <w:style w:type="table" w:styleId="1060" w:customStyle="1">
    <w:name w:val="List Table 2 - Accent 2"/>
    <w:basedOn w:val="922"/>
    <w:uiPriority w:val="99"/>
    <w:qFormat/>
    <w:tblPr>
      <w:tblCellMar>
        <w:left w:w="0" w:type="dxa"/>
        <w:top w:w="0" w:type="dxa"/>
        <w:right w:w="0" w:type="dxa"/>
        <w:bottom w:w="0" w:type="dxa"/>
      </w:tblCellMar>
    </w:tblPr>
  </w:style>
  <w:style w:type="table" w:styleId="1061" w:customStyle="1">
    <w:name w:val="List Table 2 - Accent 3"/>
    <w:basedOn w:val="922"/>
    <w:uiPriority w:val="99"/>
    <w:qFormat/>
    <w:tblPr>
      <w:tblCellMar>
        <w:left w:w="0" w:type="dxa"/>
        <w:top w:w="0" w:type="dxa"/>
        <w:right w:w="0" w:type="dxa"/>
        <w:bottom w:w="0" w:type="dxa"/>
      </w:tblCellMar>
    </w:tblPr>
  </w:style>
  <w:style w:type="table" w:styleId="1062" w:customStyle="1">
    <w:name w:val="List Table 2 - Accent 4"/>
    <w:basedOn w:val="922"/>
    <w:uiPriority w:val="99"/>
    <w:qFormat/>
    <w:tblPr>
      <w:tblCellMar>
        <w:left w:w="0" w:type="dxa"/>
        <w:top w:w="0" w:type="dxa"/>
        <w:right w:w="0" w:type="dxa"/>
        <w:bottom w:w="0" w:type="dxa"/>
      </w:tblCellMar>
    </w:tblPr>
  </w:style>
  <w:style w:type="table" w:styleId="1063" w:customStyle="1">
    <w:name w:val="List Table 2 - Accent 5"/>
    <w:basedOn w:val="922"/>
    <w:uiPriority w:val="99"/>
    <w:qFormat/>
    <w:tblPr>
      <w:tblCellMar>
        <w:left w:w="0" w:type="dxa"/>
        <w:top w:w="0" w:type="dxa"/>
        <w:right w:w="0" w:type="dxa"/>
        <w:bottom w:w="0" w:type="dxa"/>
      </w:tblCellMar>
    </w:tblPr>
  </w:style>
  <w:style w:type="table" w:styleId="1064" w:customStyle="1">
    <w:name w:val="List Table 2 - Accent 6"/>
    <w:basedOn w:val="922"/>
    <w:uiPriority w:val="99"/>
    <w:qFormat/>
    <w:tblPr>
      <w:tblCellMar>
        <w:left w:w="0" w:type="dxa"/>
        <w:top w:w="0" w:type="dxa"/>
        <w:right w:w="0" w:type="dxa"/>
        <w:bottom w:w="0" w:type="dxa"/>
      </w:tblCellMar>
    </w:tblPr>
  </w:style>
  <w:style w:type="table" w:styleId="1065" w:customStyle="1">
    <w:name w:val="List Table 3"/>
    <w:basedOn w:val="922"/>
    <w:uiPriority w:val="99"/>
    <w:qFormat/>
    <w:tblPr>
      <w:tblCellMar>
        <w:left w:w="0" w:type="dxa"/>
        <w:top w:w="0" w:type="dxa"/>
        <w:right w:w="0" w:type="dxa"/>
        <w:bottom w:w="0" w:type="dxa"/>
      </w:tblCellMar>
    </w:tblPr>
  </w:style>
  <w:style w:type="table" w:styleId="1066" w:customStyle="1">
    <w:name w:val="List Table 3 - Accent 1"/>
    <w:basedOn w:val="922"/>
    <w:uiPriority w:val="99"/>
    <w:qFormat/>
    <w:tblPr>
      <w:tblCellMar>
        <w:left w:w="0" w:type="dxa"/>
        <w:top w:w="0" w:type="dxa"/>
        <w:right w:w="0" w:type="dxa"/>
        <w:bottom w:w="0" w:type="dxa"/>
      </w:tblCellMar>
    </w:tblPr>
  </w:style>
  <w:style w:type="table" w:styleId="1067" w:customStyle="1">
    <w:name w:val="List Table 3 - Accent 2"/>
    <w:basedOn w:val="922"/>
    <w:uiPriority w:val="99"/>
    <w:qFormat/>
    <w:tblPr>
      <w:tblCellMar>
        <w:left w:w="0" w:type="dxa"/>
        <w:top w:w="0" w:type="dxa"/>
        <w:right w:w="0" w:type="dxa"/>
        <w:bottom w:w="0" w:type="dxa"/>
      </w:tblCellMar>
    </w:tblPr>
  </w:style>
  <w:style w:type="table" w:styleId="1068" w:customStyle="1">
    <w:name w:val="List Table 3 - Accent 3"/>
    <w:basedOn w:val="922"/>
    <w:uiPriority w:val="99"/>
    <w:qFormat/>
    <w:tblPr>
      <w:tblCellMar>
        <w:left w:w="0" w:type="dxa"/>
        <w:top w:w="0" w:type="dxa"/>
        <w:right w:w="0" w:type="dxa"/>
        <w:bottom w:w="0" w:type="dxa"/>
      </w:tblCellMar>
    </w:tblPr>
  </w:style>
  <w:style w:type="table" w:styleId="1069" w:customStyle="1">
    <w:name w:val="List Table 3 - Accent 4"/>
    <w:basedOn w:val="922"/>
    <w:uiPriority w:val="99"/>
    <w:qFormat/>
    <w:tblPr>
      <w:tblCellMar>
        <w:left w:w="0" w:type="dxa"/>
        <w:top w:w="0" w:type="dxa"/>
        <w:right w:w="0" w:type="dxa"/>
        <w:bottom w:w="0" w:type="dxa"/>
      </w:tblCellMar>
    </w:tblPr>
  </w:style>
  <w:style w:type="table" w:styleId="1070" w:customStyle="1">
    <w:name w:val="List Table 3 - Accent 5"/>
    <w:basedOn w:val="922"/>
    <w:uiPriority w:val="99"/>
    <w:qFormat/>
    <w:tblPr>
      <w:tblCellMar>
        <w:left w:w="0" w:type="dxa"/>
        <w:top w:w="0" w:type="dxa"/>
        <w:right w:w="0" w:type="dxa"/>
        <w:bottom w:w="0" w:type="dxa"/>
      </w:tblCellMar>
    </w:tblPr>
  </w:style>
  <w:style w:type="table" w:styleId="1071" w:customStyle="1">
    <w:name w:val="List Table 3 - Accent 6"/>
    <w:basedOn w:val="922"/>
    <w:uiPriority w:val="99"/>
    <w:qFormat/>
    <w:tblPr>
      <w:tblCellMar>
        <w:left w:w="0" w:type="dxa"/>
        <w:top w:w="0" w:type="dxa"/>
        <w:right w:w="0" w:type="dxa"/>
        <w:bottom w:w="0" w:type="dxa"/>
      </w:tblCellMar>
    </w:tblPr>
  </w:style>
  <w:style w:type="table" w:styleId="1072" w:customStyle="1">
    <w:name w:val="List Table 4"/>
    <w:basedOn w:val="922"/>
    <w:uiPriority w:val="99"/>
    <w:qFormat/>
    <w:tblPr>
      <w:tblCellMar>
        <w:left w:w="0" w:type="dxa"/>
        <w:top w:w="0" w:type="dxa"/>
        <w:right w:w="0" w:type="dxa"/>
        <w:bottom w:w="0" w:type="dxa"/>
      </w:tblCellMar>
    </w:tblPr>
  </w:style>
  <w:style w:type="table" w:styleId="1073" w:customStyle="1">
    <w:name w:val="List Table 4 - Accent 1"/>
    <w:basedOn w:val="922"/>
    <w:uiPriority w:val="99"/>
    <w:qFormat/>
    <w:tblPr>
      <w:tblCellMar>
        <w:left w:w="0" w:type="dxa"/>
        <w:top w:w="0" w:type="dxa"/>
        <w:right w:w="0" w:type="dxa"/>
        <w:bottom w:w="0" w:type="dxa"/>
      </w:tblCellMar>
    </w:tblPr>
  </w:style>
  <w:style w:type="table" w:styleId="1074" w:customStyle="1">
    <w:name w:val="List Table 4 - Accent 2"/>
    <w:basedOn w:val="922"/>
    <w:uiPriority w:val="99"/>
    <w:qFormat/>
    <w:tblPr>
      <w:tblCellMar>
        <w:left w:w="0" w:type="dxa"/>
        <w:top w:w="0" w:type="dxa"/>
        <w:right w:w="0" w:type="dxa"/>
        <w:bottom w:w="0" w:type="dxa"/>
      </w:tblCellMar>
    </w:tblPr>
  </w:style>
  <w:style w:type="table" w:styleId="1075" w:customStyle="1">
    <w:name w:val="List Table 4 - Accent 3"/>
    <w:basedOn w:val="922"/>
    <w:uiPriority w:val="99"/>
    <w:qFormat/>
    <w:tblPr>
      <w:tblCellMar>
        <w:left w:w="0" w:type="dxa"/>
        <w:top w:w="0" w:type="dxa"/>
        <w:right w:w="0" w:type="dxa"/>
        <w:bottom w:w="0" w:type="dxa"/>
      </w:tblCellMar>
    </w:tblPr>
  </w:style>
  <w:style w:type="table" w:styleId="1076" w:customStyle="1">
    <w:name w:val="List Table 4 - Accent 4"/>
    <w:basedOn w:val="922"/>
    <w:uiPriority w:val="99"/>
    <w:qFormat/>
    <w:tblPr>
      <w:tblCellMar>
        <w:left w:w="0" w:type="dxa"/>
        <w:top w:w="0" w:type="dxa"/>
        <w:right w:w="0" w:type="dxa"/>
        <w:bottom w:w="0" w:type="dxa"/>
      </w:tblCellMar>
    </w:tblPr>
  </w:style>
  <w:style w:type="table" w:styleId="1077" w:customStyle="1">
    <w:name w:val="List Table 4 - Accent 5"/>
    <w:basedOn w:val="922"/>
    <w:uiPriority w:val="99"/>
    <w:qFormat/>
    <w:tblPr>
      <w:tblCellMar>
        <w:left w:w="0" w:type="dxa"/>
        <w:top w:w="0" w:type="dxa"/>
        <w:right w:w="0" w:type="dxa"/>
        <w:bottom w:w="0" w:type="dxa"/>
      </w:tblCellMar>
    </w:tblPr>
  </w:style>
  <w:style w:type="table" w:styleId="1078" w:customStyle="1">
    <w:name w:val="List Table 4 - Accent 6"/>
    <w:basedOn w:val="922"/>
    <w:uiPriority w:val="99"/>
    <w:qFormat/>
    <w:tblPr>
      <w:tblCellMar>
        <w:left w:w="0" w:type="dxa"/>
        <w:top w:w="0" w:type="dxa"/>
        <w:right w:w="0" w:type="dxa"/>
        <w:bottom w:w="0" w:type="dxa"/>
      </w:tblCellMar>
    </w:tblPr>
  </w:style>
  <w:style w:type="table" w:styleId="1079" w:customStyle="1">
    <w:name w:val="List Table 5 Dark"/>
    <w:basedOn w:val="922"/>
    <w:uiPriority w:val="99"/>
    <w:qFormat/>
    <w:tblPr>
      <w:tblCellMar>
        <w:left w:w="0" w:type="dxa"/>
        <w:top w:w="0" w:type="dxa"/>
        <w:right w:w="0" w:type="dxa"/>
        <w:bottom w:w="0" w:type="dxa"/>
      </w:tblCellMar>
    </w:tblPr>
  </w:style>
  <w:style w:type="table" w:styleId="1080" w:customStyle="1">
    <w:name w:val="List Table 5 Dark - Accent 1"/>
    <w:basedOn w:val="922"/>
    <w:uiPriority w:val="99"/>
    <w:qFormat/>
    <w:tblPr>
      <w:tblCellMar>
        <w:left w:w="0" w:type="dxa"/>
        <w:top w:w="0" w:type="dxa"/>
        <w:right w:w="0" w:type="dxa"/>
        <w:bottom w:w="0" w:type="dxa"/>
      </w:tblCellMar>
    </w:tblPr>
  </w:style>
  <w:style w:type="table" w:styleId="1081" w:customStyle="1">
    <w:name w:val="List Table 5 Dark - Accent 2"/>
    <w:basedOn w:val="922"/>
    <w:uiPriority w:val="99"/>
    <w:qFormat/>
    <w:tblPr>
      <w:tblCellMar>
        <w:left w:w="0" w:type="dxa"/>
        <w:top w:w="0" w:type="dxa"/>
        <w:right w:w="0" w:type="dxa"/>
        <w:bottom w:w="0" w:type="dxa"/>
      </w:tblCellMar>
    </w:tblPr>
  </w:style>
  <w:style w:type="table" w:styleId="1082" w:customStyle="1">
    <w:name w:val="List Table 5 Dark - Accent 3"/>
    <w:basedOn w:val="922"/>
    <w:uiPriority w:val="99"/>
    <w:qFormat/>
    <w:tblPr>
      <w:tblCellMar>
        <w:left w:w="0" w:type="dxa"/>
        <w:top w:w="0" w:type="dxa"/>
        <w:right w:w="0" w:type="dxa"/>
        <w:bottom w:w="0" w:type="dxa"/>
      </w:tblCellMar>
    </w:tblPr>
  </w:style>
  <w:style w:type="table" w:styleId="1083" w:customStyle="1">
    <w:name w:val="List Table 5 Dark - Accent 4"/>
    <w:basedOn w:val="922"/>
    <w:uiPriority w:val="99"/>
    <w:qFormat/>
    <w:tblPr>
      <w:tblCellMar>
        <w:left w:w="0" w:type="dxa"/>
        <w:top w:w="0" w:type="dxa"/>
        <w:right w:w="0" w:type="dxa"/>
        <w:bottom w:w="0" w:type="dxa"/>
      </w:tblCellMar>
    </w:tblPr>
  </w:style>
  <w:style w:type="table" w:styleId="1084" w:customStyle="1">
    <w:name w:val="List Table 5 Dark - Accent 5"/>
    <w:basedOn w:val="922"/>
    <w:uiPriority w:val="99"/>
    <w:qFormat/>
    <w:tblPr>
      <w:tblCellMar>
        <w:left w:w="0" w:type="dxa"/>
        <w:top w:w="0" w:type="dxa"/>
        <w:right w:w="0" w:type="dxa"/>
        <w:bottom w:w="0" w:type="dxa"/>
      </w:tblCellMar>
    </w:tblPr>
  </w:style>
  <w:style w:type="table" w:styleId="1085" w:customStyle="1">
    <w:name w:val="List Table 5 Dark - Accent 6"/>
    <w:basedOn w:val="922"/>
    <w:uiPriority w:val="99"/>
    <w:qFormat/>
    <w:tblPr>
      <w:tblCellMar>
        <w:left w:w="0" w:type="dxa"/>
        <w:top w:w="0" w:type="dxa"/>
        <w:right w:w="0" w:type="dxa"/>
        <w:bottom w:w="0" w:type="dxa"/>
      </w:tblCellMar>
    </w:tblPr>
  </w:style>
  <w:style w:type="table" w:styleId="1086" w:customStyle="1">
    <w:name w:val="List Table 6 Colorful"/>
    <w:basedOn w:val="922"/>
    <w:uiPriority w:val="99"/>
    <w:qFormat/>
    <w:tblPr>
      <w:tblCellMar>
        <w:left w:w="0" w:type="dxa"/>
        <w:top w:w="0" w:type="dxa"/>
        <w:right w:w="0" w:type="dxa"/>
        <w:bottom w:w="0" w:type="dxa"/>
      </w:tblCellMar>
    </w:tblPr>
  </w:style>
  <w:style w:type="table" w:styleId="1087" w:customStyle="1">
    <w:name w:val="List Table 6 Colorful - Accent 1"/>
    <w:basedOn w:val="922"/>
    <w:uiPriority w:val="99"/>
    <w:qFormat/>
    <w:tblPr>
      <w:tblCellMar>
        <w:left w:w="0" w:type="dxa"/>
        <w:top w:w="0" w:type="dxa"/>
        <w:right w:w="0" w:type="dxa"/>
        <w:bottom w:w="0" w:type="dxa"/>
      </w:tblCellMar>
    </w:tblPr>
  </w:style>
  <w:style w:type="table" w:styleId="1088" w:customStyle="1">
    <w:name w:val="List Table 6 Colorful - Accent 2"/>
    <w:basedOn w:val="922"/>
    <w:uiPriority w:val="99"/>
    <w:qFormat/>
    <w:tblPr>
      <w:tblCellMar>
        <w:left w:w="0" w:type="dxa"/>
        <w:top w:w="0" w:type="dxa"/>
        <w:right w:w="0" w:type="dxa"/>
        <w:bottom w:w="0" w:type="dxa"/>
      </w:tblCellMar>
    </w:tblPr>
  </w:style>
  <w:style w:type="table" w:styleId="1089" w:customStyle="1">
    <w:name w:val="List Table 6 Colorful - Accent 3"/>
    <w:basedOn w:val="922"/>
    <w:uiPriority w:val="99"/>
    <w:qFormat/>
    <w:tblPr>
      <w:tblCellMar>
        <w:left w:w="0" w:type="dxa"/>
        <w:top w:w="0" w:type="dxa"/>
        <w:right w:w="0" w:type="dxa"/>
        <w:bottom w:w="0" w:type="dxa"/>
      </w:tblCellMar>
    </w:tblPr>
  </w:style>
  <w:style w:type="table" w:styleId="1090" w:customStyle="1">
    <w:name w:val="List Table 6 Colorful - Accent 4"/>
    <w:basedOn w:val="922"/>
    <w:uiPriority w:val="99"/>
    <w:qFormat/>
    <w:tblPr>
      <w:tblCellMar>
        <w:left w:w="0" w:type="dxa"/>
        <w:top w:w="0" w:type="dxa"/>
        <w:right w:w="0" w:type="dxa"/>
        <w:bottom w:w="0" w:type="dxa"/>
      </w:tblCellMar>
    </w:tblPr>
  </w:style>
  <w:style w:type="table" w:styleId="1091" w:customStyle="1">
    <w:name w:val="List Table 6 Colorful - Accent 5"/>
    <w:basedOn w:val="922"/>
    <w:uiPriority w:val="99"/>
    <w:qFormat/>
    <w:tblPr>
      <w:tblCellMar>
        <w:left w:w="0" w:type="dxa"/>
        <w:top w:w="0" w:type="dxa"/>
        <w:right w:w="0" w:type="dxa"/>
        <w:bottom w:w="0" w:type="dxa"/>
      </w:tblCellMar>
    </w:tblPr>
  </w:style>
  <w:style w:type="table" w:styleId="1092" w:customStyle="1">
    <w:name w:val="List Table 6 Colorful - Accent 6"/>
    <w:basedOn w:val="922"/>
    <w:uiPriority w:val="99"/>
    <w:qFormat/>
    <w:tblPr>
      <w:tblCellMar>
        <w:left w:w="0" w:type="dxa"/>
        <w:top w:w="0" w:type="dxa"/>
        <w:right w:w="0" w:type="dxa"/>
        <w:bottom w:w="0" w:type="dxa"/>
      </w:tblCellMar>
    </w:tblPr>
  </w:style>
  <w:style w:type="table" w:styleId="1093" w:customStyle="1">
    <w:name w:val="List Table 7 Colorful"/>
    <w:basedOn w:val="922"/>
    <w:uiPriority w:val="99"/>
    <w:qFormat/>
    <w:tblPr>
      <w:tblCellMar>
        <w:left w:w="0" w:type="dxa"/>
        <w:top w:w="0" w:type="dxa"/>
        <w:right w:w="0" w:type="dxa"/>
        <w:bottom w:w="0" w:type="dxa"/>
      </w:tblCellMar>
    </w:tblPr>
  </w:style>
  <w:style w:type="table" w:styleId="1094" w:customStyle="1">
    <w:name w:val="List Table 7 Colorful - Accent 1"/>
    <w:basedOn w:val="922"/>
    <w:uiPriority w:val="99"/>
    <w:qFormat/>
    <w:tblPr>
      <w:tblCellMar>
        <w:left w:w="0" w:type="dxa"/>
        <w:top w:w="0" w:type="dxa"/>
        <w:right w:w="0" w:type="dxa"/>
        <w:bottom w:w="0" w:type="dxa"/>
      </w:tblCellMar>
    </w:tblPr>
  </w:style>
  <w:style w:type="table" w:styleId="1095" w:customStyle="1">
    <w:name w:val="List Table 7 Colorful - Accent 2"/>
    <w:basedOn w:val="922"/>
    <w:uiPriority w:val="99"/>
    <w:qFormat/>
    <w:tblPr>
      <w:tblCellMar>
        <w:left w:w="0" w:type="dxa"/>
        <w:top w:w="0" w:type="dxa"/>
        <w:right w:w="0" w:type="dxa"/>
        <w:bottom w:w="0" w:type="dxa"/>
      </w:tblCellMar>
    </w:tblPr>
  </w:style>
  <w:style w:type="table" w:styleId="1096" w:customStyle="1">
    <w:name w:val="List Table 7 Colorful - Accent 3"/>
    <w:basedOn w:val="922"/>
    <w:uiPriority w:val="99"/>
    <w:qFormat/>
    <w:tblPr>
      <w:tblCellMar>
        <w:left w:w="0" w:type="dxa"/>
        <w:top w:w="0" w:type="dxa"/>
        <w:right w:w="0" w:type="dxa"/>
        <w:bottom w:w="0" w:type="dxa"/>
      </w:tblCellMar>
    </w:tblPr>
  </w:style>
  <w:style w:type="table" w:styleId="1097" w:customStyle="1">
    <w:name w:val="List Table 7 Colorful - Accent 4"/>
    <w:basedOn w:val="922"/>
    <w:uiPriority w:val="99"/>
    <w:qFormat/>
    <w:tblPr>
      <w:tblCellMar>
        <w:left w:w="0" w:type="dxa"/>
        <w:top w:w="0" w:type="dxa"/>
        <w:right w:w="0" w:type="dxa"/>
        <w:bottom w:w="0" w:type="dxa"/>
      </w:tblCellMar>
    </w:tblPr>
  </w:style>
  <w:style w:type="table" w:styleId="1098" w:customStyle="1">
    <w:name w:val="List Table 7 Colorful - Accent 5"/>
    <w:basedOn w:val="922"/>
    <w:uiPriority w:val="99"/>
    <w:qFormat/>
    <w:tblPr>
      <w:tblCellMar>
        <w:left w:w="0" w:type="dxa"/>
        <w:top w:w="0" w:type="dxa"/>
        <w:right w:w="0" w:type="dxa"/>
        <w:bottom w:w="0" w:type="dxa"/>
      </w:tblCellMar>
    </w:tblPr>
  </w:style>
  <w:style w:type="table" w:styleId="1099" w:customStyle="1">
    <w:name w:val="List Table 7 Colorful - Accent 6"/>
    <w:basedOn w:val="922"/>
    <w:uiPriority w:val="99"/>
    <w:qFormat/>
    <w:tblPr>
      <w:tblCellMar>
        <w:left w:w="0" w:type="dxa"/>
        <w:top w:w="0" w:type="dxa"/>
        <w:right w:w="0" w:type="dxa"/>
        <w:bottom w:w="0" w:type="dxa"/>
      </w:tblCellMar>
    </w:tblPr>
  </w:style>
  <w:style w:type="table" w:styleId="1100" w:customStyle="1">
    <w:name w:val="Lined - Accent"/>
    <w:basedOn w:val="922"/>
    <w:uiPriority w:val="99"/>
    <w:qFormat/>
    <w:rPr>
      <w:color w:val="404040"/>
    </w:rPr>
    <w:tblPr>
      <w:tblCellMar>
        <w:left w:w="0" w:type="dxa"/>
        <w:top w:w="0" w:type="dxa"/>
        <w:right w:w="0" w:type="dxa"/>
        <w:bottom w:w="0" w:type="dxa"/>
      </w:tblCellMar>
    </w:tblPr>
  </w:style>
  <w:style w:type="table" w:styleId="1101" w:customStyle="1">
    <w:name w:val="Lined - Accent 1"/>
    <w:basedOn w:val="922"/>
    <w:uiPriority w:val="99"/>
    <w:qFormat/>
    <w:rPr>
      <w:color w:val="404040"/>
    </w:rPr>
    <w:tblPr>
      <w:tblCellMar>
        <w:left w:w="0" w:type="dxa"/>
        <w:top w:w="0" w:type="dxa"/>
        <w:right w:w="0" w:type="dxa"/>
        <w:bottom w:w="0" w:type="dxa"/>
      </w:tblCellMar>
    </w:tblPr>
  </w:style>
  <w:style w:type="table" w:styleId="1102" w:customStyle="1">
    <w:name w:val="Lined - Accent 2"/>
    <w:basedOn w:val="922"/>
    <w:uiPriority w:val="99"/>
    <w:qFormat/>
    <w:rPr>
      <w:color w:val="404040"/>
    </w:rPr>
    <w:tblPr>
      <w:tblCellMar>
        <w:left w:w="0" w:type="dxa"/>
        <w:top w:w="0" w:type="dxa"/>
        <w:right w:w="0" w:type="dxa"/>
        <w:bottom w:w="0" w:type="dxa"/>
      </w:tblCellMar>
    </w:tblPr>
  </w:style>
  <w:style w:type="table" w:styleId="1103" w:customStyle="1">
    <w:name w:val="Lined - Accent 3"/>
    <w:basedOn w:val="922"/>
    <w:uiPriority w:val="99"/>
    <w:qFormat/>
    <w:rPr>
      <w:color w:val="404040"/>
    </w:rPr>
    <w:tblPr>
      <w:tblCellMar>
        <w:left w:w="0" w:type="dxa"/>
        <w:top w:w="0" w:type="dxa"/>
        <w:right w:w="0" w:type="dxa"/>
        <w:bottom w:w="0" w:type="dxa"/>
      </w:tblCellMar>
    </w:tblPr>
  </w:style>
  <w:style w:type="table" w:styleId="1104" w:customStyle="1">
    <w:name w:val="Lined - Accent 4"/>
    <w:basedOn w:val="922"/>
    <w:uiPriority w:val="99"/>
    <w:qFormat/>
    <w:rPr>
      <w:color w:val="404040"/>
    </w:rPr>
    <w:tblPr>
      <w:tblCellMar>
        <w:left w:w="0" w:type="dxa"/>
        <w:top w:w="0" w:type="dxa"/>
        <w:right w:w="0" w:type="dxa"/>
        <w:bottom w:w="0" w:type="dxa"/>
      </w:tblCellMar>
    </w:tblPr>
  </w:style>
  <w:style w:type="table" w:styleId="1105" w:customStyle="1">
    <w:name w:val="Lined - Accent 5"/>
    <w:basedOn w:val="922"/>
    <w:uiPriority w:val="99"/>
    <w:qFormat/>
    <w:rPr>
      <w:color w:val="404040"/>
    </w:rPr>
    <w:tblPr>
      <w:tblCellMar>
        <w:left w:w="0" w:type="dxa"/>
        <w:top w:w="0" w:type="dxa"/>
        <w:right w:w="0" w:type="dxa"/>
        <w:bottom w:w="0" w:type="dxa"/>
      </w:tblCellMar>
    </w:tblPr>
  </w:style>
  <w:style w:type="table" w:styleId="1106" w:customStyle="1">
    <w:name w:val="Lined - Accent 6"/>
    <w:basedOn w:val="922"/>
    <w:uiPriority w:val="99"/>
    <w:qFormat/>
    <w:rPr>
      <w:color w:val="404040"/>
    </w:rPr>
    <w:tblPr>
      <w:tblCellMar>
        <w:left w:w="0" w:type="dxa"/>
        <w:top w:w="0" w:type="dxa"/>
        <w:right w:w="0" w:type="dxa"/>
        <w:bottom w:w="0" w:type="dxa"/>
      </w:tblCellMar>
    </w:tblPr>
  </w:style>
  <w:style w:type="table" w:styleId="1107" w:customStyle="1">
    <w:name w:val="Bordered &amp; Lined - Accent"/>
    <w:basedOn w:val="922"/>
    <w:uiPriority w:val="99"/>
    <w:qFormat/>
    <w:rPr>
      <w:color w:val="404040"/>
    </w:rPr>
    <w:tblPr>
      <w:tblCellMar>
        <w:left w:w="0" w:type="dxa"/>
        <w:top w:w="0" w:type="dxa"/>
        <w:right w:w="0" w:type="dxa"/>
        <w:bottom w:w="0" w:type="dxa"/>
      </w:tblCellMar>
    </w:tblPr>
  </w:style>
  <w:style w:type="table" w:styleId="1108" w:customStyle="1">
    <w:name w:val="Bordered &amp; Lined - Accent 1"/>
    <w:basedOn w:val="922"/>
    <w:uiPriority w:val="99"/>
    <w:qFormat/>
    <w:rPr>
      <w:color w:val="404040"/>
    </w:rPr>
    <w:tblPr>
      <w:tblCellMar>
        <w:left w:w="0" w:type="dxa"/>
        <w:top w:w="0" w:type="dxa"/>
        <w:right w:w="0" w:type="dxa"/>
        <w:bottom w:w="0" w:type="dxa"/>
      </w:tblCellMar>
    </w:tblPr>
  </w:style>
  <w:style w:type="table" w:styleId="1109" w:customStyle="1">
    <w:name w:val="Bordered &amp; Lined - Accent 2"/>
    <w:basedOn w:val="922"/>
    <w:uiPriority w:val="99"/>
    <w:qFormat/>
    <w:rPr>
      <w:color w:val="404040"/>
    </w:rPr>
    <w:tblPr>
      <w:tblCellMar>
        <w:left w:w="0" w:type="dxa"/>
        <w:top w:w="0" w:type="dxa"/>
        <w:right w:w="0" w:type="dxa"/>
        <w:bottom w:w="0" w:type="dxa"/>
      </w:tblCellMar>
    </w:tblPr>
  </w:style>
  <w:style w:type="table" w:styleId="1110" w:customStyle="1">
    <w:name w:val="Bordered &amp; Lined - Accent 3"/>
    <w:basedOn w:val="922"/>
    <w:uiPriority w:val="99"/>
    <w:qFormat/>
    <w:rPr>
      <w:color w:val="404040"/>
    </w:rPr>
    <w:tblPr>
      <w:tblCellMar>
        <w:left w:w="0" w:type="dxa"/>
        <w:top w:w="0" w:type="dxa"/>
        <w:right w:w="0" w:type="dxa"/>
        <w:bottom w:w="0" w:type="dxa"/>
      </w:tblCellMar>
    </w:tblPr>
  </w:style>
  <w:style w:type="table" w:styleId="1111" w:customStyle="1">
    <w:name w:val="Bordered &amp; Lined - Accent 4"/>
    <w:basedOn w:val="922"/>
    <w:uiPriority w:val="99"/>
    <w:qFormat/>
    <w:rPr>
      <w:color w:val="404040"/>
    </w:rPr>
    <w:tblPr>
      <w:tblCellMar>
        <w:left w:w="0" w:type="dxa"/>
        <w:top w:w="0" w:type="dxa"/>
        <w:right w:w="0" w:type="dxa"/>
        <w:bottom w:w="0" w:type="dxa"/>
      </w:tblCellMar>
    </w:tblPr>
  </w:style>
  <w:style w:type="table" w:styleId="1112" w:customStyle="1">
    <w:name w:val="Bordered &amp; Lined - Accent 5"/>
    <w:basedOn w:val="922"/>
    <w:uiPriority w:val="99"/>
    <w:qFormat/>
    <w:rPr>
      <w:color w:val="404040"/>
    </w:rPr>
    <w:tblPr>
      <w:tblCellMar>
        <w:left w:w="0" w:type="dxa"/>
        <w:top w:w="0" w:type="dxa"/>
        <w:right w:w="0" w:type="dxa"/>
        <w:bottom w:w="0" w:type="dxa"/>
      </w:tblCellMar>
    </w:tblPr>
  </w:style>
  <w:style w:type="table" w:styleId="1113" w:customStyle="1">
    <w:name w:val="Bordered &amp; Lined - Accent 6"/>
    <w:basedOn w:val="922"/>
    <w:uiPriority w:val="99"/>
    <w:qFormat/>
    <w:rPr>
      <w:color w:val="404040"/>
    </w:rPr>
    <w:tblPr>
      <w:tblCellMar>
        <w:left w:w="0" w:type="dxa"/>
        <w:top w:w="0" w:type="dxa"/>
        <w:right w:w="0" w:type="dxa"/>
        <w:bottom w:w="0" w:type="dxa"/>
      </w:tblCellMar>
    </w:tblPr>
  </w:style>
  <w:style w:type="table" w:styleId="1114" w:customStyle="1">
    <w:name w:val="Bordered"/>
    <w:basedOn w:val="922"/>
    <w:uiPriority w:val="99"/>
    <w:qFormat/>
    <w:tblPr>
      <w:tblCellMar>
        <w:left w:w="0" w:type="dxa"/>
        <w:top w:w="0" w:type="dxa"/>
        <w:right w:w="0" w:type="dxa"/>
        <w:bottom w:w="0" w:type="dxa"/>
      </w:tblCellMar>
    </w:tblPr>
  </w:style>
  <w:style w:type="table" w:styleId="1115" w:customStyle="1">
    <w:name w:val="Bordered - Accent 1"/>
    <w:basedOn w:val="922"/>
    <w:uiPriority w:val="99"/>
    <w:qFormat/>
    <w:tblPr>
      <w:tblCellMar>
        <w:left w:w="0" w:type="dxa"/>
        <w:top w:w="0" w:type="dxa"/>
        <w:right w:w="0" w:type="dxa"/>
        <w:bottom w:w="0" w:type="dxa"/>
      </w:tblCellMar>
    </w:tblPr>
  </w:style>
  <w:style w:type="table" w:styleId="1116" w:customStyle="1">
    <w:name w:val="Bordered - Accent 2"/>
    <w:basedOn w:val="922"/>
    <w:uiPriority w:val="99"/>
    <w:qFormat/>
    <w:tblPr>
      <w:tblCellMar>
        <w:left w:w="0" w:type="dxa"/>
        <w:top w:w="0" w:type="dxa"/>
        <w:right w:w="0" w:type="dxa"/>
        <w:bottom w:w="0" w:type="dxa"/>
      </w:tblCellMar>
    </w:tblPr>
  </w:style>
  <w:style w:type="table" w:styleId="1117" w:customStyle="1">
    <w:name w:val="Bordered - Accent 3"/>
    <w:basedOn w:val="922"/>
    <w:uiPriority w:val="99"/>
    <w:qFormat/>
    <w:tblPr>
      <w:tblCellMar>
        <w:left w:w="0" w:type="dxa"/>
        <w:top w:w="0" w:type="dxa"/>
        <w:right w:w="0" w:type="dxa"/>
        <w:bottom w:w="0" w:type="dxa"/>
      </w:tblCellMar>
    </w:tblPr>
  </w:style>
  <w:style w:type="table" w:styleId="1118" w:customStyle="1">
    <w:name w:val="Bordered - Accent 4"/>
    <w:basedOn w:val="922"/>
    <w:uiPriority w:val="99"/>
    <w:qFormat/>
    <w:tblPr>
      <w:tblCellMar>
        <w:left w:w="0" w:type="dxa"/>
        <w:top w:w="0" w:type="dxa"/>
        <w:right w:w="0" w:type="dxa"/>
        <w:bottom w:w="0" w:type="dxa"/>
      </w:tblCellMar>
    </w:tblPr>
  </w:style>
  <w:style w:type="table" w:styleId="1119" w:customStyle="1">
    <w:name w:val="Bordered - Accent 5"/>
    <w:basedOn w:val="922"/>
    <w:uiPriority w:val="99"/>
    <w:qFormat/>
    <w:tblPr>
      <w:tblCellMar>
        <w:left w:w="0" w:type="dxa"/>
        <w:top w:w="0" w:type="dxa"/>
        <w:right w:w="0" w:type="dxa"/>
        <w:bottom w:w="0" w:type="dxa"/>
      </w:tblCellMar>
    </w:tblPr>
  </w:style>
  <w:style w:type="table" w:styleId="1120" w:customStyle="1">
    <w:name w:val="Bordered - Accent 6"/>
    <w:basedOn w:val="922"/>
    <w:uiPriority w:val="99"/>
    <w:qFormat/>
    <w:tblPr>
      <w:tblCellMar>
        <w:left w:w="0" w:type="dxa"/>
        <w:top w:w="0" w:type="dxa"/>
        <w:right w:w="0" w:type="dxa"/>
        <w:bottom w:w="0" w:type="dxa"/>
      </w:tblCellMar>
    </w:tblPr>
  </w:style>
  <w:style w:type="paragraph" w:styleId="1121" w:customStyle="1">
    <w:name w:val="TOC 标题1"/>
    <w:uiPriority w:val="39"/>
    <w:unhideWhenUsed/>
    <w:qFormat/>
    <w:rPr>
      <w:rFonts w:hint="default" w:ascii="Times New Roman" w:hAnsi="Times New Roman" w:eastAsia="宋体" w:cs="Times New Roman"/>
      <w:lang w:val="en-US" w:eastAsia="zh-CN" w:bidi="ar-SA"/>
    </w:rPr>
  </w:style>
  <w:style w:type="character" w:styleId="1122" w:customStyle="1">
    <w:name w:val="标题 1 Char1"/>
    <w:link w:val="864"/>
    <w:uiPriority w:val="0"/>
    <w:qFormat/>
    <w:rPr>
      <w:rFonts w:ascii="Times New Roman" w:hAnsi="Times New Roman" w:eastAsia="宋体"/>
      <w:b/>
      <w:bCs/>
      <w:sz w:val="32"/>
      <w:szCs w:val="44"/>
      <w:lang w:val="en-US" w:eastAsia="zh-CN" w:bidi="ar-SA"/>
    </w:rPr>
  </w:style>
  <w:style w:type="character" w:styleId="1123" w:customStyle="1">
    <w:name w:val="标题 2 Char"/>
    <w:link w:val="865"/>
    <w:uiPriority w:val="0"/>
    <w:qFormat/>
    <w:rPr>
      <w:rFonts w:ascii="Cambria" w:hAnsi="Cambria" w:eastAsia="宋体"/>
      <w:b/>
      <w:sz w:val="32"/>
      <w:szCs w:val="24"/>
      <w:lang w:val="en-US" w:eastAsia="zh-CN" w:bidi="ar-SA"/>
    </w:rPr>
  </w:style>
  <w:style w:type="character" w:styleId="1124" w:customStyle="1">
    <w:name w:val="标题 3 Char"/>
    <w:link w:val="866"/>
    <w:uiPriority w:val="0"/>
    <w:semiHidden/>
    <w:qFormat/>
    <w:rPr>
      <w:b/>
      <w:bCs/>
      <w:sz w:val="32"/>
      <w:szCs w:val="32"/>
    </w:rPr>
  </w:style>
  <w:style w:type="character" w:styleId="1125" w:customStyle="1">
    <w:name w:val="标题 4 Char"/>
    <w:link w:val="867"/>
    <w:uiPriority w:val="0"/>
    <w:qFormat/>
    <w:rPr>
      <w:rFonts w:eastAsia="宋体"/>
      <w:b/>
      <w:bCs/>
      <w:sz w:val="28"/>
      <w:szCs w:val="28"/>
      <w:lang w:val="en-US" w:eastAsia="zh-CN" w:bidi="ar-SA"/>
    </w:rPr>
  </w:style>
  <w:style w:type="character" w:styleId="1126" w:customStyle="1">
    <w:name w:val="标题 5 Char"/>
    <w:link w:val="868"/>
    <w:uiPriority w:val="0"/>
    <w:qFormat/>
    <w:rPr>
      <w:rFonts w:eastAsia="宋体"/>
      <w:b/>
      <w:bCs/>
      <w:i/>
      <w:iCs/>
      <w:sz w:val="26"/>
      <w:szCs w:val="26"/>
      <w:lang w:val="en-US" w:eastAsia="zh-CN" w:bidi="ar-SA"/>
    </w:rPr>
  </w:style>
  <w:style w:type="paragraph" w:styleId="1127" w:customStyle="1">
    <w:name w:val="Footer1"/>
    <w:basedOn w:val="863"/>
    <w:link w:val="1128"/>
    <w:uiPriority w:val="99"/>
    <w:qFormat/>
    <w:pPr>
      <w:jc w:val="left"/>
      <w:tabs>
        <w:tab w:val="center" w:pos="4153" w:leader="none"/>
        <w:tab w:val="right" w:pos="8306" w:leader="none"/>
      </w:tabs>
    </w:pPr>
    <w:rPr>
      <w:sz w:val="18"/>
      <w:szCs w:val="18"/>
    </w:rPr>
  </w:style>
  <w:style w:type="character" w:styleId="1128" w:customStyle="1">
    <w:name w:val="页脚 字符"/>
    <w:link w:val="1127"/>
    <w:uiPriority w:val="99"/>
    <w:qFormat/>
    <w:rPr>
      <w:rFonts w:eastAsia="宋体"/>
      <w:sz w:val="18"/>
      <w:szCs w:val="18"/>
      <w:lang w:val="en-US" w:eastAsia="zh-CN" w:bidi="ar-SA"/>
    </w:rPr>
  </w:style>
  <w:style w:type="paragraph" w:styleId="1129" w:customStyle="1">
    <w:name w:val="Header1"/>
    <w:basedOn w:val="863"/>
    <w:link w:val="1130"/>
    <w:uiPriority w:val="99"/>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字符"/>
    <w:link w:val="1129"/>
    <w:uiPriority w:val="99"/>
    <w:qFormat/>
    <w:rPr>
      <w:rFonts w:eastAsia="宋体"/>
      <w:sz w:val="18"/>
      <w:szCs w:val="18"/>
      <w:lang w:val="en-US" w:eastAsia="zh-CN" w:bidi="ar-SA"/>
    </w:rPr>
  </w:style>
  <w:style w:type="paragraph" w:styleId="1131" w:customStyle="1">
    <w:name w:val="首行缩进"/>
    <w:basedOn w:val="863"/>
    <w:uiPriority w:val="0"/>
    <w:qFormat/>
    <w:pPr>
      <w:ind w:firstLine="480"/>
    </w:pPr>
    <w:rPr>
      <w:szCs w:val="20"/>
      <w:lang w:val="zh-CN"/>
    </w:rPr>
  </w:style>
  <w:style w:type="paragraph" w:styleId="1132" w:customStyle="1">
    <w:name w:val="正文1"/>
    <w:next w:val="863"/>
    <w:uiPriority w:val="0"/>
    <w:qFormat/>
    <w:pPr>
      <w:ind w:firstLine="480"/>
      <w:jc w:val="both"/>
      <w:widowControl w:val="off"/>
    </w:pPr>
    <w:rPr>
      <w:rFonts w:hint="default" w:ascii="宋体" w:hAnsi="宋体" w:eastAsia="宋体" w:cs="Times New Roman"/>
      <w:sz w:val="24"/>
      <w:szCs w:val="24"/>
      <w:lang w:val="en-US" w:eastAsia="zh-CN" w:bidi="ar-SA"/>
    </w:rPr>
  </w:style>
  <w:style w:type="paragraph" w:styleId="1133"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1134" w:customStyle="1">
    <w:name w:val="xl35"/>
    <w:next w:val="863"/>
    <w:uiPriority w:val="0"/>
    <w:qFormat/>
    <w:pPr>
      <w:spacing w:before="100" w:beforeAutospacing="1" w:after="100" w:afterAutospacing="1"/>
      <w:pBdr>
        <w:top w:val="single" w:color="000000" w:sz="4" w:space="0"/>
        <w:left w:val="single" w:color="000000" w:sz="4" w:space="0"/>
        <w:bottom w:val="single" w:color="000000" w:sz="8" w:space="0"/>
      </w:pBdr>
    </w:pPr>
    <w:rPr>
      <w:rFonts w:hint="default" w:ascii="宋体" w:hAnsi="宋体" w:eastAsia="宋体" w:cs="Times New Roman"/>
      <w:lang w:val="en-US" w:eastAsia="zh-CN" w:bidi="ar-SA"/>
    </w:rPr>
  </w:style>
  <w:style w:type="paragraph" w:styleId="1135"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Char Char Char Char Char Char Char"/>
    <w:basedOn w:val="863"/>
    <w:uiPriority w:val="0"/>
    <w:qFormat/>
  </w:style>
  <w:style w:type="paragraph" w:styleId="1137" w:customStyle="1">
    <w:name w:val="p0"/>
    <w:basedOn w:val="863"/>
    <w:uiPriority w:val="0"/>
    <w:qFormat/>
    <w:pPr>
      <w:jc w:val="left"/>
      <w:widowControl/>
    </w:pPr>
    <w:rPr>
      <w:sz w:val="24"/>
    </w:rPr>
  </w:style>
  <w:style w:type="paragraph" w:styleId="1138" w:customStyle="1">
    <w:name w:val="Char Char Char Char Char Char Char Char Char1 Char Char Char Char"/>
    <w:basedOn w:val="928"/>
    <w:uiPriority w:val="0"/>
    <w:qFormat/>
    <w:rPr>
      <w:rFonts w:eastAsia="楷体_GB2312"/>
      <w:sz w:val="26"/>
      <w:szCs w:val="20"/>
    </w:rPr>
  </w:style>
  <w:style w:type="paragraph" w:styleId="1139" w:customStyle="1">
    <w:name w:val="格式３"/>
    <w:basedOn w:val="863"/>
    <w:uiPriority w:val="0"/>
    <w:qFormat/>
    <w:pPr>
      <w:ind w:left="600" w:hanging="600"/>
      <w:spacing w:line="420" w:lineRule="exact"/>
    </w:pPr>
    <w:rPr>
      <w:rFonts w:ascii="宋体" w:hAnsi="宋体"/>
      <w:color w:val="000000"/>
      <w:sz w:val="24"/>
      <w:szCs w:val="20"/>
    </w:rPr>
  </w:style>
  <w:style w:type="paragraph" w:styleId="1140" w:customStyle="1">
    <w:name w:val="Char1 Char Char Char"/>
    <w:basedOn w:val="863"/>
    <w:uiPriority w:val="0"/>
    <w:qFormat/>
    <w:rPr>
      <w:rFonts w:ascii="Tahoma" w:hAnsi="Tahoma"/>
      <w:sz w:val="24"/>
      <w:szCs w:val="20"/>
    </w:rPr>
  </w:style>
  <w:style w:type="paragraph" w:styleId="1141" w:customStyle="1">
    <w:name w:val="Char Char Char Char Char Char Char Char Char Char"/>
    <w:basedOn w:val="863"/>
    <w:uiPriority w:val="0"/>
    <w:qFormat/>
    <w:pPr>
      <w:ind w:left="420" w:hanging="420"/>
      <w:tabs>
        <w:tab w:val="left" w:pos="420" w:leader="none"/>
      </w:tabs>
    </w:pPr>
    <w:rPr>
      <w:sz w:val="24"/>
    </w:rPr>
  </w:style>
  <w:style w:type="paragraph" w:styleId="1142" w:customStyle="1">
    <w:name w:val="Char Char Char Char"/>
    <w:basedOn w:val="928"/>
    <w:uiPriority w:val="0"/>
    <w:qFormat/>
    <w:rPr>
      <w:sz w:val="24"/>
      <w:szCs w:val="20"/>
    </w:rPr>
  </w:style>
  <w:style w:type="paragraph" w:styleId="1143" w:customStyle="1">
    <w:name w:val="纯文本3"/>
    <w:basedOn w:val="863"/>
    <w:uiPriority w:val="0"/>
    <w:qFormat/>
    <w:rPr>
      <w:rFonts w:ascii="宋体" w:hAnsi="Courier New" w:eastAsia="楷体_GB2312"/>
      <w:sz w:val="28"/>
      <w:szCs w:val="20"/>
    </w:rPr>
  </w:style>
  <w:style w:type="paragraph" w:styleId="1144" w:customStyle="1">
    <w:name w:val="正文21"/>
    <w:basedOn w:val="863"/>
    <w:uiPriority w:val="0"/>
    <w:qFormat/>
    <w:pPr>
      <w:ind w:firstLine="200"/>
      <w:jc w:val="left"/>
      <w:spacing w:after="160"/>
      <w:widowControl/>
    </w:pPr>
    <w:rPr>
      <w:rFonts w:ascii="Verdana" w:hAnsi="Verdana" w:eastAsia="黑体"/>
      <w:szCs w:val="20"/>
      <w:lang w:eastAsia="en-US"/>
    </w:rPr>
  </w:style>
  <w:style w:type="paragraph" w:styleId="1145" w:customStyle="1">
    <w:name w:val="+标题2"/>
    <w:basedOn w:val="865"/>
    <w:link w:val="1146"/>
    <w:uiPriority w:val="0"/>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146" w:customStyle="1">
    <w:name w:val="+标题2 Char Char"/>
    <w:link w:val="1145"/>
    <w:uiPriority w:val="0"/>
    <w:qFormat/>
    <w:rPr>
      <w:rFonts w:eastAsia="宋体"/>
      <w:b/>
      <w:sz w:val="24"/>
      <w:lang w:val="en-US" w:eastAsia="zh-CN" w:bidi="ar-SA"/>
    </w:rPr>
  </w:style>
  <w:style w:type="paragraph" w:styleId="1147" w:customStyle="1">
    <w:name w:val="财政-标题三"/>
    <w:basedOn w:val="863"/>
    <w:uiPriority w:val="0"/>
    <w:qFormat/>
    <w:pPr>
      <w:numPr>
        <w:ilvl w:val="2"/>
        <w:numId w:val="3"/>
      </w:numPr>
      <w:outlineLvl w:val="2"/>
    </w:pPr>
    <w:rPr>
      <w:b/>
      <w:sz w:val="32"/>
      <w:szCs w:val="21"/>
    </w:rPr>
  </w:style>
  <w:style w:type="paragraph" w:styleId="1148">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Char Char Char"/>
    <w:basedOn w:val="928"/>
    <w:uiPriority w:val="0"/>
    <w:qFormat/>
    <w:rPr>
      <w:rFonts w:ascii="Tahoma" w:hAnsi="Tahoma"/>
      <w:sz w:val="24"/>
    </w:rPr>
  </w:style>
  <w:style w:type="paragraph" w:styleId="1150" w:customStyle="1">
    <w:name w:val="+正文"/>
    <w:basedOn w:val="863"/>
    <w:link w:val="1151"/>
    <w:uiPriority w:val="0"/>
    <w:qFormat/>
    <w:pPr>
      <w:ind w:firstLine="200"/>
    </w:pPr>
    <w:rPr>
      <w:sz w:val="24"/>
    </w:rPr>
  </w:style>
  <w:style w:type="character" w:styleId="1151" w:customStyle="1">
    <w:name w:val="+正文 Char3"/>
    <w:link w:val="1150"/>
    <w:uiPriority w:val="0"/>
    <w:qFormat/>
    <w:rPr>
      <w:sz w:val="24"/>
      <w:szCs w:val="24"/>
    </w:rPr>
  </w:style>
  <w:style w:type="paragraph" w:styleId="1152" w:customStyle="1">
    <w:name w:val="图名"/>
    <w:basedOn w:val="863"/>
    <w:uiPriority w:val="0"/>
    <w:qFormat/>
    <w:pPr>
      <w:jc w:val="center"/>
    </w:pPr>
    <w:rPr>
      <w:rFonts w:ascii="宋体" w:hAnsi="宋体"/>
      <w:b/>
      <w:szCs w:val="22"/>
    </w:rPr>
  </w:style>
  <w:style w:type="paragraph" w:styleId="1153" w:customStyle="1">
    <w:name w:val="图片"/>
    <w:basedOn w:val="863"/>
    <w:uiPriority w:val="0"/>
    <w:qFormat/>
    <w:pPr>
      <w:jc w:val="center"/>
    </w:pPr>
    <w:rPr>
      <w:b/>
      <w:szCs w:val="22"/>
    </w:rPr>
  </w:style>
  <w:style w:type="paragraph" w:styleId="1154" w:customStyle="1">
    <w:name w:val="表名"/>
    <w:basedOn w:val="1155"/>
    <w:uiPriority w:val="0"/>
    <w:qFormat/>
    <w:pPr>
      <w:jc w:val="right"/>
    </w:pPr>
    <w:rPr>
      <w:b/>
    </w:rPr>
  </w:style>
  <w:style w:type="paragraph" w:styleId="1155" w:customStyle="1">
    <w:name w:val="表格"/>
    <w:basedOn w:val="863"/>
    <w:uiPriority w:val="0"/>
    <w:qFormat/>
    <w:pPr>
      <w:jc w:val="center"/>
    </w:pPr>
    <w:rPr>
      <w:szCs w:val="22"/>
    </w:rPr>
  </w:style>
  <w:style w:type="paragraph" w:styleId="1156" w:customStyle="1">
    <w:name w:val="表"/>
    <w:basedOn w:val="863"/>
    <w:uiPriority w:val="0"/>
    <w:qFormat/>
    <w:pPr>
      <w:jc w:val="center"/>
    </w:pPr>
    <w:rPr>
      <w:szCs w:val="20"/>
    </w:rPr>
  </w:style>
  <w:style w:type="paragraph" w:styleId="1157" w:customStyle="1">
    <w:name w:val="+列表1"/>
    <w:basedOn w:val="863"/>
    <w:link w:val="1158"/>
    <w:uiPriority w:val="0"/>
    <w:qFormat/>
    <w:pPr>
      <w:jc w:val="center"/>
    </w:pPr>
    <w:rPr>
      <w:sz w:val="24"/>
    </w:rPr>
  </w:style>
  <w:style w:type="character" w:styleId="1158" w:customStyle="1">
    <w:name w:val="+列表1 Char Char Char Char Char Char"/>
    <w:link w:val="1157"/>
    <w:uiPriority w:val="0"/>
    <w:qFormat/>
    <w:rPr>
      <w:rFonts w:eastAsia="宋体"/>
      <w:sz w:val="24"/>
      <w:szCs w:val="24"/>
      <w:lang w:val="en-US" w:eastAsia="zh-CN" w:bidi="ar-SA"/>
    </w:rPr>
  </w:style>
  <w:style w:type="paragraph" w:styleId="1159" w:customStyle="1">
    <w:name w:val="纯文本1"/>
    <w:basedOn w:val="863"/>
    <w:next w:val="894"/>
    <w:uiPriority w:val="0"/>
    <w:qFormat/>
    <w:rPr>
      <w:rFonts w:ascii="宋体" w:hAnsi="Courier New" w:eastAsia="楷体_GB2312"/>
      <w:sz w:val="28"/>
      <w:szCs w:val="20"/>
    </w:rPr>
  </w:style>
  <w:style w:type="paragraph" w:styleId="1160" w:customStyle="1">
    <w:name w:val="Plain Text1"/>
    <w:basedOn w:val="863"/>
    <w:uiPriority w:val="0"/>
    <w:qFormat/>
    <w:rPr>
      <w:rFonts w:ascii="宋体" w:hAnsi="Courier New" w:eastAsia="楷体_GB2312"/>
      <w:sz w:val="26"/>
      <w:szCs w:val="20"/>
    </w:rPr>
  </w:style>
  <w:style w:type="paragraph" w:styleId="1161" w:customStyle="1">
    <w:name w:val="UserStyle_7"/>
    <w:next w:val="863"/>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62" w:customStyle="1">
    <w:name w:val="xl44"/>
    <w:basedOn w:val="863"/>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163" w:customStyle="1">
    <w:name w:val="纯文本2"/>
    <w:basedOn w:val="863"/>
    <w:uiPriority w:val="0"/>
    <w:qFormat/>
    <w:pPr>
      <w:jc w:val="left"/>
      <w:widowControl/>
    </w:pPr>
    <w:rPr>
      <w:rFonts w:ascii="宋体" w:hAnsi="Courier New" w:eastAsia="楷体_GB2312"/>
      <w:sz w:val="26"/>
      <w:szCs w:val="20"/>
    </w:rPr>
  </w:style>
  <w:style w:type="paragraph" w:styleId="1164" w:customStyle="1">
    <w:name w:val="TOC 标题11"/>
    <w:basedOn w:val="864"/>
    <w:next w:val="863"/>
    <w:uiPriority w:val="0"/>
    <w:qFormat/>
    <w:pPr>
      <w:jc w:val="left"/>
      <w:spacing w:before="480" w:after="0" w:line="276" w:lineRule="auto"/>
      <w:widowControl/>
      <w:outlineLvl w:val="9"/>
    </w:pPr>
    <w:rPr>
      <w:rFonts w:ascii="Cambria" w:hAnsi="Cambria"/>
      <w:color w:val="365f91"/>
      <w:sz w:val="28"/>
      <w:szCs w:val="28"/>
    </w:rPr>
  </w:style>
  <w:style w:type="paragraph" w:styleId="1165" w:customStyle="1">
    <w:name w:val="Char Char Char Char Char Char Char Char Char1 Char"/>
    <w:basedOn w:val="928"/>
    <w:uiPriority w:val="0"/>
    <w:qFormat/>
    <w:rPr>
      <w:rFonts w:ascii="Tahoma" w:hAnsi="Tahoma"/>
      <w:sz w:val="24"/>
    </w:rPr>
  </w:style>
  <w:style w:type="paragraph" w:styleId="1166"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167" w:customStyle="1">
    <w:name w:val="正文标准"/>
    <w:basedOn w:val="863"/>
    <w:uiPriority w:val="0"/>
    <w:qFormat/>
    <w:pPr>
      <w:ind w:firstLine="200"/>
    </w:pPr>
    <w:rPr>
      <w:rFonts w:hAnsi="宋体"/>
      <w:sz w:val="24"/>
    </w:rPr>
  </w:style>
  <w:style w:type="paragraph" w:styleId="1168" w:customStyle="1">
    <w:name w:val="纯文本4"/>
    <w:basedOn w:val="863"/>
    <w:link w:val="1169"/>
    <w:uiPriority w:val="0"/>
    <w:qFormat/>
    <w:rPr>
      <w:rFonts w:ascii="宋体" w:hAnsi="Courier New" w:eastAsia="楷体_GB2312"/>
      <w:sz w:val="28"/>
      <w:szCs w:val="20"/>
    </w:rPr>
  </w:style>
  <w:style w:type="character" w:styleId="1169" w:customStyle="1">
    <w:name w:val="Plain Text Char Char"/>
    <w:link w:val="1168"/>
    <w:uiPriority w:val="0"/>
    <w:qFormat/>
    <w:rPr>
      <w:rFonts w:ascii="宋体" w:hAnsi="Courier New" w:eastAsia="楷体_GB2312"/>
      <w:sz w:val="28"/>
      <w:lang w:val="en-US" w:eastAsia="zh-CN" w:bidi="ar-SA"/>
    </w:rPr>
  </w:style>
  <w:style w:type="paragraph" w:styleId="1170" w:customStyle="1">
    <w:name w:val="p25"/>
    <w:basedOn w:val="863"/>
    <w:uiPriority w:val="0"/>
    <w:qFormat/>
    <w:pPr>
      <w:jc w:val="left"/>
      <w:widowControl/>
    </w:pPr>
    <w:rPr>
      <w:rFonts w:ascii="黑体" w:hAnsi="黑体" w:eastAsia="黑体" w:cs="黑体"/>
      <w:sz w:val="26"/>
      <w:szCs w:val="26"/>
    </w:rPr>
  </w:style>
  <w:style w:type="paragraph" w:styleId="1171" w:customStyle="1">
    <w:name w:val="Char"/>
    <w:basedOn w:val="863"/>
    <w:uiPriority w:val="0"/>
    <w:qFormat/>
    <w:pPr>
      <w:ind w:left="420" w:hanging="420"/>
      <w:tabs>
        <w:tab w:val="left" w:pos="420" w:leader="none"/>
      </w:tabs>
    </w:pPr>
    <w:rPr>
      <w:sz w:val="24"/>
    </w:rPr>
  </w:style>
  <w:style w:type="paragraph" w:styleId="1172" w:customStyle="1">
    <w:name w:val="BodyTextIndent31"/>
    <w:basedOn w:val="863"/>
    <w:link w:val="1173"/>
    <w:uiPriority w:val="0"/>
    <w:semiHidden/>
    <w:qFormat/>
    <w:pPr>
      <w:ind w:left="420"/>
      <w:jc w:val="left"/>
      <w:spacing w:after="120"/>
      <w:widowControl/>
    </w:pPr>
    <w:rPr>
      <w:sz w:val="16"/>
      <w:szCs w:val="16"/>
    </w:rPr>
  </w:style>
  <w:style w:type="character" w:styleId="1173" w:customStyle="1">
    <w:name w:val="UserStyle_5"/>
    <w:link w:val="1172"/>
    <w:uiPriority w:val="0"/>
    <w:semiHidden/>
    <w:qFormat/>
    <w:rPr>
      <w:sz w:val="16"/>
      <w:szCs w:val="16"/>
    </w:rPr>
  </w:style>
  <w:style w:type="paragraph" w:styleId="1174" w:customStyle="1">
    <w:name w:val="列表段落1"/>
    <w:basedOn w:val="863"/>
    <w:uiPriority w:val="0"/>
    <w:qFormat/>
    <w:pPr>
      <w:ind w:firstLine="420"/>
      <w:jc w:val="left"/>
    </w:pPr>
    <w:rPr>
      <w:sz w:val="24"/>
      <w:szCs w:val="22"/>
    </w:rPr>
  </w:style>
  <w:style w:type="paragraph" w:styleId="1175" w:customStyle="1">
    <w:name w:val="+● Char Char Char"/>
    <w:basedOn w:val="863"/>
    <w:link w:val="1176"/>
    <w:uiPriority w:val="0"/>
    <w:qFormat/>
    <w:pPr>
      <w:numPr>
        <w:ilvl w:val="0"/>
        <w:numId w:val="4"/>
      </w:numPr>
      <w:ind w:firstLine="480"/>
      <w:tabs>
        <w:tab w:val="left" w:pos="958" w:leader="none"/>
      </w:tabs>
    </w:pPr>
    <w:rPr>
      <w:sz w:val="24"/>
      <w:szCs w:val="28"/>
    </w:rPr>
  </w:style>
  <w:style w:type="character" w:styleId="1176" w:customStyle="1">
    <w:name w:val="+● Char Char Char Char Char Char"/>
    <w:link w:val="1175"/>
    <w:uiPriority w:val="0"/>
    <w:qFormat/>
    <w:rPr>
      <w:rFonts w:eastAsia="宋体"/>
      <w:sz w:val="24"/>
      <w:szCs w:val="28"/>
      <w:lang w:val="en-US" w:eastAsia="zh-CN" w:bidi="ar-SA"/>
    </w:rPr>
  </w:style>
  <w:style w:type="paragraph" w:styleId="1177" w:customStyle="1">
    <w:name w:val="Char Char Char1 Char Char Char Char"/>
    <w:basedOn w:val="863"/>
    <w:uiPriority w:val="0"/>
    <w:qFormat/>
    <w:pPr>
      <w:jc w:val="left"/>
      <w:spacing w:after="160" w:line="240" w:lineRule="exact"/>
      <w:widowControl/>
    </w:pPr>
    <w:rPr>
      <w:sz w:val="24"/>
    </w:rPr>
  </w:style>
  <w:style w:type="paragraph" w:styleId="1178" w:customStyle="1">
    <w:name w:val="方案文档"/>
    <w:link w:val="1179"/>
    <w:uiPriority w:val="0"/>
    <w:qFormat/>
    <w:pPr>
      <w:ind w:firstLine="200"/>
      <w:spacing w:before="156" w:after="156" w:line="360" w:lineRule="auto"/>
    </w:pPr>
    <w:rPr>
      <w:rFonts w:hint="default" w:ascii="Times New Roman" w:hAnsi="Times New Roman" w:eastAsia="Times New Roman" w:cs="Times New Roman"/>
      <w:sz w:val="24"/>
      <w:szCs w:val="24"/>
      <w:lang w:val="en-US" w:eastAsia="zh-CN" w:bidi="ar-SA"/>
    </w:rPr>
  </w:style>
  <w:style w:type="character" w:styleId="1179" w:customStyle="1">
    <w:name w:val="方案文档 Char Char"/>
    <w:link w:val="1178"/>
    <w:uiPriority w:val="0"/>
    <w:qFormat/>
    <w:rPr>
      <w:rFonts w:eastAsia="Times New Roman"/>
      <w:sz w:val="24"/>
      <w:szCs w:val="24"/>
      <w:lang w:val="en-US" w:eastAsia="zh-CN" w:bidi="ar-SA"/>
    </w:rPr>
  </w:style>
  <w:style w:type="character" w:styleId="1180" w:customStyle="1">
    <w:name w:val="NormalCharacter1"/>
    <w:uiPriority w:val="0"/>
    <w:semiHidden/>
    <w:qFormat/>
  </w:style>
  <w:style w:type="character" w:styleId="1181" w:customStyle="1">
    <w:name w:val="Footer Char"/>
    <w:uiPriority w:val="0"/>
    <w:qFormat/>
    <w:rPr>
      <w:rFonts w:ascii="Times New Roman" w:hAnsi="Times New Roman" w:cs="Times New Roman"/>
      <w:sz w:val="18"/>
      <w:szCs w:val="18"/>
    </w:rPr>
  </w:style>
  <w:style w:type="character" w:styleId="1182" w:customStyle="1">
    <w:name w:val="纯文本 Char Char2"/>
    <w:uiPriority w:val="0"/>
    <w:qFormat/>
    <w:rPr>
      <w:rFonts w:ascii="宋体" w:hAnsi="Courier New" w:eastAsia="楷体_GB2312"/>
      <w:sz w:val="26"/>
      <w:szCs w:val="24"/>
      <w:lang w:val="en-US" w:eastAsia="zh-CN" w:bidi="ar-SA"/>
    </w:rPr>
  </w:style>
  <w:style w:type="character" w:styleId="1183" w:customStyle="1">
    <w:name w:val="首行缩进两字 Char2"/>
    <w:uiPriority w:val="0"/>
    <w:qFormat/>
    <w:rPr>
      <w:rFonts w:eastAsia="楷体_GB2312"/>
      <w:sz w:val="24"/>
      <w:lang w:val="en-US" w:eastAsia="zh-CN" w:bidi="ar-SA"/>
    </w:rPr>
  </w:style>
  <w:style w:type="character" w:styleId="1184" w:customStyle="1">
    <w:name w:val="正文缩进 字符"/>
    <w:uiPriority w:val="0"/>
    <w:qFormat/>
    <w:rPr>
      <w:rFonts w:eastAsia="楷体_GB2312"/>
      <w:sz w:val="24"/>
    </w:rPr>
  </w:style>
  <w:style w:type="character" w:styleId="1185" w:customStyle="1">
    <w:name w:val="Char Char17"/>
    <w:uiPriority w:val="0"/>
    <w:qFormat/>
    <w:rPr>
      <w:rFonts w:eastAsia="楷体_GB2312"/>
      <w:sz w:val="24"/>
      <w:lang w:val="en-US" w:eastAsia="zh-CN" w:bidi="ar-SA"/>
    </w:rPr>
  </w:style>
  <w:style w:type="character" w:styleId="1186" w:customStyle="1">
    <w:name w:val="Heading 4 Char"/>
    <w:uiPriority w:val="0"/>
    <w:qFormat/>
    <w:rPr>
      <w:rFonts w:ascii="Times New Roman" w:hAnsi="Times New Roman" w:eastAsia="宋体" w:cs="Times New Roman"/>
      <w:b/>
      <w:bCs/>
      <w:sz w:val="28"/>
      <w:szCs w:val="28"/>
    </w:rPr>
  </w:style>
  <w:style w:type="character" w:styleId="1187" w:customStyle="1">
    <w:name w:val="Header Char"/>
    <w:uiPriority w:val="0"/>
    <w:semiHidden/>
    <w:qFormat/>
    <w:rPr>
      <w:rFonts w:eastAsia="宋体" w:cs="Times New Roman"/>
      <w:sz w:val="18"/>
      <w:szCs w:val="24"/>
      <w:lang w:val="en-US" w:eastAsia="zh-CN"/>
    </w:rPr>
  </w:style>
  <w:style w:type="character" w:styleId="1188" w:customStyle="1">
    <w:name w:val="首行缩进两字 Char1"/>
    <w:uiPriority w:val="0"/>
    <w:qFormat/>
    <w:rPr>
      <w:rFonts w:eastAsia="楷体_GB2312"/>
      <w:sz w:val="24"/>
      <w:lang w:val="en-US" w:eastAsia="zh-CN" w:bidi="ar-SA"/>
    </w:rPr>
  </w:style>
  <w:style w:type="character" w:styleId="1189" w:customStyle="1">
    <w:name w:val="标题 Char1"/>
    <w:uiPriority w:val="0"/>
    <w:qFormat/>
    <w:rPr>
      <w:rFonts w:ascii="Cambria" w:hAnsi="Cambria" w:cs="Times New Roman"/>
      <w:b/>
      <w:bCs/>
      <w:sz w:val="32"/>
      <w:szCs w:val="32"/>
    </w:rPr>
  </w:style>
  <w:style w:type="character" w:styleId="1190" w:customStyle="1">
    <w:name w:val="Heading 3 Char"/>
    <w:uiPriority w:val="0"/>
    <w:qFormat/>
    <w:rPr>
      <w:rFonts w:ascii="Times New Roman" w:hAnsi="Times New Roman" w:cs="Times New Roman"/>
      <w:b/>
      <w:bCs/>
      <w:sz w:val="32"/>
      <w:szCs w:val="32"/>
    </w:rPr>
  </w:style>
  <w:style w:type="character" w:styleId="1191" w:customStyle="1">
    <w:name w:val="c lh15"/>
    <w:basedOn w:val="921"/>
    <w:uiPriority w:val="0"/>
    <w:qFormat/>
  </w:style>
  <w:style w:type="character" w:styleId="1192" w:customStyle="1">
    <w:name w:val="Heading 5 Char"/>
    <w:uiPriority w:val="0"/>
    <w:qFormat/>
    <w:rPr>
      <w:rFonts w:ascii="Times New Roman" w:hAnsi="Times New Roman" w:cs="Times New Roman"/>
      <w:b/>
      <w:bCs/>
      <w:sz w:val="28"/>
      <w:szCs w:val="28"/>
    </w:rPr>
  </w:style>
  <w:style w:type="character" w:styleId="1193" w:customStyle="1">
    <w:name w:val="font11"/>
    <w:basedOn w:val="921"/>
    <w:uiPriority w:val="0"/>
    <w:qFormat/>
    <w:rPr>
      <w:rFonts w:hint="eastAsia" w:ascii="宋体" w:hAnsi="宋体" w:eastAsia="宋体" w:cs="宋体"/>
      <w:color w:val="000000"/>
      <w:sz w:val="24"/>
      <w:szCs w:val="24"/>
      <w:u w:val="none"/>
    </w:rPr>
  </w:style>
  <w:style w:type="character" w:styleId="1194" w:customStyle="1">
    <w:name w:val="font21"/>
    <w:basedOn w:val="921"/>
    <w:uiPriority w:val="0"/>
    <w:qFormat/>
    <w:rPr>
      <w:rFonts w:hint="eastAsia" w:ascii="宋体" w:hAnsi="宋体" w:eastAsia="宋体" w:cs="宋体"/>
      <w:color w:val="000000"/>
      <w:sz w:val="24"/>
      <w:szCs w:val="24"/>
      <w:u w:val="none"/>
    </w:rPr>
  </w:style>
  <w:style w:type="paragraph" w:styleId="1195" w:customStyle="1">
    <w:name w:val="_Style 30"/>
    <w:basedOn w:val="863"/>
    <w:next w:val="1196"/>
    <w:uiPriority w:val="0"/>
    <w:qFormat/>
    <w:rPr>
      <w:rFonts w:ascii="宋体" w:hAnsi="Courier New"/>
    </w:rPr>
  </w:style>
  <w:style w:type="paragraph" w:styleId="1196" w:customStyle="1">
    <w:name w:val="纯文本12"/>
    <w:basedOn w:val="863"/>
    <w:uiPriority w:val="0"/>
    <w:qFormat/>
    <w:rPr>
      <w:rFonts w:ascii="宋体" w:hAnsi="Courier New"/>
    </w:rPr>
  </w:style>
  <w:style w:type="paragraph" w:styleId="1197" w:customStyle="1">
    <w:name w:val="Table Paragraph"/>
    <w:basedOn w:val="863"/>
    <w:uiPriority w:val="1"/>
    <w:qFormat/>
    <w:rPr>
      <w:rFonts w:ascii="宋体" w:hAnsi="宋体" w:cs="宋体"/>
      <w:lang w:val="zh-CN" w:bidi="zh-CN"/>
    </w:rPr>
  </w:style>
  <w:style w:type="paragraph" w:styleId="1198">
    <w:name w:val="List Paragraph"/>
    <w:basedOn w:val="863"/>
    <w:uiPriority w:val="1"/>
    <w:qFormat/>
    <w:pPr>
      <w:ind w:left="317" w:firstLine="480"/>
    </w:pPr>
    <w:rPr>
      <w:rFonts w:ascii="宋体" w:hAnsi="宋体" w:cs="宋体"/>
      <w:lang w:val="zh-CN" w:bidi="zh-CN"/>
    </w:rPr>
  </w:style>
  <w:style w:type="paragraph" w:styleId="1199" w:customStyle="1">
    <w:name w:val="+标题1"/>
    <w:basedOn w:val="864"/>
    <w:uiPriority w:val="0"/>
    <w:qFormat/>
    <w:pPr>
      <w:keepNext w:val="0"/>
      <w:pageBreakBefore/>
      <w:spacing w:before="240" w:after="240" w:line="240" w:lineRule="auto"/>
    </w:pPr>
    <w:rPr>
      <w:rFonts w:ascii="宋体" w:hAnsi="宋体"/>
      <w:color w:val="000000"/>
      <w:sz w:val="36"/>
    </w:rPr>
  </w:style>
  <w:style w:type="paragraph" w:styleId="1200" w:customStyle="1">
    <w:name w:val="纯文本5"/>
    <w:basedOn w:val="863"/>
    <w:uiPriority w:val="0"/>
    <w:qFormat/>
    <w:rPr>
      <w:rFonts w:ascii="宋体" w:hAnsi="Courier New" w:eastAsia="楷体_GB2312"/>
      <w:sz w:val="28"/>
      <w:szCs w:val="20"/>
    </w:rPr>
  </w:style>
  <w:style w:type="paragraph" w:styleId="1201" w:customStyle="1">
    <w:name w:val="WPSOffice手动目录 1"/>
    <w:uiPriority w:val="0"/>
    <w:qFormat/>
    <w:rPr>
      <w:rFonts w:hint="default" w:ascii="Times New Roman" w:hAnsi="Times New Roman" w:eastAsia="宋体" w:cs="Times New Roman"/>
      <w:lang w:val="en-US" w:eastAsia="zh-CN" w:bidi="ar-SA"/>
    </w:rPr>
  </w:style>
  <w:style w:type="paragraph" w:styleId="120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03" w:customStyle="1">
    <w:name w:val="纯文本51"/>
    <w:basedOn w:val="863"/>
    <w:uiPriority w:val="0"/>
    <w:qFormat/>
    <w:rPr>
      <w:rFonts w:ascii="宋体" w:hAnsi="Courier New"/>
    </w:rPr>
  </w:style>
  <w:style w:type="character" w:styleId="1204" w:customStyle="1">
    <w:name w:val="font41"/>
    <w:basedOn w:val="921"/>
    <w:uiPriority w:val="0"/>
    <w:qFormat/>
    <w:rPr>
      <w:rFonts w:hint="eastAsia" w:ascii="宋体" w:hAnsi="宋体" w:eastAsia="宋体" w:cs="宋体"/>
      <w:color w:val="000000"/>
      <w:sz w:val="21"/>
      <w:szCs w:val="21"/>
      <w:u w:val="none"/>
    </w:rPr>
  </w:style>
  <w:style w:type="paragraph" w:styleId="1205" w:customStyle="1">
    <w:name w:val="普通(网站)1"/>
    <w:basedOn w:val="863"/>
    <w:uiPriority w:val="0"/>
    <w:qFormat/>
    <w:pPr>
      <w:jc w:val="left"/>
      <w:spacing w:before="100" w:beforeAutospacing="1" w:after="100" w:afterAutospacing="1"/>
      <w:widowControl/>
    </w:pPr>
    <w:rPr>
      <w:rFonts w:ascii="宋体" w:hAnsi="宋体" w:cs="宋体"/>
      <w:sz w:val="24"/>
    </w:rPr>
  </w:style>
  <w:style w:type="paragraph" w:styleId="1206" w:customStyle="1">
    <w:name w:val="正文 A"/>
    <w:next w:val="918"/>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207" w:customStyle="1">
    <w:name w:val="正文缩进1"/>
    <w:basedOn w:val="863"/>
    <w:uiPriority w:val="0"/>
    <w:qFormat/>
    <w:pPr>
      <w:ind w:firstLine="420"/>
      <w:jc w:val="left"/>
    </w:pPr>
    <w:rPr>
      <w:sz w:val="24"/>
    </w:rPr>
  </w:style>
  <w:style w:type="character" w:styleId="1208" w:customStyle="1">
    <w:name w:val="批注引用1"/>
    <w:uiPriority w:val="0"/>
    <w:semiHidden/>
    <w:qFormat/>
    <w:rPr>
      <w:rFonts w:ascii="Times New Roman" w:hAnsi="Times New Roman" w:eastAsia="宋体" w:cs="Times New Roman"/>
      <w:sz w:val="21"/>
      <w:szCs w:val="24"/>
      <w:lang w:val="en-US" w:eastAsia="zh-CN" w:bidi="ar-SA"/>
    </w:rPr>
  </w:style>
  <w:style w:type="paragraph" w:styleId="1209" w:customStyle="1">
    <w:name w:val="正文文本1"/>
    <w:basedOn w:val="863"/>
    <w:next w:val="863"/>
    <w:uiPriority w:val="0"/>
    <w:qFormat/>
    <w:pPr>
      <w:spacing w:line="400" w:lineRule="exact"/>
    </w:pPr>
    <w:rPr>
      <w:rFonts w:ascii="楷体_GB2312"/>
      <w:sz w:val="28"/>
    </w:rPr>
  </w:style>
  <w:style w:type="character" w:styleId="1210" w:customStyle="1">
    <w:name w:val="NormalCharacter11"/>
    <w:uiPriority w:val="0"/>
    <w:qFormat/>
    <w:rPr>
      <w:rFonts w:ascii="Times New Roman" w:hAnsi="Times New Roman" w:eastAsia="宋体"/>
    </w:rPr>
  </w:style>
  <w:style w:type="paragraph" w:styleId="1211" w:customStyle="1">
    <w:name w:val="标题3"/>
    <w:basedOn w:val="1212"/>
    <w:uiPriority w:val="0"/>
    <w:qFormat/>
    <w:pPr>
      <w:contextualSpacing/>
      <w:jc w:val="center"/>
      <w:spacing w:before="100" w:after="100"/>
    </w:pPr>
    <w:rPr>
      <w:rFonts w:eastAsia="黑体" w:cs="宋体"/>
      <w:bCs/>
      <w:sz w:val="28"/>
    </w:rPr>
  </w:style>
  <w:style w:type="paragraph" w:styleId="1212" w:customStyle="1">
    <w:name w:val="标题 31"/>
    <w:basedOn w:val="863"/>
    <w:next w:val="863"/>
    <w:uiPriority w:val="0"/>
    <w:qFormat/>
    <w:pPr>
      <w:jc w:val="left"/>
      <w:keepLines/>
      <w:keepNext/>
      <w:outlineLvl w:val="2"/>
    </w:pPr>
    <w:rPr>
      <w:b/>
    </w:rPr>
  </w:style>
  <w:style w:type="paragraph" w:styleId="1213" w:customStyle="1">
    <w:name w:val="页眉1"/>
    <w:basedOn w:val="863"/>
    <w:uiPriority w:val="0"/>
    <w:qFormat/>
    <w:pPr>
      <w:tabs>
        <w:tab w:val="center" w:pos="4153" w:leader="none"/>
        <w:tab w:val="right" w:pos="8306" w:leader="none"/>
      </w:tabs>
      <w:pBdr>
        <w:bottom w:val="single" w:color="000000" w:sz="6" w:space="1"/>
      </w:pBdr>
    </w:pPr>
    <w:rPr>
      <w:sz w:val="18"/>
    </w:rPr>
  </w:style>
  <w:style w:type="paragraph" w:styleId="1214" w:customStyle="1">
    <w:name w:val="段落正文"/>
    <w:basedOn w:val="863"/>
    <w:uiPriority w:val="0"/>
    <w:qFormat/>
    <w:pPr>
      <w:ind w:firstLine="880"/>
    </w:pPr>
    <w:rPr>
      <w:szCs w:val="21"/>
    </w:rPr>
  </w:style>
  <w:style w:type="paragraph" w:styleId="1215" w:customStyle="1">
    <w:name w:val="表格正文"/>
    <w:uiPriority w:val="0"/>
    <w:qFormat/>
    <w:pPr>
      <w:spacing w:before="20" w:after="20"/>
    </w:pPr>
    <w:rPr>
      <w:rFonts w:hint="default" w:ascii="Times New Roman" w:hAnsi="Times New Roman" w:eastAsia="宋体" w:cs="Times New Roman"/>
      <w:i/>
      <w:iCs/>
      <w:color w:val="0070c0"/>
      <w:sz w:val="24"/>
      <w:szCs w:val="22"/>
      <w:lang w:val="en-US" w:eastAsia="zh-CN" w:bidi="ar-SA"/>
    </w:rPr>
  </w:style>
  <w:style w:type="paragraph" w:styleId="121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17" w:customStyle="1">
    <w:name w:val="纯文本6"/>
    <w:basedOn w:val="863"/>
    <w:uiPriority w:val="0"/>
    <w:qFormat/>
    <w:rPr>
      <w:rFonts w:ascii="宋体" w:hAnsi="Courier New" w:eastAsia="楷体_GB2312"/>
      <w:sz w:val="28"/>
      <w:szCs w:val="20"/>
    </w:rPr>
  </w:style>
  <w:style w:type="paragraph" w:styleId="1218" w:customStyle="1">
    <w:name w:val="Normal_23"/>
    <w:uiPriority w:val="0"/>
    <w:qFormat/>
    <w:rPr>
      <w:rFonts w:hint="default" w:ascii="Times New Roman" w:hAnsi="Times New Roman" w:eastAsia="Times New Roman" w:cs="Times New Roman"/>
      <w:sz w:val="24"/>
      <w:szCs w:val="24"/>
      <w:lang w:val="en-US" w:eastAsia="zh-CN" w:bidi="ar-SA"/>
    </w:rPr>
  </w:style>
  <w:style w:type="table" w:styleId="1219" w:customStyle="1">
    <w:name w:val="Table Normal"/>
    <w:uiPriority w:val="0"/>
    <w:semiHidden/>
    <w:unhideWhenUsed/>
    <w:qFormat/>
    <w:tblPr>
      <w:tblCellMar>
        <w:left w:w="0" w:type="dxa"/>
        <w:top w:w="0" w:type="dxa"/>
        <w:right w:w="0" w:type="dxa"/>
        <w:bottom w:w="0" w:type="dxa"/>
      </w:tblCellMar>
    </w:tblPr>
  </w:style>
  <w:style w:type="paragraph" w:styleId="1220" w:customStyle="1">
    <w:name w:val="Table Text"/>
    <w:basedOn w:val="863"/>
    <w:uiPriority w:val="0"/>
    <w:semiHidden/>
    <w:qFormat/>
    <w:rPr>
      <w:rFonts w:ascii="Arial" w:hAnsi="Arial" w:eastAsia="Arial" w:cs="Arial"/>
      <w:szCs w:val="21"/>
      <w:lang w:eastAsia="en-US"/>
    </w:rPr>
  </w:style>
  <w:style w:type="paragraph" w:styleId="1221" w:customStyle="1">
    <w:name w:val="列出段落1"/>
    <w:basedOn w:val="863"/>
    <w:uiPriority w:val="34"/>
    <w:qFormat/>
    <w:pPr>
      <w:ind w:firstLine="420"/>
    </w:pPr>
    <w:rPr>
      <w:rFonts w:ascii="Calibri" w:hAnsi="Calibri"/>
      <w:szCs w:val="20"/>
    </w:rPr>
  </w:style>
  <w:style w:type="paragraph" w:styleId="1222" w:customStyle="1">
    <w:name w:val="目录1"/>
    <w:basedOn w:val="863"/>
    <w:next w:val="863"/>
    <w:uiPriority w:val="0"/>
    <w:qFormat/>
    <w:pPr>
      <w:ind w:firstLine="419"/>
      <w:jc w:val="left"/>
      <w:spacing w:after="102" w:line="646" w:lineRule="atLeast"/>
      <w:widowControl/>
      <w:tabs>
        <w:tab w:val="left" w:pos="8492" w:leader="dot"/>
      </w:tabs>
    </w:pPr>
    <w:rPr>
      <w:color w:val="000000"/>
      <w:szCs w:val="20"/>
    </w:rPr>
  </w:style>
  <w:style w:type="paragraph" w:styleId="1223" w:customStyle="1">
    <w:name w:val="节标题"/>
    <w:basedOn w:val="863"/>
    <w:next w:val="863"/>
    <w:uiPriority w:val="0"/>
    <w:qFormat/>
    <w:pPr>
      <w:jc w:val="center"/>
      <w:spacing w:line="867" w:lineRule="atLeast"/>
      <w:widowControl/>
    </w:pPr>
    <w:rPr>
      <w:color w:val="000000"/>
      <w:sz w:val="28"/>
      <w:szCs w:val="20"/>
    </w:rPr>
  </w:style>
  <w:style w:type="character" w:styleId="1224" w:customStyle="1">
    <w:name w:val="font01"/>
    <w:basedOn w:val="873"/>
    <w:uiPriority w:val="0"/>
    <w:qFormat/>
    <w:rPr>
      <w:rFonts w:hint="eastAsia" w:ascii="宋体" w:hAnsi="宋体" w:eastAsia="宋体" w:cs="宋体"/>
      <w:color w:val="000000"/>
      <w:sz w:val="22"/>
      <w:szCs w:val="22"/>
      <w:u w:val="none"/>
    </w:rPr>
  </w:style>
  <w:style w:type="character" w:styleId="1225" w:customStyle="1">
    <w:name w:val="font31"/>
    <w:basedOn w:val="873"/>
    <w:uiPriority w:val="0"/>
    <w:qFormat/>
    <w:rPr>
      <w:rFonts w:ascii="Times New Roman" w:hAnsi="Times New Roman" w:cs="Times New Roman"/>
      <w:b/>
      <w:bCs/>
      <w:color w:val="000000"/>
      <w:sz w:val="21"/>
      <w:szCs w:val="21"/>
      <w:u w:val="none"/>
    </w:rPr>
  </w:style>
  <w:style w:type="character" w:styleId="1226" w:customStyle="1">
    <w:name w:val="纯文本 Char"/>
    <w:basedOn w:val="873"/>
    <w:link w:val="885"/>
    <w:uiPriority w:val="0"/>
    <w:qFormat/>
    <w:rPr>
      <w:rFonts w:ascii="宋体" w:hAnsi="Courier New" w:eastAsia="楷体_GB2312" w:cs="宋体"/>
      <w:sz w:val="28"/>
    </w:rPr>
  </w:style>
  <w:style w:type="paragraph" w:styleId="1227" w:customStyle="1">
    <w:name w:val="表_内容"/>
    <w:basedOn w:val="863"/>
    <w:uiPriority w:val="0"/>
    <w:qFormat/>
    <w:pPr>
      <w:jc w:val="both"/>
      <w:widowControl/>
    </w:pPr>
    <w:rPr>
      <w:rFonts w:hint="eastAsia" w:ascii="宋体" w:hAnsi="宋体" w:eastAsia="宋体" w:cs="宋体"/>
      <w:color w:val="000000"/>
      <w:sz w:val="21"/>
      <w:u w:val="none"/>
      <w:lang w:bidi="ar"/>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30"/>
    <customShpInfo spid="_x0000_s1027"/>
    <customShpInfo spid="_x0000_s1029"/>
    <customShpInfo spid="_x0000_s1028"/>
    <customShpInfo spid="_x0000_s1031"/>
    <customShpInfo spid="_x0000_s1034"/>
    <customShpInfo spid="_x0000_s1035"/>
    <customShpInfo spid="_x0000_s1032"/>
    <customShpInfo spid="_x0000_s1033"/>
    <customShpInfo spid="_x0000_s1037"/>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秋裤小王子๛ก(</dc:creator>
  <cp:lastModifiedBy>朱雪芬</cp:lastModifiedBy>
  <cp:revision>20</cp:revision>
  <dcterms:created xsi:type="dcterms:W3CDTF">2025-09-10T04:58:00Z</dcterms:created>
  <dcterms:modified xsi:type="dcterms:W3CDTF">2026-09-30T02:33:19Z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A7B017DBCF0245318A213CFEBF16EFDE_13</vt:lpwstr>
  </property>
  <property fmtid="{D5CDD505-2E9C-101B-9397-08002B2CF9AE}" pid="4" name="KSOTemplateDocerSaveRecord">
    <vt:lpwstr>eyJoZGlkIjoiNGU4YWMwMWM2MDc4MGY3YzFkYWZkZjkzOGMzMTA5NjQiLCJ1c2VySWQiOiI0OTY3NDE1NjEifQ==</vt:lpwstr>
  </property>
</Properties>
</file>