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苏 州 市 政 府 采 购</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w:t>
      </w:r>
      <w:r>
        <w:rPr>
          <w:rFonts w:hint="eastAsia" w:ascii="宋体" w:hAnsi="宋体" w:eastAsia="宋体" w:cs="宋体"/>
          <w:b/>
          <w:color w:val="auto"/>
          <w:sz w:val="72"/>
          <w:highlight w:val="none"/>
        </w:rPr>
        <w:t xml:space="preserve"> </w:t>
      </w:r>
      <w:r>
        <w:rPr>
          <w:rFonts w:ascii="宋体" w:hAnsi="宋体" w:eastAsia="宋体" w:cs="宋体"/>
          <w:b/>
          <w:color w:val="auto"/>
          <w:sz w:val="72"/>
          <w:highlight w:val="none"/>
        </w:rPr>
        <w:t xml:space="preserve">标</w:t>
      </w:r>
      <w:r>
        <w:rPr>
          <w:rFonts w:hint="eastAsia" w:ascii="宋体" w:hAnsi="宋体" w:eastAsia="宋体" w:cs="宋体"/>
          <w:b/>
          <w:color w:val="auto"/>
          <w:sz w:val="72"/>
          <w:highlight w:val="none"/>
        </w:rPr>
        <w:t xml:space="preserve"> </w:t>
      </w:r>
      <w:r>
        <w:rPr>
          <w:rFonts w:ascii="宋体" w:hAnsi="宋体" w:eastAsia="宋体" w:cs="宋体"/>
          <w:b/>
          <w:color w:val="auto"/>
          <w:sz w:val="72"/>
          <w:highlight w:val="none"/>
        </w:rPr>
        <w:t xml:space="preserve">文</w:t>
      </w:r>
      <w:r>
        <w:rPr>
          <w:rFonts w:hint="eastAsia" w:ascii="宋体" w:hAnsi="宋体" w:eastAsia="宋体" w:cs="宋体"/>
          <w:b/>
          <w:color w:val="auto"/>
          <w:sz w:val="72"/>
          <w:highlight w:val="none"/>
        </w:rPr>
        <w:t xml:space="preserve"> </w:t>
      </w:r>
      <w:r>
        <w:rPr>
          <w:rFonts w:ascii="宋体" w:hAnsi="宋体" w:eastAsia="宋体" w:cs="宋体"/>
          <w:b/>
          <w:color w:val="auto"/>
          <w:sz w:val="72"/>
          <w:highlight w:val="none"/>
        </w:rPr>
        <w:t xml:space="preserve">件</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rFonts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r>
      <w:r/>
    </w:p>
    <w:p>
      <w:pPr>
        <w:jc w:val="both"/>
        <w:rPr>
          <w:rFonts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1883"/>
        <w:jc w:val="both"/>
        <w:spacing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招标编号：</w:t>
      </w:r>
      <w:r>
        <w:rPr>
          <w:rFonts w:hint="eastAsia" w:ascii="宋体" w:hAnsi="宋体" w:eastAsia="宋体" w:cs="宋体"/>
          <w:b/>
          <w:color w:val="auto"/>
          <w:sz w:val="28"/>
          <w:highlight w:val="none"/>
          <w:lang w:eastAsia="zh-CN"/>
        </w:rPr>
        <w:t xml:space="preserve">JSZC-320500-HWZX-G2026-0623</w:t>
      </w:r>
      <w:bookmarkStart w:id="8" w:name="_GoBack"/>
      <w:r/>
      <w:bookmarkEnd w:id="8"/>
      <w:r/>
      <w:r/>
    </w:p>
    <w:p>
      <w:pPr>
        <w:ind w:firstLine="1883"/>
        <w:jc w:val="both"/>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w:t>
      </w:r>
      <w:r>
        <w:rPr>
          <w:rFonts w:hint="eastAsia" w:ascii="宋体" w:hAnsi="宋体" w:eastAsia="宋体" w:cs="宋体"/>
          <w:b/>
          <w:color w:val="auto"/>
          <w:sz w:val="28"/>
          <w:highlight w:val="none"/>
        </w:rPr>
        <w:t xml:space="preserve"> </w:t>
      </w:r>
      <w:r>
        <w:rPr>
          <w:rFonts w:ascii="宋体" w:hAnsi="宋体" w:eastAsia="宋体" w:cs="宋体"/>
          <w:b/>
          <w:color w:val="auto"/>
          <w:sz w:val="28"/>
          <w:highlight w:val="none"/>
        </w:rPr>
        <w:t xml:space="preserve">购</w:t>
      </w:r>
      <w:r>
        <w:rPr>
          <w:rFonts w:hint="eastAsia" w:ascii="宋体" w:hAnsi="宋体" w:eastAsia="宋体" w:cs="宋体"/>
          <w:b/>
          <w:color w:val="auto"/>
          <w:sz w:val="28"/>
          <w:highlight w:val="none"/>
        </w:rPr>
        <w:t xml:space="preserve"> </w:t>
      </w:r>
      <w:r>
        <w:rPr>
          <w:rFonts w:ascii="宋体" w:hAnsi="宋体" w:eastAsia="宋体" w:cs="宋体"/>
          <w:b/>
          <w:color w:val="auto"/>
          <w:sz w:val="28"/>
          <w:highlight w:val="none"/>
        </w:rPr>
        <w:t xml:space="preserve">人：</w:t>
      </w:r>
      <w:r>
        <w:rPr>
          <w:rFonts w:hint="eastAsia" w:ascii="宋体" w:hAnsi="宋体" w:eastAsia="宋体" w:cs="宋体"/>
          <w:b/>
          <w:color w:val="auto"/>
          <w:sz w:val="28"/>
          <w:highlight w:val="none"/>
        </w:rPr>
        <w:t xml:space="preserve">苏州大学</w:t>
      </w:r>
      <w:r/>
    </w:p>
    <w:p>
      <w:pPr>
        <w:ind w:left="3049" w:hanging="1197"/>
        <w:jc w:val="both"/>
        <w:spacing w:line="360" w:lineRule="auto"/>
        <w:rPr>
          <w:rFonts w:hint="eastAsia"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项目名称</w:t>
      </w:r>
      <w:r>
        <w:rPr>
          <w:rFonts w:hint="eastAsia" w:ascii="宋体" w:hAnsi="宋体" w:eastAsia="宋体" w:cs="宋体"/>
          <w:b/>
          <w:color w:val="auto"/>
          <w:sz w:val="28"/>
          <w:highlight w:val="none"/>
        </w:rPr>
        <w:t xml:space="preserve">：</w:t>
      </w:r>
      <w:r>
        <w:rPr>
          <w:rFonts w:hint="eastAsia" w:ascii="宋体" w:hAnsi="宋体" w:eastAsia="宋体" w:cs="宋体"/>
          <w:b/>
          <w:color w:val="auto"/>
          <w:sz w:val="28"/>
          <w:highlight w:val="none"/>
          <w:lang w:eastAsia="zh-CN"/>
        </w:rPr>
        <w:t xml:space="preserve">色谱仪（标段一）</w:t>
      </w:r>
      <w:r/>
    </w:p>
    <w:p>
      <w:pPr>
        <w:ind w:firstLine="1883"/>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采购类别：货物类</w:t>
      </w:r>
      <w:r/>
    </w:p>
    <w:p>
      <w:pPr>
        <w:ind w:firstLine="570"/>
        <w:jc w:val="both"/>
        <w:rPr>
          <w:rFonts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r>
      <w:r/>
    </w:p>
    <w:p>
      <w:pPr>
        <w:ind w:firstLine="570"/>
        <w:jc w:val="both"/>
        <w:rPr>
          <w:rFonts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r>
      <w:r/>
    </w:p>
    <w:p>
      <w:pPr>
        <w:ind w:firstLine="570"/>
        <w:jc w:val="both"/>
        <w:rPr>
          <w:rFonts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r>
      <w:r/>
    </w:p>
    <w:p>
      <w:pPr>
        <w:ind w:firstLine="570"/>
        <w:jc w:val="both"/>
        <w:rPr>
          <w:rFonts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r>
      <w:r/>
    </w:p>
    <w:p>
      <w:pPr>
        <w:ind w:firstLine="570"/>
        <w:jc w:val="both"/>
        <w:rPr>
          <w:rFonts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r>
      <w:r/>
    </w:p>
    <w:p>
      <w:pPr>
        <w:jc w:val="center"/>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江苏海外集团国际工程咨询有限公司</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二〇二</w:t>
      </w:r>
      <w:r>
        <w:rPr>
          <w:rFonts w:hint="eastAsia" w:ascii="宋体" w:hAnsi="宋体" w:eastAsia="宋体" w:cs="宋体"/>
          <w:b/>
          <w:color w:val="auto"/>
          <w:sz w:val="28"/>
          <w:highlight w:val="none"/>
        </w:rPr>
        <w:t xml:space="preserve">六</w:t>
      </w:r>
      <w:r>
        <w:rPr>
          <w:rFonts w:ascii="宋体" w:hAnsi="宋体" w:eastAsia="宋体" w:cs="宋体"/>
          <w:b/>
          <w:color w:val="auto"/>
          <w:sz w:val="28"/>
          <w:highlight w:val="none"/>
        </w:rPr>
        <w:t xml:space="preserve">年</w:t>
      </w:r>
      <w:r>
        <w:rPr>
          <w:rFonts w:hint="eastAsia" w:ascii="宋体" w:hAnsi="宋体" w:eastAsia="宋体" w:cs="宋体"/>
          <w:b/>
          <w:color w:val="auto"/>
          <w:sz w:val="28"/>
          <w:highlight w:val="none"/>
          <w:lang w:val="en-US" w:eastAsia="zh-CN"/>
        </w:rPr>
        <w:t xml:space="preserve">十</w:t>
      </w:r>
      <w:r>
        <w:rPr>
          <w:rFonts w:ascii="宋体" w:hAnsi="宋体" w:eastAsia="宋体" w:cs="宋体"/>
          <w:b/>
          <w:color w:val="auto"/>
          <w:sz w:val="28"/>
          <w:highlight w:val="none"/>
        </w:rPr>
        <w:t xml:space="preserve">月</w:t>
      </w:r>
      <w:r/>
    </w:p>
    <w:p>
      <w:pPr>
        <w:jc w:val="center"/>
        <w:rPr>
          <w:rFonts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color w:val="auto"/>
          <w:sz w:val="36"/>
          <w:highlight w:val="none"/>
        </w:rPr>
      </w:r>
      <w:r/>
    </w:p>
    <w:p>
      <w:pPr>
        <w:jc w:val="center"/>
        <w:rPr>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szCs w:val="28"/>
          <w:highlight w:val="none"/>
        </w:rPr>
        <w:t xml:space="preserve">前附表</w:t>
      </w:r>
      <w:r/>
    </w:p>
    <w:tbl>
      <w:tblPr>
        <w:tblStyle w:val="791"/>
        <w:tblW w:w="5294" w:type="pct"/>
        <w:tblInd w:w="-3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2356"/>
        <w:gridCol w:w="6954"/>
      </w:tblGrid>
      <w:tr>
        <w:trPr>
          <w:trHeight w:val="472"/>
        </w:trPr>
        <w:tc>
          <w:tcPr>
            <w:tcMar>
              <w:left w:w="108" w:type="dxa"/>
              <w:top w:w="0" w:type="dxa"/>
              <w:right w:w="108" w:type="dxa"/>
              <w:bottom w:w="0" w:type="dxa"/>
            </w:tcMar>
            <w:tcW w:w="379"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Mar>
              <w:left w:w="108" w:type="dxa"/>
              <w:top w:w="0" w:type="dxa"/>
              <w:right w:w="108" w:type="dxa"/>
              <w:bottom w:w="0" w:type="dxa"/>
            </w:tcMar>
            <w:tcW w:w="1169"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w:t>
            </w:r>
            <w:r/>
          </w:p>
        </w:tc>
        <w:tc>
          <w:tcPr>
            <w:tcMar>
              <w:left w:w="108" w:type="dxa"/>
              <w:top w:w="0" w:type="dxa"/>
              <w:right w:w="108" w:type="dxa"/>
              <w:bottom w:w="0" w:type="dxa"/>
            </w:tcMar>
            <w:tcW w:w="3451"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w:t>
            </w:r>
            <w:r/>
          </w:p>
        </w:tc>
      </w:tr>
      <w:tr>
        <w:trPr>
          <w:trHeight w:val="508"/>
        </w:trPr>
        <w:tc>
          <w:tcPr>
            <w:tcMar>
              <w:left w:w="108" w:type="dxa"/>
              <w:top w:w="0" w:type="dxa"/>
              <w:right w:w="108" w:type="dxa"/>
              <w:bottom w:w="0" w:type="dxa"/>
            </w:tcMar>
            <w:tcW w:w="379"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Mar>
              <w:left w:w="108" w:type="dxa"/>
              <w:top w:w="0" w:type="dxa"/>
              <w:right w:w="108" w:type="dxa"/>
              <w:bottom w:w="0" w:type="dxa"/>
            </w:tcMar>
            <w:tcW w:w="3451" w:type="pct"/>
            <w:vAlign w:val="center"/>
            <w:textDirection w:val="lrTb"/>
            <w:noWrap w:val="false"/>
          </w:tcPr>
          <w:p>
            <w:pPr>
              <w:jc w:val="both"/>
              <w:spacing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色谱仪（标段一）</w:t>
            </w:r>
            <w:r/>
          </w:p>
        </w:tc>
      </w:tr>
      <w:tr>
        <w:trPr>
          <w:trHeight w:val="622"/>
        </w:trPr>
        <w:tc>
          <w:tcPr>
            <w:tcMar>
              <w:left w:w="108" w:type="dxa"/>
              <w:top w:w="0" w:type="dxa"/>
              <w:right w:w="108" w:type="dxa"/>
              <w:bottom w:w="0" w:type="dxa"/>
            </w:tcMar>
            <w:tcW w:w="379"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交货期限</w:t>
            </w:r>
            <w:r/>
          </w:p>
        </w:tc>
        <w:tc>
          <w:tcPr>
            <w:tcMar>
              <w:left w:w="108" w:type="dxa"/>
              <w:top w:w="0" w:type="dxa"/>
              <w:right w:w="108" w:type="dxa"/>
              <w:bottom w:w="0" w:type="dxa"/>
            </w:tcMar>
            <w:tcW w:w="3451" w:type="pct"/>
            <w:vAlign w:val="center"/>
            <w:textDirection w:val="lrTb"/>
            <w:noWrap w:val="false"/>
          </w:tcPr>
          <w:p>
            <w:pPr>
              <w:jc w:val="both"/>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供应商应当在合同签订后60天内将货物运送至采购人指定仓库，由双方对货物进行预验收。</w:t>
            </w:r>
            <w:r/>
          </w:p>
        </w:tc>
      </w:tr>
      <w:tr>
        <w:trPr>
          <w:trHeight w:val="405"/>
        </w:trPr>
        <w:tc>
          <w:tcPr>
            <w:tcMar>
              <w:left w:w="108" w:type="dxa"/>
              <w:top w:w="0" w:type="dxa"/>
              <w:right w:w="108" w:type="dxa"/>
              <w:bottom w:w="0" w:type="dxa"/>
            </w:tcMar>
            <w:tcW w:w="379"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Mar>
              <w:left w:w="108" w:type="dxa"/>
              <w:top w:w="0" w:type="dxa"/>
              <w:right w:w="108" w:type="dxa"/>
              <w:bottom w:w="0" w:type="dxa"/>
            </w:tcMar>
            <w:tcW w:w="1169" w:type="pct"/>
            <w:vAlign w:val="center"/>
            <w:textDirection w:val="lrTb"/>
            <w:noWrap w:val="false"/>
          </w:tcPr>
          <w:p>
            <w:pPr>
              <w:jc w:val="both"/>
              <w:spacing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采购预算</w:t>
            </w:r>
            <w:r/>
          </w:p>
        </w:tc>
        <w:tc>
          <w:tcPr>
            <w:tcMar>
              <w:left w:w="108" w:type="dxa"/>
              <w:top w:w="0" w:type="dxa"/>
              <w:right w:w="108" w:type="dxa"/>
              <w:bottom w:w="0" w:type="dxa"/>
            </w:tcMar>
            <w:tcW w:w="3451" w:type="pct"/>
            <w:vAlign w:val="center"/>
            <w:textDirection w:val="lrTb"/>
            <w:noWrap w:val="false"/>
          </w:tcPr>
          <w:p>
            <w:pPr>
              <w:jc w:val="both"/>
              <w:spacing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245万元</w:t>
            </w:r>
            <w:r/>
          </w:p>
        </w:tc>
      </w:tr>
      <w:tr>
        <w:trPr>
          <w:trHeight w:val="405"/>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宋体" w:hAnsi="宋体" w:eastAsia="宋体" w:cs="宋体"/>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tcMar>
              <w:left w:w="108" w:type="dxa"/>
              <w:top w:w="0" w:type="dxa"/>
              <w:right w:w="108" w:type="dxa"/>
              <w:bottom w:w="0" w:type="dxa"/>
            </w:tcMar>
            <w:tcW w:w="1169" w:type="pct"/>
            <w:vAlign w:val="center"/>
            <w:textDirection w:val="lrTb"/>
            <w:noWrap w:val="false"/>
          </w:tcPr>
          <w:p>
            <w:pPr>
              <w:jc w:val="both"/>
              <w:spacing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最高限价</w:t>
            </w:r>
            <w:r/>
          </w:p>
        </w:tc>
        <w:tc>
          <w:tcPr>
            <w:tcMar>
              <w:left w:w="108" w:type="dxa"/>
              <w:top w:w="0" w:type="dxa"/>
              <w:right w:w="108" w:type="dxa"/>
              <w:bottom w:w="0" w:type="dxa"/>
            </w:tcMar>
            <w:tcW w:w="3451" w:type="pct"/>
            <w:vAlign w:val="center"/>
            <w:textDirection w:val="lrTb"/>
            <w:noWrap w:val="false"/>
          </w:tcPr>
          <w:p>
            <w:pPr>
              <w:jc w:val="both"/>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245万元</w:t>
            </w:r>
            <w:r/>
          </w:p>
        </w:tc>
      </w:tr>
      <w:tr>
        <w:trPr>
          <w:trHeight w:val="90"/>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宋体" w:hAnsi="宋体" w:eastAsia="宋体" w:cs="宋体"/>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申请人的资格要求</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详见招标公告</w:t>
            </w:r>
            <w:r/>
          </w:p>
        </w:tc>
      </w:tr>
      <w:tr>
        <w:trPr>
          <w:trHeight w:val="606"/>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联合体投标</w:t>
            </w:r>
            <w:r/>
          </w:p>
        </w:tc>
        <w:tc>
          <w:tcPr>
            <w:tcMar>
              <w:left w:w="108" w:type="dxa"/>
              <w:top w:w="0" w:type="dxa"/>
              <w:right w:w="108" w:type="dxa"/>
              <w:bottom w:w="0" w:type="dxa"/>
            </w:tcMar>
            <w:tcW w:w="3451" w:type="pct"/>
            <w:vAlign w:val="center"/>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不接受</w:t>
            </w:r>
            <w:r/>
          </w:p>
        </w:tc>
      </w:tr>
      <w:tr>
        <w:trPr>
          <w:trHeight w:val="617"/>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进口产品</w:t>
            </w:r>
            <w:r/>
          </w:p>
        </w:tc>
        <w:tc>
          <w:tcPr>
            <w:tcMar>
              <w:left w:w="108" w:type="dxa"/>
              <w:top w:w="0" w:type="dxa"/>
              <w:right w:w="108" w:type="dxa"/>
              <w:bottom w:w="0" w:type="dxa"/>
            </w:tcMar>
            <w:tcW w:w="3451" w:type="pct"/>
            <w:vAlign w:val="center"/>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不接受进口产品投标</w:t>
            </w:r>
            <w:r/>
          </w:p>
        </w:tc>
      </w:tr>
      <w:tr>
        <w:trPr>
          <w:trHeight w:val="636"/>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现场考察</w:t>
            </w:r>
            <w:r/>
          </w:p>
        </w:tc>
        <w:tc>
          <w:tcPr>
            <w:tcMar>
              <w:left w:w="108" w:type="dxa"/>
              <w:top w:w="0" w:type="dxa"/>
              <w:right w:w="108" w:type="dxa"/>
              <w:bottom w:w="0" w:type="dxa"/>
            </w:tcMar>
            <w:tcW w:w="3451" w:type="pct"/>
            <w:vAlign w:val="center"/>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投标答疑会</w:t>
            </w:r>
            <w:r/>
          </w:p>
        </w:tc>
        <w:tc>
          <w:tcPr>
            <w:tcMar>
              <w:left w:w="108" w:type="dxa"/>
              <w:top w:w="0" w:type="dxa"/>
              <w:right w:w="108" w:type="dxa"/>
              <w:bottom w:w="0" w:type="dxa"/>
            </w:tcMar>
            <w:tcW w:w="3451" w:type="pct"/>
            <w:vAlign w:val="center"/>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不召开,</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对招标文件如有疑问，可通过公告中的联系方式及时提出，采购人或采购代理机构将予以解答，但答复内容不得涉及商业秘密。</w:t>
            </w:r>
            <w:r/>
          </w:p>
        </w:tc>
      </w:tr>
      <w:tr>
        <w:trPr>
          <w:trHeight w:val="415"/>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投标文件份数</w:t>
            </w:r>
            <w:r/>
          </w:p>
        </w:tc>
        <w:tc>
          <w:tcPr>
            <w:tcMar>
              <w:left w:w="108" w:type="dxa"/>
              <w:top w:w="0" w:type="dxa"/>
              <w:right w:w="108" w:type="dxa"/>
              <w:bottom w:w="0" w:type="dxa"/>
            </w:tcMar>
            <w:tcW w:w="3451" w:type="pct"/>
            <w:vAlign w:val="center"/>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中标后，中标单位</w:t>
            </w:r>
            <w:r>
              <w:rPr>
                <w:rFonts w:hint="eastAsia" w:ascii="宋体" w:hAnsi="宋体" w:eastAsia="宋体" w:cs="宋体"/>
                <w:color w:val="auto"/>
                <w:sz w:val="24"/>
                <w:highlight w:val="none"/>
              </w:rPr>
              <w:t xml:space="preserve">需</w:t>
            </w:r>
            <w:r>
              <w:rPr>
                <w:rFonts w:ascii="宋体" w:hAnsi="宋体" w:eastAsia="宋体" w:cs="宋体"/>
                <w:color w:val="auto"/>
                <w:sz w:val="24"/>
                <w:highlight w:val="none"/>
              </w:rPr>
              <w:t xml:space="preserve">提供纸质投标文件，送至招标代理机构。</w:t>
            </w:r>
            <w:r/>
          </w:p>
        </w:tc>
      </w:tr>
      <w:tr>
        <w:trPr>
          <w:trHeight w:val="568"/>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投标货币</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人民币</w:t>
            </w:r>
            <w:r/>
          </w:p>
        </w:tc>
      </w:tr>
      <w:tr>
        <w:trPr>
          <w:trHeight w:val="625"/>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合同方式</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固定总价合同</w:t>
            </w:r>
            <w:r/>
          </w:p>
        </w:tc>
      </w:tr>
      <w:tr>
        <w:trPr>
          <w:trHeight w:val="996"/>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代理服务</w:t>
            </w:r>
            <w:r>
              <w:rPr>
                <w:rFonts w:ascii="宋体" w:hAnsi="宋体" w:eastAsia="宋体" w:cs="宋体"/>
                <w:color w:val="auto"/>
                <w:sz w:val="24"/>
                <w:highlight w:val="none"/>
              </w:rPr>
              <w:t xml:space="preserve">费</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本项目采购预算内含代理服务费，为优化采购资金使用效率，依据《政府采购代理机构管理暂行办法》（财库〔2018〕2号）第十五条规定，经采购人研究确定，</w:t>
            </w:r>
            <w:r>
              <w:rPr>
                <w:rFonts w:hint="eastAsia" w:ascii="宋体" w:hAnsi="宋体" w:cs="宋体"/>
                <w:color w:val="auto"/>
                <w:sz w:val="24"/>
                <w:highlight w:val="none"/>
              </w:rPr>
              <w:t xml:space="preserve">本项目代理服务费由中标（成交）人支付，</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报价内</w:t>
            </w:r>
            <w:r>
              <w:rPr>
                <w:rFonts w:hint="eastAsia" w:ascii="宋体" w:hAnsi="宋体" w:cs="宋体"/>
                <w:color w:val="auto"/>
                <w:sz w:val="24"/>
                <w:highlight w:val="none"/>
                <w:lang w:val="en-US" w:eastAsia="zh-CN"/>
              </w:rPr>
              <w:t xml:space="preserve">应</w:t>
            </w:r>
            <w:r>
              <w:rPr>
                <w:rFonts w:hint="eastAsia" w:ascii="宋体" w:hAnsi="宋体" w:cs="宋体"/>
                <w:color w:val="auto"/>
                <w:sz w:val="24"/>
                <w:highlight w:val="none"/>
              </w:rPr>
              <w:t xml:space="preserve">包含代理服务费，支付金额的收费标准为：固定收费人民币</w:t>
            </w:r>
            <w:r>
              <w:rPr>
                <w:rFonts w:hint="eastAsia" w:ascii="宋体" w:hAnsi="宋体" w:cs="宋体"/>
                <w:color w:val="auto"/>
                <w:sz w:val="24"/>
                <w:highlight w:val="none"/>
                <w:lang w:val="en-US" w:eastAsia="zh-CN"/>
              </w:rPr>
              <w:t xml:space="preserve">0.8963万元</w:t>
            </w:r>
            <w:r>
              <w:rPr>
                <w:rFonts w:hint="eastAsia" w:ascii="宋体" w:hAnsi="宋体" w:cs="宋体"/>
                <w:color w:val="auto"/>
                <w:sz w:val="24"/>
                <w:highlight w:val="none"/>
              </w:rPr>
              <w:t xml:space="preserve">；收取方式：中标（成交）人在领取中标（成交）通知书前，一次性向采购代理机构足额支付；支付方式为银行转账。</w:t>
            </w:r>
            <w:r>
              <w:rPr>
                <w:rFonts w:hint="eastAsia" w:ascii="宋体" w:hAnsi="宋体" w:cs="宋体"/>
                <w:color w:val="auto"/>
                <w:sz w:val="24"/>
                <w:highlight w:val="none"/>
                <w:lang w:val="en-US" w:eastAsia="zh-CN"/>
              </w:rPr>
              <w:t xml:space="preserve">服务费金额：0.8963万元。</w:t>
            </w:r>
            <w:r/>
          </w:p>
        </w:tc>
      </w:tr>
      <w:tr>
        <w:trPr>
          <w:trHeight w:val="557"/>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投标保证金</w:t>
            </w:r>
            <w:r/>
          </w:p>
        </w:tc>
        <w:tc>
          <w:tcPr>
            <w:tcMar>
              <w:left w:w="108" w:type="dxa"/>
              <w:top w:w="0" w:type="dxa"/>
              <w:right w:w="108" w:type="dxa"/>
              <w:bottom w:w="0" w:type="dxa"/>
            </w:tcMar>
            <w:tcW w:w="3451" w:type="pct"/>
            <w:vAlign w:val="center"/>
            <w:textDirection w:val="lrTb"/>
            <w:noWrap w:val="false"/>
          </w:tcPr>
          <w:p>
            <w:pPr>
              <w:jc w:val="both"/>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投标文件有效期</w:t>
            </w:r>
            <w:r/>
          </w:p>
        </w:tc>
        <w:tc>
          <w:tcPr>
            <w:tcMar>
              <w:left w:w="108" w:type="dxa"/>
              <w:top w:w="0" w:type="dxa"/>
              <w:right w:w="108" w:type="dxa"/>
              <w:bottom w:w="0" w:type="dxa"/>
            </w:tcMar>
            <w:tcW w:w="3451" w:type="pct"/>
            <w:vAlign w:val="center"/>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60日历天</w:t>
            </w:r>
            <w:r>
              <w:rPr>
                <w:rFonts w:ascii="宋体" w:hAnsi="宋体" w:eastAsia="宋体" w:cs="宋体"/>
                <w:color w:val="auto"/>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379" w:type="pct"/>
            <w:vAlign w:val="center"/>
            <w:vMerge w:val="restart"/>
            <w:textDirection w:val="lrTb"/>
            <w:noWrap w:val="false"/>
          </w:tcPr>
          <w:p>
            <w:pPr>
              <w:jc w:val="center"/>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投标截止时间</w:t>
            </w:r>
            <w:r/>
          </w:p>
        </w:tc>
        <w:tc>
          <w:tcPr>
            <w:tcMar>
              <w:left w:w="108" w:type="dxa"/>
              <w:top w:w="0" w:type="dxa"/>
              <w:right w:w="108" w:type="dxa"/>
              <w:bottom w:w="0" w:type="dxa"/>
            </w:tcMar>
            <w:tcW w:w="3451" w:type="pct"/>
            <w:vAlign w:val="center"/>
            <w:textDirection w:val="lrTb"/>
            <w:noWrap w:val="false"/>
          </w:tcPr>
          <w:p>
            <w:pPr>
              <w:jc w:val="both"/>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时间：2026年11月04日13时30分（北京时间）</w:t>
            </w:r>
            <w:r/>
          </w:p>
        </w:tc>
      </w:tr>
      <w:tr>
        <w:trPr>
          <w:trHeight w:val="399"/>
        </w:trPr>
        <w:tc>
          <w:tcPr>
            <w:shd w:val="clear" w:color="auto" w:fill="auto"/>
            <w:tcW w:w="379" w:type="pct"/>
            <w:vAlign w:val="center"/>
            <w:vMerge w:val="continue"/>
            <w:textDirection w:val="lrTb"/>
            <w:noWrap w:val="false"/>
          </w:tcPr>
          <w:p>
            <w:pPr>
              <w:jc w:val="center"/>
              <w:spacing w:line="360" w:lineRule="auto"/>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投标地点</w:t>
            </w:r>
            <w:r/>
          </w:p>
        </w:tc>
        <w:tc>
          <w:tcPr>
            <w:tcMar>
              <w:left w:w="108" w:type="dxa"/>
              <w:top w:w="0" w:type="dxa"/>
              <w:right w:w="108" w:type="dxa"/>
              <w:bottom w:w="0" w:type="dxa"/>
            </w:tcMar>
            <w:tcW w:w="3451" w:type="pct"/>
            <w:vAlign w:val="center"/>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w:t>
            </w:r>
            <w:r>
              <w:rPr>
                <w:rFonts w:hint="eastAsia" w:ascii="宋体" w:hAnsi="宋体" w:eastAsia="宋体" w:cs="宋体"/>
                <w:color w:val="auto"/>
                <w:sz w:val="24"/>
                <w:szCs w:val="24"/>
                <w:highlight w:val="none"/>
              </w:rPr>
              <w:t xml:space="preserve">“</w:t>
            </w:r>
            <w:r>
              <w:rPr>
                <w:rFonts w:ascii="宋体" w:hAnsi="宋体" w:eastAsia="宋体" w:cs="宋体"/>
                <w:color w:val="auto"/>
                <w:sz w:val="24"/>
                <w:highlight w:val="none"/>
              </w:rPr>
              <w:t xml:space="preserve">苏采云”系统（网址：http://jszfcg.jsczt.cn/）</w:t>
            </w:r>
            <w:r/>
          </w:p>
        </w:tc>
      </w:tr>
      <w:tr>
        <w:trPr>
          <w:trHeight w:val="888"/>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w:t>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开标时间和地点</w:t>
            </w:r>
            <w:r/>
          </w:p>
        </w:tc>
        <w:tc>
          <w:tcPr>
            <w:tcMar>
              <w:left w:w="108" w:type="dxa"/>
              <w:top w:w="0" w:type="dxa"/>
              <w:right w:w="108" w:type="dxa"/>
              <w:bottom w:w="0" w:type="dxa"/>
            </w:tcMar>
            <w:tcW w:w="3451" w:type="pct"/>
            <w:vAlign w:val="center"/>
            <w:textDirection w:val="lrTb"/>
            <w:noWrap w:val="false"/>
          </w:tcPr>
          <w:p>
            <w:pPr>
              <w:jc w:val="both"/>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时间：2026年11月04日13时30分（北京时间）</w:t>
            </w:r>
            <w:r/>
          </w:p>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w:t>
            </w:r>
            <w:r>
              <w:rPr>
                <w:rFonts w:hint="eastAsia" w:ascii="宋体" w:hAnsi="宋体" w:eastAsia="宋体" w:cs="宋体"/>
                <w:color w:val="auto"/>
                <w:sz w:val="24"/>
                <w:szCs w:val="24"/>
                <w:highlight w:val="none"/>
              </w:rPr>
              <w:t xml:space="preserve">“</w:t>
            </w:r>
            <w:r>
              <w:rPr>
                <w:rFonts w:ascii="宋体" w:hAnsi="宋体" w:eastAsia="宋体" w:cs="宋体"/>
                <w:color w:val="auto"/>
                <w:sz w:val="24"/>
                <w:highlight w:val="none"/>
              </w:rPr>
              <w:t xml:space="preserve">苏采云”系统（网址：http://jszfcg.jsczt.cn/）</w:t>
            </w:r>
            <w:r/>
          </w:p>
        </w:tc>
      </w:tr>
      <w:tr>
        <w:trPr>
          <w:trHeight w:val="416"/>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评标办法</w:t>
            </w:r>
            <w:r/>
          </w:p>
        </w:tc>
        <w:tc>
          <w:tcPr>
            <w:tcMar>
              <w:left w:w="108" w:type="dxa"/>
              <w:top w:w="0" w:type="dxa"/>
              <w:right w:w="108" w:type="dxa"/>
              <w:bottom w:w="0" w:type="dxa"/>
            </w:tcMar>
            <w:tcW w:w="3451" w:type="pct"/>
            <w:vAlign w:val="center"/>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综合评分法</w:t>
            </w:r>
            <w:r/>
          </w:p>
        </w:tc>
      </w:tr>
      <w:tr>
        <w:trPr>
          <w:trHeight w:val="449"/>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w:t>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定标办法</w:t>
            </w:r>
            <w:r/>
          </w:p>
        </w:tc>
        <w:tc>
          <w:tcPr>
            <w:tcMar>
              <w:left w:w="108" w:type="dxa"/>
              <w:top w:w="0" w:type="dxa"/>
              <w:right w:w="108" w:type="dxa"/>
              <w:bottom w:w="0" w:type="dxa"/>
            </w:tcMar>
            <w:tcW w:w="3451" w:type="pct"/>
            <w:vAlign w:val="center"/>
            <w:textDirection w:val="lrTb"/>
            <w:noWrap w:val="false"/>
          </w:tcPr>
          <w:p>
            <w:pPr>
              <w:jc w:val="both"/>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采购人根据评标委员会确定的中标候选人名单确定中标人</w:t>
            </w:r>
            <w:r>
              <w:rPr>
                <w:rFonts w:hint="eastAsia" w:ascii="宋体" w:hAnsi="宋体" w:eastAsia="宋体" w:cs="宋体"/>
                <w:color w:val="auto"/>
                <w:sz w:val="24"/>
                <w:szCs w:val="24"/>
                <w:highlight w:val="none"/>
                <w:lang w:eastAsia="zh-CN"/>
              </w:rPr>
              <w:t xml:space="preserve">。</w:t>
            </w:r>
            <w:r/>
          </w:p>
        </w:tc>
      </w:tr>
      <w:tr>
        <w:trPr>
          <w:trHeight w:val="1051"/>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w:t>
            </w:r>
            <w:r/>
          </w:p>
        </w:tc>
        <w:tc>
          <w:tcPr>
            <w:tcMar>
              <w:left w:w="108" w:type="dxa"/>
              <w:top w:w="0" w:type="dxa"/>
              <w:right w:w="108" w:type="dxa"/>
              <w:bottom w:w="0" w:type="dxa"/>
            </w:tcMar>
            <w:tcW w:w="1169" w:type="pct"/>
            <w:vAlign w:val="center"/>
            <w:textDirection w:val="lrTb"/>
            <w:noWrap w:val="false"/>
          </w:tcPr>
          <w:p>
            <w:pPr>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履约保证金</w:t>
            </w:r>
            <w:r/>
          </w:p>
        </w:tc>
        <w:tc>
          <w:tcPr>
            <w:tcMar>
              <w:left w:w="108" w:type="dxa"/>
              <w:top w:w="0" w:type="dxa"/>
              <w:right w:w="108" w:type="dxa"/>
              <w:bottom w:w="0" w:type="dxa"/>
            </w:tcMar>
            <w:tcW w:w="3451" w:type="pct"/>
            <w:vAlign w:val="center"/>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（√）提交</w:t>
            </w:r>
            <w:r/>
          </w:p>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金额：合同金额的10%，相关条款详见招标文件。</w:t>
            </w:r>
            <w:r/>
          </w:p>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（）不提交</w:t>
            </w:r>
            <w:r/>
          </w:p>
        </w:tc>
      </w:tr>
      <w:tr>
        <w:trPr>
          <w:trHeight w:val="3335"/>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w:t>
            </w:r>
            <w:r/>
          </w:p>
        </w:tc>
        <w:tc>
          <w:tcPr>
            <w:tcMar>
              <w:left w:w="108" w:type="dxa"/>
              <w:top w:w="0" w:type="dxa"/>
              <w:right w:w="108" w:type="dxa"/>
              <w:bottom w:w="0" w:type="dxa"/>
            </w:tcMar>
            <w:tcW w:w="1169" w:type="pct"/>
            <w:vAlign w:val="center"/>
            <w:textDirection w:val="lrTb"/>
            <w:noWrap w:val="false"/>
          </w:tcPr>
          <w:p>
            <w:pP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w:t>
            </w:r>
            <w:r/>
          </w:p>
        </w:tc>
        <w:tc>
          <w:tcPr>
            <w:tcMar>
              <w:left w:w="108" w:type="dxa"/>
              <w:top w:w="0" w:type="dxa"/>
              <w:right w:w="108" w:type="dxa"/>
              <w:bottom w:w="0" w:type="dxa"/>
            </w:tcMar>
            <w:tcW w:w="3451" w:type="pct"/>
            <w:vAlign w:val="center"/>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认为采购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联系部门：江苏海外集团国际工程咨询有限公司</w:t>
            </w:r>
            <w:r/>
          </w:p>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通讯地址：苏州市高新区资管大厦8楼</w:t>
            </w:r>
            <w:r/>
          </w:p>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联系人：何磊、孙翠华</w:t>
            </w:r>
            <w:r/>
          </w:p>
          <w:p>
            <w:pP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联系方式：0512-65160659</w:t>
            </w:r>
            <w:r/>
          </w:p>
        </w:tc>
      </w:tr>
      <w:tr>
        <w:trPr>
          <w:trHeight w:val="531"/>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签订合同</w:t>
            </w:r>
            <w:r/>
          </w:p>
        </w:tc>
        <w:tc>
          <w:tcPr>
            <w:tcMar>
              <w:left w:w="108" w:type="dxa"/>
              <w:top w:w="0" w:type="dxa"/>
              <w:right w:w="108" w:type="dxa"/>
              <w:bottom w:w="0" w:type="dxa"/>
            </w:tcMar>
            <w:tcW w:w="3451" w:type="pct"/>
            <w:vAlign w:val="center"/>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中标通知书发出之日起</w:t>
            </w:r>
            <w:r>
              <w:rPr>
                <w:rFonts w:hint="eastAsia" w:ascii="宋体" w:hAnsi="宋体" w:eastAsia="宋体" w:cs="宋体"/>
                <w:color w:val="auto"/>
                <w:sz w:val="24"/>
                <w:highlight w:val="none"/>
              </w:rPr>
              <w:t xml:space="preserve">30</w:t>
            </w:r>
            <w:r>
              <w:rPr>
                <w:rFonts w:ascii="宋体" w:hAnsi="宋体" w:eastAsia="宋体" w:cs="宋体"/>
                <w:color w:val="auto"/>
                <w:sz w:val="24"/>
                <w:highlight w:val="none"/>
              </w:rPr>
              <w:t xml:space="preserve">日内</w:t>
            </w:r>
            <w:r/>
          </w:p>
        </w:tc>
      </w:tr>
      <w:tr>
        <w:trPr>
          <w:trHeight w:val="571"/>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监督电话</w:t>
            </w:r>
            <w:r/>
          </w:p>
        </w:tc>
        <w:tc>
          <w:tcPr>
            <w:tcMar>
              <w:left w:w="108" w:type="dxa"/>
              <w:top w:w="0" w:type="dxa"/>
              <w:right w:w="108" w:type="dxa"/>
              <w:bottom w:w="0" w:type="dxa"/>
            </w:tcMar>
            <w:tcW w:w="3451" w:type="pct"/>
            <w:vAlign w:val="center"/>
            <w:textDirection w:val="lrTb"/>
            <w:noWrap w:val="false"/>
          </w:tcPr>
          <w:p>
            <w:pPr>
              <w:jc w:val="both"/>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政府采购监督电话：</w:t>
            </w:r>
            <w:r>
              <w:rPr>
                <w:rFonts w:hint="eastAsia" w:ascii="宋体" w:hAnsi="宋体" w:eastAsia="宋体" w:cs="宋体"/>
                <w:color w:val="auto"/>
                <w:sz w:val="24"/>
                <w:highlight w:val="none"/>
              </w:rPr>
              <w:t xml:space="preserve">025-83633058</w:t>
            </w:r>
            <w:r/>
          </w:p>
        </w:tc>
      </w:tr>
      <w:tr>
        <w:trPr>
          <w:trHeight w:val="3159"/>
        </w:trPr>
        <w:tc>
          <w:tcPr>
            <w:shd w:val="clear" w:color="auto" w:fill="auto"/>
            <w:tcMar>
              <w:left w:w="108" w:type="dxa"/>
              <w:top w:w="0" w:type="dxa"/>
              <w:right w:w="108" w:type="dxa"/>
              <w:bottom w:w="0" w:type="dxa"/>
            </w:tcMar>
            <w:tcW w:w="379" w:type="pct"/>
            <w:vAlign w:val="center"/>
            <w:textDirection w:val="lrTb"/>
            <w:noWrap w:val="false"/>
          </w:tcPr>
          <w:p>
            <w:pPr>
              <w:jc w:val="center"/>
              <w:spacing w:line="360" w:lineRule="auto"/>
              <w:rPr>
                <w:rFonts w:asciiTheme="minorHAnsi" w:hAnsiTheme="minorHAnsi" w:eastAsiaTheme="minorEastAsia" w:cstheme="minorBidi"/>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w:t>
            </w:r>
            <w:r/>
          </w:p>
        </w:tc>
        <w:tc>
          <w:tcPr>
            <w:tcMar>
              <w:left w:w="108" w:type="dxa"/>
              <w:top w:w="0" w:type="dxa"/>
              <w:right w:w="108" w:type="dxa"/>
              <w:bottom w:w="0" w:type="dxa"/>
            </w:tcMar>
            <w:tcW w:w="116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特别提醒</w:t>
            </w:r>
            <w:r/>
          </w:p>
        </w:tc>
        <w:tc>
          <w:tcPr>
            <w:tcMar>
              <w:left w:w="108" w:type="dxa"/>
              <w:top w:w="0" w:type="dxa"/>
              <w:right w:w="108" w:type="dxa"/>
              <w:bottom w:w="0" w:type="dxa"/>
            </w:tcMar>
            <w:tcW w:w="3451" w:type="pct"/>
            <w:vAlign w:val="center"/>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本项目为不见面开标</w:t>
            </w:r>
            <w:r/>
          </w:p>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线上参加开标（开启）会方式：供应商登录“苏采云”系统在平台首页点击“开标大厅”，进入江苏省政府采购一体化不见面开标（采购）大厅，在今日项目列表，点击项目，进入不见面开标系统。本项目为不见面招标项目，开启阶段供应商在【供应商解密】环节必须使用CA证书解密电子投标文件，如在系统规定的解密时间内未能完成解密的视为放弃参与本项目。</w:t>
            </w:r>
            <w:r/>
          </w:p>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2.请供应商确保电脑、系统及其他设备（视频输入输出设备等）无误，且开启直至项目结束始终保持系统在线状态。</w:t>
            </w:r>
            <w:r/>
          </w:p>
        </w:tc>
      </w:tr>
    </w:tbl>
    <w:p>
      <w:pPr>
        <w:rPr>
          <w:rFonts w:ascii="宋体" w:hAnsi="宋体" w:eastAsia="宋体" w:cs="宋体"/>
          <w:b/>
          <w:color w:val="auto"/>
          <w:sz w:val="36"/>
          <w:highlight w:val="none"/>
        </w:rPr>
      </w:pPr>
      <w:r>
        <w:rPr>
          <w:rFonts w:ascii="宋体" w:hAnsi="宋体" w:eastAsia="宋体" w:cs="宋体"/>
          <w:b/>
          <w:color w:val="auto"/>
          <w:sz w:val="36"/>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color w:val="auto"/>
          <w:highlight w:val="none"/>
        </w:rPr>
      </w:sdtPr>
      <w:sdtContent>
        <w:p>
          <w:pPr>
            <w:jc w:val="center"/>
            <w:rPr>
              <w:color w:val="auto"/>
              <w:highlight w:val="none"/>
            </w:rPr>
          </w:pPr>
          <w:r>
            <w:rPr>
              <w:color w:val="auto"/>
              <w:highlight w:val="none"/>
            </w:rPr>
          </w:r>
          <w:r/>
        </w:p>
        <w:p>
          <w:pPr>
            <w:pStyle w:val="779"/>
            <w:spacing w:after="0" w:line="480" w:lineRule="auto"/>
            <w:tabs>
              <w:tab w:val="right" w:pos="9355" w:leader="dot"/>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"1-1" \h \u </w:instrText>
          </w:r>
          <w:r>
            <w:rPr>
              <w:rFonts w:hint="eastAsia" w:ascii="宋体" w:hAnsi="宋体" w:eastAsia="宋体" w:cs="宋体"/>
              <w:color w:val="auto"/>
              <w:sz w:val="24"/>
              <w:szCs w:val="24"/>
              <w:highlight w:val="none"/>
            </w:rPr>
            <w:fldChar w:fldCharType="separate"/>
          </w:r>
          <w:r>
            <w:rPr>
              <w:color w:val="auto"/>
              <w:highlight w:val="none"/>
            </w:rPr>
            <w:fldChar w:fldCharType="begin"/>
          </w:r>
          <w:r>
            <w:rPr>
              <w:color w:val="auto"/>
              <w:highlight w:val="none"/>
            </w:rPr>
            <w:instrText xml:space="preserve"> HYPERLINK \l "_Toc13036" </w:instrText>
          </w:r>
          <w:r>
            <w:rPr>
              <w:color w:val="auto"/>
              <w:highlight w:val="none"/>
            </w:rPr>
            <w:fldChar w:fldCharType="separate"/>
          </w:r>
          <w:r>
            <w:rPr>
              <w:rFonts w:hint="eastAsia" w:ascii="宋体" w:hAnsi="宋体" w:eastAsia="宋体" w:cs="宋体"/>
              <w:color w:val="auto"/>
              <w:sz w:val="24"/>
              <w:szCs w:val="24"/>
              <w:highlight w:val="none"/>
            </w:rPr>
            <w:t xml:space="preserve">第一章 招标公告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_Toc13036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779"/>
            <w:spacing w:after="0" w:line="480" w:lineRule="auto"/>
            <w:tabs>
              <w:tab w:val="right" w:pos="9355" w:leader="dot"/>
            </w:tabs>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\l "_Toc22881" </w:instrText>
          </w:r>
          <w:r>
            <w:rPr>
              <w:color w:val="auto"/>
              <w:highlight w:val="none"/>
            </w:rPr>
            <w:fldChar w:fldCharType="separate"/>
          </w:r>
          <w:r>
            <w:rPr>
              <w:rFonts w:hint="eastAsia" w:ascii="宋体" w:hAnsi="宋体" w:eastAsia="宋体" w:cs="宋体"/>
              <w:color w:val="auto"/>
              <w:sz w:val="24"/>
              <w:szCs w:val="24"/>
              <w:highlight w:val="none"/>
            </w:rPr>
            <w:t xml:space="preserve">第二章 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_Toc22881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779"/>
            <w:spacing w:after="0" w:line="480" w:lineRule="auto"/>
            <w:tabs>
              <w:tab w:val="right" w:pos="9355" w:leader="dot"/>
            </w:tabs>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\l "_Toc8805" </w:instrText>
          </w:r>
          <w:r>
            <w:rPr>
              <w:color w:val="auto"/>
              <w:highlight w:val="none"/>
            </w:rPr>
            <w:fldChar w:fldCharType="separate"/>
          </w:r>
          <w:r>
            <w:rPr>
              <w:rFonts w:hint="eastAsia" w:ascii="宋体" w:hAnsi="宋体" w:eastAsia="宋体" w:cs="宋体"/>
              <w:color w:val="auto"/>
              <w:sz w:val="24"/>
              <w:szCs w:val="24"/>
              <w:highlight w:val="none"/>
            </w:rPr>
            <w:t xml:space="preserve">第三章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_Toc8805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779"/>
            <w:spacing w:after="0" w:line="480" w:lineRule="auto"/>
            <w:tabs>
              <w:tab w:val="right" w:pos="9355" w:leader="dot"/>
            </w:tabs>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\l "_Toc9379" </w:instrText>
          </w:r>
          <w:r>
            <w:rPr>
              <w:color w:val="auto"/>
              <w:highlight w:val="none"/>
            </w:rPr>
            <w:fldChar w:fldCharType="separate"/>
          </w:r>
          <w:r>
            <w:rPr>
              <w:rFonts w:hint="eastAsia" w:ascii="宋体" w:hAnsi="宋体" w:eastAsia="宋体" w:cs="宋体"/>
              <w:color w:val="auto"/>
              <w:sz w:val="24"/>
              <w:szCs w:val="24"/>
              <w:highlight w:val="none"/>
            </w:rPr>
            <w:t xml:space="preserve">第四章 采购内容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_Toc9379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779"/>
            <w:spacing w:after="0" w:line="480" w:lineRule="auto"/>
            <w:tabs>
              <w:tab w:val="right" w:pos="9355" w:leader="dot"/>
            </w:tabs>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\l "_Toc3769" </w:instrText>
          </w:r>
          <w:r>
            <w:rPr>
              <w:color w:val="auto"/>
              <w:highlight w:val="none"/>
            </w:rPr>
            <w:fldChar w:fldCharType="separate"/>
          </w:r>
          <w:r>
            <w:rPr>
              <w:rFonts w:hint="eastAsia" w:ascii="宋体" w:hAnsi="宋体" w:eastAsia="宋体" w:cs="宋体"/>
              <w:color w:val="auto"/>
              <w:sz w:val="24"/>
              <w:szCs w:val="24"/>
              <w:highlight w:val="none"/>
            </w:rPr>
            <w:t xml:space="preserve">第五章 合同条款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_Toc3769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779"/>
            <w:spacing w:after="0" w:line="480" w:lineRule="auto"/>
            <w:tabs>
              <w:tab w:val="right" w:pos="9355" w:leader="dot"/>
            </w:tabs>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\l "_Toc9204" </w:instrText>
          </w:r>
          <w:r>
            <w:rPr>
              <w:color w:val="auto"/>
              <w:highlight w:val="none"/>
            </w:rPr>
            <w:fldChar w:fldCharType="separate"/>
          </w:r>
          <w:r>
            <w:rPr>
              <w:rFonts w:hint="eastAsia" w:ascii="宋体" w:hAnsi="宋体" w:eastAsia="宋体" w:cs="宋体"/>
              <w:color w:val="auto"/>
              <w:sz w:val="24"/>
              <w:szCs w:val="24"/>
              <w:highlight w:val="none"/>
            </w:rPr>
            <w:t xml:space="preserve">第六章 评标办法及标准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_Toc9204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spacing w:line="360" w:lineRule="auto"/>
            <w:rPr>
              <w:color w:val="auto"/>
              <w:highlight w:val="none"/>
            </w:rPr>
          </w:pPr>
          <w:r>
            <w:rPr>
              <w:rFonts w:hint="eastAsia" w:ascii="宋体" w:hAnsi="宋体" w:eastAsia="宋体" w:cs="宋体"/>
              <w:color w:val="auto"/>
              <w:sz w:val="24"/>
              <w:szCs w:val="24"/>
              <w:highlight w:val="none"/>
            </w:rPr>
            <w:fldChar w:fldCharType="end"/>
          </w:r>
          <w:r/>
        </w:p>
      </w:sdtContent>
    </w:sdt>
    <w:p>
      <w:pPr>
        <w:rPr>
          <w:color w:val="auto"/>
          <w:highlight w:val="none"/>
        </w:rP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color w:val="auto"/>
          <w:sz w:val="44"/>
          <w:highlight w:val="none"/>
        </w:rPr>
        <w:t xml:space="preserve">第一章 招标公告</w:t>
      </w:r>
      <w:bookmarkEnd w:id="0"/>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rPr>
        <w:t xml:space="preserve">招标公告</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项目概况</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lang w:eastAsia="zh-CN"/>
        </w:rPr>
        <w:t xml:space="preserve">色谱仪（标段一）</w:t>
      </w:r>
      <w:r>
        <w:rPr>
          <w:rFonts w:ascii="宋体" w:hAnsi="宋体" w:eastAsia="宋体" w:cs="宋体"/>
          <w:color w:val="auto"/>
          <w:sz w:val="24"/>
          <w:highlight w:val="none"/>
        </w:rPr>
        <w:t xml:space="preserve">的潜在</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应在</w:t>
      </w:r>
      <w:r>
        <w:rPr>
          <w:rFonts w:ascii="宋体" w:hAnsi="宋体" w:eastAsia="宋体" w:cs="宋体"/>
          <w:color w:val="auto"/>
          <w:sz w:val="24"/>
          <w:highlight w:val="none"/>
          <w:u w:val="single"/>
        </w:rPr>
        <w:t xml:space="preserve">“苏采云”系统</w:t>
      </w:r>
      <w:r>
        <w:rPr>
          <w:rFonts w:ascii="宋体" w:hAnsi="宋体" w:eastAsia="宋体" w:cs="宋体"/>
          <w:color w:val="auto"/>
          <w:sz w:val="24"/>
          <w:highlight w:val="none"/>
        </w:rPr>
        <w:t xml:space="preserve">获取采购文件，并于</w:t>
      </w:r>
      <w:r>
        <w:rPr>
          <w:rFonts w:hint="eastAsia" w:ascii="宋体" w:hAnsi="宋体" w:eastAsia="宋体" w:cs="宋体"/>
          <w:color w:val="auto"/>
          <w:sz w:val="24"/>
          <w:highlight w:val="none"/>
          <w:u w:val="single"/>
          <w:lang w:eastAsia="zh-CN"/>
        </w:rPr>
        <w:t xml:space="preserve">2026年11月04日13时30分（北京时间）</w:t>
      </w:r>
      <w:r>
        <w:rPr>
          <w:rFonts w:ascii="宋体" w:hAnsi="宋体" w:eastAsia="宋体" w:cs="宋体"/>
          <w:color w:val="auto"/>
          <w:sz w:val="24"/>
          <w:highlight w:val="none"/>
        </w:rPr>
        <w:t xml:space="preserve">前递交投标文件。</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一、项目基本情况</w:t>
      </w:r>
      <w:r/>
    </w:p>
    <w:p>
      <w:pPr>
        <w:ind w:firstLine="480"/>
        <w:spacing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JSZC-320500-HWZX-G2026-0623</w:t>
      </w:r>
      <w:r/>
    </w:p>
    <w:p>
      <w:pPr>
        <w:ind w:firstLine="480"/>
        <w:spacing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色谱仪（标段一）</w:t>
      </w:r>
      <w:r/>
    </w:p>
    <w:p>
      <w:pPr>
        <w:ind w:firstLine="480"/>
        <w:spacing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预算金额：</w:t>
      </w:r>
      <w:r>
        <w:rPr>
          <w:rFonts w:hint="eastAsia" w:ascii="宋体" w:hAnsi="宋体" w:eastAsia="宋体" w:cs="宋体"/>
          <w:color w:val="auto"/>
          <w:sz w:val="24"/>
          <w:highlight w:val="none"/>
          <w:lang w:eastAsia="zh-CN"/>
        </w:rPr>
        <w:t xml:space="preserve">245万元</w:t>
      </w:r>
      <w:r/>
    </w:p>
    <w:p>
      <w:pPr>
        <w:ind w:firstLine="480"/>
        <w:spacing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245万元</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交货地点：苏州大学指定地点</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采购需求</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色谱仪（标段一）</w:t>
      </w:r>
      <w:r>
        <w:rPr>
          <w:rFonts w:hint="eastAsia" w:ascii="宋体" w:hAnsi="宋体" w:eastAsia="宋体" w:cs="宋体"/>
          <w:color w:val="auto"/>
          <w:sz w:val="24"/>
          <w:highlight w:val="none"/>
        </w:rPr>
        <w:t xml:space="preserve">，具体采购需求详见招标文件</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合同履行期限：</w:t>
      </w:r>
      <w:r>
        <w:rPr>
          <w:rFonts w:hint="eastAsia" w:ascii="宋体" w:hAnsi="宋体" w:eastAsia="宋体" w:cs="宋体"/>
          <w:color w:val="auto"/>
          <w:sz w:val="24"/>
          <w:highlight w:val="none"/>
        </w:rPr>
        <w:t xml:space="preserve">供应商应当在合同签订后60天内将货物运送至采购人指定仓库，由双方对货物进行预验收</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二、申请人的资格要求：</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满足《中华人民共和国政府采购法》第二十二条规定</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1.1具有独立承担民事责任的能力；</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1.2具有良好的商业信誉和健全的财务会计制度；</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1.3具有履行合同所必需的设备和专业技术能力；</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1.4具有依法缴纳税收和社会保障资金的良好记录；</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1.5参加政府采购活动前三年内,在经营活动中没有重大违法记录；</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1.7法律、行政法规规定的其他条件</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bCs/>
          <w:color w:val="auto"/>
          <w:sz w:val="24"/>
          <w:highlight w:val="none"/>
        </w:rPr>
        <w:t xml:space="preserve">无</w:t>
      </w:r>
      <w:r>
        <w:rPr>
          <w:rFonts w:ascii="宋体" w:hAnsi="宋体" w:cs="宋体"/>
          <w:bCs/>
          <w:color w:val="auto"/>
          <w:sz w:val="24"/>
          <w:highlight w:val="none"/>
        </w:rPr>
        <w:t xml:space="preserve">。</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rPr>
          <w:rFonts w:ascii="宋体" w:hAnsi="宋体" w:eastAsia="宋体" w:cs="宋体"/>
          <w:color w:val="auto"/>
          <w:sz w:val="24"/>
          <w:highlight w:val="none"/>
        </w:rPr>
        <w:t xml:space="preserve">本项目的特定资格要求：无</w:t>
      </w:r>
      <w:r/>
    </w:p>
    <w:p>
      <w:pPr>
        <w:pStyle w:val="770"/>
        <w:ind w:left="0" w:right="0" w:firstLine="480"/>
        <w:rPr>
          <w:rFonts w:hint="default" w:ascii="宋体" w:hAnsi="宋体" w:eastAsia="宋体" w:cs="宋体"/>
          <w:color w:val="auto"/>
          <w:sz w:val="24"/>
          <w:highlight w:val="none"/>
        </w:rPr>
      </w:pPr>
      <w:r>
        <w:rPr>
          <w:rFonts w:ascii="宋体" w:hAnsi="宋体" w:eastAsia="宋体" w:cs="宋体"/>
          <w:color w:val="auto"/>
          <w:sz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三、获取采购文件：</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时间：自招标文件公告发布之日起5个工作日 </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地点：“苏采云”系统（网址：http://jszfcg.jsczt.cn/）</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方式：线上获取</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售价：</w:t>
      </w:r>
      <w:r>
        <w:rPr>
          <w:rFonts w:hint="eastAsia" w:ascii="宋体" w:hAnsi="宋体" w:eastAsia="宋体" w:cs="宋体"/>
          <w:color w:val="auto"/>
          <w:sz w:val="24"/>
          <w:highlight w:val="none"/>
        </w:rPr>
        <w:t xml:space="preserve">0.00</w:t>
      </w:r>
      <w:r>
        <w:rPr>
          <w:rFonts w:ascii="宋体" w:hAnsi="宋体" w:eastAsia="宋体" w:cs="宋体"/>
          <w:color w:val="auto"/>
          <w:sz w:val="24"/>
          <w:highlight w:val="none"/>
        </w:rPr>
        <w:t xml:space="preserve">元</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四、提交投标文件截止时间、开标时间和地点：</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宋体" w:hAnsi="宋体" w:eastAsia="宋体" w:cs="宋体"/>
          <w:color w:val="auto"/>
          <w:sz w:val="24"/>
          <w:highlight w:val="none"/>
        </w:rPr>
        <w:t xml:space="preserve">2026年11月04日13时30分（北京时间）</w:t>
      </w:r>
      <w:r>
        <w:rPr>
          <w:rFonts w:ascii="宋体" w:hAnsi="宋体" w:eastAsia="宋体" w:cs="宋体"/>
          <w:color w:val="auto"/>
          <w:sz w:val="24"/>
          <w:highlight w:val="none"/>
        </w:rPr>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地点：“苏采云”系统（网址：http://jszfcg.jsczt.cn/）</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五、公告期限</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自本公告发布之日起</w:t>
      </w:r>
      <w:r>
        <w:rPr>
          <w:rFonts w:hint="eastAsia" w:ascii="宋体" w:hAnsi="宋体" w:eastAsia="宋体" w:cs="宋体"/>
          <w:color w:val="auto"/>
          <w:sz w:val="24"/>
          <w:highlight w:val="none"/>
        </w:rPr>
        <w:t xml:space="preserve">5</w:t>
      </w:r>
      <w:r>
        <w:rPr>
          <w:rFonts w:ascii="宋体" w:hAnsi="宋体" w:eastAsia="宋体" w:cs="宋体"/>
          <w:color w:val="auto"/>
          <w:sz w:val="24"/>
          <w:highlight w:val="none"/>
        </w:rPr>
        <w:t xml:space="preserve">个工作日。</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六、其他补充事项：</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线上获取方式：</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（1）CA证书办理</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4"/>
          <w:szCs w:val="24"/>
          <w:highlight w:val="none"/>
        </w:rPr>
        <w:t xml:space="preserve">苏州现场办理地址：苏州市高新区邓尉路105号狮山科技馆1楼服务大厅，咨询电话：0512-69820834。</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（2）参与采购活动</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（3）电子投标准备</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auto"/>
          <w:sz w:val="24"/>
          <w:highlight w:val="none"/>
        </w:rPr>
        <w:t xml:space="preserve">（具体详见《苏采云系统供应商操作手册》，网址链接https://czju.suzhou.gov.cn/zfcg/html/content/20231220161910031.shtml）</w:t>
      </w:r>
      <w:r>
        <w:rPr>
          <w:rFonts w:ascii="宋体" w:hAnsi="宋体" w:eastAsia="宋体" w:cs="宋体"/>
          <w:color w:val="auto"/>
          <w:sz w:val="24"/>
          <w:highlight w:val="none"/>
        </w:rPr>
        <w:t xml:space="preserve">。</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在系统操作过程中如有疑问，请按以下方式联系：</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注册咨询：18261002950；</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CA技术咨询电话：400-608-6099；</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签章使用问题：025-83633811、025-83633812、15380932027、15371015030；</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系统使用指导与咨询：联系电话：18261002950；QQ：3048755361、1315179389、895706745。</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更正(补充)公告及附件的获取</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政府采购监督管理电话：</w:t>
      </w:r>
      <w:r>
        <w:rPr>
          <w:rFonts w:hint="eastAsia" w:ascii="宋体" w:hAnsi="宋体" w:eastAsia="宋体" w:cs="宋体"/>
          <w:color w:val="auto"/>
          <w:sz w:val="24"/>
          <w:highlight w:val="none"/>
        </w:rPr>
        <w:t xml:space="preserve">025-83633058</w:t>
      </w:r>
      <w:r>
        <w:rPr>
          <w:rFonts w:ascii="宋体" w:hAnsi="宋体" w:eastAsia="宋体" w:cs="宋体"/>
          <w:color w:val="auto"/>
          <w:sz w:val="24"/>
          <w:highlight w:val="none"/>
        </w:rPr>
        <w:t xml:space="preserve">。</w:t>
      </w:r>
      <w:r/>
    </w:p>
    <w:p>
      <w:pPr>
        <w:ind w:firstLine="48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本次采购的有关信息将在苏州市政府采购网、江苏政府采购网、中国政府采购网上发布，敬请留意！</w:t>
      </w:r>
      <w:r/>
    </w:p>
    <w:p>
      <w:pPr>
        <w:ind w:firstLine="482"/>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七、对本次招标提出的询问，请按以下方式联系。</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采购人信息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w:t>
      </w:r>
      <w:r>
        <w:rPr>
          <w:rFonts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rPr>
        <w:t xml:space="preserve">苏州大学</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w:t>
      </w:r>
      <w:r>
        <w:rPr>
          <w:rFonts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rPr>
        <w:t xml:space="preserve">苏州市姑苏区东环路50号</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联系人：秦老师</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rPr>
        <w:t xml:space="preserve">电话</w:t>
      </w:r>
      <w:r>
        <w:rPr>
          <w:rFonts w:ascii="宋体" w:hAnsi="宋体" w:eastAsia="宋体" w:cs="宋体"/>
          <w:color w:val="auto"/>
          <w:sz w:val="24"/>
          <w:szCs w:val="24"/>
          <w:highlight w:val="none"/>
        </w:rPr>
        <w:t xml:space="preserve">：0512-67169460</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采购代理机构信息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w:t>
      </w:r>
      <w:r>
        <w:rPr>
          <w:rFonts w:ascii="宋体" w:hAnsi="宋体" w:eastAsia="宋体" w:cs="宋体"/>
          <w:color w:val="auto"/>
          <w:sz w:val="24"/>
          <w:highlight w:val="none"/>
        </w:rPr>
        <w:t xml:space="preserve">名称：</w:t>
      </w:r>
      <w:r>
        <w:rPr>
          <w:rFonts w:hint="eastAsia" w:ascii="宋体" w:hAnsi="宋体" w:eastAsia="宋体" w:cs="宋体"/>
          <w:color w:val="auto"/>
          <w:sz w:val="24"/>
          <w:highlight w:val="none"/>
        </w:rPr>
        <w:t xml:space="preserve">江</w:t>
      </w:r>
      <w:r>
        <w:rPr>
          <w:rFonts w:hint="eastAsia" w:ascii="宋体" w:hAnsi="宋体" w:eastAsia="宋体" w:cs="宋体"/>
          <w:color w:val="auto"/>
          <w:sz w:val="24"/>
          <w:szCs w:val="24"/>
          <w:highlight w:val="none"/>
        </w:rPr>
        <w:t xml:space="preserve">苏海外集团国际工程咨询有限公司</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w:t>
      </w:r>
      <w:r>
        <w:rPr>
          <w:rFonts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rPr>
        <w:t xml:space="preserve">苏州市高新区资管大厦8楼</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联系人：何磊、章宏杰、孙翠华</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联系电话：0512-65160659</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项目联系方式</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rPr>
        <w:t xml:space="preserve">何磊、孙翠华、章宏杰</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电话：0512-</w:t>
      </w:r>
      <w:r>
        <w:rPr>
          <w:rFonts w:hint="eastAsia" w:ascii="宋体" w:hAnsi="宋体" w:eastAsia="宋体" w:cs="宋体"/>
          <w:color w:val="auto"/>
          <w:sz w:val="24"/>
          <w:szCs w:val="24"/>
          <w:highlight w:val="none"/>
        </w:rPr>
        <w:t xml:space="preserve">65160659</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54"/>
        <w:jc w:val="center"/>
        <w:spacing w:before="340" w:after="33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54"/>
        <w:jc w:val="center"/>
        <w:spacing w:before="340" w:after="33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54"/>
        <w:jc w:val="center"/>
        <w:spacing w:before="340" w:after="33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54"/>
        <w:jc w:val="center"/>
        <w:spacing w:before="340" w:after="33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color w:val="auto"/>
          <w:sz w:val="44"/>
          <w:highlight w:val="none"/>
        </w:rPr>
        <w:t xml:space="preserve">第二章 </w:t>
      </w:r>
      <w:r>
        <w:rPr>
          <w:rFonts w:hint="eastAsia" w:ascii="宋体" w:hAnsi="宋体" w:eastAsia="宋体" w:cs="宋体"/>
          <w:b/>
          <w:color w:val="auto"/>
          <w:sz w:val="44"/>
          <w:highlight w:val="none"/>
        </w:rPr>
        <w:t xml:space="preserve">供应商</w:t>
      </w:r>
      <w:r>
        <w:rPr>
          <w:rFonts w:ascii="宋体" w:hAnsi="宋体" w:eastAsia="宋体" w:cs="宋体"/>
          <w:b/>
          <w:color w:val="auto"/>
          <w:sz w:val="44"/>
          <w:highlight w:val="none"/>
        </w:rPr>
        <w:t xml:space="preserve">须知</w:t>
      </w:r>
      <w:bookmarkEnd w:id="1"/>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一、说明和释义</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1.说明</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2.词语释义</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2.3投标人：指参加政府采购货物服务投标活动的供应商。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2.5招标采购单位：采购人及采购代理机构的统称。</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2.9天：日历日。</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2.10交货地点：合同中明确约定的乙方提交的货物最终地点。</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2.11不可抗力：不能预见、不能避免并且不能克服的客观情况。</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二、供应商</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3.合格供应商的基本条件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详见招标公告。</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4.合格供应商的落实政府采购政策资格要求、特定资格条件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详见招标公告。</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6.供应商代表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7.联合投标（本项目不接受联合体投标）</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8.投标费用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三、招标文件说明</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9.招标文件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9.2招标文件及其更正文件不是直接从采购代理机构处获得的，招标采购单位对招标文件及其补遗的真实性、完整性不承担任何责任。</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10.现场考察</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11.投标答疑</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12.招标文件的澄清和修改</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四、投标文件说明</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13.投标文件计量单位和使用文字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14.知识产权</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15.投标文件的组成</w:t>
      </w:r>
      <w:r/>
    </w:p>
    <w:p>
      <w:pPr>
        <w:ind w:firstLine="47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3"/>
          <w:sz w:val="24"/>
          <w:szCs w:val="24"/>
          <w:highlight w:val="none"/>
        </w:rPr>
        <w:t xml:space="preserve">基本目录：</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15.1封面</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15.2法定代表人授权委托书（如有授权）；</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15.4供应商基本情况表；</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15.5拟用于本项目人员名单；</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15.6企业类似业绩一览表；</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15.8产品质量承诺；</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15.10满足“节能产品和环境标志产品”政策规定的证明（如属于）；</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15.11招标文件规定提交的其他相关材料（如有）。</w:t>
      </w:r>
      <w:r/>
    </w:p>
    <w:p>
      <w:pPr>
        <w:ind w:firstLine="47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3"/>
          <w:sz w:val="24"/>
          <w:szCs w:val="24"/>
          <w:highlight w:val="none"/>
        </w:rPr>
        <w:t xml:space="preserve">资格条件：</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15.13供应商《营业执照》副本扫描件。</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15.14供应商具有良好的商业信誉和健全的财务会计制度证明：</w:t>
      </w:r>
      <w:r>
        <w:rPr>
          <w:rFonts w:ascii="宋体" w:hAnsi="宋体" w:eastAsia="宋体" w:cs="宋体"/>
          <w:color w:val="auto"/>
          <w:spacing w:val="-3"/>
          <w:sz w:val="24"/>
          <w:szCs w:val="24"/>
          <w:highlight w:val="none"/>
        </w:rPr>
        <w:t xml:space="preserve">包括但不限于</w:t>
      </w:r>
      <w:r>
        <w:rPr>
          <w:rFonts w:hint="eastAsia" w:ascii="宋体" w:hAnsi="宋体" w:eastAsia="宋体" w:cs="宋体"/>
          <w:color w:val="auto"/>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15.15供应商具有依法缴纳税收和社会保障资金的良好记录：提供税务登记证（如有）和近一年内依法缴纳税收的凭据；提供近一年内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15.16供应商具备履行合同所必需的设备和专业技术能力的证明材料或承诺（格式自拟）。</w:t>
      </w:r>
      <w:r/>
    </w:p>
    <w:p>
      <w:pPr>
        <w:ind w:firstLine="468"/>
        <w:spacing w:line="360" w:lineRule="auto"/>
        <w:rPr>
          <w:rFonts w:ascii="宋体" w:hAnsi="宋体" w:eastAsia="宋体" w:cs="宋体"/>
          <w:color w:val="auto"/>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w:t>
      </w:r>
      <w:r>
        <w:rPr>
          <w:rFonts w:hint="eastAsia" w:ascii="宋体" w:hAnsi="宋体" w:eastAsia="宋体" w:cs="宋体"/>
          <w:color w:val="auto"/>
          <w:spacing w:val="-3"/>
          <w:sz w:val="24"/>
          <w:szCs w:val="24"/>
          <w:highlight w:val="none"/>
          <w:lang w:val="en-US" w:eastAsia="zh-CN"/>
        </w:rPr>
        <w:t xml:space="preserve">17</w:t>
      </w:r>
      <w:r>
        <w:rPr>
          <w:rFonts w:hint="eastAsia" w:ascii="宋体" w:hAnsi="宋体" w:eastAsia="宋体" w:cs="宋体"/>
          <w:color w:val="auto"/>
          <w:spacing w:val="-3"/>
          <w:sz w:val="24"/>
          <w:szCs w:val="24"/>
          <w:highlight w:val="none"/>
        </w:rPr>
        <w:t xml:space="preserve">供应商参加政府采购活动前三年内，在经营活动中没有重大违法记录：提供书面声明函（格式自拟）。</w:t>
      </w:r>
      <w:r/>
    </w:p>
    <w:p>
      <w:pPr>
        <w:ind w:firstLine="468"/>
        <w:spacing w:line="360" w:lineRule="auto"/>
        <w:rPr>
          <w:rFonts w:ascii="宋体" w:hAnsi="宋体" w:eastAsia="宋体" w:cs="宋体"/>
          <w:color w:val="auto"/>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w:t>
      </w:r>
      <w:r>
        <w:rPr>
          <w:rFonts w:hint="eastAsia" w:ascii="宋体" w:hAnsi="宋体" w:eastAsia="宋体" w:cs="宋体"/>
          <w:color w:val="auto"/>
          <w:spacing w:val="-3"/>
          <w:sz w:val="24"/>
          <w:szCs w:val="24"/>
          <w:highlight w:val="none"/>
          <w:lang w:val="en-US" w:eastAsia="zh-CN"/>
        </w:rPr>
        <w:t xml:space="preserve">18</w:t>
      </w:r>
      <w:r>
        <w:rPr>
          <w:rFonts w:ascii="宋体" w:hAnsi="宋体" w:eastAsia="宋体" w:cs="宋体"/>
          <w:color w:val="auto"/>
          <w:spacing w:val="-3"/>
          <w:sz w:val="24"/>
          <w:szCs w:val="24"/>
          <w:highlight w:val="none"/>
        </w:rPr>
        <w:t xml:space="preserve">本项目其它有关资格证明文件</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如有）</w:t>
      </w:r>
      <w:r>
        <w:rPr>
          <w:rFonts w:hint="eastAsia" w:ascii="宋体" w:hAnsi="宋体" w:eastAsia="宋体" w:cs="宋体"/>
          <w:color w:val="auto"/>
          <w:spacing w:val="-3"/>
          <w:sz w:val="24"/>
          <w:szCs w:val="24"/>
          <w:highlight w:val="none"/>
        </w:rPr>
        <w:t xml:space="preserve">。</w:t>
      </w:r>
      <w:r/>
    </w:p>
    <w:p>
      <w:pPr>
        <w:ind w:firstLine="47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3"/>
          <w:sz w:val="24"/>
          <w:szCs w:val="24"/>
          <w:highlight w:val="none"/>
        </w:rPr>
        <w:t xml:space="preserve">符合条件：</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w:t>
      </w:r>
      <w:r>
        <w:rPr>
          <w:rFonts w:hint="eastAsia" w:ascii="宋体" w:hAnsi="宋体" w:eastAsia="宋体" w:cs="宋体"/>
          <w:color w:val="auto"/>
          <w:spacing w:val="-3"/>
          <w:sz w:val="24"/>
          <w:szCs w:val="24"/>
          <w:highlight w:val="none"/>
          <w:lang w:val="en-US" w:eastAsia="zh-CN"/>
        </w:rPr>
        <w:t xml:space="preserve">19</w:t>
      </w:r>
      <w:r>
        <w:rPr>
          <w:rFonts w:hint="eastAsia" w:ascii="宋体" w:hAnsi="宋体" w:eastAsia="宋体" w:cs="宋体"/>
          <w:color w:val="auto"/>
          <w:spacing w:val="-3"/>
          <w:sz w:val="24"/>
          <w:szCs w:val="24"/>
          <w:highlight w:val="none"/>
        </w:rPr>
        <w:t xml:space="preserve">投标函（详见投标文件格式）。</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w:t>
      </w:r>
      <w:r>
        <w:rPr>
          <w:rFonts w:hint="eastAsia" w:ascii="宋体" w:hAnsi="宋体" w:eastAsia="宋体" w:cs="宋体"/>
          <w:color w:val="auto"/>
          <w:spacing w:val="-3"/>
          <w:sz w:val="24"/>
          <w:szCs w:val="24"/>
          <w:highlight w:val="none"/>
          <w:lang w:val="en-US" w:eastAsia="zh-CN"/>
        </w:rPr>
        <w:t xml:space="preserve">20</w:t>
      </w:r>
      <w:r>
        <w:rPr>
          <w:rFonts w:hint="eastAsia" w:ascii="宋体" w:hAnsi="宋体" w:eastAsia="宋体" w:cs="宋体"/>
          <w:color w:val="auto"/>
          <w:spacing w:val="-3"/>
          <w:sz w:val="24"/>
          <w:szCs w:val="24"/>
          <w:highlight w:val="none"/>
        </w:rPr>
        <w:t xml:space="preserve">《开标一览表》(统一格式，用于唱标)。</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w:t>
      </w:r>
      <w:r>
        <w:rPr>
          <w:rFonts w:hint="eastAsia" w:ascii="宋体" w:hAnsi="宋体" w:eastAsia="宋体" w:cs="宋体"/>
          <w:color w:val="auto"/>
          <w:spacing w:val="-3"/>
          <w:sz w:val="24"/>
          <w:szCs w:val="24"/>
          <w:highlight w:val="none"/>
          <w:lang w:val="en-US" w:eastAsia="zh-CN"/>
        </w:rPr>
        <w:t xml:space="preserve">21</w:t>
      </w:r>
      <w:r>
        <w:rPr>
          <w:rFonts w:hint="eastAsia" w:ascii="宋体" w:hAnsi="宋体" w:eastAsia="宋体" w:cs="宋体"/>
          <w:color w:val="auto"/>
          <w:spacing w:val="-3"/>
          <w:sz w:val="24"/>
          <w:szCs w:val="24"/>
          <w:highlight w:val="none"/>
        </w:rPr>
        <w:t xml:space="preserve">货物清单表（含投标货物名称、数量、材质、规格、品牌型号、性能、技术指标说明与描述、质量要求等）。</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w:t>
      </w:r>
      <w:r>
        <w:rPr>
          <w:rFonts w:hint="eastAsia" w:ascii="宋体" w:hAnsi="宋体" w:eastAsia="宋体" w:cs="宋体"/>
          <w:color w:val="auto"/>
          <w:spacing w:val="-3"/>
          <w:sz w:val="24"/>
          <w:szCs w:val="24"/>
          <w:highlight w:val="none"/>
          <w:lang w:val="en-US" w:eastAsia="zh-CN"/>
        </w:rPr>
        <w:t xml:space="preserve">22</w:t>
      </w:r>
      <w:r>
        <w:rPr>
          <w:rFonts w:hint="eastAsia" w:ascii="宋体" w:hAnsi="宋体" w:eastAsia="宋体" w:cs="宋体"/>
          <w:color w:val="auto"/>
          <w:spacing w:val="-3"/>
          <w:sz w:val="24"/>
          <w:szCs w:val="24"/>
          <w:highlight w:val="none"/>
        </w:rPr>
        <w:t xml:space="preserve">技术规格偏离表和商务条款偏离表（详见投标文件格式）。</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w:t>
      </w:r>
      <w:r>
        <w:rPr>
          <w:rFonts w:hint="eastAsia" w:ascii="宋体" w:hAnsi="宋体" w:eastAsia="宋体" w:cs="宋体"/>
          <w:color w:val="auto"/>
          <w:spacing w:val="-3"/>
          <w:sz w:val="24"/>
          <w:szCs w:val="24"/>
          <w:highlight w:val="none"/>
          <w:lang w:val="en-US" w:eastAsia="zh-CN"/>
        </w:rPr>
        <w:t xml:space="preserve">23</w:t>
      </w:r>
      <w:r>
        <w:rPr>
          <w:rFonts w:hint="eastAsia" w:ascii="宋体" w:hAnsi="宋体" w:eastAsia="宋体" w:cs="宋体"/>
          <w:color w:val="auto"/>
          <w:spacing w:val="-3"/>
          <w:sz w:val="24"/>
          <w:szCs w:val="24"/>
          <w:highlight w:val="none"/>
        </w:rPr>
        <w:t xml:space="preserve">供应商对招标文件其他符合性条款的响应情况（如有）。</w:t>
      </w:r>
      <w:r/>
    </w:p>
    <w:p>
      <w:pPr>
        <w:ind w:firstLine="47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3"/>
          <w:sz w:val="24"/>
          <w:szCs w:val="24"/>
          <w:highlight w:val="none"/>
        </w:rPr>
        <w:t xml:space="preserve">综合评审评分项：</w:t>
      </w:r>
      <w:r/>
    </w:p>
    <w:p>
      <w:pPr>
        <w:ind w:firstLine="468"/>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w:t>
      </w:r>
      <w:r>
        <w:rPr>
          <w:rFonts w:hint="eastAsia" w:ascii="宋体" w:hAnsi="宋体" w:eastAsia="宋体" w:cs="宋体"/>
          <w:color w:val="auto"/>
          <w:spacing w:val="-3"/>
          <w:sz w:val="24"/>
          <w:szCs w:val="24"/>
          <w:highlight w:val="none"/>
          <w:lang w:val="en-US" w:eastAsia="zh-CN"/>
        </w:rPr>
        <w:t xml:space="preserve">24</w:t>
      </w:r>
      <w:r>
        <w:rPr>
          <w:rFonts w:hint="eastAsia" w:ascii="宋体" w:hAnsi="宋体" w:eastAsia="宋体" w:cs="宋体"/>
          <w:color w:val="auto"/>
          <w:spacing w:val="-3"/>
          <w:sz w:val="24"/>
          <w:szCs w:val="24"/>
          <w:highlight w:val="none"/>
        </w:rPr>
        <w:t xml:space="preserve">招标（采购）文件评分标准中规定提交的其他相关材料。</w:t>
      </w:r>
      <w:r/>
    </w:p>
    <w:p>
      <w:pPr>
        <w:ind w:firstLine="468"/>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3"/>
          <w:sz w:val="24"/>
          <w:szCs w:val="24"/>
          <w:highlight w:val="none"/>
        </w:rPr>
        <w:t xml:space="preserve">价格折扣文件：</w:t>
      </w:r>
      <w:r/>
    </w:p>
    <w:p>
      <w:pPr>
        <w:ind w:firstLine="468"/>
        <w:spacing w:line="360" w:lineRule="auto"/>
        <w:rPr>
          <w:rFonts w:ascii="宋体" w:hAnsi="宋体" w:eastAsia="宋体" w:cs="宋体"/>
          <w:color w:val="auto"/>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w:t>
      </w:r>
      <w:r>
        <w:rPr>
          <w:rFonts w:hint="eastAsia" w:ascii="宋体" w:hAnsi="宋体" w:eastAsia="宋体" w:cs="宋体"/>
          <w:color w:val="auto"/>
          <w:spacing w:val="-3"/>
          <w:sz w:val="24"/>
          <w:szCs w:val="24"/>
          <w:highlight w:val="none"/>
          <w:lang w:val="en-US" w:eastAsia="zh-CN"/>
        </w:rPr>
        <w:t xml:space="preserve">25</w:t>
      </w:r>
      <w:r>
        <w:rPr>
          <w:rFonts w:hint="eastAsia" w:ascii="宋体" w:hAnsi="宋体" w:eastAsia="宋体" w:cs="宋体"/>
          <w:color w:val="auto"/>
          <w:spacing w:val="-3"/>
          <w:sz w:val="24"/>
          <w:szCs w:val="24"/>
          <w:highlight w:val="none"/>
        </w:rPr>
        <w:t xml:space="preserve">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color w:val="auto"/>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15.</w:t>
      </w:r>
      <w:r>
        <w:rPr>
          <w:rFonts w:hint="eastAsia" w:ascii="宋体" w:hAnsi="宋体" w:eastAsia="宋体" w:cs="宋体"/>
          <w:color w:val="auto"/>
          <w:spacing w:val="-3"/>
          <w:sz w:val="24"/>
          <w:szCs w:val="24"/>
          <w:highlight w:val="none"/>
          <w:lang w:val="en-US" w:eastAsia="zh-CN"/>
        </w:rPr>
        <w:t xml:space="preserve">26</w:t>
      </w:r>
      <w:r>
        <w:rPr>
          <w:rFonts w:hint="eastAsia" w:ascii="宋体" w:hAnsi="宋体" w:eastAsia="宋体" w:cs="宋体"/>
          <w:color w:val="auto"/>
          <w:spacing w:val="-3"/>
          <w:sz w:val="24"/>
          <w:szCs w:val="24"/>
          <w:highlight w:val="none"/>
        </w:rPr>
        <w:t xml:space="preserve">关于符合本国产品标准的声明函。</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w:t>
      </w:r>
      <w:r>
        <w:rPr>
          <w:rFonts w:hint="eastAsia" w:ascii="宋体" w:hAnsi="宋体" w:eastAsia="宋体" w:cs="宋体"/>
          <w:b/>
          <w:color w:val="auto"/>
          <w:sz w:val="24"/>
          <w:szCs w:val="24"/>
          <w:highlight w:val="none"/>
        </w:rPr>
        <w:t xml:space="preserve">供应商应完整提交上述资料，</w:t>
      </w:r>
      <w:r>
        <w:rPr>
          <w:rFonts w:hint="eastAsia" w:ascii="宋体" w:hAnsi="宋体" w:eastAsia="宋体"/>
          <w:b/>
          <w:color w:val="auto"/>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color w:val="auto"/>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16.投标文件编制要求</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16.2电子投标（响应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第一步：在投标（响应）文件中上传联合体投标协议书。</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16.3《开标一览表》为在开标仪式上唱标的内容，要求按格式填写，统一规范，不得自行增减内容。</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17.投标报价（编制）要求的说明</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17.1除非合同中另有规定，供应商对《开标一览表》中的全部货物和服务的报价应包括完成对应采购包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供应商企业利润、税金和政策性文件规定及合同包含的所有风险、责任等各项应有费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17.2供应商应对招标文件对应采购包内所要采购的全部内容进行报价，只投其中部分内容者，其标书将被拒绝。</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17.5</w:t>
      </w:r>
      <w:r>
        <w:rPr>
          <w:rFonts w:hint="eastAsia" w:ascii="宋体" w:hAnsi="宋体" w:eastAsia="宋体" w:cs="宋体"/>
          <w:b/>
          <w:color w:val="auto"/>
          <w:sz w:val="24"/>
          <w:szCs w:val="24"/>
          <w:highlight w:val="none"/>
        </w:rPr>
        <w:t xml:space="preserve">最低报价不能作为中标的保证</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w:t>
      </w:r>
      <w:r>
        <w:rPr>
          <w:rFonts w:hint="eastAsia" w:ascii="宋体" w:hAnsi="宋体" w:eastAsia="宋体" w:cs="宋体"/>
          <w:b/>
          <w:color w:val="auto"/>
          <w:sz w:val="24"/>
          <w:szCs w:val="24"/>
          <w:highlight w:val="none"/>
        </w:rPr>
        <w:t xml:space="preserve">投标保证金</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19.投标文件的有效期</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五、投标文件的递交</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20.投标截止时间</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20.6.投标文件的修改和撤回</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六、开标和评标</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21.开标</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21.8至投标文件提交截止时间，递交投标文件的供应商不足三家的采购包，不得开标。</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21.9供应商未参加开标的，视同认可开标结果。</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22.资格审查</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22.2未通过资格审查的供应商为无效供应商，采购人或采购代理机构将未通过资格审查的供应商名单和原因提交评标委员会，以便编制评标报告；通过资格审查的供应商将提交评标委员会进行符合性审查。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23.评标工作的组织</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23.2宣布评标纪律；</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23.3公布供应商名单，告知评审专家应当回避的情形；</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23.8核对评标结果，有</w:t>
      </w:r>
      <w:r>
        <w:rPr>
          <w:rFonts w:hint="eastAsia" w:ascii="宋体" w:hAnsi="宋体" w:eastAsia="宋体" w:cs="宋体"/>
          <w:color w:val="auto"/>
          <w:sz w:val="24"/>
          <w:szCs w:val="24"/>
          <w:highlight w:val="none"/>
          <w:lang w:val="en-US" w:eastAsia="zh-CN"/>
        </w:rPr>
        <w:t xml:space="preserve">政府采购法规</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的相应</w:t>
      </w:r>
      <w:r>
        <w:rPr>
          <w:rFonts w:hint="eastAsia" w:ascii="宋体" w:hAnsi="宋体" w:eastAsia="宋体" w:cs="宋体"/>
          <w:color w:val="auto"/>
          <w:sz w:val="24"/>
          <w:szCs w:val="24"/>
          <w:highlight w:val="none"/>
        </w:rPr>
        <w:t xml:space="preserve">情形的，要求评标委员会复核或者书面说明理由，评标委员会拒绝的，应予记录并向本级财政部门报告；</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23.10处理与评标有关的其他事项。</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24.评标委员会</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24.2评标委员会独立履行下列职责：</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24.2.2要求供应商对投标文件有关事项作出澄清或者说明；</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24.2.3对投标文件进行比较和评价；</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24.2.4确定中标候选人名单，以及根据采购人委托直接确定中标单位；</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24.3评标委员会成员应当履行下列义务：</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24.3.1遵纪守法，客观、公正、廉洁地履行职责；</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24.3.3对评标过程和结果，以及供应商的商业秘密保密；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24.3.4参与评标报告的起草；</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24.3.5配合相关部门的投诉处理工作；</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24.3.6配合招标采购单位答复投标供应商提出的质疑。</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25.评标内容的保密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26.符合性审查</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2）投标文件载明的有效期短于招标文件规定；</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3）投标文件载明的招标项目完成期限不满足招标文件规定；</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4）投标文件载明的免费质保期限不满足招标文件规定；</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5）投标文件载明的履约保证、付款方式不满足招标文件规定；</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8）不同供应商的投标文件存在“视为串通投标”的情形；</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9）供应商的报价存在选择性的；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10）供应商的报价或响应只响应了项目中部分招标内容；</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11）供应商拒绝修正错误影响评标的；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12）投标文件不符合招标文件规定的其他实质性条款；</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13）不同投标文件存在“机器码”一致情形；</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14）投标文件存在招标文件规定的其他无效投标情形的。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27.投标澄清</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27.2本项目采用线上澄清。</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28.投标报价评审</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28.1.2大写金额和小写金额不一致的，以大写金额为准；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28.1.3单价金额小数点或者百分比有明显错位的，以开标一览表的单价为准，并修改单价；</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29.无效投标</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供应商存在下列情况之一的，投标无效：</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29.1投标文件未按招标文件要求签署、签章的；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29.2不具备招标文件中规定的资格要求的；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29.3报价超过招标文件中规定的预算金额或者最高限价的；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29.4投标文件含有采购人不能接受的附加条件的；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29.5法律、法规和招标文件规定的其他无效情形。</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29.6供应商未对电子投标文件进行解密或解密失败的。</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30.废标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30.1.1该采购包符合招标文件按要求的供应商或者对招标文件作实质响应的供应商不足三家的；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30.1.2出现影响采购公正的违法、违规行为的；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30.1.3供应商的报价均超过了采购预算或者最高限价的，招标人不能支付的；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30.1.4因重大变故，采购任务取消的。</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30.2废标后，采购人应当将废标理由通知供应商。</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31.投标文件的评价和比较</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七、授予合同</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32.中标单位的确认</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单位（采购人授权评标委员会直接确定中标人的情形除外）。中标候选人并列的，根据相关法规及采购文件规定确定中标单位。采购人在收到评标报告5个工作日内未按评标报告推荐的中标候选人顺序确定中标单位，又不能说明合法理由的，视同按评标报告推荐的顺序确定排名第一的中标候选人为中标单位。</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32.3本项目中标单位数量：1家。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32.4采购人或者采购代理机构自中标单位确定之日起2个工作日内在省级以上财政部门指定的媒体上公告中标结果。中标公告期限为1个工作日。</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33.合同授予标准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34.中标通知书</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34.1在公告中标结果的同时，采购人或者采购代理机构应当向中标单位发出中标通知书，中标通知书对采购人和中标单位具有同等法律效力。中标通知书发出后，采购人不得违法改变中标结果，中标单位无正当理由不得放弃中标，否则应当承担相应的法律责任。</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34.2中标通知书将成为合同的组成部分。</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35.告知招标结果</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35.1对未通过资格审查的供应商，告知其未通过的原因。</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35.2在发放中标通知书的同时，向参与项目评审的未中标单位发放未中标通知书（如有），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36.履约保证金</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36.1详见前附表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37.合同的签订</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37.1采购人应当自中标通知书发出之日起30日内，按照招标文件和中标单位投标文件的规定，与中标单位签订书面合同。所签订的合同不得对招标文件确定的事项和中标单位投标文件作实质性修改。</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37.2签订合同及合同条款应以招标文件和中标单位的投标文件及其澄清文件为依据。</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八、其他事项</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38.招标代理服务费</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38.2中标单位如果未按规定支付招标代理服务费，招标采购单位将不予退还其投标保证金，并保留诉讼的权利。</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39.监督和公证</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39.1政府有关监督部门将对招投标全过程进行监督。</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39.2招标人的开标、评标过程将通过公证机关进行公证（如有）。</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40.政府采购政策</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40.1</w:t>
      </w:r>
      <w:r>
        <w:rPr>
          <w:rFonts w:hint="eastAsia" w:ascii="宋体" w:hAnsi="宋体" w:eastAsia="宋体" w:cs="宋体"/>
          <w:color w:val="auto"/>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color w:val="auto"/>
          <w:sz w:val="24"/>
          <w:szCs w:val="24"/>
          <w:highlight w:val="none"/>
          <w:u w:val="single"/>
        </w:rPr>
        <w:t xml:space="preserve">工业</w:t>
      </w:r>
      <w:r>
        <w:rPr>
          <w:rFonts w:hint="eastAsia" w:ascii="宋体" w:hAnsi="宋体" w:eastAsia="宋体" w:cs="宋体"/>
          <w:b/>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highlight w:val="none"/>
        </w:rPr>
        <w:t xml:space="preserve">价格的折扣：</w:t>
      </w:r>
      <w:r>
        <w:rPr>
          <w:rFonts w:hint="eastAsia" w:ascii="宋体" w:hAnsi="宋体" w:eastAsia="宋体" w:cs="宋体"/>
          <w:b/>
          <w:bCs/>
          <w:color w:val="auto"/>
          <w:sz w:val="24"/>
          <w:highlight w:val="none"/>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40.2促进残疾人就业和支持监狱企业发展有关政策：</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auto"/>
          <w:sz w:val="24"/>
          <w:highlight w:val="none"/>
        </w:rPr>
        <w:t xml:space="preserve">。</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40.3信用记录</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40.3.1查询截止时点：投标文件递交截止时间。</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40.3.2查询渠道：</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40.3.3查询证据留存方式：</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40.3.4信用记录使用规则：</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40.4采购文件的质疑、澄清</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40.4.1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40.4.2本次采购文件要求供应商在法定质疑期内一次性提出针对同一采购程序环节的质疑。</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（4）事实依据；</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（5）必要的法律依据；</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（6）提出质疑的日期。</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（7）质疑联系方式详见采购公告。</w:t>
      </w:r>
      <w:r/>
    </w:p>
    <w:p>
      <w:pPr>
        <w:ind w:firstLine="482"/>
        <w:spacing w:line="360" w:lineRule="auto"/>
        <w:rPr>
          <w:rFonts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（1）政府采购节能产品、环境标志产品</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节能产品和环境标志产品实施品目清单管理，以“中国政府采购网”（http://www.ccgp.gov.cn）公告的时间、内容为准。若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41.</w:t>
      </w:r>
      <w:r>
        <w:rPr>
          <w:rFonts w:hint="eastAsia" w:ascii="宋体" w:hAnsi="宋体" w:eastAsia="宋体" w:cs="宋体"/>
          <w:b/>
          <w:bCs/>
          <w:color w:val="auto"/>
          <w:sz w:val="24"/>
          <w:highlight w:val="none"/>
        </w:rPr>
        <w:t xml:space="preserve">对本国产品的支持政策</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ascii="宋体" w:hAnsi="宋体" w:eastAsia="宋体" w:cs="宋体"/>
          <w:color w:val="auto"/>
          <w:szCs w:val="24"/>
          <w:highlight w:val="none"/>
        </w:rPr>
      </w:pPr>
      <w:r>
        <w:rPr>
          <w:rStyle w:val="792"/>
          <w:rFonts w:hint="eastAsia" w:ascii="宋体" w:hAnsi="宋体" w:eastAsia="宋体" w:cs="宋体"/>
          <w:color w:val="auto"/>
          <w:szCs w:val="24"/>
          <w:highlight w:val="none"/>
          <w:shd w:val="clear" w:color="auto" w:fill="ffffff"/>
        </w:rPr>
        <w:t xml:space="preserve">41.1本国产品标准</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本国产品应当符合以下条件：</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（1）在中国境内生产</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①为确保产品在运输或者储存期间保持某种状态而进行的操作；</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②为产品运输或者销售进行的包装或者展示；</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③在产品或者其包装上粘贴或者印刷品牌、标志、标识以及其他用于区别的标记；</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④简单的上漆、磨光和分装；</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⑤其他不属于属性改变的情形。</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（2）在中国境内生产的组件成本占比达到规定比例</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color w:val="auto"/>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color w:val="auto"/>
          <w:szCs w:val="24"/>
          <w:highlight w:val="none"/>
          <w:shd w:val="clear" w:color="auto" w:fill="ffffff"/>
        </w:rPr>
        <w:t xml:space="preserve">（一）</w:t>
      </w:r>
      <w:r>
        <w:rPr>
          <w:rFonts w:hint="eastAsia" w:ascii="宋体" w:hAnsi="宋体" w:eastAsia="宋体" w:cs="宋体"/>
          <w:b/>
          <w:bCs/>
          <w:color w:val="auto"/>
          <w:szCs w:val="24"/>
          <w:highlight w:val="none"/>
          <w:shd w:val="clear" w:color="auto" w:fill="ffffff"/>
        </w:rPr>
        <w:t xml:space="preserve">项条件的产品在政府采购活动中视同本国产品。</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（3）特定产品的关键组件、关键工序符合相关要求</w:t>
      </w:r>
      <w:r/>
    </w:p>
    <w:p>
      <w:pPr>
        <w:pStyle w:val="787"/>
        <w:ind w:firstLine="480"/>
        <w:spacing w:before="0" w:beforeAutospacing="0" w:after="0" w:afterAutospacing="0" w:line="360" w:lineRule="auto"/>
        <w:rPr>
          <w:rFonts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对特定产品，在符合本通知第一条第</w:t>
      </w:r>
      <w:r>
        <w:rPr>
          <w:rFonts w:ascii="宋体" w:hAnsi="宋体" w:eastAsia="宋体" w:cs="宋体"/>
          <w:color w:val="auto"/>
          <w:szCs w:val="24"/>
          <w:highlight w:val="none"/>
          <w:shd w:val="clear" w:color="auto" w:fill="ffffff"/>
        </w:rPr>
        <w:t xml:space="preserve">（一）</w:t>
      </w:r>
      <w:r>
        <w:rPr>
          <w:rFonts w:hint="eastAsia" w:ascii="宋体" w:hAnsi="宋体" w:eastAsia="宋体" w:cs="宋体"/>
          <w:color w:val="auto"/>
          <w:szCs w:val="24"/>
          <w:highlight w:val="none"/>
          <w:shd w:val="clear" w:color="auto" w:fill="ffffff"/>
        </w:rPr>
        <w:t xml:space="preserve">项和第</w:t>
      </w:r>
      <w:r>
        <w:rPr>
          <w:rFonts w:ascii="宋体" w:hAnsi="宋体" w:eastAsia="宋体" w:cs="宋体"/>
          <w:color w:val="auto"/>
          <w:szCs w:val="24"/>
          <w:highlight w:val="none"/>
          <w:shd w:val="clear" w:color="auto" w:fill="ffffff"/>
        </w:rPr>
        <w:t xml:space="preserve">（二）</w:t>
      </w:r>
      <w:r>
        <w:rPr>
          <w:rFonts w:hint="eastAsia" w:ascii="宋体" w:hAnsi="宋体" w:eastAsia="宋体" w:cs="宋体"/>
          <w:color w:val="auto"/>
          <w:szCs w:val="24"/>
          <w:highlight w:val="none"/>
          <w:shd w:val="clear" w:color="auto" w:fill="ffffff"/>
        </w:rPr>
        <w:t xml:space="preserve">项条件的基础上，应当符合财政部会同有关行业主管部门确定的其关键组件、关键工序在中国境内生产、完成等要求。</w:t>
      </w:r>
      <w:r/>
    </w:p>
    <w:p>
      <w:pPr>
        <w:pStyle w:val="787"/>
        <w:ind w:firstLine="480"/>
        <w:spacing w:before="0" w:beforeAutospacing="0" w:after="0" w:afterAutospacing="0" w:line="360" w:lineRule="auto"/>
        <w:rPr>
          <w:rFonts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87"/>
        <w:ind w:firstLine="482"/>
        <w:jc w:val="center"/>
        <w:spacing w:before="0" w:beforeAutospacing="0" w:after="0" w:afterAutospacing="0" w:line="360" w:lineRule="auto"/>
        <w:rPr>
          <w:rFonts w:ascii="宋体" w:hAnsi="宋体" w:eastAsia="宋体" w:cs="宋体"/>
          <w:color w:val="auto"/>
          <w:sz w:val="16"/>
          <w:szCs w:val="16"/>
          <w:highlight w:val="none"/>
        </w:rPr>
      </w:pPr>
      <w:r>
        <w:rPr>
          <w:rStyle w:val="792"/>
          <w:rFonts w:hint="eastAsia" w:ascii="宋体" w:hAnsi="宋体" w:eastAsia="宋体" w:cs="宋体"/>
          <w:color w:val="auto"/>
          <w:szCs w:val="24"/>
          <w:highlight w:val="none"/>
          <w:shd w:val="clear" w:color="auto" w:fill="ffffff"/>
        </w:rPr>
        <w:t xml:space="preserve">中国境内生产的组件成本核算基本规则</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③产品总成本和组件成本以相关会计核算数据、采购合同、进货记录等为基础进行计算。</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④需要对成本核算规则予以进一步明确的其他有关事项，由财政部会同有关部门另行规定。</w:t>
      </w:r>
      <w:r/>
    </w:p>
    <w:p>
      <w:pPr>
        <w:pStyle w:val="787"/>
        <w:ind w:firstLine="482"/>
        <w:spacing w:before="0" w:beforeAutospacing="0" w:after="0" w:afterAutospacing="0" w:line="360" w:lineRule="auto"/>
        <w:rPr>
          <w:rFonts w:ascii="宋体" w:hAnsi="宋体" w:eastAsia="宋体" w:cs="宋体"/>
          <w:color w:val="auto"/>
          <w:szCs w:val="24"/>
          <w:highlight w:val="none"/>
        </w:rPr>
      </w:pPr>
      <w:r>
        <w:rPr>
          <w:rStyle w:val="792"/>
          <w:rFonts w:hint="eastAsia" w:ascii="宋体" w:hAnsi="宋体" w:eastAsia="宋体" w:cs="宋体"/>
          <w:color w:val="auto"/>
          <w:szCs w:val="24"/>
          <w:highlight w:val="none"/>
          <w:shd w:val="clear" w:color="auto" w:fill="ffffff"/>
        </w:rPr>
        <w:t xml:space="preserve">41.2本国产品标准的适用范围</w:t>
      </w:r>
      <w:r/>
    </w:p>
    <w:p>
      <w:pPr>
        <w:pStyle w:val="787"/>
        <w:ind w:firstLine="480"/>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ascii="宋体" w:hAnsi="宋体" w:eastAsia="宋体" w:cs="宋体"/>
          <w:color w:val="auto"/>
          <w:szCs w:val="24"/>
          <w:highlight w:val="none"/>
        </w:rPr>
      </w:pPr>
      <w:r>
        <w:rPr>
          <w:rStyle w:val="792"/>
          <w:rFonts w:hint="eastAsia" w:ascii="宋体" w:hAnsi="宋体" w:eastAsia="宋体" w:cs="宋体"/>
          <w:color w:val="auto"/>
          <w:szCs w:val="24"/>
          <w:highlight w:val="none"/>
          <w:shd w:val="clear" w:color="auto" w:fill="ffffff"/>
        </w:rPr>
        <w:t xml:space="preserve">41.3对本国产品的支持政策</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rPr>
        <w:t xml:space="preserve">20%的价格扣除</w:t>
      </w:r>
      <w:r>
        <w:rPr>
          <w:rFonts w:hint="eastAsia" w:ascii="宋体" w:hAnsi="宋体" w:eastAsia="宋体" w:cs="宋体"/>
          <w:color w:val="auto"/>
          <w:sz w:val="24"/>
          <w:highlight w:val="none"/>
        </w:rPr>
        <w:t xml:space="preserve">，用扣除后的价格参与评审。</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当采购项目或者采购包中含有多种产品，供应商为该采购项目或者采购包提供的</w:t>
      </w:r>
      <w:r>
        <w:rPr>
          <w:rFonts w:hint="eastAsia" w:ascii="宋体" w:hAnsi="宋体" w:eastAsia="宋体" w:cs="宋体"/>
          <w:b/>
          <w:bCs/>
          <w:color w:val="auto"/>
          <w:sz w:val="24"/>
          <w:highlight w:val="none"/>
        </w:rPr>
        <w:t xml:space="preserve">符合本国产品标准的产品成本之和占该供应商提供的全部产品成本之和的比例达到80%以上</w:t>
      </w:r>
      <w:r>
        <w:rPr>
          <w:rFonts w:hint="eastAsia" w:ascii="宋体" w:hAnsi="宋体" w:eastAsia="宋体" w:cs="宋体"/>
          <w:color w:val="auto"/>
          <w:sz w:val="24"/>
          <w:highlight w:val="none"/>
        </w:rPr>
        <w:t xml:space="preserve">时，依法对该供应商提供的全部产品给予价格评审优惠，即</w:t>
      </w:r>
      <w:r>
        <w:rPr>
          <w:rFonts w:hint="eastAsia" w:ascii="宋体" w:hAnsi="宋体" w:eastAsia="宋体" w:cs="宋体"/>
          <w:b/>
          <w:bCs/>
          <w:color w:val="auto"/>
          <w:sz w:val="24"/>
          <w:highlight w:val="none"/>
        </w:rPr>
        <w:t xml:space="preserve">对该供应商提供的全部产品的总报价给予20%的价格扣除</w:t>
      </w:r>
      <w:r>
        <w:rPr>
          <w:rFonts w:hint="eastAsia" w:ascii="宋体" w:hAnsi="宋体" w:eastAsia="宋体" w:cs="宋体"/>
          <w:color w:val="auto"/>
          <w:sz w:val="24"/>
          <w:highlight w:val="none"/>
        </w:rPr>
        <w:t xml:space="preserve">，用扣除后的价格参与评审。</w:t>
      </w:r>
      <w:r/>
    </w:p>
    <w:p>
      <w:pPr>
        <w:ind w:firstLine="480"/>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供应商提供的产品出具</w:t>
      </w:r>
      <w:r>
        <w:rPr>
          <w:rFonts w:hint="eastAsia" w:ascii="宋体" w:hAnsi="宋体" w:eastAsia="宋体" w:cs="宋体"/>
          <w:b/>
          <w:bCs/>
          <w:color w:val="auto"/>
          <w:sz w:val="24"/>
          <w:highlight w:val="none"/>
        </w:rPr>
        <w:t xml:space="preserve">《关于符合本国产品标准的声明函》</w:t>
      </w:r>
      <w:r>
        <w:rPr>
          <w:rFonts w:hint="eastAsia" w:ascii="宋体" w:hAnsi="宋体" w:eastAsia="宋体" w:cs="宋体"/>
          <w:color w:val="auto"/>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42.未尽事宜</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42.1按《中华人民共和国政府采购法》及其他有关法律法规的规定执行。</w:t>
      </w:r>
      <w:r/>
    </w:p>
    <w:p>
      <w:pPr>
        <w:rPr>
          <w:color w:val="auto"/>
          <w:highlight w:val="none"/>
        </w:rPr>
      </w:pPr>
      <w:r>
        <w:rPr>
          <w:rFonts w:hint="eastAsia"/>
          <w:color w:val="auto"/>
          <w:highlight w:val="none"/>
        </w:rPr>
        <w:br w:type="page" w:clear="all"/>
      </w:r>
      <w:r/>
    </w:p>
    <w:p>
      <w:pPr>
        <w:pStyle w:val="769"/>
        <w:ind w:left="0"/>
        <w:rPr>
          <w:rFonts w:hint="eastAsia"/>
          <w:color w:val="auto"/>
          <w:highlight w:val="none"/>
        </w:rPr>
      </w:pPr>
      <w:r>
        <w:rPr>
          <w:rFonts w:hint="eastAsia"/>
          <w:color w:val="auto"/>
          <w:highlight w:val="none"/>
        </w:rPr>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color w:val="auto"/>
          <w:sz w:val="44"/>
          <w:highlight w:val="none"/>
        </w:rPr>
        <w:t xml:space="preserve">第三章 投标文件格式</w:t>
      </w:r>
      <w:bookmarkEnd w:id="2"/>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说明：</w:t>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对本章所有的投标书格式，投标方可根据自身情况进行补充和修改，但补充和修改不得造成与本格式内容有实质性的违背。</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一、投标函</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（采购代理机构名称）</w:t>
      </w:r>
      <w:r>
        <w:rPr>
          <w:rFonts w:ascii="宋体" w:hAnsi="宋体" w:eastAsia="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我方全面研究了</w:t>
      </w:r>
      <w:r>
        <w:rPr>
          <w:rFonts w:ascii="宋体" w:hAnsi="宋体" w:eastAsia="宋体" w:cs="宋体"/>
          <w:b/>
          <w:i/>
          <w:color w:val="auto"/>
          <w:sz w:val="24"/>
          <w:highlight w:val="none"/>
          <w:u w:val="single"/>
        </w:rPr>
        <w:t xml:space="preserve">（招标编号）</w:t>
      </w:r>
      <w:r>
        <w:rPr>
          <w:rFonts w:ascii="宋体" w:hAnsi="宋体" w:eastAsia="宋体" w:cs="宋体"/>
          <w:color w:val="auto"/>
          <w:sz w:val="24"/>
          <w:highlight w:val="none"/>
        </w:rPr>
        <w:t xml:space="preserve">项目招标文件，决定参加贵单位组织的本项目的投标。</w:t>
      </w:r>
      <w:r/>
    </w:p>
    <w:p>
      <w:pPr>
        <w:ind w:firstLine="420"/>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1、</w:t>
      </w:r>
      <w:r>
        <w:rPr>
          <w:rFonts w:ascii="宋体" w:hAnsi="宋体" w:eastAsia="宋体" w:cs="宋体"/>
          <w:color w:val="auto"/>
          <w:sz w:val="24"/>
          <w:highlight w:val="none"/>
        </w:rPr>
        <w:t xml:space="preserve">我方自愿按照招标文件规定的各项要求向采购人提供所需货物和服务。我方的投标报价已</w:t>
      </w:r>
      <w:r>
        <w:rPr>
          <w:rFonts w:hint="eastAsia" w:ascii="宋体" w:hAnsi="宋体" w:eastAsia="宋体" w:cs="宋体"/>
          <w:color w:val="auto"/>
          <w:sz w:val="24"/>
          <w:highlight w:val="none"/>
        </w:rPr>
        <w:t xml:space="preserve">包括本项目所有货物的供货、辅助材料、人工、运输、检验、送货、保险、装卸、仓储、代理服务费、保管、各种税费及其他伴随服务等一切必须费用。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2、一旦我方中标，我们将严格履行招标文件中规定的每一项要求，按期、按质、按量履行合同的义务。</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4、我们同意按招标文件中的规定，本投标书的有效期限为自投标截止之日起____天。</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5、我们愿意提供招标采购单位在招标文件中要求的所有资料。</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6、我们愿意遵守招标公告及招标文件中所列的收费标准。</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7、我们承诺该项投标在开标后的全过程中保持有效，不作任何更改和变动。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通讯地址：邮政编码：</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二、法定代表人授权委托书</w:t>
      </w:r>
      <w:r/>
    </w:p>
    <w:p>
      <w:pPr>
        <w:ind w:firstLine="4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66"/>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（供应商名称）的法定代表人，现授权委托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（姓名）为我公司授权委托人（即代理人），以本公司的名义参加江苏海外集团国际工程咨询有限公司组织实施的编号为</w:t>
      </w:r>
      <w:r>
        <w:rPr>
          <w:rFonts w:hint="eastAsia" w:ascii="宋体" w:hAnsi="宋体" w:eastAsia="宋体" w:cs="宋体"/>
          <w:color w:val="auto"/>
          <w:szCs w:val="24"/>
          <w:highlight w:val="none"/>
          <w:u w:val="single"/>
        </w:rPr>
        <w:t xml:space="preserve">  （项目编号）   </w:t>
      </w:r>
      <w:r>
        <w:rPr>
          <w:rFonts w:hint="eastAsia" w:ascii="宋体" w:hAnsi="宋体" w:eastAsia="宋体" w:cs="宋体"/>
          <w:color w:val="auto"/>
          <w:szCs w:val="24"/>
          <w:highlight w:val="none"/>
        </w:rPr>
        <w:t xml:space="preserve">号的招标活动。代理人在开标、评标、合同谈判过程中所签署的一切文件和处理与这有关的一切事务，我均予以承认。</w:t>
      </w:r>
      <w:r/>
    </w:p>
    <w:p>
      <w:pPr>
        <w:pStyle w:val="766"/>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766"/>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代理人无转委托权。特此委托。</w:t>
      </w:r>
      <w:r/>
    </w:p>
    <w:p>
      <w:pPr>
        <w:pStyle w:val="766"/>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766"/>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供应商：（公章）</w:t>
      </w:r>
      <w:r/>
    </w:p>
    <w:p>
      <w:pPr>
        <w:pStyle w:val="766"/>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766"/>
        <w:ind w:firstLine="0"/>
        <w:spacing w:line="360" w:lineRule="auto"/>
        <w:rPr>
          <w:rFonts w:ascii="宋体" w:hAnsi="宋体" w:eastAsia="宋体" w:cs="宋体"/>
          <w:color w:val="auto"/>
          <w:sz w:val="21"/>
          <w:highlight w:val="none"/>
        </w:rPr>
      </w:pPr>
      <w:r>
        <w:rPr>
          <w:rFonts w:hint="eastAsia" w:ascii="宋体" w:hAnsi="宋体" w:eastAsia="宋体" w:cs="宋体"/>
          <w:color w:val="auto"/>
          <w:szCs w:val="24"/>
          <w:highlight w:val="none"/>
        </w:rPr>
        <w:t xml:space="preserve">代理人：（签字）</w:t>
      </w:r>
      <w:r>
        <w:rPr>
          <w:rFonts w:hint="eastAsia" w:ascii="宋体" w:hAnsi="宋体" w:eastAsia="宋体" w:cs="宋体"/>
          <w:color w:val="auto"/>
          <w:sz w:val="21"/>
          <w:highlight w:val="none"/>
        </w:rPr>
        <w:t xml:space="preserve"> </w:t>
      </w:r>
      <w:r/>
    </w:p>
    <w:p>
      <w:pPr>
        <w:pStyle w:val="766"/>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ind w:firstLine="420"/>
        <w:jc w:val="righ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20"/>
        <w:jc w:val="righ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after="312"/>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三、开标一览表</w:t>
      </w:r>
      <w:r/>
    </w:p>
    <w:tbl>
      <w:tblPr>
        <w:tblStyle w:val="79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420"/>
        <w:gridCol w:w="3522"/>
        <w:gridCol w:w="2212"/>
        <w:gridCol w:w="1711"/>
      </w:tblGrid>
      <w:tr>
        <w:trPr>
          <w:trHeight w:val="680"/>
        </w:trPr>
        <w:tc>
          <w:tcPr>
            <w:tcMar>
              <w:left w:w="108" w:type="dxa"/>
              <w:top w:w="0" w:type="dxa"/>
              <w:right w:w="108" w:type="dxa"/>
              <w:bottom w:w="0" w:type="dxa"/>
            </w:tcMar>
            <w:tcW w:w="336"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tcMar>
              <w:left w:w="108" w:type="dxa"/>
              <w:top w:w="0" w:type="dxa"/>
              <w:right w:w="108" w:type="dxa"/>
              <w:bottom w:w="0" w:type="dxa"/>
            </w:tcMar>
            <w:tcW w:w="747"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招标编号</w:t>
            </w:r>
            <w:r/>
          </w:p>
        </w:tc>
        <w:tc>
          <w:tcPr>
            <w:tcMar>
              <w:left w:w="108" w:type="dxa"/>
              <w:top w:w="0" w:type="dxa"/>
              <w:right w:w="108" w:type="dxa"/>
              <w:bottom w:w="0" w:type="dxa"/>
            </w:tcMar>
            <w:tcW w:w="1853"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项目名称</w:t>
            </w:r>
            <w:r/>
          </w:p>
          <w:p>
            <w:pPr>
              <w:jc w:val="center"/>
              <w:spacing w:line="400"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r>
            <w:r/>
          </w:p>
        </w:tc>
        <w:tc>
          <w:tcPr>
            <w:tcMar>
              <w:left w:w="108" w:type="dxa"/>
              <w:top w:w="0" w:type="dxa"/>
              <w:right w:w="108" w:type="dxa"/>
              <w:bottom w:w="0" w:type="dxa"/>
            </w:tcMar>
            <w:tcW w:w="116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投标总价（元）</w:t>
            </w:r>
            <w:r/>
          </w:p>
        </w:tc>
        <w:tc>
          <w:tcPr>
            <w:tcMar>
              <w:left w:w="108" w:type="dxa"/>
              <w:top w:w="0" w:type="dxa"/>
              <w:right w:w="108" w:type="dxa"/>
              <w:bottom w:w="0" w:type="dxa"/>
            </w:tcMar>
            <w:tcW w:w="898" w:type="pct"/>
            <w:vAlign w:val="center"/>
            <w:textDirection w:val="lrTb"/>
            <w:noWrap w:val="false"/>
          </w:tcPr>
          <w:p>
            <w:pPr>
              <w:jc w:val="both"/>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交货期限</w:t>
            </w:r>
            <w:r/>
          </w:p>
        </w:tc>
      </w:tr>
      <w:tr>
        <w:trPr>
          <w:trHeight w:val="981"/>
        </w:trPr>
        <w:tc>
          <w:tcPr>
            <w:tcMar>
              <w:left w:w="108" w:type="dxa"/>
              <w:top w:w="0" w:type="dxa"/>
              <w:right w:w="108" w:type="dxa"/>
              <w:bottom w:w="0" w:type="dxa"/>
            </w:tcMar>
            <w:tcW w:w="336"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747" w:type="pct"/>
            <w:vAlign w:val="center"/>
            <w:textDirection w:val="lrTb"/>
            <w:noWrap w:val="false"/>
          </w:tcPr>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853" w:type="pct"/>
            <w:vAlign w:val="center"/>
            <w:textDirection w:val="lrTb"/>
            <w:noWrap w:val="false"/>
          </w:tcPr>
          <w:p>
            <w:pPr>
              <w:jc w:val="both"/>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eastAsia="宋体"/>
                <w:color w:val="auto"/>
                <w:highlight w:val="none"/>
              </w:rPr>
            </w:r>
            <w:r/>
          </w:p>
        </w:tc>
        <w:tc>
          <w:tcPr>
            <w:tcMar>
              <w:left w:w="108" w:type="dxa"/>
              <w:top w:w="0" w:type="dxa"/>
              <w:right w:w="108" w:type="dxa"/>
              <w:bottom w:w="0" w:type="dxa"/>
            </w:tcMar>
            <w:tcW w:w="1164" w:type="pct"/>
            <w:vAlign w:val="center"/>
            <w:textDirection w:val="lrTb"/>
            <w:noWrap w:val="false"/>
          </w:tcPr>
          <w:p>
            <w:pPr>
              <w:ind w:firstLine="120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98" w:type="pct"/>
            <w:vAlign w:val="center"/>
            <w:textDirection w:val="lrTb"/>
            <w:noWrap w:val="false"/>
          </w:tcPr>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投标总价（人民币大写：</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r>
    </w:tbl>
    <w:p>
      <w:pPr>
        <w:jc w:val="both"/>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2"/>
        <w:jc w:val="both"/>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注：1.报价金额全部采取人民币表示，响应报价精确到分。</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2.本表投标总价须与苏采云系统内填报的投标总价一致，如不一致，以苏采云系统内填报的投标总价为准。</w:t>
      </w:r>
      <w:r/>
    </w:p>
    <w:p>
      <w:pPr>
        <w:ind w:firstLine="482"/>
        <w:jc w:val="both"/>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名称：（盖章）</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法定代表人或代理人（签字或盖章）：</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四、</w:t>
      </w:r>
      <w:r>
        <w:rPr>
          <w:rFonts w:hint="eastAsia" w:ascii="宋体" w:hAnsi="宋体" w:eastAsia="宋体" w:cs="宋体"/>
          <w:b/>
          <w:color w:val="auto"/>
          <w:sz w:val="30"/>
          <w:highlight w:val="none"/>
        </w:rPr>
        <w:t xml:space="preserve">货物清单表</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货物清单表</w:t>
      </w:r>
      <w:r>
        <w:rPr>
          <w:rFonts w:ascii="宋体" w:hAnsi="宋体" w:eastAsia="宋体" w:cs="宋体"/>
          <w:color w:val="auto"/>
          <w:sz w:val="24"/>
          <w:highlight w:val="none"/>
        </w:rPr>
        <w:t xml:space="preserve">（格式）</w:t>
      </w:r>
      <w:r/>
    </w:p>
    <w:p>
      <w:pPr>
        <w:jc w:val="both"/>
        <w:spacing w:after="156"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0"/>
          <w:sz w:val="24"/>
          <w:highlight w:val="none"/>
        </w:rPr>
        <w:t xml:space="preserve">招标编号：</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799"/>
        <w:gridCol w:w="916"/>
        <w:gridCol w:w="1875"/>
        <w:gridCol w:w="838"/>
        <w:gridCol w:w="981"/>
        <w:gridCol w:w="772"/>
        <w:gridCol w:w="903"/>
        <w:gridCol w:w="838"/>
        <w:gridCol w:w="913"/>
      </w:tblGrid>
      <w:tr>
        <w:trPr>
          <w:trHeight w:val="454"/>
        </w:trPr>
        <w:tc>
          <w:tcPr>
            <w:tcMar>
              <w:left w:w="108" w:type="dxa"/>
              <w:top w:w="0" w:type="dxa"/>
              <w:right w:w="108" w:type="dxa"/>
              <w:bottom w:w="0" w:type="dxa"/>
            </w:tcMar>
            <w:tcW w:w="353"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品牌</w:t>
            </w:r>
            <w:r>
              <w:rPr>
                <w:rFonts w:hint="eastAsia" w:ascii="宋体" w:hAnsi="宋体" w:eastAsia="宋体" w:cs="宋体"/>
                <w:color w:val="auto"/>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w:t>
            </w:r>
            <w:r>
              <w:rPr>
                <w:rFonts w:hint="eastAsia" w:ascii="宋体" w:hAnsi="宋体" w:eastAsia="宋体" w:cs="宋体"/>
                <w:color w:val="auto"/>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20"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8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51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7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454"/>
        </w:trPr>
        <w:tc>
          <w:tcPr>
            <w:tcMar>
              <w:left w:w="108" w:type="dxa"/>
              <w:top w:w="0" w:type="dxa"/>
              <w:right w:w="108" w:type="dxa"/>
              <w:bottom w:w="0" w:type="dxa"/>
            </w:tcMar>
            <w:tcW w:w="353"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20"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8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51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7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454"/>
        </w:trPr>
        <w:tc>
          <w:tcPr>
            <w:tcMar>
              <w:left w:w="108" w:type="dxa"/>
              <w:top w:w="0" w:type="dxa"/>
              <w:right w:w="108" w:type="dxa"/>
              <w:bottom w:w="0" w:type="dxa"/>
            </w:tcMar>
            <w:tcW w:w="353"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20"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8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51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7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454"/>
        </w:trPr>
        <w:tc>
          <w:tcPr>
            <w:tcMar>
              <w:left w:w="108" w:type="dxa"/>
              <w:top w:w="0" w:type="dxa"/>
              <w:right w:w="108" w:type="dxa"/>
              <w:bottom w:w="0" w:type="dxa"/>
            </w:tcMar>
            <w:tcW w:w="353"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20"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8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51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7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454"/>
        </w:trPr>
        <w:tc>
          <w:tcPr>
            <w:tcMar>
              <w:left w:w="108" w:type="dxa"/>
              <w:top w:w="0" w:type="dxa"/>
              <w:right w:w="108" w:type="dxa"/>
              <w:bottom w:w="0" w:type="dxa"/>
            </w:tcMar>
            <w:tcW w:w="353"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20"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8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51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7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454"/>
        </w:trPr>
        <w:tc>
          <w:tcPr>
            <w:tcMar>
              <w:left w:w="108" w:type="dxa"/>
              <w:top w:w="0" w:type="dxa"/>
              <w:right w:w="108" w:type="dxa"/>
              <w:bottom w:w="0" w:type="dxa"/>
            </w:tcMar>
            <w:tcW w:w="353"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20"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8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51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76"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20"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82"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98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41"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51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47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合计金额：</w:t>
            </w:r>
            <w:r>
              <w:rPr>
                <w:rFonts w:hint="eastAsia" w:ascii="宋体" w:hAnsi="宋体" w:eastAsia="宋体" w:cs="宋体"/>
                <w:color w:val="auto"/>
                <w:sz w:val="24"/>
                <w:highlight w:val="none"/>
                <w:u w:val="single"/>
              </w:rPr>
              <w:t xml:space="preserve">人民币大写        （￥          ）</w:t>
            </w:r>
            <w:r/>
          </w:p>
        </w:tc>
      </w:tr>
    </w:tbl>
    <w:p>
      <w:pPr>
        <w:ind w:firstLine="480"/>
        <w:spacing w:line="360" w:lineRule="auto"/>
        <w:tabs>
          <w:tab w:val="left" w:pos="7560" w:leader="none"/>
        </w:tabs>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tabs>
          <w:tab w:val="left" w:pos="75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注：1.各供应商可按照招标文件要求参照上述格式自制《货物清单表》投标</w:t>
      </w:r>
      <w:r>
        <w:rPr>
          <w:rFonts w:hint="eastAsia" w:ascii="宋体" w:hAnsi="宋体" w:cs="宋体"/>
          <w:bCs/>
          <w:color w:val="auto"/>
          <w:sz w:val="24"/>
          <w:szCs w:val="24"/>
          <w:highlight w:val="none"/>
        </w:rPr>
        <w:t xml:space="preserve">，根据自身情况</w:t>
      </w:r>
      <w:r>
        <w:rPr>
          <w:rFonts w:hint="eastAsia" w:ascii="宋体" w:hAnsi="宋体" w:cs="宋体"/>
          <w:color w:val="auto"/>
          <w:sz w:val="24"/>
          <w:szCs w:val="24"/>
          <w:highlight w:val="none"/>
        </w:rPr>
        <w:t xml:space="preserve">详细报出分项</w:t>
      </w:r>
      <w:r>
        <w:rPr>
          <w:rFonts w:hint="eastAsia" w:ascii="宋体" w:hAnsi="宋体" w:eastAsia="宋体" w:cs="宋体"/>
          <w:color w:val="auto"/>
          <w:sz w:val="24"/>
          <w:szCs w:val="24"/>
          <w:highlight w:val="none"/>
        </w:rPr>
        <w:t xml:space="preserve">价格，但不得修改实质性内容</w:t>
      </w:r>
      <w:r>
        <w:rPr>
          <w:rFonts w:hint="eastAsia" w:ascii="宋体" w:hAnsi="宋体" w:cs="宋体"/>
          <w:color w:val="auto"/>
          <w:sz w:val="24"/>
          <w:szCs w:val="24"/>
          <w:highlight w:val="none"/>
        </w:rPr>
        <w:t xml:space="preserve">。</w:t>
      </w:r>
      <w:r/>
    </w:p>
    <w:p>
      <w:pPr>
        <w:ind w:firstLine="480"/>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w:t>
      </w:r>
      <w:r>
        <w:rPr>
          <w:rFonts w:hint="eastAsia" w:ascii="宋体" w:hAnsi="宋体" w:eastAsia="宋体" w:cs="宋体"/>
          <w:color w:val="auto"/>
          <w:sz w:val="24"/>
          <w:szCs w:val="24"/>
          <w:highlight w:val="none"/>
          <w:lang w:val="en-US" w:eastAsia="zh-CN"/>
        </w:rPr>
        <w:t xml:space="preserve">谋取</w:t>
      </w:r>
      <w:r>
        <w:rPr>
          <w:rFonts w:hint="eastAsia" w:ascii="宋体" w:hAnsi="宋体" w:eastAsia="宋体" w:cs="宋体"/>
          <w:color w:val="auto"/>
          <w:sz w:val="24"/>
          <w:szCs w:val="24"/>
          <w:highlight w:val="none"/>
        </w:rPr>
        <w:t xml:space="preserve">入围的，按“政府采购法”相关规定处理。</w:t>
      </w:r>
      <w:r/>
    </w:p>
    <w:p>
      <w:pPr>
        <w:ind w:firstLine="480"/>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（公章）：</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法定代表人或代理人：（签字或签章）</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日</w:t>
      </w:r>
      <w:r/>
    </w:p>
    <w:p>
      <w:pPr>
        <w:ind w:firstLine="480"/>
        <w:jc w:val="both"/>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ind w:firstLine="1807"/>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firstLine="1808"/>
        <w:jc w:val="both"/>
        <w:spacing w:after="312"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五、投入的实施、交货、安装、验收方案</w:t>
      </w:r>
      <w:r/>
    </w:p>
    <w:tbl>
      <w:tblPr>
        <w:tblStyle w:val="7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w:t>
            </w:r>
            <w:r>
              <w:rPr>
                <w:rFonts w:hint="eastAsia" w:ascii="宋体" w:hAnsi="宋体" w:eastAsia="宋体" w:cs="宋体"/>
                <w:color w:val="auto"/>
                <w:sz w:val="24"/>
                <w:szCs w:val="24"/>
                <w:highlight w:val="none"/>
              </w:rPr>
              <w:t xml:space="preserve">示：</w:t>
            </w:r>
            <w:r/>
          </w:p>
          <w:p>
            <w:pPr>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1、供应商应针对本次采购项目特点编写中标后拟投入的实施、交货、安装、验收方案及相关保证措施等；</w:t>
            </w:r>
            <w:r/>
          </w:p>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2、供应商可根据自身情况编</w:t>
            </w:r>
            <w:r>
              <w:rPr>
                <w:rFonts w:ascii="宋体" w:hAnsi="宋体" w:eastAsia="宋体" w:cs="宋体"/>
                <w:color w:val="auto"/>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rFonts w:ascii="Times New Roman" w:hAnsi="Times New Roman" w:eastAsia="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38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名称：（盖章）</w:t>
            </w:r>
            <w:r/>
          </w:p>
          <w:p>
            <w:pPr>
              <w:ind w:firstLine="21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570"/>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六、拟用于本项目人员名单</w:t>
      </w:r>
      <w:r/>
    </w:p>
    <w:p>
      <w:pPr>
        <w:ind w:firstLine="4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after="156"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招标编号：</w:t>
      </w:r>
      <w:r/>
    </w:p>
    <w:tbl>
      <w:tblPr>
        <w:tblStyle w:val="79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7"/>
        <w:gridCol w:w="763"/>
        <w:gridCol w:w="776"/>
        <w:gridCol w:w="1246"/>
        <w:gridCol w:w="1471"/>
        <w:gridCol w:w="1463"/>
        <w:gridCol w:w="1594"/>
        <w:gridCol w:w="1604"/>
      </w:tblGrid>
      <w:tr>
        <w:trPr>
          <w:trHeight w:val="525"/>
        </w:trPr>
        <w:tc>
          <w:tcPr>
            <w:tcMar>
              <w:left w:w="108" w:type="dxa"/>
              <w:top w:w="0" w:type="dxa"/>
              <w:right w:w="108" w:type="dxa"/>
              <w:bottom w:w="0" w:type="dxa"/>
            </w:tcMar>
            <w:tcW w:w="309"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Mar>
              <w:left w:w="108" w:type="dxa"/>
              <w:top w:w="0" w:type="dxa"/>
              <w:right w:w="108" w:type="dxa"/>
              <w:bottom w:w="0" w:type="dxa"/>
            </w:tcMar>
            <w:tcW w:w="401"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p>
        </w:tc>
        <w:tc>
          <w:tcPr>
            <w:tcMar>
              <w:left w:w="108" w:type="dxa"/>
              <w:top w:w="0" w:type="dxa"/>
              <w:right w:w="108" w:type="dxa"/>
              <w:bottom w:w="0" w:type="dxa"/>
            </w:tcMar>
            <w:tcW w:w="408" w:type="pct"/>
            <w:vAlign w:val="center"/>
            <w:textDirection w:val="lrTb"/>
            <w:noWrap w:val="false"/>
          </w:tcPr>
          <w:p>
            <w:pPr>
              <w:jc w:val="cente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性别</w:t>
            </w:r>
            <w:r/>
          </w:p>
        </w:tc>
        <w:tc>
          <w:tcPr>
            <w:tcMar>
              <w:left w:w="108" w:type="dxa"/>
              <w:top w:w="0" w:type="dxa"/>
              <w:right w:w="108" w:type="dxa"/>
              <w:bottom w:w="0" w:type="dxa"/>
            </w:tcMar>
            <w:tcW w:w="655" w:type="pct"/>
            <w:vAlign w:val="center"/>
            <w:textDirection w:val="lrTb"/>
            <w:noWrap w:val="false"/>
          </w:tcPr>
          <w:p>
            <w:pPr>
              <w:jc w:val="cente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年龄</w:t>
            </w:r>
            <w:r/>
          </w:p>
        </w:tc>
        <w:tc>
          <w:tcPr>
            <w:tcMar>
              <w:left w:w="108" w:type="dxa"/>
              <w:top w:w="0" w:type="dxa"/>
              <w:right w:w="108" w:type="dxa"/>
              <w:bottom w:w="0" w:type="dxa"/>
            </w:tcMar>
            <w:tcW w:w="773" w:type="pct"/>
            <w:vAlign w:val="center"/>
            <w:textDirection w:val="lrTb"/>
            <w:noWrap w:val="false"/>
          </w:tcPr>
          <w:p>
            <w:pPr>
              <w:jc w:val="cente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在本项目中的岗位</w:t>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工作年限</w:t>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曾</w:t>
            </w:r>
            <w:r>
              <w:rPr>
                <w:rFonts w:hint="eastAsia" w:ascii="宋体" w:hAnsi="宋体" w:eastAsia="宋体" w:cs="宋体"/>
                <w:color w:val="auto"/>
                <w:sz w:val="24"/>
                <w:highlight w:val="none"/>
              </w:rPr>
              <w:t xml:space="preserve">参与过</w:t>
            </w:r>
            <w:r>
              <w:rPr>
                <w:rFonts w:ascii="宋体" w:hAnsi="宋体" w:eastAsia="宋体" w:cs="宋体"/>
                <w:color w:val="auto"/>
                <w:sz w:val="24"/>
                <w:highlight w:val="none"/>
              </w:rPr>
              <w:t xml:space="preserve">的</w:t>
            </w:r>
            <w:r>
              <w:rPr>
                <w:rFonts w:hint="eastAsia" w:ascii="宋体" w:hAnsi="宋体" w:eastAsia="宋体" w:cs="宋体"/>
                <w:color w:val="auto"/>
                <w:sz w:val="24"/>
                <w:highlight w:val="none"/>
              </w:rPr>
              <w:t xml:space="preserve">类似项目</w:t>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在曾</w:t>
            </w:r>
            <w:r>
              <w:rPr>
                <w:rFonts w:hint="eastAsia" w:ascii="宋体" w:hAnsi="宋体" w:eastAsia="宋体" w:cs="宋体"/>
                <w:color w:val="auto"/>
                <w:sz w:val="24"/>
                <w:highlight w:val="none"/>
              </w:rPr>
              <w:t xml:space="preserve">参与过</w:t>
            </w:r>
            <w:r>
              <w:rPr>
                <w:rFonts w:ascii="宋体" w:hAnsi="宋体" w:eastAsia="宋体" w:cs="宋体"/>
                <w:color w:val="auto"/>
                <w:sz w:val="24"/>
                <w:highlight w:val="none"/>
              </w:rPr>
              <w:t xml:space="preserve">的</w:t>
            </w:r>
            <w:r>
              <w:rPr>
                <w:rFonts w:hint="eastAsia" w:ascii="宋体" w:hAnsi="宋体" w:eastAsia="宋体" w:cs="宋体"/>
                <w:color w:val="auto"/>
                <w:sz w:val="24"/>
                <w:highlight w:val="none"/>
              </w:rPr>
              <w:t xml:space="preserve">项目</w:t>
            </w:r>
            <w:r>
              <w:rPr>
                <w:rFonts w:ascii="宋体" w:hAnsi="宋体" w:eastAsia="宋体" w:cs="宋体"/>
                <w:color w:val="auto"/>
                <w:sz w:val="24"/>
                <w:highlight w:val="none"/>
              </w:rPr>
              <w:t xml:space="preserve">中担任的职务</w:t>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915"/>
        </w:trPr>
        <w:tc>
          <w:tcPr>
            <w:tcMar>
              <w:left w:w="108" w:type="dxa"/>
              <w:top w:w="0" w:type="dxa"/>
              <w:right w:w="108" w:type="dxa"/>
              <w:bottom w:w="0" w:type="dxa"/>
            </w:tcMar>
            <w:tcW w:w="309" w:type="pct"/>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1" w:type="pct"/>
            <w:vAlign w:val="center"/>
            <w:textDirection w:val="lrTb"/>
            <w:noWrap w:val="false"/>
          </w:tcPr>
          <w:p>
            <w:pP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08"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655"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73" w:type="pct"/>
            <w:vAlign w:val="center"/>
            <w:textDirection w:val="lrTb"/>
            <w:noWrap w:val="false"/>
          </w:tcPr>
          <w:p>
            <w:pPr>
              <w:spacing w:before="200" w:after="20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769"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38"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43" w:type="pct"/>
            <w:vAlign w:val="center"/>
            <w:textDirection w:val="lrTb"/>
            <w:noWrap w:val="false"/>
          </w:tcPr>
          <w:p>
            <w:pPr>
              <w:jc w:val="center"/>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spacing w:line="85" w:lineRule="atLeast"/>
        <w:rPr>
          <w:rFonts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rPr>
          <w:rFonts w:ascii="宋体" w:hAnsi="宋体" w:eastAsia="宋体" w:cs="宋体"/>
          <w:color w:val="auto"/>
          <w:sz w:val="28"/>
          <w:highlight w:val="none"/>
        </w:rPr>
      </w:pPr>
      <w:r>
        <w:rPr>
          <w:rFonts w:ascii="宋体" w:hAnsi="宋体" w:eastAsia="宋体" w:cs="宋体"/>
          <w:color w:val="auto"/>
          <w:sz w:val="28"/>
          <w:highlight w:val="none"/>
        </w:rPr>
        <w:br w:type="page" w:clear="all"/>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七、资格证明文件</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7.1关于资格文件的声明函</w:t>
      </w:r>
      <w:r/>
    </w:p>
    <w:p>
      <w:pPr>
        <w:ind w:firstLine="420"/>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20"/>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（采购代理机构名称）</w:t>
      </w:r>
      <w:r>
        <w:rPr>
          <w:rFonts w:ascii="宋体" w:hAnsi="宋体" w:eastAsia="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本公司愿就由贵公司组织实施的编号为</w:t>
      </w:r>
      <w:r>
        <w:rPr>
          <w:rFonts w:ascii="宋体" w:hAnsi="宋体" w:eastAsia="宋体" w:cs="宋体"/>
          <w:color w:val="auto"/>
          <w:sz w:val="24"/>
          <w:highlight w:val="none"/>
          <w:u w:val="single"/>
        </w:rPr>
        <w:t xml:space="preserve">（招标编号）</w:t>
      </w:r>
      <w:r>
        <w:rPr>
          <w:rFonts w:ascii="宋体" w:hAnsi="宋体" w:eastAsia="宋体" w:cs="宋体"/>
          <w:color w:val="auto"/>
          <w:sz w:val="24"/>
          <w:highlight w:val="none"/>
        </w:rPr>
        <w:t xml:space="preserve">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我方已知晓</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文件要求并认真审核自身情况，在此郑重声明，我方遵守如下条款的规定：</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（1）单位负责人为同一人或者存在直接控股、管理关系的不同供应商，不得参加同一合同项下的政府采购活动。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本声明如有虚假或不实之处，我方将失去合格供应商资格。</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）法定代表人（签字或盖章）：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：（单位盖章）：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日</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7.2投标供应商与其他单位存在控股、管理关系情况表</w:t>
      </w:r>
      <w:r/>
    </w:p>
    <w:p>
      <w:pPr>
        <w:ind w:firstLine="482"/>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投标供应商与其他单位存在控股、管理关系情况表</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招标编号</w:t>
      </w:r>
      <w:r>
        <w:rPr>
          <w:rFonts w:ascii="宋体" w:hAnsi="宋体" w:eastAsia="宋体" w:cs="宋体"/>
          <w:color w:val="auto"/>
          <w:sz w:val="24"/>
          <w:highlight w:val="none"/>
        </w:rPr>
        <w:t xml:space="preserve">：</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665" w:type="dxa"/>
            <w:textDirection w:val="lrTb"/>
            <w:noWrap w:val="false"/>
          </w:tcPr>
          <w:p>
            <w:pPr>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665" w:type="dxa"/>
            <w:textDirection w:val="lrTb"/>
            <w:noWrap w:val="false"/>
          </w:tcPr>
          <w:p>
            <w:pPr>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665" w:type="dxa"/>
            <w:textDirection w:val="lrTb"/>
            <w:noWrap w:val="false"/>
          </w:tcPr>
          <w:p>
            <w:pPr>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ind w:firstLine="480"/>
        <w:jc w:val="both"/>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注：供应商须如实填写所有与之有控股管理关系的情况。</w:t>
      </w:r>
      <w:r/>
    </w:p>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投标供应商：（单位盖章）</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法定代表人或代理人：（签字或签章）</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日</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after="156"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八、</w:t>
      </w:r>
      <w:r>
        <w:rPr>
          <w:rFonts w:hint="eastAsia" w:ascii="宋体" w:hAnsi="宋体" w:eastAsia="宋体" w:cs="宋体"/>
          <w:b/>
          <w:color w:val="auto"/>
          <w:sz w:val="30"/>
          <w:highlight w:val="none"/>
        </w:rPr>
        <w:t xml:space="preserve">供应商</w:t>
      </w:r>
      <w:r>
        <w:rPr>
          <w:rFonts w:ascii="宋体" w:hAnsi="宋体" w:eastAsia="宋体" w:cs="宋体"/>
          <w:b/>
          <w:color w:val="auto"/>
          <w:sz w:val="30"/>
          <w:highlight w:val="none"/>
        </w:rPr>
        <w:t xml:space="preserve">基本情况表</w:t>
      </w:r>
      <w:r/>
    </w:p>
    <w:tbl>
      <w:tblPr>
        <w:tblStyle w:val="764"/>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741"/>
        <w:gridCol w:w="1999"/>
        <w:gridCol w:w="1509"/>
        <w:gridCol w:w="1988"/>
        <w:gridCol w:w="1273"/>
      </w:tblGrid>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法定代表人</w:t>
            </w:r>
            <w:r/>
          </w:p>
        </w:tc>
        <w:tc>
          <w:tcPr>
            <w:tcW w:w="1051"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c>
          <w:tcPr>
            <w:tcW w:w="793"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成立日期</w:t>
            </w:r>
            <w:r/>
          </w:p>
        </w:tc>
        <w:tc>
          <w:tcPr>
            <w:gridSpan w:val="2"/>
            <w:tcW w:w="1714"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企业地址</w:t>
            </w:r>
            <w:r/>
          </w:p>
        </w:tc>
        <w:tc>
          <w:tcPr>
            <w:tcW w:w="1051"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c>
          <w:tcPr>
            <w:tcW w:w="793"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注册资本</w:t>
            </w:r>
            <w:r/>
          </w:p>
        </w:tc>
        <w:tc>
          <w:tcPr>
            <w:gridSpan w:val="2"/>
            <w:tcW w:w="1714" w:type="pct"/>
            <w:textDirection w:val="lrTb"/>
            <w:noWrap w:val="false"/>
          </w:tcPr>
          <w:p>
            <w:pPr>
              <w:pStyle w:val="766"/>
              <w:ind w:firstLine="960"/>
              <w:rPr>
                <w:rFonts w:ascii="宋体" w:hAnsi="宋体" w:eastAsia="宋体" w:cs="宋体"/>
                <w:color w:val="auto"/>
                <w:highlight w:val="none"/>
              </w:rPr>
            </w:pPr>
            <w:r>
              <w:rPr>
                <w:rFonts w:hint="eastAsia" w:ascii="宋体" w:hAnsi="宋体" w:eastAsia="宋体" w:cs="宋体"/>
                <w:color w:val="auto"/>
                <w:highlight w:val="none"/>
              </w:rPr>
              <w:t xml:space="preserve">万元</w:t>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经营范围</w:t>
            </w:r>
            <w:r/>
          </w:p>
        </w:tc>
        <w:tc>
          <w:tcPr>
            <w:gridSpan w:val="4"/>
            <w:tcW w:w="3558"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职工人数</w:t>
            </w:r>
            <w:r/>
          </w:p>
        </w:tc>
        <w:tc>
          <w:tcPr>
            <w:tcW w:w="1051"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c>
          <w:tcPr>
            <w:gridSpan w:val="2"/>
            <w:tcW w:w="1838"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其中：有中高级以上职称的人数</w:t>
            </w:r>
            <w:r/>
          </w:p>
        </w:tc>
        <w:tc>
          <w:tcPr>
            <w:tcW w:w="668"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vAlign w:val="center"/>
            <w:textDirection w:val="lrTb"/>
            <w:noWrap w:val="false"/>
          </w:tcPr>
          <w:p>
            <w:pPr>
              <w:pStyle w:val="766"/>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资产总计</w:t>
            </w:r>
            <w:r/>
          </w:p>
        </w:tc>
        <w:tc>
          <w:tcPr>
            <w:tcW w:w="1051" w:type="pct"/>
            <w:vAlign w:val="center"/>
            <w:textDirection w:val="lrTb"/>
            <w:noWrap w:val="false"/>
          </w:tcPr>
          <w:p>
            <w:pPr>
              <w:pStyle w:val="766"/>
              <w:ind w:firstLine="0"/>
              <w:jc w:val="center"/>
              <w:rPr>
                <w:rFonts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p>
        </w:tc>
        <w:tc>
          <w:tcPr>
            <w:tcW w:w="793" w:type="pct"/>
            <w:vAlign w:val="center"/>
            <w:textDirection w:val="lrTb"/>
            <w:noWrap w:val="false"/>
          </w:tcPr>
          <w:p>
            <w:pPr>
              <w:pStyle w:val="766"/>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净资产</w:t>
            </w:r>
            <w:r/>
          </w:p>
        </w:tc>
        <w:tc>
          <w:tcPr>
            <w:gridSpan w:val="2"/>
            <w:tcW w:w="1714" w:type="pct"/>
            <w:vAlign w:val="center"/>
            <w:textDirection w:val="lrTb"/>
            <w:noWrap w:val="false"/>
          </w:tcPr>
          <w:p>
            <w:pPr>
              <w:pStyle w:val="766"/>
              <w:ind w:firstLine="0"/>
              <w:jc w:val="center"/>
              <w:rPr>
                <w:rFonts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p>
        </w:tc>
      </w:tr>
      <w:tr>
        <w:trPr>
          <w:cantSplit/>
        </w:trPr>
        <w:tc>
          <w:tcPr>
            <w:tcW w:w="1441" w:type="pct"/>
            <w:vAlign w:val="center"/>
            <w:textDirection w:val="lrTb"/>
            <w:noWrap w:val="false"/>
          </w:tcPr>
          <w:p>
            <w:pPr>
              <w:pStyle w:val="766"/>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股东权益</w:t>
            </w:r>
            <w:r/>
          </w:p>
        </w:tc>
        <w:tc>
          <w:tcPr>
            <w:tcW w:w="1051" w:type="pct"/>
            <w:vAlign w:val="center"/>
            <w:textDirection w:val="lrTb"/>
            <w:noWrap w:val="false"/>
          </w:tcPr>
          <w:p>
            <w:pPr>
              <w:pStyle w:val="766"/>
              <w:ind w:firstLine="0"/>
              <w:jc w:val="center"/>
              <w:rPr>
                <w:rFonts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p>
        </w:tc>
        <w:tc>
          <w:tcPr>
            <w:tcW w:w="793" w:type="pct"/>
            <w:vAlign w:val="center"/>
            <w:textDirection w:val="lrTb"/>
            <w:noWrap w:val="false"/>
          </w:tcPr>
          <w:p>
            <w:pPr>
              <w:pStyle w:val="766"/>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销售收入</w:t>
            </w:r>
            <w:r/>
          </w:p>
        </w:tc>
        <w:tc>
          <w:tcPr>
            <w:gridSpan w:val="2"/>
            <w:tcW w:w="1714" w:type="pct"/>
            <w:vAlign w:val="center"/>
            <w:textDirection w:val="lrTb"/>
            <w:noWrap w:val="false"/>
          </w:tcPr>
          <w:p>
            <w:pPr>
              <w:pStyle w:val="766"/>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202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实现利润</w:t>
            </w:r>
            <w:r/>
          </w:p>
        </w:tc>
        <w:tc>
          <w:tcPr>
            <w:tcW w:w="105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202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  万元</w:t>
            </w:r>
            <w:r/>
          </w:p>
        </w:tc>
        <w:tc>
          <w:tcPr>
            <w:tcW w:w="793"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c>
          <w:tcPr>
            <w:gridSpan w:val="2"/>
            <w:tcW w:w="1714"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营业面积（含厂房面积）</w:t>
            </w:r>
            <w:r/>
          </w:p>
        </w:tc>
        <w:tc>
          <w:tcPr>
            <w:tcW w:w="1051" w:type="pct"/>
            <w:vAlign w:val="center"/>
            <w:textDirection w:val="lrTb"/>
            <w:noWrap w:val="false"/>
          </w:tcPr>
          <w:p>
            <w:pPr>
              <w:pStyle w:val="766"/>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        平方米</w:t>
            </w:r>
            <w:r/>
          </w:p>
        </w:tc>
        <w:tc>
          <w:tcPr>
            <w:tcW w:w="793"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其中：</w:t>
            </w:r>
            <w:r/>
          </w:p>
        </w:tc>
        <w:tc>
          <w:tcPr>
            <w:gridSpan w:val="2"/>
            <w:tcW w:w="1714"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自有面积</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平方米</w:t>
            </w:r>
            <w:r/>
          </w:p>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承租面积</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平方米</w:t>
            </w:r>
            <w:r/>
          </w:p>
        </w:tc>
      </w:tr>
      <w:tr>
        <w:trPr>
          <w:cantSplit/>
          <w:trHeight w:val="747"/>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单位简历及内设机构情况</w:t>
            </w:r>
            <w:r/>
          </w:p>
        </w:tc>
        <w:tc>
          <w:tcPr>
            <w:gridSpan w:val="4"/>
            <w:tcW w:w="3558"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单位优势及特长</w:t>
            </w:r>
            <w:r/>
          </w:p>
        </w:tc>
        <w:tc>
          <w:tcPr>
            <w:gridSpan w:val="4"/>
            <w:tcW w:w="3558"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是否处于被行政或司法机关责令停业或停止承接工程任务或停止投标资格</w:t>
            </w:r>
            <w:r/>
          </w:p>
        </w:tc>
        <w:tc>
          <w:tcPr>
            <w:gridSpan w:val="4"/>
            <w:tcW w:w="3558"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最近2年内在经营过程中受到何种奖励或处分（包括情况和结果）</w:t>
            </w:r>
            <w:r/>
          </w:p>
        </w:tc>
        <w:tc>
          <w:tcPr>
            <w:gridSpan w:val="4"/>
            <w:tcW w:w="3558"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最近3年内主要负责人有无因经济犯罪被司法机关追究的情况及说明</w:t>
            </w:r>
            <w:r/>
          </w:p>
        </w:tc>
        <w:tc>
          <w:tcPr>
            <w:gridSpan w:val="4"/>
            <w:tcW w:w="3558"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获得技术认证的工程师及简介</w:t>
            </w:r>
            <w:r/>
          </w:p>
        </w:tc>
        <w:tc>
          <w:tcPr>
            <w:gridSpan w:val="4"/>
            <w:tcW w:w="3558"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r>
        <w:trPr>
          <w:cantSplit/>
          <w:trHeight w:val="560"/>
        </w:trPr>
        <w:tc>
          <w:tcPr>
            <w:tcW w:w="1441" w:type="pct"/>
            <w:textDirection w:val="lrTb"/>
            <w:noWrap w:val="false"/>
          </w:tcPr>
          <w:p>
            <w:pPr>
              <w:pStyle w:val="766"/>
              <w:ind w:firstLine="0"/>
              <w:rPr>
                <w:rFonts w:ascii="宋体" w:hAnsi="宋体" w:eastAsia="宋体" w:cs="宋体"/>
                <w:color w:val="auto"/>
                <w:highlight w:val="none"/>
              </w:rPr>
            </w:pPr>
            <w:r>
              <w:rPr>
                <w:rFonts w:hint="eastAsia" w:ascii="宋体" w:hAnsi="宋体" w:eastAsia="宋体" w:cs="宋体"/>
                <w:color w:val="auto"/>
                <w:highlight w:val="none"/>
              </w:rPr>
              <w:t xml:space="preserve">其他需要说明的情况</w:t>
            </w:r>
            <w:r/>
          </w:p>
        </w:tc>
        <w:tc>
          <w:tcPr>
            <w:gridSpan w:val="4"/>
            <w:tcW w:w="3558" w:type="pct"/>
            <w:textDirection w:val="lrTb"/>
            <w:noWrap w:val="false"/>
          </w:tcPr>
          <w:p>
            <w:pPr>
              <w:pStyle w:val="766"/>
              <w:ind w:firstLine="0"/>
              <w:rPr>
                <w:rFonts w:ascii="宋体" w:hAnsi="宋体" w:eastAsia="宋体" w:cs="宋体"/>
                <w:color w:val="auto"/>
                <w:highlight w:val="none"/>
              </w:rPr>
            </w:pPr>
            <w:r>
              <w:rPr>
                <w:rFonts w:ascii="宋体" w:hAnsi="宋体" w:eastAsia="宋体" w:cs="宋体"/>
                <w:color w:val="auto"/>
                <w:highlight w:val="none"/>
              </w:rPr>
            </w:r>
            <w:r/>
          </w:p>
        </w:tc>
      </w:tr>
    </w:tbl>
    <w:p>
      <w:pPr>
        <w:jc w:val="both"/>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（本页不够可另加页附后）</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名称：（盖章）</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法定代表人或代理人（签字或盖章）：</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投标日期</w:t>
      </w:r>
      <w:r>
        <w:rPr>
          <w:rFonts w:hint="eastAsia" w:ascii="宋体" w:hAnsi="宋体" w:eastAsia="宋体" w:cs="宋体"/>
          <w:color w:val="auto"/>
          <w:sz w:val="24"/>
          <w:highlight w:val="none"/>
        </w:rPr>
        <w:t xml:space="preserve">：</w:t>
      </w:r>
      <w:r>
        <w:rPr>
          <w:color w:val="auto"/>
          <w:highlight w:val="none"/>
        </w:rPr>
        <w:br w:type="page" w:clear="all"/>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九、技术规格、商务偏离表</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24"/>
          <w:highlight w:val="none"/>
        </w:rPr>
        <w:t xml:space="preserve">（一）技术规格偏离表</w:t>
      </w:r>
      <w:r/>
    </w:p>
    <w:p>
      <w:pPr>
        <w:jc w:val="both"/>
        <w:spacing w:line="38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2150"/>
        <w:gridCol w:w="2122"/>
        <w:gridCol w:w="2124"/>
        <w:gridCol w:w="2124"/>
      </w:tblGrid>
      <w:tr>
        <w:trPr/>
        <w:tc>
          <w:tcPr>
            <w:tcMar>
              <w:left w:w="108" w:type="dxa"/>
              <w:top w:w="0" w:type="dxa"/>
              <w:right w:w="108" w:type="dxa"/>
              <w:bottom w:w="0" w:type="dxa"/>
            </w:tcMar>
            <w:tcW w:w="521"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c>
          <w:tcPr>
            <w:tcMar>
              <w:left w:w="108" w:type="dxa"/>
              <w:top w:w="0" w:type="dxa"/>
              <w:right w:w="108" w:type="dxa"/>
              <w:bottom w:w="0" w:type="dxa"/>
            </w:tcMar>
            <w:tcW w:w="521"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c>
          <w:tcPr>
            <w:tcMar>
              <w:left w:w="108" w:type="dxa"/>
              <w:top w:w="0" w:type="dxa"/>
              <w:right w:w="108" w:type="dxa"/>
              <w:bottom w:w="0" w:type="dxa"/>
            </w:tcMar>
            <w:tcW w:w="521"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c>
          <w:tcPr>
            <w:tcMar>
              <w:left w:w="108" w:type="dxa"/>
              <w:top w:w="0" w:type="dxa"/>
              <w:right w:w="108" w:type="dxa"/>
              <w:bottom w:w="0" w:type="dxa"/>
            </w:tcMar>
            <w:tcW w:w="521"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c>
          <w:tcPr>
            <w:tcMar>
              <w:left w:w="108" w:type="dxa"/>
              <w:top w:w="0" w:type="dxa"/>
              <w:right w:w="108" w:type="dxa"/>
              <w:bottom w:w="0" w:type="dxa"/>
            </w:tcMar>
            <w:tcW w:w="521"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c>
          <w:tcPr>
            <w:tcMar>
              <w:left w:w="108" w:type="dxa"/>
              <w:top w:w="0" w:type="dxa"/>
              <w:right w:w="108" w:type="dxa"/>
              <w:bottom w:w="0" w:type="dxa"/>
            </w:tcMar>
            <w:tcW w:w="521" w:type="pct"/>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法定代表人或代理人（签字或盖章）：</w:t>
      </w:r>
      <w:r/>
    </w:p>
    <w:p>
      <w:pPr>
        <w:ind w:firstLine="480"/>
        <w:jc w:val="both"/>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投标日期</w:t>
      </w:r>
      <w:r>
        <w:rPr>
          <w:rFonts w:hint="eastAsia" w:ascii="宋体" w:hAnsi="宋体" w:eastAsia="宋体" w:cs="宋体"/>
          <w:color w:val="auto"/>
          <w:sz w:val="24"/>
          <w:highlight w:val="none"/>
        </w:rPr>
        <w:t xml:space="preserve">：</w:t>
      </w:r>
      <w:r/>
    </w:p>
    <w:p>
      <w:pPr>
        <w:jc w:val="center"/>
        <w:spacing w:line="360" w:lineRule="auto"/>
        <w:rPr>
          <w:rFonts w:ascii="宋体" w:hAnsi="宋体" w:eastAsia="宋体" w:cs="宋体"/>
          <w:b/>
          <w:color w:val="auto"/>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24"/>
          <w:highlight w:val="none"/>
        </w:rPr>
        <w:t xml:space="preserve">（二）商务条款偏离表</w:t>
      </w:r>
      <w:r/>
    </w:p>
    <w:p>
      <w:pPr>
        <w:jc w:val="both"/>
        <w:spacing w:line="38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067"/>
        <w:gridCol w:w="2038"/>
        <w:gridCol w:w="1916"/>
        <w:gridCol w:w="1640"/>
      </w:tblGrid>
      <w:tr>
        <w:trPr>
          <w:trHeight w:val="323"/>
        </w:trPr>
        <w:tc>
          <w:tcPr>
            <w:tcMar>
              <w:left w:w="108" w:type="dxa"/>
              <w:top w:w="0" w:type="dxa"/>
              <w:right w:w="108" w:type="dxa"/>
              <w:bottom w:w="0" w:type="dxa"/>
            </w:tcMar>
            <w:tcW w:w="44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Mar>
              <w:left w:w="108" w:type="dxa"/>
              <w:top w:w="0" w:type="dxa"/>
              <w:right w:w="108" w:type="dxa"/>
              <w:bottom w:w="0" w:type="dxa"/>
            </w:tcMar>
            <w:tcW w:w="161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007"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6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Mar>
              <w:left w:w="108" w:type="dxa"/>
              <w:top w:w="0" w:type="dxa"/>
              <w:right w:w="108" w:type="dxa"/>
              <w:bottom w:w="0" w:type="dxa"/>
            </w:tcMar>
            <w:tcW w:w="161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007"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6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Mar>
              <w:left w:w="108" w:type="dxa"/>
              <w:top w:w="0" w:type="dxa"/>
              <w:right w:w="108" w:type="dxa"/>
              <w:bottom w:w="0" w:type="dxa"/>
            </w:tcMar>
            <w:tcW w:w="161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007"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6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Mar>
              <w:left w:w="108" w:type="dxa"/>
              <w:top w:w="0" w:type="dxa"/>
              <w:right w:w="108" w:type="dxa"/>
              <w:bottom w:w="0" w:type="dxa"/>
            </w:tcMar>
            <w:tcW w:w="161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007"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6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Mar>
              <w:left w:w="108" w:type="dxa"/>
              <w:top w:w="0" w:type="dxa"/>
              <w:right w:w="108" w:type="dxa"/>
              <w:bottom w:w="0" w:type="dxa"/>
            </w:tcMar>
            <w:tcW w:w="161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007"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862" w:type="pct"/>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法定代表人或代理人（签字或盖章）：</w:t>
      </w:r>
      <w:r/>
    </w:p>
    <w:p>
      <w:pPr>
        <w:ind w:firstLine="480"/>
        <w:jc w:val="both"/>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eastAsia="宋体" w:cs="宋体"/>
          <w:color w:val="auto"/>
          <w:sz w:val="24"/>
          <w:highlight w:val="none"/>
        </w:rPr>
        <w:t xml:space="preserve">：</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2.若事项较多，</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可根据投标内容的实际情况另纸说明。</w:t>
      </w:r>
      <w:r/>
    </w:p>
    <w:p>
      <w:pPr>
        <w:rPr>
          <w:color w:val="auto"/>
          <w:highlight w:val="none"/>
        </w:rPr>
      </w:pPr>
      <w:r>
        <w:rPr>
          <w:rFonts w:ascii="宋体" w:hAnsi="宋体" w:eastAsia="宋体" w:cs="宋体"/>
          <w:b/>
          <w:color w:val="auto"/>
          <w:sz w:val="30"/>
          <w:highlight w:val="none"/>
        </w:rPr>
        <w:br w:type="page" w:clear="all"/>
      </w:r>
      <w:r/>
    </w:p>
    <w:p>
      <w:pPr>
        <w:jc w:val="center"/>
        <w:spacing w:line="85" w:lineRule="atLeast"/>
        <w:rPr>
          <w:rFonts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十、售后服务承诺书</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招标编号：</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3592"/>
        <w:gridCol w:w="2409"/>
        <w:gridCol w:w="2537"/>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响应后</w:t>
            </w:r>
            <w:r>
              <w:rPr>
                <w:rFonts w:ascii="宋体" w:hAnsi="宋体" w:eastAsia="宋体" w:cs="宋体"/>
                <w:color w:val="auto"/>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ind w:firstLine="420"/>
        <w:spacing w:before="10" w:after="25"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20"/>
        <w:spacing w:before="10" w:after="25"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针对服务内容有必须说明的事项，请在“备注”栏目内注明；</w:t>
      </w:r>
      <w:r/>
    </w:p>
    <w:p>
      <w:pPr>
        <w:ind w:firstLine="840"/>
        <w:spacing w:before="25" w:after="25"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如有其它售后服务内容，可自行参照填写。</w:t>
      </w:r>
      <w:r/>
    </w:p>
    <w:p>
      <w:pPr>
        <w:ind w:firstLine="420"/>
        <w:spacing w:before="25" w:after="25"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210"/>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（公章）：</w:t>
      </w:r>
      <w:r/>
    </w:p>
    <w:p>
      <w:pPr>
        <w:ind w:firstLine="21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w:t>
      </w:r>
      <w:r>
        <w:rPr>
          <w:rFonts w:hint="eastAsia" w:ascii="宋体" w:hAnsi="宋体" w:eastAsia="宋体" w:cs="宋体"/>
          <w:color w:val="auto"/>
          <w:sz w:val="24"/>
          <w:highlight w:val="none"/>
        </w:rPr>
        <w:t xml:space="preserve">代理人</w:t>
      </w:r>
      <w:r>
        <w:rPr>
          <w:rFonts w:ascii="宋体" w:hAnsi="宋体" w:eastAsia="宋体" w:cs="宋体"/>
          <w:color w:val="auto"/>
          <w:sz w:val="24"/>
          <w:highlight w:val="none"/>
        </w:rPr>
        <w:t xml:space="preserve">：（签字或签章）</w:t>
      </w:r>
      <w:r/>
    </w:p>
    <w:p>
      <w:pPr>
        <w:ind w:firstLine="210"/>
        <w:jc w:val="both"/>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十一、中小企业声明函</w:t>
      </w:r>
      <w:r/>
    </w:p>
    <w:p>
      <w:pPr>
        <w:ind w:firstLine="480"/>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ascii="宋体" w:hAnsi="宋体" w:eastAsia="宋体" w:cs="宋体"/>
          <w:color w:val="auto"/>
          <w:sz w:val="24"/>
          <w:szCs w:val="24"/>
          <w:highlight w:val="none"/>
          <w:u w:val="single"/>
        </w:rPr>
        <w:t xml:space="preserve">（单位名称）</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（项目名称）</w:t>
      </w:r>
      <w:r>
        <w:rPr>
          <w:rFonts w:ascii="宋体" w:hAnsi="宋体" w:eastAsia="宋体" w:cs="宋体"/>
          <w:color w:val="auto"/>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 </w:t>
      </w:r>
      <w:r>
        <w:rPr>
          <w:rFonts w:ascii="宋体" w:hAnsi="宋体" w:eastAsia="宋体" w:cs="宋体"/>
          <w:color w:val="auto"/>
          <w:sz w:val="24"/>
          <w:szCs w:val="24"/>
          <w:highlight w:val="none"/>
          <w:u w:val="single"/>
        </w:rPr>
        <w:t xml:space="preserve">（标的物名称）</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；制造商为</w:t>
      </w:r>
      <w:r>
        <w:rPr>
          <w:rFonts w:ascii="宋体" w:hAnsi="宋体" w:eastAsia="宋体" w:cs="宋体"/>
          <w:color w:val="auto"/>
          <w:sz w:val="24"/>
          <w:szCs w:val="24"/>
          <w:highlight w:val="none"/>
          <w:u w:val="single"/>
        </w:rPr>
        <w:t xml:space="preserve"> （企业名称）</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万元，属于</w:t>
      </w:r>
      <w:r>
        <w:rPr>
          <w:rFonts w:ascii="宋体" w:hAnsi="宋体" w:eastAsia="宋体" w:cs="宋体"/>
          <w:color w:val="auto"/>
          <w:sz w:val="24"/>
          <w:szCs w:val="24"/>
          <w:highlight w:val="none"/>
          <w:u w:val="single"/>
        </w:rPr>
        <w:t xml:space="preserve">（</w:t>
      </w:r>
      <w:r>
        <w:rPr>
          <w:rFonts w:ascii="Wingdings" w:hAnsi="Wingdings" w:eastAsia="Wingdings" w:cs="Wingdings"/>
          <w:color w:val="auto"/>
          <w:sz w:val="24"/>
          <w:szCs w:val="24"/>
          <w:highlight w:val="none"/>
          <w:u w:val="single"/>
        </w:rPr>
        <w:t xml:space="preserve">¨</w:t>
      </w:r>
      <w:r>
        <w:rPr>
          <w:rFonts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ascii="宋体" w:hAnsi="宋体" w:eastAsia="宋体" w:cs="宋体"/>
          <w:color w:val="auto"/>
          <w:sz w:val="24"/>
          <w:szCs w:val="24"/>
          <w:highlight w:val="none"/>
          <w:u w:val="single"/>
        </w:rPr>
        <w:t xml:space="preserve">微型企业）</w:t>
      </w:r>
      <w:r>
        <w:rPr>
          <w:rFonts w:ascii="宋体" w:hAnsi="宋体" w:eastAsia="宋体" w:cs="宋体"/>
          <w:color w:val="auto"/>
          <w:sz w:val="24"/>
          <w:szCs w:val="24"/>
          <w:highlight w:val="none"/>
        </w:rPr>
        <w:t xml:space="preserve">；</w:t>
      </w:r>
      <w:r/>
    </w:p>
    <w:p>
      <w:pPr>
        <w:ind w:firstLine="480"/>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 </w:t>
      </w:r>
      <w:r>
        <w:rPr>
          <w:rFonts w:ascii="宋体" w:hAnsi="宋体" w:eastAsia="宋体" w:cs="宋体"/>
          <w:color w:val="auto"/>
          <w:sz w:val="24"/>
          <w:szCs w:val="24"/>
          <w:highlight w:val="none"/>
          <w:u w:val="single"/>
        </w:rPr>
        <w:t xml:space="preserve">（标的物名称）</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ascii="宋体" w:hAnsi="宋体" w:eastAsia="宋体" w:cs="宋体"/>
          <w:color w:val="auto"/>
          <w:sz w:val="24"/>
          <w:szCs w:val="24"/>
          <w:highlight w:val="none"/>
        </w:rPr>
        <w:t xml:space="preserve">；制造商为</w:t>
      </w:r>
      <w:r>
        <w:rPr>
          <w:rFonts w:ascii="宋体" w:hAnsi="宋体" w:eastAsia="宋体" w:cs="宋体"/>
          <w:color w:val="auto"/>
          <w:sz w:val="24"/>
          <w:szCs w:val="24"/>
          <w:highlight w:val="none"/>
          <w:u w:val="single"/>
        </w:rPr>
        <w:t xml:space="preserve"> （企业名称）</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万元，属于</w:t>
      </w:r>
      <w:r>
        <w:rPr>
          <w:rFonts w:ascii="宋体" w:hAnsi="宋体" w:eastAsia="宋体" w:cs="宋体"/>
          <w:color w:val="auto"/>
          <w:sz w:val="24"/>
          <w:szCs w:val="24"/>
          <w:highlight w:val="none"/>
          <w:u w:val="single"/>
        </w:rPr>
        <w:t xml:space="preserve">（</w:t>
      </w:r>
      <w:r>
        <w:rPr>
          <w:rFonts w:ascii="Wingdings" w:hAnsi="Wingdings" w:eastAsia="Wingdings" w:cs="Wingdings"/>
          <w:color w:val="auto"/>
          <w:sz w:val="24"/>
          <w:szCs w:val="24"/>
          <w:highlight w:val="none"/>
          <w:u w:val="single"/>
        </w:rPr>
        <w:t xml:space="preserve">¨</w:t>
      </w:r>
      <w:r>
        <w:rPr>
          <w:rFonts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ascii="宋体" w:hAnsi="宋体" w:eastAsia="宋体" w:cs="宋体"/>
          <w:color w:val="auto"/>
          <w:sz w:val="24"/>
          <w:szCs w:val="24"/>
          <w:highlight w:val="none"/>
          <w:u w:val="single"/>
        </w:rPr>
        <w:t xml:space="preserve">微型企业）</w:t>
      </w:r>
      <w:r>
        <w:rPr>
          <w:rFonts w:ascii="宋体" w:hAnsi="宋体" w:eastAsia="宋体" w:cs="宋体"/>
          <w:color w:val="auto"/>
          <w:sz w:val="24"/>
          <w:szCs w:val="24"/>
          <w:highlight w:val="none"/>
        </w:rPr>
        <w:t xml:space="preserve">；</w:t>
      </w:r>
      <w:r/>
    </w:p>
    <w:p>
      <w:pPr>
        <w:ind w:firstLine="480"/>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w:t>
      </w:r>
      <w:r/>
    </w:p>
    <w:p>
      <w:pPr>
        <w:ind w:firstLine="480"/>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企业名称（盖章）：</w:t>
      </w:r>
      <w:r/>
    </w:p>
    <w:p>
      <w:pPr>
        <w:ind w:firstLine="4080"/>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日期：</w:t>
      </w:r>
      <w:r/>
    </w:p>
    <w:p>
      <w:pPr>
        <w:ind w:firstLine="482"/>
        <w:jc w:val="both"/>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注：</w:t>
      </w:r>
      <w:r/>
    </w:p>
    <w:p>
      <w:pPr>
        <w:ind w:firstLine="482"/>
        <w:jc w:val="both"/>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ascii="宋体" w:hAnsi="宋体" w:eastAsia="宋体" w:cs="宋体"/>
          <w:b/>
          <w:bCs/>
          <w:color w:val="auto"/>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ascii="宋体" w:hAnsi="宋体" w:eastAsia="宋体" w:cs="宋体"/>
          <w:b/>
          <w:bCs/>
          <w:color w:val="auto"/>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color w:val="auto"/>
          <w:sz w:val="24"/>
          <w:szCs w:val="24"/>
          <w:highlight w:val="none"/>
        </w:rPr>
        <w:t xml:space="preserve">。</w:t>
      </w:r>
      <w:r/>
    </w:p>
    <w:p>
      <w:pPr>
        <w:ind w:firstLine="482"/>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w:t>
      </w:r>
      <w:r>
        <w:rPr>
          <w:rFonts w:ascii="宋体" w:hAnsi="宋体" w:eastAsia="宋体" w:cs="宋体"/>
          <w:b/>
          <w:bCs/>
          <w:color w:val="auto"/>
          <w:sz w:val="24"/>
          <w:szCs w:val="24"/>
          <w:highlight w:val="none"/>
        </w:rPr>
        <w:t xml:space="preserve">从</w:t>
      </w:r>
      <w:r>
        <w:rPr>
          <w:rFonts w:ascii="宋体" w:hAnsi="宋体" w:eastAsia="宋体" w:cs="宋体"/>
          <w:b/>
          <w:color w:val="auto"/>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rPr>
        <w:t xml:space="preserve">供应商</w:t>
      </w:r>
      <w:r>
        <w:rPr>
          <w:rFonts w:ascii="宋体" w:hAnsi="宋体" w:eastAsia="宋体" w:cs="宋体"/>
          <w:b/>
          <w:color w:val="auto"/>
          <w:sz w:val="24"/>
          <w:szCs w:val="24"/>
          <w:highlight w:val="none"/>
        </w:rPr>
        <w:t xml:space="preserve">所投不同货物的生产制造商信息均需填报。</w:t>
      </w:r>
      <w:r/>
    </w:p>
    <w:p>
      <w:pPr>
        <w:ind w:firstLine="482"/>
        <w:jc w:val="both"/>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5、供应商应对照中小企业划分标准和采购标的所属行业：</w:t>
      </w:r>
      <w:r>
        <w:rPr>
          <w:rFonts w:hint="eastAsia" w:ascii="宋体" w:hAnsi="宋体" w:eastAsia="宋体" w:cs="宋体"/>
          <w:b/>
          <w:color w:val="auto"/>
          <w:sz w:val="24"/>
          <w:szCs w:val="24"/>
          <w:highlight w:val="none"/>
          <w:u w:val="single"/>
        </w:rPr>
        <w:t xml:space="preserve">工业</w:t>
      </w:r>
      <w:r>
        <w:rPr>
          <w:rFonts w:ascii="宋体" w:hAnsi="宋体" w:eastAsia="宋体" w:cs="宋体"/>
          <w:b/>
          <w:color w:val="auto"/>
          <w:sz w:val="24"/>
          <w:szCs w:val="24"/>
          <w:highlight w:val="none"/>
          <w:u w:val="single"/>
        </w:rPr>
        <w:t xml:space="preserve"> </w:t>
      </w:r>
      <w:r>
        <w:rPr>
          <w:rFonts w:ascii="宋体" w:hAnsi="宋体" w:eastAsia="宋体" w:cs="宋体"/>
          <w:b/>
          <w:color w:val="auto"/>
          <w:sz w:val="24"/>
          <w:szCs w:val="24"/>
          <w:highlight w:val="none"/>
        </w:rPr>
        <w:t xml:space="preserve">，如实、完整填报《中小企业声明函》，如未对（中型企业、小型企业、微型企业）进行勾选，视同非中、小、微企业，不享受相应扶持政策。</w:t>
      </w:r>
      <w:r/>
    </w:p>
    <w:p>
      <w:pPr>
        <w:rPr>
          <w:color w:val="auto"/>
          <w:highlight w:val="none"/>
        </w:rPr>
      </w:pPr>
      <w:r>
        <w:rPr>
          <w:rFonts w:ascii="宋体" w:hAnsi="宋体" w:eastAsia="宋体" w:cs="宋体"/>
          <w:b/>
          <w:color w:val="auto"/>
          <w:sz w:val="30"/>
          <w:highlight w:val="none"/>
        </w:rPr>
        <w:br w:type="page" w:clear="all"/>
      </w:r>
      <w:r/>
    </w:p>
    <w:p>
      <w:pPr>
        <w:jc w:val="center"/>
        <w:spacing w:line="85" w:lineRule="atLeast"/>
        <w:rPr>
          <w:rFonts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十</w:t>
      </w:r>
      <w:r>
        <w:rPr>
          <w:rFonts w:hint="eastAsia" w:ascii="宋体" w:hAnsi="宋体" w:eastAsia="宋体" w:cs="宋体"/>
          <w:b/>
          <w:color w:val="auto"/>
          <w:sz w:val="30"/>
          <w:highlight w:val="none"/>
        </w:rPr>
        <w:t xml:space="preserve">二</w:t>
      </w:r>
      <w:r>
        <w:rPr>
          <w:rFonts w:ascii="宋体" w:hAnsi="宋体" w:eastAsia="宋体" w:cs="宋体"/>
          <w:b/>
          <w:color w:val="auto"/>
          <w:sz w:val="30"/>
          <w:highlight w:val="none"/>
        </w:rPr>
        <w:t xml:space="preserve">、残疾人福利性单位声明函</w:t>
      </w:r>
      <w:r/>
    </w:p>
    <w:p>
      <w:pPr>
        <w:jc w:val="both"/>
        <w:spacing w:line="57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6"/>
          <w:sz w:val="24"/>
          <w:highlight w:val="none"/>
          <w:u w:val="single"/>
        </w:rPr>
        <w:t xml:space="preserve">               </w:t>
      </w:r>
      <w:r>
        <w:rPr>
          <w:rFonts w:ascii="宋体" w:hAnsi="宋体" w:eastAsia="宋体" w:cs="宋体"/>
          <w:b/>
          <w:color w:val="auto"/>
          <w:spacing w:val="6"/>
          <w:sz w:val="24"/>
          <w:highlight w:val="none"/>
          <w:u w:val="single"/>
        </w:rPr>
        <w:t xml:space="preserve">：</w:t>
      </w:r>
      <w:r/>
    </w:p>
    <w:p>
      <w:pPr>
        <w:ind w:firstLine="504"/>
        <w:jc w:val="both"/>
        <w:spacing w:line="5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本单位郑重声明，根据《财政部民政部中国残疾人联合会关于促进残疾人就业政府采购政策的通知》（财库</w:t>
      </w:r>
      <w:r>
        <w:rPr>
          <w:rFonts w:ascii="宋体" w:hAnsi="宋体" w:eastAsia="宋体" w:cs="宋体"/>
          <w:color w:val="auto"/>
          <w:sz w:val="24"/>
          <w:highlight w:val="none"/>
        </w:rPr>
        <w:t xml:space="preserve">〔2017〕141</w:t>
      </w:r>
      <w:r>
        <w:rPr>
          <w:rFonts w:ascii="宋体" w:hAnsi="宋体" w:eastAsia="宋体" w:cs="宋体"/>
          <w:color w:val="auto"/>
          <w:spacing w:val="6"/>
          <w:sz w:val="24"/>
          <w:highlight w:val="none"/>
        </w:rPr>
        <w:t xml:space="preserve">号）的规定，本单位为符合条件的残疾人福利性单位，且本单位参加</w:t>
      </w:r>
      <w:r>
        <w:rPr>
          <w:rFonts w:ascii="宋体" w:hAnsi="宋体" w:eastAsia="宋体" w:cs="宋体"/>
          <w:color w:val="auto"/>
          <w:spacing w:val="6"/>
          <w:sz w:val="24"/>
          <w:highlight w:val="none"/>
          <w:u w:val="single"/>
        </w:rPr>
        <w:t xml:space="preserve">（采购单位） </w:t>
      </w:r>
      <w:r>
        <w:rPr>
          <w:rFonts w:ascii="宋体" w:hAnsi="宋体" w:eastAsia="宋体" w:cs="宋体"/>
          <w:color w:val="auto"/>
          <w:spacing w:val="6"/>
          <w:sz w:val="24"/>
          <w:highlight w:val="none"/>
        </w:rPr>
        <w:t xml:space="preserve">单位的</w:t>
      </w:r>
      <w:r>
        <w:rPr>
          <w:rFonts w:ascii="宋体" w:hAnsi="宋体" w:eastAsia="宋体" w:cs="宋体"/>
          <w:color w:val="auto"/>
          <w:sz w:val="24"/>
          <w:highlight w:val="none"/>
          <w:u w:val="single"/>
        </w:rPr>
        <w:t xml:space="preserve">（招标编号及项目名称）</w:t>
      </w:r>
      <w:r>
        <w:rPr>
          <w:rFonts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本单位对上述声明的真实性负责。如有虚假，将依法承担相应责任。</w:t>
      </w:r>
      <w:r/>
    </w:p>
    <w:p>
      <w:pPr>
        <w:ind w:firstLine="504"/>
        <w:jc w:val="both"/>
        <w:spacing w:line="5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firstLine="504"/>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：（单位盖章） </w:t>
      </w:r>
      <w:r/>
    </w:p>
    <w:p>
      <w:pPr>
        <w:ind w:firstLine="480"/>
        <w:jc w:val="center"/>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日期：</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日</w:t>
      </w:r>
      <w:r/>
    </w:p>
    <w:p>
      <w:pPr>
        <w:ind w:firstLine="480"/>
        <w:jc w:val="center"/>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jc w:val="center"/>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jc w:val="both"/>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jc w:val="center"/>
        <w:spacing w:line="85" w:lineRule="atLeast"/>
        <w:rPr>
          <w:rFonts w:ascii="宋体" w:hAnsi="宋体" w:eastAsia="宋体" w:cs="宋体"/>
          <w:b/>
          <w:bCs/>
          <w:color w:val="auto"/>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0"/>
          <w:highlight w:val="none"/>
        </w:rPr>
        <w:t xml:space="preserve">十三、关于符合本国产品标准的声明函</w:t>
      </w:r>
      <w:r/>
    </w:p>
    <w:p>
      <w:pPr>
        <w:pStyle w:val="787"/>
        <w:ind w:firstLine="420"/>
        <w:spacing w:before="20" w:beforeAutospacing="0" w:after="20" w:afterAutospacing="0" w:line="320"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787"/>
        <w:ind w:firstLine="567"/>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1.</w:t>
      </w:r>
      <w:r>
        <w:rPr>
          <w:rStyle w:val="794"/>
          <w:rFonts w:hint="eastAsia" w:ascii="宋体" w:hAnsi="宋体" w:eastAsia="宋体" w:cs="宋体"/>
          <w:i w:val="0"/>
          <w:color w:val="auto"/>
          <w:szCs w:val="24"/>
          <w:highlight w:val="none"/>
          <w:u w:val="single"/>
          <w:shd w:val="clear" w:color="auto" w:fill="ffffff"/>
        </w:rPr>
        <w:t xml:space="preserve">（产品名称1）</w:t>
      </w:r>
      <w:r>
        <w:rPr>
          <w:rStyle w:val="794"/>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794"/>
          <w:rFonts w:hint="eastAsia" w:ascii="宋体" w:hAnsi="宋体" w:eastAsia="宋体" w:cs="宋体"/>
          <w:i w:val="0"/>
          <w:color w:val="auto"/>
          <w:szCs w:val="24"/>
          <w:highlight w:val="none"/>
          <w:u w:val="single"/>
          <w:shd w:val="clear" w:color="auto" w:fill="ffffff"/>
        </w:rPr>
        <w:t xml:space="preserve">（厂名）</w:t>
      </w:r>
      <w:r>
        <w:rPr>
          <w:rStyle w:val="794"/>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794"/>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Style w:val="794"/>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的中国境内生产的组件成本占比≥</w:t>
      </w:r>
      <w:r>
        <w:rPr>
          <w:rStyle w:val="794"/>
          <w:rFonts w:hint="eastAsia" w:ascii="宋体" w:hAnsi="宋体" w:eastAsia="宋体" w:cs="宋体"/>
          <w:i w:val="0"/>
          <w:color w:val="auto"/>
          <w:szCs w:val="24"/>
          <w:highlight w:val="none"/>
          <w:u w:val="single"/>
          <w:shd w:val="clear" w:color="auto" w:fill="ffffff"/>
        </w:rPr>
        <w:t xml:space="preserve">（规定比例）</w:t>
      </w:r>
      <w:r>
        <w:rPr>
          <w:rStyle w:val="794"/>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794"/>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94"/>
          <w:rFonts w:hint="eastAsia" w:ascii="宋体" w:hAnsi="宋体" w:eastAsia="宋体" w:cs="宋体"/>
          <w:i w:val="0"/>
          <w:color w:val="auto"/>
          <w:szCs w:val="24"/>
          <w:highlight w:val="none"/>
          <w:u w:val="single"/>
          <w:shd w:val="clear" w:color="auto" w:fill="ffffff"/>
        </w:rPr>
        <w:t xml:space="preserve">（关键组件）</w:t>
      </w:r>
      <w:r>
        <w:rPr>
          <w:rStyle w:val="794"/>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794"/>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94"/>
          <w:rFonts w:hint="eastAsia" w:ascii="宋体" w:hAnsi="宋体" w:eastAsia="宋体" w:cs="宋体"/>
          <w:i w:val="0"/>
          <w:color w:val="auto"/>
          <w:szCs w:val="24"/>
          <w:highlight w:val="none"/>
          <w:u w:val="single"/>
          <w:shd w:val="clear" w:color="auto" w:fill="ffffff"/>
        </w:rPr>
        <w:t xml:space="preserve">（关键工序）</w:t>
      </w:r>
      <w:r>
        <w:rPr>
          <w:rStyle w:val="794"/>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2.</w:t>
      </w:r>
      <w:r>
        <w:rPr>
          <w:rStyle w:val="794"/>
          <w:rFonts w:hint="eastAsia" w:ascii="宋体" w:hAnsi="宋体" w:eastAsia="宋体" w:cs="宋体"/>
          <w:i w:val="0"/>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，生产厂为</w:t>
      </w:r>
      <w:r>
        <w:rPr>
          <w:rStyle w:val="794"/>
          <w:rFonts w:hint="eastAsia" w:ascii="宋体" w:hAnsi="宋体" w:eastAsia="宋体" w:cs="宋体"/>
          <w:i w:val="0"/>
          <w:color w:val="auto"/>
          <w:szCs w:val="24"/>
          <w:highlight w:val="none"/>
          <w:u w:val="single"/>
          <w:shd w:val="clear" w:color="auto" w:fill="ffffff"/>
        </w:rPr>
        <w:t xml:space="preserve">（厂名）</w:t>
      </w:r>
      <w:r>
        <w:rPr>
          <w:rFonts w:hint="eastAsia" w:ascii="宋体" w:hAnsi="宋体" w:eastAsia="宋体" w:cs="宋体"/>
          <w:color w:val="auto"/>
          <w:szCs w:val="24"/>
          <w:highlight w:val="none"/>
          <w:shd w:val="clear" w:color="auto" w:fill="ffffff"/>
        </w:rPr>
        <w:t xml:space="preserve">，厂址为</w:t>
      </w:r>
      <w:r>
        <w:rPr>
          <w:rStyle w:val="794"/>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Style w:val="794"/>
          <w:rFonts w:hint="eastAsia" w:ascii="宋体" w:hAnsi="宋体" w:eastAsia="宋体" w:cs="宋体"/>
          <w:i w:val="0"/>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的中国境内生产的组件成本占比≥</w:t>
      </w:r>
      <w:r>
        <w:rPr>
          <w:rStyle w:val="794"/>
          <w:rFonts w:hint="eastAsia" w:ascii="宋体" w:hAnsi="宋体" w:eastAsia="宋体" w:cs="宋体"/>
          <w:i w:val="0"/>
          <w:color w:val="auto"/>
          <w:szCs w:val="24"/>
          <w:highlight w:val="none"/>
          <w:u w:val="single"/>
          <w:shd w:val="clear" w:color="auto" w:fill="ffffff"/>
        </w:rPr>
        <w:t xml:space="preserve">（规定比例）</w:t>
      </w:r>
      <w:r>
        <w:rPr>
          <w:rFonts w:hint="eastAsia" w:ascii="宋体" w:hAnsi="宋体" w:eastAsia="宋体" w:cs="宋体"/>
          <w:color w:val="auto"/>
          <w:szCs w:val="24"/>
          <w:highlight w:val="none"/>
          <w:shd w:val="clear" w:color="auto" w:fill="ffffff"/>
        </w:rPr>
        <w:t xml:space="preserve">。</w:t>
      </w:r>
      <w:r>
        <w:rPr>
          <w:rStyle w:val="794"/>
          <w:rFonts w:hint="eastAsia" w:ascii="宋体" w:hAnsi="宋体" w:eastAsia="宋体" w:cs="宋体"/>
          <w:i w:val="0"/>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w:t>
      </w:r>
      <w:r>
        <w:rPr>
          <w:rStyle w:val="794"/>
          <w:rFonts w:hint="eastAsia" w:ascii="宋体" w:hAnsi="宋体" w:eastAsia="宋体" w:cs="宋体"/>
          <w:i w:val="0"/>
          <w:color w:val="auto"/>
          <w:szCs w:val="24"/>
          <w:highlight w:val="none"/>
          <w:u w:val="single"/>
          <w:shd w:val="clear" w:color="auto" w:fill="ffffff"/>
        </w:rPr>
        <w:t xml:space="preserve">（关键组件）</w:t>
      </w:r>
      <w:r>
        <w:rPr>
          <w:rFonts w:hint="eastAsia" w:ascii="宋体" w:hAnsi="宋体" w:eastAsia="宋体" w:cs="宋体"/>
          <w:color w:val="auto"/>
          <w:szCs w:val="24"/>
          <w:highlight w:val="none"/>
          <w:shd w:val="clear" w:color="auto" w:fill="ffffff"/>
        </w:rPr>
        <w:t xml:space="preserve">在中国境内生产。</w:t>
      </w:r>
      <w:r>
        <w:rPr>
          <w:rStyle w:val="794"/>
          <w:rFonts w:hint="eastAsia" w:ascii="宋体" w:hAnsi="宋体" w:eastAsia="宋体" w:cs="宋体"/>
          <w:i w:val="0"/>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w:t>
      </w:r>
      <w:r>
        <w:rPr>
          <w:rStyle w:val="794"/>
          <w:rFonts w:hint="eastAsia" w:ascii="宋体" w:hAnsi="宋体" w:eastAsia="宋体" w:cs="宋体"/>
          <w:i w:val="0"/>
          <w:color w:val="auto"/>
          <w:szCs w:val="24"/>
          <w:highlight w:val="none"/>
          <w:u w:val="single"/>
          <w:shd w:val="clear" w:color="auto" w:fill="ffffff"/>
        </w:rPr>
        <w:t xml:space="preserve">（关键工序）</w:t>
      </w:r>
      <w:r>
        <w:rPr>
          <w:rFonts w:hint="eastAsia" w:ascii="宋体" w:hAnsi="宋体" w:eastAsia="宋体" w:cs="宋体"/>
          <w:color w:val="auto"/>
          <w:szCs w:val="24"/>
          <w:highlight w:val="none"/>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w:t>
      </w:r>
      <w:r/>
    </w:p>
    <w:p>
      <w:pPr>
        <w:pStyle w:val="787"/>
        <w:ind w:firstLine="420"/>
        <w:spacing w:before="20" w:beforeAutospacing="0" w:after="2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787"/>
        <w:jc w:val="right"/>
        <w:spacing w:before="20" w:beforeAutospacing="0" w:after="2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公司（单位）名称（盖章）：　</w:t>
      </w:r>
      <w:r/>
    </w:p>
    <w:p>
      <w:pPr>
        <w:pStyle w:val="787"/>
        <w:jc w:val="right"/>
        <w:spacing w:before="20" w:beforeAutospacing="0" w:after="2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日期：　年　月　日</w:t>
      </w:r>
      <w:r/>
    </w:p>
    <w:p>
      <w:pPr>
        <w:pStyle w:val="787"/>
        <w:spacing w:before="20" w:beforeAutospacing="0" w:after="20" w:afterAutospacing="0" w:line="320"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787"/>
        <w:ind w:firstLine="420"/>
        <w:spacing w:before="20" w:beforeAutospacing="0" w:after="2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1.产品如有型号，请在“产品名称”栏一并填写。</w:t>
      </w:r>
      <w:r/>
    </w:p>
    <w:p>
      <w:pPr>
        <w:pStyle w:val="787"/>
        <w:ind w:firstLine="420"/>
        <w:spacing w:before="20" w:beforeAutospacing="0" w:after="2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jc w:val="both"/>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jc w:val="both"/>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jc w:val="center"/>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2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firstLine="420"/>
        <w:jc w:val="right"/>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420"/>
        <w:jc w:val="right"/>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420"/>
        <w:jc w:val="right"/>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420"/>
        <w:jc w:val="right"/>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420"/>
        <w:jc w:val="right"/>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420"/>
        <w:jc w:val="right"/>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420"/>
        <w:jc w:val="right"/>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420"/>
        <w:jc w:val="right"/>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color w:val="auto"/>
          <w:sz w:val="44"/>
          <w:highlight w:val="none"/>
        </w:rPr>
        <w:t xml:space="preserve">第四章 采购内容</w:t>
      </w:r>
      <w:bookmarkEnd w:id="3"/>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ectPr>
          <w:footerReference w:type="default" r:id="rId8"/>
          <w:footerReference w:type="first" r:id="rId9"/>
          <w:footnotePr/>
          <w:endnotePr/>
          <w:type w:val="nextPage"/>
          <w:pgSz w:w="11906" w:h="16838" w:orient="portrait"/>
          <w:pgMar w:top="1134" w:right="1304" w:bottom="1134" w:left="1304" w:header="851" w:footer="850" w:gutter="0"/>
          <w:pgNumType w:start="1"/>
          <w:cols w:num="1" w:sep="0" w:space="425" w:equalWidth="1"/>
          <w:docGrid w:linePitch="360"/>
          <w:titlePg/>
        </w:sectPr>
      </w:pPr>
      <w:r>
        <w:rPr>
          <w:rFonts w:ascii="宋体" w:hAnsi="宋体" w:eastAsia="宋体" w:cs="宋体"/>
          <w:color w:val="auto"/>
          <w:sz w:val="24"/>
          <w:highlight w:val="none"/>
        </w:rPr>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受</w:t>
      </w:r>
      <w:r>
        <w:rPr>
          <w:rFonts w:hint="eastAsia" w:ascii="宋体" w:hAnsi="宋体" w:eastAsia="宋体" w:cs="宋体"/>
          <w:b/>
          <w:bCs/>
          <w:color w:val="auto"/>
          <w:sz w:val="24"/>
          <w:highlight w:val="none"/>
          <w:u w:val="single"/>
        </w:rPr>
        <w:t xml:space="preserve">苏州大学</w:t>
      </w:r>
      <w:r>
        <w:rPr>
          <w:rFonts w:ascii="宋体" w:hAnsi="宋体" w:eastAsia="宋体" w:cs="宋体"/>
          <w:b/>
          <w:bCs/>
          <w:color w:val="auto"/>
          <w:sz w:val="24"/>
          <w:highlight w:val="none"/>
        </w:rPr>
        <w:t xml:space="preserve">的委托，</w:t>
      </w:r>
      <w:r>
        <w:rPr>
          <w:rFonts w:hint="eastAsia" w:ascii="宋体" w:hAnsi="宋体" w:eastAsia="宋体" w:cs="宋体"/>
          <w:b/>
          <w:bCs/>
          <w:color w:val="auto"/>
          <w:sz w:val="24"/>
          <w:highlight w:val="none"/>
        </w:rPr>
        <w:t xml:space="preserve">江苏海外集团国际工程咨询有限公司</w:t>
      </w:r>
      <w:r>
        <w:rPr>
          <w:rFonts w:ascii="宋体" w:hAnsi="宋体" w:eastAsia="宋体" w:cs="宋体"/>
          <w:b/>
          <w:bCs/>
          <w:color w:val="auto"/>
          <w:sz w:val="24"/>
          <w:highlight w:val="none"/>
        </w:rPr>
        <w:t xml:space="preserve">作为招标</w:t>
      </w:r>
      <w:r>
        <w:rPr>
          <w:rFonts w:hint="eastAsia" w:ascii="宋体" w:hAnsi="宋体" w:eastAsia="宋体" w:cs="宋体"/>
          <w:b/>
          <w:bCs/>
          <w:color w:val="auto"/>
          <w:sz w:val="24"/>
          <w:szCs w:val="24"/>
          <w:highlight w:val="none"/>
        </w:rPr>
        <w:t xml:space="preserve">代理机构，就其</w:t>
      </w:r>
      <w:r>
        <w:rPr>
          <w:rFonts w:hint="eastAsia" w:ascii="宋体" w:hAnsi="宋体" w:eastAsia="宋体" w:cs="宋体"/>
          <w:b/>
          <w:bCs/>
          <w:color w:val="auto"/>
          <w:sz w:val="24"/>
          <w:szCs w:val="24"/>
          <w:highlight w:val="none"/>
          <w:u w:val="single"/>
          <w:lang w:eastAsia="zh-CN"/>
        </w:rPr>
        <w:t xml:space="preserve">色谱仪（标段一）</w:t>
      </w:r>
      <w:r>
        <w:rPr>
          <w:rFonts w:hint="eastAsia" w:ascii="宋体" w:hAnsi="宋体" w:eastAsia="宋体" w:cs="宋体"/>
          <w:b/>
          <w:bCs/>
          <w:color w:val="auto"/>
          <w:sz w:val="24"/>
          <w:szCs w:val="24"/>
          <w:highlight w:val="none"/>
        </w:rPr>
        <w:t xml:space="preserve">进行国内公开招标</w:t>
      </w:r>
      <w:r/>
    </w:p>
    <w:p>
      <w:pPr>
        <w:ind w:firstLine="482"/>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一、招标编号：</w:t>
      </w:r>
      <w:r>
        <w:rPr>
          <w:rFonts w:hint="eastAsia" w:ascii="宋体" w:hAnsi="宋体" w:eastAsia="宋体" w:cs="宋体"/>
          <w:bCs/>
          <w:color w:val="auto"/>
          <w:sz w:val="24"/>
          <w:szCs w:val="24"/>
          <w:highlight w:val="none"/>
          <w:lang w:eastAsia="zh-CN"/>
        </w:rPr>
        <w:t xml:space="preserve">JSZC-320500-HWZX-G2026-0623</w:t>
      </w:r>
      <w:r/>
    </w:p>
    <w:p>
      <w:pPr>
        <w:ind w:firstLine="482"/>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二、招标内容：</w:t>
      </w:r>
      <w:r>
        <w:rPr>
          <w:rFonts w:hint="eastAsia" w:ascii="宋体" w:hAnsi="宋体" w:eastAsia="宋体" w:cs="宋体"/>
          <w:bCs/>
          <w:color w:val="auto"/>
          <w:sz w:val="24"/>
          <w:szCs w:val="24"/>
          <w:highlight w:val="none"/>
          <w:lang w:eastAsia="zh-CN"/>
        </w:rPr>
        <w:t xml:space="preserve">色谱仪（标段一）</w:t>
      </w:r>
      <w:r/>
    </w:p>
    <w:p>
      <w:pPr>
        <w:ind w:firstLine="482"/>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三、预算金额</w:t>
      </w:r>
      <w:r>
        <w:rPr>
          <w:rFonts w:hint="eastAsia" w:ascii="宋体" w:hAnsi="宋体" w:eastAsia="宋体" w:cs="宋体"/>
          <w:b/>
          <w:color w:val="auto"/>
          <w:sz w:val="24"/>
          <w:szCs w:val="24"/>
          <w:highlight w:val="none"/>
          <w:lang w:val="en-US" w:eastAsia="zh-CN"/>
        </w:rPr>
        <w:t xml:space="preserve">及最高限价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预算金额：本项目采购预算：</w:t>
      </w:r>
      <w:r>
        <w:rPr>
          <w:rFonts w:hint="eastAsia" w:ascii="宋体" w:hAnsi="宋体" w:eastAsia="宋体" w:cs="宋体"/>
          <w:color w:val="auto"/>
          <w:sz w:val="24"/>
          <w:szCs w:val="24"/>
          <w:highlight w:val="none"/>
          <w:lang w:eastAsia="zh-CN"/>
        </w:rPr>
        <w:t xml:space="preserve">245万元</w:t>
      </w:r>
      <w:r>
        <w:rPr>
          <w:rFonts w:hint="eastAsia" w:ascii="宋体" w:hAnsi="宋体" w:eastAsia="宋体" w:cs="宋体"/>
          <w:color w:val="auto"/>
          <w:sz w:val="24"/>
          <w:szCs w:val="24"/>
          <w:highlight w:val="none"/>
        </w:rPr>
        <w:t xml:space="preserve">，其中：</w:t>
      </w:r>
      <w:r/>
    </w:p>
    <w:p>
      <w:pPr>
        <w:ind w:firstLine="482"/>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离子色谱仪   1台  55万</w:t>
      </w:r>
      <w:r/>
    </w:p>
    <w:p>
      <w:pPr>
        <w:ind w:firstLine="482"/>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凝胶色谱仪 </w:t>
      </w:r>
      <w:r>
        <w:rPr>
          <w:rFonts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t xml:space="preserve">2台</w:t>
      </w:r>
      <w:r>
        <w:rPr>
          <w:rFonts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t xml:space="preserve">70万</w:t>
      </w:r>
      <w:r/>
    </w:p>
    <w:p>
      <w:pPr>
        <w:ind w:firstLine="482"/>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气相色谱仪 </w:t>
      </w:r>
      <w:r>
        <w:rPr>
          <w:rFonts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t xml:space="preserve"> 1台  30万</w:t>
      </w:r>
      <w:r/>
    </w:p>
    <w:p>
      <w:pPr>
        <w:ind w:firstLine="482"/>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制备液相色谱 2台</w:t>
      </w:r>
      <w:r>
        <w:rPr>
          <w:rFonts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t xml:space="preserve">90万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245万元</w:t>
      </w:r>
      <w:r>
        <w:rPr>
          <w:rFonts w:hint="eastAsia" w:ascii="宋体" w:hAnsi="宋体" w:eastAsia="宋体" w:cs="宋体"/>
          <w:color w:val="auto"/>
          <w:sz w:val="24"/>
          <w:szCs w:val="24"/>
          <w:highlight w:val="none"/>
        </w:rPr>
        <w:t xml:space="preserve">，其中：</w:t>
      </w:r>
      <w:r/>
    </w:p>
    <w:p>
      <w:pPr>
        <w:ind w:firstLine="482"/>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离子色谱仪   1台  55万</w:t>
      </w:r>
      <w:r/>
    </w:p>
    <w:p>
      <w:pPr>
        <w:ind w:firstLine="482"/>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凝胶色谱仪 </w:t>
      </w:r>
      <w:r>
        <w:rPr>
          <w:rFonts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t xml:space="preserve">2台</w:t>
      </w:r>
      <w:r>
        <w:rPr>
          <w:rFonts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t xml:space="preserve">70万</w:t>
      </w:r>
      <w:r/>
    </w:p>
    <w:p>
      <w:pPr>
        <w:ind w:firstLine="482"/>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气相色谱仪 </w:t>
      </w:r>
      <w:r>
        <w:rPr>
          <w:rFonts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t xml:space="preserve"> 1台  30万</w:t>
      </w:r>
      <w:r/>
    </w:p>
    <w:p>
      <w:pPr>
        <w:ind w:firstLine="482"/>
        <w:spacing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制备液相色谱 2台</w:t>
      </w:r>
      <w:r>
        <w:rPr>
          <w:rFonts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t xml:space="preserve">90万</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注：供应商的各设备报价不得超过该设备预算金额或最高限价，否则视为无效投标。</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四、采购内容</w:t>
      </w:r>
      <w:r/>
    </w:p>
    <w:p>
      <w:pPr>
        <w:ind w:firstLine="482"/>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核心产品：</w:t>
      </w:r>
      <w:r>
        <w:rPr>
          <w:rFonts w:hint="eastAsia" w:ascii="宋体" w:hAnsi="宋体" w:eastAsia="宋体" w:cs="宋体"/>
          <w:b/>
          <w:color w:val="auto"/>
          <w:sz w:val="24"/>
          <w:szCs w:val="24"/>
          <w:highlight w:val="none"/>
        </w:rPr>
        <w:t xml:space="preserve">制备液相色谱、凝胶色谱仪</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离子色谱仪 </w:t>
      </w:r>
      <w:r>
        <w:rPr>
          <w:rFonts w:ascii="宋体" w:hAnsi="宋体" w:eastAsia="宋体" w:cs="宋体"/>
          <w:b/>
          <w:bCs/>
          <w:color w:val="auto"/>
          <w:sz w:val="24"/>
          <w:szCs w:val="24"/>
          <w:highlight w:val="none"/>
        </w:rPr>
        <w:t xml:space="preserve"> </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（一）技术参数</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系统控制器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1.1可连接单元：输液单元最多4台；自动进样器：1台；柱温箱：最多4台；检测器：最多2台</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1.2连接单元数： 5（含溶剂输送单元）</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1.3操作温度控制：4～35℃</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1.4电源：有输液单元提供</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惰性输液泵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2.1泵类型：串联双柱塞泵</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2.2最大排液耐压：≥20MPa</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2.3流量设定范围：</w:t>
      </w:r>
      <w:r>
        <w:rPr>
          <w:rFonts w:ascii="宋体" w:hAnsi="宋体" w:eastAsia="宋体" w:cs="宋体"/>
          <w:color w:val="auto"/>
          <w:sz w:val="24"/>
          <w:szCs w:val="24"/>
          <w:highlight w:val="none"/>
        </w:rPr>
        <w:t xml:space="preserve">0.0001</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5.0000mL/min</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2.4流量精密度：≤0.1%RSD</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2.5柱塞清洗：有</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w:t>
      </w:r>
      <w:r>
        <w:rPr>
          <w:rFonts w:ascii="Segoe UI" w:hAnsi="Segoe UI" w:eastAsia="Segoe UI" w:cs="Segoe UI"/>
          <w:color w:val="auto"/>
          <w:sz w:val="24"/>
          <w:szCs w:val="24"/>
          <w:highlight w:val="none"/>
          <w:shd w:val="clear" w:color="auto" w:fill="ffffff"/>
        </w:rPr>
        <w:t xml:space="preserve">脉动抑制：</w:t>
      </w:r>
      <w:r>
        <w:rPr>
          <w:rFonts w:hint="eastAsia" w:ascii="Segoe UI" w:hAnsi="Segoe UI" w:eastAsia="宋体" w:cs="Segoe UI"/>
          <w:color w:val="auto"/>
          <w:sz w:val="24"/>
          <w:szCs w:val="24"/>
          <w:highlight w:val="none"/>
          <w:shd w:val="clear" w:color="auto" w:fill="ffffff"/>
        </w:rPr>
        <w:t xml:space="preserve">具备</w:t>
      </w:r>
      <w:r>
        <w:rPr>
          <w:rFonts w:hint="eastAsia" w:ascii="宋体" w:hAnsi="宋体" w:eastAsia="宋体" w:cs="宋体"/>
          <w:color w:val="auto"/>
          <w:sz w:val="24"/>
          <w:szCs w:val="24"/>
          <w:highlight w:val="none"/>
        </w:rPr>
        <w:t xml:space="preserve">减小脉动系统</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2.7泵头材质：PEEK</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2.8安全措施：漏液传感器，高压、低压限制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2.9流量稳定性：流量稳定性误差≤0.1%</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脱气单元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3.1流路数目:≥2流路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3.2脱气流路体积：200-500μL/每流路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自动进样器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 进样方式：全量进样</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 最大耐压：≥20MPa</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4.3进样量设定范围：0.1-100μL（可扩展至2000uL，选配）</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4.4 样品容量:</w:t>
      </w:r>
      <w:r>
        <w:rPr>
          <w:rFonts w:ascii="宋体" w:hAnsi="宋体" w:eastAsia="宋体" w:cs="宋体"/>
          <w:color w:val="auto"/>
          <w:sz w:val="24"/>
          <w:szCs w:val="24"/>
          <w:highlight w:val="none"/>
        </w:rPr>
        <w:t xml:space="preserve">1.5mL</w:t>
      </w:r>
      <w:r>
        <w:rPr>
          <w:rFonts w:hint="eastAsia" w:ascii="宋体" w:hAnsi="宋体" w:eastAsia="宋体" w:cs="宋体"/>
          <w:color w:val="auto"/>
          <w:sz w:val="24"/>
          <w:szCs w:val="24"/>
          <w:highlight w:val="none"/>
        </w:rPr>
        <w:t xml:space="preserve">样品瓶≥</w:t>
      </w:r>
      <w:r>
        <w:rPr>
          <w:rFonts w:ascii="宋体" w:hAnsi="宋体" w:eastAsia="宋体" w:cs="宋体"/>
          <w:color w:val="auto"/>
          <w:sz w:val="24"/>
          <w:szCs w:val="24"/>
          <w:highlight w:val="none"/>
        </w:rPr>
        <w:t xml:space="preserve">96</w:t>
      </w:r>
      <w:r>
        <w:rPr>
          <w:rFonts w:hint="eastAsia" w:ascii="宋体" w:hAnsi="宋体" w:eastAsia="宋体" w:cs="宋体"/>
          <w:color w:val="auto"/>
          <w:sz w:val="24"/>
          <w:szCs w:val="24"/>
          <w:highlight w:val="none"/>
        </w:rPr>
        <w:t xml:space="preserve">位；可兼容</w:t>
      </w:r>
      <w:r>
        <w:rPr>
          <w:rFonts w:ascii="宋体" w:hAnsi="宋体" w:eastAsia="宋体" w:cs="宋体"/>
          <w:color w:val="auto"/>
          <w:sz w:val="24"/>
          <w:szCs w:val="24"/>
          <w:highlight w:val="none"/>
        </w:rPr>
        <w:t xml:space="preserve">96</w:t>
      </w:r>
      <w:r>
        <w:rPr>
          <w:rFonts w:hint="eastAsia" w:ascii="宋体" w:hAnsi="宋体" w:eastAsia="宋体" w:cs="宋体"/>
          <w:color w:val="auto"/>
          <w:sz w:val="24"/>
          <w:szCs w:val="24"/>
          <w:highlight w:val="none"/>
        </w:rPr>
        <w:t xml:space="preserve">孔板及</w:t>
      </w:r>
      <w:r>
        <w:rPr>
          <w:rFonts w:ascii="宋体" w:hAnsi="宋体" w:eastAsia="宋体" w:cs="宋体"/>
          <w:color w:val="auto"/>
          <w:sz w:val="24"/>
          <w:szCs w:val="24"/>
          <w:highlight w:val="none"/>
        </w:rPr>
        <w:t xml:space="preserve">384</w:t>
      </w:r>
      <w:r>
        <w:rPr>
          <w:rFonts w:hint="eastAsia" w:ascii="宋体" w:hAnsi="宋体" w:eastAsia="宋体" w:cs="宋体"/>
          <w:color w:val="auto"/>
          <w:sz w:val="24"/>
          <w:szCs w:val="24"/>
          <w:highlight w:val="none"/>
        </w:rPr>
        <w:t xml:space="preserve">孔板。</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4.5进样重现性：≤0.3%RSD （10uL进样）</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4.6交叉污染：＜0.01%</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4.7进样针清洗：进样前后任意设定</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4.8冷却功能：</w:t>
      </w:r>
      <w:r>
        <w:rPr>
          <w:rFonts w:ascii="Segoe UI" w:hAnsi="Segoe UI" w:eastAsia="Segoe UI" w:cs="Segoe UI"/>
          <w:color w:val="auto"/>
          <w:sz w:val="24"/>
          <w:szCs w:val="24"/>
          <w:highlight w:val="none"/>
          <w:shd w:val="clear" w:color="auto" w:fill="ffffff"/>
        </w:rPr>
        <w:t xml:space="preserve">支持样品盘冷却（选配）。</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4.9使用pH范围：pH 1-14</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4.10 漏液传感器：具备</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4.11进样针材质为PEEK、陶瓷或同等惰性材质，避免引入其他离子污染</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5.柱温箱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5.1控温方式: 强制空气循环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5.2温度控制范围: 室温-8℃～85°C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5.3温度精度：±0.1℃</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5.4柱温箱容量：100mm色谱柱*6支；300mm色谱柱*3支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5.5漏液传感器：液体及气体传感器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 电导检测器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rPr>
        <w:t xml:space="preserve">测定范围：≤</w:t>
      </w:r>
      <w:r>
        <w:rPr>
          <w:rFonts w:ascii="宋体" w:hAnsi="宋体" w:eastAsia="宋体" w:cs="宋体"/>
          <w:color w:val="auto"/>
          <w:sz w:val="24"/>
          <w:szCs w:val="24"/>
          <w:highlight w:val="none"/>
        </w:rPr>
        <w:t xml:space="preserve">20,000μS/cm</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rPr>
        <w:t xml:space="preserve">噪声</w:t>
      </w:r>
      <w:r>
        <w:rPr>
          <w:rFonts w:ascii="宋体" w:hAnsi="宋体" w:eastAsia="宋体" w:cs="宋体"/>
          <w:color w:val="auto"/>
          <w:sz w:val="24"/>
          <w:szCs w:val="24"/>
          <w:highlight w:val="none"/>
        </w:rPr>
        <w:t xml:space="preserve">: &lt;1 nS/cm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rPr>
        <w:t xml:space="preserve">漂移</w:t>
      </w:r>
      <w:r>
        <w:rPr>
          <w:rFonts w:ascii="宋体" w:hAnsi="宋体" w:eastAsia="宋体" w:cs="宋体"/>
          <w:color w:val="auto"/>
          <w:sz w:val="24"/>
          <w:szCs w:val="24"/>
          <w:highlight w:val="none"/>
        </w:rPr>
        <w:t xml:space="preserve">: Cl</w:t>
      </w:r>
      <w:r>
        <w:rPr>
          <w:rFonts w:ascii="宋体" w:hAnsi="宋体" w:eastAsia="宋体" w:cs="宋体"/>
          <w:color w:val="auto"/>
          <w:sz w:val="24"/>
          <w:szCs w:val="24"/>
          <w:highlight w:val="none"/>
          <w:vertAlign w:val="superscript"/>
        </w:rPr>
        <w:t xml:space="preserve">-</w:t>
      </w:r>
      <w:r>
        <w:rPr>
          <w:rFonts w:ascii="宋体" w:hAnsi="宋体" w:eastAsia="宋体" w:cs="宋体"/>
          <w:color w:val="auto"/>
          <w:sz w:val="24"/>
          <w:szCs w:val="24"/>
          <w:highlight w:val="none"/>
        </w:rPr>
        <w:t xml:space="preserve">:2.0 nS</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cm</w:t>
      </w:r>
      <w:r>
        <w:rPr>
          <w:rFonts w:ascii="宋体" w:hAnsi="宋体" w:eastAsia="宋体" w:cs="宋体"/>
          <w:color w:val="auto"/>
          <w:sz w:val="24"/>
          <w:szCs w:val="24"/>
          <w:highlight w:val="none"/>
          <w:vertAlign w:val="superscript"/>
        </w:rPr>
        <w:t xml:space="preserve">-1</w:t>
      </w:r>
      <w:r>
        <w:rPr>
          <w:rFonts w:ascii="宋体" w:hAnsi="宋体" w:eastAsia="宋体" w:cs="宋体"/>
          <w:color w:val="auto"/>
          <w:sz w:val="24"/>
          <w:szCs w:val="24"/>
          <w:highlight w:val="none"/>
        </w:rPr>
        <w:t xml:space="preserve">/30min</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6.4温度变化系数: 25 nS/cm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6.5池体积：≤0.30μL</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 阴离子抑制器：再生抑制器（如电致膜式抑制器或电解连续再生微膜抑制器），无需再生液即可自动连续再生，抑制过程采用电解方式。</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（二）配置清单（单套配置）</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1.输液泵  2套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2.自动进样器  1套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色谱柱温箱 1套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电导检测器  1套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系统控制器   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原厂色谱控制软件  1 套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计算工作站1套；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凝胶色谱仪</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（一）技术参数要求</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1.系统控制器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1.1可连接单元：输液泵：≥2个；自动进样器：1个；柱温箱：≥2个；检测器：2个</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1.2最多可连接单元：≥7</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1.3控制方式：工作站控制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2.溶液输送单元</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2.1泵类型：并联双柱塞泵或串联双柱塞泵，具备微量输送能力</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2.2送液方式：恒流送液</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2.3最大运行压力≥30MPa</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2.4流量设定范围：0.0001～10.0000mL/min</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2.5流量准确度：＜1%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2.6流量精度：≤0.3%RSD</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2.7压力设置范围：1.0～40MPa（单位量0.1MPa）</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2.8压力准确度：1MPa或＜±10%</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2.9压力显示准确度：0.5MPa或＜±2%</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3.自动进样器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3.1进样体积设置范围：0.01～100μL</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3.2进样重现性： RSD≤0.3%</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3.3样品残留：＜0.005%（清洗，指定条件下）</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3.4进样体积准确度：＜±1%（5μL进样）</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3.5线性：＞0.999</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3.6最大容许压力≥40MPa</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3.7清洗功能：有</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3.8分析循环时间：最快10s以下（指定条件下）</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3.9温控功能：有</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4.柱温箱</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4.1控温方式：空气循环方式</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4.2温度设置范围：4℃～100℃（步进1℃）</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4.3温控精度：0.1℃</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4.4柱温箱容量：可容纳≥3支300mm色谱柱或≥5支250mm色谱柱</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4.5安全设置：温度上限设置；内置温度保险丝防止过热；内置气敏传感器和漏液传感器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5.示差折光检测器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5.1折射率范围：1～1.75RIU</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5.2噪音级别：＜0.01μRIU（特定条件下）</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5.3漂移：＜0.2μRIU/h（特定条件下）</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5.4最大使用流量：20mL/min</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5.5pH范围：1～13</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5.6测定单元的温控温度范围：30～60℃（0.1℃步进）</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5.7控温方式：具备光学系统温度控制功能，可缩短平衡时间、减少基线漂移</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6.脱气机</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6.1流路数量：3条流路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6.2最大工作流量：10mL/min（每条流路）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6.3内部容量：400μL/每条流路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6.4pH范围：1～14</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7.色谱工作站：GPC软件具备图形化操作界面，可进行分子量及其分布分析</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（二）配置清单（共2套，单套配置如下）</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1.输液泵  1套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2.自动进样器  1套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3.色谱柱温箱 1套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4.示差折光检测器  1套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5.系统控制器   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6.原厂色谱控制软件  1 套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7.计算工作站 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气相色谱仪</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（一）技术参数要求</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1.柱温箱</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  柱箱温度：室温以上3℃～450℃（使用液态CO</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时可达-45℃）；</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  程序升温：</w:t>
      </w:r>
      <w:r>
        <w:rPr>
          <w:rFonts w:ascii="Segoe UI" w:hAnsi="Segoe UI" w:eastAsia="Segoe UI" w:cs="Segoe UI"/>
          <w:color w:val="auto"/>
          <w:sz w:val="24"/>
          <w:szCs w:val="24"/>
          <w:highlight w:val="none"/>
          <w:shd w:val="clear" w:color="auto" w:fill="ffffff"/>
        </w:rPr>
        <w:t xml:space="preserve">≥32阶33平台</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  可设定升温速率： ≥120℃/min，支持程序降温；</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  温度设定精度：0.1℃；</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  控温精度：可校准至0.01℃；</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  温度稳定性：周围温度每变化1℃，柱温箱温度变化小于0.01℃；</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  冷却速度：从 450℃ 降到 50℃ 不超过4min；</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  最大运行时间：9000分钟；</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 气相色谱主机采用不小于7英寸的彩色触摸屏进行操控；</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 柱温箱可实时监控泄漏，确保安全使用；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具有一键设置柱温箱降温速率功能，可依据不同色谱柱自由设置降温速率，有效延长色谱柱使用寿命；</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1.12 柱温箱</w:t>
      </w:r>
      <w:r>
        <w:rPr>
          <w:rFonts w:ascii="Segoe UI" w:hAnsi="Segoe UI" w:eastAsia="Segoe UI" w:cs="Segoe UI"/>
          <w:color w:val="auto"/>
          <w:sz w:val="24"/>
          <w:szCs w:val="24"/>
          <w:highlight w:val="none"/>
          <w:shd w:val="clear" w:color="auto" w:fill="ffffff"/>
        </w:rPr>
        <w:t xml:space="preserve">具备照明装置</w:t>
      </w:r>
      <w:r>
        <w:rPr>
          <w:rFonts w:hint="eastAsia" w:ascii="宋体" w:hAnsi="宋体" w:eastAsia="宋体" w:cs="宋体"/>
          <w:color w:val="auto"/>
          <w:sz w:val="24"/>
          <w:szCs w:val="24"/>
          <w:highlight w:val="none"/>
        </w:rPr>
        <w:t xml:space="preserve">，柱箱门开启时自动点亮，照亮柱箱内空间方便安装和更换色谱柱；</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 柱温箱可升级柱温箱插件；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2.进样单元：分流/不分流进样口</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  最高温度：450℃；</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  配备全自动电子气路控制系统，具备室温补偿和自动环境补偿功能；支持恒流，恒压，程序增加流速，程序升压及压力脉冲等操作模式以及恒线速度控制功能。。</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  标准配备载气节省模式，有效节约载气消耗量；</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  压力设定范围：0 ～1035kPa（相当于0～150psi）；</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  压力控制精度：≤0.01psi；</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  压力程序比率设定范围：-400 ～ 400kPa/min；</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  压力程序：≥6阶；</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  分流比设定范围：≥5000:1；</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  流量设定范围：0 ～ 1280mL/min，He；0 ～ 550mL/min，N2</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2.10 仪器主机最多可同时安装2个及以上SPL进样口。</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3.检测器单元：氢火焰离子化检测器（FID）</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最高使用温度：450℃</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 自动点火功能</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 检测限： ＜2.0×10</w:t>
      </w:r>
      <w:r>
        <w:rPr>
          <w:rFonts w:hint="eastAsia" w:ascii="宋体" w:hAnsi="宋体" w:eastAsia="宋体" w:cs="宋体"/>
          <w:color w:val="auto"/>
          <w:sz w:val="24"/>
          <w:szCs w:val="24"/>
          <w:highlight w:val="none"/>
          <w:vertAlign w:val="superscript"/>
        </w:rPr>
        <w:t xml:space="preserve">-12</w:t>
      </w:r>
      <w:r>
        <w:rPr>
          <w:rFonts w:hint="eastAsia" w:ascii="宋体" w:hAnsi="宋体" w:eastAsia="宋体" w:cs="宋体"/>
          <w:color w:val="auto"/>
          <w:sz w:val="24"/>
          <w:szCs w:val="24"/>
          <w:highlight w:val="none"/>
        </w:rPr>
        <w:t xml:space="preserve">g C/s ( 十二烷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 动态范围：≥10</w:t>
      </w:r>
      <w:r>
        <w:rPr>
          <w:rFonts w:hint="eastAsia" w:ascii="宋体" w:hAnsi="宋体" w:eastAsia="宋体" w:cs="宋体"/>
          <w:color w:val="auto"/>
          <w:sz w:val="24"/>
          <w:szCs w:val="24"/>
          <w:highlight w:val="none"/>
          <w:vertAlign w:val="superscript"/>
        </w:rPr>
        <w:t xml:space="preserve">7</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3.5 最大数据采集速率：≥200Hz</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4.自动进样装置</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4.1液体自动进样器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4.1.1  样品位数：≥150位</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4.1.2  进样量线性±0.5%</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4.1.3  交叉污染：&lt;0.01%(1%正己烷中联苯)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5.数据处理系统</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5.1数据采集和数据解析</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采用一体化的数据结构，具备定量分析和数据比较功能，可显示相对保留时间（</w:t>
      </w:r>
      <w:r>
        <w:rPr>
          <w:rFonts w:ascii="宋体" w:hAnsi="宋体" w:eastAsia="宋体" w:cs="宋体"/>
          <w:color w:val="auto"/>
          <w:sz w:val="24"/>
          <w:szCs w:val="24"/>
          <w:highlight w:val="none"/>
        </w:rPr>
        <w:t xml:space="preserve">RRT</w:t>
      </w:r>
      <w:r>
        <w:rPr>
          <w:rFonts w:hint="eastAsia" w:ascii="宋体" w:hAnsi="宋体" w:eastAsia="宋体" w:cs="宋体"/>
          <w:color w:val="auto"/>
          <w:sz w:val="24"/>
          <w:szCs w:val="24"/>
          <w:highlight w:val="none"/>
        </w:rPr>
        <w:t xml:space="preserve">），具备保留时间自动校正功能。可针对工作流程灵活设定软件操作界面，满足</w:t>
      </w:r>
      <w:r>
        <w:rPr>
          <w:rFonts w:ascii="宋体" w:hAnsi="宋体" w:eastAsia="宋体" w:cs="宋体"/>
          <w:color w:val="auto"/>
          <w:sz w:val="24"/>
          <w:szCs w:val="24"/>
          <w:highlight w:val="none"/>
        </w:rPr>
        <w:t xml:space="preserve">GLP/GMP</w:t>
      </w:r>
      <w:r>
        <w:rPr>
          <w:rFonts w:hint="eastAsia" w:ascii="宋体" w:hAnsi="宋体" w:eastAsia="宋体" w:cs="宋体"/>
          <w:color w:val="auto"/>
          <w:sz w:val="24"/>
          <w:szCs w:val="24"/>
          <w:highlight w:val="none"/>
        </w:rPr>
        <w:t xml:space="preserve">操作规范。</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5.2报告制作</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高度灵活的报告制作功能，各种类型的模板文件快捷选用，并支持自建模板。标准配备PDF输出功能。</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5.3质量控制</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高精度控制QA/QC功能，支持自动计算噪音、漂移、信噪比、LOD、LOQ、精密度和回收率等方法学指标，具有仪器系统检查功能和用户安全管理功能。</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5.4信号传送</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主机可选择使用USB接口、LAN接口传输数据。</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（二）配置清单（单套配置）</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色谱仪主机1台</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毛细柱进样口1个</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氢火焰检测器1套（FID）</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液体自动进样器1套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操作软件1套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气相色谱工具包1套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配套工作站电脑1套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配套氢空一体机1套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制备液相色谱</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（一）技术参数</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1泵系统</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 工作模式：由独立输液泵构成二元高压梯度体系；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 采用浮动结构支持柱塞装置；</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 流速范围：≥</w:t>
      </w:r>
      <w:r>
        <w:rPr>
          <w:rFonts w:ascii="Segoe UI" w:hAnsi="Segoe UI" w:eastAsia="Segoe UI" w:cs="Segoe UI"/>
          <w:color w:val="auto"/>
          <w:sz w:val="24"/>
          <w:szCs w:val="24"/>
          <w:highlight w:val="none"/>
          <w:shd w:val="clear" w:color="auto" w:fill="ffffff"/>
        </w:rPr>
        <w:t xml:space="preserve">0.01～1</w:t>
      </w:r>
      <w:r>
        <w:rPr>
          <w:rFonts w:hint="eastAsia" w:ascii="Segoe UI" w:hAnsi="Segoe UI" w:eastAsia="宋体" w:cs="Segoe UI"/>
          <w:color w:val="auto"/>
          <w:sz w:val="24"/>
          <w:szCs w:val="24"/>
          <w:highlight w:val="none"/>
          <w:shd w:val="clear" w:color="auto" w:fill="ffffff"/>
        </w:rPr>
        <w:t xml:space="preserve">0</w:t>
      </w:r>
      <w:r>
        <w:rPr>
          <w:rFonts w:ascii="Segoe UI" w:hAnsi="Segoe UI" w:eastAsia="Segoe UI" w:cs="Segoe UI"/>
          <w:color w:val="auto"/>
          <w:sz w:val="24"/>
          <w:szCs w:val="24"/>
          <w:highlight w:val="none"/>
          <w:shd w:val="clear" w:color="auto" w:fill="ffffff"/>
        </w:rPr>
        <w:t xml:space="preserve">0.00mL/min</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 流速精确度：≤0.1% RSD</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 流速准确度： ±1%</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 最大排液压力：≥42MPa</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 梯度组成范围：0.0～100.0%, 0.1%步进；</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 梯度混合准确度：±0.5%, 不随反压变化；</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 梯度组成精度：≤0.1% RSD；</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2手动进样器：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2.1进样方式：手动大体积进样模式 (带位置转换开关)</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3紫外检测器：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3.1光源：标配氘灯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 波长范围： 190nm～700nm</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 波长校正：氘灯自校正；低压汞灯</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3.4波长准确度：≤1nm</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3.5波长精密度： &lt; 0.1nm</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3.6噪音：＜±0.3×10</w:t>
      </w:r>
      <w:r>
        <w:rPr>
          <w:rFonts w:hint="eastAsia" w:ascii="宋体" w:hAnsi="宋体" w:eastAsia="宋体" w:cs="宋体"/>
          <w:color w:val="auto"/>
          <w:sz w:val="24"/>
          <w:szCs w:val="24"/>
          <w:highlight w:val="none"/>
          <w:vertAlign w:val="superscript"/>
        </w:rPr>
        <w:t xml:space="preserve">－5</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3.7飘移： ＜5×10</w:t>
      </w:r>
      <w:r>
        <w:rPr>
          <w:rFonts w:hint="eastAsia" w:ascii="宋体" w:hAnsi="宋体" w:eastAsia="宋体" w:cs="宋体"/>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AU/h</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3.8流通池温控：支持</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3.9流通池温设置范围：工作站设置，9～50℃</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3.10停泵扫描：可停泵作UV光谱图扫描</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3.11波长时间程序：支持</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3.12 双波长检测：支持</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3.13 比例色谱：支持</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4系统控制器</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4.1控制单元数：2个以上单元</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4.2数据缓存：约24小时/每次分析（500ms采样速率）</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4.3Web控制功能：可实现以太网远程控制功能</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5.化学工作站</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软件可控制液相色谱仪所有参数和运行，可实施编辑功能可将报告、分析结果以及所有操作日志全部汇总到一个PDF文件（报告集）中。制作简单，在安全管理到位的数据库内生成、保管，具有数据完整性功能。</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（二）配置清单（共2套，单套配置如下）</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送液泵2套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手动进样器1套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紫外可见光检测器1套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系统控制器1套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工作站软件（含配套计算工作站）1套</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五、付款条款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1.合同签订且采购人收到中标单位缴纳的履约保证金后支付10%预付款；设备运至采购人指定仓库且预验收合格后支付40%货款；</w:t>
      </w:r>
      <w:bookmarkStart w:id="4" w:name="_Hlk234655163"/>
      <w:r>
        <w:rPr>
          <w:rFonts w:hint="eastAsia" w:ascii="宋体" w:hAnsi="宋体" w:eastAsia="宋体" w:cs="宋体"/>
          <w:color w:val="auto"/>
          <w:sz w:val="24"/>
          <w:szCs w:val="24"/>
          <w:highlight w:val="none"/>
        </w:rPr>
        <w:t xml:space="preserve">设备完成二次运输、安装、调试，双方签署最终验收合格证明后支付50%货款。</w:t>
      </w:r>
      <w:bookmarkEnd w:id="4"/>
      <w:r>
        <w:rPr>
          <w:rFonts w:hint="eastAsia" w:ascii="宋体" w:hAnsi="宋体" w:eastAsia="宋体" w:cs="宋体"/>
          <w:color w:val="auto"/>
          <w:sz w:val="24"/>
          <w:szCs w:val="24"/>
          <w:highlight w:val="none"/>
        </w:rPr>
        <w:t xml:space="preserve">每次付款前，中标单位均须提供对应的等额增值税专用发票。</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履约保证金：中标单位须在签订合同前向采购方缴纳合同金额的10%作为履约保证金，至双方签署最终验收合格证明之日起稳定运行1年后无息退还。履约保证金形式：以支票、汇票、本票或者金融机构、担保机构出具的见索即付保函等非现金形式提交（保函内容须经学校认可）。</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六、交付及安装调试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付流程：中标单位应当在合同签订后60天内将货物运送至采购人指定仓库，由双方对货物进行预验收。预验收合格后，供应商应在接到采购人通知后5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装、调试及培训：供应商完成二次运输后的5个工作日内，采购方与供应方应确认安装调试日期，采购方应根据供应商要求准备好安装调试条件，供应商派专人到现场进行安装调试，并对采购方人员进行相关培训。</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七、验收标准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1.预验收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货物到达采购方指定的仓库后，对货物包装是否完好进行验收。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2.最终验收</w:t>
      </w:r>
      <w:r/>
    </w:p>
    <w:p>
      <w:pPr>
        <w:ind w:firstLine="480"/>
        <w:spacing w:line="360" w:lineRule="auto"/>
        <w:rPr>
          <w:rFonts w:ascii="宋体" w:hAnsi="宋体" w:eastAsia="宋体" w:cs="宋体"/>
          <w:color w:val="auto"/>
          <w:sz w:val="24"/>
          <w:szCs w:val="24"/>
          <w:highlight w:val="none"/>
        </w:rPr>
      </w:pPr>
      <w:r/>
      <w:bookmarkStart w:id="5" w:name="_Hlk234652762"/>
      <w:r>
        <w:rPr>
          <w:rFonts w:hint="eastAsia" w:ascii="宋体" w:hAnsi="宋体" w:eastAsia="宋体" w:cs="宋体"/>
          <w:color w:val="auto"/>
          <w:sz w:val="24"/>
          <w:szCs w:val="24"/>
          <w:highlight w:val="none"/>
        </w:rPr>
        <w:t xml:space="preserve">货物安装调试完成后，按招标文件及中标单位的投标文件中的技术指标进行验收，其他指标应按国际、国家相关标准、行业通行标准及厂方出厂标准进行验收。</w:t>
      </w:r>
      <w:bookmarkEnd w:id="5"/>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八、质保服务要求</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1.设备免费质保期不少于5年，自最终验收完成合格之日起算；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九、综合说明及其它要求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投标时应注明所投货物的生产厂家、品牌、规格和型号，提供货物配置清单，提供所用材质、配件的生产厂家、品牌清单等。供应商必须承诺招标文件中提出的全部技术要求；如果其中某些条款不响应时，应在文件中逐条列出，未列出的视同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4.售后服务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质保期内根据采购人需要提供免费保养服务，质保期满后每年提供一次免费保养，软件终身免费升级，保证零配件的供给。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5.报价要求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（1）报价币种为人民币。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（2）本次采购共</w:t>
      </w:r>
      <w:r>
        <w:rPr>
          <w:rFonts w:hint="eastAsia" w:ascii="宋体" w:hAnsi="宋体" w:eastAsia="宋体" w:cs="宋体"/>
          <w:color w:val="auto"/>
          <w:sz w:val="24"/>
          <w:szCs w:val="24"/>
          <w:highlight w:val="none"/>
          <w:lang w:val="en-US" w:eastAsia="zh-CN"/>
        </w:rPr>
        <w:t xml:space="preserve">1个采购包</w:t>
      </w:r>
      <w:r>
        <w:rPr>
          <w:rFonts w:hint="eastAsia" w:ascii="宋体" w:hAnsi="宋体" w:eastAsia="宋体" w:cs="宋体"/>
          <w:color w:val="auto"/>
          <w:sz w:val="24"/>
          <w:szCs w:val="24"/>
          <w:highlight w:val="none"/>
        </w:rPr>
        <w:t xml:space="preserve">，投标总报价一次报定，投标总报价应包括完成对应</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供应商企业利润、税金和政策性文件规定及合同包含的所有风险、责任等各项应有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（3）报价为固定价格，在合同执行过程中不因交货时间更改、物价变动、政策变动、供应商漏项或少报等风险因素而调整。</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6.单位负责人为同一人或者存在直接控股、管理关系的不同供应商，不得参加同一合同项下的政府采购活动。</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7.为本项目提供整体设计、规范编制或者项目管理、监理、监测等服务的供应商，不得再参加该采购项目的其他采购活动。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8.如接受进口产品投标的项目，优先采购向我国企业转让技术、与我国企业签订消化吸收再创新方案的供应商的进口产品。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9.1根据财政部、工业和信息化部关于印发《政府采购促进中小企业发展管理办法》的规定执行。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9.2根据财政部、司法部《关于政府采购支持监狱企业发展有关问题的通知》（财库〔2014〕68号）的规定执行。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9.3根据财政部、民政部、中国残疾人联合会《关于促进残疾人就业政府采购政策的通知》（财库〔2017〕141号）的规定执行。 </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9.4绿色采购</w:t>
      </w:r>
      <w:r>
        <w:rPr>
          <w:rFonts w:hint="eastAsia" w:ascii="宋体" w:hAnsi="宋体" w:eastAsia="宋体" w:cs="宋体"/>
          <w:b/>
          <w:bCs/>
          <w:color w:val="auto"/>
          <w:sz w:val="24"/>
          <w:szCs w:val="24"/>
          <w:highlight w:val="none"/>
        </w:rPr>
        <w:t xml:space="preserve">（本项目不涉及节能环保产品采购）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10.凡涉及采购文件的补充说明和修改，均以政府采购网所发布的公告为准</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bookmarkStart w:id="6" w:name="_Toc3769"/>
      <w:r>
        <w:rPr>
          <w:rFonts w:ascii="宋体" w:hAnsi="宋体" w:eastAsia="宋体" w:cs="宋体"/>
          <w:b/>
          <w:color w:val="auto"/>
          <w:sz w:val="44"/>
          <w:highlight w:val="none"/>
        </w:rPr>
        <w:t xml:space="preserve">第五章</w:t>
      </w:r>
      <w:r>
        <w:rPr>
          <w:rFonts w:hint="eastAsia" w:ascii="宋体" w:hAnsi="宋体" w:eastAsia="宋体" w:cs="宋体"/>
          <w:b/>
          <w:color w:val="auto"/>
          <w:sz w:val="44"/>
          <w:highlight w:val="none"/>
        </w:rPr>
        <w:t xml:space="preserve"> </w:t>
      </w:r>
      <w:r>
        <w:rPr>
          <w:rFonts w:ascii="宋体" w:hAnsi="宋体" w:eastAsia="宋体" w:cs="宋体"/>
          <w:b/>
          <w:color w:val="auto"/>
          <w:sz w:val="44"/>
          <w:highlight w:val="none"/>
        </w:rPr>
        <w:t xml:space="preserve">合同条款</w:t>
      </w:r>
      <w:bookmarkEnd w:id="6"/>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480"/>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b/>
          <w:bCs/>
          <w:color w:val="auto"/>
          <w:sz w:val="32"/>
          <w:szCs w:val="32"/>
          <w:highlight w:val="none"/>
        </w:rPr>
      </w:pPr>
      <w:r>
        <w:rPr>
          <w:rFonts w:hint="eastAsia"/>
          <w:b/>
          <w:bCs/>
          <w:color w:val="auto"/>
          <w:sz w:val="32"/>
          <w:szCs w:val="32"/>
          <w:highlight w:val="none"/>
        </w:rPr>
        <w:t xml:space="preserve">合同主要条款</w:t>
      </w:r>
      <w:r/>
    </w:p>
    <w:p>
      <w:pPr>
        <w:ind w:firstLine="425"/>
        <w:spacing w:line="400" w:lineRule="exact"/>
        <w:rPr>
          <w:rFonts w:cs="宋体"/>
          <w:color w:val="auto"/>
          <w:szCs w:val="21"/>
          <w:highlight w:val="none"/>
        </w:rPr>
      </w:pPr>
      <w:r>
        <w:rPr>
          <w:rFonts w:cs="宋体"/>
          <w:color w:val="auto"/>
          <w:szCs w:val="21"/>
          <w:highlight w:val="none"/>
        </w:rPr>
      </w:r>
      <w:r/>
    </w:p>
    <w:p>
      <w:pPr>
        <w:ind w:firstLine="4604"/>
        <w:rPr>
          <w:rFonts w:cs="宋体"/>
          <w:b/>
          <w:color w:val="auto"/>
          <w:szCs w:val="21"/>
          <w:highlight w:val="none"/>
        </w:rPr>
      </w:pPr>
      <w:r>
        <w:rPr>
          <w:rFonts w:hint="eastAsia" w:cs="宋体"/>
          <w:b/>
          <w:color w:val="auto"/>
          <w:szCs w:val="21"/>
          <w:highlight w:val="none"/>
        </w:rPr>
        <w:t xml:space="preserve">合同编号：</w:t>
      </w:r>
      <w:r/>
    </w:p>
    <w:p>
      <w:pPr>
        <w:ind w:firstLine="4604"/>
        <w:rPr>
          <w:rFonts w:cs="宋体"/>
          <w:b/>
          <w:color w:val="auto"/>
          <w:szCs w:val="21"/>
          <w:highlight w:val="none"/>
        </w:rPr>
      </w:pPr>
      <w:r>
        <w:rPr>
          <w:rFonts w:cs="宋体"/>
          <w:b/>
          <w:color w:val="auto"/>
          <w:szCs w:val="21"/>
          <w:highlight w:val="none"/>
        </w:rPr>
      </w:r>
      <w:r/>
    </w:p>
    <w:p>
      <w:pPr>
        <w:ind w:firstLine="420"/>
        <w:spacing w:line="360" w:lineRule="auto"/>
        <w:rPr>
          <w:rFonts w:cs="宋体"/>
          <w:color w:val="auto"/>
          <w:szCs w:val="21"/>
          <w:highlight w:val="none"/>
        </w:rPr>
      </w:pPr>
      <w:r>
        <w:rPr>
          <w:rFonts w:hint="eastAsia" w:cs="宋体"/>
          <w:color w:val="auto"/>
          <w:szCs w:val="21"/>
          <w:highlight w:val="none"/>
          <w:lang w:val="zh-CN"/>
        </w:rPr>
        <w:t xml:space="preserve">甲方：苏州大学 </w:t>
      </w:r>
      <w:r/>
    </w:p>
    <w:p>
      <w:pPr>
        <w:ind w:firstLine="420"/>
        <w:spacing w:line="360" w:lineRule="auto"/>
        <w:rPr>
          <w:rFonts w:cs="宋体"/>
          <w:color w:val="auto"/>
          <w:szCs w:val="21"/>
          <w:highlight w:val="none"/>
          <w:u w:val="single"/>
        </w:rPr>
      </w:pPr>
      <w:r>
        <w:rPr>
          <w:rFonts w:hint="eastAsia" w:cs="宋体"/>
          <w:color w:val="auto"/>
          <w:szCs w:val="21"/>
          <w:highlight w:val="none"/>
          <w:lang w:val="zh-CN"/>
        </w:rPr>
        <w:t xml:space="preserve">乙方：</w:t>
      </w:r>
      <w:r>
        <w:rPr>
          <w:rFonts w:hint="eastAsia" w:cs="宋体"/>
          <w:color w:val="auto"/>
          <w:szCs w:val="21"/>
          <w:highlight w:val="none"/>
          <w:u w:val="single"/>
          <w:lang w:val="zh-CN"/>
        </w:rPr>
        <w:t xml:space="preserve">                </w:t>
      </w:r>
      <w:r/>
    </w:p>
    <w:p>
      <w:pPr>
        <w:ind w:firstLine="420"/>
        <w:spacing w:line="360" w:lineRule="auto"/>
        <w:rPr>
          <w:rFonts w:cs="宋体"/>
          <w:color w:val="auto"/>
          <w:szCs w:val="21"/>
          <w:highlight w:val="none"/>
          <w:lang w:val="zh-CN"/>
        </w:rPr>
      </w:pPr>
      <w:r>
        <w:rPr>
          <w:rFonts w:cs="宋体"/>
          <w:color w:val="auto"/>
          <w:szCs w:val="21"/>
          <w:highlight w:val="none"/>
          <w:lang w:val="zh-CN"/>
        </w:rPr>
      </w:r>
      <w:r/>
    </w:p>
    <w:p>
      <w:pPr>
        <w:ind w:firstLine="420"/>
        <w:spacing w:line="360" w:lineRule="auto"/>
        <w:rPr>
          <w:rFonts w:cs="宋体"/>
          <w:color w:val="auto"/>
          <w:szCs w:val="21"/>
          <w:highlight w:val="none"/>
        </w:rPr>
      </w:pPr>
      <w:r>
        <w:rPr>
          <w:rFonts w:hint="eastAsia" w:cs="宋体"/>
          <w:color w:val="auto"/>
          <w:szCs w:val="21"/>
          <w:highlight w:val="none"/>
          <w:lang w:val="zh-CN"/>
        </w:rPr>
        <w:t xml:space="preserve">根据政府采购编号</w:t>
      </w:r>
      <w:r>
        <w:rPr>
          <w:rFonts w:hint="eastAsia" w:cs="宋体"/>
          <w:color w:val="auto"/>
          <w:szCs w:val="21"/>
          <w:highlight w:val="none"/>
          <w:u w:val="single"/>
        </w:rPr>
        <w:t xml:space="preserve">            </w:t>
      </w:r>
      <w:r>
        <w:rPr>
          <w:rFonts w:hint="eastAsia" w:cs="宋体"/>
          <w:color w:val="auto"/>
          <w:szCs w:val="21"/>
          <w:highlight w:val="none"/>
          <w:lang w:val="zh-CN"/>
        </w:rPr>
        <w:t xml:space="preserve">号采购文件及乙方中标的投标文件和中标通知书，甲乙双方就此次中标的</w:t>
      </w:r>
      <w:r>
        <w:rPr>
          <w:rFonts w:hint="eastAsia" w:cs="宋体"/>
          <w:color w:val="auto"/>
          <w:szCs w:val="21"/>
          <w:highlight w:val="none"/>
          <w:u w:val="single"/>
        </w:rPr>
        <w:t xml:space="preserve">                  </w:t>
      </w:r>
      <w:r>
        <w:rPr>
          <w:rFonts w:hint="eastAsia" w:cs="宋体"/>
          <w:color w:val="auto"/>
          <w:szCs w:val="21"/>
          <w:highlight w:val="none"/>
          <w:lang w:val="zh-CN"/>
        </w:rPr>
        <w:t xml:space="preserve">事宜，签订本合同书。</w:t>
      </w:r>
      <w:r/>
    </w:p>
    <w:p>
      <w:pPr>
        <w:ind w:firstLine="422"/>
        <w:spacing w:line="360" w:lineRule="auto"/>
        <w:rPr>
          <w:rFonts w:cs="宋体"/>
          <w:color w:val="auto"/>
          <w:szCs w:val="21"/>
          <w:highlight w:val="none"/>
        </w:rPr>
      </w:pPr>
      <w:r>
        <w:rPr>
          <w:rFonts w:hint="eastAsia" w:cs="宋体"/>
          <w:b/>
          <w:color w:val="auto"/>
          <w:szCs w:val="21"/>
          <w:highlight w:val="none"/>
        </w:rPr>
        <w:t xml:space="preserve">第一条 </w:t>
      </w:r>
      <w:r>
        <w:rPr>
          <w:rFonts w:hint="eastAsia" w:cs="宋体"/>
          <w:color w:val="auto"/>
          <w:szCs w:val="21"/>
          <w:highlight w:val="none"/>
        </w:rPr>
        <w:t xml:space="preserve">乙方根据甲方需求提供下列货物：</w:t>
      </w:r>
      <w:r/>
    </w:p>
    <w:tbl>
      <w:tblPr>
        <w:tblStyle w:val="764"/>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cs="宋体"/>
                <w:color w:val="auto"/>
                <w:szCs w:val="21"/>
                <w:highlight w:val="none"/>
              </w:rPr>
            </w:pPr>
            <w:r>
              <w:rPr>
                <w:rFonts w:hint="eastAsia" w:cs="宋体"/>
                <w:color w:val="auto"/>
                <w:szCs w:val="21"/>
                <w:highlight w:val="none"/>
              </w:rPr>
              <w:t xml:space="preserve">序号</w:t>
            </w:r>
            <w:r/>
          </w:p>
        </w:tc>
        <w:tc>
          <w:tcPr>
            <w:tcW w:w="1331" w:type="dxa"/>
            <w:textDirection w:val="lrTb"/>
            <w:noWrap w:val="false"/>
          </w:tcPr>
          <w:p>
            <w:pPr>
              <w:jc w:val="center"/>
              <w:rPr>
                <w:rFonts w:cs="宋体"/>
                <w:color w:val="auto"/>
                <w:szCs w:val="21"/>
                <w:highlight w:val="none"/>
              </w:rPr>
            </w:pPr>
            <w:r>
              <w:rPr>
                <w:rFonts w:hint="eastAsia" w:cs="宋体"/>
                <w:color w:val="auto"/>
                <w:szCs w:val="21"/>
                <w:highlight w:val="none"/>
              </w:rPr>
              <w:t xml:space="preserve">名称</w:t>
            </w:r>
            <w:r/>
          </w:p>
        </w:tc>
        <w:tc>
          <w:tcPr>
            <w:tcW w:w="1701" w:type="dxa"/>
            <w:textDirection w:val="lrTb"/>
            <w:noWrap w:val="false"/>
          </w:tcPr>
          <w:p>
            <w:pPr>
              <w:jc w:val="center"/>
              <w:rPr>
                <w:rFonts w:cs="宋体"/>
                <w:color w:val="auto"/>
                <w:szCs w:val="21"/>
                <w:highlight w:val="none"/>
              </w:rPr>
            </w:pPr>
            <w:r>
              <w:rPr>
                <w:rFonts w:hint="eastAsia" w:cs="宋体"/>
                <w:color w:val="auto"/>
                <w:szCs w:val="21"/>
                <w:highlight w:val="none"/>
              </w:rPr>
              <w:t xml:space="preserve">型号、规格</w:t>
            </w:r>
            <w:r/>
          </w:p>
        </w:tc>
        <w:tc>
          <w:tcPr>
            <w:tcW w:w="850" w:type="dxa"/>
            <w:textDirection w:val="lrTb"/>
            <w:noWrap w:val="false"/>
          </w:tcPr>
          <w:p>
            <w:pPr>
              <w:jc w:val="center"/>
              <w:rPr>
                <w:rFonts w:cs="宋体"/>
                <w:color w:val="auto"/>
                <w:szCs w:val="21"/>
                <w:highlight w:val="none"/>
              </w:rPr>
            </w:pPr>
            <w:r>
              <w:rPr>
                <w:rFonts w:hint="eastAsia" w:cs="宋体"/>
                <w:color w:val="auto"/>
                <w:szCs w:val="21"/>
                <w:highlight w:val="none"/>
              </w:rPr>
              <w:t xml:space="preserve">数量</w:t>
            </w:r>
            <w:r/>
          </w:p>
        </w:tc>
        <w:tc>
          <w:tcPr>
            <w:tcBorders>
              <w:right w:val="single" w:color="auto" w:sz="4" w:space="0"/>
            </w:tcBorders>
            <w:tcW w:w="1517" w:type="dxa"/>
            <w:textDirection w:val="lrTb"/>
            <w:noWrap w:val="false"/>
          </w:tcPr>
          <w:p>
            <w:pPr>
              <w:jc w:val="center"/>
              <w:rPr>
                <w:rFonts w:cs="宋体"/>
                <w:color w:val="auto"/>
                <w:szCs w:val="21"/>
                <w:highlight w:val="none"/>
              </w:rPr>
            </w:pPr>
            <w:r>
              <w:rPr>
                <w:rFonts w:hint="eastAsia" w:cs="宋体"/>
                <w:color w:val="auto"/>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cs="宋体"/>
                <w:color w:val="auto"/>
                <w:szCs w:val="21"/>
                <w:highlight w:val="none"/>
              </w:rPr>
            </w:pPr>
            <w:r>
              <w:rPr>
                <w:rFonts w:hint="eastAsia" w:cs="宋体"/>
                <w:color w:val="auto"/>
                <w:szCs w:val="21"/>
                <w:highlight w:val="none"/>
              </w:rPr>
              <w:t xml:space="preserve">总价（万元人民币）</w:t>
            </w:r>
            <w:r/>
          </w:p>
        </w:tc>
        <w:tc>
          <w:tcPr>
            <w:tcBorders>
              <w:left w:val="single" w:color="auto" w:sz="4" w:space="0"/>
            </w:tcBorders>
            <w:tcW w:w="709" w:type="dxa"/>
            <w:textDirection w:val="lrTb"/>
            <w:noWrap w:val="false"/>
          </w:tcPr>
          <w:p>
            <w:pPr>
              <w:jc w:val="center"/>
              <w:rPr>
                <w:rFonts w:cs="宋体"/>
                <w:color w:val="auto"/>
                <w:szCs w:val="21"/>
                <w:highlight w:val="none"/>
              </w:rPr>
            </w:pPr>
            <w:r>
              <w:rPr>
                <w:rFonts w:hint="eastAsia" w:cs="宋体"/>
                <w:color w:val="auto"/>
                <w:szCs w:val="21"/>
                <w:highlight w:val="none"/>
              </w:rPr>
              <w:t xml:space="preserve">品牌</w:t>
            </w:r>
            <w:r/>
          </w:p>
        </w:tc>
        <w:tc>
          <w:tcPr>
            <w:tcW w:w="1099" w:type="dxa"/>
            <w:textDirection w:val="lrTb"/>
            <w:noWrap w:val="false"/>
          </w:tcPr>
          <w:p>
            <w:pPr>
              <w:jc w:val="center"/>
              <w:rPr>
                <w:rFonts w:cs="宋体"/>
                <w:color w:val="auto"/>
                <w:szCs w:val="21"/>
                <w:highlight w:val="none"/>
              </w:rPr>
            </w:pPr>
            <w:r>
              <w:rPr>
                <w:rFonts w:hint="eastAsia" w:cs="宋体"/>
                <w:color w:val="auto"/>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cs="宋体"/>
                <w:color w:val="auto"/>
                <w:szCs w:val="21"/>
                <w:highlight w:val="none"/>
              </w:rPr>
            </w:pPr>
            <w:r>
              <w:rPr>
                <w:rFonts w:hint="eastAsia" w:cs="宋体"/>
                <w:color w:val="auto"/>
                <w:szCs w:val="21"/>
                <w:highlight w:val="none"/>
              </w:rPr>
              <w:t xml:space="preserve">1</w:t>
            </w:r>
            <w:r/>
          </w:p>
        </w:tc>
        <w:tc>
          <w:tcPr>
            <w:tcBorders>
              <w:bottom w:val="single" w:color="auto" w:sz="4" w:space="0"/>
            </w:tcBorders>
            <w:tcW w:w="1331" w:type="dxa"/>
            <w:textDirection w:val="lrTb"/>
            <w:noWrap w:val="false"/>
          </w:tcPr>
          <w:p>
            <w:pPr>
              <w:jc w:val="center"/>
              <w:rPr>
                <w:rFonts w:cs="宋体"/>
                <w:color w:val="auto"/>
                <w:szCs w:val="21"/>
                <w:highlight w:val="none"/>
              </w:rPr>
            </w:pPr>
            <w:r>
              <w:rPr>
                <w:rFonts w:cs="宋体"/>
                <w:color w:val="auto"/>
                <w:szCs w:val="21"/>
                <w:highlight w:val="none"/>
              </w:rPr>
            </w:r>
            <w:r/>
          </w:p>
        </w:tc>
        <w:tc>
          <w:tcPr>
            <w:tcBorders>
              <w:bottom w:val="single" w:color="auto" w:sz="4" w:space="0"/>
            </w:tcBorders>
            <w:tcW w:w="1701" w:type="dxa"/>
            <w:textDirection w:val="lrTb"/>
            <w:noWrap w:val="false"/>
          </w:tcPr>
          <w:p>
            <w:pPr>
              <w:jc w:val="center"/>
              <w:rPr>
                <w:rFonts w:cs="宋体"/>
                <w:color w:val="auto"/>
                <w:szCs w:val="21"/>
                <w:highlight w:val="none"/>
              </w:rPr>
            </w:pPr>
            <w:r>
              <w:rPr>
                <w:rFonts w:cs="宋体"/>
                <w:color w:val="auto"/>
                <w:szCs w:val="21"/>
                <w:highlight w:val="none"/>
              </w:rPr>
            </w:r>
            <w:r/>
          </w:p>
        </w:tc>
        <w:tc>
          <w:tcPr>
            <w:tcBorders>
              <w:bottom w:val="single" w:color="auto" w:sz="4" w:space="0"/>
            </w:tcBorders>
            <w:tcW w:w="850" w:type="dxa"/>
            <w:textDirection w:val="lrTb"/>
            <w:noWrap w:val="false"/>
          </w:tcPr>
          <w:p>
            <w:pPr>
              <w:jc w:val="center"/>
              <w:rPr>
                <w:rFonts w:cs="宋体"/>
                <w:color w:val="auto"/>
                <w:szCs w:val="21"/>
                <w:highlight w:val="none"/>
              </w:rPr>
            </w:pPr>
            <w:r>
              <w:rPr>
                <w:rFonts w:cs="宋体"/>
                <w:color w:val="auto"/>
                <w:szCs w:val="21"/>
                <w:highlight w:val="none"/>
              </w:rPr>
            </w:r>
            <w:r/>
          </w:p>
        </w:tc>
        <w:tc>
          <w:tcPr>
            <w:tcBorders>
              <w:bottom w:val="single" w:color="auto" w:sz="4" w:space="0"/>
              <w:right w:val="single" w:color="auto" w:sz="4" w:space="0"/>
            </w:tcBorders>
            <w:tcW w:w="1517" w:type="dxa"/>
            <w:textDirection w:val="lrTb"/>
            <w:noWrap w:val="false"/>
          </w:tcPr>
          <w:p>
            <w:pPr>
              <w:jc w:val="center"/>
              <w:rPr>
                <w:rFonts w:cs="宋体"/>
                <w:color w:val="auto"/>
                <w:szCs w:val="21"/>
                <w:highlight w:val="none"/>
              </w:rPr>
            </w:pPr>
            <w:r>
              <w:rPr>
                <w:rFonts w:cs="宋体"/>
                <w:color w:val="auto"/>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cs="宋体"/>
                <w:color w:val="auto"/>
                <w:szCs w:val="21"/>
                <w:highlight w:val="none"/>
              </w:rPr>
            </w:pPr>
            <w:r>
              <w:rPr>
                <w:rFonts w:cs="宋体"/>
                <w:color w:val="auto"/>
                <w:szCs w:val="21"/>
                <w:highlight w:val="none"/>
              </w:rPr>
            </w:r>
            <w:r/>
          </w:p>
        </w:tc>
        <w:tc>
          <w:tcPr>
            <w:tcBorders>
              <w:left w:val="single" w:color="auto" w:sz="4" w:space="0"/>
              <w:bottom w:val="single" w:color="auto" w:sz="4" w:space="0"/>
            </w:tcBorders>
            <w:tcW w:w="709" w:type="dxa"/>
            <w:textDirection w:val="lrTb"/>
            <w:noWrap w:val="false"/>
          </w:tcPr>
          <w:p>
            <w:pPr>
              <w:jc w:val="center"/>
              <w:rPr>
                <w:rFonts w:cs="宋体"/>
                <w:color w:val="auto"/>
                <w:szCs w:val="21"/>
                <w:highlight w:val="none"/>
              </w:rPr>
            </w:pPr>
            <w:r>
              <w:rPr>
                <w:rFonts w:cs="宋体"/>
                <w:color w:val="auto"/>
                <w:szCs w:val="21"/>
                <w:highlight w:val="none"/>
              </w:rPr>
            </w:r>
            <w:r/>
          </w:p>
        </w:tc>
        <w:tc>
          <w:tcPr>
            <w:tcBorders>
              <w:bottom w:val="single" w:color="auto" w:sz="4" w:space="0"/>
            </w:tcBorders>
            <w:tcW w:w="1099" w:type="dxa"/>
            <w:textDirection w:val="lrTb"/>
            <w:noWrap w:val="false"/>
          </w:tcPr>
          <w:p>
            <w:pPr>
              <w:jc w:val="center"/>
              <w:rPr>
                <w:rFonts w:cs="宋体"/>
                <w:color w:val="auto"/>
                <w:szCs w:val="21"/>
                <w:highlight w:val="none"/>
              </w:rPr>
            </w:pPr>
            <w:r>
              <w:rPr>
                <w:rFonts w:cs="宋体"/>
                <w:color w:val="auto"/>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cs="宋体"/>
                <w:color w:val="auto"/>
                <w:szCs w:val="21"/>
                <w:highlight w:val="none"/>
              </w:rPr>
            </w:pPr>
            <w:r>
              <w:rPr>
                <w:rFonts w:hint="eastAsia" w:cs="宋体"/>
                <w:color w:val="auto"/>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cs="宋体"/>
                <w:color w:val="auto"/>
                <w:szCs w:val="21"/>
                <w:highlight w:val="none"/>
              </w:rPr>
            </w:pPr>
            <w:r>
              <w:rPr>
                <w:rFonts w:cs="宋体"/>
                <w:color w:val="auto"/>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cs="宋体"/>
                <w:color w:val="auto"/>
                <w:szCs w:val="21"/>
                <w:highlight w:val="none"/>
              </w:rPr>
            </w:pPr>
            <w:r>
              <w:rPr>
                <w:rFonts w:cs="宋体"/>
                <w:color w:val="auto"/>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cs="宋体"/>
                <w:color w:val="auto"/>
                <w:szCs w:val="21"/>
                <w:highlight w:val="none"/>
              </w:rPr>
            </w:pPr>
            <w:r>
              <w:rPr>
                <w:rFonts w:cs="宋体"/>
                <w:color w:val="auto"/>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cs="宋体"/>
                <w:color w:val="auto"/>
                <w:szCs w:val="21"/>
                <w:highlight w:val="none"/>
              </w:rPr>
            </w:pPr>
            <w:r>
              <w:rPr>
                <w:rFonts w:cs="宋体"/>
                <w:color w:val="auto"/>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cs="宋体"/>
                <w:color w:val="auto"/>
                <w:szCs w:val="21"/>
                <w:highlight w:val="none"/>
              </w:rPr>
            </w:pPr>
            <w:r>
              <w:rPr>
                <w:rFonts w:cs="宋体"/>
                <w:color w:val="auto"/>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cs="宋体"/>
                <w:color w:val="auto"/>
                <w:szCs w:val="21"/>
                <w:highlight w:val="none"/>
              </w:rPr>
            </w:pPr>
            <w:r>
              <w:rPr>
                <w:rFonts w:cs="宋体"/>
                <w:color w:val="auto"/>
                <w:szCs w:val="21"/>
                <w:highlight w:val="none"/>
              </w:rPr>
            </w:r>
            <w:r/>
          </w:p>
        </w:tc>
        <w:tc>
          <w:tcPr>
            <w:tcBorders>
              <w:left w:val="single" w:color="auto" w:sz="4" w:space="0"/>
              <w:bottom w:val="single" w:color="auto" w:sz="4" w:space="0"/>
            </w:tcBorders>
            <w:tcW w:w="1099" w:type="dxa"/>
            <w:textDirection w:val="lrTb"/>
            <w:noWrap w:val="false"/>
          </w:tcPr>
          <w:p>
            <w:pPr>
              <w:jc w:val="center"/>
              <w:rPr>
                <w:rFonts w:cs="宋体"/>
                <w:color w:val="auto"/>
                <w:szCs w:val="21"/>
                <w:highlight w:val="none"/>
              </w:rPr>
            </w:pPr>
            <w:r>
              <w:rPr>
                <w:rFonts w:cs="宋体"/>
                <w:color w:val="auto"/>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cs="宋体"/>
                <w:color w:val="auto"/>
                <w:szCs w:val="21"/>
                <w:highlight w:val="none"/>
              </w:rPr>
            </w:pPr>
            <w:r>
              <w:rPr>
                <w:rFonts w:hint="eastAsia" w:cs="宋体"/>
                <w:color w:val="auto"/>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cs="宋体"/>
                <w:b/>
                <w:color w:val="auto"/>
                <w:szCs w:val="21"/>
                <w:highlight w:val="none"/>
                <w:u w:val="single"/>
              </w:rPr>
            </w:pPr>
            <w:r>
              <w:rPr>
                <w:rFonts w:cs="宋体"/>
                <w:b/>
                <w:color w:val="auto"/>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cs="宋体"/>
                <w:b/>
                <w:color w:val="auto"/>
                <w:szCs w:val="21"/>
                <w:highlight w:val="none"/>
                <w:u w:val="single"/>
              </w:rPr>
            </w:pPr>
            <w:r>
              <w:rPr>
                <w:rFonts w:cs="宋体"/>
                <w:b/>
                <w:color w:val="auto"/>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cs="宋体"/>
                <w:b/>
                <w:color w:val="auto"/>
                <w:szCs w:val="21"/>
                <w:highlight w:val="none"/>
                <w:u w:val="single"/>
              </w:rPr>
            </w:pPr>
            <w:r>
              <w:rPr>
                <w:rFonts w:cs="宋体"/>
                <w:b/>
                <w:color w:val="auto"/>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cs="宋体"/>
                <w:b/>
                <w:color w:val="auto"/>
                <w:szCs w:val="21"/>
                <w:highlight w:val="none"/>
                <w:u w:val="single"/>
              </w:rPr>
            </w:pPr>
            <w:r>
              <w:rPr>
                <w:rFonts w:cs="宋体"/>
                <w:b/>
                <w:color w:val="auto"/>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cs="宋体"/>
                <w:b/>
                <w:color w:val="auto"/>
                <w:szCs w:val="21"/>
                <w:highlight w:val="none"/>
                <w:u w:val="single"/>
              </w:rPr>
            </w:pPr>
            <w:r>
              <w:rPr>
                <w:rFonts w:cs="宋体"/>
                <w:b/>
                <w:color w:val="auto"/>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cs="宋体"/>
                <w:b/>
                <w:color w:val="auto"/>
                <w:szCs w:val="21"/>
                <w:highlight w:val="none"/>
                <w:u w:val="single"/>
              </w:rPr>
            </w:pPr>
            <w:r>
              <w:rPr>
                <w:rFonts w:cs="宋体"/>
                <w:b/>
                <w:color w:val="auto"/>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cs="宋体"/>
                <w:b/>
                <w:color w:val="auto"/>
                <w:szCs w:val="21"/>
                <w:highlight w:val="none"/>
                <w:u w:val="single"/>
              </w:rPr>
            </w:pPr>
            <w:r>
              <w:rPr>
                <w:rFonts w:cs="宋体"/>
                <w:b/>
                <w:color w:val="auto"/>
                <w:szCs w:val="21"/>
                <w:highlight w:val="none"/>
                <w:u w:val="single"/>
              </w:rPr>
            </w:r>
            <w:r/>
          </w:p>
        </w:tc>
      </w:tr>
    </w:tbl>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设备配置、技术指标、安装条件及验收指标等详见附件一技术协议。</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 合同总价款   </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本合同项下货物总价款为人民币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本合同总价款是包括完成对应</w:t>
      </w:r>
      <w:r>
        <w:rPr>
          <w:rFonts w:hint="eastAsia" w:ascii="宋体" w:hAnsi="宋体" w:eastAsia="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乙方企业利润、税金和政策性文件规定及合同包含的所有风险、责任等各项应有费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本合同总价款还包含乙方应当提供的伴随服务/售后服务费用。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本合同执行期间合同总价款不变。</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  履约保证金</w:t>
      </w:r>
      <w:r/>
    </w:p>
    <w:p>
      <w:pPr>
        <w:ind w:firstLine="420"/>
        <w:spacing w:line="360" w:lineRule="auto"/>
        <w:rPr>
          <w:rFonts w:ascii="宋体" w:hAnsi="宋体" w:eastAsia="宋体" w:cs="宋体"/>
          <w:b/>
          <w:color w:val="auto"/>
          <w:szCs w:val="21"/>
          <w:highlight w:val="none"/>
        </w:rPr>
      </w:pPr>
      <w:r>
        <w:rPr>
          <w:rFonts w:hint="eastAsia" w:ascii="宋体" w:hAnsi="宋体" w:eastAsia="宋体" w:cs="宋体"/>
          <w:color w:val="auto"/>
          <w:szCs w:val="21"/>
          <w:highlight w:val="none"/>
        </w:rPr>
        <w:t xml:space="preserve">乙方须在签订合同前缴纳合同金额的10%作为履约保证金，至双方签署最终验收合格证明之日起稳定运行1年后无息退还。履约保证金形式：以支票、汇票、本票或者金融机构、担保机构出具的见索即付保函等非现金形式提交（保函内容须经学校认可）。</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  权利保证</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乙方应保证甲方在使用该货物或其任何一部分时不受第三方提出侵犯其专利权、版权、商标权或其他权利的起诉。一旦出现侵权，乙方应承担全部责任。</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  质量保证</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3、设备的质保期为甲乙双方最终验收合格之日起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个月。质保期内仪器设备本身所发生的问题（人为因素除外），由乙方提供完全无偿的维修服务。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第六条  包装要求</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2、每一包装单元内应附详细的装箱单、质量合格凭证以及其他必须的相关材料。</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第七条  交货</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1、乙方应在本合同生效后</w:t>
      </w:r>
      <w:r>
        <w:rPr>
          <w:rFonts w:hint="eastAsia" w:ascii="宋体" w:hAnsi="宋体" w:eastAsia="宋体" w:cs="宋体"/>
          <w:color w:val="auto"/>
          <w:szCs w:val="21"/>
          <w:highlight w:val="none"/>
          <w:u w:val="single"/>
        </w:rPr>
        <w:t xml:space="preserve">60</w:t>
      </w:r>
      <w:r>
        <w:rPr>
          <w:rFonts w:hint="eastAsia" w:ascii="宋体" w:hAnsi="宋体" w:eastAsia="宋体" w:cs="宋体"/>
          <w:color w:val="auto"/>
          <w:szCs w:val="21"/>
          <w:highlight w:val="none"/>
        </w:rPr>
        <w:t xml:space="preserve">天内按照甲方要求将货物运送至指定仓库开展预验收。预验收合格后，乙方应当在接到甲方通知后5天内，约定二次运输日期（最晚不晚于合同签订后的一年）到甲方指定的仓库开展二次运输，将货物从指定仓库运送至最终安装地点（指定仓库和最终安装地点位于同一建筑的不同楼层）。</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第八条 安装调试、培训和验收</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2、甲方应当在乙方安装调试完成后的 5个工作日内对货物进行验收，验收合格的，由甲方签署验收单并加盖单位公章。特殊情况，甲乙双方协商解决。</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3、验收条款</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（1）预验收</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货物到达甲方指定的仓库后，对货物包装是否完好进行验收。</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（2）最终验收</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货物安装调试完成后，按乙方投标文件中列出的技术指标逐项验收，未规定的其他指标应按国际、国家相关标准、行业通行标准及厂方出厂标准进行验收。</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（3）如果双方对验收结果有争议，可委托双方一致认可的国家相关权威检测中心进行检测，以检测结果作为最终验收结果，费用由乙方承担。</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第九条  伴随服务／售后服务</w:t>
      </w:r>
      <w:r/>
    </w:p>
    <w:p>
      <w:pPr>
        <w:ind w:firstLine="420"/>
        <w:spacing w:line="360" w:lineRule="auto"/>
        <w:tabs>
          <w:tab w:val="left" w:pos="16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1、乙方应按照国家有关法律法规规章和“三包”规定以及合同所附的“服务承诺”（如果有）提供服务。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2、除前款规定外，乙方还应提供下列服务：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（1）货物的现场安装、调试和/或启动监督；</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（2）就货物的安装、启动、运行及维护等对甲方人员进行免费培训。</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3、质保期内，乙方负责对其提供的货物整机进行维修和系统维护（乙方上门服务），不再收取任何费用。</w:t>
      </w:r>
      <w:r/>
    </w:p>
    <w:p>
      <w:pPr>
        <w:ind w:firstLine="420"/>
        <w:spacing w:line="360" w:lineRule="auto"/>
        <w:tabs>
          <w:tab w:val="left" w:pos="16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4、货物故障报修的响应时间为：质保期内设备发生任何部件故障，供应商须在48小时内上门免费维修。。</w:t>
      </w:r>
      <w:r/>
    </w:p>
    <w:p>
      <w:pPr>
        <w:ind w:firstLine="420"/>
        <w:spacing w:line="360" w:lineRule="auto"/>
        <w:tabs>
          <w:tab w:val="left" w:pos="16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5、若货物故障在检修48小时后仍无法排除，乙方应在72小时内免费提供不低于故障货物规格型号档次的备用货物供甲方使用，直至故障货物修复。</w:t>
      </w:r>
      <w:r/>
    </w:p>
    <w:p>
      <w:pPr>
        <w:ind w:firstLine="420"/>
        <w:spacing w:line="360" w:lineRule="auto"/>
        <w:tabs>
          <w:tab w:val="left" w:pos="16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6、质保期后的货物维护由双方协商确定。</w:t>
      </w:r>
      <w:r/>
    </w:p>
    <w:p>
      <w:pPr>
        <w:ind w:firstLine="422"/>
        <w:spacing w:line="360" w:lineRule="auto"/>
        <w:tabs>
          <w:tab w:val="left" w:pos="1620" w:leader="none"/>
        </w:tabs>
        <w:rPr>
          <w:rFonts w:cs="宋体"/>
          <w:b/>
          <w:bCs/>
          <w:color w:val="auto"/>
          <w:szCs w:val="21"/>
          <w:highlight w:val="none"/>
        </w:rPr>
      </w:pPr>
      <w:r>
        <w:rPr>
          <w:rFonts w:hint="eastAsia" w:cs="宋体"/>
          <w:b/>
          <w:bCs/>
          <w:color w:val="auto"/>
          <w:szCs w:val="21"/>
          <w:highlight w:val="none"/>
        </w:rPr>
        <w:t xml:space="preserve">第十条   货款支付</w:t>
      </w:r>
      <w:r/>
    </w:p>
    <w:p>
      <w:pPr>
        <w:ind w:firstLine="420"/>
        <w:spacing w:line="360" w:lineRule="auto"/>
        <w:tabs>
          <w:tab w:val="left" w:pos="1620" w:leader="none"/>
        </w:tabs>
        <w:rPr>
          <w:rFonts w:cs="宋体"/>
          <w:color w:val="auto"/>
          <w:szCs w:val="21"/>
          <w:highlight w:val="none"/>
        </w:rPr>
      </w:pPr>
      <w:r>
        <w:rPr>
          <w:rFonts w:hint="eastAsia" w:cs="宋体"/>
          <w:color w:val="auto"/>
          <w:szCs w:val="21"/>
          <w:highlight w:val="none"/>
        </w:rPr>
        <w:t xml:space="preserve">1、本合同项下所有款项均以人民币支付。</w:t>
      </w:r>
      <w:r/>
    </w:p>
    <w:p>
      <w:pPr>
        <w:ind w:firstLine="420"/>
        <w:spacing w:line="360" w:lineRule="auto"/>
        <w:tabs>
          <w:tab w:val="left" w:pos="1620" w:leader="none"/>
        </w:tabs>
        <w:rPr>
          <w:rFonts w:cs="宋体"/>
          <w:color w:val="auto"/>
          <w:szCs w:val="21"/>
          <w:highlight w:val="none"/>
        </w:rPr>
      </w:pPr>
      <w:r>
        <w:rPr>
          <w:rFonts w:hint="eastAsia" w:cs="宋体"/>
          <w:color w:val="auto"/>
          <w:szCs w:val="21"/>
          <w:highlight w:val="none"/>
        </w:rPr>
        <w:t xml:space="preserve">2、本合同按照以下付款节点及条件支付：</w:t>
      </w:r>
      <w:r/>
    </w:p>
    <w:p>
      <w:pPr>
        <w:ind w:firstLine="420"/>
        <w:spacing w:line="360" w:lineRule="auto"/>
        <w:tabs>
          <w:tab w:val="left" w:pos="1620" w:leader="none"/>
        </w:tabs>
        <w:rPr>
          <w:rFonts w:cs="宋体"/>
          <w:color w:val="auto"/>
          <w:szCs w:val="21"/>
          <w:highlight w:val="none"/>
        </w:rPr>
      </w:pPr>
      <w:r>
        <w:rPr>
          <w:rFonts w:hint="eastAsia" w:cs="宋体"/>
          <w:color w:val="auto"/>
          <w:szCs w:val="21"/>
          <w:highlight w:val="none"/>
        </w:rPr>
        <w:t xml:space="preserve">（1）合同签订且甲方收到乙方缴纳的履约保证金后支付合同总金额的10%作为预付款；</w:t>
      </w:r>
      <w:r/>
    </w:p>
    <w:p>
      <w:pPr>
        <w:ind w:firstLine="420"/>
        <w:spacing w:line="360" w:lineRule="auto"/>
        <w:tabs>
          <w:tab w:val="left" w:pos="1620" w:leader="none"/>
        </w:tabs>
        <w:rPr>
          <w:rFonts w:cs="宋体"/>
          <w:color w:val="auto"/>
          <w:szCs w:val="21"/>
          <w:highlight w:val="none"/>
        </w:rPr>
      </w:pPr>
      <w:r>
        <w:rPr>
          <w:rFonts w:hint="eastAsia" w:cs="宋体"/>
          <w:color w:val="auto"/>
          <w:szCs w:val="21"/>
          <w:highlight w:val="none"/>
        </w:rPr>
        <w:t xml:space="preserve">（2）设备运至甲方指定仓库且预验收合格后支付合同总金额的40%；</w:t>
      </w:r>
      <w:r/>
    </w:p>
    <w:p>
      <w:pPr>
        <w:ind w:firstLine="420"/>
        <w:spacing w:line="360" w:lineRule="auto"/>
        <w:tabs>
          <w:tab w:val="left" w:pos="1620" w:leader="none"/>
        </w:tabs>
        <w:rPr>
          <w:rFonts w:cs="宋体"/>
          <w:color w:val="auto"/>
          <w:szCs w:val="21"/>
          <w:highlight w:val="none"/>
        </w:rPr>
      </w:pPr>
      <w:r>
        <w:rPr>
          <w:rFonts w:hint="eastAsia" w:cs="宋体"/>
          <w:color w:val="auto"/>
          <w:szCs w:val="21"/>
          <w:highlight w:val="none"/>
        </w:rPr>
        <w:t xml:space="preserve">（3）设备完成二次运输、安装、调试，双方签署最终验收合格证明后支付合同总金额的50%。 </w:t>
      </w:r>
      <w:r/>
    </w:p>
    <w:p>
      <w:pPr>
        <w:ind w:firstLine="420"/>
        <w:spacing w:line="360" w:lineRule="auto"/>
        <w:tabs>
          <w:tab w:val="left" w:pos="1620" w:leader="none"/>
        </w:tabs>
        <w:rPr>
          <w:rFonts w:cs="宋体"/>
          <w:color w:val="auto"/>
          <w:szCs w:val="21"/>
          <w:highlight w:val="none"/>
        </w:rPr>
      </w:pPr>
      <w:r>
        <w:rPr>
          <w:rFonts w:hint="eastAsia" w:cs="宋体"/>
          <w:color w:val="auto"/>
          <w:szCs w:val="21"/>
          <w:highlight w:val="none"/>
        </w:rPr>
        <w:t xml:space="preserve">（4）每次付款前，乙方均须提供对应的等额增值税专用发票。</w:t>
      </w:r>
      <w:r/>
    </w:p>
    <w:p>
      <w:pPr>
        <w:ind w:firstLine="420"/>
        <w:spacing w:line="360" w:lineRule="auto"/>
        <w:tabs>
          <w:tab w:val="left" w:pos="1620" w:leader="none"/>
        </w:tabs>
        <w:rPr>
          <w:rFonts w:cs="宋体"/>
          <w:color w:val="auto"/>
          <w:szCs w:val="21"/>
          <w:highlight w:val="none"/>
        </w:rPr>
      </w:pPr>
      <w:r>
        <w:rPr>
          <w:rFonts w:hint="eastAsia" w:cs="宋体"/>
          <w:color w:val="auto"/>
          <w:szCs w:val="21"/>
          <w:highlight w:val="none"/>
        </w:rPr>
        <w:t xml:space="preserve">乙方开户银行：</w:t>
      </w:r>
      <w:r/>
    </w:p>
    <w:p>
      <w:pPr>
        <w:ind w:firstLine="420"/>
        <w:spacing w:line="360" w:lineRule="auto"/>
        <w:tabs>
          <w:tab w:val="left" w:pos="1620" w:leader="none"/>
        </w:tabs>
        <w:rPr>
          <w:rFonts w:cs="宋体"/>
          <w:color w:val="auto"/>
          <w:szCs w:val="21"/>
          <w:highlight w:val="none"/>
        </w:rPr>
      </w:pPr>
      <w:r>
        <w:rPr>
          <w:rFonts w:hint="eastAsia" w:cs="宋体"/>
          <w:color w:val="auto"/>
          <w:szCs w:val="21"/>
          <w:highlight w:val="none"/>
        </w:rPr>
        <w:t xml:space="preserve">银行账号：</w:t>
      </w:r>
      <w:r/>
    </w:p>
    <w:p>
      <w:pPr>
        <w:ind w:firstLine="420"/>
        <w:spacing w:line="360" w:lineRule="auto"/>
        <w:tabs>
          <w:tab w:val="left" w:pos="1620" w:leader="none"/>
        </w:tabs>
        <w:rPr>
          <w:rFonts w:cs="宋体"/>
          <w:color w:val="auto"/>
          <w:szCs w:val="21"/>
          <w:highlight w:val="none"/>
        </w:rPr>
      </w:pPr>
      <w:r>
        <w:rPr>
          <w:rFonts w:hint="eastAsia" w:cs="宋体"/>
          <w:color w:val="auto"/>
          <w:szCs w:val="21"/>
          <w:highlight w:val="none"/>
        </w:rPr>
        <w:t xml:space="preserve">3、付款方式：银行汇票或转账</w:t>
      </w:r>
      <w:r/>
    </w:p>
    <w:p>
      <w:pPr>
        <w:ind w:firstLine="420"/>
        <w:spacing w:line="360" w:lineRule="auto"/>
        <w:tabs>
          <w:tab w:val="left" w:pos="1620" w:leader="none"/>
        </w:tabs>
        <w:rPr>
          <w:rFonts w:cs="宋体"/>
          <w:color w:val="auto"/>
          <w:szCs w:val="21"/>
          <w:highlight w:val="none"/>
        </w:rPr>
      </w:pPr>
      <w:r>
        <w:rPr>
          <w:rFonts w:hint="eastAsia" w:cs="宋体"/>
          <w:color w:val="auto"/>
          <w:szCs w:val="21"/>
          <w:highlight w:val="none"/>
        </w:rPr>
        <w:t xml:space="preserve">4、增值税专用发票开票信息</w:t>
      </w:r>
      <w:r/>
    </w:p>
    <w:tbl>
      <w:tblPr>
        <w:tblStyle w:val="764"/>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466"/>
        <w:gridCol w:w="2820"/>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cs="宋体"/>
                <w:color w:val="auto"/>
                <w:szCs w:val="21"/>
                <w:highlight w:val="none"/>
              </w:rPr>
            </w:pPr>
            <w:r>
              <w:rPr>
                <w:rFonts w:hint="eastAsia" w:cs="宋体"/>
                <w:color w:val="auto"/>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cs="宋体"/>
                <w:color w:val="auto"/>
                <w:szCs w:val="21"/>
                <w:highlight w:val="none"/>
              </w:rPr>
            </w:pPr>
            <w:r>
              <w:rPr>
                <w:rFonts w:hint="eastAsia" w:cs="宋体"/>
                <w:color w:val="auto"/>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苏州大学增值税开票资料"/>
                              <pic:cNvPicPr>
                                <a:picLocks noChangeAspect="1"/>
                              </pic:cNvPicPr>
                              <pic:nvPr/>
                            </pic:nvPicPr>
                            <pic:blipFill>
                              <a:blip r:embed="rId13"/>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3"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cs="宋体"/>
                <w:color w:val="auto"/>
                <w:szCs w:val="21"/>
                <w:highlight w:val="none"/>
              </w:rPr>
            </w:pPr>
            <w:r>
              <w:rPr>
                <w:rFonts w:hint="eastAsia" w:cs="宋体"/>
                <w:color w:val="auto"/>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cs="宋体"/>
                <w:color w:val="auto"/>
                <w:szCs w:val="21"/>
                <w:highlight w:val="none"/>
              </w:rPr>
            </w:pPr>
            <w:r>
              <w:rPr>
                <w:rFonts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cs="宋体"/>
                <w:color w:val="auto"/>
                <w:szCs w:val="21"/>
                <w:highlight w:val="none"/>
              </w:rPr>
            </w:pPr>
            <w:r>
              <w:rPr>
                <w:rFonts w:hint="eastAsia" w:cs="宋体"/>
                <w:color w:val="auto"/>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cs="宋体"/>
                <w:color w:val="auto"/>
                <w:szCs w:val="21"/>
                <w:highlight w:val="none"/>
              </w:rPr>
            </w:pPr>
            <w:r>
              <w:rPr>
                <w:rFonts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cs="宋体"/>
                <w:color w:val="auto"/>
                <w:szCs w:val="21"/>
                <w:highlight w:val="none"/>
              </w:rPr>
            </w:pPr>
            <w:r>
              <w:rPr>
                <w:rFonts w:hint="eastAsia" w:cs="宋体"/>
                <w:color w:val="auto"/>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cs="宋体"/>
                <w:color w:val="auto"/>
                <w:szCs w:val="21"/>
                <w:highlight w:val="none"/>
              </w:rPr>
            </w:pPr>
            <w:r>
              <w:rPr>
                <w:rFonts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cs="宋体"/>
                <w:color w:val="auto"/>
                <w:szCs w:val="21"/>
                <w:highlight w:val="none"/>
              </w:rPr>
            </w:pPr>
            <w:r>
              <w:rPr>
                <w:rFonts w:hint="eastAsia" w:cs="宋体"/>
                <w:color w:val="auto"/>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cs="宋体"/>
                <w:color w:val="auto"/>
                <w:szCs w:val="21"/>
                <w:highlight w:val="none"/>
              </w:rPr>
            </w:pPr>
            <w:r>
              <w:rPr>
                <w:rFonts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cs="宋体"/>
                <w:color w:val="auto"/>
                <w:szCs w:val="21"/>
                <w:highlight w:val="none"/>
              </w:rPr>
            </w:pPr>
            <w:r>
              <w:rPr>
                <w:rFonts w:hint="eastAsia" w:cs="宋体"/>
                <w:color w:val="auto"/>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cs="宋体"/>
                <w:color w:val="auto"/>
                <w:szCs w:val="21"/>
                <w:highlight w:val="none"/>
              </w:rPr>
            </w:pPr>
            <w:r>
              <w:rPr>
                <w:rFonts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cs="宋体"/>
                <w:color w:val="auto"/>
                <w:szCs w:val="21"/>
                <w:highlight w:val="none"/>
              </w:rPr>
            </w:pPr>
            <w:r>
              <w:rPr>
                <w:rFonts w:hint="eastAsia" w:cs="宋体"/>
                <w:color w:val="auto"/>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cs="宋体"/>
                <w:color w:val="auto"/>
                <w:szCs w:val="21"/>
                <w:highlight w:val="none"/>
              </w:rPr>
            </w:pPr>
            <w:r>
              <w:rPr>
                <w:rFonts w:cs="宋体"/>
                <w:color w:val="auto"/>
                <w:szCs w:val="21"/>
                <w:highlight w:val="none"/>
              </w:rPr>
            </w:r>
            <w:r/>
          </w:p>
        </w:tc>
      </w:tr>
    </w:tbl>
    <w:p>
      <w:pPr>
        <w:ind w:firstLine="422"/>
        <w:spacing w:line="360" w:lineRule="auto"/>
        <w:rPr>
          <w:rFonts w:cs="宋体"/>
          <w:b/>
          <w:color w:val="auto"/>
          <w:szCs w:val="21"/>
          <w:highlight w:val="none"/>
        </w:rPr>
      </w:pPr>
      <w:r>
        <w:rPr>
          <w:rFonts w:hint="eastAsia" w:cs="宋体"/>
          <w:b/>
          <w:color w:val="auto"/>
          <w:szCs w:val="21"/>
          <w:highlight w:val="none"/>
        </w:rPr>
        <w:t xml:space="preserve">第十一条　违约责任</w:t>
      </w:r>
      <w:r/>
    </w:p>
    <w:p>
      <w:pPr>
        <w:ind w:firstLine="420"/>
        <w:spacing w:line="360" w:lineRule="auto"/>
        <w:rPr>
          <w:rFonts w:cs="宋体"/>
          <w:color w:val="auto"/>
          <w:szCs w:val="21"/>
          <w:highlight w:val="none"/>
        </w:rPr>
      </w:pPr>
      <w:r>
        <w:rPr>
          <w:rFonts w:hint="eastAsia" w:cs="宋体"/>
          <w:color w:val="auto"/>
          <w:szCs w:val="21"/>
          <w:highlight w:val="none"/>
        </w:rPr>
        <w:t xml:space="preserve">1、乙方逾期将货物运送至甲方指定仓库的，每逾期1周（不足1周按1周计算），乙方向甲方偿付逾期交货部分货款总额的5‰的滞纳金。如乙方逾期</w:t>
      </w:r>
      <w:r>
        <w:rPr>
          <w:rFonts w:hint="eastAsia" w:cs="宋体"/>
          <w:color w:val="auto"/>
          <w:szCs w:val="21"/>
          <w:highlight w:val="none"/>
          <w:u w:val="single"/>
        </w:rPr>
        <w:t xml:space="preserve">15</w:t>
      </w:r>
      <w:r>
        <w:rPr>
          <w:rFonts w:hint="eastAsia" w:cs="宋体"/>
          <w:color w:val="auto"/>
          <w:szCs w:val="21"/>
          <w:highlight w:val="none"/>
        </w:rPr>
        <w:t xml:space="preserve">天仍未交齐货物的，甲方有权终止合同，乙方则应按合同总价的5%向甲方支付违约金，并全额退还甲方所有预付给乙方的货款。</w:t>
      </w:r>
      <w:r/>
    </w:p>
    <w:p>
      <w:pPr>
        <w:ind w:firstLine="420"/>
        <w:spacing w:line="360" w:lineRule="auto"/>
        <w:rPr>
          <w:rFonts w:cs="宋体"/>
          <w:color w:val="auto"/>
          <w:szCs w:val="21"/>
          <w:highlight w:val="none"/>
        </w:rPr>
      </w:pPr>
      <w:r>
        <w:rPr>
          <w:rFonts w:hint="eastAsia" w:cs="宋体"/>
          <w:color w:val="auto"/>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420"/>
        <w:spacing w:line="360" w:lineRule="auto"/>
        <w:rPr>
          <w:rFonts w:cs="宋体"/>
          <w:color w:val="auto"/>
          <w:szCs w:val="21"/>
          <w:highlight w:val="none"/>
        </w:rPr>
      </w:pPr>
      <w:r>
        <w:rPr>
          <w:rFonts w:hint="eastAsia" w:cs="宋体"/>
          <w:color w:val="auto"/>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420"/>
        <w:spacing w:line="360" w:lineRule="auto"/>
        <w:rPr>
          <w:rFonts w:cs="宋体"/>
          <w:color w:val="auto"/>
          <w:szCs w:val="21"/>
          <w:highlight w:val="none"/>
        </w:rPr>
      </w:pPr>
      <w:r>
        <w:rPr>
          <w:rFonts w:hint="eastAsia" w:cs="宋体"/>
          <w:color w:val="auto"/>
          <w:szCs w:val="21"/>
          <w:highlight w:val="none"/>
        </w:rPr>
        <w:t xml:space="preserve">4、乙方未按本合同的规定和“服务承诺”提供伴随服务/售后服务的，应按合同总价款的5%向甲方承担违约责任。</w:t>
      </w:r>
      <w:r/>
    </w:p>
    <w:p>
      <w:pPr>
        <w:ind w:firstLine="420"/>
        <w:spacing w:line="360" w:lineRule="auto"/>
        <w:rPr>
          <w:rFonts w:cs="宋体"/>
          <w:color w:val="auto"/>
          <w:szCs w:val="21"/>
          <w:highlight w:val="none"/>
        </w:rPr>
      </w:pPr>
      <w:r>
        <w:rPr>
          <w:rFonts w:hint="eastAsia" w:cs="宋体"/>
          <w:color w:val="auto"/>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22"/>
        <w:spacing w:line="360" w:lineRule="auto"/>
        <w:rPr>
          <w:rFonts w:cs="宋体"/>
          <w:b/>
          <w:bCs/>
          <w:color w:val="auto"/>
          <w:szCs w:val="21"/>
          <w:highlight w:val="none"/>
        </w:rPr>
      </w:pPr>
      <w:r>
        <w:rPr>
          <w:rFonts w:hint="eastAsia" w:cs="宋体"/>
          <w:b/>
          <w:bCs/>
          <w:color w:val="auto"/>
          <w:szCs w:val="21"/>
          <w:highlight w:val="none"/>
        </w:rPr>
        <w:t xml:space="preserve">第十二条  不可抗力</w:t>
      </w:r>
      <w:r/>
    </w:p>
    <w:p>
      <w:pPr>
        <w:ind w:firstLine="420"/>
        <w:spacing w:line="360" w:lineRule="auto"/>
        <w:rPr>
          <w:rFonts w:cs="宋体"/>
          <w:color w:val="auto"/>
          <w:szCs w:val="21"/>
          <w:highlight w:val="none"/>
        </w:rPr>
      </w:pPr>
      <w:r>
        <w:rPr>
          <w:rFonts w:hint="eastAsia" w:cs="宋体"/>
          <w:color w:val="auto"/>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20"/>
        <w:spacing w:line="360" w:lineRule="auto"/>
        <w:rPr>
          <w:rFonts w:cs="宋体"/>
          <w:color w:val="auto"/>
          <w:szCs w:val="21"/>
          <w:highlight w:val="none"/>
        </w:rPr>
      </w:pPr>
      <w:r>
        <w:rPr>
          <w:rFonts w:hint="eastAsia" w:cs="宋体"/>
          <w:color w:val="auto"/>
          <w:szCs w:val="21"/>
          <w:highlight w:val="none"/>
        </w:rPr>
        <w:t xml:space="preserve">2、因不可抗力致使完全不能履行合同的，本协议终止，双方无须承担任何责任，但本协议另有规定的除外。</w:t>
      </w:r>
      <w:r/>
    </w:p>
    <w:p>
      <w:pPr>
        <w:ind w:firstLine="420"/>
        <w:spacing w:line="360" w:lineRule="auto"/>
        <w:rPr>
          <w:rFonts w:cs="宋体"/>
          <w:color w:val="auto"/>
          <w:szCs w:val="21"/>
          <w:highlight w:val="none"/>
        </w:rPr>
      </w:pPr>
      <w:r>
        <w:rPr>
          <w:rFonts w:hint="eastAsia" w:cs="宋体"/>
          <w:color w:val="auto"/>
          <w:szCs w:val="21"/>
          <w:highlight w:val="none"/>
        </w:rPr>
        <w:t xml:space="preserve">3、因发生不可抗力致使部分不能履行本合同的（包括导致延期履行），根据不可抗力的影响，免除相应的责任，但本合同另有规定的除外。</w:t>
      </w:r>
      <w:r/>
    </w:p>
    <w:p>
      <w:pPr>
        <w:ind w:firstLine="420"/>
        <w:spacing w:line="360" w:lineRule="auto"/>
        <w:rPr>
          <w:rFonts w:cs="宋体"/>
          <w:color w:val="auto"/>
          <w:szCs w:val="21"/>
          <w:highlight w:val="none"/>
        </w:rPr>
      </w:pPr>
      <w:r>
        <w:rPr>
          <w:rFonts w:hint="eastAsia" w:cs="宋体"/>
          <w:color w:val="auto"/>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20"/>
        <w:spacing w:line="360" w:lineRule="auto"/>
        <w:rPr>
          <w:rFonts w:cs="宋体"/>
          <w:color w:val="auto"/>
          <w:szCs w:val="21"/>
          <w:highlight w:val="none"/>
        </w:rPr>
      </w:pPr>
      <w:r>
        <w:rPr>
          <w:rFonts w:hint="eastAsia" w:cs="宋体"/>
          <w:color w:val="auto"/>
          <w:szCs w:val="21"/>
          <w:highlight w:val="none"/>
        </w:rPr>
        <w:t xml:space="preserve">5、因合同一方延迟履行合同后发生不可抗力的，不能免除延迟履行方的相应责任。</w:t>
      </w:r>
      <w:r/>
    </w:p>
    <w:p>
      <w:pPr>
        <w:ind w:firstLine="422"/>
        <w:spacing w:line="360" w:lineRule="auto"/>
        <w:rPr>
          <w:rFonts w:cs="宋体"/>
          <w:b/>
          <w:color w:val="auto"/>
          <w:szCs w:val="21"/>
          <w:highlight w:val="none"/>
        </w:rPr>
      </w:pPr>
      <w:r>
        <w:rPr>
          <w:rFonts w:hint="eastAsia" w:cs="宋体"/>
          <w:b/>
          <w:color w:val="auto"/>
          <w:szCs w:val="21"/>
          <w:highlight w:val="none"/>
        </w:rPr>
        <w:t xml:space="preserve">第十三条　合同的变更和终止</w:t>
      </w:r>
      <w:r/>
    </w:p>
    <w:p>
      <w:pPr>
        <w:ind w:firstLine="420"/>
        <w:spacing w:line="360" w:lineRule="auto"/>
        <w:rPr>
          <w:rFonts w:cs="宋体"/>
          <w:color w:val="auto"/>
          <w:szCs w:val="21"/>
          <w:highlight w:val="none"/>
        </w:rPr>
      </w:pPr>
      <w:r>
        <w:rPr>
          <w:rFonts w:hint="eastAsia" w:cs="宋体"/>
          <w:color w:val="auto"/>
          <w:szCs w:val="21"/>
          <w:highlight w:val="none"/>
        </w:rPr>
        <w:t xml:space="preserve">本合同一经签订，甲乙双方不得擅自变更、中止或终止合同。</w:t>
      </w:r>
      <w:r/>
    </w:p>
    <w:p>
      <w:pPr>
        <w:ind w:firstLine="422"/>
        <w:spacing w:line="360" w:lineRule="auto"/>
        <w:rPr>
          <w:rFonts w:cs="宋体"/>
          <w:b/>
          <w:color w:val="auto"/>
          <w:szCs w:val="21"/>
          <w:highlight w:val="none"/>
        </w:rPr>
      </w:pPr>
      <w:r>
        <w:rPr>
          <w:rFonts w:hint="eastAsia" w:cs="宋体"/>
          <w:b/>
          <w:color w:val="auto"/>
          <w:szCs w:val="21"/>
          <w:highlight w:val="none"/>
        </w:rPr>
        <w:t xml:space="preserve">第十四条　合同的转让</w:t>
      </w:r>
      <w:r/>
    </w:p>
    <w:p>
      <w:pPr>
        <w:ind w:firstLine="420"/>
        <w:spacing w:line="360" w:lineRule="auto"/>
        <w:rPr>
          <w:rFonts w:cs="宋体"/>
          <w:color w:val="auto"/>
          <w:szCs w:val="21"/>
          <w:highlight w:val="none"/>
        </w:rPr>
      </w:pPr>
      <w:r>
        <w:rPr>
          <w:rFonts w:hint="eastAsia" w:cs="宋体"/>
          <w:color w:val="auto"/>
          <w:szCs w:val="21"/>
          <w:highlight w:val="none"/>
        </w:rPr>
        <w:t xml:space="preserve">未经甲方书面同意，乙方不得擅自部分或全部转让其应履行的合同义务。</w:t>
      </w:r>
      <w:r/>
    </w:p>
    <w:p>
      <w:pPr>
        <w:ind w:firstLine="422"/>
        <w:spacing w:line="360" w:lineRule="auto"/>
        <w:rPr>
          <w:rFonts w:cs="宋体"/>
          <w:b/>
          <w:color w:val="auto"/>
          <w:szCs w:val="21"/>
          <w:highlight w:val="none"/>
        </w:rPr>
      </w:pPr>
      <w:r>
        <w:rPr>
          <w:rFonts w:hint="eastAsia" w:cs="宋体"/>
          <w:b/>
          <w:color w:val="auto"/>
          <w:szCs w:val="21"/>
          <w:highlight w:val="none"/>
        </w:rPr>
        <w:t xml:space="preserve">第十五条  争议的解决</w:t>
      </w:r>
      <w:r/>
    </w:p>
    <w:p>
      <w:pPr>
        <w:ind w:firstLine="420"/>
        <w:spacing w:line="360" w:lineRule="auto"/>
        <w:rPr>
          <w:rFonts w:cs="宋体"/>
          <w:color w:val="auto"/>
          <w:szCs w:val="21"/>
          <w:highlight w:val="none"/>
        </w:rPr>
      </w:pPr>
      <w:r>
        <w:rPr>
          <w:rFonts w:hint="eastAsia" w:cs="宋体"/>
          <w:color w:val="auto"/>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422"/>
        <w:spacing w:line="360" w:lineRule="auto"/>
        <w:rPr>
          <w:rFonts w:cs="宋体"/>
          <w:b/>
          <w:color w:val="auto"/>
          <w:szCs w:val="21"/>
          <w:highlight w:val="none"/>
        </w:rPr>
      </w:pPr>
      <w:r>
        <w:rPr>
          <w:rFonts w:hint="eastAsia" w:cs="宋体"/>
          <w:b/>
          <w:color w:val="auto"/>
          <w:szCs w:val="21"/>
          <w:highlight w:val="none"/>
        </w:rPr>
        <w:t xml:space="preserve">第十六条   合同生效及其他</w:t>
      </w:r>
      <w:r/>
    </w:p>
    <w:p>
      <w:pPr>
        <w:ind w:firstLine="420"/>
        <w:spacing w:line="360" w:lineRule="auto"/>
        <w:rPr>
          <w:rFonts w:cs="宋体"/>
          <w:color w:val="auto"/>
          <w:szCs w:val="21"/>
          <w:highlight w:val="none"/>
        </w:rPr>
      </w:pPr>
      <w:r>
        <w:rPr>
          <w:rFonts w:hint="eastAsia" w:cs="宋体"/>
          <w:color w:val="auto"/>
          <w:szCs w:val="21"/>
          <w:highlight w:val="none"/>
        </w:rPr>
        <w:t xml:space="preserve">1、下列文件作为本合同不可分割的部分：</w:t>
      </w:r>
      <w:r/>
    </w:p>
    <w:p>
      <w:pPr>
        <w:ind w:firstLine="420"/>
        <w:spacing w:line="360" w:lineRule="auto"/>
        <w:rPr>
          <w:rFonts w:cs="宋体"/>
          <w:color w:val="auto"/>
          <w:szCs w:val="21"/>
          <w:highlight w:val="none"/>
        </w:rPr>
      </w:pPr>
      <w:r>
        <w:rPr>
          <w:rFonts w:hint="eastAsia" w:cs="宋体"/>
          <w:color w:val="auto"/>
          <w:szCs w:val="21"/>
          <w:highlight w:val="none"/>
        </w:rPr>
        <w:t xml:space="preserve">采购文件及其附件；</w:t>
      </w:r>
      <w:r/>
    </w:p>
    <w:p>
      <w:pPr>
        <w:ind w:firstLine="420"/>
        <w:spacing w:line="360" w:lineRule="auto"/>
        <w:rPr>
          <w:rFonts w:cs="宋体"/>
          <w:color w:val="auto"/>
          <w:szCs w:val="21"/>
          <w:highlight w:val="none"/>
        </w:rPr>
      </w:pPr>
      <w:r>
        <w:rPr>
          <w:rFonts w:hint="eastAsia" w:cs="宋体"/>
          <w:color w:val="auto"/>
          <w:szCs w:val="21"/>
          <w:highlight w:val="none"/>
        </w:rPr>
        <w:t xml:space="preserve">乙方的响应文件；</w:t>
      </w:r>
      <w:r/>
    </w:p>
    <w:p>
      <w:pPr>
        <w:ind w:firstLine="420"/>
        <w:spacing w:line="360" w:lineRule="auto"/>
        <w:rPr>
          <w:rFonts w:cs="宋体"/>
          <w:color w:val="auto"/>
          <w:szCs w:val="21"/>
          <w:highlight w:val="none"/>
        </w:rPr>
      </w:pPr>
      <w:r>
        <w:rPr>
          <w:rFonts w:hint="eastAsia" w:cs="宋体"/>
          <w:color w:val="auto"/>
          <w:szCs w:val="21"/>
          <w:highlight w:val="none"/>
        </w:rPr>
        <w:t xml:space="preserve">乙方在采购过程中所作的其他承诺、声明、书面澄清等；</w:t>
      </w:r>
      <w:r/>
    </w:p>
    <w:p>
      <w:pPr>
        <w:ind w:firstLine="420"/>
        <w:spacing w:line="360" w:lineRule="auto"/>
        <w:rPr>
          <w:rFonts w:cs="宋体"/>
          <w:color w:val="auto"/>
          <w:szCs w:val="21"/>
          <w:highlight w:val="none"/>
        </w:rPr>
      </w:pPr>
      <w:r>
        <w:rPr>
          <w:rFonts w:hint="eastAsia" w:cs="宋体"/>
          <w:color w:val="auto"/>
          <w:szCs w:val="21"/>
          <w:highlight w:val="none"/>
        </w:rPr>
        <w:t xml:space="preserve">合同附件等。</w:t>
      </w:r>
      <w:r/>
    </w:p>
    <w:p>
      <w:pPr>
        <w:ind w:firstLine="420"/>
        <w:spacing w:line="360" w:lineRule="auto"/>
        <w:rPr>
          <w:rFonts w:cs="宋体"/>
          <w:color w:val="auto"/>
          <w:szCs w:val="21"/>
          <w:highlight w:val="none"/>
        </w:rPr>
      </w:pPr>
      <w:r>
        <w:rPr>
          <w:rFonts w:hint="eastAsia" w:cs="宋体"/>
          <w:color w:val="auto"/>
          <w:szCs w:val="21"/>
          <w:highlight w:val="none"/>
        </w:rPr>
        <w:t xml:space="preserve">2、本合同自合同双方签字、盖章之日起生效。</w:t>
      </w:r>
      <w:r/>
    </w:p>
    <w:p>
      <w:pPr>
        <w:ind w:firstLine="420"/>
        <w:spacing w:line="360" w:lineRule="auto"/>
        <w:rPr>
          <w:rFonts w:cs="宋体"/>
          <w:color w:val="auto"/>
          <w:szCs w:val="21"/>
          <w:highlight w:val="none"/>
        </w:rPr>
      </w:pPr>
      <w:r>
        <w:rPr>
          <w:rFonts w:hint="eastAsia" w:cs="宋体"/>
          <w:color w:val="auto"/>
          <w:szCs w:val="21"/>
          <w:highlight w:val="none"/>
        </w:rPr>
        <w:t xml:space="preserve">3、本合同一式5 份，甲方执 3 份，乙方执 1 份，代理机构执1份，具有同等法律效力。</w:t>
      </w:r>
      <w:r/>
    </w:p>
    <w:p>
      <w:pPr>
        <w:ind w:firstLine="420"/>
        <w:spacing w:line="360" w:lineRule="auto"/>
        <w:rPr>
          <w:rFonts w:cs="宋体"/>
          <w:color w:val="auto"/>
          <w:szCs w:val="21"/>
          <w:highlight w:val="none"/>
        </w:rPr>
      </w:pPr>
      <w:r>
        <w:rPr>
          <w:rFonts w:hint="eastAsia" w:cs="宋体"/>
          <w:color w:val="auto"/>
          <w:szCs w:val="21"/>
          <w:highlight w:val="none"/>
        </w:rPr>
        <w:t xml:space="preserve">甲方（盖章）：                   乙方（盖章）：    </w:t>
      </w:r>
      <w:r/>
    </w:p>
    <w:p>
      <w:pPr>
        <w:ind w:firstLine="420"/>
        <w:spacing w:line="360" w:lineRule="auto"/>
        <w:rPr>
          <w:rFonts w:cs="宋体"/>
          <w:color w:val="auto"/>
          <w:szCs w:val="21"/>
          <w:highlight w:val="none"/>
        </w:rPr>
      </w:pPr>
      <w:r>
        <w:rPr>
          <w:rFonts w:hint="eastAsia" w:cs="宋体"/>
          <w:color w:val="auto"/>
          <w:szCs w:val="21"/>
          <w:highlight w:val="none"/>
        </w:rPr>
        <w:t xml:space="preserve">单位地址：                       单位地址： </w:t>
      </w:r>
      <w:r/>
    </w:p>
    <w:p>
      <w:pPr>
        <w:ind w:firstLine="420"/>
        <w:spacing w:line="360" w:lineRule="auto"/>
        <w:rPr>
          <w:rFonts w:cs="宋体"/>
          <w:color w:val="auto"/>
          <w:szCs w:val="21"/>
          <w:highlight w:val="none"/>
        </w:rPr>
      </w:pPr>
      <w:r>
        <w:rPr>
          <w:rFonts w:hint="eastAsia" w:cs="宋体"/>
          <w:color w:val="auto"/>
          <w:szCs w:val="21"/>
          <w:highlight w:val="none"/>
        </w:rPr>
        <w:t xml:space="preserve">设备购置负责人：                 授权代表：</w:t>
      </w:r>
      <w:r/>
    </w:p>
    <w:p>
      <w:pPr>
        <w:ind w:firstLine="420"/>
        <w:spacing w:line="360" w:lineRule="auto"/>
        <w:rPr>
          <w:rFonts w:cs="宋体"/>
          <w:color w:val="auto"/>
          <w:szCs w:val="21"/>
          <w:highlight w:val="none"/>
        </w:rPr>
      </w:pPr>
      <w:r>
        <w:rPr>
          <w:rFonts w:hint="eastAsia" w:cs="宋体"/>
          <w:color w:val="auto"/>
          <w:szCs w:val="21"/>
          <w:highlight w:val="none"/>
        </w:rPr>
        <w:t xml:space="preserve">电话：                           电话：</w:t>
      </w:r>
      <w:r/>
    </w:p>
    <w:p>
      <w:pPr>
        <w:ind w:firstLine="420"/>
        <w:spacing w:line="360" w:lineRule="auto"/>
        <w:rPr>
          <w:rFonts w:cs="宋体"/>
          <w:color w:val="auto"/>
          <w:szCs w:val="21"/>
          <w:highlight w:val="none"/>
        </w:rPr>
      </w:pPr>
      <w:r>
        <w:rPr>
          <w:rFonts w:hint="eastAsia" w:cs="宋体"/>
          <w:color w:val="auto"/>
          <w:szCs w:val="21"/>
          <w:highlight w:val="none"/>
        </w:rPr>
        <w:t xml:space="preserve">采购部门经办人：                 经办人：</w:t>
      </w:r>
      <w:r/>
    </w:p>
    <w:p>
      <w:pPr>
        <w:ind w:firstLine="420"/>
        <w:spacing w:line="360" w:lineRule="auto"/>
        <w:rPr>
          <w:rFonts w:cs="宋体"/>
          <w:color w:val="auto"/>
          <w:szCs w:val="21"/>
          <w:highlight w:val="none"/>
        </w:rPr>
      </w:pPr>
      <w:r>
        <w:rPr>
          <w:rFonts w:hint="eastAsia" w:cs="宋体"/>
          <w:color w:val="auto"/>
          <w:szCs w:val="21"/>
          <w:highlight w:val="none"/>
        </w:rPr>
        <w:t xml:space="preserve">        审核人：</w:t>
      </w:r>
      <w:r/>
    </w:p>
    <w:p>
      <w:pPr>
        <w:ind w:firstLine="420"/>
        <w:spacing w:line="360" w:lineRule="auto"/>
        <w:rPr>
          <w:rFonts w:cs="宋体"/>
          <w:color w:val="auto"/>
          <w:szCs w:val="21"/>
          <w:highlight w:val="none"/>
        </w:rPr>
      </w:pPr>
      <w:r>
        <w:rPr>
          <w:rFonts w:hint="eastAsia" w:cs="宋体"/>
          <w:color w:val="auto"/>
          <w:szCs w:val="21"/>
          <w:highlight w:val="none"/>
        </w:rPr>
        <w:t xml:space="preserve">电话：                           电话：                          </w:t>
      </w:r>
      <w:r/>
    </w:p>
    <w:p>
      <w:pPr>
        <w:ind w:firstLine="420"/>
        <w:spacing w:line="360" w:lineRule="auto"/>
        <w:rPr>
          <w:color w:val="auto"/>
          <w:szCs w:val="24"/>
          <w:highlight w:val="none"/>
        </w:rPr>
      </w:pPr>
      <w:r>
        <w:rPr>
          <w:rFonts w:hint="eastAsia" w:cs="宋体"/>
          <w:color w:val="auto"/>
          <w:szCs w:val="21"/>
          <w:highlight w:val="none"/>
        </w:rPr>
        <w:t xml:space="preserve">日期：   年     月    日         日期：   年     月    日           </w:t>
      </w:r>
      <w:r/>
    </w:p>
    <w:p>
      <w:pPr>
        <w:ind w:firstLine="883"/>
        <w:spacing w:line="360" w:lineRule="auto"/>
        <w:rPr>
          <w:rFonts w:ascii="宋体" w:hAnsi="宋体" w:eastAsia="宋体" w:cs="宋体"/>
          <w:b/>
          <w:color w:val="auto"/>
          <w:sz w:val="44"/>
          <w:highlight w:val="none"/>
        </w:rPr>
      </w:pPr>
      <w:r/>
      <w:bookmarkStart w:id="7" w:name="_Toc9204"/>
      <w:r>
        <w:rPr>
          <w:rFonts w:ascii="宋体" w:hAnsi="宋体" w:eastAsia="宋体" w:cs="宋体"/>
          <w:b/>
          <w:color w:val="auto"/>
          <w:sz w:val="44"/>
          <w:highlight w:val="none"/>
        </w:rPr>
        <w:br w:type="page" w:clear="all"/>
      </w:r>
      <w:r/>
    </w:p>
    <w:p>
      <w:pPr>
        <w:pStyle w:val="754"/>
        <w:jc w:val="center"/>
        <w:spacing w:before="340" w:after="330" w:line="1056" w:lineRule="atLeast"/>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pStyle w:val="754"/>
        <w:jc w:val="center"/>
        <w:spacing w:before="340" w:after="330" w:line="1056" w:lineRule="atLeast"/>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pStyle w:val="754"/>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第六章 评标办法及标准</w:t>
      </w:r>
      <w:bookmarkEnd w:id="7"/>
      <w:r/>
      <w:r/>
    </w:p>
    <w:p>
      <w:pPr>
        <w:ind w:firstLine="1968"/>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firstLine="482"/>
        <w:spacing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一、评标办法</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本次招标评标采用为</w:t>
      </w:r>
      <w:r>
        <w:rPr>
          <w:rFonts w:ascii="宋体" w:hAnsi="宋体" w:eastAsia="宋体" w:cs="宋体"/>
          <w:color w:val="auto"/>
          <w:sz w:val="24"/>
          <w:highlight w:val="none"/>
          <w:u w:val="single"/>
        </w:rPr>
        <w:t xml:space="preserve">综合评分法</w:t>
      </w:r>
      <w:r>
        <w:rPr>
          <w:rFonts w:ascii="宋体" w:hAnsi="宋体" w:eastAsia="宋体" w:cs="宋体"/>
          <w:color w:val="auto"/>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评标时，评标委员会成员按照招标文件规定的评分标准，独立对每个</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的评标总得分。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通过资格审查、符合性审查的不同</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参加同一合同项下投标，提供的品牌</w:t>
      </w:r>
      <w:r>
        <w:rPr>
          <w:rFonts w:hint="eastAsia" w:ascii="宋体" w:hAnsi="宋体" w:eastAsia="宋体" w:cs="宋体"/>
          <w:color w:val="auto"/>
          <w:sz w:val="24"/>
          <w:highlight w:val="none"/>
        </w:rPr>
        <w:t xml:space="preserve">（核心品牌）</w:t>
      </w:r>
      <w:r>
        <w:rPr>
          <w:rFonts w:ascii="宋体" w:hAnsi="宋体" w:eastAsia="宋体" w:cs="宋体"/>
          <w:color w:val="auto"/>
          <w:sz w:val="24"/>
          <w:highlight w:val="none"/>
        </w:rPr>
        <w:t xml:space="preserve">相同的，按一家</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计算，评审后综合得分最高的同品牌</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获得</w:t>
      </w:r>
      <w:r>
        <w:rPr>
          <w:rFonts w:hint="eastAsia" w:ascii="宋体" w:hAnsi="宋体" w:eastAsia="宋体" w:cs="宋体"/>
          <w:color w:val="auto"/>
          <w:sz w:val="24"/>
          <w:highlight w:val="none"/>
        </w:rPr>
        <w:t xml:space="preserve">中标单位</w:t>
      </w:r>
      <w:r>
        <w:rPr>
          <w:rFonts w:ascii="宋体" w:hAnsi="宋体" w:eastAsia="宋体" w:cs="宋体"/>
          <w:color w:val="auto"/>
          <w:sz w:val="24"/>
          <w:highlight w:val="none"/>
        </w:rPr>
        <w:t xml:space="preserve">推荐资格；评审综合得分相同的，由采购人或采购人委托评标委员会确定一个投标报价最低的同品牌</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获得</w:t>
      </w:r>
      <w:r>
        <w:rPr>
          <w:rFonts w:hint="eastAsia" w:ascii="宋体" w:hAnsi="宋体" w:eastAsia="宋体" w:cs="宋体"/>
          <w:color w:val="auto"/>
          <w:sz w:val="24"/>
          <w:highlight w:val="none"/>
        </w:rPr>
        <w:t xml:space="preserve">中标单位</w:t>
      </w:r>
      <w:r>
        <w:rPr>
          <w:rFonts w:ascii="宋体" w:hAnsi="宋体" w:eastAsia="宋体" w:cs="宋体"/>
          <w:color w:val="auto"/>
          <w:sz w:val="24"/>
          <w:highlight w:val="none"/>
        </w:rPr>
        <w:t xml:space="preserve">推荐资格；同品牌</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综合得分和投标报价均相同的，由评标委员会采取随机抽取方式确定获得</w:t>
      </w:r>
      <w:r>
        <w:rPr>
          <w:rFonts w:hint="eastAsia" w:ascii="宋体" w:hAnsi="宋体" w:eastAsia="宋体" w:cs="宋体"/>
          <w:color w:val="auto"/>
          <w:sz w:val="24"/>
          <w:highlight w:val="none"/>
        </w:rPr>
        <w:t xml:space="preserve">中标单位</w:t>
      </w:r>
      <w:r>
        <w:rPr>
          <w:rFonts w:ascii="宋体" w:hAnsi="宋体" w:eastAsia="宋体" w:cs="宋体"/>
          <w:color w:val="auto"/>
          <w:sz w:val="24"/>
          <w:highlight w:val="none"/>
        </w:rPr>
        <w:t xml:space="preserve">推荐资格的同品牌</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，其他同品牌</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不作为中标候选人。</w:t>
      </w:r>
      <w:r/>
    </w:p>
    <w:p>
      <w:pPr>
        <w:ind w:firstLine="480"/>
        <w:spacing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4.投标文件满足招标文件全部实质性要求，且按照前述综合评审得分由高到低的排序选择前三名供应商作为中标候选人。</w:t>
      </w:r>
      <w:r/>
    </w:p>
    <w:p>
      <w:pPr>
        <w:ind w:firstLine="482"/>
        <w:spacing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w:t>
      </w:r>
      <w:r>
        <w:rPr>
          <w:rFonts w:hint="eastAsia" w:ascii="宋体" w:hAnsi="宋体" w:eastAsia="宋体" w:cs="宋体"/>
          <w:b/>
          <w:color w:val="auto"/>
          <w:sz w:val="24"/>
          <w:highlight w:val="none"/>
        </w:rPr>
        <w:t xml:space="preserve">评审要求</w:t>
      </w:r>
      <w:r/>
    </w:p>
    <w:p>
      <w:pPr>
        <w:ind w:firstLine="482"/>
        <w:spacing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1.政府采购评审中出现下列情形之一的，评审委员会应当启动异常低价投标（响应）审查程序：</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0"/>
        <w:ind w:left="0" w:right="0" w:firstLine="482"/>
        <w:rPr>
          <w:rFonts w:hint="default"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2.针对中小型企业、残疾人福利企业和监狱企业的评审：</w:t>
      </w:r>
      <w:r/>
    </w:p>
    <w:p>
      <w:pPr>
        <w:pStyle w:val="770"/>
        <w:ind w:left="0" w:right="0" w:firstLine="480"/>
        <w:rPr>
          <w:rFonts w:hint="default" w:ascii="宋体" w:hAnsi="宋体" w:eastAsia="宋体" w:cs="宋体"/>
          <w:b/>
          <w:bCs/>
          <w:color w:val="auto"/>
          <w:sz w:val="24"/>
          <w:szCs w:val="24"/>
          <w:highlight w:val="none"/>
        </w:rPr>
      </w:pPr>
      <w:r>
        <w:rPr>
          <w:rFonts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w:t>
      </w:r>
      <w:r>
        <w:rPr>
          <w:rFonts w:ascii="宋体" w:hAnsi="宋体" w:eastAsia="宋体" w:cs="宋体"/>
          <w:b/>
          <w:bCs/>
          <w:color w:val="auto"/>
          <w:sz w:val="24"/>
          <w:szCs w:val="24"/>
          <w:highlight w:val="none"/>
        </w:rPr>
        <w:t xml:space="preserve">对小型和微型企业产品或服务的价格给予10%的扣除，用扣除后的价格参与评审。</w:t>
      </w:r>
      <w:r/>
    </w:p>
    <w:p>
      <w:pPr>
        <w:pStyle w:val="770"/>
        <w:ind w:left="0" w:right="0" w:firstLine="482"/>
        <w:rPr>
          <w:rFonts w:hint="default"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3.</w:t>
      </w:r>
      <w:r>
        <w:rPr>
          <w:rStyle w:val="792"/>
          <w:rFonts w:ascii="宋体" w:hAnsi="宋体" w:eastAsia="宋体" w:cs="宋体"/>
          <w:color w:val="auto"/>
          <w:sz w:val="24"/>
          <w:szCs w:val="24"/>
          <w:highlight w:val="none"/>
          <w:shd w:val="clear" w:color="auto" w:fill="ffffff"/>
        </w:rPr>
        <w:t xml:space="preserve">对本国产品的支持政策</w:t>
      </w:r>
      <w:r/>
    </w:p>
    <w:p>
      <w:pPr>
        <w:ind w:firstLine="48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highlight w:val="none"/>
        </w:rPr>
        <w:t xml:space="preserve">20%的价格扣除</w:t>
      </w:r>
      <w:r>
        <w:rPr>
          <w:rFonts w:hint="eastAsia" w:ascii="宋体" w:hAnsi="宋体" w:eastAsia="宋体" w:cs="宋体"/>
          <w:color w:val="auto"/>
          <w:sz w:val="24"/>
          <w:szCs w:val="24"/>
          <w:highlight w:val="none"/>
        </w:rPr>
        <w:t xml:space="preserve">，用扣除后的价格参与评审。</w:t>
      </w:r>
      <w:r/>
    </w:p>
    <w:p>
      <w:pPr>
        <w:pStyle w:val="770"/>
        <w:ind w:left="0" w:right="0" w:firstLine="480"/>
        <w:rPr>
          <w:rFonts w:hint="default" w:ascii="宋体" w:hAnsi="宋体" w:eastAsia="宋体" w:cs="宋体"/>
          <w:b/>
          <w:bCs/>
          <w:color w:val="auto"/>
          <w:sz w:val="24"/>
          <w:szCs w:val="24"/>
          <w:highlight w:val="none"/>
        </w:rPr>
      </w:pPr>
      <w:r>
        <w:rPr>
          <w:rFonts w:ascii="宋体" w:hAnsi="宋体" w:eastAsia="宋体" w:cs="宋体"/>
          <w:color w:val="auto"/>
          <w:sz w:val="24"/>
          <w:szCs w:val="24"/>
          <w:highlight w:val="none"/>
        </w:rPr>
        <w:t xml:space="preserve">当采购项目或者采购包中含有多种产品，供应商为该采购项目或者采购包提供的</w:t>
      </w:r>
      <w:r>
        <w:rPr>
          <w:rFonts w:ascii="宋体" w:hAnsi="宋体" w:eastAsia="宋体" w:cs="宋体"/>
          <w:b/>
          <w:bCs/>
          <w:color w:val="auto"/>
          <w:sz w:val="24"/>
          <w:szCs w:val="24"/>
          <w:highlight w:val="none"/>
        </w:rPr>
        <w:t xml:space="preserve">符合本国产品标准的产品成本之和占该供应商提供的全部产品成本之和的比例达到80%以上</w:t>
      </w:r>
      <w:r>
        <w:rPr>
          <w:rFonts w:ascii="宋体" w:hAnsi="宋体" w:eastAsia="宋体" w:cs="宋体"/>
          <w:color w:val="auto"/>
          <w:sz w:val="24"/>
          <w:szCs w:val="24"/>
          <w:highlight w:val="none"/>
        </w:rPr>
        <w:t xml:space="preserve">时，依法对该供应商提供的全部产品给予价格评审优惠，即</w:t>
      </w:r>
      <w:r>
        <w:rPr>
          <w:rFonts w:ascii="宋体" w:hAnsi="宋体" w:eastAsia="宋体" w:cs="宋体"/>
          <w:b/>
          <w:bCs/>
          <w:color w:val="auto"/>
          <w:sz w:val="24"/>
          <w:szCs w:val="24"/>
          <w:highlight w:val="none"/>
        </w:rPr>
        <w:t xml:space="preserve">对该供应商提供的全部产品的总报价给予20%的价格扣除</w:t>
      </w:r>
      <w:r>
        <w:rPr>
          <w:rFonts w:ascii="宋体" w:hAnsi="宋体" w:eastAsia="宋体" w:cs="宋体"/>
          <w:color w:val="auto"/>
          <w:sz w:val="24"/>
          <w:szCs w:val="24"/>
          <w:highlight w:val="none"/>
        </w:rPr>
        <w:t xml:space="preserve">，用扣除后的价格参与评审。</w:t>
      </w:r>
      <w:r/>
    </w:p>
    <w:p>
      <w:pPr>
        <w:ind w:firstLine="482"/>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三、评分标准</w:t>
      </w:r>
      <w:r/>
    </w:p>
    <w:p>
      <w:pPr>
        <w:ind w:firstLine="482"/>
        <w:spacing w:line="360" w:lineRule="auto"/>
        <w:widowControl w:val="off"/>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（一）价格（30分）</w:t>
      </w:r>
      <w:r/>
    </w:p>
    <w:p>
      <w:pPr>
        <w:ind w:firstLine="480"/>
        <w:spacing w:line="360" w:lineRule="auto"/>
        <w:widowControl w:val="off"/>
        <w:rPr>
          <w:rFonts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以通过评标初审，实质性响应采购文件要求且报价最低的投标报价为评标基准价（须未超过采购预算或最高限价，其价格分为满分30分。其他供应商的价格分统一按照下列公式计算：</w:t>
      </w:r>
      <w:r/>
    </w:p>
    <w:p>
      <w:pPr>
        <w:ind w:firstLine="480"/>
        <w:spacing w:line="360" w:lineRule="auto"/>
        <w:rPr>
          <w:rFonts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投标报价得分=（评标基准价/投标报价）×价格权值×100（价格权值为30%）</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（二）技术参数及技术方案（30分）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1.技术参数及配置（20分）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所提供产品不满足招标文件要求（负偏离）、配置不详、技术参数不明确、缺漏项的，每处扣2分，扣完为止。（20分）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2.技术方案（10分）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供应商提供为实现本项目招标文件技术参数要求而制定的技术方案。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技术方案详尽合理、针对性强，能完全符合用户科研需求的得10分。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技术方案基本规范合理、具有较强针对性，能基本符合用户科研需求的得6分。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技术方案有疏漏、合理性及针对性较差，仅能符合用户部分科研需求的得2分。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技术方案完全不能符合用户科研需求或未提供技术方案的不得分。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（三）项目实施方案（9分）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（四）综合商务（31分）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1.业绩（4分）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提供所投产品（同型号设备）自2023年</w:t>
      </w:r>
      <w:r>
        <w:rPr>
          <w:rFonts w:ascii="宋体" w:hAnsi="宋体" w:eastAsia="宋体" w:cs="宋体"/>
          <w:bCs/>
          <w:color w:val="auto"/>
          <w:sz w:val="24"/>
          <w:szCs w:val="24"/>
          <w:highlight w:val="none"/>
        </w:rPr>
        <w:t xml:space="preserve">9</w:t>
      </w:r>
      <w:r>
        <w:rPr>
          <w:rFonts w:hint="eastAsia" w:ascii="宋体" w:hAnsi="宋体" w:eastAsia="宋体" w:cs="宋体"/>
          <w:bCs/>
          <w:color w:val="auto"/>
          <w:sz w:val="24"/>
          <w:szCs w:val="24"/>
          <w:highlight w:val="none"/>
        </w:rPr>
        <w:t xml:space="preserve">月起至今的销售业绩，每提供1份业绩得1分，满分4分。（注：①提供业绩合同复印件；②以合同签订日期为准；③同一单位业绩不重复计分。）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2.市场反馈情况（5分）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3.售后服务（20分）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（1）售后服务方案（12分）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包括①针对本项目制定的售后服务响应机制及响应时间；②针对投标人服务体系的完备性；③投入本项目专业技术服务人员及技术力量保障性。</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（2）培训方案（8分）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包括（1）培训内容、时间、地点、人次、安装维护、调试、配置；（2）使用技能、业务人员培训、应用操作及使用等。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4．其它优惠措施（2分）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根据供应商提供的在招标文件要求范围以外，评标委员会认可的优惠措施综合评定。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优惠措施内容具体明确，具有实际价值及可行性高的得2分；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优惠措施内容较为具体明确，实际价值及可行性较高的得1分；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优惠措施内容不够具体明确，实际价值及可行性较低的得0.5分；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不具备可行性或未提供具体内容的不得分。</w:t>
      </w:r>
      <w:r/>
    </w:p>
    <w:p>
      <w:pPr>
        <w:ind w:firstLine="482"/>
        <w:jc w:val="righ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（全文完）</w:t>
      </w:r>
      <w:r/>
    </w:p>
    <w:sectPr>
      <w:footnotePr/>
      <w:endnotePr/>
      <w:type w:val="nextPage"/>
      <w:pgSz w:w="11906" w:h="16838" w:orient="portrait"/>
      <w:pgMar w:top="1417" w:right="1417" w:bottom="1417" w:left="1417"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Segoe UI">
    <w:panose1 w:val="020B0502040204020203"/>
  </w:font>
  <w:font w:name="华文细黑">
    <w:panose1 w:val="02010600040101010101"/>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41</w:t>
                          </w:r>
                          <w:r>
                            <w:fldChar w:fldCharType="end"/>
                          </w:r>
                          <w:r>
                            <w:t xml:space="preserve"> / </w:t>
                          </w:r>
                          <w:r>
                            <w:fldChar w:fldCharType="begin"/>
                          </w:r>
                          <w:r>
                            <w:instrText xml:space="preserve"> NUMPAGES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41</w:t>
                    </w:r>
                    <w:r>
                      <w:fldChar w:fldCharType="end"/>
                    </w:r>
                    <w:r>
                      <w:t xml:space="preserve"> / </w:t>
                    </w:r>
                    <w:r>
                      <w:fldChar w:fldCharType="begin"/>
                    </w:r>
                    <w:r>
                      <w:instrText xml:space="preserve"> NUMPAGES  \* MERGEFORMAT </w:instrText>
                    </w:r>
                    <w:r>
                      <w:fldChar w:fldCharType="separate"/>
                    </w:r>
                    <w:r>
                      <w:t xml:space="preserve">63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763"/>
    <w:link w:val="754"/>
    <w:uiPriority w:val="9"/>
    <w:rPr>
      <w:rFonts w:ascii="Arial" w:hAnsi="Arial" w:eastAsia="Arial" w:cs="Arial"/>
      <w:sz w:val="40"/>
      <w:szCs w:val="40"/>
    </w:rPr>
  </w:style>
  <w:style w:type="character" w:styleId="717">
    <w:name w:val="Heading 2 Char"/>
    <w:basedOn w:val="763"/>
    <w:link w:val="755"/>
    <w:uiPriority w:val="9"/>
    <w:rPr>
      <w:rFonts w:ascii="Arial" w:hAnsi="Arial" w:eastAsia="Arial" w:cs="Arial"/>
      <w:sz w:val="34"/>
    </w:rPr>
  </w:style>
  <w:style w:type="character" w:styleId="718">
    <w:name w:val="Heading 3 Char"/>
    <w:basedOn w:val="763"/>
    <w:link w:val="756"/>
    <w:uiPriority w:val="9"/>
    <w:rPr>
      <w:rFonts w:ascii="Arial" w:hAnsi="Arial" w:eastAsia="Arial" w:cs="Arial"/>
      <w:sz w:val="30"/>
      <w:szCs w:val="30"/>
    </w:rPr>
  </w:style>
  <w:style w:type="character" w:styleId="719">
    <w:name w:val="Heading 4 Char"/>
    <w:basedOn w:val="763"/>
    <w:link w:val="757"/>
    <w:uiPriority w:val="9"/>
    <w:rPr>
      <w:rFonts w:ascii="Arial" w:hAnsi="Arial" w:eastAsia="Arial" w:cs="Arial"/>
      <w:b/>
      <w:bCs/>
      <w:sz w:val="26"/>
      <w:szCs w:val="26"/>
    </w:rPr>
  </w:style>
  <w:style w:type="character" w:styleId="720">
    <w:name w:val="Heading 5 Char"/>
    <w:basedOn w:val="763"/>
    <w:link w:val="758"/>
    <w:uiPriority w:val="9"/>
    <w:rPr>
      <w:rFonts w:ascii="Arial" w:hAnsi="Arial" w:eastAsia="Arial" w:cs="Arial"/>
      <w:b/>
      <w:bCs/>
      <w:sz w:val="24"/>
      <w:szCs w:val="24"/>
    </w:rPr>
  </w:style>
  <w:style w:type="character" w:styleId="721">
    <w:name w:val="Heading 6 Char"/>
    <w:basedOn w:val="763"/>
    <w:link w:val="759"/>
    <w:uiPriority w:val="9"/>
    <w:rPr>
      <w:rFonts w:ascii="Arial" w:hAnsi="Arial" w:eastAsia="Arial" w:cs="Arial"/>
      <w:b/>
      <w:bCs/>
      <w:sz w:val="22"/>
      <w:szCs w:val="22"/>
    </w:rPr>
  </w:style>
  <w:style w:type="character" w:styleId="722">
    <w:name w:val="Heading 7 Char"/>
    <w:basedOn w:val="763"/>
    <w:link w:val="760"/>
    <w:uiPriority w:val="9"/>
    <w:rPr>
      <w:rFonts w:ascii="Arial" w:hAnsi="Arial" w:eastAsia="Arial" w:cs="Arial"/>
      <w:b/>
      <w:bCs/>
      <w:i/>
      <w:iCs/>
      <w:sz w:val="22"/>
      <w:szCs w:val="22"/>
    </w:rPr>
  </w:style>
  <w:style w:type="character" w:styleId="723">
    <w:name w:val="Heading 8 Char"/>
    <w:basedOn w:val="763"/>
    <w:link w:val="761"/>
    <w:uiPriority w:val="9"/>
    <w:rPr>
      <w:rFonts w:ascii="Arial" w:hAnsi="Arial" w:eastAsia="Arial" w:cs="Arial"/>
      <w:i/>
      <w:iCs/>
      <w:sz w:val="22"/>
      <w:szCs w:val="22"/>
    </w:rPr>
  </w:style>
  <w:style w:type="character" w:styleId="724">
    <w:name w:val="Heading 9 Char"/>
    <w:basedOn w:val="763"/>
    <w:link w:val="762"/>
    <w:uiPriority w:val="9"/>
    <w:rPr>
      <w:rFonts w:ascii="Arial" w:hAnsi="Arial" w:eastAsia="Arial" w:cs="Arial"/>
      <w:i/>
      <w:iCs/>
      <w:sz w:val="21"/>
      <w:szCs w:val="21"/>
    </w:rPr>
  </w:style>
  <w:style w:type="character" w:styleId="725">
    <w:name w:val="Title Char"/>
    <w:basedOn w:val="763"/>
    <w:link w:val="788"/>
    <w:uiPriority w:val="10"/>
    <w:rPr>
      <w:sz w:val="48"/>
      <w:szCs w:val="48"/>
    </w:rPr>
  </w:style>
  <w:style w:type="character" w:styleId="726">
    <w:name w:val="Subtitle Char"/>
    <w:basedOn w:val="763"/>
    <w:link w:val="781"/>
    <w:uiPriority w:val="11"/>
    <w:rPr>
      <w:sz w:val="24"/>
      <w:szCs w:val="24"/>
    </w:rPr>
  </w:style>
  <w:style w:type="character" w:styleId="727">
    <w:name w:val="Quote Char"/>
    <w:link w:val="812"/>
    <w:uiPriority w:val="29"/>
    <w:rPr>
      <w:i/>
    </w:rPr>
  </w:style>
  <w:style w:type="character" w:styleId="728">
    <w:name w:val="Intense Quote Char"/>
    <w:link w:val="814"/>
    <w:uiPriority w:val="30"/>
    <w:rPr>
      <w:i/>
    </w:rPr>
  </w:style>
  <w:style w:type="character" w:styleId="729">
    <w:name w:val="Header Char"/>
    <w:basedOn w:val="763"/>
    <w:link w:val="778"/>
    <w:uiPriority w:val="99"/>
  </w:style>
  <w:style w:type="character" w:styleId="730">
    <w:name w:val="Caption Char"/>
    <w:basedOn w:val="767"/>
    <w:link w:val="776"/>
    <w:uiPriority w:val="99"/>
  </w:style>
  <w:style w:type="table" w:styleId="731">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Footnote Text Char"/>
    <w:link w:val="782"/>
    <w:uiPriority w:val="99"/>
    <w:rPr>
      <w:sz w:val="18"/>
    </w:rPr>
  </w:style>
  <w:style w:type="character" w:styleId="751">
    <w:name w:val="Endnote Text Char"/>
    <w:link w:val="774"/>
    <w:uiPriority w:val="99"/>
    <w:rPr>
      <w:sz w:val="20"/>
    </w:rPr>
  </w:style>
  <w:style w:type="paragraph" w:styleId="752">
    <w:name w:val="TOC Heading"/>
    <w:uiPriority w:val="39"/>
    <w:unhideWhenUsed/>
  </w:style>
  <w:style w:type="paragraph" w:styleId="753" w:default="1">
    <w:name w:val="Normal"/>
    <w:uiPriority w:val="0"/>
    <w:qFormat/>
    <w:rPr>
      <w:rFonts w:asciiTheme="minorHAnsi" w:hAnsiTheme="minorHAnsi" w:eastAsiaTheme="minorEastAsia" w:cstheme="minorBidi"/>
      <w:sz w:val="21"/>
      <w:szCs w:val="22"/>
      <w:lang w:val="en-US" w:eastAsia="zh-CN" w:bidi="ar-SA"/>
    </w:rPr>
  </w:style>
  <w:style w:type="paragraph" w:styleId="754">
    <w:name w:val="Heading 1"/>
    <w:basedOn w:val="753"/>
    <w:next w:val="753"/>
    <w:link w:val="799"/>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800"/>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801"/>
    <w:uiPriority w:val="9"/>
    <w:unhideWhenUsed/>
    <w:qFormat/>
    <w:pPr>
      <w:keepLines/>
      <w:keepNext/>
      <w:spacing w:before="320" w:after="200"/>
      <w:outlineLvl w:val="2"/>
    </w:pPr>
    <w:rPr>
      <w:rFonts w:ascii="Arial" w:hAnsi="Arial" w:eastAsia="Arial" w:cs="Arial"/>
      <w:sz w:val="30"/>
      <w:szCs w:val="30"/>
    </w:rPr>
  </w:style>
  <w:style w:type="paragraph" w:styleId="757">
    <w:name w:val="Heading 4"/>
    <w:link w:val="80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8">
    <w:name w:val="Heading 5"/>
    <w:link w:val="80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9">
    <w:name w:val="Heading 6"/>
    <w:link w:val="80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60">
    <w:name w:val="Heading 7"/>
    <w:link w:val="80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61">
    <w:name w:val="Heading 8"/>
    <w:link w:val="80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2">
    <w:name w:val="Heading 9"/>
    <w:link w:val="80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6">
    <w:name w:val="Normal Indent"/>
    <w:basedOn w:val="753"/>
    <w:next w:val="753"/>
    <w:uiPriority w:val="0"/>
    <w:unhideWhenUsed/>
    <w:qFormat/>
    <w:pPr>
      <w:ind w:firstLine="420"/>
    </w:pPr>
    <w:rPr>
      <w:sz w:val="24"/>
    </w:rPr>
  </w:style>
  <w:style w:type="paragraph" w:styleId="767">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8">
    <w:name w:val="annotation text"/>
    <w:basedOn w:val="753"/>
    <w:link w:val="798"/>
    <w:uiPriority w:val="0"/>
    <w:unhideWhenUsed/>
    <w:qFormat/>
    <w:rPr>
      <w:rFonts w:eastAsia="宋体"/>
      <w:b/>
      <w:sz w:val="24"/>
    </w:rPr>
  </w:style>
  <w:style w:type="paragraph" w:styleId="769">
    <w:name w:val="Body Text Indent"/>
    <w:basedOn w:val="753"/>
    <w:next w:val="753"/>
    <w:uiPriority w:val="0"/>
    <w:qFormat/>
    <w:pPr>
      <w:ind w:left="570"/>
      <w:spacing w:line="520" w:lineRule="exact"/>
    </w:pPr>
    <w:rPr>
      <w:rFonts w:ascii="方正仿宋简体" w:hAnsi="创艺简仿宋" w:eastAsia="方正仿宋简体"/>
      <w:sz w:val="24"/>
      <w:szCs w:val="20"/>
    </w:rPr>
  </w:style>
  <w:style w:type="paragraph" w:styleId="770">
    <w:name w:val="Block Text"/>
    <w:basedOn w:val="753"/>
    <w:uiPriority w:val="0"/>
    <w:qFormat/>
    <w:pPr>
      <w:ind w:left="630" w:right="-609" w:firstLine="420"/>
      <w:spacing w:line="360" w:lineRule="auto"/>
    </w:pPr>
    <w:rPr>
      <w:rFonts w:hint="eastAsia" w:ascii="仿宋_GB2312" w:eastAsia="仿宋_GB2312"/>
    </w:rPr>
  </w:style>
  <w:style w:type="paragraph" w:styleId="771">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2">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5"/>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3"/>
    <w:link w:val="956"/>
    <w:uiPriority w:val="99"/>
    <w:semiHidden/>
    <w:unhideWhenUsed/>
    <w:qFormat/>
    <w:rPr>
      <w:sz w:val="18"/>
      <w:szCs w:val="18"/>
    </w:rPr>
  </w:style>
  <w:style w:type="paragraph" w:styleId="776">
    <w:name w:val="Footer"/>
    <w:link w:val="818"/>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3"/>
    <w:uiPriority w:val="0"/>
    <w:qFormat/>
    <w:rPr>
      <w:rFonts w:ascii="Arial" w:hAnsi="Arial" w:eastAsia="宋体"/>
      <w:szCs w:val="24"/>
    </w:rPr>
  </w:style>
  <w:style w:type="paragraph" w:styleId="778">
    <w:name w:val="Header"/>
    <w:link w:val="81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link w:val="811"/>
    <w:uiPriority w:val="11"/>
    <w:qFormat/>
    <w:pPr>
      <w:spacing w:before="200" w:after="200"/>
    </w:pPr>
    <w:rPr>
      <w:rFonts w:asciiTheme="minorHAnsi" w:hAnsiTheme="minorHAnsi" w:eastAsiaTheme="minorEastAsia" w:cstheme="minorBidi"/>
      <w:sz w:val="24"/>
      <w:szCs w:val="24"/>
      <w:lang w:val="en-US" w:eastAsia="zh-CN" w:bidi="ar-SA"/>
    </w:rPr>
  </w:style>
  <w:style w:type="paragraph" w:styleId="782">
    <w:name w:val="footnote text"/>
    <w:link w:val="944"/>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3"/>
    <w:uiPriority w:val="0"/>
    <w:qFormat/>
    <w:pPr>
      <w:spacing w:before="100" w:beforeAutospacing="1" w:after="100" w:afterAutospacing="1"/>
    </w:pPr>
    <w:rPr>
      <w:rFonts w:cs="Times New Roman"/>
      <w:sz w:val="24"/>
    </w:rPr>
  </w:style>
  <w:style w:type="paragraph" w:styleId="788">
    <w:name w:val="Title"/>
    <w:basedOn w:val="753"/>
    <w:link w:val="810"/>
    <w:uiPriority w:val="10"/>
    <w:qFormat/>
    <w:pPr>
      <w:contextualSpacing/>
      <w:spacing w:before="300" w:after="200"/>
    </w:pPr>
    <w:rPr>
      <w:sz w:val="48"/>
      <w:szCs w:val="48"/>
    </w:rPr>
  </w:style>
  <w:style w:type="paragraph" w:styleId="789">
    <w:name w:val="annotation subject"/>
    <w:basedOn w:val="768"/>
    <w:next w:val="768"/>
    <w:link w:val="957"/>
    <w:uiPriority w:val="99"/>
    <w:semiHidden/>
    <w:unhideWhenUsed/>
    <w:qFormat/>
    <w:rPr>
      <w:rFonts w:eastAsiaTheme="minorEastAsia"/>
      <w:bCs/>
      <w:sz w:val="21"/>
    </w:rPr>
  </w:style>
  <w:style w:type="paragraph" w:styleId="790">
    <w:name w:val="Body Text First Indent 2"/>
    <w:basedOn w:val="769"/>
    <w:next w:val="753"/>
    <w:uiPriority w:val="0"/>
    <w:qFormat/>
    <w:pPr>
      <w:ind w:firstLine="420"/>
    </w:p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3"/>
    <w:uiPriority w:val="22"/>
    <w:qFormat/>
    <w:rPr>
      <w:b/>
    </w:rPr>
  </w:style>
  <w:style w:type="character" w:styleId="793">
    <w:name w:val="endnote reference"/>
    <w:uiPriority w:val="99"/>
    <w:semiHidden/>
    <w:unhideWhenUsed/>
    <w:qFormat/>
    <w:rPr>
      <w:vertAlign w:val="superscript"/>
    </w:rPr>
  </w:style>
  <w:style w:type="character" w:styleId="794">
    <w:name w:val="Emphasis"/>
    <w:basedOn w:val="763"/>
    <w:uiPriority w:val="0"/>
    <w:qFormat/>
    <w:rPr>
      <w:i/>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annotation reference"/>
    <w:basedOn w:val="763"/>
    <w:uiPriority w:val="0"/>
    <w:qFormat/>
    <w:rPr>
      <w:sz w:val="21"/>
      <w:szCs w:val="21"/>
    </w:rPr>
  </w:style>
  <w:style w:type="character" w:styleId="797">
    <w:name w:val="footnote reference"/>
    <w:uiPriority w:val="99"/>
    <w:unhideWhenUsed/>
    <w:qFormat/>
    <w:rPr>
      <w:vertAlign w:val="superscript"/>
    </w:rPr>
  </w:style>
  <w:style w:type="character" w:styleId="798" w:customStyle="1">
    <w:name w:val="批注文字 字符"/>
    <w:basedOn w:val="763"/>
    <w:link w:val="768"/>
    <w:uiPriority w:val="99"/>
    <w:semiHidden/>
    <w:qFormat/>
    <w:rPr>
      <w:rFonts w:asciiTheme="minorHAnsi" w:hAnsiTheme="minorHAnsi" w:cstheme="minorBidi"/>
      <w:b/>
      <w:sz w:val="24"/>
      <w:szCs w:val="22"/>
    </w:rPr>
  </w:style>
  <w:style w:type="character" w:styleId="799" w:customStyle="1">
    <w:name w:val="标题 1 字符"/>
    <w:link w:val="754"/>
    <w:uiPriority w:val="9"/>
    <w:qFormat/>
    <w:rPr>
      <w:rFonts w:ascii="Arial" w:hAnsi="Arial" w:eastAsia="Arial" w:cs="Arial"/>
      <w:sz w:val="40"/>
      <w:szCs w:val="40"/>
    </w:rPr>
  </w:style>
  <w:style w:type="character" w:styleId="800" w:customStyle="1">
    <w:name w:val="标题 2 字符"/>
    <w:link w:val="755"/>
    <w:uiPriority w:val="9"/>
    <w:qFormat/>
    <w:rPr>
      <w:rFonts w:ascii="Arial" w:hAnsi="Arial" w:eastAsia="Arial" w:cs="Arial"/>
      <w:sz w:val="34"/>
    </w:rPr>
  </w:style>
  <w:style w:type="character" w:styleId="801" w:customStyle="1">
    <w:name w:val="标题 3 字符"/>
    <w:link w:val="756"/>
    <w:uiPriority w:val="9"/>
    <w:qFormat/>
    <w:rPr>
      <w:rFonts w:ascii="Arial" w:hAnsi="Arial" w:eastAsia="Arial" w:cs="Arial"/>
      <w:sz w:val="30"/>
      <w:szCs w:val="30"/>
    </w:rPr>
  </w:style>
  <w:style w:type="character" w:styleId="802" w:customStyle="1">
    <w:name w:val="标题 4 字符"/>
    <w:link w:val="757"/>
    <w:uiPriority w:val="9"/>
    <w:qFormat/>
    <w:rPr>
      <w:rFonts w:ascii="Arial" w:hAnsi="Arial" w:eastAsia="Arial" w:cs="Arial"/>
      <w:b/>
      <w:bCs/>
      <w:sz w:val="26"/>
      <w:szCs w:val="26"/>
    </w:rPr>
  </w:style>
  <w:style w:type="character" w:styleId="803" w:customStyle="1">
    <w:name w:val="标题 5 字符"/>
    <w:link w:val="758"/>
    <w:uiPriority w:val="9"/>
    <w:qFormat/>
    <w:rPr>
      <w:rFonts w:ascii="Arial" w:hAnsi="Arial" w:eastAsia="Arial" w:cs="Arial"/>
      <w:b/>
      <w:bCs/>
      <w:sz w:val="24"/>
      <w:szCs w:val="24"/>
    </w:rPr>
  </w:style>
  <w:style w:type="character" w:styleId="804" w:customStyle="1">
    <w:name w:val="标题 6 字符"/>
    <w:link w:val="759"/>
    <w:uiPriority w:val="9"/>
    <w:qFormat/>
    <w:rPr>
      <w:rFonts w:ascii="Arial" w:hAnsi="Arial" w:eastAsia="Arial" w:cs="Arial"/>
      <w:b/>
      <w:bCs/>
      <w:sz w:val="22"/>
      <w:szCs w:val="22"/>
    </w:rPr>
  </w:style>
  <w:style w:type="character" w:styleId="805" w:customStyle="1">
    <w:name w:val="标题 7 字符"/>
    <w:link w:val="760"/>
    <w:uiPriority w:val="9"/>
    <w:qFormat/>
    <w:rPr>
      <w:rFonts w:ascii="Arial" w:hAnsi="Arial" w:eastAsia="Arial" w:cs="Arial"/>
      <w:b/>
      <w:bCs/>
      <w:i/>
      <w:iCs/>
      <w:sz w:val="22"/>
      <w:szCs w:val="22"/>
    </w:rPr>
  </w:style>
  <w:style w:type="character" w:styleId="806" w:customStyle="1">
    <w:name w:val="标题 8 字符"/>
    <w:link w:val="761"/>
    <w:uiPriority w:val="9"/>
    <w:qFormat/>
    <w:rPr>
      <w:rFonts w:ascii="Arial" w:hAnsi="Arial" w:eastAsia="Arial" w:cs="Arial"/>
      <w:i/>
      <w:iCs/>
      <w:sz w:val="22"/>
      <w:szCs w:val="22"/>
    </w:rPr>
  </w:style>
  <w:style w:type="character" w:styleId="807" w:customStyle="1">
    <w:name w:val="标题 9 字符"/>
    <w:link w:val="762"/>
    <w:uiPriority w:val="9"/>
    <w:qFormat/>
    <w:rPr>
      <w:rFonts w:ascii="Arial" w:hAnsi="Arial" w:eastAsia="Arial" w:cs="Arial"/>
      <w:i/>
      <w:iCs/>
      <w:sz w:val="21"/>
      <w:szCs w:val="21"/>
    </w:rPr>
  </w:style>
  <w:style w:type="paragraph" w:styleId="808">
    <w:name w:val="List Paragraph"/>
    <w:basedOn w:val="753"/>
    <w:uiPriority w:val="34"/>
    <w:qFormat/>
    <w:pPr>
      <w:contextualSpacing/>
      <w:ind w:left="720"/>
    </w:pPr>
  </w:style>
  <w:style w:type="paragraph" w:styleId="809">
    <w:name w:val="No Spacing"/>
    <w:uiPriority w:val="1"/>
    <w:qFormat/>
    <w:rPr>
      <w:rFonts w:asciiTheme="minorHAnsi" w:hAnsiTheme="minorHAnsi" w:eastAsiaTheme="minorEastAsia" w:cstheme="minorBidi"/>
      <w:sz w:val="21"/>
      <w:szCs w:val="22"/>
      <w:lang w:val="en-US" w:eastAsia="zh-CN" w:bidi="ar-SA"/>
    </w:rPr>
  </w:style>
  <w:style w:type="character" w:styleId="810" w:customStyle="1">
    <w:name w:val="标题 字符"/>
    <w:link w:val="788"/>
    <w:uiPriority w:val="10"/>
    <w:qFormat/>
    <w:rPr>
      <w:sz w:val="48"/>
      <w:szCs w:val="48"/>
    </w:rPr>
  </w:style>
  <w:style w:type="character" w:styleId="811" w:customStyle="1">
    <w:name w:val="副标题 字符"/>
    <w:link w:val="781"/>
    <w:uiPriority w:val="11"/>
    <w:qFormat/>
    <w:rPr>
      <w:sz w:val="24"/>
      <w:szCs w:val="24"/>
    </w:rPr>
  </w:style>
  <w:style w:type="paragraph" w:styleId="812">
    <w:name w:val="Quote"/>
    <w:link w:val="813"/>
    <w:uiPriority w:val="29"/>
    <w:qFormat/>
    <w:pPr>
      <w:ind w:left="720" w:right="720"/>
    </w:pPr>
    <w:rPr>
      <w:rFonts w:asciiTheme="minorHAnsi" w:hAnsiTheme="minorHAnsi" w:eastAsiaTheme="minorEastAsia" w:cstheme="minorBidi"/>
      <w:i/>
      <w:sz w:val="21"/>
      <w:szCs w:val="22"/>
      <w:lang w:val="en-US" w:eastAsia="zh-CN" w:bidi="ar-SA"/>
    </w:rPr>
  </w:style>
  <w:style w:type="character" w:styleId="813" w:customStyle="1">
    <w:name w:val="引用 字符"/>
    <w:link w:val="812"/>
    <w:uiPriority w:val="29"/>
    <w:qFormat/>
    <w:rPr>
      <w:i/>
    </w:rPr>
  </w:style>
  <w:style w:type="paragraph" w:styleId="814">
    <w:name w:val="Intense Quote"/>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5" w:customStyle="1">
    <w:name w:val="明显引用 字符"/>
    <w:link w:val="814"/>
    <w:uiPriority w:val="30"/>
    <w:qFormat/>
    <w:rPr>
      <w:i/>
    </w:rPr>
  </w:style>
  <w:style w:type="character" w:styleId="816" w:customStyle="1">
    <w:name w:val="页眉 字符"/>
    <w:link w:val="778"/>
    <w:uiPriority w:val="99"/>
    <w:qFormat/>
  </w:style>
  <w:style w:type="character" w:styleId="817" w:customStyle="1">
    <w:name w:val="Footer Char"/>
    <w:uiPriority w:val="99"/>
    <w:qFormat/>
  </w:style>
  <w:style w:type="character" w:styleId="818" w:customStyle="1">
    <w:name w:val="页脚 字符"/>
    <w:link w:val="776"/>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82"/>
    <w:uiPriority w:val="99"/>
    <w:qFormat/>
    <w:rPr>
      <w:sz w:val="18"/>
    </w:rPr>
  </w:style>
  <w:style w:type="character" w:styleId="945" w:customStyle="1">
    <w:name w:val="尾注文本 字符"/>
    <w:link w:val="774"/>
    <w:uiPriority w:val="99"/>
    <w:qFormat/>
    <w:rPr>
      <w:sz w:val="20"/>
    </w:rPr>
  </w:style>
  <w:style w:type="paragraph" w:styleId="946"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7" w:customStyle="1">
    <w:name w:val="WPSOffice手动目录 1"/>
    <w:uiPriority w:val="0"/>
    <w:qFormat/>
    <w:rPr>
      <w:rFonts w:asciiTheme="minorHAnsi" w:hAnsiTheme="minorHAnsi" w:eastAsiaTheme="minorEastAsia" w:cstheme="minorBidi"/>
      <w:lang w:val="en-US" w:eastAsia="zh-CN" w:bidi="ar-SA"/>
    </w:rPr>
  </w:style>
  <w:style w:type="character" w:styleId="948" w:customStyle="1">
    <w:name w:val="font71"/>
    <w:basedOn w:val="763"/>
    <w:uiPriority w:val="0"/>
    <w:qFormat/>
    <w:rPr>
      <w:rFonts w:ascii="Arial" w:hAnsi="Arial" w:cs="Arial"/>
      <w:color w:val="000000"/>
      <w:sz w:val="20"/>
      <w:szCs w:val="20"/>
      <w:u w:val="none"/>
    </w:rPr>
  </w:style>
  <w:style w:type="character" w:styleId="949" w:customStyle="1">
    <w:name w:val="font11"/>
    <w:basedOn w:val="763"/>
    <w:uiPriority w:val="0"/>
    <w:qFormat/>
    <w:rPr>
      <w:rFonts w:hint="eastAsia" w:ascii="宋体" w:hAnsi="宋体" w:eastAsia="宋体" w:cs="宋体"/>
      <w:color w:val="000000"/>
      <w:sz w:val="20"/>
      <w:szCs w:val="20"/>
      <w:u w:val="none"/>
    </w:rPr>
  </w:style>
  <w:style w:type="character" w:styleId="950" w:customStyle="1">
    <w:name w:val="font81"/>
    <w:basedOn w:val="763"/>
    <w:uiPriority w:val="0"/>
    <w:qFormat/>
    <w:rPr>
      <w:rFonts w:hint="default" w:ascii="Times New Roman" w:hAnsi="Times New Roman" w:cs="Times New Roman"/>
      <w:color w:val="000000"/>
      <w:sz w:val="20"/>
      <w:szCs w:val="20"/>
      <w:u w:val="none"/>
    </w:rPr>
  </w:style>
  <w:style w:type="paragraph" w:styleId="951" w:customStyle="1">
    <w:name w:val="Normal_17"/>
    <w:uiPriority w:val="0"/>
    <w:qFormat/>
    <w:rPr>
      <w:rFonts w:ascii="Times New Roman" w:hAnsi="Times New Roman" w:eastAsia="Times New Roman" w:cs="Times New Roman"/>
      <w:sz w:val="24"/>
      <w:szCs w:val="24"/>
      <w:lang w:val="en-US" w:eastAsia="zh-CN" w:bidi="ar-SA"/>
    </w:rPr>
  </w:style>
  <w:style w:type="character" w:styleId="952" w:customStyle="1">
    <w:name w:val="font21"/>
    <w:basedOn w:val="763"/>
    <w:uiPriority w:val="0"/>
    <w:qFormat/>
    <w:rPr>
      <w:rFonts w:hint="eastAsia" w:ascii="宋体" w:hAnsi="宋体" w:eastAsia="宋体" w:cs="宋体"/>
      <w:color w:val="ff0000"/>
      <w:sz w:val="20"/>
      <w:szCs w:val="20"/>
      <w:u w:val="none"/>
    </w:rPr>
  </w:style>
  <w:style w:type="paragraph" w:styleId="953" w:customStyle="1">
    <w:name w:val="纯文本1"/>
    <w:basedOn w:val="753"/>
    <w:uiPriority w:val="0"/>
    <w:qFormat/>
    <w:rPr>
      <w:rFonts w:ascii="宋体" w:hAnsi="Courier New" w:eastAsia="楷体_GB2312"/>
      <w:sz w:val="26"/>
    </w:rPr>
  </w:style>
  <w:style w:type="character" w:styleId="954" w:customStyle="1">
    <w:name w:val="font51"/>
    <w:basedOn w:val="763"/>
    <w:uiPriority w:val="0"/>
    <w:qFormat/>
    <w:rPr>
      <w:rFonts w:hint="eastAsia" w:ascii="华文细黑" w:hAnsi="华文细黑" w:eastAsia="华文细黑" w:cs="华文细黑"/>
      <w:color w:val="000000"/>
      <w:sz w:val="20"/>
      <w:szCs w:val="20"/>
      <w:u w:val="none"/>
      <w:vertAlign w:val="superscript"/>
    </w:rPr>
  </w:style>
  <w:style w:type="table" w:styleId="955"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56" w:customStyle="1">
    <w:name w:val="批注框文本 字符"/>
    <w:basedOn w:val="763"/>
    <w:link w:val="775"/>
    <w:uiPriority w:val="99"/>
    <w:semiHidden/>
    <w:qFormat/>
    <w:rPr>
      <w:rFonts w:asciiTheme="minorHAnsi" w:hAnsiTheme="minorHAnsi" w:eastAsiaTheme="minorEastAsia" w:cstheme="minorBidi"/>
      <w:sz w:val="18"/>
      <w:szCs w:val="18"/>
    </w:rPr>
  </w:style>
  <w:style w:type="character" w:styleId="957" w:customStyle="1">
    <w:name w:val="批注主题 字符"/>
    <w:basedOn w:val="798"/>
    <w:link w:val="789"/>
    <w:uiPriority w:val="99"/>
    <w:semiHidden/>
    <w:qFormat/>
    <w:rPr>
      <w:rFonts w:asciiTheme="minorHAnsi" w:hAnsiTheme="minorHAnsi" w:eastAsiaTheme="minorEastAsia" w:cstheme="minorBidi"/>
      <w:bCs/>
      <w:sz w:val="21"/>
      <w:szCs w:val="22"/>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B3D8D09-8B81-4546-9DF3-648C9DEE4D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王雅</cp:lastModifiedBy>
  <cp:revision>162</cp:revision>
  <dcterms:created xsi:type="dcterms:W3CDTF">2024-11-19T01:25:00Z</dcterms:created>
  <dcterms:modified xsi:type="dcterms:W3CDTF">2026-10-12T08:46:40Z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C4A9961773B245D497E0ECF637620320_13</vt:lpwstr>
  </property>
  <property fmtid="{D5CDD505-2E9C-101B-9397-08002B2CF9AE}" pid="4" name="KSOTemplateDocerSaveRecord">
    <vt:lpwstr>eyJoZGlkIjoiNGNlZTA2NjJlZTA2ZmVhYWE5ODQyYzMyZWNiMzkyMWUiLCJ1c2VySWQiOiI0MTQ1MjkwNzEifQ==</vt:lpwstr>
  </property>
</Properties>
</file>