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方正仿宋简体" w:hAnsi="方正仿宋简体" w:eastAsia="方正仿宋简体" w:cs="方正仿宋简体"/>
          <w:b/>
          <w:color w:val="000000" w:themeColor="text1"/>
          <w:sz w:val="44"/>
          <w:szCs w:val="44"/>
          <w:highlight w:val="none"/>
          <w14:textFill>
            <w14:solidFill>
              <w14:schemeClr w14:val="tx1"/>
            </w14:solidFill>
          </w14:textFill>
        </w:rPr>
      </w:pPr>
      <w:r/>
      <w:bookmarkStart w:id="120" w:name="_GoBack"/>
      <w:r/>
      <w:r/>
    </w:p>
    <w:p>
      <w:pPr>
        <w:jc w:val="center"/>
        <w:spacing w:line="360" w:lineRule="auto"/>
        <w:rPr>
          <w:rFonts w:hint="eastAsia" w:eastAsia="宋体" w:cs="宋体"/>
          <w:b/>
          <w:color w:val="000000" w:themeColor="text1"/>
          <w:sz w:val="44"/>
          <w:szCs w:val="44"/>
          <w:highlight w:val="none"/>
          <w:lang w:eastAsia="zh-CN"/>
          <w14:textFill>
            <w14:solidFill>
              <w14:schemeClr w14:val="tx1"/>
            </w14:solidFill>
          </w14:textFill>
        </w:rPr>
      </w:pPr>
      <w:r>
        <w:rPr>
          <w:rFonts w:hint="eastAsia" w:cs="宋体"/>
          <w:b/>
          <w:color w:val="000000" w:themeColor="text1"/>
          <w:sz w:val="44"/>
          <w:szCs w:val="44"/>
          <w:highlight w:val="none"/>
          <w:lang w:eastAsia="zh-CN"/>
          <w14:textFill>
            <w14:solidFill>
              <w14:schemeClr w14:val="tx1"/>
            </w14:solidFill>
          </w14:textFill>
        </w:rPr>
        <w:t xml:space="preserve">南通大学附属医院跨院区容灾平台建设采购项目</w:t>
      </w:r>
      <w:r/>
    </w:p>
    <w:p>
      <w:pPr>
        <w:jc w:val="center"/>
        <w:spacing w:line="360" w:lineRule="auto"/>
        <w:rPr>
          <w:rFonts w:cs="宋体"/>
          <w:b/>
          <w:color w:val="000000" w:themeColor="text1"/>
          <w:sz w:val="44"/>
          <w:szCs w:val="44"/>
          <w:highlight w:val="none"/>
          <w14:textFill>
            <w14:solidFill>
              <w14:schemeClr w14:val="tx1"/>
            </w14:solidFill>
          </w14:textFill>
        </w:rPr>
      </w:pPr>
      <w:r>
        <w:rPr>
          <w:rFonts w:cs="宋体"/>
          <w:b/>
          <w:color w:val="000000" w:themeColor="text1"/>
          <w:sz w:val="44"/>
          <w:szCs w:val="44"/>
          <w:highlight w:val="none"/>
          <w14:textFill>
            <w14:solidFill>
              <w14:schemeClr w14:val="tx1"/>
            </w14:solidFill>
          </w14:textFill>
        </w:rPr>
      </w:r>
      <w:r/>
    </w:p>
    <w:p>
      <w:pPr>
        <w:jc w:val="center"/>
        <w:spacing w:line="360" w:lineRule="auto"/>
        <w:rPr>
          <w:rFonts w:cs="宋体"/>
          <w:b/>
          <w:color w:val="000000" w:themeColor="text1"/>
          <w:sz w:val="44"/>
          <w:szCs w:val="44"/>
          <w:highlight w:val="none"/>
          <w14:textFill>
            <w14:solidFill>
              <w14:schemeClr w14:val="tx1"/>
            </w14:solidFill>
          </w14:textFill>
        </w:rPr>
      </w:pPr>
      <w:r>
        <w:rPr>
          <w:rFonts w:cs="宋体"/>
          <w:b/>
          <w:color w:val="000000" w:themeColor="text1"/>
          <w:sz w:val="44"/>
          <w:szCs w:val="44"/>
          <w:highlight w:val="none"/>
          <w14:textFill>
            <w14:solidFill>
              <w14:schemeClr w14:val="tx1"/>
            </w14:solidFill>
          </w14:textFill>
        </w:rPr>
      </w:r>
      <w:r/>
    </w:p>
    <w:p>
      <w:pPr>
        <w:jc w:val="center"/>
        <w:spacing w:line="360" w:lineRule="auto"/>
        <w:rPr>
          <w:rFonts w:cs="宋体"/>
          <w:b/>
          <w:color w:val="000000" w:themeColor="text1"/>
          <w:sz w:val="72"/>
          <w:szCs w:val="72"/>
          <w:highlight w:val="none"/>
          <w14:textFill>
            <w14:solidFill>
              <w14:schemeClr w14:val="tx1"/>
            </w14:solidFill>
          </w14:textFill>
        </w:rPr>
      </w:pPr>
      <w:r>
        <w:rPr>
          <w:rFonts w:hint="eastAsia" w:cs="宋体"/>
          <w:b/>
          <w:color w:val="000000" w:themeColor="text1"/>
          <w:sz w:val="72"/>
          <w:szCs w:val="72"/>
          <w:highlight w:val="none"/>
          <w14:textFill>
            <w14:solidFill>
              <w14:schemeClr w14:val="tx1"/>
            </w14:solidFill>
          </w14:textFill>
        </w:rPr>
        <w:t xml:space="preserve">政府采购招标文件</w:t>
      </w:r>
      <w:r/>
    </w:p>
    <w:p>
      <w:pPr>
        <w:jc w:val="center"/>
        <w:keepNext/>
        <w:spacing w:line="500" w:lineRule="exact"/>
        <w:rPr>
          <w:rFonts w:hint="eastAsia" w:ascii="宋体" w:hAnsi="宋体"/>
          <w:bCs/>
          <w:color w:val="000000" w:themeColor="text1"/>
          <w:sz w:val="44"/>
          <w:szCs w:val="20"/>
          <w:highlight w:val="none"/>
          <w14:textFill>
            <w14:solidFill>
              <w14:schemeClr w14:val="tx1"/>
            </w14:solidFill>
          </w14:textFill>
        </w:rPr>
      </w:pPr>
      <w:r>
        <w:rPr>
          <w:rFonts w:hint="eastAsia" w:ascii="宋体" w:hAnsi="宋体"/>
          <w:bCs/>
          <w:color w:val="000000" w:themeColor="text1"/>
          <w:sz w:val="44"/>
          <w:szCs w:val="20"/>
          <w:highlight w:val="none"/>
          <w14:textFill>
            <w14:solidFill>
              <w14:schemeClr w14:val="tx1"/>
            </w14:solidFill>
          </w14:textFill>
        </w:rPr>
      </w:r>
      <w:r/>
    </w:p>
    <w:p>
      <w:pPr>
        <w:jc w:val="center"/>
        <w:keepNext/>
        <w:spacing w:line="500" w:lineRule="exact"/>
        <w:rPr>
          <w:rFonts w:hint="eastAsia" w:ascii="宋体" w:hAnsi="宋体" w:eastAsia="宋体"/>
          <w:bCs/>
          <w:color w:val="000000" w:themeColor="text1"/>
          <w:sz w:val="32"/>
          <w:szCs w:val="32"/>
          <w:highlight w:val="none"/>
          <w:lang w:val="en-US" w:eastAsia="zh-CN"/>
          <w14:textFill>
            <w14:solidFill>
              <w14:schemeClr w14:val="tx1"/>
            </w14:solidFill>
          </w14:textFill>
        </w:rPr>
      </w:pPr>
      <w:r/>
      <w:bookmarkStart w:id="0" w:name="_Hlk154567591"/>
      <w:r>
        <w:rPr>
          <w:rFonts w:hint="eastAsia" w:ascii="宋体" w:hAnsi="宋体"/>
          <w:bCs/>
          <w:color w:val="000000" w:themeColor="text1"/>
          <w:sz w:val="32"/>
          <w:szCs w:val="32"/>
          <w:highlight w:val="none"/>
          <w14:textFill>
            <w14:solidFill>
              <w14:schemeClr w14:val="tx1"/>
            </w14:solidFill>
          </w14:textFill>
        </w:rPr>
        <w:t xml:space="preserve">政府采购项目编号：</w:t>
      </w:r>
      <w:bookmarkEnd w:id="0"/>
      <w:r>
        <w:rPr>
          <w:rFonts w:hint="eastAsia" w:ascii="宋体" w:hAnsi="宋体"/>
          <w:bCs/>
          <w:color w:val="000000" w:themeColor="text1"/>
          <w:sz w:val="32"/>
          <w:szCs w:val="32"/>
          <w:highlight w:val="none"/>
          <w:lang w:eastAsia="zh-CN"/>
          <w14:textFill>
            <w14:solidFill>
              <w14:schemeClr w14:val="tx1"/>
            </w14:solidFill>
          </w14:textFill>
        </w:rPr>
        <w:t xml:space="preserve">JSZC-320000-JSHY-G2026-0256</w:t>
      </w:r>
      <w:r/>
    </w:p>
    <w:p>
      <w:pPr>
        <w:jc w:val="center"/>
        <w:spacing w:line="500" w:lineRule="exact"/>
        <w:rPr>
          <w:rFonts w:hint="eastAsia" w:ascii="宋体" w:hAnsi="宋体" w:eastAsia="宋体"/>
          <w:bCs/>
          <w:color w:val="000000" w:themeColor="text1"/>
          <w:sz w:val="32"/>
          <w:szCs w:val="22"/>
          <w:highlight w:val="none"/>
          <w14:textFill>
            <w14:solidFill>
              <w14:schemeClr w14:val="tx1"/>
            </w14:solidFill>
          </w14:textFill>
        </w:rPr>
      </w:pPr>
      <w:r>
        <w:rPr>
          <w:rFonts w:hint="eastAsia" w:ascii="宋体" w:hAnsi="宋体"/>
          <w:bCs/>
          <w:color w:val="000000" w:themeColor="text1"/>
          <w:sz w:val="32"/>
          <w:szCs w:val="22"/>
          <w:highlight w:val="none"/>
          <w14:textFill>
            <w14:solidFill>
              <w14:schemeClr w14:val="tx1"/>
            </w14:solidFill>
          </w14:textFill>
        </w:rPr>
        <w:t xml:space="preserve">采购代理机构文件编号：1009-2641HOLLY</w:t>
      </w:r>
      <w:r>
        <w:rPr>
          <w:rFonts w:hint="eastAsia" w:ascii="宋体" w:hAnsi="宋体"/>
          <w:bCs/>
          <w:color w:val="000000" w:themeColor="text1"/>
          <w:sz w:val="32"/>
          <w:szCs w:val="22"/>
          <w:highlight w:val="none"/>
          <w:lang w:val="en-US" w:eastAsia="zh-CN"/>
          <w14:textFill>
            <w14:solidFill>
              <w14:schemeClr w14:val="tx1"/>
            </w14:solidFill>
          </w14:textFill>
        </w:rPr>
        <w:t xml:space="preserve">113</w:t>
      </w:r>
      <w:r>
        <w:rPr>
          <w:rFonts w:hint="eastAsia" w:ascii="宋体" w:hAnsi="宋体"/>
          <w:bCs/>
          <w:color w:val="000000" w:themeColor="text1"/>
          <w:sz w:val="32"/>
          <w:szCs w:val="22"/>
          <w:highlight w:val="none"/>
          <w14:textFill>
            <w14:solidFill>
              <w14:schemeClr w14:val="tx1"/>
            </w14:solidFill>
          </w14:textFill>
        </w:rPr>
        <w:t xml:space="preserve">N</w:t>
      </w:r>
      <w:r/>
    </w:p>
    <w:p>
      <w:pPr>
        <w:spacing w:line="500" w:lineRule="exact"/>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spacing w:line="500" w:lineRule="exact"/>
        <w:rPr>
          <w:rFonts w:hint="eastAsia"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r>
      <w:r/>
    </w:p>
    <w:p>
      <w:pPr>
        <w:jc w:val="center"/>
        <w:spacing w:line="500" w:lineRule="exact"/>
        <w:rPr>
          <w:rFonts w:hint="eastAsia"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r>
      <w:r/>
    </w:p>
    <w:p>
      <w:pPr>
        <w:jc w:val="center"/>
        <w:spacing w:line="500" w:lineRule="exact"/>
        <w:rPr>
          <w:rFonts w:hint="eastAsia"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r>
      <w:r/>
    </w:p>
    <w:p>
      <w:pPr>
        <w:ind w:left="-2" w:right="120"/>
        <w:jc w:val="center"/>
        <w:spacing w:before="120" w:after="120" w:line="500" w:lineRule="exact"/>
        <w:rPr>
          <w:rFonts w:hint="eastAsia" w:ascii="宋体" w:hAnsi="宋体"/>
          <w:b/>
          <w:color w:val="000000" w:themeColor="text1"/>
          <w:spacing w:val="-11"/>
          <w:sz w:val="44"/>
          <w:highlight w:val="none"/>
          <w14:textFill>
            <w14:solidFill>
              <w14:schemeClr w14:val="tx1"/>
            </w14:solidFill>
          </w14:textFill>
        </w:rPr>
      </w:pPr>
      <w:r/>
      <w:bookmarkStart w:id="1" w:name="EB467128df5f344d64af2c93ecdb42da19"/>
      <w:r/>
      <w:r/>
    </w:p>
    <w:p>
      <w:pPr>
        <w:ind w:left="-2" w:right="120"/>
        <w:jc w:val="center"/>
        <w:spacing w:before="120" w:after="120" w:line="500" w:lineRule="exact"/>
        <w:rPr>
          <w:rFonts w:hint="eastAsia" w:ascii="宋体" w:hAnsi="宋体"/>
          <w:b/>
          <w:color w:val="000000" w:themeColor="text1"/>
          <w:spacing w:val="-11"/>
          <w:sz w:val="36"/>
          <w:szCs w:val="36"/>
          <w:highlight w:val="none"/>
          <w14:textFill>
            <w14:solidFill>
              <w14:schemeClr w14:val="tx1"/>
            </w14:solidFill>
          </w14:textFill>
        </w:rPr>
      </w:pPr>
      <w:r>
        <w:rPr>
          <w:rFonts w:hint="eastAsia" w:ascii="宋体" w:hAnsi="宋体"/>
          <w:b/>
          <w:color w:val="000000" w:themeColor="text1"/>
          <w:spacing w:val="-11"/>
          <w:sz w:val="36"/>
          <w:szCs w:val="36"/>
          <w:highlight w:val="none"/>
          <w14:textFill>
            <w14:solidFill>
              <w14:schemeClr w14:val="tx1"/>
            </w14:solidFill>
          </w14:textFill>
        </w:rPr>
        <w:t xml:space="preserve">江苏弘业国际技术工程有限公司</w:t>
      </w:r>
      <w:bookmarkEnd w:id="1"/>
      <w:r/>
      <w:r/>
    </w:p>
    <w:p>
      <w:pPr>
        <w:ind w:left="-2" w:right="120"/>
        <w:jc w:val="center"/>
        <w:spacing w:before="120" w:after="120" w:line="500" w:lineRule="exact"/>
        <w:rPr>
          <w:rFonts w:hint="eastAsia" w:ascii="宋体" w:hAnsi="宋体"/>
          <w:b/>
          <w:bCs/>
          <w:color w:val="000000" w:themeColor="text1"/>
          <w:sz w:val="36"/>
          <w:szCs w:val="36"/>
          <w:highlight w:val="none"/>
          <w:u w:val="single"/>
          <w14:textFill>
            <w14:solidFill>
              <w14:schemeClr w14:val="tx1"/>
            </w14:solidFill>
          </w14:textFill>
        </w:rPr>
      </w:pPr>
      <w:r>
        <w:rPr>
          <w:rFonts w:hint="eastAsia" w:ascii="宋体" w:hAnsi="宋体"/>
          <w:b/>
          <w:bCs/>
          <w:color w:val="000000" w:themeColor="text1"/>
          <w:sz w:val="36"/>
          <w:szCs w:val="36"/>
          <w:highlight w:val="none"/>
          <w:u w:val="single"/>
          <w14:textFill>
            <w14:solidFill>
              <w14:schemeClr w14:val="tx1"/>
            </w14:solidFill>
          </w14:textFill>
        </w:rPr>
      </w:r>
      <w:r/>
    </w:p>
    <w:p>
      <w:pPr>
        <w:ind w:left="-2" w:right="120"/>
        <w:jc w:val="center"/>
        <w:spacing w:before="120" w:after="120" w:line="50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二〇二六年</w:t>
      </w:r>
      <w:r>
        <w:rPr>
          <w:rFonts w:hint="eastAsia" w:ascii="宋体" w:hAnsi="宋体"/>
          <w:b/>
          <w:bCs/>
          <w:color w:val="000000" w:themeColor="text1"/>
          <w:sz w:val="32"/>
          <w:szCs w:val="32"/>
          <w:highlight w:val="none"/>
          <w:lang w:val="en-US" w:eastAsia="zh-CN"/>
          <w14:textFill>
            <w14:solidFill>
              <w14:schemeClr w14:val="tx1"/>
            </w14:solidFill>
          </w14:textFill>
        </w:rPr>
        <w:t xml:space="preserve">十</w:t>
      </w:r>
      <w:r>
        <w:rPr>
          <w:rFonts w:hint="eastAsia" w:ascii="宋体" w:hAnsi="宋体"/>
          <w:b/>
          <w:bCs/>
          <w:color w:val="000000" w:themeColor="text1"/>
          <w:sz w:val="32"/>
          <w:szCs w:val="32"/>
          <w:highlight w:val="none"/>
          <w14:textFill>
            <w14:solidFill>
              <w14:schemeClr w14:val="tx1"/>
            </w14:solidFill>
          </w14:textFill>
        </w:rPr>
        <w:t xml:space="preserve">月</w:t>
      </w:r>
      <w:r/>
    </w:p>
    <w:p>
      <w:pPr>
        <w:jc w:val="center"/>
        <w:spacing w:line="360" w:lineRule="auto"/>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r>
      <w:r/>
    </w:p>
    <w:p>
      <w:pPr>
        <w:jc w:val="center"/>
        <w:spacing w:line="360" w:lineRule="auto"/>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r>
      <w:r/>
    </w:p>
    <w:p>
      <w:pPr>
        <w:rPr>
          <w:rFonts w:hint="eastAsia" w:ascii="宋体" w:hAnsi="宋体"/>
          <w:color w:val="000000" w:themeColor="text1"/>
          <w:sz w:val="44"/>
          <w:szCs w:val="44"/>
          <w:highlight w:val="none"/>
          <w14:textFill>
            <w14:solidFill>
              <w14:schemeClr w14:val="tx1"/>
            </w14:solidFill>
          </w14:textFill>
        </w:rPr>
      </w:pPr>
      <w:r>
        <w:rPr>
          <w:rFonts w:hint="eastAsia" w:ascii="宋体" w:hAnsi="宋体"/>
          <w:color w:val="000000" w:themeColor="text1"/>
          <w:sz w:val="44"/>
          <w:szCs w:val="44"/>
          <w:highlight w:val="none"/>
          <w14:textFill>
            <w14:solidFill>
              <w14:schemeClr w14:val="tx1"/>
            </w14:solidFill>
          </w14:textFill>
        </w:rPr>
        <w:br w:type="page" w:clear="all"/>
      </w:r>
      <w:r/>
    </w:p>
    <w:p>
      <w:pPr>
        <w:pStyle w:val="143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目 录</w:t>
      </w:r>
      <w:r/>
    </w:p>
    <w:p>
      <w:pPr>
        <w:jc w:val="center"/>
        <w:spacing w:line="360" w:lineRule="auto"/>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r>
      <w:r/>
    </w:p>
    <w:p>
      <w:pPr>
        <w:ind w:firstLine="640"/>
        <w:spacing w:line="360" w:lineRule="auto"/>
        <w:tabs>
          <w:tab w:val="left" w:pos="7740" w:leader="none"/>
        </w:tabs>
        <w:rPr>
          <w:rFonts w:hint="eastAsia" w:ascii="宋体" w:hAnsi="宋体" w:eastAsia="宋体"/>
          <w:color w:val="000000" w:themeColor="text1"/>
          <w:spacing w:val="2"/>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第一部分  </w:t>
      </w:r>
      <w:r>
        <w:rPr>
          <w:rFonts w:hint="eastAsia" w:ascii="宋体" w:hAnsi="宋体"/>
          <w:bCs/>
          <w:color w:val="000000" w:themeColor="text1"/>
          <w:sz w:val="32"/>
          <w:szCs w:val="32"/>
          <w:highlight w:val="none"/>
          <w:lang w:eastAsia="zh-CN"/>
          <w14:textFill>
            <w14:solidFill>
              <w14:schemeClr w14:val="tx1"/>
            </w14:solidFill>
          </w14:textFill>
        </w:rPr>
        <w:t xml:space="preserve">招标公告</w:t>
      </w:r>
      <w:r/>
    </w:p>
    <w:p>
      <w:pPr>
        <w:ind w:firstLine="640"/>
        <w:spacing w:line="360" w:lineRule="auto"/>
        <w:tabs>
          <w:tab w:val="left" w:pos="7740" w:leader="none"/>
        </w:tabs>
        <w:rPr>
          <w:rFonts w:hint="eastAsia" w:ascii="宋体" w:hAnsi="宋体"/>
          <w:color w:val="000000" w:themeColor="text1"/>
          <w:spacing w:val="2"/>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第二部分  投标须知</w:t>
      </w:r>
      <w:r/>
    </w:p>
    <w:p>
      <w:pPr>
        <w:ind w:firstLine="640"/>
        <w:spacing w:line="360" w:lineRule="auto"/>
        <w:tabs>
          <w:tab w:val="left" w:pos="7740" w:leader="none"/>
        </w:tabs>
        <w:rPr>
          <w:rFonts w:hint="eastAsia" w:ascii="宋体" w:hAnsi="宋体"/>
          <w:color w:val="000000" w:themeColor="text1"/>
          <w:spacing w:val="2"/>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第三部分  项目需求</w:t>
      </w:r>
      <w:r/>
    </w:p>
    <w:p>
      <w:pPr>
        <w:ind w:firstLine="640"/>
        <w:spacing w:line="360" w:lineRule="auto"/>
        <w:tabs>
          <w:tab w:val="left" w:pos="7740" w:leader="none"/>
        </w:tabs>
        <w:rPr>
          <w:rFonts w:hint="eastAsia" w:ascii="宋体" w:hAnsi="宋体"/>
          <w:bCs/>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第四部分  </w:t>
      </w:r>
      <w:r>
        <w:rPr>
          <w:rFonts w:hint="eastAsia" w:ascii="宋体" w:hAnsi="宋体"/>
          <w:bCs/>
          <w:color w:val="000000" w:themeColor="text1"/>
          <w:sz w:val="32"/>
          <w:szCs w:val="32"/>
          <w:highlight w:val="none"/>
          <w14:textFill>
            <w14:solidFill>
              <w14:schemeClr w14:val="tx1"/>
            </w14:solidFill>
          </w14:textFill>
        </w:rPr>
        <w:t xml:space="preserve">开标和评标</w:t>
      </w:r>
      <w:r/>
    </w:p>
    <w:p>
      <w:pPr>
        <w:ind w:firstLine="640"/>
        <w:spacing w:line="360" w:lineRule="auto"/>
        <w:tabs>
          <w:tab w:val="left" w:pos="7740" w:leader="none"/>
        </w:tabs>
        <w:rPr>
          <w:rFonts w:hint="eastAsia" w:ascii="宋体" w:hAnsi="宋体"/>
          <w:color w:val="000000" w:themeColor="text1"/>
          <w:spacing w:val="2"/>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第五部分 </w:t>
      </w:r>
      <w:r>
        <w:rPr>
          <w:rFonts w:ascii="宋体" w:hAnsi="宋体"/>
          <w:bCs/>
          <w:color w:val="000000" w:themeColor="text1"/>
          <w:sz w:val="32"/>
          <w:szCs w:val="32"/>
          <w:highlight w:val="none"/>
          <w14:textFill>
            <w14:solidFill>
              <w14:schemeClr w14:val="tx1"/>
            </w14:solidFill>
          </w14:textFill>
        </w:rPr>
        <w:t xml:space="preserve"> </w:t>
      </w:r>
      <w:r>
        <w:rPr>
          <w:rFonts w:hint="eastAsia" w:ascii="宋体" w:hAnsi="宋体"/>
          <w:bCs/>
          <w:color w:val="000000" w:themeColor="text1"/>
          <w:sz w:val="32"/>
          <w:szCs w:val="32"/>
          <w:highlight w:val="none"/>
          <w14:textFill>
            <w14:solidFill>
              <w14:schemeClr w14:val="tx1"/>
            </w14:solidFill>
          </w14:textFill>
        </w:rPr>
        <w:t xml:space="preserve">合同格式</w:t>
      </w:r>
      <w:r/>
    </w:p>
    <w:p>
      <w:pPr>
        <w:ind w:firstLine="640"/>
        <w:spacing w:line="360" w:lineRule="auto"/>
        <w:tabs>
          <w:tab w:val="left" w:pos="7740" w:leader="none"/>
        </w:tabs>
        <w:rPr>
          <w:rFonts w:hint="eastAsia" w:ascii="宋体" w:hAnsi="宋体"/>
          <w:bCs/>
          <w:color w:val="000000" w:themeColor="text1"/>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第六部分  投标文件组成</w:t>
      </w:r>
      <w:r/>
    </w:p>
    <w:p>
      <w:pPr>
        <w:rPr>
          <w:rFonts w:hint="eastAsia" w:ascii="宋体" w:hAnsi="宋体"/>
          <w:bCs/>
          <w:color w:val="000000" w:themeColor="text1"/>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br w:type="page" w:clear="all"/>
      </w:r>
      <w:r/>
    </w:p>
    <w:p>
      <w:pPr>
        <w:pStyle w:val="1440"/>
        <w:tabs>
          <w:tab w:val="left" w:pos="0" w:leader="none"/>
        </w:tabs>
        <w:rPr>
          <w:rFonts w:hint="eastAsia" w:eastAsia="黑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第一部分  </w:t>
      </w:r>
      <w:bookmarkStart w:id="2" w:name="OLE_LINK5"/>
      <w:r/>
      <w:bookmarkStart w:id="3" w:name="OLE_LINK7"/>
      <w:r>
        <w:rPr>
          <w:rFonts w:hint="eastAsia"/>
          <w:color w:val="000000" w:themeColor="text1"/>
          <w:highlight w:val="none"/>
          <w:lang w:eastAsia="zh-CN"/>
          <w14:textFill>
            <w14:solidFill>
              <w14:schemeClr w14:val="tx1"/>
            </w14:solidFill>
          </w14:textFill>
        </w:rPr>
        <w:t xml:space="preserve">招标公告</w:t>
      </w:r>
      <w:r/>
    </w:p>
    <w:p>
      <w:pPr>
        <w:pStyle w:val="739"/>
        <w:ind w:firstLine="480"/>
        <w:rPr>
          <w:color w:val="000000" w:themeColor="text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bookmarkStart w:id="4" w:name="OLE_LINK1"/>
      <w:r/>
      <w:bookmarkStart w:id="5" w:name="OLE_LINK6"/>
      <w:r>
        <w:rPr>
          <w:color w:val="000000" w:themeColor="text1"/>
          <w:highlight w:val="none"/>
          <w14:textFill>
            <w14:solidFill>
              <w14:schemeClr w14:val="tx1"/>
            </w14:solidFill>
          </w14:textFill>
        </w:rPr>
        <w:t xml:space="preserve">项目概况</w:t>
      </w:r>
      <w:r/>
    </w:p>
    <w:p>
      <w:pPr>
        <w:pStyle w:val="739"/>
        <w:ind w:firstLine="480"/>
        <w:rPr>
          <w:color w:val="000000" w:themeColor="text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color w:val="000000" w:themeColor="text1"/>
          <w:highlight w:val="none"/>
          <w:u w:val="single"/>
          <w:lang w:eastAsia="zh-CN"/>
          <w14:textFill>
            <w14:solidFill>
              <w14:schemeClr w14:val="tx1"/>
            </w14:solidFill>
          </w14:textFill>
        </w:rPr>
        <w:t xml:space="preserve">南通大学附属医院跨院区容灾平台建设采购项目的潜在投标人应在“苏采云”系统获取招标文件，并于2026年11月</w:t>
      </w:r>
      <w:r>
        <w:rPr>
          <w:rFonts w:hint="eastAsia"/>
          <w:color w:val="000000" w:themeColor="text1"/>
          <w:highlight w:val="none"/>
          <w:u w:val="single"/>
          <w:lang w:val="en-US" w:eastAsia="zh-CN"/>
          <w14:textFill>
            <w14:solidFill>
              <w14:schemeClr w14:val="tx1"/>
            </w14:solidFill>
          </w14:textFill>
        </w:rPr>
        <w:t xml:space="preserve">18</w:t>
      </w:r>
      <w:r>
        <w:rPr>
          <w:rFonts w:hint="eastAsia"/>
          <w:color w:val="000000" w:themeColor="text1"/>
          <w:highlight w:val="none"/>
          <w:u w:val="single"/>
          <w:lang w:eastAsia="zh-CN"/>
          <w14:textFill>
            <w14:solidFill>
              <w14:schemeClr w14:val="tx1"/>
            </w14:solidFill>
          </w14:textFill>
        </w:rPr>
        <w:t xml:space="preserve">日14点</w:t>
      </w:r>
      <w:r>
        <w:rPr>
          <w:rFonts w:hint="eastAsia"/>
          <w:color w:val="000000" w:themeColor="text1"/>
          <w:highlight w:val="none"/>
          <w:u w:val="single"/>
          <w:lang w:val="en-US" w:eastAsia="zh-CN"/>
          <w14:textFill>
            <w14:solidFill>
              <w14:schemeClr w14:val="tx1"/>
            </w14:solidFill>
          </w14:textFill>
        </w:rPr>
        <w:t xml:space="preserve">3</w:t>
      </w:r>
      <w:r>
        <w:rPr>
          <w:rFonts w:hint="eastAsia"/>
          <w:color w:val="000000" w:themeColor="text1"/>
          <w:highlight w:val="none"/>
          <w:u w:val="single"/>
          <w:lang w:eastAsia="zh-CN"/>
          <w14:textFill>
            <w14:solidFill>
              <w14:schemeClr w14:val="tx1"/>
            </w14:solidFill>
          </w14:textFill>
        </w:rPr>
        <w:t xml:space="preserve">0分（北京时间）前递交投标文件。</w:t>
      </w:r>
      <w:r/>
    </w:p>
    <w:p>
      <w:pPr>
        <w:pStyle w:val="717"/>
        <w:numPr>
          <w:ilvl w:val="0"/>
          <w:numId w:val="4"/>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项目基本情况</w:t>
      </w:r>
      <w:r/>
    </w:p>
    <w:p>
      <w:pPr>
        <w:pStyle w:val="739"/>
        <w:numPr>
          <w:ilvl w:val="0"/>
          <w:numId w:val="5"/>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JSZC-320000-JSHY-G2026-0256</w:t>
      </w:r>
      <w:r/>
    </w:p>
    <w:p>
      <w:pPr>
        <w:pStyle w:val="739"/>
        <w:numPr>
          <w:ilvl w:val="0"/>
          <w:numId w:val="5"/>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项目名称：</w:t>
      </w:r>
      <w:r>
        <w:rPr>
          <w:rFonts w:hint="eastAsia"/>
          <w:color w:val="000000" w:themeColor="text1"/>
          <w:highlight w:val="none"/>
          <w:lang w:eastAsia="zh-CN"/>
          <w14:textFill>
            <w14:solidFill>
              <w14:schemeClr w14:val="tx1"/>
            </w14:solidFill>
          </w14:textFill>
        </w:rPr>
        <w:t xml:space="preserve">南通大学附属医院跨院区容灾平台建设采购项目</w:t>
      </w:r>
      <w:r/>
    </w:p>
    <w:p>
      <w:pPr>
        <w:pStyle w:val="739"/>
        <w:numPr>
          <w:ilvl w:val="0"/>
          <w:numId w:val="5"/>
        </w:numPr>
        <w:tabs>
          <w:tab w:val="clear" w:pos="210" w:leader="none"/>
          <w:tab w:val="left" w:pos="7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预算金额：500万元</w:t>
      </w:r>
      <w:r/>
    </w:p>
    <w:p>
      <w:pPr>
        <w:pStyle w:val="739"/>
        <w:numPr>
          <w:ilvl w:val="0"/>
          <w:numId w:val="5"/>
        </w:numPr>
        <w:tabs>
          <w:tab w:val="clear" w:pos="210" w:leader="none"/>
          <w:tab w:val="left" w:pos="7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最高限价（如有）：500万元（供应商投标报价不得超过上述限价金额，否则将作无效标处理）</w:t>
      </w:r>
      <w:r/>
    </w:p>
    <w:p>
      <w:pPr>
        <w:pStyle w:val="739"/>
        <w:numPr>
          <w:ilvl w:val="0"/>
          <w:numId w:val="5"/>
        </w:numPr>
        <w:tabs>
          <w:tab w:val="clear" w:pos="210" w:leader="none"/>
          <w:tab w:val="left" w:pos="78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采购需求：</w:t>
      </w:r>
      <w:r/>
    </w:p>
    <w:tbl>
      <w:tblPr>
        <w:tblStyle w:val="727"/>
        <w:tblW w:w="87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2" w:type="dxa"/>
          <w:top w:w="80" w:type="dxa"/>
          <w:right w:w="102" w:type="dxa"/>
          <w:bottom w:w="80" w:type="dxa"/>
        </w:tblCellMar>
        <w:tblLook w:val="04A0" w:firstRow="1" w:lastRow="0" w:firstColumn="1" w:lastColumn="0" w:noHBand="0" w:noVBand="1"/>
      </w:tblPr>
      <w:tblGrid>
        <w:gridCol w:w="798"/>
        <w:gridCol w:w="2280"/>
        <w:gridCol w:w="798"/>
        <w:gridCol w:w="2414"/>
        <w:gridCol w:w="2415"/>
      </w:tblGrid>
      <w:tr>
        <w:trPr>
          <w:jc w:val="center"/>
          <w:trHeight w:val="0"/>
          <w:tblHeader/>
        </w:trPr>
        <w:tc>
          <w:tcPr>
            <w:tcW w:w="798" w:type="dxa"/>
            <w:vAlign w:val="center"/>
            <w:textDirection w:val="lrTb"/>
            <w:noWrap w:val="false"/>
          </w:tcPr>
          <w:p>
            <w:pPr>
              <w:jc w:val="center"/>
              <w:spacing w:line="360" w:lineRule="auto"/>
              <w:rPr>
                <w:rFonts w:hint="eastAsia" w:hAnsi="宋体" w:eastAsia="宋体"/>
                <w:b/>
                <w:color w:val="000000" w:themeColor="text1"/>
                <w:position w:val="0"/>
                <w:szCs w:val="21"/>
                <w:highlight w:val="none"/>
                <w14:textFill>
                  <w14:solidFill>
                    <w14:schemeClr w14:val="tx1"/>
                  </w14:solidFill>
                </w14:textFill>
              </w:rPr>
            </w:pPr>
            <w:r>
              <w:rPr>
                <w:rFonts w:hint="eastAsia" w:hAnsi="宋体"/>
                <w:b/>
                <w:color w:val="000000" w:themeColor="text1"/>
                <w:position w:val="0"/>
                <w:szCs w:val="21"/>
                <w:highlight w:val="none"/>
                <w:lang w:eastAsia="zh-CN"/>
                <w14:textFill>
                  <w14:solidFill>
                    <w14:schemeClr w14:val="tx1"/>
                  </w14:solidFill>
                </w14:textFill>
              </w:rPr>
              <w:t xml:space="preserve">包号</w:t>
            </w:r>
            <w:r/>
          </w:p>
        </w:tc>
        <w:tc>
          <w:tcPr>
            <w:tcW w:w="2280" w:type="dxa"/>
            <w:vAlign w:val="center"/>
            <w:textDirection w:val="lrTb"/>
            <w:noWrap w:val="false"/>
          </w:tcPr>
          <w:p>
            <w:pPr>
              <w:jc w:val="center"/>
              <w:spacing w:line="360" w:lineRule="auto"/>
              <w:rPr>
                <w:rFonts w:hint="eastAsia" w:hAnsi="宋体" w:eastAsia="宋体"/>
                <w:b/>
                <w:color w:val="000000" w:themeColor="text1"/>
                <w:position w:val="0"/>
                <w:szCs w:val="21"/>
                <w:highlight w:val="none"/>
                <w14:textFill>
                  <w14:solidFill>
                    <w14:schemeClr w14:val="tx1"/>
                  </w14:solidFill>
                </w14:textFill>
              </w:rPr>
            </w:pPr>
            <w:r>
              <w:rPr>
                <w:rFonts w:hint="eastAsia" w:hAnsi="宋体"/>
                <w:b/>
                <w:color w:val="000000" w:themeColor="text1"/>
                <w:position w:val="0"/>
                <w:szCs w:val="21"/>
                <w:highlight w:val="none"/>
                <w:lang w:eastAsia="zh-CN"/>
                <w14:textFill>
                  <w14:solidFill>
                    <w14:schemeClr w14:val="tx1"/>
                  </w14:solidFill>
                </w14:textFill>
              </w:rPr>
              <w:t xml:space="preserve">项目名称</w:t>
            </w:r>
            <w:r/>
          </w:p>
        </w:tc>
        <w:tc>
          <w:tcPr>
            <w:tcW w:w="798" w:type="dxa"/>
            <w:vAlign w:val="center"/>
            <w:textDirection w:val="lrTb"/>
            <w:noWrap w:val="false"/>
          </w:tcPr>
          <w:p>
            <w:pPr>
              <w:jc w:val="center"/>
              <w:spacing w:line="360" w:lineRule="auto"/>
              <w:rPr>
                <w:rFonts w:hint="eastAsia" w:hAnsi="宋体" w:eastAsia="宋体"/>
                <w:b/>
                <w:color w:val="000000" w:themeColor="text1"/>
                <w:position w:val="0"/>
                <w:szCs w:val="21"/>
                <w:highlight w:val="none"/>
                <w14:textFill>
                  <w14:solidFill>
                    <w14:schemeClr w14:val="tx1"/>
                  </w14:solidFill>
                </w14:textFill>
              </w:rPr>
            </w:pPr>
            <w:r>
              <w:rPr>
                <w:rFonts w:hint="eastAsia" w:hAnsi="宋体"/>
                <w:b/>
                <w:color w:val="000000" w:themeColor="text1"/>
                <w:position w:val="0"/>
                <w:szCs w:val="21"/>
                <w:highlight w:val="none"/>
                <w:lang w:eastAsia="zh-CN"/>
                <w14:textFill>
                  <w14:solidFill>
                    <w14:schemeClr w14:val="tx1"/>
                  </w14:solidFill>
                </w14:textFill>
              </w:rPr>
              <w:t xml:space="preserve">数量</w:t>
            </w:r>
            <w:r/>
          </w:p>
        </w:tc>
        <w:tc>
          <w:tcPr>
            <w:tcW w:w="2414" w:type="dxa"/>
            <w:vAlign w:val="center"/>
            <w:textDirection w:val="lrTb"/>
            <w:noWrap w:val="false"/>
          </w:tcPr>
          <w:p>
            <w:pPr>
              <w:jc w:val="center"/>
              <w:spacing w:line="360" w:lineRule="auto"/>
              <w:rPr>
                <w:rFonts w:hint="eastAsia" w:hAnsi="宋体" w:eastAsia="宋体"/>
                <w:b/>
                <w:color w:val="000000" w:themeColor="text1"/>
                <w:position w:val="0"/>
                <w:szCs w:val="21"/>
                <w:highlight w:val="none"/>
                <w14:textFill>
                  <w14:solidFill>
                    <w14:schemeClr w14:val="tx1"/>
                  </w14:solidFill>
                </w14:textFill>
              </w:rPr>
            </w:pPr>
            <w:r>
              <w:rPr>
                <w:rFonts w:hint="eastAsia" w:hAnsi="宋体"/>
                <w:b/>
                <w:color w:val="000000" w:themeColor="text1"/>
                <w:position w:val="0"/>
                <w:szCs w:val="21"/>
                <w:highlight w:val="none"/>
                <w:lang w:eastAsia="zh-CN"/>
                <w14:textFill>
                  <w14:solidFill>
                    <w14:schemeClr w14:val="tx1"/>
                  </w14:solidFill>
                </w14:textFill>
              </w:rPr>
              <w:t xml:space="preserve">预算金额（万元）</w:t>
            </w:r>
            <w:r/>
          </w:p>
        </w:tc>
        <w:tc>
          <w:tcPr>
            <w:tcW w:w="2415" w:type="dxa"/>
            <w:vAlign w:val="center"/>
            <w:textDirection w:val="lrTb"/>
            <w:noWrap w:val="false"/>
          </w:tcPr>
          <w:p>
            <w:pPr>
              <w:jc w:val="center"/>
              <w:spacing w:line="360" w:lineRule="auto"/>
              <w:rPr>
                <w:rFonts w:hint="eastAsia" w:hAnsi="宋体"/>
                <w:b/>
                <w:color w:val="000000" w:themeColor="text1"/>
                <w:position w:val="0"/>
                <w:szCs w:val="21"/>
                <w:highlight w:val="none"/>
                <w14:textFill>
                  <w14:solidFill>
                    <w14:schemeClr w14:val="tx1"/>
                  </w14:solidFill>
                </w14:textFill>
              </w:rPr>
            </w:pPr>
            <w:r>
              <w:rPr>
                <w:rFonts w:hint="eastAsia"/>
                <w:b/>
                <w:color w:val="000000" w:themeColor="text1"/>
                <w:highlight w:val="none"/>
                <w:lang w:val="en-US" w:eastAsia="zh-CN"/>
                <w14:textFill>
                  <w14:solidFill>
                    <w14:schemeClr w14:val="tx1"/>
                  </w14:solidFill>
                </w14:textFill>
              </w:rPr>
              <w:t xml:space="preserve">最高限价（万元）</w:t>
            </w:r>
            <w:r/>
          </w:p>
        </w:tc>
      </w:tr>
      <w:tr>
        <w:trPr>
          <w:jc w:val="center"/>
          <w:trHeight w:val="0"/>
        </w:trPr>
        <w:tc>
          <w:tcPr>
            <w:tcW w:w="798" w:type="dxa"/>
            <w:vAlign w:val="center"/>
            <w:textDirection w:val="lrTb"/>
            <w:noWrap w:val="false"/>
          </w:tcPr>
          <w:p>
            <w:pPr>
              <w:jc w:val="center"/>
              <w:spacing w:line="360" w:lineRule="auto"/>
              <w:rPr>
                <w:rFonts w:hint="eastAsia" w:hAnsi="宋体"/>
                <w:b w:val="0"/>
                <w:color w:val="000000" w:themeColor="text1"/>
                <w:position w:val="0"/>
                <w:szCs w:val="21"/>
                <w:highlight w:val="none"/>
                <w14:textFill>
                  <w14:solidFill>
                    <w14:schemeClr w14:val="tx1"/>
                  </w14:solidFill>
                </w14:textFill>
              </w:rPr>
            </w:pPr>
            <w:r>
              <w:rPr>
                <w:rFonts w:hAnsi="宋体"/>
                <w:b w:val="0"/>
                <w:color w:val="000000" w:themeColor="text1"/>
                <w:position w:val="0"/>
                <w:szCs w:val="21"/>
                <w:highlight w:val="none"/>
                <w14:textFill>
                  <w14:solidFill>
                    <w14:schemeClr w14:val="tx1"/>
                  </w14:solidFill>
                </w14:textFill>
              </w:rPr>
              <w:t xml:space="preserve">1</w:t>
            </w:r>
            <w:r/>
          </w:p>
        </w:tc>
        <w:tc>
          <w:tcPr>
            <w:tcW w:w="2280" w:type="dxa"/>
            <w:vAlign w:val="center"/>
            <w:textDirection w:val="lrTb"/>
            <w:noWrap w:val="false"/>
          </w:tcPr>
          <w:p>
            <w:pPr>
              <w:jc w:val="center"/>
              <w:rPr>
                <w:rFonts w:hint="eastAsia" w:hAnsi="宋体"/>
                <w:b w:val="0"/>
                <w:color w:val="000000" w:themeColor="text1"/>
                <w:position w:val="0"/>
                <w:szCs w:val="2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跨院区容灾平台建设</w:t>
            </w:r>
            <w:r/>
          </w:p>
        </w:tc>
        <w:tc>
          <w:tcPr>
            <w:tcW w:w="798" w:type="dxa"/>
            <w:vAlign w:val="center"/>
            <w:textDirection w:val="lrTb"/>
            <w:noWrap w:val="false"/>
          </w:tcPr>
          <w:p>
            <w:pPr>
              <w:jc w:val="center"/>
              <w:rPr>
                <w:rFonts w:hint="default" w:hAnsi="宋体"/>
                <w:b w:val="0"/>
                <w:color w:val="000000" w:themeColor="text1"/>
                <w:position w:val="0"/>
                <w:szCs w:val="21"/>
                <w:highlight w:val="none"/>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1套</w:t>
            </w:r>
            <w:r/>
          </w:p>
        </w:tc>
        <w:tc>
          <w:tcPr>
            <w:tcW w:w="2414" w:type="dxa"/>
            <w:vAlign w:val="center"/>
            <w:textDirection w:val="lrTb"/>
            <w:noWrap w:val="false"/>
          </w:tcPr>
          <w:p>
            <w:pPr>
              <w:jc w:val="center"/>
              <w:rPr>
                <w:rFonts w:hint="default" w:hAnsi="宋体"/>
                <w:b w:val="0"/>
                <w:color w:val="000000" w:themeColor="text1"/>
                <w:position w:val="0"/>
                <w:szCs w:val="21"/>
                <w:highlight w:val="none"/>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500</w:t>
            </w:r>
            <w:r/>
          </w:p>
        </w:tc>
        <w:tc>
          <w:tcPr>
            <w:tcW w:w="2415" w:type="dxa"/>
            <w:vAlign w:val="center"/>
            <w:textDirection w:val="lrTb"/>
            <w:noWrap w:val="false"/>
          </w:tcPr>
          <w:p>
            <w:pPr>
              <w:jc w:val="center"/>
              <w:rPr>
                <w:rFonts w:hint="default" w:hAnsi="宋体"/>
                <w:b w:val="0"/>
                <w:color w:val="000000" w:themeColor="text1"/>
                <w:position w:val="0"/>
                <w:szCs w:val="21"/>
                <w:highlight w:val="none"/>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500</w:t>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numPr>
          <w:ilvl w:val="0"/>
          <w:numId w:val="5"/>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合同履行期限：</w:t>
      </w:r>
      <w:r>
        <w:rPr>
          <w:rFonts w:hint="eastAsia"/>
          <w:color w:val="000000" w:themeColor="text1"/>
          <w:highlight w:val="none"/>
          <w:lang w:val="en-US" w:eastAsia="zh-CN"/>
          <w14:textFill>
            <w14:solidFill>
              <w14:schemeClr w14:val="tx1"/>
            </w14:solidFill>
          </w14:textFill>
        </w:rPr>
        <w:t xml:space="preserve">详见项目需求</w:t>
      </w:r>
      <w:r/>
    </w:p>
    <w:p>
      <w:pPr>
        <w:pStyle w:val="739"/>
        <w:numPr>
          <w:ilvl w:val="0"/>
          <w:numId w:val="5"/>
        </w:numPr>
        <w:tabs>
          <w:tab w:val="clear" w:pos="210" w:leader="none"/>
          <w:tab w:val="left" w:pos="780"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t xml:space="preserve">本项目（是/否）接受联合体投标：否</w:t>
      </w:r>
      <w:r/>
    </w:p>
    <w:p>
      <w:pPr>
        <w:pStyle w:val="717"/>
        <w:numPr>
          <w:ilvl w:val="0"/>
          <w:numId w:val="4"/>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申请人的资格要求：</w:t>
      </w:r>
      <w:r/>
    </w:p>
    <w:p>
      <w:pPr>
        <w:pStyle w:val="718"/>
        <w:numPr>
          <w:ilvl w:val="0"/>
          <w:numId w:val="6"/>
        </w:numPr>
        <w:ind w:firstLine="482"/>
        <w:tabs>
          <w:tab w:val="left" w:pos="1202"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满足《中华人民共和国政府采购法》第二十二条规定</w:t>
      </w:r>
      <w:r>
        <w:rPr>
          <w:rFonts w:hint="eastAsia"/>
          <w:color w:val="000000" w:themeColor="text1"/>
          <w:highlight w:val="none"/>
          <w:lang w:eastAsia="zh-CN"/>
          <w14:textFill>
            <w14:solidFill>
              <w14:schemeClr w14:val="tx1"/>
            </w14:solidFill>
          </w14:textFill>
        </w:rPr>
        <w:t xml:space="preserve">：</w:t>
      </w:r>
      <w:r/>
    </w:p>
    <w:p>
      <w:pPr>
        <w:pStyle w:val="739"/>
        <w:numPr>
          <w:ilvl w:val="0"/>
          <w:numId w:val="7"/>
        </w:numPr>
        <w:tabs>
          <w:tab w:val="clear" w:pos="210" w:leader="none"/>
          <w:tab w:val="left" w:pos="780" w:leader="none"/>
        </w:tabs>
        <w:rPr>
          <w:color w:val="000000" w:themeColor="text1"/>
          <w:highlight w:val="none"/>
          <w14:textFill>
            <w14:solidFill>
              <w14:schemeClr w14:val="tx1"/>
            </w14:solidFill>
          </w14:textFill>
        </w:rPr>
      </w:pPr>
      <w:r/>
      <w:bookmarkStart w:id="6" w:name="OLE_LINK2"/>
      <w:r>
        <w:rPr>
          <w:color w:val="000000" w:themeColor="text1"/>
          <w:highlight w:val="none"/>
          <w14:textFill>
            <w14:solidFill>
              <w14:schemeClr w14:val="tx1"/>
            </w14:solidFill>
          </w14:textFill>
        </w:rPr>
        <w:t xml:space="preserve">具有独立承担民事责任的能力；（提供法人或者其他组织的营业执照等证明文件，自然人的身份证明）</w:t>
      </w:r>
      <w:bookmarkEnd w:id="6"/>
      <w:r/>
      <w:r/>
    </w:p>
    <w:p>
      <w:pPr>
        <w:pStyle w:val="739"/>
        <w:numPr>
          <w:ilvl w:val="0"/>
          <w:numId w:val="7"/>
        </w:numPr>
        <w:tabs>
          <w:tab w:val="clear" w:pos="210" w:leader="none"/>
          <w:tab w:val="left" w:pos="780" w:leader="none"/>
        </w:tabs>
        <w:rPr>
          <w:color w:val="000000" w:themeColor="text1"/>
          <w:highlight w:val="none"/>
          <w14:textFill>
            <w14:solidFill>
              <w14:schemeClr w14:val="tx1"/>
            </w14:solidFill>
          </w14:textFill>
        </w:rPr>
      </w:pPr>
      <w:r/>
      <w:bookmarkStart w:id="7" w:name="OLE_LINK3"/>
      <w:r>
        <w:rPr>
          <w:color w:val="000000" w:themeColor="text1"/>
          <w:highlight w:val="none"/>
          <w14:textFill>
            <w14:solidFill>
              <w14:schemeClr w14:val="tx1"/>
            </w14:solidFill>
          </w14:textFill>
        </w:rPr>
        <w:t xml:space="preserve">具有良好的商业信誉和健全的财务会计制度；（提供上一年度的财务状况报告，成立不满一年不需提供）</w:t>
      </w:r>
      <w:bookmarkEnd w:id="7"/>
      <w:r/>
      <w:r/>
    </w:p>
    <w:p>
      <w:pPr>
        <w:pStyle w:val="739"/>
        <w:numPr>
          <w:ilvl w:val="0"/>
          <w:numId w:val="7"/>
        </w:numPr>
        <w:tabs>
          <w:tab w:val="clear" w:pos="210" w:leader="none"/>
          <w:tab w:val="left" w:pos="780" w:leader="none"/>
        </w:tabs>
        <w:rPr>
          <w:color w:val="000000" w:themeColor="text1"/>
          <w:highlight w:val="none"/>
          <w14:textFill>
            <w14:solidFill>
              <w14:schemeClr w14:val="tx1"/>
            </w14:solidFill>
          </w14:textFill>
        </w:rPr>
      </w:pPr>
      <w:r/>
      <w:bookmarkStart w:id="8" w:name="OLE_LINK4"/>
      <w:r>
        <w:rPr>
          <w:color w:val="000000" w:themeColor="text1"/>
          <w:highlight w:val="none"/>
          <w14:textFill>
            <w14:solidFill>
              <w14:schemeClr w14:val="tx1"/>
            </w14:solidFill>
          </w14:textFill>
        </w:rPr>
        <w:t xml:space="preserve">有依法缴纳税收和社会保障资金的良好记录；</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依法纳税凭据：</w:t>
      </w:r>
      <w:r>
        <w:rPr>
          <w:rFonts w:hint="eastAsia"/>
          <w:color w:val="000000" w:themeColor="text1"/>
          <w:highlight w:val="none"/>
          <w:lang w:eastAsia="zh-CN"/>
          <w14:textFill>
            <w14:solidFill>
              <w14:schemeClr w14:val="tx1"/>
            </w14:solidFill>
          </w14:textFill>
        </w:rPr>
        <w:t xml:space="preserve">提供参加政府采购活动前6个月（即2026年5月-10月）内任意一个月依法纳税的凭据</w:t>
      </w:r>
      <w:r>
        <w:rPr>
          <w:rFonts w:hint="eastAsia"/>
          <w:color w:val="000000" w:themeColor="text1"/>
          <w:highlight w:val="none"/>
          <w14:textFill>
            <w14:solidFill>
              <w14:schemeClr w14:val="tx1"/>
            </w14:solidFill>
          </w14:textFill>
        </w:rPr>
        <w:t xml:space="preserve">，如完税凭证或税务机关开具的完税证明</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个人所得税除外）</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缴纳社会保险的凭据：提供参加政府采购活动</w:t>
      </w:r>
      <w:r>
        <w:rPr>
          <w:rFonts w:hint="eastAsia"/>
          <w:color w:val="000000" w:themeColor="text1"/>
          <w:highlight w:val="none"/>
          <w:lang w:eastAsia="zh-CN"/>
          <w14:textFill>
            <w14:solidFill>
              <w14:schemeClr w14:val="tx1"/>
            </w14:solidFill>
          </w14:textFill>
        </w:rPr>
        <w:t xml:space="preserve">前6个月内任意一个月</w:t>
      </w:r>
      <w:r>
        <w:rPr>
          <w:rFonts w:hint="eastAsia"/>
          <w:color w:val="000000" w:themeColor="text1"/>
          <w:highlight w:val="none"/>
          <w14:textFill>
            <w14:solidFill>
              <w14:schemeClr w14:val="tx1"/>
            </w14:solidFill>
          </w14:textFill>
        </w:rPr>
        <w:t xml:space="preserve">缴纳社会保险的凭据，如专用收据或社会保险缴纳清单</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依法免税或不需要缴纳社会保障资金的证明文件</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如果供应商依法免税或不需要缴纳社会保障资金，则须提供相应的证明文件，以说明其免税或无需缴纳的依据和情况</w:t>
      </w:r>
      <w:bookmarkEnd w:id="8"/>
      <w:r>
        <w:rPr>
          <w:rFonts w:hint="eastAsia"/>
          <w:color w:val="000000" w:themeColor="text1"/>
          <w:highlight w:val="none"/>
          <w:lang w:val="en-US" w:eastAsia="zh-CN"/>
          <w14:textFill>
            <w14:solidFill>
              <w14:schemeClr w14:val="tx1"/>
            </w14:solidFill>
          </w14:textFill>
        </w:rPr>
        <w:t xml:space="preserve">]</w:t>
      </w:r>
      <w:r/>
    </w:p>
    <w:p>
      <w:pPr>
        <w:pStyle w:val="739"/>
        <w:numPr>
          <w:ilvl w:val="0"/>
          <w:numId w:val="7"/>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具有履行合同所必需的设备和专业技术能力；（提供书面声明）</w:t>
      </w:r>
      <w:r/>
    </w:p>
    <w:p>
      <w:pPr>
        <w:pStyle w:val="739"/>
        <w:numPr>
          <w:ilvl w:val="0"/>
          <w:numId w:val="7"/>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参加政府采购活动前3年内在经营活动中没有重大违法记录</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（提供书面声明）</w:t>
      </w:r>
      <w:r/>
    </w:p>
    <w:p>
      <w:pPr>
        <w:pStyle w:val="739"/>
        <w:numPr>
          <w:ilvl w:val="0"/>
          <w:numId w:val="7"/>
        </w:numPr>
        <w:tabs>
          <w:tab w:val="clear" w:pos="210" w:leader="none"/>
          <w:tab w:val="left" w:pos="7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具备法律、行政法规规定的其他条件的证明材料。</w:t>
      </w:r>
      <w:r/>
    </w:p>
    <w:p>
      <w:pPr>
        <w:pStyle w:val="718"/>
        <w:numPr>
          <w:ilvl w:val="0"/>
          <w:numId w:val="6"/>
        </w:numPr>
        <w:ind w:firstLine="482"/>
        <w:tabs>
          <w:tab w:val="left" w:pos="1202"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落实政府采购政策需满足的资格要求：</w:t>
      </w:r>
      <w:r/>
    </w:p>
    <w:p>
      <w:pPr>
        <w:pStyle w:val="739"/>
        <w:ind w:firstLine="480"/>
        <w:rPr>
          <w:rFonts w:hint="eastAsia" w:eastAsia="宋体"/>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本项目属于</w:t>
      </w:r>
      <w:r>
        <w:rPr>
          <w:rFonts w:hint="eastAsia"/>
          <w:color w:val="000000" w:themeColor="text1"/>
          <w:highlight w:val="none"/>
          <w:u w:val="single"/>
          <w:lang w:val="en-US" w:eastAsia="zh-CN"/>
          <w14:textFill>
            <w14:solidFill>
              <w14:schemeClr w14:val="tx1"/>
            </w14:solidFill>
          </w14:textFill>
        </w:rPr>
        <w:t xml:space="preserve">货物类</w:t>
      </w:r>
      <w:r>
        <w:rPr>
          <w:rFonts w:hint="eastAsia"/>
          <w:color w:val="000000" w:themeColor="text1"/>
          <w:highlight w:val="none"/>
          <w:lang w:val="en-US" w:eastAsia="zh-CN"/>
          <w14:textFill>
            <w14:solidFill>
              <w14:schemeClr w14:val="tx1"/>
            </w14:solidFill>
          </w14:textFill>
        </w:rPr>
        <w:t xml:space="preserve">采购，采购标的对应的行业主要为</w:t>
      </w:r>
      <w:r>
        <w:rPr>
          <w:rFonts w:hint="eastAsia"/>
          <w:color w:val="000000" w:themeColor="text1"/>
          <w:highlight w:val="none"/>
          <w:u w:val="single"/>
          <w:lang w:val="en-US" w:eastAsia="zh-CN"/>
          <w14:textFill>
            <w14:solidFill>
              <w14:schemeClr w14:val="tx1"/>
            </w14:solidFill>
          </w14:textFill>
        </w:rPr>
        <w:t xml:space="preserve">工业</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本项目为非专门面向中小微企业项目，根据《政府采购促进中小企业发展管理办法》（财库〔2020〕46号）、《关于做好政府采购支持企业发展有关事项的通知》</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苏财购〔2020〕52号</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小型、微型企业制造货物的投标人须提供中小企业声明函方可享受扶持政策，格式见招标文件）</w:t>
      </w:r>
      <w:r/>
    </w:p>
    <w:p>
      <w:pPr>
        <w:pStyle w:val="718"/>
        <w:numPr>
          <w:ilvl w:val="0"/>
          <w:numId w:val="6"/>
        </w:numPr>
        <w:ind w:firstLine="482"/>
        <w:tabs>
          <w:tab w:val="left" w:pos="1202"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本项目的特定资格要求：</w:t>
      </w:r>
      <w:r/>
    </w:p>
    <w:p>
      <w:pPr>
        <w:pStyle w:val="739"/>
        <w:numPr>
          <w:ilvl w:val="0"/>
          <w:numId w:val="8"/>
        </w:numPr>
        <w:tabs>
          <w:tab w:val="clear" w:pos="210" w:leader="none"/>
          <w:tab w:val="left" w:pos="78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（投标文件中无需提供证明材料）</w:t>
      </w:r>
      <w:r/>
    </w:p>
    <w:p>
      <w:pPr>
        <w:pStyle w:val="739"/>
        <w:numPr>
          <w:ilvl w:val="0"/>
          <w:numId w:val="8"/>
        </w:numPr>
        <w:tabs>
          <w:tab w:val="clear" w:pos="210" w:leader="none"/>
          <w:tab w:val="left" w:pos="780" w:leader="none"/>
        </w:tabs>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本项目不接受进口产品参与投标。（所称进口产品是指通过中国海关报关验放进入中国境内且产自关境外的产品，投标文件中无需提供证明材料）</w:t>
      </w:r>
      <w:r/>
    </w:p>
    <w:p>
      <w:pPr>
        <w:pStyle w:val="717"/>
        <w:numPr>
          <w:ilvl w:val="0"/>
          <w:numId w:val="4"/>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获取招标文件</w:t>
      </w:r>
      <w:r/>
    </w:p>
    <w:p>
      <w:pPr>
        <w:pStyle w:val="739"/>
        <w:numPr>
          <w:ilvl w:val="0"/>
          <w:numId w:val="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时间：自招标文件公告发布之日起5个工作日</w:t>
      </w:r>
      <w:r/>
    </w:p>
    <w:p>
      <w:pPr>
        <w:pStyle w:val="739"/>
        <w:numPr>
          <w:ilvl w:val="0"/>
          <w:numId w:val="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地点：“苏采云”系统</w:t>
      </w:r>
      <w:r/>
    </w:p>
    <w:p>
      <w:pPr>
        <w:pStyle w:val="739"/>
        <w:numPr>
          <w:ilvl w:val="0"/>
          <w:numId w:val="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潜在供应商访问电子招标响应交易平台的网络地址和方法：</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739"/>
        <w:numPr>
          <w:ilvl w:val="0"/>
          <w:numId w:val="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潜在供应商访问“苏采云”系统的网络地址和方法：“苏采云”系统的网址：http://jszfcg.jsczt.cn/</w:t>
      </w:r>
      <w:r/>
    </w:p>
    <w:p>
      <w:pPr>
        <w:pStyle w:val="739"/>
        <w:numPr>
          <w:ilvl w:val="0"/>
          <w:numId w:val="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“CA数字证书”的获取</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供应商需办理“CA数字证书”，CA办理指南及“苏采云”操作手册可至江苏省政府采购网—办事指南－资料下载中心下载。</w:t>
      </w:r>
      <w:r/>
    </w:p>
    <w:p>
      <w:pPr>
        <w:pStyle w:val="739"/>
        <w:numPr>
          <w:ilvl w:val="0"/>
          <w:numId w:val="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采购文件（后缀名为“kedt”）、供应商操作手册及政府采购客户端工具可通过“苏采云”系统－－已报名项目－－报名详情页面内相应链接进行下载。</w:t>
      </w:r>
      <w:r/>
    </w:p>
    <w:p>
      <w:pPr>
        <w:pStyle w:val="739"/>
        <w:numPr>
          <w:ilvl w:val="0"/>
          <w:numId w:val="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采购人或采购代理机构将数据电文形式的采购文件加载至“苏采云”系统，供潜在供应商下载或者查阅。</w:t>
      </w:r>
      <w:r/>
    </w:p>
    <w:p>
      <w:pPr>
        <w:pStyle w:val="739"/>
        <w:numPr>
          <w:ilvl w:val="0"/>
          <w:numId w:val="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请潜在供应商提前安装相应的控件</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详见《江苏省政府采购管理交易系统（苏采云）供应商操作手册》</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并使用谷歌浏览器登录“苏采云”系统参与不见面开评标。</w:t>
      </w:r>
      <w:r/>
    </w:p>
    <w:p>
      <w:pPr>
        <w:pStyle w:val="739"/>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注：如潜在供应商未按上述要求操作，将自行承担所产生的风险。</w:t>
      </w:r>
      <w:r/>
    </w:p>
    <w:p>
      <w:pPr>
        <w:pStyle w:val="717"/>
        <w:numPr>
          <w:ilvl w:val="0"/>
          <w:numId w:val="4"/>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提交投标文件截止时间、开标时间和地点</w:t>
      </w:r>
      <w:r/>
    </w:p>
    <w:p>
      <w:pPr>
        <w:pStyle w:val="739"/>
        <w:ind w:firstLine="480"/>
        <w:rPr>
          <w:i/>
          <w:color w:val="000000" w:themeColor="text1"/>
          <w:highlight w:val="none"/>
          <w:u w:val="single"/>
          <w14:textFill>
            <w14:solidFill>
              <w14:schemeClr w14:val="tx1"/>
            </w14:solidFill>
          </w14:textFill>
        </w:rPr>
      </w:pPr>
      <w:r/>
      <w:bookmarkStart w:id="9" w:name="_Hlk171331639"/>
      <w:r>
        <w:rPr>
          <w:color w:val="000000" w:themeColor="text1"/>
          <w:highlight w:val="none"/>
          <w14:textFill>
            <w14:solidFill>
              <w14:schemeClr w14:val="tx1"/>
            </w14:solidFill>
          </w14:textFill>
        </w:rPr>
        <w:t xml:space="preserve">2026年</w:t>
      </w:r>
      <w:r>
        <w:rPr>
          <w:rFonts w:hint="eastAsia"/>
          <w:color w:val="000000" w:themeColor="text1"/>
          <w:highlight w:val="none"/>
          <w14:textFill>
            <w14:solidFill>
              <w14:schemeClr w14:val="tx1"/>
            </w14:solidFill>
          </w14:textFill>
        </w:rPr>
        <w:t xml:space="preserve">11月18日14点30分</w:t>
      </w:r>
      <w:r>
        <w:rPr>
          <w:color w:val="000000" w:themeColor="text1"/>
          <w:highlight w:val="none"/>
          <w14:textFill>
            <w14:solidFill>
              <w14:schemeClr w14:val="tx1"/>
            </w14:solidFill>
          </w14:textFill>
        </w:rPr>
        <w:t xml:space="preserve">（北京时间）</w:t>
      </w:r>
      <w:bookmarkEnd w:id="9"/>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逾时，交易系统将拒绝接受上传投标文件电子文档。</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地点：“苏采云”系统（网址：http://jszfcg.jsczt.cn）“开标大厅”。</w:t>
      </w:r>
      <w:r/>
    </w:p>
    <w:p>
      <w:pPr>
        <w:pStyle w:val="739"/>
        <w:ind w:firstLine="480"/>
        <w:rPr>
          <w:i/>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投标文件的解密：开标当天各供应商及时登录不见面开标大厅，投标文件递交截止时间后，采购人将在系统内公布投标</w:t>
      </w:r>
      <w:r>
        <w:rPr>
          <w:color w:val="000000" w:themeColor="text1"/>
          <w:highlight w:val="none"/>
          <w14:textFill>
            <w14:solidFill>
              <w14:schemeClr w14:val="tx1"/>
            </w14:solidFill>
          </w14:textFill>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p>
    <w:p>
      <w:pPr>
        <w:pStyle w:val="717"/>
        <w:numPr>
          <w:ilvl w:val="0"/>
          <w:numId w:val="4"/>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公告期限</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自本公告发布之日起5个工作日。</w:t>
      </w:r>
      <w:r/>
    </w:p>
    <w:p>
      <w:pPr>
        <w:pStyle w:val="717"/>
        <w:numPr>
          <w:ilvl w:val="0"/>
          <w:numId w:val="4"/>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其他补充事宜</w:t>
      </w:r>
      <w:r/>
    </w:p>
    <w:p>
      <w:pPr>
        <w:pStyle w:val="739"/>
        <w:numPr>
          <w:ilvl w:val="0"/>
          <w:numId w:val="10"/>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投标保证金：免收</w:t>
      </w:r>
      <w:r/>
    </w:p>
    <w:p>
      <w:pPr>
        <w:pStyle w:val="739"/>
        <w:numPr>
          <w:ilvl w:val="0"/>
          <w:numId w:val="10"/>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项目开标活动模式：不见面远程开标模式，投标人在各自地点通过“苏采云”系统参加开标会。</w:t>
      </w:r>
      <w:r/>
    </w:p>
    <w:p>
      <w:pPr>
        <w:pStyle w:val="717"/>
        <w:numPr>
          <w:ilvl w:val="0"/>
          <w:numId w:val="4"/>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对本次招标提出询问，请按以下方式联系</w:t>
      </w:r>
      <w:r/>
    </w:p>
    <w:p>
      <w:pPr>
        <w:pStyle w:val="718"/>
        <w:numPr>
          <w:ilvl w:val="0"/>
          <w:numId w:val="11"/>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采购人信息</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名称：</w:t>
      </w:r>
      <w:r>
        <w:rPr>
          <w:rFonts w:hint="eastAsia"/>
          <w:color w:val="000000" w:themeColor="text1"/>
          <w:highlight w:val="none"/>
          <w14:textFill>
            <w14:solidFill>
              <w14:schemeClr w14:val="tx1"/>
            </w14:solidFill>
          </w14:textFill>
        </w:rPr>
        <w:t xml:space="preserve">南通大学附属医院</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地址：</w:t>
      </w:r>
      <w:r>
        <w:rPr>
          <w:rFonts w:hint="eastAsia"/>
          <w:color w:val="000000" w:themeColor="text1"/>
          <w:highlight w:val="none"/>
          <w14:textFill>
            <w14:solidFill>
              <w14:schemeClr w14:val="tx1"/>
            </w14:solidFill>
          </w14:textFill>
        </w:rPr>
        <w:t xml:space="preserve">南通市西寺路20号</w:t>
      </w:r>
      <w:r/>
    </w:p>
    <w:p>
      <w:pPr>
        <w:pStyle w:val="739"/>
        <w:ind w:firstLine="480"/>
        <w:rPr>
          <w:rFonts w:hint="default" w:eastAsia="宋体"/>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 xml:space="preserve">联系人：</w:t>
      </w:r>
      <w:r>
        <w:rPr>
          <w:rFonts w:hint="eastAsia"/>
          <w:color w:val="000000" w:themeColor="text1"/>
          <w:highlight w:val="none"/>
          <w14:textFill>
            <w14:solidFill>
              <w14:schemeClr w14:val="tx1"/>
            </w14:solidFill>
          </w14:textFill>
        </w:rPr>
        <w:t xml:space="preserve">施老师、张老师</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马老师</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联系方式：</w:t>
      </w:r>
      <w:r>
        <w:rPr>
          <w:rFonts w:hint="eastAsia"/>
          <w:color w:val="000000" w:themeColor="text1"/>
          <w:highlight w:val="none"/>
          <w14:textFill>
            <w14:solidFill>
              <w14:schemeClr w14:val="tx1"/>
            </w14:solidFill>
          </w14:textFill>
        </w:rPr>
        <w:t xml:space="preserve">0513-85052089</w:t>
      </w:r>
      <w:r/>
    </w:p>
    <w:p>
      <w:pPr>
        <w:pStyle w:val="718"/>
        <w:numPr>
          <w:ilvl w:val="0"/>
          <w:numId w:val="11"/>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采购代理机构信息</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名称：江苏弘业国际技术工程有限公司</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地址：南京市中华路50号弘业大厦10楼</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联系人：</w:t>
      </w:r>
      <w:r>
        <w:rPr>
          <w:rFonts w:hint="eastAsia"/>
          <w:color w:val="000000" w:themeColor="text1"/>
          <w:highlight w:val="none"/>
          <w14:textFill>
            <w14:solidFill>
              <w14:schemeClr w14:val="tx1"/>
            </w14:solidFill>
          </w14:textFill>
        </w:rPr>
        <w:t xml:space="preserve">丁昕、茅燕凤</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联系方式：13515216336</w:t>
      </w:r>
      <w:r/>
    </w:p>
    <w:p>
      <w:pPr>
        <w:pStyle w:val="718"/>
        <w:numPr>
          <w:ilvl w:val="0"/>
          <w:numId w:val="11"/>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软件技术支持：0519-86722801</w:t>
      </w:r>
      <w:r/>
    </w:p>
    <w:p>
      <w:pPr>
        <w:pStyle w:val="739"/>
        <w:ind w:left="1625" w:hanging="1205"/>
        <w:tabs>
          <w:tab w:val="left" w:pos="420"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附件：</w:t>
      </w:r>
      <w:r/>
    </w:p>
    <w:p>
      <w:pPr>
        <w:pStyle w:val="739"/>
        <w:ind w:left="1625" w:hanging="1205"/>
        <w:tabs>
          <w:tab w:val="left" w:pos="420"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1.招标文件</w:t>
      </w:r>
      <w:bookmarkEnd w:id="4"/>
      <w:r/>
    </w:p>
    <w:p>
      <w:pPr>
        <w:jc w:val="left"/>
        <w:widowControl/>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br w:type="page" w:clear="all"/>
      </w:r>
      <w:r/>
    </w:p>
    <w:p>
      <w:pPr>
        <w:pStyle w:val="1440"/>
        <w:tabs>
          <w:tab w:val="left" w:pos="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第二部分  投标须知</w:t>
      </w:r>
      <w:r/>
    </w:p>
    <w:p>
      <w:pPr>
        <w:pStyle w:val="717"/>
        <w:numPr>
          <w:ilvl w:val="0"/>
          <w:numId w:val="12"/>
        </w:numPr>
        <w:ind w:firstLine="482"/>
        <w:tabs>
          <w:tab w:val="left" w:pos="963" w:leader="none"/>
        </w:tabs>
        <w:rPr>
          <w:rFonts w:hint="eastAsia"/>
          <w:color w:val="000000" w:themeColor="text1"/>
          <w:highlight w:val="none"/>
          <w14:textFill>
            <w14:solidFill>
              <w14:schemeClr w14:val="tx1"/>
            </w14:solidFill>
          </w14:textFill>
        </w:rPr>
      </w:pPr>
      <w:r/>
      <w:bookmarkStart w:id="10" w:name="_Toc20823275"/>
      <w:r/>
      <w:bookmarkStart w:id="11" w:name="_Toc16938519"/>
      <w:r/>
      <w:bookmarkStart w:id="12" w:name="_Toc120614214"/>
      <w:r/>
      <w:bookmarkStart w:id="13" w:name="_Toc513029203"/>
      <w:r>
        <w:rPr>
          <w:color w:val="000000" w:themeColor="text1"/>
          <w:highlight w:val="none"/>
          <w14:textFill>
            <w14:solidFill>
              <w14:schemeClr w14:val="tx1"/>
            </w14:solidFill>
          </w14:textFill>
        </w:rPr>
        <w:t xml:space="preserve">总则</w:t>
      </w:r>
      <w:bookmarkEnd w:id="10"/>
      <w:r/>
      <w:bookmarkEnd w:id="11"/>
      <w:r/>
      <w:bookmarkEnd w:id="12"/>
      <w:r/>
      <w:bookmarkEnd w:id="13"/>
      <w:r/>
      <w:r/>
    </w:p>
    <w:p>
      <w:pPr>
        <w:pStyle w:val="718"/>
        <w:numPr>
          <w:ilvl w:val="0"/>
          <w:numId w:val="13"/>
        </w:numPr>
        <w:ind w:firstLine="482"/>
        <w:tabs>
          <w:tab w:val="clear" w:pos="210" w:leader="none"/>
          <w:tab w:val="left" w:pos="781" w:leader="none"/>
        </w:tabs>
        <w:rPr>
          <w:color w:val="000000" w:themeColor="text1"/>
          <w:highlight w:val="none"/>
          <w14:textFill>
            <w14:solidFill>
              <w14:schemeClr w14:val="tx1"/>
            </w14:solidFill>
          </w14:textFill>
        </w:rPr>
      </w:pPr>
      <w:r/>
      <w:bookmarkStart w:id="14" w:name="_Hlt16619475"/>
      <w:r/>
      <w:bookmarkEnd w:id="14"/>
      <w:r/>
      <w:bookmarkStart w:id="15" w:name="_Toc16938520"/>
      <w:r/>
      <w:bookmarkStart w:id="16" w:name="_Toc513029204"/>
      <w:r/>
      <w:bookmarkStart w:id="17" w:name="_Toc20823276"/>
      <w:r>
        <w:rPr>
          <w:color w:val="000000" w:themeColor="text1"/>
          <w:highlight w:val="none"/>
          <w14:textFill>
            <w14:solidFill>
              <w14:schemeClr w14:val="tx1"/>
            </w14:solidFill>
          </w14:textFill>
        </w:rPr>
        <w:t xml:space="preserve">招标方式</w:t>
      </w:r>
      <w:bookmarkEnd w:id="15"/>
      <w:r/>
      <w:bookmarkEnd w:id="16"/>
      <w:r/>
      <w:bookmarkEnd w:id="17"/>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1.1本次招标采取公开招标方式，本招标文件仅适用于招标公告中所述项目。</w:t>
      </w:r>
      <w:r/>
    </w:p>
    <w:p>
      <w:pPr>
        <w:pStyle w:val="718"/>
        <w:numPr>
          <w:ilvl w:val="0"/>
          <w:numId w:val="13"/>
        </w:numPr>
        <w:ind w:firstLine="482"/>
        <w:tabs>
          <w:tab w:val="clear" w:pos="210" w:leader="none"/>
          <w:tab w:val="left" w:pos="781" w:leader="none"/>
        </w:tabs>
        <w:rPr>
          <w:color w:val="000000" w:themeColor="text1"/>
          <w:highlight w:val="none"/>
          <w14:textFill>
            <w14:solidFill>
              <w14:schemeClr w14:val="tx1"/>
            </w14:solidFill>
          </w14:textFill>
        </w:rPr>
      </w:pPr>
      <w:r/>
      <w:bookmarkStart w:id="18" w:name="_Toc20823277"/>
      <w:r/>
      <w:bookmarkStart w:id="19" w:name="_Toc16938521"/>
      <w:r/>
      <w:bookmarkStart w:id="20" w:name="_Toc513029205"/>
      <w:r>
        <w:rPr>
          <w:color w:val="000000" w:themeColor="text1"/>
          <w:highlight w:val="none"/>
          <w14:textFill>
            <w14:solidFill>
              <w14:schemeClr w14:val="tx1"/>
            </w14:solidFill>
          </w14:textFill>
        </w:rPr>
        <w:t xml:space="preserve">合格的投标人</w:t>
      </w:r>
      <w:bookmarkEnd w:id="18"/>
      <w:r/>
      <w:bookmarkEnd w:id="19"/>
      <w:r/>
      <w:bookmarkEnd w:id="20"/>
      <w:r/>
      <w:r/>
    </w:p>
    <w:p>
      <w:pPr>
        <w:pStyle w:val="739"/>
        <w:numPr>
          <w:ilvl w:val="0"/>
          <w:numId w:val="14"/>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满足招标公告中供应商的资格要求的规定。</w:t>
      </w:r>
      <w:r/>
    </w:p>
    <w:p>
      <w:pPr>
        <w:pStyle w:val="739"/>
        <w:numPr>
          <w:ilvl w:val="0"/>
          <w:numId w:val="14"/>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满足本文件实质性条款的规定。</w:t>
      </w:r>
      <w:r>
        <w:rPr>
          <w:b/>
          <w:color w:val="000000" w:themeColor="text1"/>
          <w:highlight w:val="none"/>
          <w:u w:val="single"/>
          <w14:textFill>
            <w14:solidFill>
              <w14:schemeClr w14:val="tx1"/>
            </w14:solidFill>
          </w14:textFill>
        </w:rPr>
        <w:t xml:space="preserve">（本招标文件中实质性条款包括但不限于带有下划线、加注“*”、加注“★”号部分及其他可能对本项目产生实质性影响的条款）</w:t>
      </w:r>
      <w:r/>
    </w:p>
    <w:p>
      <w:pPr>
        <w:pStyle w:val="718"/>
        <w:numPr>
          <w:ilvl w:val="0"/>
          <w:numId w:val="13"/>
        </w:numPr>
        <w:ind w:firstLine="482"/>
        <w:tabs>
          <w:tab w:val="clear" w:pos="210" w:leader="none"/>
          <w:tab w:val="left" w:pos="781" w:leader="none"/>
        </w:tabs>
        <w:rPr>
          <w:color w:val="000000" w:themeColor="text1"/>
          <w:highlight w:val="none"/>
          <w14:textFill>
            <w14:solidFill>
              <w14:schemeClr w14:val="tx1"/>
            </w14:solidFill>
          </w14:textFill>
        </w:rPr>
      </w:pPr>
      <w:r/>
      <w:bookmarkStart w:id="21" w:name="_Toc20823278"/>
      <w:r/>
      <w:bookmarkStart w:id="22" w:name="_Toc16938522"/>
      <w:r/>
      <w:bookmarkStart w:id="23" w:name="_Toc513029206"/>
      <w:r>
        <w:rPr>
          <w:color w:val="000000" w:themeColor="text1"/>
          <w:highlight w:val="none"/>
          <w14:textFill>
            <w14:solidFill>
              <w14:schemeClr w14:val="tx1"/>
            </w14:solidFill>
          </w14:textFill>
        </w:rPr>
        <w:t xml:space="preserve">适用法律</w:t>
      </w:r>
      <w:bookmarkEnd w:id="21"/>
      <w:r/>
      <w:bookmarkEnd w:id="22"/>
      <w:r/>
      <w:bookmarkEnd w:id="23"/>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3.1本次招标及由此产生的合同受中华人民共和国有关的法律法规制约和保护。</w:t>
      </w:r>
      <w:r/>
    </w:p>
    <w:p>
      <w:pPr>
        <w:pStyle w:val="718"/>
        <w:numPr>
          <w:ilvl w:val="0"/>
          <w:numId w:val="13"/>
        </w:numPr>
        <w:ind w:firstLine="482"/>
        <w:tabs>
          <w:tab w:val="clear" w:pos="210" w:leader="none"/>
          <w:tab w:val="left" w:pos="781" w:leader="none"/>
        </w:tabs>
        <w:rPr>
          <w:color w:val="000000" w:themeColor="text1"/>
          <w:highlight w:val="none"/>
          <w14:textFill>
            <w14:solidFill>
              <w14:schemeClr w14:val="tx1"/>
            </w14:solidFill>
          </w14:textFill>
        </w:rPr>
      </w:pPr>
      <w:r/>
      <w:bookmarkStart w:id="24" w:name="_Toc462564067"/>
      <w:r/>
      <w:bookmarkStart w:id="25" w:name="_Toc16938523"/>
      <w:r/>
      <w:bookmarkStart w:id="26" w:name="_Toc20823279"/>
      <w:r/>
      <w:bookmarkStart w:id="27" w:name="_Toc513029207"/>
      <w:r>
        <w:rPr>
          <w:color w:val="000000" w:themeColor="text1"/>
          <w:highlight w:val="none"/>
          <w14:textFill>
            <w14:solidFill>
              <w14:schemeClr w14:val="tx1"/>
            </w14:solidFill>
          </w14:textFill>
        </w:rPr>
        <w:t xml:space="preserve">投标费用</w:t>
      </w:r>
      <w:bookmarkEnd w:id="24"/>
      <w:r/>
      <w:bookmarkEnd w:id="25"/>
      <w:r/>
      <w:bookmarkEnd w:id="26"/>
      <w:r/>
      <w:bookmarkEnd w:id="27"/>
      <w:r/>
      <w:r/>
    </w:p>
    <w:p>
      <w:pPr>
        <w:pStyle w:val="739"/>
        <w:numPr>
          <w:ilvl w:val="0"/>
          <w:numId w:val="15"/>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供应商应自行承担所有与参加投标有关的费用，无论招标过程中的做法和结果如何，采购人在任何情况下均无义务和责任承担这些费用。</w:t>
      </w:r>
      <w:r/>
    </w:p>
    <w:p>
      <w:pPr>
        <w:pStyle w:val="739"/>
        <w:numPr>
          <w:ilvl w:val="0"/>
          <w:numId w:val="15"/>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履约保证金</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详见招标文件第三部分</w:t>
      </w:r>
      <w:r>
        <w:rPr>
          <w:color w:val="000000" w:themeColor="text1"/>
          <w:highlight w:val="none"/>
          <w14:textFill>
            <w14:solidFill>
              <w14:schemeClr w14:val="tx1"/>
            </w14:solidFill>
          </w14:textFill>
        </w:rPr>
        <w:t xml:space="preserve">。</w:t>
      </w:r>
      <w:r/>
    </w:p>
    <w:p>
      <w:pPr>
        <w:pStyle w:val="739"/>
        <w:numPr>
          <w:ilvl w:val="0"/>
          <w:numId w:val="15"/>
        </w:numPr>
        <w:tabs>
          <w:tab w:val="clear" w:pos="210" w:leader="none"/>
          <w:tab w:val="left" w:pos="90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本项目采购代理服务费由中标供应商支付。</w:t>
      </w:r>
      <w:r/>
    </w:p>
    <w:p>
      <w:pPr>
        <w:pStyle w:val="739"/>
        <w:numPr>
          <w:ilvl w:val="0"/>
          <w:numId w:val="0"/>
        </w:numPr>
        <w:ind w:firstLine="480"/>
        <w:tabs>
          <w:tab w:val="left" w:pos="900"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（1）付费原因：经采购人与采购代理机构协商并在《政府采购委托代理协议》中约定，由中标供应商支付。</w:t>
      </w:r>
      <w:r/>
    </w:p>
    <w:p>
      <w:pPr>
        <w:pStyle w:val="739"/>
        <w:numPr>
          <w:ilvl w:val="0"/>
          <w:numId w:val="0"/>
        </w:numPr>
        <w:ind w:firstLine="480"/>
        <w:tabs>
          <w:tab w:val="left" w:pos="900"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收费标准及依据：按国家发展计划委员会《招标代理服务收费管理暂行办法》（计价格〔2002〕1980号）规定标准的44.33%执行，单个项目不足1500元的按1500元收取；该收费标准依据采购人与采购代理机构签订的《政府采购委托代理协议》确定。</w:t>
      </w:r>
      <w:r/>
    </w:p>
    <w:p>
      <w:pPr>
        <w:pStyle w:val="739"/>
        <w:numPr>
          <w:ilvl w:val="0"/>
          <w:numId w:val="0"/>
        </w:numPr>
        <w:ind w:firstLine="480"/>
        <w:tabs>
          <w:tab w:val="left" w:pos="900"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（3）收取方式：中标供应商应当在领取中标通知书前以银行转账方式一次性支付至采购代理机构指定账户，采购代理机构在收到付款后开具发票。</w:t>
      </w:r>
      <w:r/>
    </w:p>
    <w:p>
      <w:pPr>
        <w:pStyle w:val="739"/>
        <w:numPr>
          <w:ilvl w:val="0"/>
          <w:numId w:val="0"/>
        </w:numPr>
        <w:ind w:firstLine="480"/>
        <w:tabs>
          <w:tab w:val="left" w:pos="90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（4）投标人投标报价应当包含上述采购代理服务费，采购人不因此另行支付任何费用</w:t>
      </w:r>
      <w:r>
        <w:rPr>
          <w:rFonts w:hint="eastAsia"/>
          <w:color w:val="000000" w:themeColor="text1"/>
          <w:highlight w:val="none"/>
          <w:lang w:eastAsia="zh-CN"/>
          <w14:textFill>
            <w14:solidFill>
              <w14:schemeClr w14:val="tx1"/>
            </w14:solidFill>
          </w14:textFill>
        </w:rPr>
        <w:t xml:space="preserve">。</w:t>
      </w:r>
      <w:r/>
    </w:p>
    <w:p>
      <w:pPr>
        <w:pStyle w:val="718"/>
        <w:numPr>
          <w:ilvl w:val="0"/>
          <w:numId w:val="13"/>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招标文件的约束力</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5.1投标人一旦参加本项目采购活动，即被认为接受了本招标文件的规定和约束。</w:t>
      </w:r>
      <w:r/>
    </w:p>
    <w:p>
      <w:pPr>
        <w:pStyle w:val="718"/>
        <w:numPr>
          <w:ilvl w:val="0"/>
          <w:numId w:val="13"/>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招标文件的解释</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6.1招标文件需求部分（供应商资格要求、项目需求、商务技术评分标准）由采购人解释，其他部分由采购代理机构解释。</w:t>
      </w:r>
      <w:r/>
    </w:p>
    <w:p>
      <w:pPr>
        <w:pStyle w:val="717"/>
        <w:numPr>
          <w:ilvl w:val="0"/>
          <w:numId w:val="12"/>
        </w:numPr>
        <w:ind w:firstLine="482"/>
        <w:tabs>
          <w:tab w:val="left" w:pos="963" w:leader="none"/>
        </w:tabs>
        <w:rPr>
          <w:rFonts w:hint="eastAsia"/>
          <w:color w:val="000000" w:themeColor="text1"/>
          <w:highlight w:val="none"/>
          <w14:textFill>
            <w14:solidFill>
              <w14:schemeClr w14:val="tx1"/>
            </w14:solidFill>
          </w14:textFill>
        </w:rPr>
      </w:pPr>
      <w:r/>
      <w:bookmarkStart w:id="28" w:name="_Toc20823281"/>
      <w:r/>
      <w:bookmarkStart w:id="29" w:name="_Toc120614215"/>
      <w:r/>
      <w:bookmarkStart w:id="30" w:name="_Toc513029209"/>
      <w:r/>
      <w:bookmarkStart w:id="31" w:name="_Toc16938525"/>
      <w:r>
        <w:rPr>
          <w:color w:val="000000" w:themeColor="text1"/>
          <w:highlight w:val="none"/>
          <w14:textFill>
            <w14:solidFill>
              <w14:schemeClr w14:val="tx1"/>
            </w14:solidFill>
          </w14:textFill>
        </w:rPr>
        <w:t xml:space="preserve">招标文件</w:t>
      </w:r>
      <w:bookmarkEnd w:id="28"/>
      <w:r/>
      <w:bookmarkEnd w:id="29"/>
      <w:r/>
      <w:bookmarkEnd w:id="30"/>
      <w:r/>
      <w:bookmarkEnd w:id="31"/>
      <w:r/>
      <w:r/>
    </w:p>
    <w:p>
      <w:pPr>
        <w:pStyle w:val="739"/>
        <w:numPr>
          <w:ilvl w:val="0"/>
          <w:numId w:val="16"/>
        </w:numPr>
        <w:tabs>
          <w:tab w:val="clear" w:pos="210" w:leader="none"/>
          <w:tab w:val="left" w:pos="780" w:leader="none"/>
        </w:tabs>
        <w:rPr>
          <w:color w:val="000000" w:themeColor="text1"/>
          <w:highlight w:val="none"/>
          <w14:textFill>
            <w14:solidFill>
              <w14:schemeClr w14:val="tx1"/>
            </w14:solidFill>
          </w14:textFill>
        </w:rPr>
      </w:pPr>
      <w:r/>
      <w:bookmarkStart w:id="32" w:name="_Toc16938526"/>
      <w:r/>
      <w:bookmarkStart w:id="33" w:name="_Toc20823282"/>
      <w:r/>
      <w:bookmarkStart w:id="34" w:name="_Toc513029210"/>
      <w:r>
        <w:rPr>
          <w:color w:val="000000" w:themeColor="text1"/>
          <w:highlight w:val="none"/>
          <w14:textFill>
            <w14:solidFill>
              <w14:schemeClr w14:val="tx1"/>
            </w14:solidFill>
          </w14:textFill>
        </w:rPr>
        <w:t xml:space="preserve">招标文件构成</w:t>
      </w:r>
      <w:bookmarkEnd w:id="32"/>
      <w:r/>
      <w:bookmarkEnd w:id="33"/>
      <w:r/>
      <w:bookmarkEnd w:id="34"/>
      <w:r/>
      <w:r/>
    </w:p>
    <w:p>
      <w:pPr>
        <w:pStyle w:val="739"/>
        <w:numPr>
          <w:ilvl w:val="0"/>
          <w:numId w:val="17"/>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招标文件由以下部分组成：</w:t>
      </w:r>
      <w:r/>
    </w:p>
    <w:p>
      <w:pPr>
        <w:pStyle w:val="739"/>
        <w:numPr>
          <w:ilvl w:val="0"/>
          <w:numId w:val="18"/>
        </w:numPr>
        <w:tabs>
          <w:tab w:val="left" w:pos="1080" w:leader="none"/>
        </w:tabs>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招标公告</w:t>
      </w:r>
      <w:r/>
    </w:p>
    <w:p>
      <w:pPr>
        <w:pStyle w:val="739"/>
        <w:numPr>
          <w:ilvl w:val="0"/>
          <w:numId w:val="18"/>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投标须知</w:t>
      </w:r>
      <w:r/>
    </w:p>
    <w:p>
      <w:pPr>
        <w:pStyle w:val="739"/>
        <w:numPr>
          <w:ilvl w:val="0"/>
          <w:numId w:val="18"/>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项目需求</w:t>
      </w:r>
      <w:r/>
    </w:p>
    <w:p>
      <w:pPr>
        <w:pStyle w:val="739"/>
        <w:numPr>
          <w:ilvl w:val="0"/>
          <w:numId w:val="18"/>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开标和评标</w:t>
      </w:r>
      <w:r/>
    </w:p>
    <w:p>
      <w:pPr>
        <w:pStyle w:val="739"/>
        <w:numPr>
          <w:ilvl w:val="0"/>
          <w:numId w:val="18"/>
        </w:numPr>
        <w:tabs>
          <w:tab w:val="left" w:pos="10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合同格式</w:t>
      </w:r>
      <w:r/>
    </w:p>
    <w:p>
      <w:pPr>
        <w:pStyle w:val="739"/>
        <w:numPr>
          <w:ilvl w:val="0"/>
          <w:numId w:val="18"/>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投标文件组成</w:t>
      </w:r>
      <w:r/>
    </w:p>
    <w:p>
      <w:pPr>
        <w:pStyle w:val="739"/>
        <w:numPr>
          <w:ilvl w:val="0"/>
          <w:numId w:val="18"/>
        </w:numPr>
        <w:tabs>
          <w:tab w:val="left" w:pos="10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附件</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请仔细检查招标文件是否齐全，如有缺漏请立即与采购人或采购代理机构联系解决。</w:t>
      </w:r>
      <w:r/>
    </w:p>
    <w:p>
      <w:pPr>
        <w:pStyle w:val="739"/>
        <w:numPr>
          <w:ilvl w:val="0"/>
          <w:numId w:val="17"/>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9"/>
        <w:numPr>
          <w:ilvl w:val="0"/>
          <w:numId w:val="16"/>
        </w:numPr>
        <w:tabs>
          <w:tab w:val="clear" w:pos="210" w:leader="none"/>
          <w:tab w:val="left" w:pos="780" w:leader="none"/>
        </w:tabs>
        <w:rPr>
          <w:color w:val="000000" w:themeColor="text1"/>
          <w:highlight w:val="none"/>
          <w14:textFill>
            <w14:solidFill>
              <w14:schemeClr w14:val="tx1"/>
            </w14:solidFill>
          </w14:textFill>
        </w:rPr>
      </w:pPr>
      <w:r/>
      <w:bookmarkStart w:id="35" w:name="_Toc462564070"/>
      <w:r/>
      <w:bookmarkStart w:id="36" w:name="_Toc20823283"/>
      <w:r/>
      <w:bookmarkStart w:id="37" w:name="_Toc513029211"/>
      <w:r/>
      <w:bookmarkStart w:id="38" w:name="_Toc16938527"/>
      <w:r>
        <w:rPr>
          <w:color w:val="000000" w:themeColor="text1"/>
          <w:highlight w:val="none"/>
          <w14:textFill>
            <w14:solidFill>
              <w14:schemeClr w14:val="tx1"/>
            </w14:solidFill>
          </w14:textFill>
        </w:rPr>
        <w:t xml:space="preserve">招标文件的澄清</w:t>
      </w:r>
      <w:bookmarkEnd w:id="35"/>
      <w:r/>
      <w:bookmarkEnd w:id="36"/>
      <w:r/>
      <w:bookmarkEnd w:id="37"/>
      <w:r/>
      <w:bookmarkEnd w:id="38"/>
      <w:r/>
      <w:r/>
    </w:p>
    <w:p>
      <w:pPr>
        <w:pStyle w:val="739"/>
        <w:numPr>
          <w:ilvl w:val="0"/>
          <w:numId w:val="19"/>
        </w:numPr>
        <w:tabs>
          <w:tab w:val="clear" w:pos="210" w:leader="none"/>
          <w:tab w:val="left" w:pos="90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任何要求对招标文件进行澄清的供应商，均应根据相关法律法规规定按招标公告中的通讯地址，以书面形式向采购代理机构提出，逾期不再受理。采购代理机构将对收到的澄清要求予以答复，并在认为有必要时，将澄清答复在“江苏政府采购网”（http://www.ccgp-jiangsu.gov.cn/）上予以公告，答复中包括所问问题（但不包括问题的来源）。</w:t>
      </w:r>
      <w:r/>
    </w:p>
    <w:p>
      <w:pPr>
        <w:pStyle w:val="739"/>
        <w:numPr>
          <w:ilvl w:val="0"/>
          <w:numId w:val="19"/>
        </w:numPr>
        <w:tabs>
          <w:tab w:val="clear" w:pos="210" w:leader="none"/>
          <w:tab w:val="left" w:pos="90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澄清答复内容为招标文件的组成部分，并对供应商具有约束力。澄清内容可能影响投标文件编制的，采购人或者采购代理机构将顺延递交投标文件的截止时间</w:t>
      </w:r>
      <w:r>
        <w:rPr>
          <w:rFonts w:hint="eastAsia"/>
          <w:color w:val="000000" w:themeColor="text1"/>
          <w:highlight w:val="none"/>
          <w:lang w:eastAsia="zh-CN"/>
          <w14:textFill>
            <w14:solidFill>
              <w14:schemeClr w14:val="tx1"/>
            </w14:solidFill>
          </w14:textFill>
        </w:rPr>
        <w:t xml:space="preserve">。</w:t>
      </w:r>
      <w:r/>
    </w:p>
    <w:p>
      <w:pPr>
        <w:pStyle w:val="739"/>
        <w:numPr>
          <w:ilvl w:val="0"/>
          <w:numId w:val="16"/>
        </w:numPr>
        <w:tabs>
          <w:tab w:val="clear" w:pos="210" w:leader="none"/>
          <w:tab w:val="left" w:pos="780" w:leader="none"/>
        </w:tabs>
        <w:rPr>
          <w:color w:val="000000" w:themeColor="text1"/>
          <w:highlight w:val="none"/>
          <w14:textFill>
            <w14:solidFill>
              <w14:schemeClr w14:val="tx1"/>
            </w14:solidFill>
          </w14:textFill>
        </w:rPr>
      </w:pPr>
      <w:r/>
      <w:bookmarkStart w:id="39" w:name="_Toc20823284"/>
      <w:r/>
      <w:bookmarkStart w:id="40" w:name="_Toc16938528"/>
      <w:r/>
      <w:bookmarkStart w:id="41" w:name="_Toc462564071"/>
      <w:r/>
      <w:bookmarkStart w:id="42" w:name="_Toc513029212"/>
      <w:r>
        <w:rPr>
          <w:color w:val="000000" w:themeColor="text1"/>
          <w:highlight w:val="none"/>
          <w14:textFill>
            <w14:solidFill>
              <w14:schemeClr w14:val="tx1"/>
            </w14:solidFill>
          </w14:textFill>
        </w:rPr>
        <w:t xml:space="preserve">招标文件的修改</w:t>
      </w:r>
      <w:bookmarkEnd w:id="39"/>
      <w:r/>
      <w:bookmarkEnd w:id="40"/>
      <w:r/>
      <w:bookmarkEnd w:id="41"/>
      <w:r/>
      <w:bookmarkEnd w:id="42"/>
      <w:r/>
      <w:r/>
    </w:p>
    <w:p>
      <w:pPr>
        <w:pStyle w:val="739"/>
        <w:numPr>
          <w:ilvl w:val="0"/>
          <w:numId w:val="20"/>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在投标截止时</w:t>
      </w:r>
      <w:r>
        <w:rPr>
          <w:rFonts w:hint="eastAsia"/>
          <w:color w:val="000000" w:themeColor="text1"/>
          <w:highlight w:val="none"/>
          <w:lang w:eastAsia="zh-CN"/>
          <w14:textFill>
            <w14:solidFill>
              <w14:schemeClr w14:val="tx1"/>
            </w14:solidFill>
          </w14:textFill>
        </w:rPr>
        <w:t xml:space="preserve">间之</w:t>
      </w:r>
      <w:r>
        <w:rPr>
          <w:color w:val="000000" w:themeColor="text1"/>
          <w:highlight w:val="none"/>
          <w14:textFill>
            <w14:solidFill>
              <w14:schemeClr w14:val="tx1"/>
            </w14:solidFill>
          </w14:textFill>
        </w:rPr>
        <w:t xml:space="preserve">前，采购人或采购代理机构可以对招标文件进行修改。</w:t>
      </w:r>
      <w:r/>
    </w:p>
    <w:p>
      <w:pPr>
        <w:pStyle w:val="739"/>
        <w:numPr>
          <w:ilvl w:val="0"/>
          <w:numId w:val="20"/>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采购人或采购代理机构有权按照法定的要求推迟投标截止日期和开标日期。</w:t>
      </w:r>
      <w:r/>
    </w:p>
    <w:p>
      <w:pPr>
        <w:pStyle w:val="739"/>
        <w:numPr>
          <w:ilvl w:val="0"/>
          <w:numId w:val="20"/>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招标文件的修改将在江苏政府采购网公布，补充文件将作为招标文件的组成部分，并对投标人具有约束力。</w:t>
      </w:r>
      <w:r/>
    </w:p>
    <w:p>
      <w:pPr>
        <w:pStyle w:val="739"/>
        <w:numPr>
          <w:ilvl w:val="0"/>
          <w:numId w:val="16"/>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在投标响应截止日期前，采购</w:t>
      </w:r>
      <w:r>
        <w:rPr>
          <w:rFonts w:hint="eastAsia"/>
          <w:color w:val="000000" w:themeColor="text1"/>
          <w:highlight w:val="none"/>
          <w:lang w:val="en-US" w:eastAsia="zh-CN"/>
          <w14:textFill>
            <w14:solidFill>
              <w14:schemeClr w14:val="tx1"/>
            </w14:solidFill>
          </w14:textFill>
        </w:rPr>
        <w:t xml:space="preserve">人</w:t>
      </w:r>
      <w:r>
        <w:rPr>
          <w:color w:val="000000" w:themeColor="text1"/>
          <w:highlight w:val="none"/>
          <w14:textFill>
            <w14:solidFill>
              <w14:schemeClr w14:val="tx1"/>
            </w14:solidFill>
          </w14:textFill>
        </w:rPr>
        <w:t xml:space="preserve">对采购文件进行澄清或者修改的，通过“苏采云”系统发布澄清公告或者修改的内容。澄清或者修改的内容以所发布的本项目的“更正（澄清）公告”的形式通知所有获取采购文件的投标人。发布本项目的“更正（澄清）公告”后采购代理机构已尽通知义务。敬请各潜</w:t>
      </w:r>
      <w:r>
        <w:rPr>
          <w:rFonts w:hint="eastAsia"/>
          <w:color w:val="000000" w:themeColor="text1"/>
          <w:highlight w:val="none"/>
          <w:lang w:val="en-US" w:eastAsia="zh-CN"/>
          <w14:textFill>
            <w14:solidFill>
              <w14:schemeClr w14:val="tx1"/>
            </w14:solidFill>
          </w14:textFill>
        </w:rPr>
        <w:t xml:space="preserve">在</w:t>
      </w:r>
      <w:r>
        <w:rPr>
          <w:color w:val="000000" w:themeColor="text1"/>
          <w:highlight w:val="none"/>
          <w14:textFill>
            <w14:solidFill>
              <w14:schemeClr w14:val="tx1"/>
            </w14:solidFill>
          </w14:textFill>
        </w:rPr>
        <w:t xml:space="preserve">投标人关注本项目的“更正（澄清）公告”，并通过“苏采云”系统重新下载更正（澄清）后的采购文件（后缀名为“kedt”），离线编制响应文件，否则，将自行承担相应的风险。</w:t>
      </w:r>
      <w:r/>
    </w:p>
    <w:p>
      <w:pPr>
        <w:pStyle w:val="739"/>
        <w:numPr>
          <w:ilvl w:val="0"/>
          <w:numId w:val="16"/>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投标人对采购人提供的采购文件所做出的推论、解释和结论，采购人概不负责。</w:t>
      </w:r>
      <w:r>
        <w:rPr>
          <w:rFonts w:hint="eastAsia"/>
          <w:color w:val="000000" w:themeColor="text1"/>
          <w:highlight w:val="none"/>
          <w:lang w:val="en-US" w:eastAsia="zh-CN"/>
          <w14:textFill>
            <w14:solidFill>
              <w14:schemeClr w14:val="tx1"/>
            </w14:solidFill>
          </w14:textFill>
        </w:rPr>
        <w:t xml:space="preserve">投标人</w:t>
      </w:r>
      <w:r>
        <w:rPr>
          <w:color w:val="000000" w:themeColor="text1"/>
          <w:highlight w:val="none"/>
          <w14:textFill>
            <w14:solidFill>
              <w14:schemeClr w14:val="tx1"/>
            </w14:solidFill>
          </w14:textFill>
        </w:rPr>
        <w:t xml:space="preserve">由于对采购文件的任何推论和误解以及采购人对有关问题的口头解释所造成的后果，</w:t>
      </w:r>
      <w:r>
        <w:rPr>
          <w:rFonts w:hint="eastAsia"/>
          <w:color w:val="000000" w:themeColor="text1"/>
          <w:highlight w:val="none"/>
          <w14:textFill>
            <w14:solidFill>
              <w14:schemeClr w14:val="tx1"/>
            </w14:solidFill>
          </w14:textFill>
        </w:rPr>
        <w:t xml:space="preserve">均由投标人自行承担。非经</w:t>
      </w:r>
      <w:r>
        <w:rPr>
          <w:color w:val="000000" w:themeColor="text1"/>
          <w:highlight w:val="none"/>
          <w14:textFill>
            <w14:solidFill>
              <w14:schemeClr w14:val="tx1"/>
            </w14:solidFill>
          </w14:textFill>
        </w:rPr>
        <w:t xml:space="preserve">采购</w:t>
      </w:r>
      <w:r>
        <w:rPr>
          <w:rFonts w:hint="eastAsia"/>
          <w:color w:val="000000" w:themeColor="text1"/>
          <w:highlight w:val="none"/>
          <w:lang w:val="en-US" w:eastAsia="zh-CN"/>
          <w14:textFill>
            <w14:solidFill>
              <w14:schemeClr w14:val="tx1"/>
            </w14:solidFill>
          </w14:textFill>
        </w:rPr>
        <w:t xml:space="preserve">人</w:t>
      </w:r>
      <w:r>
        <w:rPr>
          <w:color w:val="000000" w:themeColor="text1"/>
          <w:highlight w:val="none"/>
          <w14:textFill>
            <w14:solidFill>
              <w14:schemeClr w14:val="tx1"/>
            </w14:solidFill>
          </w14:textFill>
        </w:rPr>
        <w:t xml:space="preserve">或采购代理机</w:t>
      </w:r>
      <w:r>
        <w:rPr>
          <w:rFonts w:hint="eastAsia"/>
          <w:color w:val="000000" w:themeColor="text1"/>
          <w:highlight w:val="none"/>
          <w:lang w:eastAsia="zh-CN"/>
          <w14:textFill>
            <w14:solidFill>
              <w14:schemeClr w14:val="tx1"/>
            </w14:solidFill>
          </w14:textFill>
        </w:rPr>
        <w:t xml:space="preserve">构以</w:t>
      </w:r>
      <w:r>
        <w:rPr>
          <w:rFonts w:hint="eastAsia"/>
          <w:color w:val="000000" w:themeColor="text1"/>
          <w:highlight w:val="none"/>
          <w14:textFill>
            <w14:solidFill>
              <w14:schemeClr w14:val="tx1"/>
            </w14:solidFill>
          </w14:textFill>
        </w:rPr>
        <w:t xml:space="preserve">书面形式作出的答复，不构成对招标文件的解释</w:t>
      </w:r>
      <w:r>
        <w:rPr>
          <w:color w:val="000000" w:themeColor="text1"/>
          <w:highlight w:val="none"/>
          <w14:textFill>
            <w14:solidFill>
              <w14:schemeClr w14:val="tx1"/>
            </w14:solidFill>
          </w14:textFill>
        </w:rPr>
        <w:t xml:space="preserve">。</w:t>
      </w:r>
      <w:r/>
    </w:p>
    <w:p>
      <w:pPr>
        <w:pStyle w:val="717"/>
        <w:numPr>
          <w:ilvl w:val="0"/>
          <w:numId w:val="12"/>
        </w:numPr>
        <w:ind w:firstLine="482"/>
        <w:tabs>
          <w:tab w:val="left" w:pos="963" w:leader="none"/>
        </w:tabs>
        <w:rPr>
          <w:rFonts w:hint="eastAsia"/>
          <w:color w:val="000000" w:themeColor="text1"/>
          <w:highlight w:val="none"/>
          <w14:textFill>
            <w14:solidFill>
              <w14:schemeClr w14:val="tx1"/>
            </w14:solidFill>
          </w14:textFill>
        </w:rPr>
      </w:pPr>
      <w:r/>
      <w:bookmarkStart w:id="43" w:name="_Toc513029213"/>
      <w:r/>
      <w:bookmarkStart w:id="44" w:name="_Toc462564072"/>
      <w:r/>
      <w:bookmarkStart w:id="45" w:name="_Toc120614216"/>
      <w:r/>
      <w:bookmarkStart w:id="46" w:name="_Toc20823285"/>
      <w:r/>
      <w:bookmarkStart w:id="47" w:name="_Toc16938529"/>
      <w:r>
        <w:rPr>
          <w:color w:val="000000" w:themeColor="text1"/>
          <w:highlight w:val="none"/>
          <w14:textFill>
            <w14:solidFill>
              <w14:schemeClr w14:val="tx1"/>
            </w14:solidFill>
          </w14:textFill>
        </w:rPr>
        <w:t xml:space="preserve">投标文件的编制</w:t>
      </w:r>
      <w:bookmarkEnd w:id="43"/>
      <w:r/>
      <w:bookmarkEnd w:id="44"/>
      <w:r/>
      <w:bookmarkEnd w:id="45"/>
      <w:r/>
      <w:bookmarkEnd w:id="46"/>
      <w:r/>
      <w:bookmarkEnd w:id="47"/>
      <w:r/>
      <w:r/>
    </w:p>
    <w:p>
      <w:pPr>
        <w:pStyle w:val="739"/>
        <w:numPr>
          <w:ilvl w:val="0"/>
          <w:numId w:val="21"/>
        </w:numPr>
        <w:tabs>
          <w:tab w:val="clear" w:pos="210" w:leader="none"/>
          <w:tab w:val="left" w:pos="780" w:leader="none"/>
        </w:tabs>
        <w:rPr>
          <w:color w:val="000000" w:themeColor="text1"/>
          <w:highlight w:val="none"/>
          <w14:textFill>
            <w14:solidFill>
              <w14:schemeClr w14:val="tx1"/>
            </w14:solidFill>
          </w14:textFill>
        </w:rPr>
      </w:pPr>
      <w:r/>
      <w:bookmarkStart w:id="48" w:name="_Toc16938530"/>
      <w:r/>
      <w:bookmarkStart w:id="49" w:name="_Toc462564073"/>
      <w:r/>
      <w:bookmarkStart w:id="50" w:name="_Toc513029214"/>
      <w:r/>
      <w:bookmarkStart w:id="51" w:name="_Toc20823286"/>
      <w:r>
        <w:rPr>
          <w:color w:val="000000" w:themeColor="text1"/>
          <w:highlight w:val="none"/>
          <w14:textFill>
            <w14:solidFill>
              <w14:schemeClr w14:val="tx1"/>
            </w14:solidFill>
          </w14:textFill>
        </w:rPr>
        <w:t xml:space="preserve">投标文件的语言及度量衡单位</w:t>
      </w:r>
      <w:bookmarkEnd w:id="48"/>
      <w:r/>
      <w:bookmarkEnd w:id="49"/>
      <w:r/>
      <w:bookmarkEnd w:id="50"/>
      <w:r/>
      <w:bookmarkEnd w:id="51"/>
      <w:r/>
      <w:r/>
    </w:p>
    <w:p>
      <w:pPr>
        <w:pStyle w:val="739"/>
        <w:numPr>
          <w:ilvl w:val="0"/>
          <w:numId w:val="22"/>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投标人提交的投标文件以及投标人与采购人或采购代理机构就有关投标的所有来往通知、函件和文件均应使用简体中文。</w:t>
      </w:r>
      <w:r/>
    </w:p>
    <w:p>
      <w:pPr>
        <w:pStyle w:val="739"/>
        <w:numPr>
          <w:ilvl w:val="0"/>
          <w:numId w:val="22"/>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除技术性能另有规定外，投标文件所使用的度量衡单位，均须采用国家法定计量单位。</w:t>
      </w:r>
      <w:r/>
    </w:p>
    <w:p>
      <w:pPr>
        <w:pStyle w:val="739"/>
        <w:numPr>
          <w:ilvl w:val="0"/>
          <w:numId w:val="21"/>
        </w:numPr>
        <w:tabs>
          <w:tab w:val="clear" w:pos="210" w:leader="none"/>
          <w:tab w:val="left" w:pos="780" w:leader="none"/>
        </w:tabs>
        <w:rPr>
          <w:color w:val="000000" w:themeColor="text1"/>
          <w:highlight w:val="none"/>
          <w14:textFill>
            <w14:solidFill>
              <w14:schemeClr w14:val="tx1"/>
            </w14:solidFill>
          </w14:textFill>
        </w:rPr>
      </w:pPr>
      <w:r/>
      <w:bookmarkStart w:id="52" w:name="_Toc20823287"/>
      <w:r/>
      <w:bookmarkStart w:id="53" w:name="_Toc16938531"/>
      <w:r/>
      <w:bookmarkStart w:id="54" w:name="_Toc513029215"/>
      <w:r/>
      <w:bookmarkStart w:id="55" w:name="_Toc462564074"/>
      <w:r>
        <w:rPr>
          <w:color w:val="000000" w:themeColor="text1"/>
          <w:highlight w:val="none"/>
          <w14:textFill>
            <w14:solidFill>
              <w14:schemeClr w14:val="tx1"/>
            </w14:solidFill>
          </w14:textFill>
        </w:rPr>
        <w:t xml:space="preserve">投标文件构成</w:t>
      </w:r>
      <w:bookmarkEnd w:id="52"/>
      <w:r/>
      <w:bookmarkEnd w:id="53"/>
      <w:r/>
      <w:bookmarkEnd w:id="54"/>
      <w:r/>
      <w:bookmarkEnd w:id="55"/>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2.1投标人编写的投标文件应包括资格审查证明材料文件，商务、技术标文件，价格标文件。供应商按“第六部分 投标文件组成”要求编写投标文件</w:t>
      </w:r>
      <w:r/>
    </w:p>
    <w:p>
      <w:pPr>
        <w:pStyle w:val="739"/>
        <w:numPr>
          <w:ilvl w:val="0"/>
          <w:numId w:val="21"/>
        </w:numPr>
        <w:tabs>
          <w:tab w:val="clear" w:pos="210" w:leader="none"/>
          <w:tab w:val="left" w:pos="780" w:leader="none"/>
        </w:tabs>
        <w:rPr>
          <w:color w:val="000000" w:themeColor="text1"/>
          <w:highlight w:val="none"/>
          <w14:textFill>
            <w14:solidFill>
              <w14:schemeClr w14:val="tx1"/>
            </w14:solidFill>
          </w14:textFill>
        </w:rPr>
      </w:pPr>
      <w:r/>
      <w:bookmarkStart w:id="56" w:name="_Hlt26668975"/>
      <w:r/>
      <w:bookmarkEnd w:id="56"/>
      <w:r/>
      <w:bookmarkStart w:id="57" w:name="_Hlt26670360"/>
      <w:r/>
      <w:bookmarkEnd w:id="57"/>
      <w:r/>
      <w:bookmarkStart w:id="58" w:name="_Hlt26954838"/>
      <w:r/>
      <w:bookmarkEnd w:id="58"/>
      <w:r/>
      <w:bookmarkStart w:id="59" w:name="_Toc14577360"/>
      <w:r/>
      <w:bookmarkStart w:id="60" w:name="_Toc49090511"/>
      <w:r>
        <w:rPr>
          <w:color w:val="000000" w:themeColor="text1"/>
          <w:highlight w:val="none"/>
          <w14:textFill>
            <w14:solidFill>
              <w14:schemeClr w14:val="tx1"/>
            </w14:solidFill>
          </w14:textFill>
        </w:rPr>
        <w:t xml:space="preserve">投标有效期</w:t>
      </w:r>
      <w:bookmarkEnd w:id="59"/>
      <w:r/>
      <w:bookmarkEnd w:id="60"/>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3.1投标有效期为招标文件规定的开标之日后</w:t>
      </w:r>
      <w:r>
        <w:rPr>
          <w:rFonts w:hint="eastAsia"/>
          <w:b/>
          <w:color w:val="000000" w:themeColor="text1"/>
          <w:highlight w:val="none"/>
          <w:u w:val="single"/>
          <w14:textFill>
            <w14:solidFill>
              <w14:schemeClr w14:val="tx1"/>
            </w14:solidFill>
          </w14:textFill>
        </w:rPr>
        <w:t xml:space="preserve">九</w:t>
      </w:r>
      <w:r>
        <w:rPr>
          <w:b/>
          <w:color w:val="000000" w:themeColor="text1"/>
          <w:highlight w:val="none"/>
          <w:u w:val="single"/>
          <w14:textFill>
            <w14:solidFill>
              <w14:schemeClr w14:val="tx1"/>
            </w14:solidFill>
          </w14:textFill>
        </w:rPr>
        <w:t xml:space="preserve">十（</w:t>
      </w:r>
      <w:r>
        <w:rPr>
          <w:rFonts w:hint="eastAsia"/>
          <w:b/>
          <w:color w:val="000000" w:themeColor="text1"/>
          <w:highlight w:val="none"/>
          <w:u w:val="single"/>
          <w14:textFill>
            <w14:solidFill>
              <w14:schemeClr w14:val="tx1"/>
            </w14:solidFill>
          </w14:textFill>
        </w:rPr>
        <w:t xml:space="preserve">9</w:t>
      </w:r>
      <w:r>
        <w:rPr>
          <w:b/>
          <w:color w:val="000000" w:themeColor="text1"/>
          <w:highlight w:val="none"/>
          <w:u w:val="single"/>
          <w14:textFill>
            <w14:solidFill>
              <w14:schemeClr w14:val="tx1"/>
            </w14:solidFill>
          </w14:textFill>
        </w:rPr>
        <w:t xml:space="preserve">0）天</w:t>
      </w:r>
      <w:r>
        <w:rPr>
          <w:color w:val="000000" w:themeColor="text1"/>
          <w:highlight w:val="none"/>
          <w14:textFill>
            <w14:solidFill>
              <w14:schemeClr w14:val="tx1"/>
            </w14:solidFill>
          </w14:textFill>
        </w:rPr>
        <w:t xml:space="preserve">。投标有效期比规定短的将被视为非响应性投标而予以拒绝。</w:t>
      </w:r>
      <w:r/>
    </w:p>
    <w:p>
      <w:pPr>
        <w:pStyle w:val="739"/>
        <w:numPr>
          <w:ilvl w:val="0"/>
          <w:numId w:val="21"/>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投标有效期的延长</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pStyle w:val="739"/>
        <w:numPr>
          <w:ilvl w:val="0"/>
          <w:numId w:val="21"/>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电子响应文件其他要求</w:t>
      </w:r>
      <w:r/>
    </w:p>
    <w:p>
      <w:pPr>
        <w:pStyle w:val="739"/>
        <w:numPr>
          <w:ilvl w:val="0"/>
          <w:numId w:val="2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电子招标投标交易平台（即“苏采云”系统）相关要求是本采购文件的组成部分。</w:t>
      </w:r>
      <w:r/>
    </w:p>
    <w:p>
      <w:pPr>
        <w:pStyle w:val="739"/>
        <w:numPr>
          <w:ilvl w:val="0"/>
          <w:numId w:val="2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投标人应对CA证书妥善保管，如被他人盗用投标，因此带来的结果均由供应商自行承担。</w:t>
      </w:r>
      <w:r/>
    </w:p>
    <w:p>
      <w:pPr>
        <w:pStyle w:val="739"/>
        <w:numPr>
          <w:ilvl w:val="0"/>
          <w:numId w:val="2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投标人应当对采购文件提出的实质性要求和条件作出实质性响应，并在电子投标系统逐条应答。</w:t>
      </w:r>
      <w:r/>
    </w:p>
    <w:p>
      <w:pPr>
        <w:pStyle w:val="739"/>
        <w:numPr>
          <w:ilvl w:val="0"/>
          <w:numId w:val="2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投标人应对要求提供的资格证明文件（如资质证书、资格证书）、技术资料（如白皮书、彩页、手册、检测报告等）扫描上传至投标系统。</w:t>
      </w:r>
      <w:r/>
    </w:p>
    <w:p>
      <w:pPr>
        <w:pStyle w:val="739"/>
        <w:numPr>
          <w:ilvl w:val="0"/>
          <w:numId w:val="21"/>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投标人应当在采购文件要求提交投标文件的截止时间前，将投标文件提交至“苏采云”系统，逾期提交的投标文件，“苏采云”系统将自动拒收。各投标人应在规定时间内凭CA证书进行网上解密。</w:t>
      </w:r>
      <w:r/>
    </w:p>
    <w:p>
      <w:pPr>
        <w:pStyle w:val="717"/>
        <w:numPr>
          <w:ilvl w:val="0"/>
          <w:numId w:val="12"/>
        </w:numPr>
        <w:ind w:firstLine="482"/>
        <w:tabs>
          <w:tab w:val="left" w:pos="963" w:leader="none"/>
        </w:tabs>
        <w:rPr>
          <w:rFonts w:hint="eastAsia"/>
          <w:color w:val="000000" w:themeColor="text1"/>
          <w:highlight w:val="none"/>
          <w14:textFill>
            <w14:solidFill>
              <w14:schemeClr w14:val="tx1"/>
            </w14:solidFill>
          </w14:textFill>
        </w:rPr>
      </w:pPr>
      <w:r/>
      <w:bookmarkStart w:id="61" w:name="_Hlt26954852"/>
      <w:r/>
      <w:bookmarkEnd w:id="61"/>
      <w:r/>
      <w:bookmarkStart w:id="62" w:name="_Hlt26954739"/>
      <w:r/>
      <w:bookmarkEnd w:id="62"/>
      <w:r/>
      <w:bookmarkStart w:id="63" w:name="_Toc120614217"/>
      <w:r/>
      <w:bookmarkStart w:id="64" w:name="_Toc513029224"/>
      <w:r/>
      <w:bookmarkStart w:id="65" w:name="_Toc20823296"/>
      <w:r/>
      <w:bookmarkStart w:id="66" w:name="_Toc16938540"/>
      <w:r>
        <w:rPr>
          <w:color w:val="000000" w:themeColor="text1"/>
          <w:highlight w:val="none"/>
          <w14:textFill>
            <w14:solidFill>
              <w14:schemeClr w14:val="tx1"/>
            </w14:solidFill>
          </w14:textFill>
        </w:rPr>
        <w:t xml:space="preserve">投标文件的递交</w:t>
      </w:r>
      <w:bookmarkEnd w:id="63"/>
      <w:r/>
      <w:bookmarkEnd w:id="64"/>
      <w:r/>
      <w:bookmarkEnd w:id="65"/>
      <w:r/>
      <w:bookmarkEnd w:id="66"/>
      <w:r/>
      <w:r/>
    </w:p>
    <w:p>
      <w:pPr>
        <w:pStyle w:val="718"/>
        <w:numPr>
          <w:ilvl w:val="0"/>
          <w:numId w:val="24"/>
        </w:numPr>
        <w:ind w:firstLine="482"/>
        <w:tabs>
          <w:tab w:val="clear" w:pos="210" w:leader="none"/>
          <w:tab w:val="left" w:pos="781" w:leader="none"/>
        </w:tabs>
        <w:rPr>
          <w:color w:val="000000" w:themeColor="text1"/>
          <w:highlight w:val="none"/>
          <w14:textFill>
            <w14:solidFill>
              <w14:schemeClr w14:val="tx1"/>
            </w14:solidFill>
          </w14:textFill>
        </w:rPr>
      </w:pPr>
      <w:r/>
      <w:bookmarkStart w:id="67" w:name="_Toc462564084"/>
      <w:r/>
      <w:bookmarkStart w:id="68" w:name="_Toc20823297"/>
      <w:r/>
      <w:bookmarkStart w:id="69" w:name="_Toc513029225"/>
      <w:r/>
      <w:bookmarkStart w:id="70" w:name="_Toc16938541"/>
      <w:r>
        <w:rPr>
          <w:color w:val="000000" w:themeColor="text1"/>
          <w:highlight w:val="none"/>
          <w14:textFill>
            <w14:solidFill>
              <w14:schemeClr w14:val="tx1"/>
            </w14:solidFill>
          </w14:textFill>
        </w:rPr>
        <w:t xml:space="preserve">投标文件</w:t>
      </w:r>
      <w:bookmarkEnd w:id="67"/>
      <w:r/>
      <w:bookmarkEnd w:id="68"/>
      <w:r/>
      <w:bookmarkEnd w:id="69"/>
      <w:r/>
      <w:bookmarkEnd w:id="70"/>
      <w:r>
        <w:rPr>
          <w:color w:val="000000" w:themeColor="text1"/>
          <w:highlight w:val="none"/>
          <w14:textFill>
            <w14:solidFill>
              <w14:schemeClr w14:val="tx1"/>
            </w14:solidFill>
          </w14:textFill>
        </w:rPr>
        <w:t xml:space="preserve">的递交</w:t>
      </w:r>
      <w:r/>
    </w:p>
    <w:p>
      <w:pPr>
        <w:pStyle w:val="739"/>
        <w:ind w:firstLine="480"/>
        <w:rPr>
          <w:color w:val="000000" w:themeColor="text1"/>
          <w:highlight w:val="none"/>
          <w14:textFill>
            <w14:solidFill>
              <w14:schemeClr w14:val="tx1"/>
            </w14:solidFill>
          </w14:textFill>
        </w:rPr>
      </w:pPr>
      <w:r/>
      <w:bookmarkStart w:id="71" w:name="_Toc20823298"/>
      <w:r/>
      <w:bookmarkStart w:id="72" w:name="_Toc513029226"/>
      <w:r/>
      <w:bookmarkStart w:id="73" w:name="_Toc16938542"/>
      <w:r>
        <w:rPr>
          <w:color w:val="000000" w:themeColor="text1"/>
          <w:highlight w:val="none"/>
          <w14:textFill>
            <w14:solidFill>
              <w14:schemeClr w14:val="tx1"/>
            </w14:solidFill>
          </w14:textFill>
        </w:rPr>
        <w:t xml:space="preserve">1.1线上提交与接收地点：供应商应当通过“苏采云”系统提交数据电文形式的响应文件（即电子投标），“苏采云”系统自动接收。</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说明：电子投标文件应由其法定代表人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或组织负责人、自然人投标的为其本人，下同</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或法定代表人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主要负责人</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授权代表在规定的网上投标时间内，凭CA证书登录“苏采云”系统在线编制投标文件（电子数据），并在投标截止时间之前上传投标文件。投标人应在达到开标时间后，使用CA数字证书解密各自投标文件。</w:t>
      </w:r>
      <w:r/>
    </w:p>
    <w:p>
      <w:pPr>
        <w:pStyle w:val="739"/>
        <w:ind w:firstLine="480"/>
        <w:rPr>
          <w:rFonts w:hint="eastAsia" w:eastAsia="宋体"/>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1.2</w:t>
      </w:r>
      <w:r>
        <w:rPr>
          <w:rFonts w:hint="eastAsia"/>
          <w:color w:val="000000" w:themeColor="text1"/>
          <w:highlight w:val="none"/>
          <w14:textFill>
            <w14:solidFill>
              <w14:schemeClr w14:val="tx1"/>
            </w14:solidFill>
          </w14:textFill>
        </w:rPr>
        <w:t xml:space="preserve">投标人委托授权代表投标的，须提供法定代表人（或组织负责人）授权书及授权代表身份证（扫描件）；法定代表人（或组织负责人）本人参与投标的，提供法定代表人（或组织负责人）身份证明书及法定代表人身份证（扫描件）</w:t>
      </w:r>
      <w:r>
        <w:rPr>
          <w:rFonts w:hint="eastAsia"/>
          <w:color w:val="000000" w:themeColor="text1"/>
          <w:highlight w:val="none"/>
          <w:lang w:eastAsia="zh-CN"/>
          <w14:textFill>
            <w14:solidFill>
              <w14:schemeClr w14:val="tx1"/>
            </w14:solidFill>
          </w14:textFill>
        </w:rPr>
        <w:t xml:space="preserve">。</w:t>
      </w:r>
      <w:r/>
    </w:p>
    <w:p>
      <w:pPr>
        <w:pStyle w:val="718"/>
        <w:numPr>
          <w:ilvl w:val="0"/>
          <w:numId w:val="24"/>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投标截止日期</w:t>
      </w:r>
      <w:bookmarkEnd w:id="71"/>
      <w:r/>
      <w:bookmarkEnd w:id="72"/>
      <w:r/>
      <w:bookmarkEnd w:id="73"/>
      <w:r/>
      <w:r/>
    </w:p>
    <w:p>
      <w:pPr>
        <w:pStyle w:val="739"/>
        <w:numPr>
          <w:ilvl w:val="0"/>
          <w:numId w:val="25"/>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投标人上传电子投标文件的时间不得迟于招标公告中规定的投标截止时间。</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投标人应充分考虑网络环境、网络带宽等风险因素，如因投标人自身原因造成的电子投标文件上传不成功由投标人自行承担全部责任。</w:t>
      </w:r>
      <w:r/>
    </w:p>
    <w:p>
      <w:pPr>
        <w:pStyle w:val="739"/>
        <w:numPr>
          <w:ilvl w:val="0"/>
          <w:numId w:val="25"/>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采购人或采购代理机构可以按照规定，通过修改招标文件酌情延长投标截止日期，在此情况下，投标人的所有权利和义务以及投标人受制的截止日期均应以延长后新的截止日期为准。</w:t>
      </w:r>
      <w:r/>
    </w:p>
    <w:p>
      <w:pPr>
        <w:pStyle w:val="718"/>
        <w:numPr>
          <w:ilvl w:val="0"/>
          <w:numId w:val="24"/>
        </w:numPr>
        <w:ind w:firstLine="482"/>
        <w:tabs>
          <w:tab w:val="clear" w:pos="210" w:leader="none"/>
          <w:tab w:val="left" w:pos="781" w:leader="none"/>
        </w:tabs>
        <w:rPr>
          <w:color w:val="000000" w:themeColor="text1"/>
          <w:highlight w:val="none"/>
          <w14:textFill>
            <w14:solidFill>
              <w14:schemeClr w14:val="tx1"/>
            </w14:solidFill>
          </w14:textFill>
        </w:rPr>
      </w:pPr>
      <w:r/>
      <w:bookmarkStart w:id="74" w:name="_Toc16938543"/>
      <w:r/>
      <w:bookmarkStart w:id="75" w:name="_Toc513029227"/>
      <w:r/>
      <w:bookmarkStart w:id="76" w:name="_Toc20823299"/>
      <w:r>
        <w:rPr>
          <w:color w:val="000000" w:themeColor="text1"/>
          <w:highlight w:val="none"/>
          <w14:textFill>
            <w14:solidFill>
              <w14:schemeClr w14:val="tx1"/>
            </w14:solidFill>
          </w14:textFill>
        </w:rPr>
        <w:t xml:space="preserve">投标文件的加密要求：</w:t>
      </w:r>
      <w:r/>
    </w:p>
    <w:p>
      <w:pPr>
        <w:pStyle w:val="739"/>
        <w:numPr>
          <w:ilvl w:val="0"/>
          <w:numId w:val="26"/>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投标人应当按照采购文件和“苏采云”系统的要求编制并加密响应文件。本项目投标人须通过“苏采云”系统提供的政府采购客户端工具（使用“CA数字证书”）对其数据电文形式的投标文件加密。</w:t>
      </w:r>
      <w:r/>
    </w:p>
    <w:p>
      <w:pPr>
        <w:pStyle w:val="739"/>
        <w:numPr>
          <w:ilvl w:val="0"/>
          <w:numId w:val="26"/>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投标人须通过“苏采云”系统提供的政府采购客户端工具（使用“CA数字证书”）加盖电子签章。</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说明：投标人应使用CA数字证书以及自备的能够登录“苏采云”系统的笔记本电脑，在达到开标时间后，使用CA数字证书解密各自投标文件。</w:t>
      </w:r>
      <w:r/>
    </w:p>
    <w:p>
      <w:pPr>
        <w:pStyle w:val="739"/>
        <w:numPr>
          <w:ilvl w:val="0"/>
          <w:numId w:val="26"/>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投标人未按规定加密的投标文件，“苏采云”系统应当拒收并提示。</w:t>
      </w:r>
      <w:r/>
    </w:p>
    <w:p>
      <w:pPr>
        <w:pStyle w:val="718"/>
        <w:numPr>
          <w:ilvl w:val="0"/>
          <w:numId w:val="24"/>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w:t>
      </w:r>
      <w:bookmarkEnd w:id="74"/>
      <w:r/>
      <w:bookmarkEnd w:id="75"/>
      <w:r/>
      <w:bookmarkEnd w:id="76"/>
      <w:r>
        <w:rPr>
          <w:color w:val="000000" w:themeColor="text1"/>
          <w:highlight w:val="none"/>
          <w14:textFill>
            <w14:solidFill>
              <w14:schemeClr w14:val="tx1"/>
            </w14:solidFill>
          </w14:textFill>
        </w:rPr>
        <w:t xml:space="preserve">的拒收</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4.1采购人或采购代理机构拒绝接收在其规定的投标截止时间后上传的任何投标文件。</w:t>
      </w:r>
      <w:r/>
    </w:p>
    <w:p>
      <w:pPr>
        <w:pStyle w:val="718"/>
        <w:numPr>
          <w:ilvl w:val="0"/>
          <w:numId w:val="24"/>
        </w:numPr>
        <w:ind w:firstLine="482"/>
        <w:tabs>
          <w:tab w:val="clear" w:pos="210" w:leader="none"/>
          <w:tab w:val="left" w:pos="781" w:leader="none"/>
        </w:tabs>
        <w:rPr>
          <w:color w:val="000000" w:themeColor="text1"/>
          <w:highlight w:val="none"/>
          <w14:textFill>
            <w14:solidFill>
              <w14:schemeClr w14:val="tx1"/>
            </w14:solidFill>
          </w14:textFill>
        </w:rPr>
      </w:pPr>
      <w:r/>
      <w:bookmarkStart w:id="77" w:name="_Toc513029228"/>
      <w:r/>
      <w:bookmarkStart w:id="78" w:name="_Toc20823300"/>
      <w:r/>
      <w:bookmarkStart w:id="79" w:name="_Toc16938544"/>
      <w:r>
        <w:rPr>
          <w:color w:val="000000" w:themeColor="text1"/>
          <w:highlight w:val="none"/>
          <w14:textFill>
            <w14:solidFill>
              <w14:schemeClr w14:val="tx1"/>
            </w14:solidFill>
          </w14:textFill>
        </w:rPr>
        <w:t xml:space="preserve">投标文件的撤回和修改</w:t>
      </w:r>
      <w:bookmarkEnd w:id="77"/>
      <w:r/>
      <w:bookmarkEnd w:id="78"/>
      <w:r/>
      <w:bookmarkEnd w:id="79"/>
      <w:r/>
      <w:r/>
    </w:p>
    <w:p>
      <w:pPr>
        <w:pStyle w:val="739"/>
        <w:numPr>
          <w:ilvl w:val="0"/>
          <w:numId w:val="27"/>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投标文件的撤回</w:t>
      </w:r>
      <w:r/>
    </w:p>
    <w:p>
      <w:pPr>
        <w:pStyle w:val="739"/>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5.1.1电子投标文件的撤回</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投标人可在投标截止时间前，撤回其电子投标文件，具体操作方法见CA办理指南及“苏采云”操作手册，可至江苏省政府采购网—办事指南－资料下载中心下载。</w:t>
      </w:r>
      <w:r/>
    </w:p>
    <w:p>
      <w:pPr>
        <w:pStyle w:val="739"/>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5.1.2投标人撤回电子投标文件，则认为其不再参与本项目投标活动。</w:t>
      </w:r>
      <w:r/>
    </w:p>
    <w:p>
      <w:pPr>
        <w:pStyle w:val="739"/>
        <w:numPr>
          <w:ilvl w:val="0"/>
          <w:numId w:val="27"/>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投标文件的修改</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投标人可在投标截止时间前，对其电子投标文件进行修改。</w:t>
      </w:r>
      <w:r/>
    </w:p>
    <w:p>
      <w:pPr>
        <w:pStyle w:val="739"/>
        <w:numPr>
          <w:ilvl w:val="0"/>
          <w:numId w:val="27"/>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在投标截止时间之后，投标人不得对其电子投标文件作任何修改。</w:t>
      </w:r>
      <w:r/>
    </w:p>
    <w:p>
      <w:pPr>
        <w:pStyle w:val="739"/>
        <w:numPr>
          <w:ilvl w:val="0"/>
          <w:numId w:val="27"/>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在投标截止时间至招标文件中规定的投标有效期满之间的这段时间内，投标人不得撤回其投标。</w:t>
      </w:r>
      <w:r/>
    </w:p>
    <w:p>
      <w:pPr>
        <w:pStyle w:val="717"/>
        <w:numPr>
          <w:ilvl w:val="0"/>
          <w:numId w:val="12"/>
        </w:numPr>
        <w:ind w:firstLine="482"/>
        <w:tabs>
          <w:tab w:val="left" w:pos="963" w:leader="none"/>
        </w:tabs>
        <w:rPr>
          <w:rFonts w:hint="eastAsia"/>
          <w:color w:val="000000" w:themeColor="text1"/>
          <w:highlight w:val="none"/>
          <w14:textFill>
            <w14:solidFill>
              <w14:schemeClr w14:val="tx1"/>
            </w14:solidFill>
          </w14:textFill>
        </w:rPr>
      </w:pPr>
      <w:r/>
      <w:bookmarkStart w:id="80" w:name="_Toc120614218"/>
      <w:r/>
      <w:bookmarkStart w:id="81" w:name="_Toc20823301"/>
      <w:r/>
      <w:bookmarkStart w:id="82" w:name="_Toc513029229"/>
      <w:r/>
      <w:bookmarkStart w:id="83" w:name="_Toc16938545"/>
      <w:r>
        <w:rPr>
          <w:color w:val="000000" w:themeColor="text1"/>
          <w:highlight w:val="none"/>
          <w14:textFill>
            <w14:solidFill>
              <w14:schemeClr w14:val="tx1"/>
            </w14:solidFill>
          </w14:textFill>
        </w:rPr>
        <w:t xml:space="preserve">开标与评标</w:t>
      </w:r>
      <w:bookmarkEnd w:id="80"/>
      <w:r/>
      <w:bookmarkEnd w:id="81"/>
      <w:r/>
      <w:bookmarkEnd w:id="82"/>
      <w:r/>
      <w:bookmarkEnd w:id="83"/>
      <w:r/>
      <w:r/>
    </w:p>
    <w:p>
      <w:pPr>
        <w:pStyle w:val="718"/>
        <w:numPr>
          <w:ilvl w:val="0"/>
          <w:numId w:val="28"/>
        </w:numPr>
        <w:ind w:firstLine="482"/>
        <w:tabs>
          <w:tab w:val="clear" w:pos="210" w:leader="none"/>
          <w:tab w:val="left" w:pos="781" w:leader="none"/>
        </w:tabs>
        <w:rPr>
          <w:color w:val="000000" w:themeColor="text1"/>
          <w:highlight w:val="none"/>
          <w14:textFill>
            <w14:solidFill>
              <w14:schemeClr w14:val="tx1"/>
            </w14:solidFill>
          </w14:textFill>
        </w:rPr>
      </w:pPr>
      <w:r/>
      <w:bookmarkStart w:id="84" w:name="_Toc513029230"/>
      <w:r/>
      <w:bookmarkStart w:id="85" w:name="_Toc16938546"/>
      <w:r/>
      <w:bookmarkStart w:id="86" w:name="_Toc20823302"/>
      <w:r>
        <w:rPr>
          <w:color w:val="000000" w:themeColor="text1"/>
          <w:highlight w:val="none"/>
          <w14:textFill>
            <w14:solidFill>
              <w14:schemeClr w14:val="tx1"/>
            </w14:solidFill>
          </w14:textFill>
        </w:rPr>
        <w:t xml:space="preserve">开标</w:t>
      </w:r>
      <w:bookmarkEnd w:id="84"/>
      <w:r/>
      <w:bookmarkEnd w:id="85"/>
      <w:r/>
      <w:bookmarkEnd w:id="86"/>
      <w:r/>
      <w:r/>
    </w:p>
    <w:p>
      <w:pPr>
        <w:pStyle w:val="739"/>
        <w:numPr>
          <w:ilvl w:val="0"/>
          <w:numId w:val="29"/>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采购人或采购代理机构将在招标公告中规定的时间和地点组织公开开标。</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开标当天投标人及时登录不见面开标大厅，投标文件递交截止时间后，采购</w:t>
      </w:r>
      <w:r>
        <w:rPr>
          <w:color w:val="000000" w:themeColor="text1"/>
          <w:highlight w:val="none"/>
          <w14:textFill>
            <w14:solidFill>
              <w14:schemeClr w14:val="tx1"/>
            </w14:solidFill>
          </w14:textFill>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pStyle w:val="739"/>
        <w:numPr>
          <w:ilvl w:val="0"/>
          <w:numId w:val="29"/>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开标仪式由采购代理机构组织，在不见面交易系统中进行开标，并公布各投标人的《开标一览表》。</w:t>
      </w:r>
      <w:r/>
    </w:p>
    <w:p>
      <w:pPr>
        <w:pStyle w:val="718"/>
        <w:numPr>
          <w:ilvl w:val="0"/>
          <w:numId w:val="28"/>
        </w:numPr>
        <w:ind w:firstLine="482"/>
        <w:tabs>
          <w:tab w:val="clear" w:pos="210" w:leader="none"/>
          <w:tab w:val="left" w:pos="781" w:leader="none"/>
        </w:tabs>
        <w:rPr>
          <w:color w:val="000000" w:themeColor="text1"/>
          <w:highlight w:val="none"/>
          <w14:textFill>
            <w14:solidFill>
              <w14:schemeClr w14:val="tx1"/>
            </w14:solidFill>
          </w14:textFill>
        </w:rPr>
      </w:pPr>
      <w:r/>
      <w:bookmarkStart w:id="87" w:name="_Toc16938547"/>
      <w:r/>
      <w:bookmarkStart w:id="88" w:name="_Toc513029231"/>
      <w:r/>
      <w:bookmarkStart w:id="89" w:name="_Toc20823303"/>
      <w:r>
        <w:rPr>
          <w:color w:val="000000" w:themeColor="text1"/>
          <w:highlight w:val="none"/>
          <w14:textFill>
            <w14:solidFill>
              <w14:schemeClr w14:val="tx1"/>
            </w14:solidFill>
          </w14:textFill>
        </w:rPr>
        <w:t xml:space="preserve">评标委员会</w:t>
      </w:r>
      <w:r/>
    </w:p>
    <w:p>
      <w:pPr>
        <w:pStyle w:val="739"/>
        <w:numPr>
          <w:ilvl w:val="0"/>
          <w:numId w:val="30"/>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开标后，采购人或采购代理机构将立即组织评标委员会（以下简称评委会）进行评标。</w:t>
      </w:r>
      <w:r/>
    </w:p>
    <w:p>
      <w:pPr>
        <w:pStyle w:val="739"/>
        <w:numPr>
          <w:ilvl w:val="0"/>
          <w:numId w:val="30"/>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评委会由采购人代表和有关技术、经济等方面的专家组成，且人员构成符合政府采购有关规定。</w:t>
      </w:r>
      <w:r/>
    </w:p>
    <w:p>
      <w:pPr>
        <w:pStyle w:val="739"/>
        <w:numPr>
          <w:ilvl w:val="0"/>
          <w:numId w:val="30"/>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评委会独立工作，负责评审所有投标文件并确定中标候选人。</w:t>
      </w:r>
      <w:r/>
    </w:p>
    <w:p>
      <w:pPr>
        <w:pStyle w:val="718"/>
        <w:numPr>
          <w:ilvl w:val="0"/>
          <w:numId w:val="28"/>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评标过程的保密与公正</w:t>
      </w:r>
      <w:bookmarkEnd w:id="87"/>
      <w:r/>
      <w:bookmarkEnd w:id="88"/>
      <w:r/>
      <w:bookmarkEnd w:id="89"/>
      <w:r/>
      <w:r/>
    </w:p>
    <w:p>
      <w:pPr>
        <w:pStyle w:val="739"/>
        <w:numPr>
          <w:ilvl w:val="0"/>
          <w:numId w:val="31"/>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公开开标后，直至向中标的投标人授予合同时止，凡是与审查、澄清、评价和比较投标的有关资料以及授标建议等，采购人、评委、采购代理机构均不得向投标人或与评标无关的其他人员透露。</w:t>
      </w:r>
      <w:r/>
    </w:p>
    <w:p>
      <w:pPr>
        <w:pStyle w:val="739"/>
        <w:numPr>
          <w:ilvl w:val="0"/>
          <w:numId w:val="31"/>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在评标过程中，投标人不得以任何行为影响评标过程，否则其投标文件将被作为无效投标文件。</w:t>
      </w:r>
      <w:r/>
    </w:p>
    <w:p>
      <w:pPr>
        <w:pStyle w:val="739"/>
        <w:numPr>
          <w:ilvl w:val="0"/>
          <w:numId w:val="31"/>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在评标期间，采购代理机构将设专门人员与投标人联系。</w:t>
      </w:r>
      <w:r/>
    </w:p>
    <w:p>
      <w:pPr>
        <w:pStyle w:val="739"/>
        <w:numPr>
          <w:ilvl w:val="0"/>
          <w:numId w:val="31"/>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采购人或采购代理机构和评标委员会不向未中标的投标人解释未中标原因，也不公布评标过程中的相关细节。</w:t>
      </w:r>
      <w:r/>
    </w:p>
    <w:p>
      <w:pPr>
        <w:pStyle w:val="739"/>
        <w:numPr>
          <w:ilvl w:val="0"/>
          <w:numId w:val="31"/>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采用综合评分法的项目</w:t>
      </w:r>
      <w:r>
        <w:rPr>
          <w:rFonts w:hint="eastAsia"/>
          <w:color w:val="000000" w:themeColor="text1"/>
          <w:highlight w:val="none"/>
          <w:lang w:eastAsia="zh-CN"/>
          <w14:textFill>
            <w14:solidFill>
              <w14:schemeClr w14:val="tx1"/>
            </w14:solidFill>
          </w14:textFill>
        </w:rPr>
        <w:t xml:space="preserve">，在</w:t>
      </w:r>
      <w:r>
        <w:rPr>
          <w:color w:val="000000" w:themeColor="text1"/>
          <w:highlight w:val="none"/>
          <w14:textFill>
            <w14:solidFill>
              <w14:schemeClr w14:val="tx1"/>
            </w14:solidFill>
          </w14:textFill>
        </w:rPr>
        <w:t xml:space="preserve">公布评标结果时一并公布所有投标人的评审得分及排序情况。</w:t>
      </w:r>
      <w:r/>
    </w:p>
    <w:p>
      <w:pPr>
        <w:pStyle w:val="718"/>
        <w:numPr>
          <w:ilvl w:val="0"/>
          <w:numId w:val="28"/>
        </w:numPr>
        <w:ind w:firstLine="482"/>
        <w:tabs>
          <w:tab w:val="clear" w:pos="210" w:leader="none"/>
          <w:tab w:val="left" w:pos="781" w:leader="none"/>
        </w:tabs>
        <w:rPr>
          <w:color w:val="000000" w:themeColor="text1"/>
          <w:highlight w:val="none"/>
          <w14:textFill>
            <w14:solidFill>
              <w14:schemeClr w14:val="tx1"/>
            </w14:solidFill>
          </w14:textFill>
        </w:rPr>
      </w:pPr>
      <w:r/>
      <w:bookmarkStart w:id="90" w:name="_Toc20823304"/>
      <w:r/>
      <w:bookmarkStart w:id="91" w:name="_Toc513029232"/>
      <w:r/>
      <w:bookmarkStart w:id="92" w:name="_Toc16938548"/>
      <w:r>
        <w:rPr>
          <w:color w:val="000000" w:themeColor="text1"/>
          <w:highlight w:val="none"/>
          <w14:textFill>
            <w14:solidFill>
              <w14:schemeClr w14:val="tx1"/>
            </w14:solidFill>
          </w14:textFill>
        </w:rPr>
        <w:t xml:space="preserve">投标的澄清</w:t>
      </w:r>
      <w:bookmarkEnd w:id="90"/>
      <w:r/>
      <w:bookmarkEnd w:id="91"/>
      <w:r/>
      <w:bookmarkEnd w:id="92"/>
      <w:r/>
      <w:r/>
    </w:p>
    <w:p>
      <w:pPr>
        <w:pStyle w:val="739"/>
        <w:numPr>
          <w:ilvl w:val="0"/>
          <w:numId w:val="32"/>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评标期间，为</w:t>
      </w:r>
      <w:r>
        <w:rPr>
          <w:rFonts w:hint="eastAsia"/>
          <w:color w:val="000000" w:themeColor="text1"/>
          <w:highlight w:val="none"/>
          <w:lang w:eastAsia="zh-CN"/>
          <w14:textFill>
            <w14:solidFill>
              <w14:schemeClr w14:val="tx1"/>
            </w14:solidFill>
          </w14:textFill>
        </w:rPr>
        <w:t xml:space="preserve">有助于</w:t>
      </w:r>
      <w:r>
        <w:rPr>
          <w:color w:val="000000" w:themeColor="text1"/>
          <w:highlight w:val="none"/>
          <w14:textFill>
            <w14:solidFill>
              <w14:schemeClr w14:val="tx1"/>
            </w14:solidFill>
          </w14:textFill>
        </w:rPr>
        <w:t xml:space="preserve">投标文件的审查、评价和比较，评委会有权以电子函件形式要求投标人对其投标文件进行澄清，但并非对每个投标人都作澄清要求。</w:t>
      </w:r>
      <w:r/>
    </w:p>
    <w:p>
      <w:pPr>
        <w:pStyle w:val="739"/>
        <w:numPr>
          <w:ilvl w:val="0"/>
          <w:numId w:val="32"/>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接到评委会澄清要求的投标人应派人按评委会规定的时间和格式在“苏采云系统”中做出澄清，澄清的内容作为投标文件的补充部分，但投标的价格和实质性的内容不得做任何更改。</w:t>
      </w:r>
      <w:r/>
    </w:p>
    <w:p>
      <w:pPr>
        <w:pStyle w:val="739"/>
        <w:numPr>
          <w:ilvl w:val="0"/>
          <w:numId w:val="32"/>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接到评委会澄清要求的投标人如未按规定作出澄清，其风险由投标人自行承担。</w:t>
      </w:r>
      <w:r/>
    </w:p>
    <w:p>
      <w:pPr>
        <w:pStyle w:val="718"/>
        <w:numPr>
          <w:ilvl w:val="0"/>
          <w:numId w:val="28"/>
        </w:numPr>
        <w:ind w:firstLine="482"/>
        <w:tabs>
          <w:tab w:val="clear" w:pos="210" w:leader="none"/>
          <w:tab w:val="left" w:pos="781" w:leader="none"/>
        </w:tabs>
        <w:rPr>
          <w:color w:val="000000" w:themeColor="text1"/>
          <w:highlight w:val="none"/>
          <w14:textFill>
            <w14:solidFill>
              <w14:schemeClr w14:val="tx1"/>
            </w14:solidFill>
          </w14:textFill>
        </w:rPr>
      </w:pPr>
      <w:r/>
      <w:bookmarkStart w:id="93" w:name="_Toc513029233"/>
      <w:r/>
      <w:bookmarkStart w:id="94" w:name="_Toc20823305"/>
      <w:r/>
      <w:bookmarkStart w:id="95" w:name="_Toc16938549"/>
      <w:r>
        <w:rPr>
          <w:color w:val="000000" w:themeColor="text1"/>
          <w:highlight w:val="none"/>
          <w14:textFill>
            <w14:solidFill>
              <w14:schemeClr w14:val="tx1"/>
            </w14:solidFill>
          </w14:textFill>
        </w:rPr>
        <w:t xml:space="preserve">对投标文件的初审</w:t>
      </w:r>
      <w:bookmarkEnd w:id="93"/>
      <w:r/>
      <w:bookmarkEnd w:id="94"/>
      <w:r/>
      <w:bookmarkEnd w:id="95"/>
      <w:r/>
      <w:r/>
    </w:p>
    <w:p>
      <w:pPr>
        <w:pStyle w:val="739"/>
        <w:numPr>
          <w:ilvl w:val="0"/>
          <w:numId w:val="3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投标文件初审分为资格审查和符合性审查。</w:t>
      </w:r>
      <w:r/>
    </w:p>
    <w:p>
      <w:pPr>
        <w:pStyle w:val="739"/>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5.1.1资格审查：依据法律法规和招标文件的规定</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详见招标文件第一、第六部分要求</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，由采购人对投标文件中的资格证明文件进行审查。资格审查的结论，采购人以书面形式向评委会进行反馈。</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采购人在进行资格审查的同时，评标委员会从“信用中国”网站查询供应商的信用记录，以确定供应商是否具备参加</w:t>
      </w:r>
      <w:r>
        <w:rPr>
          <w:rFonts w:hint="eastAsia"/>
          <w:color w:val="000000" w:themeColor="text1"/>
          <w:highlight w:val="none"/>
          <w14:textFill>
            <w14:solidFill>
              <w14:schemeClr w14:val="tx1"/>
            </w14:solidFill>
          </w14:textFill>
        </w:rPr>
        <w:t xml:space="preserve">本项目投标</w:t>
      </w:r>
      <w:r>
        <w:rPr>
          <w:color w:val="000000" w:themeColor="text1"/>
          <w:highlight w:val="none"/>
          <w14:textFill>
            <w14:solidFill>
              <w14:schemeClr w14:val="tx1"/>
            </w14:solidFill>
          </w14:textFill>
        </w:rPr>
        <w:t xml:space="preserve">的资格。</w:t>
      </w:r>
      <w:r>
        <w:rPr>
          <w:rFonts w:hint="eastAsia"/>
          <w:color w:val="000000" w:themeColor="text1"/>
          <w:highlight w:val="none"/>
          <w14:textFill>
            <w14:solidFill>
              <w14:schemeClr w14:val="tx1"/>
            </w14:solidFill>
          </w14:textFill>
        </w:rPr>
        <w:t xml:space="preserve">查询结果将在“苏采云”系统中上传并归档。</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color w:val="000000" w:themeColor="text1"/>
          <w:highlight w:val="none"/>
          <w:lang w:val="en-US" w:eastAsia="zh-CN"/>
          <w14:textFill>
            <w14:solidFill>
              <w14:schemeClr w14:val="tx1"/>
            </w14:solidFill>
          </w14:textFill>
        </w:rPr>
        <w:t xml:space="preserve">信</w:t>
      </w:r>
      <w:r>
        <w:rPr>
          <w:color w:val="000000" w:themeColor="text1"/>
          <w:highlight w:val="none"/>
          <w14:textFill>
            <w14:solidFill>
              <w14:schemeClr w14:val="tx1"/>
            </w14:solidFill>
          </w14:textFill>
        </w:rPr>
        <w:t xml:space="preserve">用记录。</w:t>
      </w:r>
      <w:r/>
    </w:p>
    <w:p>
      <w:pPr>
        <w:pStyle w:val="739"/>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5.1.2符合性审查：依据招标文件的规定，由评委会从投标文件的有效性、完整性和对招标文件的响应程度进行审查，以确定是否对招标文件的实质性要求作出响应。</w:t>
      </w:r>
      <w:r/>
    </w:p>
    <w:tbl>
      <w:tblPr>
        <w:tblStyle w:val="727"/>
        <w:tblW w:w="5045"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275"/>
        <w:gridCol w:w="427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default" w:eastAsia="宋体"/>
                <w:color w:val="000000" w:themeColor="text1"/>
                <w:sz w:val="24"/>
                <w:szCs w:val="32"/>
                <w:highlight w:val="none"/>
                <w14:textFill>
                  <w14:solidFill>
                    <w14:schemeClr w14:val="tx1"/>
                  </w14:solidFill>
                </w14:textFill>
              </w:rPr>
            </w:pPr>
            <w:r/>
            <w:bookmarkStart w:id="96" w:name="_Hlk196921993"/>
            <w:r>
              <w:rPr>
                <w:rFonts w:hint="eastAsia"/>
                <w:color w:val="000000" w:themeColor="text1"/>
                <w:sz w:val="24"/>
                <w:szCs w:val="32"/>
                <w:highlight w:val="none"/>
                <w14:textFill>
                  <w14:solidFill>
                    <w14:schemeClr w14:val="tx1"/>
                  </w14:solidFill>
                </w14:textFill>
              </w:rPr>
              <w:t xml:space="preserve">投标函</w:t>
            </w:r>
            <w:r>
              <w:rPr>
                <w:rFonts w:hint="eastAsia"/>
                <w:color w:val="000000" w:themeColor="text1"/>
                <w:sz w:val="24"/>
                <w:szCs w:val="32"/>
                <w:highlight w:val="none"/>
                <w:lang w:val="en-US" w:eastAsia="zh-CN"/>
                <w14:textFill>
                  <w14:solidFill>
                    <w14:schemeClr w14:val="tx1"/>
                  </w14:solidFill>
                </w14:textFill>
              </w:rPr>
              <w:t xml:space="preserve">及其他招标文件第六部分要求提供的格式文件</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符合招标文件要求</w:t>
            </w:r>
            <w:bookmarkEnd w:id="96"/>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000000" w:themeColor="text1"/>
                <w:sz w:val="24"/>
                <w:szCs w:val="32"/>
                <w:highlight w:val="none"/>
                <w14:textFill>
                  <w14:solidFill>
                    <w14:schemeClr w14:val="tx1"/>
                  </w14:solidFill>
                </w14:textFill>
              </w:rPr>
            </w:pPr>
            <w:r/>
            <w:bookmarkStart w:id="97" w:name="_Hlk196922000"/>
            <w:r>
              <w:rPr>
                <w:rFonts w:hint="eastAsia"/>
                <w:color w:val="000000" w:themeColor="text1"/>
                <w:sz w:val="24"/>
                <w:szCs w:val="32"/>
                <w:highlight w:val="none"/>
                <w14:textFill>
                  <w14:solidFill>
                    <w14:schemeClr w14:val="tx1"/>
                  </w14:solidFill>
                </w14:textFill>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eastAsia"/>
                <w:color w:val="000000" w:themeColor="text1"/>
                <w:sz w:val="24"/>
                <w:szCs w:val="32"/>
                <w:highlight w:val="none"/>
                <w14:textFill>
                  <w14:solidFill>
                    <w14:schemeClr w14:val="tx1"/>
                  </w14:solidFill>
                </w14:textFill>
              </w:rPr>
            </w:pPr>
            <w:r/>
            <w:bookmarkStart w:id="98" w:name="_Hlk198712051"/>
            <w:r>
              <w:rPr>
                <w:rFonts w:hint="eastAsia"/>
                <w:color w:val="000000" w:themeColor="text1"/>
                <w:sz w:val="24"/>
                <w:szCs w:val="32"/>
                <w:highlight w:val="none"/>
                <w14:textFill>
                  <w14:solidFill>
                    <w14:schemeClr w14:val="tx1"/>
                  </w14:solidFill>
                </w14:textFill>
              </w:rPr>
              <w:t xml:space="preserve">投标人委托授权代表投标的，须提供法定代表人（或组织负责人）授权书及授权代表身份证（扫描件）；法定代表人（或组织负责人）本人参与投标的，提供法定代表人（或组织负责人）身份证明书及法定代表人身份证（扫描件）</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eastAsia"/>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符合招标文件要求</w:t>
            </w:r>
            <w:bookmarkEnd w:id="97"/>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符合招标文件要求</w:t>
            </w:r>
            <w:bookmarkEnd w:id="98"/>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000000" w:themeColor="text1"/>
                <w:sz w:val="24"/>
                <w:szCs w:val="32"/>
                <w:highlight w:val="none"/>
                <w14:textFill>
                  <w14:solidFill>
                    <w14:schemeClr w14:val="tx1"/>
                  </w14:solidFill>
                </w14:textFill>
              </w:rPr>
            </w:pPr>
            <w:r/>
            <w:bookmarkStart w:id="99" w:name="_Hlk196922013"/>
            <w:r>
              <w:rPr>
                <w:rFonts w:hint="eastAsia"/>
                <w:color w:val="000000" w:themeColor="text1"/>
                <w:sz w:val="24"/>
                <w:szCs w:val="32"/>
                <w:highlight w:val="none"/>
                <w14:textFill>
                  <w14:solidFill>
                    <w14:schemeClr w14:val="tx1"/>
                  </w14:solidFill>
                </w14:textFill>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符合招标文件要求</w:t>
            </w:r>
            <w:bookmarkEnd w:id="99"/>
            <w:r/>
            <w:r/>
          </w:p>
        </w:tc>
      </w:tr>
    </w:tbl>
    <w:p>
      <w:pPr>
        <w:pStyle w:val="739"/>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5.1.3未通过资格审查或符合性审查的投标人，采购人或采购代理机构将在苏采云系统中告知未通过资格审查或符合性审查的原因，评审结束后，采购人或采购代理机构将不再告知未通过资格审查或符合性审查的原因。</w:t>
      </w:r>
      <w:r/>
    </w:p>
    <w:p>
      <w:pPr>
        <w:pStyle w:val="739"/>
        <w:numPr>
          <w:ilvl w:val="0"/>
          <w:numId w:val="3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39"/>
        <w:numPr>
          <w:ilvl w:val="0"/>
          <w:numId w:val="3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如果投标文件实质上没有响应招标文件的要求，评委会将予以拒绝，投标人不得通过修改或撤销不符合要求的偏离或保留而使其投标成为实质性响应的投标。</w:t>
      </w:r>
      <w:r/>
    </w:p>
    <w:p>
      <w:pPr>
        <w:pStyle w:val="739"/>
        <w:numPr>
          <w:ilvl w:val="0"/>
          <w:numId w:val="3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评委会将对确定为实质性响应的投标进行进一步审核，看其是否有计算上或累加上的算术错误，修正错误的原则如下：</w:t>
      </w:r>
      <w:r/>
    </w:p>
    <w:p>
      <w:pPr>
        <w:pStyle w:val="739"/>
        <w:numPr>
          <w:ilvl w:val="0"/>
          <w:numId w:val="34"/>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投标文件中开标一览表内容与投标文件中相应内容不一致的，以开标一览表为准。</w:t>
      </w:r>
      <w:r/>
    </w:p>
    <w:p>
      <w:pPr>
        <w:pStyle w:val="739"/>
        <w:numPr>
          <w:ilvl w:val="0"/>
          <w:numId w:val="34"/>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大写金额和小写金额不一致的，以大写金额为准。</w:t>
      </w:r>
      <w:r/>
    </w:p>
    <w:p>
      <w:pPr>
        <w:pStyle w:val="739"/>
        <w:numPr>
          <w:ilvl w:val="0"/>
          <w:numId w:val="34"/>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单价金额小数点或者百分比有明显错位的，以开标一览表的总价为准，并修改单价。</w:t>
      </w:r>
      <w:r/>
    </w:p>
    <w:p>
      <w:pPr>
        <w:pStyle w:val="739"/>
        <w:numPr>
          <w:ilvl w:val="0"/>
          <w:numId w:val="34"/>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总价金额与按单价汇总金额不一致的，以单价金额计算结果为准。</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同时出现两种以上错误的，按照前款规定的顺序修正。</w:t>
      </w:r>
      <w:r/>
    </w:p>
    <w:p>
      <w:pPr>
        <w:pStyle w:val="739"/>
        <w:numPr>
          <w:ilvl w:val="0"/>
          <w:numId w:val="3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评委会将按上述修正错误的方法调整投标文件中的投标报价，并通过苏采云系统告知投标人，调整后的价格对投标人具有约束力。如果投标人不接受修正后的价格，则其投标将被拒绝。</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评委会将允许修正投标文件中不构成重大偏离的、微小的、非正规的、不一致的或不规则的地方，但这些修改不能影响任何投标人相应的名次排列。</w:t>
      </w:r>
      <w:r/>
    </w:p>
    <w:p>
      <w:pPr>
        <w:pStyle w:val="739"/>
        <w:numPr>
          <w:ilvl w:val="0"/>
          <w:numId w:val="3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非单一产品采购项目，招标文件中将载明其中的核心产品。多家投标人提供的核心产品品牌相同的，按前两款规定处理。</w:t>
      </w:r>
      <w:r/>
    </w:p>
    <w:p>
      <w:pPr>
        <w:pStyle w:val="739"/>
        <w:numPr>
          <w:ilvl w:val="0"/>
          <w:numId w:val="33"/>
        </w:numPr>
        <w:tabs>
          <w:tab w:val="clear" w:pos="210" w:leader="none"/>
          <w:tab w:val="left" w:pos="900" w:leader="none"/>
        </w:tabs>
        <w:rPr>
          <w:color w:val="000000" w:themeColor="text1"/>
          <w:highlight w:val="none"/>
          <w14:textFill>
            <w14:solidFill>
              <w14:schemeClr w14:val="tx1"/>
            </w14:solidFill>
          </w14:textFill>
        </w:rPr>
      </w:pPr>
      <w:r/>
      <w:bookmarkStart w:id="100" w:name="_Toc20823306"/>
      <w:r/>
      <w:bookmarkStart w:id="101" w:name="_Toc16938550"/>
      <w:r/>
      <w:bookmarkStart w:id="102" w:name="_Toc513029234"/>
      <w:r>
        <w:rPr>
          <w:color w:val="000000" w:themeColor="text1"/>
          <w:highlight w:val="none"/>
          <w14:textFill>
            <w14:solidFill>
              <w14:schemeClr w14:val="tx1"/>
            </w14:solidFill>
          </w14:textFill>
        </w:rPr>
        <w:t xml:space="preserve">投标人在开、评标全过程中应</w:t>
      </w:r>
      <w:r>
        <w:rPr>
          <w:rFonts w:hint="eastAsia"/>
          <w:color w:val="000000" w:themeColor="text1"/>
          <w:highlight w:val="none"/>
          <w14:textFill>
            <w14:solidFill>
              <w14:schemeClr w14:val="tx1"/>
            </w14:solidFill>
          </w14:textFill>
        </w:rPr>
        <w:t xml:space="preserve">保持通信畅通</w:t>
      </w:r>
      <w:r>
        <w:rPr>
          <w:color w:val="000000" w:themeColor="text1"/>
          <w:highlight w:val="none"/>
          <w14:textFill>
            <w14:solidFill>
              <w14:schemeClr w14:val="tx1"/>
            </w14:solidFill>
          </w14:textFill>
        </w:rPr>
        <w:t xml:space="preserve">，并安排专人与采购人或采购代理机构及评标委员会联系。</w:t>
      </w:r>
      <w:bookmarkEnd w:id="100"/>
      <w:r/>
      <w:bookmarkEnd w:id="101"/>
      <w:r/>
      <w:bookmarkEnd w:id="102"/>
      <w:r/>
      <w:r/>
    </w:p>
    <w:p>
      <w:pPr>
        <w:pStyle w:val="718"/>
        <w:numPr>
          <w:ilvl w:val="0"/>
          <w:numId w:val="28"/>
        </w:numPr>
        <w:ind w:firstLine="482"/>
        <w:tabs>
          <w:tab w:val="clear" w:pos="210" w:leader="none"/>
          <w:tab w:val="left" w:pos="781" w:leader="none"/>
        </w:tabs>
        <w:rPr>
          <w:color w:val="000000" w:themeColor="text1"/>
          <w:highlight w:val="none"/>
          <w:u w:val="single"/>
          <w14:textFill>
            <w14:solidFill>
              <w14:schemeClr w14:val="tx1"/>
            </w14:solidFill>
          </w14:textFill>
        </w:rPr>
      </w:pPr>
      <w:r>
        <w:rPr>
          <w:color w:val="000000" w:themeColor="text1"/>
          <w:highlight w:val="none"/>
          <w:u w:val="single"/>
          <w14:textFill>
            <w14:solidFill>
              <w14:schemeClr w14:val="tx1"/>
            </w14:solidFill>
          </w14:textFill>
        </w:rPr>
        <w:t xml:space="preserve">无效投标条款和废标条款</w:t>
      </w:r>
      <w:r/>
    </w:p>
    <w:p>
      <w:pPr>
        <w:pStyle w:val="739"/>
        <w:numPr>
          <w:ilvl w:val="0"/>
          <w:numId w:val="35"/>
        </w:numPr>
        <w:tabs>
          <w:tab w:val="clear" w:pos="210" w:leader="none"/>
          <w:tab w:val="left" w:pos="900" w:leader="none"/>
        </w:tabs>
        <w:rPr>
          <w:color w:val="000000" w:themeColor="text1"/>
          <w:highlight w:val="none"/>
          <w14:textFill>
            <w14:solidFill>
              <w14:schemeClr w14:val="tx1"/>
            </w14:solidFill>
          </w14:textFill>
        </w:rPr>
      </w:pPr>
      <w:r/>
      <w:bookmarkStart w:id="103" w:name="_Toc20823307"/>
      <w:r/>
      <w:bookmarkStart w:id="104" w:name="_Toc16938551"/>
      <w:r/>
      <w:bookmarkStart w:id="105" w:name="_Toc513029235"/>
      <w:r>
        <w:rPr>
          <w:color w:val="000000" w:themeColor="text1"/>
          <w:highlight w:val="none"/>
          <w14:textFill>
            <w14:solidFill>
              <w14:schemeClr w14:val="tx1"/>
            </w14:solidFill>
          </w14:textFill>
        </w:rPr>
        <w:t xml:space="preserve">无效投标条款</w:t>
      </w:r>
      <w:r/>
    </w:p>
    <w:p>
      <w:pPr>
        <w:pStyle w:val="739"/>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6.1.1投标人在规定的时间内未成功解密电子投标文件的。</w:t>
      </w:r>
      <w:r/>
    </w:p>
    <w:p>
      <w:pPr>
        <w:pStyle w:val="739"/>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6.1.2投标人未按照招标文件要求上传电子投标文件的。</w:t>
      </w:r>
      <w:r/>
    </w:p>
    <w:p>
      <w:pPr>
        <w:pStyle w:val="739"/>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6.1.3同一投标人提交两个（含两个）以上不同的投标报价的。</w:t>
      </w:r>
      <w:r/>
    </w:p>
    <w:p>
      <w:pPr>
        <w:pStyle w:val="739"/>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6.1.4投标人不具备招标文件中规定的资格要求</w:t>
      </w:r>
      <w:r>
        <w:rPr>
          <w:rFonts w:hint="eastAsia"/>
          <w:color w:val="000000" w:themeColor="text1"/>
          <w:highlight w:val="none"/>
          <w14:textFill>
            <w14:solidFill>
              <w14:schemeClr w14:val="tx1"/>
            </w14:solidFill>
          </w14:textFill>
        </w:rPr>
        <w:t xml:space="preserve">或投标文件未按招标文件规定提供资格证明文件</w:t>
      </w:r>
      <w:r>
        <w:rPr>
          <w:color w:val="000000" w:themeColor="text1"/>
          <w:highlight w:val="none"/>
          <w14:textFill>
            <w14:solidFill>
              <w14:schemeClr w14:val="tx1"/>
            </w14:solidFill>
          </w14:textFill>
        </w:rPr>
        <w:t xml:space="preserve">的。</w:t>
      </w:r>
      <w:r/>
    </w:p>
    <w:p>
      <w:pPr>
        <w:pStyle w:val="739"/>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6.1.5投标人的报价超过了采购预算或最高限价的。</w:t>
      </w:r>
      <w:r/>
    </w:p>
    <w:p>
      <w:pPr>
        <w:pStyle w:val="739"/>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6.1.6未通过符合性检查的。</w:t>
      </w:r>
      <w:r/>
    </w:p>
    <w:p>
      <w:pPr>
        <w:pStyle w:val="739"/>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6.1.7不符合招标文件中规定的其他实质性要求和条件的。</w:t>
      </w:r>
      <w:r>
        <w:rPr>
          <w:rFonts w:hint="eastAsia"/>
          <w:color w:val="000000" w:themeColor="text1"/>
          <w:highlight w:val="none"/>
          <w14:textFill>
            <w14:solidFill>
              <w14:schemeClr w14:val="tx1"/>
            </w14:solidFill>
          </w14:textFill>
        </w:rPr>
        <w:t xml:space="preserve">（</w:t>
      </w:r>
      <w:r>
        <w:rPr>
          <w:rFonts w:hint="eastAsia" w:hAnsi="宋体" w:cs="宋体"/>
          <w:color w:val="000000" w:themeColor="text1"/>
          <w:highlight w:val="none"/>
          <w14:textFill>
            <w14:solidFill>
              <w14:schemeClr w14:val="tx1"/>
            </w14:solidFill>
          </w14:textFill>
        </w:rPr>
        <w:t xml:space="preserve">实质性要求和条件包括但不限于加注“</w:t>
      </w:r>
      <w:r>
        <w:rPr>
          <w:rFonts w:hAnsi="宋体" w:cs="宋体"/>
          <w:color w:val="000000" w:themeColor="text1"/>
          <w:highlight w:val="none"/>
          <w14:textFill>
            <w14:solidFill>
              <w14:schemeClr w14:val="tx1"/>
            </w14:solidFill>
          </w14:textFill>
        </w:rPr>
        <w:t xml:space="preserve">*</w:t>
      </w:r>
      <w:r>
        <w:rPr>
          <w:rFonts w:hint="eastAsia" w:hAnsi="宋体" w:cs="宋体"/>
          <w:color w:val="000000" w:themeColor="text1"/>
          <w:highlight w:val="none"/>
          <w14:textFill>
            <w14:solidFill>
              <w14:schemeClr w14:val="tx1"/>
            </w14:solidFill>
          </w14:textFill>
        </w:rPr>
        <w:t xml:space="preserve">”“★”号、带有</w:t>
      </w:r>
      <w:r>
        <w:rPr>
          <w:rFonts w:hint="eastAsia" w:hAnsi="宋体" w:cs="宋体"/>
          <w:color w:val="000000" w:themeColor="text1"/>
          <w:highlight w:val="none"/>
          <w:u w:val="single"/>
          <w14:textFill>
            <w14:solidFill>
              <w14:schemeClr w14:val="tx1"/>
            </w14:solidFill>
          </w14:textFill>
        </w:rPr>
        <w:t xml:space="preserve">下划线</w:t>
      </w:r>
      <w:r>
        <w:rPr>
          <w:rFonts w:hint="eastAsia" w:hAnsi="宋体" w:cs="宋体"/>
          <w:color w:val="000000" w:themeColor="text1"/>
          <w:highlight w:val="none"/>
          <w14:textFill>
            <w14:solidFill>
              <w14:schemeClr w14:val="tx1"/>
            </w14:solidFill>
          </w14:textFill>
        </w:rPr>
        <w:t xml:space="preserve">的条款或其他可能对本项目产生实质性影响的条款</w:t>
      </w:r>
      <w:r>
        <w:rPr>
          <w:rFonts w:hint="eastAsia"/>
          <w:color w:val="000000" w:themeColor="text1"/>
          <w:highlight w:val="none"/>
          <w14:textFill>
            <w14:solidFill>
              <w14:schemeClr w14:val="tx1"/>
            </w14:solidFill>
          </w14:textFill>
        </w:rPr>
        <w:t xml:space="preserve">）</w:t>
      </w:r>
      <w:r/>
    </w:p>
    <w:p>
      <w:pPr>
        <w:pStyle w:val="739"/>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39"/>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6.1.9投标文件含有采购人不能接受的附加条件的。</w:t>
      </w:r>
      <w:r/>
    </w:p>
    <w:p>
      <w:pPr>
        <w:pStyle w:val="739"/>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6.1.10评标委员会认为投标人的报价明显低于其他通过符合性审查的投标人的报价，有可能影响产品质量或者不能诚信履约的，通过苏采云系统要求其在合理的时间内提供说明</w:t>
      </w:r>
      <w:r>
        <w:rPr>
          <w:rFonts w:hint="eastAsia"/>
          <w:color w:val="000000" w:themeColor="text1"/>
          <w:highlight w:val="none"/>
          <w14:textFill>
            <w14:solidFill>
              <w14:schemeClr w14:val="tx1"/>
            </w14:solidFill>
          </w14:textFill>
        </w:rPr>
        <w:t xml:space="preserve">并</w:t>
      </w:r>
      <w:r>
        <w:rPr>
          <w:color w:val="000000" w:themeColor="text1"/>
          <w:highlight w:val="none"/>
          <w14:textFill>
            <w14:solidFill>
              <w14:schemeClr w14:val="tx1"/>
            </w14:solidFill>
          </w14:textFill>
        </w:rPr>
        <w:t xml:space="preserve">提交相关证明材料；投标人</w:t>
      </w:r>
      <w:r>
        <w:rPr>
          <w:rFonts w:hint="eastAsia"/>
          <w:color w:val="000000" w:themeColor="text1"/>
          <w:highlight w:val="none"/>
          <w14:textFill>
            <w14:solidFill>
              <w14:schemeClr w14:val="tx1"/>
            </w14:solidFill>
          </w14:textFill>
        </w:rPr>
        <w:t xml:space="preserve">未响应或</w:t>
      </w:r>
      <w:r>
        <w:rPr>
          <w:color w:val="000000" w:themeColor="text1"/>
          <w:highlight w:val="none"/>
          <w14:textFill>
            <w14:solidFill>
              <w14:schemeClr w14:val="tx1"/>
            </w14:solidFill>
          </w14:textFill>
        </w:rPr>
        <w:t xml:space="preserve">不能证明其报价合理性的，评标委员会应当将其作为无效投标处理。</w:t>
      </w:r>
      <w:r/>
    </w:p>
    <w:p>
      <w:pPr>
        <w:pStyle w:val="739"/>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6.1.1</w:t>
      </w:r>
      <w:r>
        <w:rPr>
          <w:rFonts w:hint="eastAsia"/>
          <w:color w:val="000000" w:themeColor="text1"/>
          <w:highlight w:val="none"/>
          <w:lang w:val="en-US" w:eastAsia="zh-CN"/>
          <w14:textFill>
            <w14:solidFill>
              <w14:schemeClr w14:val="tx1"/>
            </w14:solidFill>
          </w14:textFill>
        </w:rPr>
        <w:t xml:space="preserve">1</w:t>
      </w:r>
      <w:r>
        <w:rPr>
          <w:color w:val="000000" w:themeColor="text1"/>
          <w:highlight w:val="none"/>
          <w14:textFill>
            <w14:solidFill>
              <w14:schemeClr w14:val="tx1"/>
            </w14:solidFill>
          </w14:textFill>
        </w:rPr>
        <w:t xml:space="preserve">投标文件未按照招标文件要求加盖电子签章</w:t>
      </w:r>
      <w:r>
        <w:rPr>
          <w:rFonts w:hint="eastAsia"/>
          <w:color w:val="000000" w:themeColor="text1"/>
          <w:highlight w:val="none"/>
          <w14:textFill>
            <w14:solidFill>
              <w14:schemeClr w14:val="tx1"/>
            </w14:solidFill>
          </w14:textFill>
        </w:rPr>
        <w:t xml:space="preserve">、签字的</w:t>
      </w:r>
      <w:r>
        <w:rPr>
          <w:color w:val="000000" w:themeColor="text1"/>
          <w:highlight w:val="none"/>
          <w14:textFill>
            <w14:solidFill>
              <w14:schemeClr w14:val="tx1"/>
            </w14:solidFill>
          </w14:textFill>
        </w:rPr>
        <w:t xml:space="preserve">。</w:t>
      </w:r>
      <w:r/>
    </w:p>
    <w:p>
      <w:pPr>
        <w:pStyle w:val="739"/>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6.1.1</w:t>
      </w:r>
      <w:r>
        <w:rPr>
          <w:rFonts w:hint="eastAsia"/>
          <w:color w:val="000000" w:themeColor="text1"/>
          <w:highlight w:val="none"/>
          <w:lang w:val="en-US" w:eastAsia="zh-CN"/>
          <w14:textFill>
            <w14:solidFill>
              <w14:schemeClr w14:val="tx1"/>
            </w14:solidFill>
          </w14:textFill>
        </w:rPr>
        <w:t xml:space="preserve">2</w:t>
      </w:r>
      <w:r>
        <w:rPr>
          <w:color w:val="000000" w:themeColor="text1"/>
          <w:highlight w:val="none"/>
          <w14:textFill>
            <w14:solidFill>
              <w14:schemeClr w14:val="tx1"/>
            </w14:solidFill>
          </w14:textFill>
        </w:rPr>
        <w:t xml:space="preserve">不同的投标人投标文件制作机器码、文件创建标识码一致的。</w:t>
      </w:r>
      <w:r/>
    </w:p>
    <w:p>
      <w:pPr>
        <w:pStyle w:val="739"/>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6.1.1</w:t>
      </w:r>
      <w:r>
        <w:rPr>
          <w:rFonts w:hint="eastAsia"/>
          <w:color w:val="000000" w:themeColor="text1"/>
          <w:highlight w:val="none"/>
          <w:lang w:val="en-US" w:eastAsia="zh-CN"/>
          <w14:textFill>
            <w14:solidFill>
              <w14:schemeClr w14:val="tx1"/>
            </w14:solidFill>
          </w14:textFill>
        </w:rPr>
        <w:t xml:space="preserve">3</w:t>
      </w:r>
      <w:r>
        <w:rPr>
          <w:color w:val="000000" w:themeColor="text1"/>
          <w:highlight w:val="none"/>
          <w14:textFill>
            <w14:solidFill>
              <w14:schemeClr w14:val="tx1"/>
            </w14:solidFill>
          </w14:textFill>
        </w:rPr>
        <w:t xml:space="preserve">投标人的商务、技术部分得分相差异常悬殊，评标委员会一致认为得分畸低者有可能影响产品质量或者不能诚信履约的。</w:t>
      </w:r>
      <w:r/>
    </w:p>
    <w:p>
      <w:pPr>
        <w:pStyle w:val="739"/>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6.1.1</w:t>
      </w:r>
      <w:r>
        <w:rPr>
          <w:rFonts w:hint="eastAsia"/>
          <w:color w:val="000000" w:themeColor="text1"/>
          <w:highlight w:val="none"/>
          <w:lang w:val="en-US" w:eastAsia="zh-CN"/>
          <w14:textFill>
            <w14:solidFill>
              <w14:schemeClr w14:val="tx1"/>
            </w14:solidFill>
          </w14:textFill>
        </w:rPr>
        <w:t xml:space="preserve">4</w:t>
      </w:r>
      <w:r>
        <w:rPr>
          <w:color w:val="000000" w:themeColor="text1"/>
          <w:highlight w:val="none"/>
          <w14:textFill>
            <w14:solidFill>
              <w14:schemeClr w14:val="tx1"/>
            </w14:solidFill>
          </w14:textFill>
        </w:rPr>
        <w:t xml:space="preserve">其他法律法规及本招标文件规定的无效投标的情形。</w:t>
      </w:r>
      <w:r/>
    </w:p>
    <w:p>
      <w:pPr>
        <w:pStyle w:val="739"/>
        <w:numPr>
          <w:ilvl w:val="0"/>
          <w:numId w:val="35"/>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废标条款：</w:t>
      </w:r>
      <w:r/>
    </w:p>
    <w:p>
      <w:pPr>
        <w:pStyle w:val="739"/>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6.2.1符合专业条件的供应商或者对招标文件作出实质响应的供应商不足三家的。</w:t>
      </w:r>
      <w:r/>
    </w:p>
    <w:p>
      <w:pPr>
        <w:pStyle w:val="739"/>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6.2.2出现影响采购公正的违法、违规行为的。</w:t>
      </w:r>
      <w:r/>
    </w:p>
    <w:p>
      <w:pPr>
        <w:pStyle w:val="739"/>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6.2.3因重大变故，采购任务取消的。</w:t>
      </w:r>
      <w:r/>
    </w:p>
    <w:p>
      <w:pPr>
        <w:pStyle w:val="739"/>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6.2.4评标委员会认定招标文件存在歧义、重大缺陷导致评审工作无法进行。</w:t>
      </w:r>
      <w:r/>
    </w:p>
    <w:p>
      <w:pPr>
        <w:pStyle w:val="739"/>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6.2.5因系统故障原因造成开标不成功的。</w:t>
      </w:r>
      <w:r/>
    </w:p>
    <w:p>
      <w:pPr>
        <w:pStyle w:val="739"/>
        <w:numPr>
          <w:ilvl w:val="0"/>
          <w:numId w:val="35"/>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投标截止时间结束后参加投标的供应商不足三家的处理：如出现投标截止时间结束后参加投标的供应商或者在评标期间对招标文件做出实质响应的供应商不足三家情况，按政府采购相关规定执行。</w:t>
      </w:r>
      <w:r/>
    </w:p>
    <w:p>
      <w:pPr>
        <w:pStyle w:val="718"/>
        <w:numPr>
          <w:ilvl w:val="0"/>
          <w:numId w:val="28"/>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投标文件线上格式要求</w:t>
      </w:r>
      <w:r/>
    </w:p>
    <w:p>
      <w:pPr>
        <w:pStyle w:val="739"/>
        <w:numPr>
          <w:ilvl w:val="0"/>
          <w:numId w:val="36"/>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投标人应当通过“苏采云”系统提交数据电文形式的投标文件（即电子投标）。</w:t>
      </w:r>
      <w:r/>
    </w:p>
    <w:p>
      <w:pPr>
        <w:pStyle w:val="739"/>
        <w:numPr>
          <w:ilvl w:val="0"/>
          <w:numId w:val="36"/>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通过“苏采云”系统提交政府采购客户端工具导出加密的投标文件。</w:t>
      </w:r>
      <w:r/>
    </w:p>
    <w:p>
      <w:pPr>
        <w:pStyle w:val="739"/>
        <w:numPr>
          <w:ilvl w:val="0"/>
          <w:numId w:val="36"/>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本项目采用线上投标，即投标人的投标文件从政府采购客户端工具制作通过“苏采云”系统提交，未提供线上投标文件的，投标无效。</w:t>
      </w:r>
      <w:bookmarkEnd w:id="103"/>
      <w:r/>
      <w:bookmarkEnd w:id="104"/>
      <w:r/>
      <w:bookmarkEnd w:id="105"/>
      <w:r/>
      <w:r/>
    </w:p>
    <w:p>
      <w:pPr>
        <w:pStyle w:val="717"/>
        <w:numPr>
          <w:ilvl w:val="0"/>
          <w:numId w:val="12"/>
        </w:numPr>
        <w:ind w:firstLine="482"/>
        <w:tabs>
          <w:tab w:val="left" w:pos="963" w:leader="none"/>
        </w:tabs>
        <w:rPr>
          <w:rFonts w:hint="eastAsia"/>
          <w:color w:val="000000" w:themeColor="text1"/>
          <w:highlight w:val="none"/>
          <w14:textFill>
            <w14:solidFill>
              <w14:schemeClr w14:val="tx1"/>
            </w14:solidFill>
          </w14:textFill>
        </w:rPr>
      </w:pPr>
      <w:r/>
      <w:bookmarkStart w:id="106" w:name="_Toc120614219"/>
      <w:r>
        <w:rPr>
          <w:color w:val="000000" w:themeColor="text1"/>
          <w:highlight w:val="none"/>
          <w14:textFill>
            <w14:solidFill>
              <w14:schemeClr w14:val="tx1"/>
            </w14:solidFill>
          </w14:textFill>
        </w:rPr>
        <w:t xml:space="preserve">定标</w:t>
      </w:r>
      <w:bookmarkEnd w:id="106"/>
      <w:r/>
      <w:r/>
    </w:p>
    <w:p>
      <w:pPr>
        <w:pStyle w:val="718"/>
        <w:numPr>
          <w:ilvl w:val="0"/>
          <w:numId w:val="28"/>
        </w:numPr>
        <w:ind w:firstLine="482"/>
        <w:tabs>
          <w:tab w:val="clear" w:pos="210" w:leader="none"/>
          <w:tab w:val="left" w:pos="781" w:leader="none"/>
        </w:tabs>
        <w:rPr>
          <w:color w:val="000000" w:themeColor="text1"/>
          <w:highlight w:val="none"/>
          <w14:textFill>
            <w14:solidFill>
              <w14:schemeClr w14:val="tx1"/>
            </w14:solidFill>
          </w14:textFill>
        </w:rPr>
      </w:pPr>
      <w:r/>
      <w:bookmarkStart w:id="107" w:name="_Toc20823310"/>
      <w:r/>
      <w:bookmarkStart w:id="108" w:name="_Toc16938554"/>
      <w:r>
        <w:rPr>
          <w:color w:val="000000" w:themeColor="text1"/>
          <w:highlight w:val="none"/>
          <w14:textFill>
            <w14:solidFill>
              <w14:schemeClr w14:val="tx1"/>
            </w14:solidFill>
          </w14:textFill>
        </w:rPr>
        <w:t xml:space="preserve">确定</w:t>
      </w:r>
      <w:bookmarkEnd w:id="107"/>
      <w:r/>
      <w:bookmarkEnd w:id="108"/>
      <w:r>
        <w:rPr>
          <w:color w:val="000000" w:themeColor="text1"/>
          <w:highlight w:val="none"/>
          <w14:textFill>
            <w14:solidFill>
              <w14:schemeClr w14:val="tx1"/>
            </w14:solidFill>
          </w14:textFill>
        </w:rPr>
        <w:t xml:space="preserve">中标单位</w:t>
      </w:r>
      <w:r/>
    </w:p>
    <w:p>
      <w:pPr>
        <w:pStyle w:val="739"/>
        <w:numPr>
          <w:ilvl w:val="0"/>
          <w:numId w:val="37"/>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中标候选人的选取原则和数量见招标文件第四部分规定。</w:t>
      </w:r>
      <w:r/>
    </w:p>
    <w:p>
      <w:pPr>
        <w:pStyle w:val="739"/>
        <w:numPr>
          <w:ilvl w:val="0"/>
          <w:numId w:val="37"/>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采购人应根据评标委员会推荐的中标候选人确定中标供应商。</w:t>
      </w:r>
      <w:r/>
    </w:p>
    <w:p>
      <w:pPr>
        <w:pStyle w:val="739"/>
        <w:numPr>
          <w:ilvl w:val="0"/>
          <w:numId w:val="37"/>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采购人或采购代理机构将在“江苏政府采购网”发布中标公告，公告期限为1个工作日。</w:t>
      </w:r>
      <w:r/>
    </w:p>
    <w:p>
      <w:pPr>
        <w:pStyle w:val="739"/>
        <w:numPr>
          <w:ilvl w:val="0"/>
          <w:numId w:val="37"/>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若有充分证据证明，中标人出现下列情况之一的，一经查实，将被取消中标资格：</w:t>
      </w:r>
      <w:r/>
    </w:p>
    <w:p>
      <w:pPr>
        <w:pStyle w:val="73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w:t>
      </w:r>
      <w:r>
        <w:rPr>
          <w:color w:val="000000" w:themeColor="text1"/>
          <w:highlight w:val="none"/>
          <w14:textFill>
            <w14:solidFill>
              <w14:schemeClr w14:val="tx1"/>
            </w14:solidFill>
          </w14:textFill>
        </w:rPr>
        <w:t xml:space="preserve">.4.1提供虚假材料谋取中标的。</w:t>
      </w:r>
      <w:r/>
    </w:p>
    <w:p>
      <w:pPr>
        <w:pStyle w:val="73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w:t>
      </w:r>
      <w:r>
        <w:rPr>
          <w:color w:val="000000" w:themeColor="text1"/>
          <w:highlight w:val="none"/>
          <w14:textFill>
            <w14:solidFill>
              <w14:schemeClr w14:val="tx1"/>
            </w14:solidFill>
          </w14:textFill>
        </w:rPr>
        <w:t xml:space="preserve">.4.2向采购人或采购代理机构行贿或者评审专家提供其他不正当利益的。</w:t>
      </w:r>
      <w:r/>
    </w:p>
    <w:p>
      <w:pPr>
        <w:pStyle w:val="73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w:t>
      </w:r>
      <w:r>
        <w:rPr>
          <w:color w:val="000000" w:themeColor="text1"/>
          <w:highlight w:val="none"/>
          <w14:textFill>
            <w14:solidFill>
              <w14:schemeClr w14:val="tx1"/>
            </w14:solidFill>
          </w14:textFill>
        </w:rPr>
        <w:t xml:space="preserve">.4.3恶意竞争，投标总报价明显低于其自身合理成本且又无法提供证明的。</w:t>
      </w:r>
      <w:r/>
    </w:p>
    <w:p>
      <w:pPr>
        <w:pStyle w:val="73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w:t>
      </w:r>
      <w:r>
        <w:rPr>
          <w:color w:val="000000" w:themeColor="text1"/>
          <w:highlight w:val="none"/>
          <w14:textFill>
            <w14:solidFill>
              <w14:schemeClr w14:val="tx1"/>
            </w14:solidFill>
          </w14:textFill>
        </w:rPr>
        <w:t xml:space="preserve">.4.4属于本文件规定的无效条件，但在评标过程中又未被评委会发现的。</w:t>
      </w:r>
      <w:r/>
    </w:p>
    <w:p>
      <w:pPr>
        <w:pStyle w:val="73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w:t>
      </w:r>
      <w:r>
        <w:rPr>
          <w:color w:val="000000" w:themeColor="text1"/>
          <w:highlight w:val="none"/>
          <w14:textFill>
            <w14:solidFill>
              <w14:schemeClr w14:val="tx1"/>
            </w14:solidFill>
          </w14:textFill>
        </w:rPr>
        <w:t xml:space="preserve">.4.5与采购人或者其他供应商恶意串通的。</w:t>
      </w:r>
      <w:r/>
    </w:p>
    <w:p>
      <w:pPr>
        <w:pStyle w:val="73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w:t>
      </w:r>
      <w:r>
        <w:rPr>
          <w:color w:val="000000" w:themeColor="text1"/>
          <w:highlight w:val="none"/>
          <w14:textFill>
            <w14:solidFill>
              <w14:schemeClr w14:val="tx1"/>
            </w14:solidFill>
          </w14:textFill>
        </w:rPr>
        <w:t xml:space="preserve">.4.6采取不正当手段诋毁、排挤其他供应商的。</w:t>
      </w:r>
      <w:r/>
    </w:p>
    <w:p>
      <w:pPr>
        <w:pStyle w:val="739"/>
        <w:numPr>
          <w:ilvl w:val="0"/>
          <w:numId w:val="37"/>
        </w:numPr>
        <w:ind w:left="0" w:firstLine="480"/>
        <w:tabs>
          <w:tab w:val="left" w:pos="900" w:leader="none"/>
        </w:tabs>
        <w:rPr>
          <w:color w:val="000000" w:themeColor="text1"/>
          <w:highlight w:val="none"/>
          <w14:textFill>
            <w14:solidFill>
              <w14:schemeClr w14:val="tx1"/>
            </w14:solidFill>
          </w14:textFill>
        </w:rPr>
      </w:pPr>
      <w:r/>
      <w:bookmarkStart w:id="109" w:name="_Toc200451960"/>
      <w:r>
        <w:rPr>
          <w:color w:val="000000" w:themeColor="text1"/>
          <w:highlight w:val="none"/>
          <w14:textFill>
            <w14:solidFill>
              <w14:schemeClr w14:val="tx1"/>
            </w14:solidFill>
          </w14:textFill>
        </w:rPr>
        <w:t xml:space="preserve">有下列情形之一的，视为投标人串通投标，投标无效：</w:t>
      </w:r>
      <w:r/>
    </w:p>
    <w:p>
      <w:pPr>
        <w:pStyle w:val="73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w:t>
      </w:r>
      <w:r>
        <w:rPr>
          <w:color w:val="000000" w:themeColor="text1"/>
          <w:highlight w:val="none"/>
          <w14:textFill>
            <w14:solidFill>
              <w14:schemeClr w14:val="tx1"/>
            </w14:solidFill>
          </w14:textFill>
        </w:rPr>
        <w:t xml:space="preserve">.5.1不同投标人的投标文件由同一单位或者个人编制；</w:t>
      </w:r>
      <w:r/>
    </w:p>
    <w:p>
      <w:pPr>
        <w:pStyle w:val="73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w:t>
      </w:r>
      <w:r>
        <w:rPr>
          <w:color w:val="000000" w:themeColor="text1"/>
          <w:highlight w:val="none"/>
          <w14:textFill>
            <w14:solidFill>
              <w14:schemeClr w14:val="tx1"/>
            </w14:solidFill>
          </w14:textFill>
        </w:rPr>
        <w:t xml:space="preserve">.5.2不同投标人委托同一单位或者个人办理投标事宜；</w:t>
      </w:r>
      <w:r/>
    </w:p>
    <w:p>
      <w:pPr>
        <w:pStyle w:val="73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w:t>
      </w:r>
      <w:r>
        <w:rPr>
          <w:color w:val="000000" w:themeColor="text1"/>
          <w:highlight w:val="none"/>
          <w14:textFill>
            <w14:solidFill>
              <w14:schemeClr w14:val="tx1"/>
            </w14:solidFill>
          </w14:textFill>
        </w:rPr>
        <w:t xml:space="preserve">.5.3不同投标人的投标文件载明的项目管理成员或者联系人员为同一人；</w:t>
      </w:r>
      <w:r/>
    </w:p>
    <w:p>
      <w:pPr>
        <w:pStyle w:val="73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w:t>
      </w:r>
      <w:r>
        <w:rPr>
          <w:color w:val="000000" w:themeColor="text1"/>
          <w:highlight w:val="none"/>
          <w14:textFill>
            <w14:solidFill>
              <w14:schemeClr w14:val="tx1"/>
            </w14:solidFill>
          </w14:textFill>
        </w:rPr>
        <w:t xml:space="preserve">.5.4不同投标人的投标文件异常一致或者投标报价呈规律性差异；</w:t>
      </w:r>
      <w:r/>
    </w:p>
    <w:p>
      <w:pPr>
        <w:pStyle w:val="73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w:t>
      </w:r>
      <w:r>
        <w:rPr>
          <w:color w:val="000000" w:themeColor="text1"/>
          <w:highlight w:val="none"/>
          <w14:textFill>
            <w14:solidFill>
              <w14:schemeClr w14:val="tx1"/>
            </w14:solidFill>
          </w14:textFill>
        </w:rPr>
        <w:t xml:space="preserve">.5.5不同投标人的投标文件相互混装；</w:t>
      </w:r>
      <w:r/>
    </w:p>
    <w:p>
      <w:pPr>
        <w:pStyle w:val="718"/>
        <w:numPr>
          <w:ilvl w:val="0"/>
          <w:numId w:val="28"/>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w:t>
      </w:r>
      <w:bookmarkEnd w:id="109"/>
      <w:r>
        <w:rPr>
          <w:color w:val="000000" w:themeColor="text1"/>
          <w:highlight w:val="none"/>
          <w14:textFill>
            <w14:solidFill>
              <w14:schemeClr w14:val="tx1"/>
            </w14:solidFill>
          </w14:textFill>
        </w:rPr>
        <w:t xml:space="preserve">与投诉</w:t>
      </w:r>
      <w:r/>
    </w:p>
    <w:p>
      <w:pPr>
        <w:pStyle w:val="739"/>
        <w:numPr>
          <w:ilvl w:val="0"/>
          <w:numId w:val="38"/>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提出质疑的供应商应当是参与所质疑项目采购活动的供应商。潜在供应商依法获取其可质疑的采购文件的，可以对采购文件提出质疑。</w:t>
      </w:r>
      <w:r/>
    </w:p>
    <w:p>
      <w:pPr>
        <w:pStyle w:val="739"/>
        <w:numPr>
          <w:ilvl w:val="0"/>
          <w:numId w:val="38"/>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认为采购文件、采购过程和采购结果使自己的权益受到损害的，可以在知道或应知其权益受到损害之日起七个工作日内，以书面形式向采购人或采购代理机构提出质疑。上述应知其权益受到损害之日，是指：</w:t>
      </w:r>
      <w:r/>
    </w:p>
    <w:p>
      <w:pPr>
        <w:pStyle w:val="73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w:t>
      </w:r>
      <w:r>
        <w:rPr>
          <w:color w:val="000000" w:themeColor="text1"/>
          <w:highlight w:val="none"/>
          <w14:textFill>
            <w14:solidFill>
              <w14:schemeClr w14:val="tx1"/>
            </w14:solidFill>
          </w14:textFill>
        </w:rPr>
        <w:t xml:space="preserve">.2.1对可以质疑的采购文件提出质疑的，为收到采购文件之日或者采购文件公告期限届满之日；</w:t>
      </w:r>
      <w:r/>
    </w:p>
    <w:p>
      <w:pPr>
        <w:pStyle w:val="73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w:t>
      </w:r>
      <w:r>
        <w:rPr>
          <w:color w:val="000000" w:themeColor="text1"/>
          <w:highlight w:val="none"/>
          <w14:textFill>
            <w14:solidFill>
              <w14:schemeClr w14:val="tx1"/>
            </w14:solidFill>
          </w14:textFill>
        </w:rPr>
        <w:t xml:space="preserve">.2.2对采购过程提出质疑的，为各采购程序环节结束之日；</w:t>
      </w:r>
      <w:r/>
    </w:p>
    <w:p>
      <w:pPr>
        <w:pStyle w:val="73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w:t>
      </w:r>
      <w:r>
        <w:rPr>
          <w:color w:val="000000" w:themeColor="text1"/>
          <w:highlight w:val="none"/>
          <w14:textFill>
            <w14:solidFill>
              <w14:schemeClr w14:val="tx1"/>
            </w14:solidFill>
          </w14:textFill>
        </w:rPr>
        <w:t xml:space="preserve">.2.3对中标或者成交结果提出质疑的，为中标或者成交结果公告期限届满之日。</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供应商应当在法定质疑期内一次性提出针对同一采购程序环节的质疑。</w:t>
      </w:r>
      <w:r/>
    </w:p>
    <w:p>
      <w:pPr>
        <w:pStyle w:val="739"/>
        <w:numPr>
          <w:ilvl w:val="0"/>
          <w:numId w:val="38"/>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pStyle w:val="739"/>
        <w:numPr>
          <w:ilvl w:val="0"/>
          <w:numId w:val="38"/>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质疑答复依据《政府采购质疑和投诉办法》（财政部令第94号）。</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采购人质疑接收人及联系方式，见招标文件第一部分。</w:t>
      </w:r>
      <w:r/>
    </w:p>
    <w:p>
      <w:pPr>
        <w:pStyle w:val="739"/>
        <w:numPr>
          <w:ilvl w:val="0"/>
          <w:numId w:val="38"/>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以下情形的质疑不予受理</w:t>
      </w:r>
      <w:r/>
    </w:p>
    <w:p>
      <w:pPr>
        <w:pStyle w:val="73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w:t>
      </w:r>
      <w:r>
        <w:rPr>
          <w:color w:val="000000" w:themeColor="text1"/>
          <w:highlight w:val="none"/>
          <w14:textFill>
            <w14:solidFill>
              <w14:schemeClr w14:val="tx1"/>
            </w14:solidFill>
          </w14:textFill>
        </w:rPr>
        <w:t xml:space="preserve">.5.1内容不符合《政府采购质疑和投诉办法》第十二条规定的质疑。</w:t>
      </w:r>
      <w:r/>
    </w:p>
    <w:p>
      <w:pPr>
        <w:pStyle w:val="73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w:t>
      </w:r>
      <w:r>
        <w:rPr>
          <w:color w:val="000000" w:themeColor="text1"/>
          <w:highlight w:val="none"/>
          <w14:textFill>
            <w14:solidFill>
              <w14:schemeClr w14:val="tx1"/>
            </w14:solidFill>
          </w14:textFill>
        </w:rPr>
        <w:t xml:space="preserve">.5.2超出政府采购法定期限的质疑。</w:t>
      </w:r>
      <w:r/>
    </w:p>
    <w:p>
      <w:pPr>
        <w:pStyle w:val="73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w:t>
      </w:r>
      <w:r>
        <w:rPr>
          <w:color w:val="000000" w:themeColor="text1"/>
          <w:highlight w:val="none"/>
          <w14:textFill>
            <w14:solidFill>
              <w14:schemeClr w14:val="tx1"/>
            </w14:solidFill>
          </w14:textFill>
        </w:rPr>
        <w:t xml:space="preserve">.5.3未参加投标活动的供应商或在投标活动中自身权益未受到损害的供应商所提出的质疑。</w:t>
      </w:r>
      <w:r/>
    </w:p>
    <w:p>
      <w:pPr>
        <w:pStyle w:val="739"/>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w:t>
      </w:r>
      <w:r>
        <w:rPr>
          <w:color w:val="000000" w:themeColor="text1"/>
          <w:highlight w:val="none"/>
          <w14:textFill>
            <w14:solidFill>
              <w14:schemeClr w14:val="tx1"/>
            </w14:solidFill>
          </w14:textFill>
        </w:rPr>
        <w:t xml:space="preserve">.5.4供应商组成联合体参加投标，联合体中任何一方或多方未按要求签字、盖章、加盖公章的质疑。</w:t>
      </w:r>
      <w:r/>
    </w:p>
    <w:p>
      <w:pPr>
        <w:pStyle w:val="739"/>
        <w:numPr>
          <w:ilvl w:val="0"/>
          <w:numId w:val="38"/>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739"/>
        <w:numPr>
          <w:ilvl w:val="0"/>
          <w:numId w:val="38"/>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供应商对采购人、采购代理机构的答复不满意或者采购人、采购代理机构未在规定的时间内作出答复的，可以在答复期满后十五个工作日内向同级财政政府采购监管部门投诉。投诉事项不得超出已质疑事项的范围。</w:t>
      </w:r>
      <w:r/>
    </w:p>
    <w:p>
      <w:pPr>
        <w:pStyle w:val="718"/>
        <w:numPr>
          <w:ilvl w:val="0"/>
          <w:numId w:val="28"/>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中标通知书</w:t>
      </w:r>
      <w:r/>
    </w:p>
    <w:p>
      <w:pPr>
        <w:pStyle w:val="739"/>
        <w:numPr>
          <w:ilvl w:val="0"/>
          <w:numId w:val="39"/>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中标结果确定后，采购人或采购代理机构将向中标供应商发出中标通知书。</w:t>
      </w:r>
      <w:r/>
    </w:p>
    <w:p>
      <w:pPr>
        <w:pStyle w:val="739"/>
        <w:numPr>
          <w:ilvl w:val="0"/>
          <w:numId w:val="39"/>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17"/>
        <w:numPr>
          <w:ilvl w:val="0"/>
          <w:numId w:val="12"/>
        </w:numPr>
        <w:ind w:firstLine="482"/>
        <w:tabs>
          <w:tab w:val="left" w:pos="963" w:leader="none"/>
        </w:tabs>
        <w:rPr>
          <w:rFonts w:hint="eastAsia"/>
          <w:color w:val="000000" w:themeColor="text1"/>
          <w:highlight w:val="none"/>
          <w14:textFill>
            <w14:solidFill>
              <w14:schemeClr w14:val="tx1"/>
            </w14:solidFill>
          </w14:textFill>
        </w:rPr>
      </w:pPr>
      <w:r/>
      <w:bookmarkStart w:id="110" w:name="_Toc20823308"/>
      <w:r/>
      <w:bookmarkStart w:id="111" w:name="_Toc16938552"/>
      <w:r/>
      <w:bookmarkStart w:id="112" w:name="_Toc513029236"/>
      <w:r/>
      <w:bookmarkStart w:id="113" w:name="_Toc120614220"/>
      <w:r>
        <w:rPr>
          <w:color w:val="000000" w:themeColor="text1"/>
          <w:highlight w:val="none"/>
          <w14:textFill>
            <w14:solidFill>
              <w14:schemeClr w14:val="tx1"/>
            </w14:solidFill>
          </w14:textFill>
        </w:rPr>
        <w:t xml:space="preserve">授予合同</w:t>
      </w:r>
      <w:bookmarkEnd w:id="110"/>
      <w:r/>
      <w:bookmarkEnd w:id="111"/>
      <w:r/>
      <w:bookmarkEnd w:id="112"/>
      <w:r/>
      <w:bookmarkEnd w:id="113"/>
      <w:r/>
      <w:r/>
    </w:p>
    <w:p>
      <w:pPr>
        <w:pStyle w:val="718"/>
        <w:numPr>
          <w:ilvl w:val="0"/>
          <w:numId w:val="28"/>
        </w:numPr>
        <w:ind w:firstLine="482"/>
        <w:tabs>
          <w:tab w:val="clear" w:pos="210" w:leader="none"/>
          <w:tab w:val="left" w:pos="781" w:leader="none"/>
        </w:tabs>
        <w:rPr>
          <w:color w:val="000000" w:themeColor="text1"/>
          <w:highlight w:val="none"/>
          <w14:textFill>
            <w14:solidFill>
              <w14:schemeClr w14:val="tx1"/>
            </w14:solidFill>
          </w14:textFill>
        </w:rPr>
      </w:pPr>
      <w:r/>
      <w:bookmarkStart w:id="114" w:name="_Toc513029237"/>
      <w:r/>
      <w:bookmarkStart w:id="115" w:name="_Toc20823309"/>
      <w:r/>
      <w:bookmarkStart w:id="116" w:name="_Toc16938553"/>
      <w:r>
        <w:rPr>
          <w:color w:val="000000" w:themeColor="text1"/>
          <w:highlight w:val="none"/>
          <w14:textFill>
            <w14:solidFill>
              <w14:schemeClr w14:val="tx1"/>
            </w14:solidFill>
          </w14:textFill>
        </w:rPr>
        <w:t xml:space="preserve">签订合同</w:t>
      </w:r>
      <w:r/>
    </w:p>
    <w:p>
      <w:pPr>
        <w:pStyle w:val="739"/>
        <w:numPr>
          <w:ilvl w:val="0"/>
          <w:numId w:val="40"/>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中标人应当在中标通知书发出之日起三十日内，按照招标文件确定的事项与采购人签订政府采购合同。</w:t>
      </w:r>
      <w:r/>
    </w:p>
    <w:p>
      <w:pPr>
        <w:pStyle w:val="739"/>
        <w:numPr>
          <w:ilvl w:val="0"/>
          <w:numId w:val="40"/>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招标文件、中标人的投标文件及招标过程中有关澄清、承诺文件均应作为合同附件。</w:t>
      </w:r>
      <w:r/>
    </w:p>
    <w:p>
      <w:pPr>
        <w:pStyle w:val="739"/>
        <w:numPr>
          <w:ilvl w:val="0"/>
          <w:numId w:val="40"/>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签订合同后，中标人不得将货物及其他相关服务进行转包。未经采购人同意，中标人也不得采用分包的形式履行合同，否则采购人有权终止合同。政府采购合同分包履行的，中标、成交供应商就采购项目和分包项目向采购人负责，分包供应商就分包项目承担责任。转包或分包造成采购人损失的，中标人应承担相应赔偿责任。</w:t>
      </w:r>
      <w:r/>
    </w:p>
    <w:p>
      <w:pPr>
        <w:pStyle w:val="718"/>
        <w:numPr>
          <w:ilvl w:val="0"/>
          <w:numId w:val="28"/>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货物和服务的追加、减少和添购</w:t>
      </w:r>
      <w:r/>
    </w:p>
    <w:p>
      <w:pPr>
        <w:pStyle w:val="739"/>
        <w:numPr>
          <w:ilvl w:val="0"/>
          <w:numId w:val="41"/>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政府采购合同履行中，采购人需追加与合同标的相同的货物和服务的，在不改变合同其他条款的前提下，可以与中标人协商签订补充合同，但所有补充合同的采购金额不超过原合同金额的10%。</w:t>
      </w:r>
      <w:r/>
    </w:p>
    <w:p>
      <w:pPr>
        <w:pStyle w:val="739"/>
        <w:numPr>
          <w:ilvl w:val="0"/>
          <w:numId w:val="41"/>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采购结束后，采购人若由于各种客观原因，必须对采购项目所牵涉的货物和服务进行适当的减少时，在双方协商一致的前提下，可以按照招标采购时的价格水平做相应的调减，并据此签订补充合同。</w:t>
      </w:r>
      <w:bookmarkEnd w:id="114"/>
      <w:r/>
      <w:bookmarkEnd w:id="115"/>
      <w:r/>
      <w:bookmarkEnd w:id="116"/>
      <w:r/>
      <w:r/>
    </w:p>
    <w:p>
      <w:pPr>
        <w:pStyle w:val="718"/>
        <w:numPr>
          <w:ilvl w:val="0"/>
          <w:numId w:val="28"/>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政府采购履约保证资金</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p>
    <w:p>
      <w:pPr>
        <w:pStyle w:val="718"/>
        <w:numPr>
          <w:ilvl w:val="0"/>
          <w:numId w:val="28"/>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政府采购履约资金扶持政策</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pStyle w:val="1440"/>
        <w:ind w:firstLine="640"/>
        <w:tabs>
          <w:tab w:val="left" w:pos="64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color w:val="000000" w:themeColor="text1"/>
          <w:highlight w:val="none"/>
          <w14:textFill>
            <w14:solidFill>
              <w14:schemeClr w14:val="tx1"/>
            </w14:solidFill>
          </w14:textFill>
        </w:rPr>
        <w:t xml:space="preserve">第三部分  项目需求</w:t>
      </w:r>
      <w:r/>
    </w:p>
    <w:p>
      <w:pPr>
        <w:pStyle w:val="739"/>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投标人在制作投标文件时仔细研究项目需求说明。项目需求包括技术要求和商务要求：技术要求是指对采购标的功能和质量要求，包括性能、质量、材料、结构、外观、安全，或者服务内容和标准等；商务要求是指取得采购标的的时间、地点、财务和服务要求，包括交付（实施）的时间（期限）、方式、地点（范围），付款条件（进度和方法），包装和运输，售后服务，保险等。</w:t>
      </w:r>
      <w:r/>
    </w:p>
    <w:p>
      <w:pPr>
        <w:pStyle w:val="739"/>
        <w:ind w:firstLine="482"/>
        <w:rPr>
          <w:rFonts w:hint="eastAsia" w:hAnsi="宋体"/>
          <w:color w:val="000000" w:themeColor="text1"/>
          <w:sz w:val="24"/>
          <w:szCs w:val="24"/>
          <w:highlight w:val="none"/>
          <w14:textFill>
            <w14:solidFill>
              <w14:schemeClr w14:val="tx1"/>
            </w14:solidFill>
          </w14:textFill>
        </w:rPr>
      </w:pPr>
      <w:r>
        <w:rPr>
          <w:b/>
          <w:color w:val="000000" w:themeColor="text1"/>
          <w:highlight w:val="none"/>
          <w14:textFill>
            <w14:solidFill>
              <w14:schemeClr w14:val="tx1"/>
            </w14:solidFill>
          </w14:textFill>
        </w:rPr>
        <w:t xml:space="preserve">投标人不能简单照搬照抄招标文件项目需求说明中的技术、商务要求，</w:t>
      </w:r>
      <w:r>
        <w:rPr>
          <w:rFonts w:hint="eastAsia"/>
          <w:b/>
          <w:color w:val="000000" w:themeColor="text1"/>
          <w:highlight w:val="none"/>
          <w14:textFill>
            <w14:solidFill>
              <w14:schemeClr w14:val="tx1"/>
            </w14:solidFill>
          </w14:textFill>
        </w:rPr>
        <w:t xml:space="preserve">必须</w:t>
      </w:r>
      <w:r>
        <w:rPr>
          <w:b/>
          <w:color w:val="000000" w:themeColor="text1"/>
          <w:highlight w:val="none"/>
          <w14:textFill>
            <w14:solidFill>
              <w14:schemeClr w14:val="tx1"/>
            </w14:solidFill>
          </w14:textFill>
        </w:rPr>
        <w:t xml:space="preserve">实事求是地响应。如投标人提供的货物和服务同采购人提出的项目需求说明中的技术、商务要求不同的，必须在《商务部分正负偏离表》和《技术部分正负偏离表》上明示</w:t>
      </w:r>
      <w:bookmarkEnd w:id="2"/>
      <w:r/>
      <w:bookmarkEnd w:id="3"/>
      <w:r/>
      <w:bookmarkEnd w:id="5"/>
      <w:r>
        <w:rPr>
          <w:b/>
          <w:color w:val="000000" w:themeColor="text1"/>
          <w:highlight w:val="none"/>
          <w14:textFill>
            <w14:solidFill>
              <w14:schemeClr w14:val="tx1"/>
            </w14:solidFill>
          </w14:textFill>
        </w:rPr>
        <w:t xml:space="preserve">，</w:t>
      </w:r>
      <w:r>
        <w:rPr>
          <w:b/>
          <w:color w:val="000000" w:themeColor="text1"/>
          <w:highlight w:val="none"/>
          <w:u w:val="single"/>
          <w14:textFill>
            <w14:solidFill>
              <w14:schemeClr w14:val="tx1"/>
            </w14:solidFill>
          </w14:textFill>
        </w:rPr>
        <w:t xml:space="preserve">本章节带有下划线</w:t>
      </w:r>
      <w:r>
        <w:rPr>
          <w:rFonts w:hint="eastAsia"/>
          <w:b/>
          <w:color w:val="000000" w:themeColor="text1"/>
          <w:highlight w:val="none"/>
          <w:u w:val="single"/>
          <w14:textFill>
            <w14:solidFill>
              <w14:schemeClr w14:val="tx1"/>
            </w14:solidFill>
          </w14:textFill>
        </w:rPr>
        <w:t xml:space="preserve">及加“</w:t>
      </w:r>
      <w:r>
        <w:rPr>
          <w:color w:val="000000" w:themeColor="text1"/>
          <w:highlight w:val="none"/>
          <w:u w:val="single"/>
          <w14:textFill>
            <w14:solidFill>
              <w14:schemeClr w14:val="tx1"/>
            </w14:solidFill>
          </w14:textFill>
        </w:rPr>
        <w:t xml:space="preserve">★</w:t>
      </w:r>
      <w:r>
        <w:rPr>
          <w:rFonts w:hint="eastAsia"/>
          <w:b/>
          <w:color w:val="000000" w:themeColor="text1"/>
          <w:highlight w:val="none"/>
          <w:u w:val="single"/>
          <w14:textFill>
            <w14:solidFill>
              <w14:schemeClr w14:val="tx1"/>
            </w14:solidFill>
          </w14:textFill>
        </w:rPr>
        <w:t xml:space="preserve">”</w:t>
      </w:r>
      <w:r>
        <w:rPr>
          <w:b/>
          <w:color w:val="000000" w:themeColor="text1"/>
          <w:highlight w:val="none"/>
          <w:u w:val="single"/>
          <w14:textFill>
            <w14:solidFill>
              <w14:schemeClr w14:val="tx1"/>
            </w14:solidFill>
          </w14:textFill>
        </w:rPr>
        <w:t xml:space="preserve">的内容为实质性要求，有任意一条负偏离的均按无效投标处理</w:t>
      </w:r>
      <w:r>
        <w:rPr>
          <w:b/>
          <w:color w:val="000000" w:themeColor="text1"/>
          <w:highlight w:val="none"/>
          <w14:textFill>
            <w14:solidFill>
              <w14:schemeClr w14:val="tx1"/>
            </w14:solidFill>
          </w14:textFill>
        </w:rPr>
        <w:t xml:space="preserve">。</w:t>
      </w:r>
      <w:r/>
    </w:p>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lang w:val="en-US" w:eastAsia="zh-CN"/>
          <w14:textFill>
            <w14:solidFill>
              <w14:schemeClr w14:val="tx1"/>
            </w14:solidFill>
          </w14:textFill>
        </w:rPr>
        <w:t xml:space="preserve">一、</w:t>
      </w: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 xml:space="preserve">采购</w:t>
      </w:r>
      <w:r>
        <w:rPr>
          <w:rFonts w:hint="eastAsia" w:asciiTheme="minorEastAsia" w:hAnsiTheme="minorEastAsia" w:eastAsiaTheme="minorEastAsia" w:cstheme="minorEastAsia"/>
          <w:b/>
          <w:color w:val="000000" w:themeColor="text1"/>
          <w:sz w:val="28"/>
          <w:szCs w:val="28"/>
          <w:highlight w:val="none"/>
          <w:lang w:val="en-US" w:eastAsia="zh-CN"/>
          <w14:textFill>
            <w14:solidFill>
              <w14:schemeClr w14:val="tx1"/>
            </w14:solidFill>
          </w14:textFill>
        </w:rPr>
        <w:t xml:space="preserve">需求一览表</w:t>
      </w:r>
      <w:r/>
    </w:p>
    <w:tbl>
      <w:tblPr>
        <w:tblStyle w:val="727"/>
        <w:tblW w:w="881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2" w:type="dxa"/>
          <w:top w:w="80" w:type="dxa"/>
          <w:right w:w="102" w:type="dxa"/>
          <w:bottom w:w="80" w:type="dxa"/>
        </w:tblCellMar>
        <w:tblLook w:val="04A0" w:firstRow="1" w:lastRow="0" w:firstColumn="1" w:lastColumn="0" w:noHBand="0" w:noVBand="1"/>
      </w:tblPr>
      <w:tblGrid>
        <w:gridCol w:w="1286"/>
        <w:gridCol w:w="804"/>
        <w:gridCol w:w="1499"/>
        <w:gridCol w:w="1770"/>
        <w:gridCol w:w="1287"/>
        <w:gridCol w:w="1287"/>
        <w:gridCol w:w="879"/>
      </w:tblGrid>
      <w:tr>
        <w:trPr>
          <w:trHeight w:val="0"/>
          <w:tblHeader/>
        </w:trPr>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suppressLineNumbers w:val="0"/>
            </w:pPr>
            <w:r>
              <w:rPr>
                <w:rFonts w:hint="eastAsia" w:asciiTheme="minorEastAsia" w:hAnsiTheme="minorEastAsia" w:eastAsiaTheme="minorEastAsia" w:cstheme="minorEastAsia"/>
                <w:b/>
                <w:bCs/>
                <w:color w:val="000000" w:themeColor="text1"/>
                <w:sz w:val="24"/>
                <w:szCs w:val="24"/>
                <w:highlight w:val="none"/>
                <w:lang w:val="en-US" w:eastAsia="zh-CN" w:bidi="ar"/>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suppressLineNumbers w:val="0"/>
            </w:pPr>
            <w:r>
              <w:rPr>
                <w:rFonts w:hint="eastAsia" w:asciiTheme="minorEastAsia" w:hAnsiTheme="minorEastAsia" w:eastAsiaTheme="minorEastAsia" w:cstheme="minorEastAsia"/>
                <w:b/>
                <w:bCs/>
                <w:color w:val="000000" w:themeColor="text1"/>
                <w:sz w:val="24"/>
                <w:szCs w:val="24"/>
                <w:highlight w:val="none"/>
                <w:lang w:val="en-US" w:eastAsia="zh-CN" w:bidi="ar"/>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suppressLineNumbers w:val="0"/>
            </w:pPr>
            <w:r>
              <w:rPr>
                <w:rFonts w:hint="eastAsia" w:asciiTheme="minorEastAsia" w:hAnsiTheme="minorEastAsia" w:eastAsiaTheme="minorEastAsia" w:cstheme="minorEastAsia"/>
                <w:b/>
                <w:bCs/>
                <w:color w:val="000000" w:themeColor="text1"/>
                <w:sz w:val="24"/>
                <w:szCs w:val="24"/>
                <w:highlight w:val="none"/>
                <w:lang w:val="en-US" w:eastAsia="zh-CN" w:bidi="ar"/>
                <w14:textFill>
                  <w14:solidFill>
                    <w14:schemeClr w14:val="tx1"/>
                  </w14:solidFill>
                </w14:textFill>
              </w:rPr>
              <w:t xml:space="preserve">交货期</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bidi="ar"/>
                <w14:textFill>
                  <w14:solidFill>
                    <w14:schemeClr w14:val="tx1"/>
                  </w14:solidFill>
                </w14:textFill>
              </w:rPr>
              <w:t xml:space="preserve">交货地点</w:t>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suppressLineNumbers w:val="0"/>
            </w:pPr>
            <w:r>
              <w:rPr>
                <w:rFonts w:hint="eastAsia" w:asciiTheme="minorEastAsia" w:hAnsiTheme="minorEastAsia" w:eastAsiaTheme="minorEastAsia" w:cstheme="minorEastAsia"/>
                <w:b/>
                <w:bCs/>
                <w:color w:val="000000" w:themeColor="text1"/>
                <w:sz w:val="24"/>
                <w:szCs w:val="24"/>
                <w:highlight w:val="none"/>
                <w:lang w:val="en-US" w:eastAsia="zh-CN" w:bidi="ar"/>
                <w14:textFill>
                  <w14:solidFill>
                    <w14:schemeClr w14:val="tx1"/>
                  </w14:solidFill>
                </w14:textFill>
              </w:rPr>
              <w:t xml:space="preserve">项目预算</w:t>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suppressLineNumbers w:val="0"/>
            </w:pPr>
            <w:r>
              <w:rPr>
                <w:rFonts w:hint="eastAsia" w:asciiTheme="minorEastAsia" w:hAnsiTheme="minorEastAsia" w:eastAsiaTheme="minorEastAsia" w:cstheme="minorEastAsia"/>
                <w:b/>
                <w:bCs/>
                <w:color w:val="000000" w:themeColor="text1"/>
                <w:sz w:val="24"/>
                <w:szCs w:val="24"/>
                <w:highlight w:val="none"/>
                <w:lang w:val="en-US" w:eastAsia="zh-CN" w:bidi="ar"/>
                <w14:textFill>
                  <w14:solidFill>
                    <w14:schemeClr w14:val="tx1"/>
                  </w14:solidFill>
                </w14:textFill>
              </w:rPr>
              <w:t xml:space="preserve">最高限价</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default" w:asciiTheme="minorEastAsia" w:hAnsiTheme="minorEastAsia" w:eastAsiaTheme="minorEastAsia" w:cstheme="minorEastAsia"/>
                <w:b/>
                <w:bCs/>
                <w:color w:val="000000" w:themeColor="text1"/>
                <w:sz w:val="24"/>
                <w:szCs w:val="24"/>
                <w:highlight w:val="none"/>
                <w14:textFill>
                  <w14:solidFill>
                    <w14:schemeClr w14:val="tx1"/>
                  </w14:solidFill>
                </w14:textFill>
              </w:rPr>
              <w:suppressLineNumbers w:val="0"/>
            </w:pPr>
            <w:r>
              <w:rPr>
                <w:rFonts w:hint="eastAsia" w:asciiTheme="minorEastAsia" w:hAnsiTheme="minorEastAsia" w:eastAsiaTheme="minorEastAsia" w:cstheme="minorEastAsia"/>
                <w:b/>
                <w:bCs/>
                <w:color w:val="000000" w:themeColor="text1"/>
                <w:sz w:val="24"/>
                <w:szCs w:val="24"/>
                <w:highlight w:val="none"/>
                <w:lang w:val="en-US" w:eastAsia="zh-CN" w:bidi="ar"/>
                <w14:textFill>
                  <w14:solidFill>
                    <w14:schemeClr w14:val="tx1"/>
                  </w14:solidFill>
                </w14:textFill>
              </w:rPr>
              <w:t xml:space="preserve">免费保修期</w:t>
            </w:r>
            <w:r/>
          </w:p>
        </w:tc>
      </w:tr>
      <w:tr>
        <w:trPr>
          <w:trHeight w:val="1739"/>
        </w:trPr>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suppressLineNumbers w:val="0"/>
            </w:pPr>
            <w:r>
              <w:rPr>
                <w:rFonts w:hint="eastAsia" w:asciiTheme="minorEastAsia" w:hAnsiTheme="minorEastAsia" w:eastAsiaTheme="minorEastAsia" w:cstheme="minorEastAsia"/>
                <w:b w:val="0"/>
                <w:bCs w:val="0"/>
                <w:color w:val="000000" w:themeColor="text1"/>
                <w:sz w:val="24"/>
                <w:szCs w:val="24"/>
                <w:highlight w:val="none"/>
                <w:lang w:val="en-US" w:eastAsia="zh-CN" w:bidi="ar"/>
                <w14:textFill>
                  <w14:solidFill>
                    <w14:schemeClr w14:val="tx1"/>
                  </w14:solidFill>
                </w14:textFill>
              </w:rPr>
              <w:t xml:space="preserve">跨院区容灾平台建设</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jc w:val="center"/>
              <w:keepLines w:val="0"/>
              <w:keepNext w:val="0"/>
              <w:spacing w:before="0" w:beforeAutospacing="0" w:after="0" w:afterAutospacing="0"/>
              <w:widowControl/>
              <w:rPr>
                <w:rFonts w:hint="default" w:asciiTheme="minorEastAsia" w:hAnsiTheme="minorEastAsia" w:eastAsiaTheme="minorEastAsia" w:cstheme="minorEastAsia"/>
                <w:b w:val="0"/>
                <w:bCs w:val="0"/>
                <w:color w:val="000000" w:themeColor="text1"/>
                <w:sz w:val="24"/>
                <w:szCs w:val="24"/>
                <w:highlight w:val="none"/>
                <w14:textFill>
                  <w14:solidFill>
                    <w14:schemeClr w14:val="tx1"/>
                  </w14:solidFill>
                </w14:textFill>
              </w:rPr>
              <w:suppressLineNumbers w:val="0"/>
            </w:pPr>
            <w:r>
              <w:rPr>
                <w:rFonts w:hint="eastAsia" w:asciiTheme="minorEastAsia" w:hAnsiTheme="minorEastAsia" w:eastAsiaTheme="minorEastAsia" w:cstheme="minorEastAsia"/>
                <w:b w:val="0"/>
                <w:bCs w:val="0"/>
                <w:color w:val="000000" w:themeColor="text1"/>
                <w:sz w:val="24"/>
                <w:szCs w:val="24"/>
                <w:highlight w:val="none"/>
                <w:lang w:val="en-US" w:eastAsia="zh-CN" w:bidi="ar"/>
                <w14:textFill>
                  <w14:solidFill>
                    <w14:schemeClr w14:val="tx1"/>
                  </w14:solidFill>
                </w14:textFill>
              </w:rPr>
              <w:t xml:space="preserve">1套</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suppressLineNumbers w:val="0"/>
            </w:pPr>
            <w:r>
              <w:rPr>
                <w:rFonts w:hint="eastAsia" w:asciiTheme="minorEastAsia" w:hAnsiTheme="minorEastAsia" w:eastAsiaTheme="minorEastAsia" w:cstheme="minorEastAsia"/>
                <w:b w:val="0"/>
                <w:bCs w:val="0"/>
                <w:color w:val="000000" w:themeColor="text1"/>
                <w:sz w:val="24"/>
                <w:szCs w:val="24"/>
                <w:highlight w:val="none"/>
                <w:lang w:val="en-US" w:eastAsia="zh-CN" w:bidi="ar"/>
                <w14:textFill>
                  <w14:solidFill>
                    <w14:schemeClr w14:val="tx1"/>
                  </w14:solidFill>
                </w14:textFill>
              </w:rPr>
              <w:t xml:space="preserve">合同签订之日起60个工作日内安装调试完成</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773"/>
              <w:jc w:val="center"/>
              <w:spacing w:before="0" w:beforeAutospacing="0" w:after="0" w:afterAutospacing="0" w:line="312" w:lineRule="auto"/>
              <w:widowControl w:val="off"/>
              <w:tabs>
                <w:tab w:val="left" w:pos="1135" w:leader="none"/>
              </w:tabs>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highlight w:val="none"/>
                <w:lang w:val="en-US" w:eastAsia="zh-CN" w:bidi="ar"/>
                <w14:textFill>
                  <w14:solidFill>
                    <w14:schemeClr w14:val="tx1"/>
                  </w14:solidFill>
                </w14:textFill>
              </w:rPr>
              <w:t xml:space="preserve">南通大学附属医院指定地点</w:t>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suppressLineNumbers w:val="0"/>
            </w:pPr>
            <w:r>
              <w:rPr>
                <w:rFonts w:hint="eastAsia" w:asciiTheme="minorEastAsia" w:hAnsiTheme="minorEastAsia" w:eastAsiaTheme="minorEastAsia" w:cstheme="minorEastAsia"/>
                <w:b w:val="0"/>
                <w:bCs w:val="0"/>
                <w:color w:val="000000" w:themeColor="text1"/>
                <w:sz w:val="24"/>
                <w:szCs w:val="24"/>
                <w:highlight w:val="none"/>
                <w:lang w:val="en-US" w:eastAsia="zh-CN" w:bidi="ar"/>
                <w14:textFill>
                  <w14:solidFill>
                    <w14:schemeClr w14:val="tx1"/>
                  </w14:solidFill>
                </w14:textFill>
              </w:rPr>
              <w:t xml:space="preserve">500万元</w:t>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suppressLineNumbers w:val="0"/>
            </w:pPr>
            <w:r>
              <w:rPr>
                <w:rFonts w:hint="eastAsia" w:asciiTheme="minorEastAsia" w:hAnsiTheme="minorEastAsia" w:eastAsiaTheme="minorEastAsia" w:cstheme="minorEastAsia"/>
                <w:b w:val="0"/>
                <w:bCs w:val="0"/>
                <w:color w:val="000000" w:themeColor="text1"/>
                <w:sz w:val="24"/>
                <w:szCs w:val="24"/>
                <w:highlight w:val="none"/>
                <w:lang w:val="en-US" w:eastAsia="zh-CN" w:bidi="ar"/>
                <w14:textFill>
                  <w14:solidFill>
                    <w14:schemeClr w14:val="tx1"/>
                  </w14:solidFill>
                </w14:textFill>
              </w:rPr>
              <w:t xml:space="preserve">500万元</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default" w:asciiTheme="minorEastAsia" w:hAnsiTheme="minorEastAsia" w:eastAsiaTheme="minorEastAsia" w:cstheme="minorEastAsia"/>
                <w:b w:val="0"/>
                <w:bCs w:val="0"/>
                <w:color w:val="000000" w:themeColor="text1"/>
                <w:sz w:val="24"/>
                <w:szCs w:val="24"/>
                <w:highlight w:val="none"/>
                <w14:textFill>
                  <w14:solidFill>
                    <w14:schemeClr w14:val="tx1"/>
                  </w14:solidFill>
                </w14:textFill>
              </w:rPr>
              <w:suppressLineNumbers w:val="0"/>
            </w:pPr>
            <w:r>
              <w:rPr>
                <w:rFonts w:hint="eastAsia" w:asciiTheme="minorEastAsia" w:hAnsiTheme="minorEastAsia" w:eastAsiaTheme="minorEastAsia" w:cstheme="minorEastAsia"/>
                <w:b w:val="0"/>
                <w:bCs w:val="0"/>
                <w:color w:val="000000" w:themeColor="text1"/>
                <w:sz w:val="24"/>
                <w:szCs w:val="24"/>
                <w:highlight w:val="none"/>
                <w:lang w:val="en-US" w:eastAsia="zh-CN" w:bidi="ar"/>
                <w14:textFill>
                  <w14:solidFill>
                    <w14:schemeClr w14:val="tx1"/>
                  </w14:solidFill>
                </w14:textFill>
              </w:rPr>
              <w:t xml:space="preserve">3年</w:t>
            </w:r>
            <w:r/>
          </w:p>
        </w:tc>
      </w:tr>
    </w:tbl>
    <w:p>
      <w:pPr>
        <w:jc w:val="left"/>
        <w:spacing w:line="44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jc w:val="left"/>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二、项目需求</w:t>
      </w:r>
      <w:r/>
    </w:p>
    <w:p>
      <w:pPr>
        <w:pStyle w:val="739"/>
        <w:ind w:firstLine="0"/>
        <w:spacing w:line="360" w:lineRule="auto"/>
        <w:rPr>
          <w:rFonts w:hint="default" w:eastAsia="宋体"/>
          <w:color w:val="000000"/>
          <w:highlight w:val="none"/>
          <w:u w:val="single"/>
        </w:rPr>
      </w:pPr>
      <w:r>
        <w:rPr>
          <w:rFonts w:hint="eastAsia"/>
          <w:color w:val="000000"/>
          <w:highlight w:val="none"/>
          <w:u w:val="single"/>
        </w:rPr>
        <w:t xml:space="preserve">（一）项目概述</w:t>
      </w:r>
      <w:r/>
    </w:p>
    <w:p>
      <w:pPr>
        <w:pStyle w:val="739"/>
        <w:ind w:firstLine="0"/>
        <w:spacing w:line="360" w:lineRule="auto"/>
        <w:rPr>
          <w:rFonts w:hint="eastAsia"/>
          <w:color w:val="000000"/>
          <w:highlight w:val="none"/>
          <w:u w:val="none"/>
        </w:rPr>
      </w:pPr>
      <w:r>
        <w:rPr>
          <w:rFonts w:hint="eastAsia"/>
          <w:color w:val="000000"/>
          <w:highlight w:val="none"/>
          <w:u w:val="none"/>
        </w:rPr>
        <w:t xml:space="preserve">1.项目背景：</w:t>
      </w:r>
      <w:r/>
    </w:p>
    <w:p>
      <w:pPr>
        <w:pStyle w:val="739"/>
        <w:ind w:firstLine="480"/>
        <w:spacing w:line="360" w:lineRule="auto"/>
        <w:rPr>
          <w:rFonts w:hint="default" w:eastAsia="宋体"/>
          <w:color w:val="000000"/>
          <w:highlight w:val="none"/>
          <w:u w:val="none"/>
        </w:rPr>
      </w:pPr>
      <w:r>
        <w:rPr>
          <w:rFonts w:hint="eastAsia"/>
          <w:color w:val="000000"/>
          <w:highlight w:val="none"/>
          <w:u w:val="none"/>
        </w:rPr>
        <w:t xml:space="preserve">目前我院核心业务系统均部署于老院区数据中心，机房负载趋于饱和，核心存储设备老旧、性能不足，扩容运维难度大。现有容灾体系存在明显短板，仅依靠DG同步实现数据备份，无法抵御人为误操作、数据逻辑损坏、勒索病毒攻击等风险，且故障恢复耗时久、自动化验证能力缺失；同时现有备份平台仅适配VMware环境，无法兼容国产C86、ARM架构等信创设备，形成安全防护盲区，加之跨院区备份依托IP网络传输，流量挤占生产带宽，严重影响业务运行稳定性。</w:t>
      </w:r>
      <w:r/>
    </w:p>
    <w:p>
      <w:pPr>
        <w:pStyle w:val="739"/>
        <w:ind w:firstLine="0"/>
        <w:spacing w:line="360" w:lineRule="auto"/>
        <w:rPr>
          <w:rFonts w:hint="eastAsia"/>
          <w:color w:val="000000"/>
          <w:highlight w:val="none"/>
          <w:u w:val="none"/>
        </w:rPr>
      </w:pPr>
      <w:r>
        <w:rPr>
          <w:rFonts w:hint="eastAsia"/>
          <w:color w:val="000000"/>
          <w:highlight w:val="none"/>
          <w:u w:val="none"/>
        </w:rPr>
        <w:t xml:space="preserve">2.建设内容：</w:t>
      </w:r>
      <w:r/>
    </w:p>
    <w:p>
      <w:pPr>
        <w:pStyle w:val="739"/>
        <w:ind w:firstLine="480"/>
        <w:spacing w:line="360" w:lineRule="auto"/>
        <w:rPr>
          <w:rFonts w:hint="default" w:eastAsia="宋体"/>
          <w:color w:val="000000"/>
          <w:highlight w:val="none"/>
          <w:u w:val="none"/>
        </w:rPr>
      </w:pPr>
      <w:r>
        <w:rPr>
          <w:rFonts w:hint="eastAsia"/>
          <w:color w:val="000000"/>
          <w:highlight w:val="none"/>
          <w:u w:val="none"/>
        </w:rPr>
        <w:t xml:space="preserve">为解决相关问题，依托我院已建成的跨院区大二层网络及东区优质机房硬件条件，本项目规划建设跨院区容灾平台。构建物理+逻辑双重容灾架构，搭载秒级CDP数据保护能力，大幅提升数据容错与恢复能力；搭建国产化统一容灾平台，全面适配异构环境，达成近零数据丢失、近零中断恢复的灾备目标；通过优化数据传输，隔离备份流量对生产业务的干扰，全面保障医院核心医疗数据安全与业务持续稳定运行，支撑医院长期信息化与业务发展。</w:t>
      </w:r>
      <w:r/>
    </w:p>
    <w:p>
      <w:pPr>
        <w:pStyle w:val="739"/>
        <w:ind w:firstLine="0"/>
        <w:spacing w:line="240" w:lineRule="auto"/>
        <w:rPr>
          <w:rFonts w:hint="default" w:eastAsia="宋体"/>
          <w:color w:val="000000"/>
          <w:highlight w:val="none"/>
          <w:u w:val="single"/>
        </w:rPr>
      </w:pPr>
      <w:r>
        <w:rPr>
          <w:rFonts w:hint="eastAsia"/>
          <w:color w:val="000000"/>
          <w:highlight w:val="none"/>
          <w:u w:val="single"/>
        </w:rPr>
        <w:t xml:space="preserve">（二）采购标的清单</w:t>
      </w:r>
      <w:r/>
    </w:p>
    <w:tbl>
      <w:tblPr>
        <w:tblStyle w:val="727"/>
        <w:tblW w:w="91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90" w:type="dxa"/>
          <w:top w:w="60" w:type="dxa"/>
          <w:right w:w="90" w:type="dxa"/>
          <w:bottom w:w="60" w:type="dxa"/>
        </w:tblCellMar>
        <w:tblLook w:val="04A0" w:firstRow="1" w:lastRow="0" w:firstColumn="1" w:lastColumn="0" w:noHBand="0" w:noVBand="1"/>
      </w:tblPr>
      <w:tblGrid>
        <w:gridCol w:w="520"/>
        <w:gridCol w:w="1150"/>
        <w:gridCol w:w="2300"/>
        <w:gridCol w:w="540"/>
        <w:gridCol w:w="540"/>
        <w:gridCol w:w="1550"/>
        <w:gridCol w:w="760"/>
        <w:gridCol w:w="900"/>
        <w:gridCol w:w="935"/>
      </w:tblGrid>
      <w:tr>
        <w:trPr>
          <w:cantSplit/>
          <w:jc w:val="center"/>
          <w:trHeight w:val="0"/>
          <w:tblHeader/>
        </w:trPr>
        <w:tc>
          <w:tcPr>
            <w:tcW w:w="520" w:type="dxa"/>
            <w:vAlign w:val="center"/>
            <w:textDirection w:val="lrTb"/>
            <w:noWrap w:val="false"/>
          </w:tcPr>
          <w:p>
            <w:pPr>
              <w:jc w:val="center"/>
              <w:spacing w:after="0" w:line="320" w:lineRule="auto"/>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序号</w:t>
            </w:r>
            <w:r/>
          </w:p>
        </w:tc>
        <w:tc>
          <w:tcPr>
            <w:tcW w:w="1150" w:type="dxa"/>
            <w:vAlign w:val="center"/>
            <w:textDirection w:val="lrTb"/>
            <w:noWrap w:val="false"/>
          </w:tcPr>
          <w:p>
            <w:pPr>
              <w:jc w:val="center"/>
              <w:spacing w:after="0" w:line="320" w:lineRule="auto"/>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名称</w:t>
            </w:r>
            <w:r/>
          </w:p>
        </w:tc>
        <w:tc>
          <w:tcPr>
            <w:tcW w:w="2300" w:type="dxa"/>
            <w:vAlign w:val="center"/>
            <w:textDirection w:val="lrTb"/>
            <w:noWrap w:val="false"/>
          </w:tcPr>
          <w:p>
            <w:pPr>
              <w:jc w:val="center"/>
              <w:spacing w:after="0" w:line="320" w:lineRule="auto"/>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参数</w:t>
            </w:r>
            <w:r/>
          </w:p>
        </w:tc>
        <w:tc>
          <w:tcPr>
            <w:tcW w:w="540" w:type="dxa"/>
            <w:vAlign w:val="center"/>
            <w:textDirection w:val="lrTb"/>
            <w:noWrap w:val="false"/>
          </w:tcPr>
          <w:p>
            <w:pPr>
              <w:jc w:val="center"/>
              <w:spacing w:after="0" w:line="320" w:lineRule="auto"/>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单位</w:t>
            </w:r>
            <w:r/>
          </w:p>
        </w:tc>
        <w:tc>
          <w:tcPr>
            <w:tcW w:w="540" w:type="dxa"/>
            <w:vAlign w:val="center"/>
            <w:textDirection w:val="lrTb"/>
            <w:noWrap w:val="false"/>
          </w:tcPr>
          <w:p>
            <w:pPr>
              <w:jc w:val="center"/>
              <w:spacing w:after="0" w:line="320" w:lineRule="auto"/>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数量</w:t>
            </w:r>
            <w:r/>
          </w:p>
        </w:tc>
        <w:tc>
          <w:tcPr>
            <w:tcW w:w="1550" w:type="dxa"/>
            <w:vAlign w:val="center"/>
            <w:textDirection w:val="lrTb"/>
            <w:noWrap w:val="false"/>
          </w:tcPr>
          <w:p>
            <w:pPr>
              <w:jc w:val="center"/>
              <w:spacing w:after="0" w:line="320" w:lineRule="auto"/>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对应中小企业划分标准所属行业</w:t>
            </w:r>
            <w:r/>
          </w:p>
        </w:tc>
        <w:tc>
          <w:tcPr>
            <w:tcW w:w="760" w:type="dxa"/>
            <w:vAlign w:val="center"/>
            <w:textDirection w:val="lrTb"/>
            <w:noWrap w:val="false"/>
          </w:tcPr>
          <w:p>
            <w:pPr>
              <w:jc w:val="center"/>
              <w:spacing w:after="0" w:line="320" w:lineRule="auto"/>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是否强制节能</w:t>
            </w:r>
            <w:r/>
          </w:p>
        </w:tc>
        <w:tc>
          <w:tcPr>
            <w:tcW w:w="900" w:type="dxa"/>
            <w:vAlign w:val="center"/>
            <w:textDirection w:val="lrTb"/>
            <w:noWrap w:val="false"/>
          </w:tcPr>
          <w:p>
            <w:pPr>
              <w:jc w:val="center"/>
              <w:spacing w:after="0" w:line="320" w:lineRule="auto"/>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是否为核心产品</w:t>
            </w:r>
            <w:r/>
          </w:p>
        </w:tc>
        <w:tc>
          <w:tcPr>
            <w:tcW w:w="935" w:type="dxa"/>
            <w:vAlign w:val="center"/>
            <w:textDirection w:val="lrTb"/>
            <w:noWrap w:val="false"/>
          </w:tcPr>
          <w:p>
            <w:pPr>
              <w:jc w:val="center"/>
              <w:spacing w:after="0" w:line="320" w:lineRule="auto"/>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是否为主要标的</w:t>
            </w:r>
            <w:r/>
          </w:p>
        </w:tc>
      </w:tr>
      <w:tr>
        <w:trPr>
          <w:cantSplit/>
          <w:jc w:val="center"/>
          <w:trHeight w:val="0"/>
        </w:trPr>
        <w:tc>
          <w:tcPr>
            <w:tcW w:w="52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w:t>
            </w:r>
            <w:r/>
          </w:p>
        </w:tc>
        <w:tc>
          <w:tcPr>
            <w:tcW w:w="115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服务器</w:t>
            </w:r>
            <w:r/>
          </w:p>
        </w:tc>
        <w:tc>
          <w:tcPr>
            <w:tcW w:w="23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详细参数见下文技术要求</w:t>
            </w:r>
            <w:r/>
          </w:p>
        </w:tc>
        <w:tc>
          <w:tcPr>
            <w:tcW w:w="540"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台</w:t>
            </w:r>
            <w:r/>
          </w:p>
        </w:tc>
        <w:tc>
          <w:tcPr>
            <w:tcW w:w="540"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w:t>
            </w:r>
            <w:r/>
          </w:p>
        </w:tc>
        <w:tc>
          <w:tcPr>
            <w:tcW w:w="1550"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工业</w:t>
            </w:r>
            <w:r/>
          </w:p>
        </w:tc>
        <w:tc>
          <w:tcPr>
            <w:tcW w:w="760"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否</w:t>
            </w:r>
            <w:r/>
          </w:p>
        </w:tc>
        <w:tc>
          <w:tcPr>
            <w:tcW w:w="900"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是</w:t>
            </w:r>
            <w:r/>
          </w:p>
        </w:tc>
        <w:tc>
          <w:tcPr>
            <w:tcW w:w="935"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是</w:t>
            </w:r>
            <w:r/>
          </w:p>
        </w:tc>
      </w:tr>
      <w:tr>
        <w:trPr>
          <w:cantSplit/>
          <w:jc w:val="center"/>
          <w:trHeight w:val="0"/>
        </w:trPr>
        <w:tc>
          <w:tcPr>
            <w:tcW w:w="52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w:t>
            </w:r>
            <w:r/>
          </w:p>
        </w:tc>
        <w:tc>
          <w:tcPr>
            <w:tcW w:w="115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利旧服务器配件</w:t>
            </w:r>
            <w:r/>
          </w:p>
        </w:tc>
        <w:tc>
          <w:tcPr>
            <w:tcW w:w="23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详细参数见下文技术要求</w:t>
            </w:r>
            <w:r/>
          </w:p>
        </w:tc>
        <w:tc>
          <w:tcPr>
            <w:tcW w:w="540"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套</w:t>
            </w:r>
            <w:r/>
          </w:p>
        </w:tc>
        <w:tc>
          <w:tcPr>
            <w:tcW w:w="540"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w:t>
            </w:r>
            <w:r/>
          </w:p>
        </w:tc>
        <w:tc>
          <w:tcPr>
            <w:tcW w:w="1550"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工业</w:t>
            </w:r>
            <w:r/>
          </w:p>
        </w:tc>
        <w:tc>
          <w:tcPr>
            <w:tcW w:w="760"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否</w:t>
            </w:r>
            <w:r/>
          </w:p>
        </w:tc>
        <w:tc>
          <w:tcPr>
            <w:tcW w:w="900"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否</w:t>
            </w:r>
            <w:r/>
          </w:p>
        </w:tc>
        <w:tc>
          <w:tcPr>
            <w:tcW w:w="935"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否</w:t>
            </w:r>
            <w:r/>
          </w:p>
        </w:tc>
      </w:tr>
      <w:tr>
        <w:trPr>
          <w:cantSplit/>
          <w:jc w:val="center"/>
          <w:trHeight w:val="0"/>
        </w:trPr>
        <w:tc>
          <w:tcPr>
            <w:tcW w:w="52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w:t>
            </w:r>
            <w:r/>
          </w:p>
        </w:tc>
        <w:tc>
          <w:tcPr>
            <w:tcW w:w="115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光纤交换机</w:t>
            </w:r>
            <w:r/>
          </w:p>
        </w:tc>
        <w:tc>
          <w:tcPr>
            <w:tcW w:w="23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详细参数见下文技术要求</w:t>
            </w:r>
            <w:r/>
          </w:p>
        </w:tc>
        <w:tc>
          <w:tcPr>
            <w:tcW w:w="540"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台</w:t>
            </w:r>
            <w:r/>
          </w:p>
        </w:tc>
        <w:tc>
          <w:tcPr>
            <w:tcW w:w="540"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w:t>
            </w:r>
            <w:r/>
          </w:p>
        </w:tc>
        <w:tc>
          <w:tcPr>
            <w:tcW w:w="1550"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工业</w:t>
            </w:r>
            <w:r/>
          </w:p>
        </w:tc>
        <w:tc>
          <w:tcPr>
            <w:tcW w:w="760"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否</w:t>
            </w:r>
            <w:r/>
          </w:p>
        </w:tc>
        <w:tc>
          <w:tcPr>
            <w:tcW w:w="900"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否</w:t>
            </w:r>
            <w:r/>
          </w:p>
        </w:tc>
        <w:tc>
          <w:tcPr>
            <w:tcW w:w="935"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否</w:t>
            </w:r>
            <w:r/>
          </w:p>
        </w:tc>
      </w:tr>
      <w:tr>
        <w:trPr>
          <w:cantSplit/>
          <w:jc w:val="center"/>
          <w:trHeight w:val="0"/>
        </w:trPr>
        <w:tc>
          <w:tcPr>
            <w:tcW w:w="52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w:t>
            </w:r>
            <w:r/>
          </w:p>
        </w:tc>
        <w:tc>
          <w:tcPr>
            <w:tcW w:w="115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容灾存储</w:t>
            </w:r>
            <w:r/>
          </w:p>
        </w:tc>
        <w:tc>
          <w:tcPr>
            <w:tcW w:w="23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详细参数见下文技术要求</w:t>
            </w:r>
            <w:r/>
          </w:p>
        </w:tc>
        <w:tc>
          <w:tcPr>
            <w:tcW w:w="540"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台</w:t>
            </w:r>
            <w:r/>
          </w:p>
        </w:tc>
        <w:tc>
          <w:tcPr>
            <w:tcW w:w="540"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w:t>
            </w:r>
            <w:r/>
          </w:p>
        </w:tc>
        <w:tc>
          <w:tcPr>
            <w:tcW w:w="1550"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工业</w:t>
            </w:r>
            <w:r/>
          </w:p>
        </w:tc>
        <w:tc>
          <w:tcPr>
            <w:tcW w:w="760"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否</w:t>
            </w:r>
            <w:r/>
          </w:p>
        </w:tc>
        <w:tc>
          <w:tcPr>
            <w:tcW w:w="900"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否</w:t>
            </w:r>
            <w:r/>
          </w:p>
        </w:tc>
        <w:tc>
          <w:tcPr>
            <w:tcW w:w="935"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否</w:t>
            </w:r>
            <w:r/>
          </w:p>
        </w:tc>
      </w:tr>
      <w:tr>
        <w:trPr>
          <w:cantSplit/>
          <w:jc w:val="center"/>
          <w:trHeight w:val="0"/>
        </w:trPr>
        <w:tc>
          <w:tcPr>
            <w:tcW w:w="52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5</w:t>
            </w:r>
            <w:r/>
          </w:p>
        </w:tc>
        <w:tc>
          <w:tcPr>
            <w:tcW w:w="115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备份存储</w:t>
            </w:r>
            <w:r/>
          </w:p>
        </w:tc>
        <w:tc>
          <w:tcPr>
            <w:tcW w:w="23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详细参数见下文技术要求</w:t>
            </w:r>
            <w:r/>
          </w:p>
        </w:tc>
        <w:tc>
          <w:tcPr>
            <w:tcW w:w="540"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台</w:t>
            </w:r>
            <w:r/>
          </w:p>
        </w:tc>
        <w:tc>
          <w:tcPr>
            <w:tcW w:w="540"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w:t>
            </w:r>
            <w:r/>
          </w:p>
        </w:tc>
        <w:tc>
          <w:tcPr>
            <w:tcW w:w="1550"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工业</w:t>
            </w:r>
            <w:r/>
          </w:p>
        </w:tc>
        <w:tc>
          <w:tcPr>
            <w:tcW w:w="760"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否</w:t>
            </w:r>
            <w:r/>
          </w:p>
        </w:tc>
        <w:tc>
          <w:tcPr>
            <w:tcW w:w="900"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否</w:t>
            </w:r>
            <w:r/>
          </w:p>
        </w:tc>
        <w:tc>
          <w:tcPr>
            <w:tcW w:w="935"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否</w:t>
            </w:r>
            <w:r/>
          </w:p>
        </w:tc>
      </w:tr>
      <w:tr>
        <w:trPr>
          <w:cantSplit/>
          <w:jc w:val="center"/>
          <w:trHeight w:val="0"/>
        </w:trPr>
        <w:tc>
          <w:tcPr>
            <w:tcW w:w="52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6</w:t>
            </w:r>
            <w:r/>
          </w:p>
        </w:tc>
        <w:tc>
          <w:tcPr>
            <w:tcW w:w="115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容灾管理平台</w:t>
            </w:r>
            <w:r/>
          </w:p>
        </w:tc>
        <w:tc>
          <w:tcPr>
            <w:tcW w:w="23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详细参数见下文技术要求</w:t>
            </w:r>
            <w:r/>
          </w:p>
        </w:tc>
        <w:tc>
          <w:tcPr>
            <w:tcW w:w="540"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套</w:t>
            </w:r>
            <w:r/>
          </w:p>
        </w:tc>
        <w:tc>
          <w:tcPr>
            <w:tcW w:w="540"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w:t>
            </w:r>
            <w:r/>
          </w:p>
        </w:tc>
        <w:tc>
          <w:tcPr>
            <w:tcW w:w="1550"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工业</w:t>
            </w:r>
            <w:r/>
          </w:p>
        </w:tc>
        <w:tc>
          <w:tcPr>
            <w:tcW w:w="760"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否</w:t>
            </w:r>
            <w:r/>
          </w:p>
        </w:tc>
        <w:tc>
          <w:tcPr>
            <w:tcW w:w="900"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否</w:t>
            </w:r>
            <w:r/>
          </w:p>
        </w:tc>
        <w:tc>
          <w:tcPr>
            <w:tcW w:w="935"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否</w:t>
            </w:r>
            <w:r/>
          </w:p>
        </w:tc>
      </w:tr>
      <w:tr>
        <w:trPr>
          <w:cantSplit/>
          <w:jc w:val="center"/>
          <w:trHeight w:val="0"/>
        </w:trPr>
        <w:tc>
          <w:tcPr>
            <w:tcW w:w="52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7</w:t>
            </w:r>
            <w:r/>
          </w:p>
        </w:tc>
        <w:tc>
          <w:tcPr>
            <w:tcW w:w="115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备份管理平台</w:t>
            </w:r>
            <w:r/>
          </w:p>
        </w:tc>
        <w:tc>
          <w:tcPr>
            <w:tcW w:w="23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详细参数见下文技术要求</w:t>
            </w:r>
            <w:r/>
          </w:p>
        </w:tc>
        <w:tc>
          <w:tcPr>
            <w:tcW w:w="540"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套</w:t>
            </w:r>
            <w:r/>
          </w:p>
        </w:tc>
        <w:tc>
          <w:tcPr>
            <w:tcW w:w="540"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w:t>
            </w:r>
            <w:r/>
          </w:p>
        </w:tc>
        <w:tc>
          <w:tcPr>
            <w:tcW w:w="1550"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工业</w:t>
            </w:r>
            <w:r/>
          </w:p>
        </w:tc>
        <w:tc>
          <w:tcPr>
            <w:tcW w:w="760"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否</w:t>
            </w:r>
            <w:r/>
          </w:p>
        </w:tc>
        <w:tc>
          <w:tcPr>
            <w:tcW w:w="900"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否</w:t>
            </w:r>
            <w:r/>
          </w:p>
        </w:tc>
        <w:tc>
          <w:tcPr>
            <w:tcW w:w="935"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否</w:t>
            </w:r>
            <w:r/>
          </w:p>
        </w:tc>
      </w:tr>
      <w:tr>
        <w:trPr>
          <w:cantSplit/>
          <w:jc w:val="center"/>
          <w:trHeight w:val="0"/>
        </w:trPr>
        <w:tc>
          <w:tcPr>
            <w:tcW w:w="52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8</w:t>
            </w:r>
            <w:r/>
          </w:p>
        </w:tc>
        <w:tc>
          <w:tcPr>
            <w:tcW w:w="115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系统集成服务</w:t>
            </w:r>
            <w:r/>
          </w:p>
        </w:tc>
        <w:tc>
          <w:tcPr>
            <w:tcW w:w="23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详细参数见下文技术要求</w:t>
            </w:r>
            <w:r/>
          </w:p>
        </w:tc>
        <w:tc>
          <w:tcPr>
            <w:tcW w:w="540"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项</w:t>
            </w:r>
            <w:r/>
          </w:p>
        </w:tc>
        <w:tc>
          <w:tcPr>
            <w:tcW w:w="540"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w:t>
            </w:r>
            <w:r/>
          </w:p>
        </w:tc>
        <w:tc>
          <w:tcPr>
            <w:tcW w:w="1550"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软件和信息技术服务业</w:t>
            </w:r>
            <w:r/>
          </w:p>
        </w:tc>
        <w:tc>
          <w:tcPr>
            <w:tcW w:w="760"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否</w:t>
            </w:r>
            <w:r/>
          </w:p>
        </w:tc>
        <w:tc>
          <w:tcPr>
            <w:tcW w:w="900"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否</w:t>
            </w:r>
            <w:r/>
          </w:p>
        </w:tc>
        <w:tc>
          <w:tcPr>
            <w:tcW w:w="935" w:type="dxa"/>
            <w:vAlign w:val="center"/>
            <w:textDirection w:val="lrTb"/>
            <w:noWrap w:val="false"/>
          </w:tcPr>
          <w:p>
            <w:pPr>
              <w:jc w:val="center"/>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否</w:t>
            </w:r>
            <w:r/>
          </w:p>
        </w:tc>
      </w:tr>
    </w:tbl>
    <w:p>
      <w:pPr>
        <w:pStyle w:val="739"/>
        <w:ind w:firstLine="0"/>
        <w:spacing w:line="240" w:lineRule="auto"/>
        <w:rPr>
          <w:rFonts w:hint="default" w:eastAsia="宋体"/>
          <w:color w:val="000000"/>
          <w:highlight w:val="none"/>
          <w:u w:val="none"/>
        </w:rPr>
      </w:pPr>
      <w:r>
        <w:rPr>
          <w:rFonts w:hint="eastAsia"/>
          <w:color w:val="000000"/>
          <w:highlight w:val="none"/>
          <w:u w:val="none"/>
        </w:rPr>
        <w:t xml:space="preserve">（三）技术参数要求</w:t>
      </w:r>
      <w:r/>
    </w:p>
    <w:p>
      <w:pPr>
        <w:pStyle w:val="739"/>
        <w:ind w:left="0" w:firstLine="0"/>
        <w:rPr>
          <w:rFonts w:hint="eastAsia" w:ascii="宋体" w:hAnsi="宋体" w:eastAsia="宋体"/>
          <w:color w:val="000000"/>
          <w:highlight w:val="none"/>
        </w:rPr>
      </w:pPr>
      <w:r>
        <w:rPr>
          <w:rFonts w:hint="eastAsia" w:ascii="宋体" w:hAnsi="宋体" w:eastAsia="宋体"/>
          <w:color w:val="000000"/>
          <w:highlight w:val="none"/>
          <w:lang w:val="en-US" w:eastAsia="zh-CN" w:bidi="en-US"/>
        </w:rPr>
        <w:t xml:space="preserve">1.服务器</w:t>
      </w:r>
      <w:r/>
    </w:p>
    <w:tbl>
      <w:tblPr>
        <w:tblStyle w:val="727"/>
        <w:tblW w:w="91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90" w:type="dxa"/>
          <w:top w:w="60" w:type="dxa"/>
          <w:right w:w="90" w:type="dxa"/>
          <w:bottom w:w="60" w:type="dxa"/>
        </w:tblCellMar>
        <w:tblLook w:val="04A0" w:firstRow="1" w:lastRow="0" w:firstColumn="1" w:lastColumn="0" w:noHBand="0" w:noVBand="1"/>
      </w:tblPr>
      <w:tblGrid>
        <w:gridCol w:w="760"/>
        <w:gridCol w:w="2000"/>
        <w:gridCol w:w="6435"/>
      </w:tblGrid>
      <w:tr>
        <w:trPr>
          <w:cantSplit/>
          <w:jc w:val="center"/>
          <w:trHeight w:val="0"/>
          <w:tblHeader/>
        </w:trPr>
        <w:tc>
          <w:tcPr>
            <w:tcW w:w="760" w:type="dxa"/>
            <w:vAlign w:val="center"/>
            <w:textDirection w:val="lrTb"/>
            <w:noWrap w:val="false"/>
          </w:tcPr>
          <w:p>
            <w:pPr>
              <w:jc w:val="center"/>
              <w:spacing w:after="0" w:line="320" w:lineRule="auto"/>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序号</w:t>
            </w:r>
            <w:r/>
          </w:p>
        </w:tc>
        <w:tc>
          <w:tcPr>
            <w:tcW w:w="2000" w:type="dxa"/>
            <w:vAlign w:val="center"/>
            <w:textDirection w:val="lrTb"/>
            <w:noWrap w:val="false"/>
          </w:tcPr>
          <w:p>
            <w:pPr>
              <w:jc w:val="center"/>
              <w:spacing w:after="0" w:line="320" w:lineRule="auto"/>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指标项</w:t>
            </w:r>
            <w:r/>
          </w:p>
        </w:tc>
        <w:tc>
          <w:tcPr>
            <w:tcW w:w="6435" w:type="dxa"/>
            <w:vAlign w:val="center"/>
            <w:textDirection w:val="lrTb"/>
            <w:noWrap w:val="false"/>
          </w:tcPr>
          <w:p>
            <w:pPr>
              <w:jc w:val="center"/>
              <w:spacing w:after="0" w:line="320" w:lineRule="auto"/>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指标要求</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架构</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2U机架式服务器。</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处理器</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配置≥2颗处理器，每颗CPU核心数≥16核，每颗CPU主频≥2.</w:t>
            </w:r>
            <w:r>
              <w:rPr>
                <w:rFonts w:hint="eastAsia" w:cs="Times New Roman"/>
                <w:color w:val="000000"/>
                <w:sz w:val="24"/>
                <w:szCs w:val="24"/>
                <w:highlight w:val="none"/>
                <w:lang w:val="en-US" w:eastAsia="zh-CN"/>
              </w:rPr>
              <w:t xml:space="preserve">2</w:t>
            </w:r>
            <w:r>
              <w:rPr>
                <w:rFonts w:hint="eastAsia" w:ascii="Times New Roman" w:hAnsi="Times New Roman" w:eastAsia="宋体" w:cs="Times New Roman"/>
                <w:color w:val="000000"/>
                <w:sz w:val="24"/>
                <w:szCs w:val="24"/>
                <w:highlight w:val="none"/>
              </w:rPr>
              <w:t xml:space="preserve">GHz。</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内存</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配置≥256GB 内存。</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rPr>
              <w:t xml:space="preserve">存储</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配置≥2块 960GB SSD硬盘。</w:t>
            </w:r>
            <w:r/>
          </w:p>
        </w:tc>
      </w:tr>
      <w:tr>
        <w:trPr>
          <w:cantSplit/>
          <w:jc w:val="center"/>
          <w:trHeight w:val="0"/>
        </w:trPr>
        <w:tc>
          <w:tcPr>
            <w:shd w:val="clear" w:color="auto" w:fill="auto"/>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lang w:eastAsia="zh-CN"/>
              </w:rPr>
            </w:pPr>
            <w:r>
              <w:rPr>
                <w:rFonts w:hint="eastAsia" w:cs="Times New Roman"/>
                <w:color w:val="000000"/>
                <w:sz w:val="24"/>
                <w:szCs w:val="24"/>
                <w:highlight w:val="none"/>
                <w:lang w:val="en-US" w:eastAsia="zh-CN"/>
              </w:rPr>
              <w:t xml:space="preserve">5</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存储控制器</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配置≥1张RAID卡，RAID控制卡支持RAID0/1/5/10/50/60，支持电容掉电保护。</w:t>
            </w:r>
            <w:r/>
          </w:p>
          <w:p>
            <w:pPr>
              <w:jc w:val="left"/>
              <w:spacing w:after="0" w:line="320" w:lineRule="auto"/>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rPr>
              <w:t xml:space="preserve">≥2块双端口32Gb HBA卡</w:t>
            </w:r>
            <w:r>
              <w:rPr>
                <w:rFonts w:hint="eastAsia"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含光模块</w:t>
            </w:r>
            <w:r>
              <w:rPr>
                <w:rFonts w:hint="eastAsia" w:cs="Times New Roman"/>
                <w:color w:val="000000"/>
                <w:sz w:val="24"/>
                <w:szCs w:val="24"/>
                <w:highlight w:val="none"/>
                <w:lang w:eastAsia="zh-CN"/>
              </w:rPr>
              <w:t xml:space="preserve">）。</w:t>
            </w:r>
            <w:r/>
          </w:p>
        </w:tc>
      </w:tr>
      <w:tr>
        <w:trPr>
          <w:cantSplit/>
          <w:jc w:val="center"/>
          <w:trHeight w:val="0"/>
        </w:trPr>
        <w:tc>
          <w:tcPr>
            <w:shd w:val="clear" w:color="auto" w:fill="auto"/>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lang w:eastAsia="zh-CN"/>
              </w:rPr>
            </w:pPr>
            <w:r>
              <w:rPr>
                <w:rFonts w:hint="eastAsia" w:cs="Times New Roman"/>
                <w:color w:val="000000"/>
                <w:sz w:val="24"/>
                <w:szCs w:val="24"/>
                <w:highlight w:val="none"/>
                <w:lang w:val="en-US" w:eastAsia="zh-CN"/>
              </w:rPr>
              <w:t xml:space="preserve">6</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网卡</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配置≥2张双口万兆网卡（含SFP+光模块），四个千兆网口。</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lang w:eastAsia="zh-CN"/>
              </w:rPr>
            </w:pPr>
            <w:r>
              <w:rPr>
                <w:rFonts w:hint="eastAsia" w:cs="Times New Roman"/>
                <w:color w:val="000000"/>
                <w:sz w:val="24"/>
                <w:szCs w:val="24"/>
                <w:highlight w:val="none"/>
                <w:lang w:val="en-US" w:eastAsia="zh-CN"/>
              </w:rPr>
              <w:t xml:space="preserve">7</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电源</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配置冗余电源。</w:t>
            </w:r>
            <w:r/>
          </w:p>
        </w:tc>
      </w:tr>
    </w:tbl>
    <w:p>
      <w:pPr>
        <w:pStyle w:val="739"/>
        <w:ind w:left="0" w:firstLine="0"/>
        <w:rPr>
          <w:rFonts w:hint="eastAsia" w:ascii="宋体" w:hAnsi="宋体" w:eastAsia="宋体"/>
          <w:color w:val="000000"/>
          <w:highlight w:val="none"/>
        </w:rPr>
      </w:pPr>
      <w:r>
        <w:rPr>
          <w:rFonts w:hint="eastAsia" w:ascii="宋体" w:hAnsi="宋体" w:eastAsia="宋体"/>
          <w:color w:val="000000"/>
          <w:highlight w:val="none"/>
          <w:lang w:val="en-US" w:eastAsia="zh-CN" w:bidi="en-US"/>
        </w:rPr>
        <w:t xml:space="preserve">2.利旧服务器配件</w:t>
      </w:r>
      <w:r/>
    </w:p>
    <w:tbl>
      <w:tblPr>
        <w:tblStyle w:val="727"/>
        <w:tblW w:w="91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90" w:type="dxa"/>
          <w:top w:w="60" w:type="dxa"/>
          <w:right w:w="90" w:type="dxa"/>
          <w:bottom w:w="60" w:type="dxa"/>
        </w:tblCellMar>
        <w:tblLook w:val="04A0" w:firstRow="1" w:lastRow="0" w:firstColumn="1" w:lastColumn="0" w:noHBand="0" w:noVBand="1"/>
      </w:tblPr>
      <w:tblGrid>
        <w:gridCol w:w="760"/>
        <w:gridCol w:w="2000"/>
        <w:gridCol w:w="6435"/>
      </w:tblGrid>
      <w:tr>
        <w:trPr>
          <w:cantSplit/>
          <w:jc w:val="center"/>
          <w:trHeight w:val="0"/>
          <w:tblHeader/>
        </w:trPr>
        <w:tc>
          <w:tcPr>
            <w:tcW w:w="760" w:type="dxa"/>
            <w:vAlign w:val="center"/>
            <w:textDirection w:val="lrTb"/>
            <w:noWrap w:val="false"/>
          </w:tcPr>
          <w:p>
            <w:pPr>
              <w:jc w:val="center"/>
              <w:spacing w:after="0" w:line="320" w:lineRule="auto"/>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序号</w:t>
            </w:r>
            <w:r/>
          </w:p>
        </w:tc>
        <w:tc>
          <w:tcPr>
            <w:tcW w:w="2000" w:type="dxa"/>
            <w:vAlign w:val="center"/>
            <w:textDirection w:val="lrTb"/>
            <w:noWrap w:val="false"/>
          </w:tcPr>
          <w:p>
            <w:pPr>
              <w:jc w:val="center"/>
              <w:spacing w:after="0" w:line="320" w:lineRule="auto"/>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指标项</w:t>
            </w:r>
            <w:r/>
          </w:p>
        </w:tc>
        <w:tc>
          <w:tcPr>
            <w:tcW w:w="6435" w:type="dxa"/>
            <w:vAlign w:val="center"/>
            <w:textDirection w:val="lrTb"/>
            <w:noWrap w:val="false"/>
          </w:tcPr>
          <w:p>
            <w:pPr>
              <w:jc w:val="center"/>
              <w:spacing w:after="0" w:line="320" w:lineRule="auto"/>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指标要求</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HBA卡</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rPr>
              <w:t xml:space="preserve">服务器新增4块双端口32Gb FC HBA卡（含模块）</w:t>
            </w:r>
            <w:r>
              <w:rPr>
                <w:rFonts w:hint="eastAsia" w:cs="Times New Roman"/>
                <w:color w:val="000000"/>
                <w:sz w:val="24"/>
                <w:szCs w:val="24"/>
                <w:highlight w:val="none"/>
                <w:lang w:eastAsia="zh-CN"/>
              </w:rPr>
              <w:t xml:space="preserve">。</w:t>
            </w:r>
            <w:r/>
          </w:p>
        </w:tc>
      </w:tr>
    </w:tbl>
    <w:p>
      <w:pPr>
        <w:pStyle w:val="739"/>
        <w:ind w:left="0" w:firstLine="0"/>
        <w:rPr>
          <w:rFonts w:hint="eastAsia" w:ascii="宋体" w:hAnsi="宋体" w:eastAsia="宋体"/>
          <w:color w:val="000000"/>
          <w:highlight w:val="none"/>
        </w:rPr>
      </w:pPr>
      <w:r>
        <w:rPr>
          <w:rFonts w:hint="eastAsia" w:ascii="宋体" w:hAnsi="宋体" w:eastAsia="宋体"/>
          <w:color w:val="000000"/>
          <w:highlight w:val="none"/>
          <w:lang w:val="en-US" w:eastAsia="zh-CN" w:bidi="en-US"/>
        </w:rPr>
        <w:t xml:space="preserve">3.光纤交换机</w:t>
      </w:r>
      <w:r/>
    </w:p>
    <w:tbl>
      <w:tblPr>
        <w:tblStyle w:val="727"/>
        <w:tblW w:w="91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90" w:type="dxa"/>
          <w:top w:w="60" w:type="dxa"/>
          <w:right w:w="90" w:type="dxa"/>
          <w:bottom w:w="60" w:type="dxa"/>
        </w:tblCellMar>
        <w:tblLook w:val="04A0" w:firstRow="1" w:lastRow="0" w:firstColumn="1" w:lastColumn="0" w:noHBand="0" w:noVBand="1"/>
      </w:tblPr>
      <w:tblGrid>
        <w:gridCol w:w="760"/>
        <w:gridCol w:w="2000"/>
        <w:gridCol w:w="6435"/>
      </w:tblGrid>
      <w:tr>
        <w:trPr>
          <w:cantSplit/>
          <w:jc w:val="center"/>
          <w:trHeight w:val="0"/>
          <w:tblHeader/>
        </w:trPr>
        <w:tc>
          <w:tcPr>
            <w:tcW w:w="760" w:type="dxa"/>
            <w:vAlign w:val="center"/>
            <w:textDirection w:val="lrTb"/>
            <w:noWrap w:val="false"/>
          </w:tcPr>
          <w:p>
            <w:pPr>
              <w:jc w:val="center"/>
              <w:spacing w:after="0" w:line="320" w:lineRule="auto"/>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序号</w:t>
            </w:r>
            <w:r/>
          </w:p>
        </w:tc>
        <w:tc>
          <w:tcPr>
            <w:tcW w:w="2000" w:type="dxa"/>
            <w:vAlign w:val="center"/>
            <w:textDirection w:val="lrTb"/>
            <w:noWrap w:val="false"/>
          </w:tcPr>
          <w:p>
            <w:pPr>
              <w:jc w:val="center"/>
              <w:spacing w:after="0" w:line="320" w:lineRule="auto"/>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指标项</w:t>
            </w:r>
            <w:r/>
          </w:p>
        </w:tc>
        <w:tc>
          <w:tcPr>
            <w:tcW w:w="6435" w:type="dxa"/>
            <w:vAlign w:val="center"/>
            <w:textDirection w:val="lrTb"/>
            <w:noWrap w:val="false"/>
          </w:tcPr>
          <w:p>
            <w:pPr>
              <w:jc w:val="center"/>
              <w:spacing w:after="0" w:line="320" w:lineRule="auto"/>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指标要求</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基本要求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48端口 SAN光纤交换机，24端口激活；配置24个32Gbps SFP短波光纤模块。</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主要功能支持</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支持多链路捆绑，支持硬件及软件分区。</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管理界面</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图形化界面管理，支持SNMP、Telnet</w:t>
            </w:r>
            <w:r>
              <w:rPr>
                <w:rFonts w:hint="eastAsia"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基于Web的管理工具。</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附件</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附件齐全，配备上机架的附件。</w:t>
            </w:r>
            <w:r/>
          </w:p>
        </w:tc>
      </w:tr>
    </w:tbl>
    <w:p>
      <w:pPr>
        <w:pStyle w:val="739"/>
        <w:ind w:left="0" w:firstLine="0"/>
        <w:rPr>
          <w:rFonts w:hint="eastAsia" w:ascii="宋体" w:hAnsi="宋体" w:eastAsia="宋体"/>
          <w:color w:val="000000"/>
          <w:highlight w:val="none"/>
        </w:rPr>
      </w:pPr>
      <w:r>
        <w:rPr>
          <w:rFonts w:hint="eastAsia" w:ascii="宋体" w:hAnsi="宋体" w:eastAsia="宋体"/>
          <w:color w:val="000000"/>
          <w:highlight w:val="none"/>
          <w:lang w:val="en-US" w:eastAsia="zh-CN" w:bidi="en-US"/>
        </w:rPr>
        <w:t xml:space="preserve">4.容灾存储</w:t>
      </w:r>
      <w:r/>
    </w:p>
    <w:tbl>
      <w:tblPr>
        <w:tblStyle w:val="727"/>
        <w:tblW w:w="91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90" w:type="dxa"/>
          <w:top w:w="60" w:type="dxa"/>
          <w:right w:w="90" w:type="dxa"/>
          <w:bottom w:w="60" w:type="dxa"/>
        </w:tblCellMar>
        <w:tblLook w:val="04A0" w:firstRow="1" w:lastRow="0" w:firstColumn="1" w:lastColumn="0" w:noHBand="0" w:noVBand="1"/>
      </w:tblPr>
      <w:tblGrid>
        <w:gridCol w:w="760"/>
        <w:gridCol w:w="2000"/>
        <w:gridCol w:w="6435"/>
      </w:tblGrid>
      <w:tr>
        <w:trPr>
          <w:cantSplit/>
          <w:jc w:val="center"/>
          <w:trHeight w:val="0"/>
          <w:tblHeader/>
        </w:trPr>
        <w:tc>
          <w:tcPr>
            <w:tcW w:w="760" w:type="dxa"/>
            <w:vAlign w:val="center"/>
            <w:textDirection w:val="lrTb"/>
            <w:noWrap w:val="false"/>
          </w:tcPr>
          <w:p>
            <w:pPr>
              <w:jc w:val="center"/>
              <w:spacing w:after="0" w:line="320" w:lineRule="auto"/>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序号</w:t>
            </w:r>
            <w:r/>
          </w:p>
        </w:tc>
        <w:tc>
          <w:tcPr>
            <w:tcW w:w="2000" w:type="dxa"/>
            <w:vAlign w:val="center"/>
            <w:textDirection w:val="lrTb"/>
            <w:noWrap w:val="false"/>
          </w:tcPr>
          <w:p>
            <w:pPr>
              <w:jc w:val="center"/>
              <w:spacing w:after="0" w:line="320" w:lineRule="auto"/>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指标项</w:t>
            </w:r>
            <w:r/>
          </w:p>
        </w:tc>
        <w:tc>
          <w:tcPr>
            <w:tcW w:w="6435" w:type="dxa"/>
            <w:vAlign w:val="center"/>
            <w:textDirection w:val="lrTb"/>
            <w:noWrap w:val="false"/>
          </w:tcPr>
          <w:p>
            <w:pPr>
              <w:jc w:val="center"/>
              <w:spacing w:after="0" w:line="320" w:lineRule="auto"/>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指标要求</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基础要求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rPr>
              <w:t xml:space="preserve">配置≥2个存储控制器（控制器中单颗处理器主频≥2.8GHz，核数≥16核），每个控制器配置2块系统保护盘，每块盘≥960GB，双控缓存≥512GB，配置快照、克隆、在线重删、在线压缩、自精简、远程复制、双活、QoS等功能，配置32Gbps FC主机端口≥8个，配置≥20块3.84TB 企业级NVME SSD</w:t>
            </w:r>
            <w:r>
              <w:rPr>
                <w:rFonts w:hint="eastAsia" w:cs="Times New Roman"/>
                <w:color w:val="000000"/>
                <w:sz w:val="24"/>
                <w:szCs w:val="24"/>
                <w:highlight w:val="none"/>
                <w:lang w:eastAsia="zh-CN"/>
              </w:rPr>
              <w:t xml:space="preserve">。</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LUN数量</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rPr>
              <w:t xml:space="preserve">存储提供双控LUN数量≥65536</w:t>
            </w:r>
            <w:r>
              <w:rPr>
                <w:rFonts w:hint="eastAsia" w:cs="Times New Roman"/>
                <w:color w:val="000000"/>
                <w:sz w:val="24"/>
                <w:szCs w:val="24"/>
                <w:highlight w:val="none"/>
                <w:lang w:eastAsia="zh-CN"/>
              </w:rPr>
              <w:t xml:space="preserve">。</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数据一致性检测</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从主机端口到硬盘全路径支持基于硬件的并符合业界标准的T10-PI数据一致性检测，保障数据的一致性。</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▲存储掉电保护机制</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rPr>
              <w:t xml:space="preserve">为防止各种突发情况意外掉电导致存储数据丢失，要求存储能够实现连续不少于五次意外掉电数据不丢失。（</w:t>
            </w:r>
            <w:r>
              <w:rPr>
                <w:rFonts w:hint="eastAsia" w:cs="Times New Roman"/>
                <w:color w:val="000000"/>
                <w:sz w:val="24"/>
                <w:szCs w:val="24"/>
                <w:highlight w:val="none"/>
                <w:u w:val="none"/>
                <w:lang w:eastAsia="zh-CN"/>
              </w:rPr>
              <w:t xml:space="preserve">投标时须提供具备相应软件检测能力的第三方检测机构出具的测试报告扫描件</w:t>
            </w:r>
            <w:r>
              <w:rPr>
                <w:rFonts w:hint="eastAsia" w:ascii="Times New Roman" w:hAnsi="Times New Roman" w:eastAsia="宋体" w:cs="Times New Roman"/>
                <w:color w:val="000000"/>
                <w:sz w:val="24"/>
                <w:szCs w:val="24"/>
                <w:highlight w:val="none"/>
              </w:rPr>
              <w:t xml:space="preserve">）</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5</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缓存保护</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为防止存储控制器故障导致缓存数据丢失，要求本次投标存储系统须支持缓存数据三副本保护机制，最大限度保障数据的可靠性。</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6</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存储OS升级</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存储OS在线微码升级对系统、应用等业务无影响。</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7</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存储分析</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支持基于卷粒度的高级分析功能，可展示每一个卷的IOPS、时延及带宽性能指标。</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8</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▲数据复制</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最小异步复制间隔小于1分钟。（</w:t>
            </w:r>
            <w:r>
              <w:rPr>
                <w:rFonts w:hint="eastAsia" w:cs="Times New Roman"/>
                <w:color w:val="000000"/>
                <w:sz w:val="24"/>
                <w:szCs w:val="24"/>
                <w:highlight w:val="none"/>
                <w:lang w:eastAsia="zh-CN"/>
              </w:rPr>
              <w:t xml:space="preserve">投标时须提供具备相应软件检测能力的第三方检测机构出具的测试报告扫描件</w:t>
            </w:r>
            <w:r>
              <w:rPr>
                <w:rFonts w:hint="eastAsia" w:ascii="Times New Roman" w:hAnsi="Times New Roman" w:eastAsia="宋体" w:cs="Times New Roman"/>
                <w:color w:val="000000"/>
                <w:sz w:val="24"/>
                <w:szCs w:val="24"/>
                <w:highlight w:val="none"/>
              </w:rPr>
              <w:t xml:space="preserve">）</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9</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▲快速创建卷</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在部署应用时，为保证使用体验，要求在输入卷的属性和容量大小后，5秒内完成卷的创建交付。（</w:t>
            </w:r>
            <w:r>
              <w:rPr>
                <w:rFonts w:hint="eastAsia" w:cs="Times New Roman"/>
                <w:color w:val="000000"/>
                <w:sz w:val="24"/>
                <w:szCs w:val="24"/>
                <w:highlight w:val="none"/>
                <w:lang w:eastAsia="zh-CN"/>
              </w:rPr>
              <w:t xml:space="preserve">投标时须提供具备相应软件检测能力的第三方检测机构出具的测试报告扫描件</w:t>
            </w:r>
            <w:r>
              <w:rPr>
                <w:rFonts w:hint="eastAsia" w:ascii="Times New Roman" w:hAnsi="Times New Roman" w:eastAsia="宋体" w:cs="Times New Roman"/>
                <w:color w:val="000000"/>
                <w:sz w:val="24"/>
                <w:szCs w:val="24"/>
                <w:highlight w:val="none"/>
              </w:rPr>
              <w:t xml:space="preserve">）</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10</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快速重构</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支持快速重构的能力，可在20分钟之内完成1TB数据重构。</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11</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重删压缩</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配置全容量许可在线重删压缩功能，后续扩容无需额外购买许可。</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12</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QoS</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支持存储QoS，支持单卷和分区的IOPS上限和下限、Bandwidth上限和下限、Response Time设定。</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13</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自动精简</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配置全容量许可精简功能，实现存储空间超分配，后续扩容无需额外购买许可。</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14</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资源监控和预测</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支持性能监控和分析软件，高级图形化报表软件，可以定制历史运行数据的图形化报表。</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15</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存储双活</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支持存储双活功能，在不加额外网关的情况下可以实现和同厂商中端和高端型号存储组成双活阵列。</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16</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操作系统</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支持Windows、Linux、VMware、UNIX (HP-UX、AIX、Solaris等</w:t>
            </w:r>
            <w:r>
              <w:rPr>
                <w:rFonts w:hint="eastAsia"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w:t>
            </w:r>
            <w:r/>
          </w:p>
        </w:tc>
      </w:tr>
    </w:tbl>
    <w:p>
      <w:pPr>
        <w:pStyle w:val="739"/>
        <w:ind w:left="0" w:firstLine="0"/>
        <w:rPr>
          <w:rFonts w:hint="eastAsia" w:ascii="宋体" w:hAnsi="宋体" w:eastAsia="宋体"/>
          <w:color w:val="000000"/>
          <w:highlight w:val="none"/>
        </w:rPr>
      </w:pPr>
      <w:r>
        <w:rPr>
          <w:rFonts w:hint="eastAsia" w:ascii="宋体" w:hAnsi="宋体" w:eastAsia="宋体"/>
          <w:color w:val="000000"/>
          <w:highlight w:val="none"/>
          <w:lang w:val="en-US" w:eastAsia="zh-CN" w:bidi="en-US"/>
        </w:rPr>
        <w:t xml:space="preserve">5.备份存储</w:t>
      </w:r>
      <w:r/>
    </w:p>
    <w:tbl>
      <w:tblPr>
        <w:tblStyle w:val="727"/>
        <w:tblW w:w="91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90" w:type="dxa"/>
          <w:top w:w="60" w:type="dxa"/>
          <w:right w:w="90" w:type="dxa"/>
          <w:bottom w:w="60" w:type="dxa"/>
        </w:tblCellMar>
        <w:tblLook w:val="04A0" w:firstRow="1" w:lastRow="0" w:firstColumn="1" w:lastColumn="0" w:noHBand="0" w:noVBand="1"/>
      </w:tblPr>
      <w:tblGrid>
        <w:gridCol w:w="760"/>
        <w:gridCol w:w="2000"/>
        <w:gridCol w:w="6435"/>
      </w:tblGrid>
      <w:tr>
        <w:trPr>
          <w:cantSplit/>
          <w:jc w:val="center"/>
          <w:trHeight w:val="0"/>
          <w:tblHeader/>
        </w:trPr>
        <w:tc>
          <w:tcPr>
            <w:tcW w:w="760" w:type="dxa"/>
            <w:vAlign w:val="center"/>
            <w:textDirection w:val="lrTb"/>
            <w:noWrap w:val="false"/>
          </w:tcPr>
          <w:p>
            <w:pPr>
              <w:jc w:val="center"/>
              <w:spacing w:after="0" w:line="320" w:lineRule="auto"/>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序号</w:t>
            </w:r>
            <w:r/>
          </w:p>
        </w:tc>
        <w:tc>
          <w:tcPr>
            <w:tcW w:w="2000" w:type="dxa"/>
            <w:vAlign w:val="center"/>
            <w:textDirection w:val="lrTb"/>
            <w:noWrap w:val="false"/>
          </w:tcPr>
          <w:p>
            <w:pPr>
              <w:jc w:val="center"/>
              <w:spacing w:after="0" w:line="320" w:lineRule="auto"/>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指标项</w:t>
            </w:r>
            <w:r/>
          </w:p>
        </w:tc>
        <w:tc>
          <w:tcPr>
            <w:tcW w:w="6435" w:type="dxa"/>
            <w:vAlign w:val="center"/>
            <w:textDirection w:val="lrTb"/>
            <w:noWrap w:val="false"/>
          </w:tcPr>
          <w:p>
            <w:pPr>
              <w:jc w:val="center"/>
              <w:spacing w:after="0" w:line="320" w:lineRule="auto"/>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指标要求</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基础要求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配置≥2个存储控制器，配置高速缓存≥128G（缓存不包含SSD磁盘、PCI-E SSD、闪存和NAS控制器缓存），共提供≥4颗存储处理器，控制柜高度≥4U，总共硬盘裸容量≥320TB，配置快照、克隆、在线重删、在线压缩、自精简、远程复制、双活、QoS等功能，提供32Gb FC端口≥8个。</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基础要求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rPr>
              <w:t xml:space="preserve">满足服务稳定性要求，本次投标存储配置，单一存储控制器故障时，系统IOPS性能数值≥120000 IOPS，访问延迟≤0.5ms（实现条件：使用Vdbench或Iometer，4KB数据块，测试卷均匀分布在数据盘上，100%随机写入操作，开启2倍以上的实时重删压缩</w:t>
            </w:r>
            <w:r>
              <w:rPr>
                <w:rFonts w:hint="eastAsia" w:cs="Times New Roman"/>
                <w:color w:val="000000"/>
                <w:sz w:val="24"/>
                <w:szCs w:val="24"/>
                <w:highlight w:val="none"/>
                <w:lang w:eastAsia="zh-CN"/>
              </w:rPr>
              <w:t xml:space="preserve">）。</w:t>
            </w:r>
            <w:r/>
          </w:p>
          <w:p>
            <w:pPr>
              <w:jc w:val="left"/>
              <w:spacing w:after="0" w:line="320" w:lineRule="auto"/>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rPr>
              <w:t xml:space="preserve">（要求提供承诺函并加盖投标人公章，同时客户保留到货验收权利，如果到货设备无法满足要求，构成提供虚假材料谋取中标的</w:t>
            </w:r>
            <w:r>
              <w:rPr>
                <w:rFonts w:hint="eastAsia" w:cs="Times New Roman"/>
                <w:color w:val="000000"/>
                <w:sz w:val="24"/>
                <w:szCs w:val="24"/>
                <w:highlight w:val="none"/>
                <w:lang w:val="en-US" w:eastAsia="zh-CN"/>
              </w:rPr>
              <w:t xml:space="preserve">情形</w:t>
            </w:r>
            <w:r>
              <w:rPr>
                <w:rFonts w:hint="eastAsia" w:ascii="Times New Roman" w:hAnsi="Times New Roman" w:eastAsia="宋体" w:cs="Times New Roman"/>
                <w:color w:val="000000"/>
                <w:sz w:val="24"/>
                <w:szCs w:val="24"/>
                <w:highlight w:val="none"/>
              </w:rPr>
              <w:t xml:space="preserve">，由采购人报请财政部门依法处理</w:t>
            </w:r>
            <w:r>
              <w:rPr>
                <w:rFonts w:hint="eastAsia" w:cs="Times New Roman"/>
                <w:color w:val="000000"/>
                <w:sz w:val="24"/>
                <w:szCs w:val="24"/>
                <w:highlight w:val="none"/>
                <w:lang w:eastAsia="zh-CN"/>
              </w:rPr>
              <w:t xml:space="preserve">）</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Raid设计</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利用散列化RAID实现三重校验，混闪支持单一RAID组内任意3块盘同时故障数据无丢失。</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稳定性</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rPr>
              <w:t xml:space="preserve">▲单一控制器故障，存储IOPS性能及时延无明显变化。（</w:t>
            </w:r>
            <w:r>
              <w:rPr>
                <w:rFonts w:hint="eastAsia" w:cs="Times New Roman"/>
                <w:color w:val="000000"/>
                <w:sz w:val="24"/>
                <w:szCs w:val="24"/>
                <w:highlight w:val="none"/>
                <w:lang w:eastAsia="zh-CN"/>
              </w:rPr>
              <w:t xml:space="preserve">投标时须提供具备相应软件检测能力的第三方检测机构出具的测试报告扫描件</w:t>
            </w:r>
            <w:r>
              <w:rPr>
                <w:rFonts w:hint="eastAsia" w:ascii="Times New Roman" w:hAnsi="Times New Roman" w:eastAsia="宋体" w:cs="Times New Roman"/>
                <w:color w:val="000000"/>
                <w:sz w:val="24"/>
                <w:szCs w:val="24"/>
                <w:highlight w:val="none"/>
              </w:rPr>
              <w:t xml:space="preserve">）。</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5</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稳定性</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▲用户可自定义开启或关闭重删压缩功能，开启重删、压缩功能后，存储IOPS性能及时延无明显变化。（</w:t>
            </w:r>
            <w:r>
              <w:rPr>
                <w:rFonts w:hint="eastAsia" w:cs="Times New Roman"/>
                <w:color w:val="000000"/>
                <w:sz w:val="24"/>
                <w:szCs w:val="24"/>
                <w:highlight w:val="none"/>
                <w:lang w:eastAsia="zh-CN"/>
              </w:rPr>
              <w:t xml:space="preserve">投标时须提供具备相应软件检测能力的第三方检测机构出具的测试报告扫描件</w:t>
            </w:r>
            <w:r>
              <w:rPr>
                <w:rFonts w:hint="eastAsia" w:ascii="Times New Roman" w:hAnsi="Times New Roman" w:eastAsia="宋体" w:cs="Times New Roman"/>
                <w:color w:val="000000"/>
                <w:sz w:val="24"/>
                <w:szCs w:val="24"/>
                <w:highlight w:val="none"/>
              </w:rPr>
              <w:t xml:space="preserve">）。</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6</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稳定性</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▲开启快照、克隆功能后，存储IOPS性能及时延无明显变化。（</w:t>
            </w:r>
            <w:r>
              <w:rPr>
                <w:rFonts w:hint="eastAsia" w:cs="Times New Roman"/>
                <w:color w:val="000000"/>
                <w:sz w:val="24"/>
                <w:szCs w:val="24"/>
                <w:highlight w:val="none"/>
                <w:lang w:eastAsia="zh-CN"/>
              </w:rPr>
              <w:t xml:space="preserve">投标时须提供具备相应软件检测能力的第三方检测机构出具的测试报告扫描件</w:t>
            </w:r>
            <w:r>
              <w:rPr>
                <w:rFonts w:hint="eastAsia" w:ascii="Times New Roman" w:hAnsi="Times New Roman" w:eastAsia="宋体" w:cs="Times New Roman"/>
                <w:color w:val="000000"/>
                <w:sz w:val="24"/>
                <w:szCs w:val="24"/>
                <w:highlight w:val="none"/>
              </w:rPr>
              <w:t xml:space="preserve">）</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7</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在线升级</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支持在线微码升级，且升级过</w:t>
            </w:r>
            <w:r>
              <w:rPr>
                <w:rFonts w:hint="eastAsia" w:cs="Times New Roman"/>
                <w:color w:val="000000"/>
                <w:sz w:val="24"/>
                <w:szCs w:val="24"/>
                <w:highlight w:val="none"/>
                <w:lang w:eastAsia="zh-CN"/>
              </w:rPr>
              <w:t xml:space="preserve">程中</w:t>
            </w:r>
            <w:r>
              <w:rPr>
                <w:rFonts w:hint="eastAsia" w:ascii="Times New Roman" w:hAnsi="Times New Roman" w:eastAsia="宋体" w:cs="Times New Roman"/>
                <w:color w:val="000000"/>
                <w:sz w:val="24"/>
                <w:szCs w:val="24"/>
                <w:highlight w:val="none"/>
              </w:rPr>
              <w:t xml:space="preserve">业务不中断，IOPS 性能及延时不受影响。</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8</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性能推荐</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▲支持基于智能算法的性能分析与优化建议功能</w:t>
            </w:r>
            <w:r>
              <w:rPr>
                <w:rFonts w:hint="eastAsia"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使用后台机器学习模块分析性能问题并提供具体的解决性能问题的方案。（</w:t>
            </w:r>
            <w:r>
              <w:rPr>
                <w:rFonts w:hint="eastAsia" w:cs="Times New Roman"/>
                <w:color w:val="000000"/>
                <w:sz w:val="24"/>
                <w:szCs w:val="24"/>
                <w:highlight w:val="none"/>
                <w:lang w:eastAsia="zh-CN"/>
              </w:rPr>
              <w:t xml:space="preserve">投标时须提供具备相应软件检测能力的第三方检测机构出具的测试报告扫描件</w:t>
            </w:r>
            <w:r>
              <w:rPr>
                <w:rFonts w:hint="eastAsia" w:ascii="Times New Roman" w:hAnsi="Times New Roman" w:eastAsia="宋体" w:cs="Times New Roman"/>
                <w:color w:val="000000"/>
                <w:sz w:val="24"/>
                <w:szCs w:val="24"/>
                <w:highlight w:val="none"/>
              </w:rPr>
              <w:t xml:space="preserve">）</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9</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存储双活</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支持存储双活功能，在不加额外网关的情况下可以实现和同厂商中端和高端型号存储组成双活阵列。 </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10</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管理</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提供图形化管理界面，配置命令行及存储集群统一图形化管理界面，支持日志监控及审计。</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11</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操作系统</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支持MS Windows、VMware ESX、Linux、AIX、PowerVM、HP UNIX、Solaris、Oracle Linux、Oracle VM等多种操作系统。</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12</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应用集成</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支持VMware VAAI、SRM、vCenter、vVols、Oracle、SAP、SAP HANA TDI、CITRIX、MS ODX、MS HyperV、MC SCVMM、CommVault等集成。</w:t>
            </w:r>
            <w:r/>
          </w:p>
        </w:tc>
      </w:tr>
    </w:tbl>
    <w:p>
      <w:pPr>
        <w:pStyle w:val="739"/>
        <w:ind w:left="0" w:firstLine="0"/>
        <w:rPr>
          <w:rFonts w:hint="eastAsia" w:ascii="宋体" w:hAnsi="宋体" w:eastAsia="宋体"/>
          <w:color w:val="000000"/>
          <w:highlight w:val="none"/>
        </w:rPr>
      </w:pPr>
      <w:r>
        <w:rPr>
          <w:rFonts w:hint="eastAsia" w:ascii="宋体" w:hAnsi="宋体" w:eastAsia="宋体"/>
          <w:color w:val="000000"/>
          <w:highlight w:val="none"/>
          <w:lang w:val="en-US" w:eastAsia="zh-CN" w:bidi="en-US"/>
        </w:rPr>
        <w:t xml:space="preserve">6.容灾管理平台</w:t>
      </w:r>
      <w:r/>
    </w:p>
    <w:tbl>
      <w:tblPr>
        <w:tblStyle w:val="727"/>
        <w:tblW w:w="91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90" w:type="dxa"/>
          <w:top w:w="60" w:type="dxa"/>
          <w:right w:w="90" w:type="dxa"/>
          <w:bottom w:w="60" w:type="dxa"/>
        </w:tblCellMar>
        <w:tblLook w:val="04A0" w:firstRow="1" w:lastRow="0" w:firstColumn="1" w:lastColumn="0" w:noHBand="0" w:noVBand="1"/>
      </w:tblPr>
      <w:tblGrid>
        <w:gridCol w:w="760"/>
        <w:gridCol w:w="2000"/>
        <w:gridCol w:w="6435"/>
      </w:tblGrid>
      <w:tr>
        <w:trPr>
          <w:cantSplit/>
          <w:jc w:val="center"/>
          <w:trHeight w:val="0"/>
          <w:tblHeader/>
        </w:trPr>
        <w:tc>
          <w:tcPr>
            <w:tcW w:w="760" w:type="dxa"/>
            <w:vAlign w:val="center"/>
            <w:textDirection w:val="lrTb"/>
            <w:noWrap w:val="false"/>
          </w:tcPr>
          <w:p>
            <w:pPr>
              <w:jc w:val="center"/>
              <w:spacing w:after="0" w:line="320" w:lineRule="auto"/>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序号</w:t>
            </w:r>
            <w:r/>
          </w:p>
        </w:tc>
        <w:tc>
          <w:tcPr>
            <w:tcW w:w="2000" w:type="dxa"/>
            <w:vAlign w:val="center"/>
            <w:textDirection w:val="lrTb"/>
            <w:noWrap w:val="false"/>
          </w:tcPr>
          <w:p>
            <w:pPr>
              <w:jc w:val="center"/>
              <w:spacing w:after="0" w:line="320" w:lineRule="auto"/>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指标项</w:t>
            </w:r>
            <w:r/>
          </w:p>
        </w:tc>
        <w:tc>
          <w:tcPr>
            <w:tcW w:w="6435" w:type="dxa"/>
            <w:vAlign w:val="center"/>
            <w:textDirection w:val="lrTb"/>
            <w:noWrap w:val="false"/>
          </w:tcPr>
          <w:p>
            <w:pPr>
              <w:jc w:val="center"/>
              <w:spacing w:after="0" w:line="320" w:lineRule="auto"/>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指标要求</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基本要求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本次提供不少于5套数据库的实时同步容灾及CDP功能，100个虚拟机系统的实时容灾保护，15个虚拟机系统的CDP保护。</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数据库容灾功能要求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全面支持整库、Schema级别、表级别的数据库双活同步，目标数据库可实时读和写，目标端可随时提供实时查询等功能。</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数据库容灾功能要求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通过图形化支持采用独立于Oracle的体系架构和基于Oracle日志捕捉方式的逻辑复制策略，复制时不影响源库与目标端的正常运行。支持依赖于主键（where）方式的同步和基于rowid技术的数据同步。支持生产端数据库在归档和非归档模式下的数据复制。</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数据库容灾功能要求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通过图形化支持源库与目标端复制时均处于open状态，数据库可实时读和写，目标端可随时提供实时查询等功能。</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5</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数据库容灾功能要求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支持目标端数据库一键接管功能，实现业务系统快速切换。</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6</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数据库容灾功能要求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支持自动添加复制内容，能复制指定用户及数据表，包括Table、Table Partition 、View、MView、Package、Package body、Index、Sequence、Procedure、Function、Trigger、Synonym、Privilege、Type/Type body、Java、Directory、用户权限。</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7</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数据库容灾功能要求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支持针对源表的部分字段同步，以及源表和备端表不同列名之间的列映射同步。</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8</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数据库容灾功能要求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支持同步时针对全量同步对象过滤设置,不限于索引、视图、函数、触发器等。</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9</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数据库容灾功能要求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支持字段拼接设置，包括但不限于追加、</w:t>
            </w:r>
            <w:r>
              <w:rPr>
                <w:rFonts w:hint="eastAsia" w:cs="Times New Roman"/>
                <w:color w:val="000000"/>
                <w:sz w:val="24"/>
                <w:szCs w:val="24"/>
                <w:highlight w:val="none"/>
                <w:lang w:val="en-US" w:eastAsia="zh-CN"/>
              </w:rPr>
              <w:t xml:space="preserve">前缀</w:t>
            </w:r>
            <w:r>
              <w:rPr>
                <w:rFonts w:hint="eastAsia" w:ascii="Times New Roman" w:hAnsi="Times New Roman" w:eastAsia="宋体" w:cs="Times New Roman"/>
                <w:color w:val="000000"/>
                <w:sz w:val="24"/>
                <w:szCs w:val="24"/>
                <w:highlight w:val="none"/>
              </w:rPr>
              <w:t xml:space="preserve">、</w:t>
            </w:r>
            <w:r>
              <w:rPr>
                <w:rFonts w:hint="eastAsia" w:cs="Times New Roman"/>
                <w:color w:val="000000"/>
                <w:sz w:val="24"/>
                <w:szCs w:val="24"/>
                <w:highlight w:val="none"/>
                <w:lang w:val="en-US" w:eastAsia="zh-CN"/>
              </w:rPr>
              <w:t xml:space="preserve">后缀</w:t>
            </w:r>
            <w:r>
              <w:rPr>
                <w:rFonts w:hint="eastAsia" w:ascii="Times New Roman" w:hAnsi="Times New Roman" w:eastAsia="宋体" w:cs="Times New Roman"/>
                <w:color w:val="000000"/>
                <w:sz w:val="24"/>
                <w:szCs w:val="24"/>
                <w:highlight w:val="none"/>
              </w:rPr>
              <w:t xml:space="preserve">、常量、拼接、加、减、乘等类型。</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10</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数据库容灾功能要求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支持同步时增量同步对象过滤设置,过滤设置不限于表、分区表、索引、授权、物化视图、表空间等DDL操作。</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11</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数据库容灾功能要求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支持目标端自动复制表空间要求。可达到源端添加/扩容表空间后，备端自动添加/扩容表空间。</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12</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数据库容灾功能要求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支持数据库对象在线比较，并能通过图表方式提醒用户差异结果。支持差异对象的一键式修复。</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13</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数据库容灾功能要求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支持按照表、用户、整库为单位在线比较，并能够通过图表方式提醒用户差异结果。支持按照表、用户、整库为单位的一键式修复，包括但不限于自动修复、手工修复，且支持相关联的表一并修复。</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14</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数据库容灾功能要求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支持作业开始之前对环境进行相应检查，包括但不限于数据库连接状态、版本号、字符集、redo大小、连接线程数、db_files等。</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15</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业务系统容灾功能要求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支持高可用组，切换过程中组内的高可用规则按阶段顺序串行或并行切换。</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16</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业务系统容灾功能要求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灾备端应用程序、数据和生产机保持一致,直接可用,无须数据还原</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17</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业务系统容灾功能要求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能够在线监测生产机主机、网络、系统进程故障，故障发生后灾备端自动或手动接管</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18</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业务系统容灾功能要求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灾备端增量数据可自动反向复制到生产端</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19</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业务系统容灾功能要求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支持异地机房、基于专线或广域网的应用级高可用保护。</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20</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业务系统容灾功能要求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提供自定义脚本功能：支持自定义脚本功能，在整个业务切换过程中，能够流程化启动或停止相关应用服务，确保切换后业务系统对外提供服务。</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21</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业务系统容灾功能要求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▲提供数据验证功能，支持源端与目标端数据进行在线的MD5值对比校验确保数据一致性，并生成报告。帮助用户清楚</w:t>
            </w:r>
            <w:r>
              <w:rPr>
                <w:rFonts w:hint="eastAsia" w:cs="Times New Roman"/>
                <w:color w:val="000000"/>
                <w:sz w:val="24"/>
                <w:szCs w:val="24"/>
                <w:highlight w:val="none"/>
                <w:lang w:eastAsia="zh-CN"/>
              </w:rPr>
              <w:t xml:space="preserve">地</w:t>
            </w:r>
            <w:r>
              <w:rPr>
                <w:rFonts w:hint="eastAsia" w:ascii="Times New Roman" w:hAnsi="Times New Roman" w:eastAsia="宋体" w:cs="Times New Roman"/>
                <w:color w:val="000000"/>
                <w:sz w:val="24"/>
                <w:szCs w:val="24"/>
                <w:highlight w:val="none"/>
              </w:rPr>
              <w:t xml:space="preserve">验证生产数据和目标端数据是否一致，杜绝因数据不一致导致容灾接管失败。（投标时提供功能截图）</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22</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业务系统容灾功能要求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支持断点续传</w:t>
            </w:r>
            <w:r>
              <w:rPr>
                <w:rFonts w:hint="eastAsia"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网络中断或灾备端不可达等异常情况</w:t>
            </w:r>
            <w:r>
              <w:rPr>
                <w:rFonts w:hint="eastAsia"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恢复后支持断点续传</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23</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业务系统容灾功能要求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支持复制作业多线程并行传输，提高数据传输效率</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24</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业务系统容灾功能要求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支持数据镜像多种校验方式，严格校验、时间校验等； </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25</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业务系统容灾功能要求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高可用数据传输过程可加密（AES/SM4</w:t>
            </w:r>
            <w:r>
              <w:rPr>
                <w:rFonts w:hint="eastAsia"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 和压缩</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26</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CDP保护功能要求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实时备份系统支持基于的卷、文件夹、文件等多种细粒度的数据实时复制功能，用户可以根据实际需求灵活选择备份对象，从而有效避免备份无效数据。</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27</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CDP保护功能要求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复制过程中，源端文件删除时支持将源端删除的文件归档保存在NAS等存储中，支持重命名保存以及忽略删除操作等方式，可实现源端删除文件在复制过程</w:t>
            </w:r>
            <w:r>
              <w:rPr>
                <w:rFonts w:hint="eastAsia" w:cs="Times New Roman"/>
                <w:color w:val="000000"/>
                <w:sz w:val="24"/>
                <w:szCs w:val="24"/>
                <w:highlight w:val="none"/>
                <w:lang w:val="en-US" w:eastAsia="zh-CN"/>
              </w:rPr>
              <w:t xml:space="preserve">中</w:t>
            </w:r>
            <w:r>
              <w:rPr>
                <w:rFonts w:hint="eastAsia" w:ascii="Times New Roman" w:hAnsi="Times New Roman" w:eastAsia="宋体" w:cs="Times New Roman"/>
                <w:color w:val="000000"/>
                <w:sz w:val="24"/>
                <w:szCs w:val="24"/>
                <w:highlight w:val="none"/>
              </w:rPr>
              <w:t xml:space="preserve">自动归档到指定的存储，用于恢复、审计等场景。</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28</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CDP保护功能要求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▲实时备份恢复界面可显示所需恢复文件名称、文件路径、文件写入、修改、删除时间，</w:t>
            </w:r>
            <w:r>
              <w:rPr>
                <w:rFonts w:hint="eastAsia" w:ascii="Times New Roman" w:hAnsi="Times New Roman" w:eastAsia="宋体" w:cs="Times New Roman"/>
                <w:color w:val="000000"/>
                <w:sz w:val="24"/>
                <w:szCs w:val="24"/>
                <w:highlight w:val="none"/>
              </w:rPr>
              <w:t xml:space="preserve">且</w:t>
            </w:r>
            <w:r>
              <w:rPr>
                <w:rFonts w:hint="eastAsia" w:cs="Times New Roman"/>
                <w:color w:val="000000"/>
                <w:sz w:val="24"/>
                <w:szCs w:val="24"/>
                <w:highlight w:val="none"/>
                <w:lang w:val="en-US" w:eastAsia="zh-CN"/>
              </w:rPr>
              <w:t xml:space="preserve">细粒</w:t>
            </w:r>
            <w:r>
              <w:rPr>
                <w:rFonts w:hint="eastAsia" w:ascii="Times New Roman" w:hAnsi="Times New Roman" w:eastAsia="宋体" w:cs="Times New Roman"/>
                <w:color w:val="000000"/>
                <w:sz w:val="24"/>
                <w:szCs w:val="24"/>
                <w:highlight w:val="none"/>
              </w:rPr>
              <w:t xml:space="preserve">度达到</w:t>
            </w:r>
            <w:r>
              <w:rPr>
                <w:rFonts w:hint="eastAsia" w:cs="Times New Roman"/>
                <w:color w:val="000000"/>
                <w:sz w:val="24"/>
                <w:szCs w:val="24"/>
                <w:highlight w:val="none"/>
                <w:lang w:val="en-US" w:eastAsia="zh-CN"/>
              </w:rPr>
              <w:t xml:space="preserve">微秒级时间戳（小数点后第六位）</w:t>
            </w:r>
            <w:r>
              <w:rPr>
                <w:rFonts w:hint="eastAsia" w:ascii="Times New Roman" w:hAnsi="Times New Roman" w:eastAsia="宋体" w:cs="Times New Roman"/>
                <w:color w:val="000000"/>
                <w:sz w:val="24"/>
                <w:szCs w:val="24"/>
                <w:highlight w:val="none"/>
              </w:rPr>
              <w:t xml:space="preserve">，方便数据恢复点查找。（</w:t>
            </w:r>
            <w:r>
              <w:rPr>
                <w:rFonts w:hint="eastAsia" w:cs="Times New Roman"/>
                <w:color w:val="000000"/>
                <w:sz w:val="24"/>
                <w:szCs w:val="24"/>
                <w:highlight w:val="none"/>
                <w:lang w:eastAsia="zh-CN"/>
              </w:rPr>
              <w:t xml:space="preserve">投标时须提供具备相应软件检测能力的第三方检测机构出具的测试报告扫描件</w:t>
            </w:r>
            <w:r>
              <w:rPr>
                <w:rFonts w:hint="eastAsia" w:ascii="Times New Roman" w:hAnsi="Times New Roman" w:eastAsia="宋体" w:cs="Times New Roman"/>
                <w:color w:val="000000"/>
                <w:sz w:val="24"/>
                <w:szCs w:val="24"/>
                <w:highlight w:val="none"/>
              </w:rPr>
              <w:t xml:space="preserve">，报告中需包含恢复点精确</w:t>
            </w:r>
            <w:r>
              <w:rPr>
                <w:rFonts w:hint="eastAsia" w:cs="Times New Roman"/>
                <w:color w:val="000000"/>
                <w:sz w:val="24"/>
                <w:szCs w:val="24"/>
                <w:highlight w:val="none"/>
                <w:lang w:val="en-US" w:eastAsia="zh-CN"/>
              </w:rPr>
              <w:t xml:space="preserve">到微秒级(</w:t>
            </w:r>
            <w:r>
              <w:rPr>
                <w:rFonts w:hint="eastAsia" w:ascii="Times New Roman" w:hAnsi="Times New Roman" w:eastAsia="宋体" w:cs="Times New Roman"/>
                <w:color w:val="000000"/>
                <w:sz w:val="24"/>
                <w:szCs w:val="24"/>
                <w:highlight w:val="none"/>
              </w:rPr>
              <w:t xml:space="preserve">小数点后第六位</w:t>
            </w:r>
            <w:r>
              <w:rPr>
                <w:rFonts w:hint="eastAsia" w:cs="Times New Roman"/>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rPr>
              <w:t xml:space="preserve">的关键页截图）</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29</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CDP保护功能要求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实时备份软件在失效情况下，具备快速恢复机制，确保备份系统能够进行系统恢复。</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30</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CDP保护功能要求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为保证备份数据有效性、可恢复性，实时备份软件在掉电、网络中断、异常退出情况下有保护机制，防止软件和备份数据被破坏，导致备份数据无法恢复。</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31</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CDP保护功能要求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实时备份过程中实现多线程并行任务，一条规则即可实现不少于8个并发线程任务，加快实时备份速度。</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32</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CDP保护功能要求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在实时备份过程中，提供数据比较功能，能够存储大量的比较结果，数量不少于1000份，以确保数据的一致性和安全性。</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33</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CDP保护功能要求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实时备份支持文件名转换功能，可实现备份数据增加前缀、后缀名，修改文件名大小写功能，并支持用户自定义正则式匹配，用以确保备份数据的唯一性。</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34</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CDP保护功能要求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实时备份系统支持自动停止镜像功能，用户可以根据实际需求自定义设置时间范围。当达到预设的时间范围时，系统会自动暂停备份任务，从而避免勒索病毒对备份端的潜在风险。</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35</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安全性要求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管理平台具备威胁感知记录能力，针对恶意攻击、访问、篡改等均进行记录，并可直接查询到被攻击路径，用于数据安全统计与回溯。</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36</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安全性要求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支持将平台信息写入ETCD集群，用于确保平台的可用性与可扩展性。</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37</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安全性要求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控制台支持进程的监控及启停操作，且节点关键进程被kill后会自动启动。</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38</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安全性要求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▲具备备端防篡改能力，支持不可变存储，避免病毒恶意篡改备份数据，用于确保备份数据的安全性。（</w:t>
            </w:r>
            <w:r>
              <w:rPr>
                <w:rFonts w:hint="eastAsia" w:cs="Times New Roman"/>
                <w:color w:val="000000"/>
                <w:sz w:val="24"/>
                <w:szCs w:val="24"/>
                <w:highlight w:val="none"/>
                <w:lang w:eastAsia="zh-CN"/>
              </w:rPr>
              <w:t xml:space="preserve">投标时须提供具备相应软件检测能力的第三方检测机构出具的测试报告扫描件</w:t>
            </w:r>
            <w:r>
              <w:rPr>
                <w:rFonts w:hint="eastAsia" w:ascii="Times New Roman" w:hAnsi="Times New Roman" w:eastAsia="宋体" w:cs="Times New Roman"/>
                <w:color w:val="000000"/>
                <w:sz w:val="24"/>
                <w:szCs w:val="24"/>
                <w:highlight w:val="none"/>
              </w:rPr>
              <w:t xml:space="preserve">）</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39</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监控告警要求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支持数据复制的实时监控功能，包括但不限于当前复制状态、延迟、速率、数据复制进度。</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40</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监控告警要求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支持通过站内信、电子邮件、短信、微信、企业微信、钉钉、SNMP、Kafka、Webhook等方式消息告警。</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41</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监控告警要求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支持自定义告警消息内容模板，对包含必要参数变量的告警内容做自定义，满足个性化格式/内容要求</w:t>
            </w:r>
            <w:r/>
          </w:p>
        </w:tc>
      </w:tr>
    </w:tbl>
    <w:p>
      <w:pPr>
        <w:pStyle w:val="739"/>
        <w:ind w:left="0" w:firstLine="0"/>
        <w:rPr>
          <w:rFonts w:hint="eastAsia" w:ascii="宋体" w:hAnsi="宋体" w:eastAsia="宋体"/>
          <w:color w:val="000000"/>
          <w:highlight w:val="none"/>
        </w:rPr>
      </w:pPr>
      <w:r>
        <w:rPr>
          <w:rFonts w:hint="eastAsia" w:ascii="宋体" w:hAnsi="宋体" w:eastAsia="宋体"/>
          <w:color w:val="000000"/>
          <w:highlight w:val="none"/>
          <w:lang w:val="en-US" w:eastAsia="zh-CN" w:bidi="en-US"/>
        </w:rPr>
        <w:t xml:space="preserve">7.备份管理平台</w:t>
      </w:r>
      <w:r/>
    </w:p>
    <w:tbl>
      <w:tblPr>
        <w:tblStyle w:val="727"/>
        <w:tblW w:w="91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90" w:type="dxa"/>
          <w:top w:w="60" w:type="dxa"/>
          <w:right w:w="90" w:type="dxa"/>
          <w:bottom w:w="60" w:type="dxa"/>
        </w:tblCellMar>
        <w:tblLook w:val="04A0" w:firstRow="1" w:lastRow="0" w:firstColumn="1" w:lastColumn="0" w:noHBand="0" w:noVBand="1"/>
      </w:tblPr>
      <w:tblGrid>
        <w:gridCol w:w="760"/>
        <w:gridCol w:w="2000"/>
        <w:gridCol w:w="6435"/>
      </w:tblGrid>
      <w:tr>
        <w:trPr>
          <w:cantSplit/>
          <w:jc w:val="center"/>
          <w:trHeight w:val="0"/>
          <w:tblHeader/>
        </w:trPr>
        <w:tc>
          <w:tcPr>
            <w:tcW w:w="760" w:type="dxa"/>
            <w:vAlign w:val="center"/>
            <w:textDirection w:val="lrTb"/>
            <w:noWrap w:val="false"/>
          </w:tcPr>
          <w:p>
            <w:pPr>
              <w:jc w:val="center"/>
              <w:spacing w:after="0" w:line="320" w:lineRule="auto"/>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序号</w:t>
            </w:r>
            <w:r/>
          </w:p>
        </w:tc>
        <w:tc>
          <w:tcPr>
            <w:tcW w:w="2000" w:type="dxa"/>
            <w:vAlign w:val="center"/>
            <w:textDirection w:val="lrTb"/>
            <w:noWrap w:val="false"/>
          </w:tcPr>
          <w:p>
            <w:pPr>
              <w:jc w:val="center"/>
              <w:spacing w:after="0" w:line="320" w:lineRule="auto"/>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指标项</w:t>
            </w:r>
            <w:r/>
          </w:p>
        </w:tc>
        <w:tc>
          <w:tcPr>
            <w:tcW w:w="6435" w:type="dxa"/>
            <w:vAlign w:val="center"/>
            <w:textDirection w:val="lrTb"/>
            <w:noWrap w:val="false"/>
          </w:tcPr>
          <w:p>
            <w:pPr>
              <w:jc w:val="center"/>
              <w:spacing w:after="0" w:line="320" w:lineRule="auto"/>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指标要求</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基本要求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rPr>
              <w:t xml:space="preserve">本次提供不少于200TB备份容量许可</w:t>
            </w:r>
            <w:r>
              <w:rPr>
                <w:rFonts w:hint="eastAsia" w:cs="Times New Roman"/>
                <w:color w:val="000000"/>
                <w:sz w:val="24"/>
                <w:szCs w:val="24"/>
                <w:highlight w:val="none"/>
                <w:lang w:eastAsia="zh-CN"/>
              </w:rPr>
              <w:t xml:space="preserve">。</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备份功能要求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支持备份系统业务相关任务的统一调度，例如备份、恢复、过期/无效数据清理、备份集复制、备份集验证、磁带清点、磁带擦除等相关任务的统一调度管理。</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备份功能要求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支持主流数据库的合成备份，并支持数据库级别的瞬时恢复与普通恢复等多种恢复方式。</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备份功能要求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备份集导入特性，可支持本地磁盘、NAS存储、对象存储、ZFS文件系统等不同类型的存储介质内的备份集进行发现或导入，同时支持按设置备份集导入规则，按备份集导入规则进行导入。（投标时提供功能截图）</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5</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备份功能要求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支持备份集导入规则设置，新导入的备份集保留时间可选择源备份集保留时间或按需自定义0-99级的保留等级。</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6</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备份功能要求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支持关联多台备份服务器存储，实现备份任务级别的负载均衡及高可用能力，即单个备份服务器故障时备份任务可快速切换至其他节点继续运行，极大提高海量数据备份效率。</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7</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备份功能要求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无代理备份模式下支持虚机自动发现</w:t>
            </w:r>
            <w:r>
              <w:rPr>
                <w:rFonts w:hint="eastAsia"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可根据虚机名称、物理位置、逻辑位置自动发现新增虚拟机加入备份规则。</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8</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备份功能要求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虚拟化无代理备份模式下支持备份数据存储格式自定义，支持自有紧凑或RAW格式，保障备份存储的备份空间最大利用率。</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9</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备份功能要求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▲整机备份场景下提供数据库保护能力，对生产端数据库在备份时保证备份数据的一致性，支持Oracle、SQLServer，支持主流数据库的自定义备份前置后置脚本。（投标时提供功能截图）</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10</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备份功能要求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支持存储单元级别的并发任务数限制，实现该存储单元的IO资源合理利</w:t>
            </w:r>
            <w:r>
              <w:rPr>
                <w:rFonts w:hint="eastAsia" w:cs="Times New Roman"/>
                <w:color w:val="000000"/>
                <w:sz w:val="24"/>
                <w:szCs w:val="24"/>
                <w:highlight w:val="none"/>
                <w:lang w:eastAsia="zh-CN"/>
              </w:rPr>
              <w:t xml:space="preserve">用和</w:t>
            </w:r>
            <w:r>
              <w:rPr>
                <w:rFonts w:hint="eastAsia" w:ascii="Times New Roman" w:hAnsi="Times New Roman" w:eastAsia="宋体" w:cs="Times New Roman"/>
                <w:color w:val="000000"/>
                <w:sz w:val="24"/>
                <w:szCs w:val="24"/>
                <w:highlight w:val="none"/>
              </w:rPr>
              <w:t xml:space="preserve">分配。</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11</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备份功能要求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▲支持断点续传能力，因网络链路、机器故障等导致备份工作中断的场景下，环境恢复</w:t>
            </w:r>
            <w:r>
              <w:rPr>
                <w:rFonts w:hint="eastAsia" w:cs="Times New Roman"/>
                <w:color w:val="000000"/>
                <w:sz w:val="24"/>
                <w:szCs w:val="24"/>
                <w:highlight w:val="none"/>
                <w:lang w:val="en-US" w:eastAsia="zh-CN"/>
              </w:rPr>
              <w:t xml:space="preserve">正常</w:t>
            </w:r>
            <w:r>
              <w:rPr>
                <w:rFonts w:hint="eastAsia" w:ascii="Times New Roman" w:hAnsi="Times New Roman" w:eastAsia="宋体" w:cs="Times New Roman"/>
                <w:color w:val="000000"/>
                <w:sz w:val="24"/>
                <w:szCs w:val="24"/>
                <w:highlight w:val="none"/>
              </w:rPr>
              <w:t xml:space="preserve">后，备份可以按增量的方式从断点处自动恢复备份作业，保证备份的安全、稳定。</w:t>
            </w:r>
            <w:r>
              <w:rPr>
                <w:rFonts w:hint="eastAsia" w:cs="Times New Roman"/>
                <w:color w:val="000000"/>
                <w:sz w:val="24"/>
                <w:szCs w:val="24"/>
                <w:highlight w:val="none"/>
                <w:lang w:eastAsia="zh-CN"/>
              </w:rPr>
              <w:t xml:space="preserve">（投标时须提供具备相应软件检测能力的第三方检测机构出具的测试报告扫描件</w:t>
            </w:r>
            <w:r>
              <w:rPr>
                <w:rFonts w:hint="eastAsia" w:ascii="Times New Roman" w:hAnsi="Times New Roman" w:eastAsia="宋体" w:cs="Times New Roman"/>
                <w:color w:val="000000"/>
                <w:sz w:val="24"/>
                <w:szCs w:val="24"/>
                <w:highlight w:val="none"/>
              </w:rPr>
              <w:t xml:space="preserve">）</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12</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备份功能要求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▲支持整机自动演练，自动演练生成的虚拟机可正常访问，并与源端数据一致，并可在产品界面查看演练报告，支持根据恢复策略自动化进行灾难恢复，并自动生成灾难恢复报告</w:t>
            </w:r>
            <w:r>
              <w:rPr>
                <w:rFonts w:hint="eastAsia" w:cs="Times New Roman"/>
                <w:color w:val="000000"/>
                <w:sz w:val="24"/>
                <w:szCs w:val="24"/>
                <w:highlight w:val="none"/>
                <w:lang w:eastAsia="zh-CN"/>
              </w:rPr>
              <w:t xml:space="preserve">（投标时须提供具备相应软件检测能力的第三方检测机构出具的测试报告扫描件</w:t>
            </w:r>
            <w:r>
              <w:rPr>
                <w:rFonts w:hint="eastAsia" w:ascii="Times New Roman" w:hAnsi="Times New Roman" w:eastAsia="宋体" w:cs="Times New Roman"/>
                <w:color w:val="000000"/>
                <w:sz w:val="24"/>
                <w:szCs w:val="24"/>
                <w:highlight w:val="none"/>
              </w:rPr>
              <w:t xml:space="preserve">）</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13</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备份功能要求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▲支持永久增量备份，实现首次完全备份后，后续所有备份均为增量备份，每次增量备份均能与上次备份的副本数据进行合并，形成一份全新的生产数据副本。</w:t>
            </w:r>
            <w:r>
              <w:rPr>
                <w:rFonts w:hint="eastAsia" w:cs="Times New Roman"/>
                <w:color w:val="000000"/>
                <w:sz w:val="24"/>
                <w:szCs w:val="24"/>
                <w:highlight w:val="none"/>
                <w:lang w:eastAsia="zh-CN"/>
              </w:rPr>
              <w:t xml:space="preserve">（投标时须提供具备相应软件检测能力的第三方检测机构出具的测试报告扫描件</w:t>
            </w:r>
            <w:r>
              <w:rPr>
                <w:rFonts w:hint="eastAsia" w:ascii="Times New Roman" w:hAnsi="Times New Roman" w:eastAsia="宋体" w:cs="Times New Roman"/>
                <w:color w:val="000000"/>
                <w:sz w:val="24"/>
                <w:szCs w:val="24"/>
                <w:highlight w:val="none"/>
              </w:rPr>
              <w:t xml:space="preserve">）</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14</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备份功能要求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提供基于指纹库的重删池，支持自定义指纹库目录、数据块目录、存储空间回收策略。支持源端重删和目的端重删。</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15</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备份功能要求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支持多个客户端、多个备份规则共享重删指纹库，或根据业务备份需求分配相应的指纹库。</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16</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安全性要求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管理平台具备威胁感知记录能力，针对恶意攻击、访问、篡改等均进行记录，并可直接查询到被攻击路径，用于数据安全统计与回溯。</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17</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安全性要求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支持将平台信息写入ETCD集群，用于确保平台的可用性与可扩展性。</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18</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安全性要求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支持备份数据压缩加密，无关数据源，启用此功能后，备份任务可根据备份服务器创建的密钥名称及选择的加密算法等对备份数据进行压缩加密处理。</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19</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安全性要求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控制台支持备份进程的监控及启停操作，且节点关键进程被kill后会自动启动。</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20</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安全性要求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具备备端防篡改能力，支持不可变存储，避免病毒恶意篡改备份数据，用于确保备份数据的安全性。</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21</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监控告警要求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支持数据复制的实时监控功能，包括但不限于当前复制状态、延迟、速率、数据复制进度。</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22</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监控告警要求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支持通过站内信、电子邮件、短信、微信、企业微信、钉钉、SNMP、Kafka、Webhook等方式消息告警。</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23</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监控告警要求</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支持自定义告警消息内容模板，对包含必要参数变量的告警内容做自定义，满足个性化格式/内容要求。</w:t>
            </w:r>
            <w:r/>
          </w:p>
        </w:tc>
      </w:tr>
    </w:tbl>
    <w:p>
      <w:pPr>
        <w:pStyle w:val="739"/>
        <w:ind w:left="0" w:firstLine="0"/>
        <w:rPr>
          <w:rFonts w:hint="eastAsia" w:ascii="宋体" w:hAnsi="宋体" w:eastAsia="宋体"/>
          <w:color w:val="000000"/>
          <w:highlight w:val="none"/>
        </w:rPr>
      </w:pPr>
      <w:r>
        <w:rPr>
          <w:rFonts w:hint="eastAsia" w:ascii="宋体" w:hAnsi="宋体" w:eastAsia="宋体"/>
          <w:color w:val="000000"/>
          <w:highlight w:val="none"/>
          <w:lang w:val="en-US" w:eastAsia="zh-CN" w:bidi="en-US"/>
        </w:rPr>
        <w:t xml:space="preserve">8.集成服务</w:t>
      </w:r>
      <w:r/>
    </w:p>
    <w:tbl>
      <w:tblPr>
        <w:tblStyle w:val="727"/>
        <w:tblW w:w="91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90" w:type="dxa"/>
          <w:top w:w="60" w:type="dxa"/>
          <w:right w:w="90" w:type="dxa"/>
          <w:bottom w:w="60" w:type="dxa"/>
        </w:tblCellMar>
        <w:tblLook w:val="04A0" w:firstRow="1" w:lastRow="0" w:firstColumn="1" w:lastColumn="0" w:noHBand="0" w:noVBand="1"/>
      </w:tblPr>
      <w:tblGrid>
        <w:gridCol w:w="760"/>
        <w:gridCol w:w="2000"/>
        <w:gridCol w:w="6435"/>
      </w:tblGrid>
      <w:tr>
        <w:trPr>
          <w:cantSplit/>
          <w:jc w:val="center"/>
          <w:trHeight w:val="0"/>
          <w:tblHeader/>
        </w:trPr>
        <w:tc>
          <w:tcPr>
            <w:tcW w:w="760" w:type="dxa"/>
            <w:vAlign w:val="center"/>
            <w:textDirection w:val="lrTb"/>
            <w:noWrap w:val="false"/>
          </w:tcPr>
          <w:p>
            <w:pPr>
              <w:jc w:val="center"/>
              <w:spacing w:after="0" w:line="320" w:lineRule="auto"/>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序号</w:t>
            </w:r>
            <w:r/>
          </w:p>
        </w:tc>
        <w:tc>
          <w:tcPr>
            <w:tcW w:w="2000" w:type="dxa"/>
            <w:vAlign w:val="center"/>
            <w:textDirection w:val="lrTb"/>
            <w:noWrap w:val="false"/>
          </w:tcPr>
          <w:p>
            <w:pPr>
              <w:jc w:val="center"/>
              <w:spacing w:after="0" w:line="320" w:lineRule="auto"/>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指标项</w:t>
            </w:r>
            <w:r/>
          </w:p>
        </w:tc>
        <w:tc>
          <w:tcPr>
            <w:tcW w:w="6435" w:type="dxa"/>
            <w:vAlign w:val="center"/>
            <w:textDirection w:val="lrTb"/>
            <w:noWrap w:val="false"/>
          </w:tcPr>
          <w:p>
            <w:pPr>
              <w:jc w:val="center"/>
              <w:spacing w:after="0" w:line="320" w:lineRule="auto"/>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指标要求</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硬件安装</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提供本次项目所有硬件产品安装、配置及配合相关应用系统部署支持服务。</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软件部署</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提供本次项目所有软件产品安装、配置工作，按照项目技术内容实现用户功能需求。</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业务系统灾备等级梳理</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对医院全院业务系统按照灾备等级（核心、重要、一般）进行分类，明确不同等级业务系统的RTO、RPO指标。</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容灾演练方案制定</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结合医院业务特点，制定年度容灾演练计划（含模拟故障场景：存储故障、网络中断、数据库逻辑错误、勒索病毒等），明确演练步骤、验证指标和回退方案。</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5</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容灾演练支持</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rPr>
              <w:t xml:space="preserve">★</w:t>
            </w:r>
            <w:r>
              <w:rPr>
                <w:rFonts w:hint="eastAsia" w:cs="Times New Roman"/>
                <w:color w:val="000000"/>
                <w:sz w:val="24"/>
                <w:szCs w:val="24"/>
                <w:highlight w:val="none"/>
                <w:lang w:val="en-US" w:eastAsia="zh-CN"/>
              </w:rPr>
              <w:t xml:space="preserve">试运行期间</w:t>
            </w:r>
            <w:r>
              <w:rPr>
                <w:rFonts w:hint="eastAsia" w:ascii="Times New Roman" w:hAnsi="Times New Roman" w:eastAsia="宋体" w:cs="Times New Roman"/>
                <w:color w:val="000000"/>
                <w:sz w:val="24"/>
                <w:szCs w:val="24"/>
                <w:highlight w:val="none"/>
              </w:rPr>
              <w:t xml:space="preserve">提供容灾演练支持，模拟HIS数据库故障，执行系统切换至容灾端，验证业务连续性（RTO≤15min，RPO≈0）；在容灾平台运行不少于7天，完成后执行回切工作，并比对数据一致性，确保数据不丢失。</w:t>
            </w:r>
            <w:r>
              <w:rPr>
                <w:rFonts w:hint="eastAsia" w:cs="Times New Roman"/>
                <w:color w:val="000000"/>
                <w:sz w:val="24"/>
                <w:szCs w:val="24"/>
                <w:highlight w:val="none"/>
                <w:lang w:eastAsia="zh-CN"/>
              </w:rPr>
              <w:t xml:space="preserve">（提供承诺函，格式自拟并加盖投标人公章）</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6</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备份恢复验证</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cs="Times New Roman"/>
                <w:color w:val="000000"/>
                <w:sz w:val="24"/>
                <w:szCs w:val="24"/>
                <w:highlight w:val="none"/>
                <w:lang w:val="en-US" w:eastAsia="zh-CN"/>
              </w:rPr>
              <w:t xml:space="preserve">质保期内</w:t>
            </w:r>
            <w:r>
              <w:rPr>
                <w:rFonts w:hint="eastAsia" w:ascii="Times New Roman" w:hAnsi="Times New Roman" w:eastAsia="宋体" w:cs="Times New Roman"/>
                <w:color w:val="000000"/>
                <w:sz w:val="24"/>
                <w:szCs w:val="24"/>
                <w:highlight w:val="none"/>
              </w:rPr>
              <w:t xml:space="preserve">定期（每季度）从备份介质中恢复虚拟机或数据库，验证备份数据可恢复性及恢复时长，并输出报告。</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lang w:eastAsia="zh-CN"/>
              </w:rPr>
            </w:pPr>
            <w:r>
              <w:rPr>
                <w:rFonts w:hint="eastAsia" w:cs="Times New Roman"/>
                <w:color w:val="000000"/>
                <w:sz w:val="24"/>
                <w:szCs w:val="24"/>
                <w:highlight w:val="none"/>
                <w:lang w:val="en-US" w:eastAsia="zh-CN"/>
              </w:rPr>
              <w:t xml:space="preserve">7</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配套容灾主机安全软件</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★本次提供不少于5个主机安全软件的扩容许可。能够被现有主机安全软件管理平台统一管理。（提供承诺函，格式自拟并加盖投标人公章）</w:t>
            </w:r>
            <w:r>
              <w:rPr>
                <w:rFonts w:hint="eastAsia"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现有主机安全软件管理平台品牌：深信服</w:t>
            </w:r>
            <w:r>
              <w:rPr>
                <w:rFonts w:hint="eastAsia" w:cs="Times New Roman"/>
                <w:color w:val="000000"/>
                <w:sz w:val="24"/>
                <w:szCs w:val="24"/>
                <w:highlight w:val="none"/>
                <w:lang w:eastAsia="zh-CN"/>
              </w:rPr>
              <w:t xml:space="preserve">）</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lang w:val="en-US" w:eastAsia="zh-CN"/>
              </w:rPr>
            </w:pPr>
            <w:r>
              <w:rPr>
                <w:rFonts w:hint="eastAsia" w:cs="Times New Roman"/>
                <w:color w:val="000000"/>
                <w:sz w:val="24"/>
                <w:szCs w:val="24"/>
                <w:highlight w:val="none"/>
                <w:lang w:val="en-US" w:eastAsia="zh-CN"/>
              </w:rPr>
              <w:t xml:space="preserve">8</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配套容灾主机安全软件</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rPr>
              <w:t xml:space="preserve">▲本次所投主机安全软件应当支持对接我单位现有云端服务平台，并联动查杀，需提供防病毒软件与云端7×24小时安全服务平台对接的能力证明，展示详细的对接步骤（提供相关证明材料）。</w:t>
            </w:r>
            <w:r>
              <w:rPr>
                <w:rFonts w:hint="eastAsia" w:cs="Times New Roman"/>
                <w:color w:val="000000"/>
                <w:sz w:val="24"/>
                <w:szCs w:val="24"/>
                <w:highlight w:val="none"/>
                <w:lang w:eastAsia="zh-CN"/>
              </w:rPr>
              <w:t xml:space="preserve">（</w:t>
            </w:r>
            <w:r>
              <w:rPr>
                <w:rFonts w:hint="eastAsia" w:cs="Times New Roman"/>
                <w:color w:val="000000"/>
                <w:sz w:val="24"/>
                <w:szCs w:val="24"/>
                <w:highlight w:val="none"/>
                <w:lang w:val="en-US" w:eastAsia="zh-CN"/>
              </w:rPr>
              <w:t xml:space="preserve">现有云端服务平台：深信服安全托管服务（MSS）</w:t>
            </w:r>
            <w:r>
              <w:rPr>
                <w:rFonts w:hint="eastAsia" w:cs="Times New Roman"/>
                <w:color w:val="000000"/>
                <w:sz w:val="24"/>
                <w:szCs w:val="24"/>
                <w:highlight w:val="none"/>
                <w:lang w:eastAsia="zh-CN"/>
              </w:rPr>
              <w:t xml:space="preserve">）</w:t>
            </w:r>
            <w:r/>
          </w:p>
        </w:tc>
      </w:tr>
      <w:tr>
        <w:trPr>
          <w:cantSplit/>
          <w:jc w:val="center"/>
          <w:trHeight w:val="0"/>
        </w:trPr>
        <w:tc>
          <w:tcPr>
            <w:tcW w:w="76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lang w:val="en-US" w:eastAsia="zh-CN"/>
              </w:rPr>
            </w:pPr>
            <w:r>
              <w:rPr>
                <w:rFonts w:hint="eastAsia" w:cs="Times New Roman"/>
                <w:color w:val="000000"/>
                <w:sz w:val="24"/>
                <w:szCs w:val="24"/>
                <w:highlight w:val="none"/>
                <w:lang w:val="en-US" w:eastAsia="zh-CN"/>
              </w:rPr>
              <w:t xml:space="preserve">9</w:t>
            </w:r>
            <w:r/>
          </w:p>
        </w:tc>
        <w:tc>
          <w:tcPr>
            <w:tcW w:w="2000"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配套容灾主机安全软件</w:t>
            </w:r>
            <w:r/>
          </w:p>
        </w:tc>
        <w:tc>
          <w:tcPr>
            <w:tcW w:w="6435" w:type="dxa"/>
            <w:vAlign w:val="center"/>
            <w:textDirection w:val="lrTb"/>
            <w:noWrap w:val="false"/>
          </w:tcPr>
          <w:p>
            <w:pPr>
              <w:jc w:val="left"/>
              <w:spacing w:after="0" w:line="320" w:lineRule="auto"/>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rPr>
              <w:t xml:space="preserve">▲支持与我单位现有防火墙进行安全联动，管理员可以在网络防火墙管理界面下发快速查杀任务，并查看任务状态、结果并进行处置，支持在管理平台查询和统计联动信息。（提供相关证明材料）。</w:t>
            </w:r>
            <w:r>
              <w:rPr>
                <w:rFonts w:hint="eastAsia" w:cs="Times New Roman"/>
                <w:color w:val="000000"/>
                <w:sz w:val="24"/>
                <w:szCs w:val="24"/>
                <w:highlight w:val="none"/>
                <w:lang w:eastAsia="zh-CN"/>
              </w:rPr>
              <w:t xml:space="preserve">（</w:t>
            </w:r>
            <w:r>
              <w:rPr>
                <w:rFonts w:hint="eastAsia" w:cs="Times New Roman"/>
                <w:color w:val="000000"/>
                <w:sz w:val="24"/>
                <w:szCs w:val="24"/>
                <w:highlight w:val="none"/>
                <w:lang w:val="en-US" w:eastAsia="zh-CN"/>
              </w:rPr>
              <w:t xml:space="preserve">现有防火墙品牌：深信服</w:t>
            </w:r>
            <w:r>
              <w:rPr>
                <w:rFonts w:hint="eastAsia" w:cs="Times New Roman"/>
                <w:color w:val="000000"/>
                <w:sz w:val="24"/>
                <w:szCs w:val="24"/>
                <w:highlight w:val="none"/>
                <w:lang w:eastAsia="zh-CN"/>
              </w:rPr>
              <w:t xml:space="preserve">）</w:t>
            </w:r>
            <w:r/>
          </w:p>
        </w:tc>
      </w:tr>
    </w:tbl>
    <w:p>
      <w:pPr>
        <w:pStyle w:val="739"/>
        <w:ind w:firstLine="0"/>
        <w:spacing w:line="360" w:lineRule="auto"/>
        <w:rPr>
          <w:rFonts w:hint="eastAsia"/>
          <w:color w:val="auto"/>
          <w:highlight w:val="none"/>
          <w:u w:val="none"/>
          <w:lang w:val="en-US" w:eastAsia="zh-CN"/>
        </w:rPr>
      </w:pPr>
      <w:r>
        <w:rPr>
          <w:rFonts w:hint="eastAsia"/>
          <w:color w:val="auto"/>
          <w:highlight w:val="none"/>
          <w:u w:val="none"/>
          <w:lang w:val="en-US" w:eastAsia="zh-CN"/>
        </w:rPr>
        <w:t xml:space="preserve">备注：</w:t>
      </w:r>
      <w:r/>
    </w:p>
    <w:p>
      <w:pPr>
        <w:pStyle w:val="739"/>
        <w:ind w:firstLine="480"/>
        <w:spacing w:line="360" w:lineRule="auto"/>
        <w:rPr>
          <w:rFonts w:hint="eastAsia"/>
          <w:color w:val="auto"/>
          <w:highlight w:val="none"/>
          <w:u w:val="none"/>
          <w:lang w:val="en-US" w:eastAsia="zh-CN"/>
        </w:rPr>
      </w:pPr>
      <w:r>
        <w:rPr>
          <w:rFonts w:hint="eastAsia"/>
          <w:color w:val="auto"/>
          <w:highlight w:val="none"/>
          <w:u w:val="none"/>
          <w:lang w:val="en-US" w:eastAsia="zh-CN"/>
        </w:rPr>
        <w:t xml:space="preserve">1.中标人应当在中标通知书</w:t>
      </w:r>
      <w:r>
        <w:rPr>
          <w:rFonts w:hint="eastAsia"/>
          <w:color w:val="auto"/>
          <w:highlight w:val="none"/>
          <w:u w:val="none"/>
          <w:lang w:val="en-US" w:eastAsia="zh-CN"/>
        </w:rPr>
        <w:t xml:space="preserve">发出之日起10个工作日内，向采购人提交下列材料供核验：容灾存储、备份存储、容灾管理平台、备份管理平台的技术参数佐证材料检测报告原件，作为签订合同的必要附件。上述检测报告应当与投标文件所载内容一致。中标人未按期提交，或所提交材料与投标文件不一致的，视为无正当理由拒绝与采购人签订合同，采购人依照《中华人民共和国政府采购法实施条例》第四十九条的规定处理，并依照该条例第七十二条第（二）项的规定报同级财政部门追究其法律责任。同时，材料经核实为虚假的，采购人报同级财政部门依照《中华人民共和国政府采购法》第七十七条处理。</w:t>
      </w:r>
      <w:r/>
    </w:p>
    <w:p>
      <w:pPr>
        <w:pStyle w:val="739"/>
        <w:ind w:firstLine="480"/>
        <w:spacing w:line="360" w:lineRule="auto"/>
        <w:rPr>
          <w:rFonts w:hint="eastAsia" w:eastAsia="宋体"/>
          <w:color w:val="auto"/>
          <w:highlight w:val="none"/>
          <w:u w:val="none"/>
          <w:lang w:eastAsia="zh-CN"/>
        </w:rPr>
      </w:pPr>
      <w:r>
        <w:rPr>
          <w:rFonts w:hint="eastAsia"/>
          <w:color w:val="auto"/>
          <w:highlight w:val="none"/>
          <w:u w:val="none"/>
          <w:lang w:val="en-US" w:eastAsia="zh-CN"/>
        </w:rPr>
        <w:t xml:space="preserve">2.投标人须在《技术部分正负偏离表》中针对上述技术参数要求，逐条填写响应情况，按要求提供佐证材料并在《技术部分正负偏离表》“偏离说明及证明材料页码”一栏中标注证明材料所在的准确页码，否则评标委员会可视为负偏离。</w:t>
      </w:r>
      <w:r/>
    </w:p>
    <w:p>
      <w:pPr>
        <w:pStyle w:val="739"/>
        <w:ind w:firstLine="0"/>
        <w:spacing w:line="360" w:lineRule="auto"/>
        <w:rPr>
          <w:rFonts w:hint="default" w:eastAsia="宋体"/>
          <w:color w:val="000000"/>
          <w:highlight w:val="none"/>
          <w:u w:val="single"/>
        </w:rPr>
      </w:pPr>
      <w:r>
        <w:rPr>
          <w:rFonts w:hint="eastAsia"/>
          <w:color w:val="auto"/>
          <w:highlight w:val="none"/>
          <w:u w:val="single"/>
        </w:rPr>
        <w:t xml:space="preserve">★（四）采购标的需执行的国家相关标准、行业标准、地方标准或者其他标准、规</w:t>
      </w:r>
      <w:r>
        <w:rPr>
          <w:rFonts w:hint="eastAsia"/>
          <w:color w:val="000000"/>
          <w:highlight w:val="none"/>
          <w:u w:val="single"/>
        </w:rPr>
        <w:t xml:space="preserve">范</w:t>
      </w:r>
      <w:r/>
    </w:p>
    <w:p>
      <w:pPr>
        <w:pStyle w:val="739"/>
        <w:ind w:firstLine="480"/>
        <w:spacing w:line="360" w:lineRule="auto"/>
        <w:rPr>
          <w:rFonts w:hint="default" w:eastAsia="宋体"/>
          <w:color w:val="000000"/>
          <w:highlight w:val="none"/>
          <w:u w:val="single"/>
        </w:rPr>
      </w:pPr>
      <w:r>
        <w:rPr>
          <w:rFonts w:hint="eastAsia"/>
          <w:color w:val="000000"/>
          <w:highlight w:val="none"/>
          <w:u w:val="single"/>
        </w:rPr>
        <w:t xml:space="preserve">GB/T 20988-2007《信息安全技术 信息系统灾难恢复规范》、GB/T 22239-2019《信息安全技术 网络安全等级保护基本要求》、GB 50174-2017《数据中心设计规范》等国家、行业、地方现行有效的相关标准、规范。</w:t>
      </w:r>
      <w:r/>
    </w:p>
    <w:p>
      <w:pPr>
        <w:jc w:val="left"/>
        <w:spacing w:after="240" w:line="440" w:lineRule="exact"/>
        <w:rPr>
          <w:rFonts w:hint="eastAsia" w:ascii="宋体" w:hAnsi="宋体" w:cs="宋体"/>
          <w:b/>
          <w:bCs/>
          <w:color w:val="000000"/>
          <w:sz w:val="32"/>
          <w:szCs w:val="32"/>
          <w:highlight w:val="none"/>
          <w:u w:val="single"/>
        </w:rPr>
      </w:pPr>
      <w:r>
        <w:rPr>
          <w:rFonts w:hint="eastAsia" w:ascii="宋体" w:hAnsi="宋体" w:cs="宋体"/>
          <w:b/>
          <w:bCs/>
          <w:color w:val="000000"/>
          <w:sz w:val="32"/>
          <w:szCs w:val="32"/>
          <w:highlight w:val="none"/>
          <w:u w:val="single"/>
        </w:rPr>
        <w:t xml:space="preserve">★三、商务条款</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1.设备生产日期：</w:t>
      </w:r>
      <w:r>
        <w:rPr>
          <w:rFonts w:hint="eastAsia" w:cs="Times New Roman"/>
          <w:color w:val="000000"/>
          <w:sz w:val="24"/>
          <w:szCs w:val="24"/>
          <w:highlight w:val="none"/>
          <w:lang w:val="en-US" w:eastAsia="zh-CN"/>
        </w:rPr>
        <w:t xml:space="preserve">所有设备必须为原装正品，生产日期</w:t>
      </w:r>
      <w:r>
        <w:rPr>
          <w:rFonts w:hint="eastAsia" w:ascii="Times New Roman" w:hAnsi="Times New Roman" w:eastAsia="宋体" w:cs="Times New Roman"/>
          <w:color w:val="000000"/>
          <w:sz w:val="24"/>
          <w:szCs w:val="24"/>
          <w:highlight w:val="none"/>
        </w:rPr>
        <w:t xml:space="preserve">不早于设备到货日期前6个月。</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2.交货期：自合同签订之日起60个工作日内安装调试完成（不包括试运行阶段）。</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3.交货地点：</w:t>
      </w:r>
      <w:r>
        <w:rPr>
          <w:rFonts w:hint="eastAsia" w:cs="Times New Roman"/>
          <w:color w:val="000000"/>
          <w:sz w:val="24"/>
          <w:szCs w:val="24"/>
          <w:highlight w:val="none"/>
          <w:lang w:val="en-US" w:eastAsia="zh-CN"/>
        </w:rPr>
        <w:t xml:space="preserve">南通大学附属医院院内指定地点，</w:t>
      </w:r>
      <w:r>
        <w:rPr>
          <w:rFonts w:hint="eastAsia" w:ascii="Times New Roman" w:hAnsi="Times New Roman" w:eastAsia="宋体" w:cs="Times New Roman"/>
          <w:color w:val="000000"/>
          <w:sz w:val="24"/>
          <w:szCs w:val="24"/>
          <w:highlight w:val="none"/>
        </w:rPr>
        <w:t xml:space="preserve">所有货品必须原包装进场，运送及安装到采购人指定地点。</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项目实施与合规：供应商在提供所投设备的同时必须提供对于本次招标软硬件的系统安装、集成服务。供应商负责软硬件安装调试，供应商应具备实施本次项目相应的技术能力，充分了解采购人现状和业务需求，制定详细可行的项目实施方案，对技术方案规划、</w:t>
      </w:r>
      <w:r>
        <w:rPr>
          <w:rFonts w:hint="eastAsia" w:cs="Times New Roman"/>
          <w:color w:val="000000"/>
          <w:sz w:val="24"/>
          <w:szCs w:val="24"/>
          <w:highlight w:val="none"/>
          <w:lang w:val="en-US" w:eastAsia="zh-CN"/>
        </w:rPr>
        <w:t xml:space="preserve">施工组织方案、</w:t>
      </w:r>
      <w:r>
        <w:rPr>
          <w:rFonts w:hint="eastAsia" w:ascii="Times New Roman" w:hAnsi="Times New Roman" w:eastAsia="宋体" w:cs="Times New Roman"/>
          <w:color w:val="000000"/>
          <w:sz w:val="24"/>
          <w:szCs w:val="24"/>
          <w:highlight w:val="none"/>
        </w:rPr>
        <w:t xml:space="preserve">项目计划与进度、项目质量、风险等进行总体管控与协调</w:t>
      </w:r>
      <w:r>
        <w:rPr>
          <w:rFonts w:hint="eastAsia" w:cs="Times New Roman"/>
          <w:color w:val="000000"/>
          <w:sz w:val="24"/>
          <w:szCs w:val="24"/>
          <w:highlight w:val="none"/>
          <w:lang w:eastAsia="zh-CN"/>
        </w:rPr>
        <w:t xml:space="preserve">。</w:t>
      </w:r>
      <w:r/>
    </w:p>
    <w:p>
      <w:pPr>
        <w:ind w:left="0" w:firstLine="0"/>
        <w:jc w:val="both"/>
        <w:spacing w:after="120" w:line="360" w:lineRule="auto"/>
        <w:widowControl w:val="off"/>
        <w:rPr>
          <w:rFonts w:hint="default" w:ascii="Times New Roman" w:hAnsi="Times New Roman" w:eastAsia="宋体" w:cs="Times New Roman"/>
          <w:color w:val="ff0000"/>
          <w:sz w:val="24"/>
          <w:szCs w:val="24"/>
          <w:highlight w:val="none"/>
          <w:lang w:val="en-US" w:eastAsia="zh-CN"/>
        </w:rPr>
      </w:pPr>
      <w:r>
        <w:rPr>
          <w:rFonts w:hint="eastAsia" w:ascii="Times New Roman" w:hAnsi="Times New Roman" w:eastAsia="宋体" w:cs="Times New Roman"/>
          <w:color w:val="000000"/>
          <w:sz w:val="24"/>
          <w:szCs w:val="24"/>
          <w:highlight w:val="none"/>
        </w:rPr>
        <w:t xml:space="preserve">5.现场勘查：本项目涉及东院区、西院区容灾平台建设，机房及网络环境情况较为复杂。采购人不统一组织现场勘查，潜在投标人如需了解现场情况，可于工作日联系采购人信息中心预约后自行前往，联系人：杨</w:t>
      </w:r>
      <w:r>
        <w:rPr>
          <w:rFonts w:hint="eastAsia" w:cs="Times New Roman"/>
          <w:color w:val="000000"/>
          <w:sz w:val="24"/>
          <w:szCs w:val="24"/>
          <w:highlight w:val="none"/>
          <w:lang w:val="en-US" w:eastAsia="zh-CN"/>
        </w:rPr>
        <w:t xml:space="preserve">老师</w:t>
      </w:r>
      <w:r>
        <w:rPr>
          <w:rFonts w:hint="eastAsia" w:ascii="Times New Roman" w:hAnsi="Times New Roman" w:eastAsia="宋体" w:cs="Times New Roman"/>
          <w:color w:val="000000"/>
          <w:sz w:val="24"/>
          <w:szCs w:val="24"/>
          <w:highlight w:val="none"/>
        </w:rPr>
        <w:t xml:space="preserve">，联系电话：0513-59983088，地点：南通大学附属医院东院区54区信息中心，时间：工作日（具体时间与联系人商定）。投标人勘查现场所发生的交通、食宿等费用由投标人自行承担；勘查期间的人身、财产安全责任由投标人自行负责；投标人应当遵守医院各项管理制度，服从现场管理人员安排，不得影响医院正常诊疗秩序和工作秩序，不得擅自接触、移动、拆卸、变更现场</w:t>
      </w:r>
      <w:r>
        <w:rPr>
          <w:rFonts w:hint="eastAsia" w:cs="Times New Roman"/>
          <w:color w:val="000000"/>
          <w:sz w:val="24"/>
          <w:szCs w:val="24"/>
          <w:highlight w:val="none"/>
          <w:lang w:val="en-US" w:eastAsia="zh-CN"/>
        </w:rPr>
        <w:t xml:space="preserve">设施、</w:t>
      </w:r>
      <w:r>
        <w:rPr>
          <w:rFonts w:hint="eastAsia" w:ascii="Times New Roman" w:hAnsi="Times New Roman" w:eastAsia="宋体" w:cs="Times New Roman"/>
          <w:color w:val="000000"/>
          <w:sz w:val="24"/>
          <w:szCs w:val="24"/>
          <w:highlight w:val="none"/>
        </w:rPr>
        <w:t xml:space="preserve">设备。投标人一旦</w:t>
      </w:r>
      <w:r>
        <w:rPr>
          <w:rFonts w:hint="eastAsia" w:cs="Times New Roman"/>
          <w:color w:val="000000"/>
          <w:sz w:val="24"/>
          <w:szCs w:val="24"/>
          <w:highlight w:val="none"/>
          <w:lang w:val="en-US" w:eastAsia="zh-CN"/>
        </w:rPr>
        <w:t xml:space="preserve">参与本项目</w:t>
      </w:r>
      <w:r>
        <w:rPr>
          <w:rFonts w:hint="eastAsia" w:ascii="Times New Roman" w:hAnsi="Times New Roman" w:eastAsia="宋体" w:cs="Times New Roman"/>
          <w:color w:val="000000"/>
          <w:sz w:val="24"/>
          <w:szCs w:val="24"/>
          <w:highlight w:val="none"/>
        </w:rPr>
        <w:t xml:space="preserve">投标，即视为已充分了解并接受项目现场条件，中标后不得以</w:t>
      </w:r>
      <w:r>
        <w:rPr>
          <w:rFonts w:hint="eastAsia" w:cs="Times New Roman"/>
          <w:color w:val="000000"/>
          <w:sz w:val="24"/>
          <w:szCs w:val="24"/>
          <w:highlight w:val="none"/>
          <w:lang w:val="en-US" w:eastAsia="zh-CN"/>
        </w:rPr>
        <w:t xml:space="preserve">不了解</w:t>
      </w:r>
      <w:r>
        <w:rPr>
          <w:rFonts w:hint="eastAsia" w:ascii="Times New Roman" w:hAnsi="Times New Roman" w:eastAsia="宋体" w:cs="Times New Roman"/>
          <w:color w:val="000000"/>
          <w:sz w:val="24"/>
          <w:szCs w:val="24"/>
          <w:highlight w:val="none"/>
        </w:rPr>
        <w:t xml:space="preserve">现场条件为由要求调整价格、顺延工期或者提出索赔。</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6.质量保证及售后服务要求：</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6.1 </w:t>
      </w:r>
      <w:r>
        <w:rPr>
          <w:rFonts w:hint="eastAsia" w:cs="Times New Roman"/>
          <w:color w:val="000000"/>
          <w:sz w:val="24"/>
          <w:szCs w:val="24"/>
          <w:highlight w:val="none"/>
          <w:lang w:val="en-US" w:eastAsia="zh-CN"/>
        </w:rPr>
        <w:t xml:space="preserve">质保期：</w:t>
      </w:r>
      <w:r>
        <w:rPr>
          <w:rFonts w:hint="eastAsia" w:ascii="Times New Roman" w:hAnsi="Times New Roman" w:eastAsia="宋体" w:cs="Times New Roman"/>
          <w:color w:val="000000"/>
          <w:sz w:val="24"/>
          <w:szCs w:val="24"/>
          <w:highlight w:val="none"/>
        </w:rPr>
        <w:t xml:space="preserve">提供</w:t>
      </w:r>
      <w:r>
        <w:rPr>
          <w:rFonts w:hint="eastAsia" w:cs="Times New Roman"/>
          <w:color w:val="000000"/>
          <w:sz w:val="24"/>
          <w:szCs w:val="24"/>
          <w:highlight w:val="none"/>
          <w:lang w:val="en-US" w:eastAsia="zh-CN"/>
        </w:rPr>
        <w:t xml:space="preserve">3年</w:t>
      </w:r>
      <w:r>
        <w:rPr>
          <w:rFonts w:hint="eastAsia" w:ascii="Times New Roman" w:hAnsi="Times New Roman" w:eastAsia="宋体" w:cs="Times New Roman"/>
          <w:color w:val="000000"/>
          <w:sz w:val="24"/>
          <w:szCs w:val="24"/>
          <w:highlight w:val="none"/>
        </w:rPr>
        <w:t xml:space="preserve">软硬件免费维保</w:t>
      </w:r>
      <w:r>
        <w:rPr>
          <w:rFonts w:hint="eastAsia" w:cs="Times New Roman"/>
          <w:color w:val="000000"/>
          <w:sz w:val="24"/>
          <w:szCs w:val="24"/>
          <w:highlight w:val="none"/>
          <w:lang w:val="en-US" w:eastAsia="zh-CN"/>
        </w:rPr>
        <w:t xml:space="preserve">及技术支持</w:t>
      </w:r>
      <w:r>
        <w:rPr>
          <w:rFonts w:hint="eastAsia" w:ascii="Times New Roman" w:hAnsi="Times New Roman" w:eastAsia="宋体" w:cs="Times New Roman"/>
          <w:color w:val="000000"/>
          <w:sz w:val="24"/>
          <w:szCs w:val="24"/>
          <w:highlight w:val="none"/>
        </w:rPr>
        <w:t xml:space="preserve">服务</w:t>
      </w:r>
      <w:r>
        <w:rPr>
          <w:rFonts w:hint="eastAsia" w:cs="Times New Roman"/>
          <w:color w:val="000000"/>
          <w:sz w:val="24"/>
          <w:szCs w:val="24"/>
          <w:highlight w:val="none"/>
          <w:lang w:eastAsia="zh-CN"/>
        </w:rPr>
        <w:t xml:space="preserve">，</w:t>
      </w:r>
      <w:r>
        <w:rPr>
          <w:rFonts w:hint="eastAsia" w:cs="Times New Roman"/>
          <w:color w:val="000000"/>
          <w:sz w:val="24"/>
          <w:szCs w:val="24"/>
          <w:highlight w:val="none"/>
          <w:lang w:val="en-US" w:eastAsia="zh-CN"/>
        </w:rPr>
        <w:t xml:space="preserve">质保期自初步</w:t>
      </w:r>
      <w:r>
        <w:rPr>
          <w:rFonts w:hint="eastAsia" w:ascii="Times New Roman" w:hAnsi="Times New Roman" w:eastAsia="宋体" w:cs="Times New Roman"/>
          <w:color w:val="000000"/>
          <w:sz w:val="24"/>
          <w:szCs w:val="24"/>
          <w:highlight w:val="none"/>
        </w:rPr>
        <w:t xml:space="preserve">验收合格</w:t>
      </w:r>
      <w:r>
        <w:rPr>
          <w:rFonts w:hint="eastAsia" w:cs="Times New Roman"/>
          <w:color w:val="000000"/>
          <w:sz w:val="24"/>
          <w:szCs w:val="24"/>
          <w:highlight w:val="none"/>
          <w:lang w:val="en-US" w:eastAsia="zh-CN"/>
        </w:rPr>
        <w:t xml:space="preserve">之日起算</w:t>
      </w:r>
      <w:r>
        <w:rPr>
          <w:rFonts w:hint="eastAsia" w:ascii="Times New Roman" w:hAnsi="Times New Roman" w:eastAsia="宋体" w:cs="Times New Roman"/>
          <w:color w:val="000000"/>
          <w:sz w:val="24"/>
          <w:szCs w:val="24"/>
          <w:highlight w:val="none"/>
        </w:rPr>
        <w:t xml:space="preserve">。</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6.2 </w:t>
      </w:r>
      <w:r>
        <w:rPr>
          <w:rFonts w:hint="eastAsia" w:cs="Times New Roman"/>
          <w:color w:val="000000"/>
          <w:sz w:val="24"/>
          <w:szCs w:val="24"/>
          <w:highlight w:val="none"/>
          <w:lang w:val="en-US" w:eastAsia="zh-CN"/>
        </w:rPr>
        <w:t xml:space="preserve">质保期</w:t>
      </w:r>
      <w:r>
        <w:rPr>
          <w:rFonts w:hint="eastAsia" w:ascii="Times New Roman" w:hAnsi="Times New Roman" w:eastAsia="宋体" w:cs="Times New Roman"/>
          <w:color w:val="000000"/>
          <w:sz w:val="24"/>
          <w:szCs w:val="24"/>
          <w:highlight w:val="none"/>
        </w:rPr>
        <w:t xml:space="preserve">内，因货物质量问题导致的各种故障的技术服务及维修所产生的一切费用由中标人负责承担。</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6.3 </w:t>
      </w:r>
      <w:r>
        <w:rPr>
          <w:rFonts w:hint="eastAsia" w:cs="Times New Roman"/>
          <w:color w:val="000000"/>
          <w:sz w:val="24"/>
          <w:szCs w:val="24"/>
          <w:highlight w:val="none"/>
          <w:lang w:val="en-US" w:eastAsia="zh-CN"/>
        </w:rPr>
        <w:t xml:space="preserve">质保期</w:t>
      </w:r>
      <w:r>
        <w:rPr>
          <w:rFonts w:hint="eastAsia" w:ascii="Times New Roman" w:hAnsi="Times New Roman" w:eastAsia="宋体" w:cs="Times New Roman"/>
          <w:color w:val="000000"/>
          <w:sz w:val="24"/>
          <w:szCs w:val="24"/>
          <w:highlight w:val="none"/>
        </w:rPr>
        <w:t xml:space="preserve">内，中标人为本项目中所有设备提供质保服务、软件升级服务、全免费上门主动服务和应急服务等，按照月度提供巡检服务，采购人不再另外付费。中标人提供7×24小时售后服务，对于现场应急服务应立即响应，10分钟内电话或者远程技术支持；若采购人要求现场服务的，专业技术人员需在2小时内到达现场；硬件设备维修和替换至少实现4小时内解决、关键设备2小时内解决。</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6.4 </w:t>
      </w:r>
      <w:r>
        <w:rPr>
          <w:rFonts w:hint="eastAsia" w:cs="Times New Roman"/>
          <w:color w:val="000000"/>
          <w:sz w:val="24"/>
          <w:szCs w:val="24"/>
          <w:highlight w:val="none"/>
          <w:lang w:val="en-US" w:eastAsia="zh-CN"/>
        </w:rPr>
        <w:t xml:space="preserve">质保期</w:t>
      </w:r>
      <w:r>
        <w:rPr>
          <w:rFonts w:hint="eastAsia" w:ascii="Times New Roman" w:hAnsi="Times New Roman" w:eastAsia="宋体" w:cs="Times New Roman"/>
          <w:color w:val="000000"/>
          <w:sz w:val="24"/>
          <w:szCs w:val="24"/>
          <w:highlight w:val="none"/>
        </w:rPr>
        <w:t xml:space="preserve">内中标人提供所有软件（包括大、小版本等）的升级，不得以任何借口收取任何升级费用。</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6.5 如遇重大节日或采购人认为的重要时期，需按采购人指定要求进行特殊时期的保障服务。</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注：投标人投标文件中承诺的质保期长于招标文件要求的，以投标文件承诺的质保期为准。在产品维保期内，中标人对所供产品的质量负全部责任，包括但不限于免费维修、免费更换和经每年维修达两次仍不能正常使用时及时退货等。</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7.培训：卖方负责对买方的操作、维修人员在项目所在地进行业务培训。培训应达到能熟练操作，并能排除常见故障的标准。</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8.安装与调试：卖方应派有经验、有资格的人员及时对货物及全系统进行调试。若在合同规定的日期前未完成调试，或买方对调试情况不满意，则买方有权要求货物原制造厂派员前来调试，卖方不得拒绝，所发生的费用由卖方承担，安装调试的费用由卖方承担。</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9.验收标准：本项目采用两阶段履约验收，验收依据为本项目招标文件、投标文件、合同、相关国家或行业标准。</w:t>
      </w:r>
      <w:r/>
    </w:p>
    <w:p>
      <w:pPr>
        <w:ind w:left="0" w:firstLine="0"/>
        <w:jc w:val="both"/>
        <w:spacing w:after="120" w:line="360" w:lineRule="auto"/>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9.1 初步验收：</w:t>
      </w:r>
      <w:r/>
    </w:p>
    <w:p>
      <w:pPr>
        <w:ind w:left="0" w:firstLine="480"/>
        <w:jc w:val="both"/>
        <w:spacing w:after="120" w:line="360" w:lineRule="auto"/>
        <w:widowControl w:val="off"/>
        <w:rPr>
          <w:rFonts w:hint="eastAsia"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sz w:val="24"/>
          <w:szCs w:val="24"/>
          <w:highlight w:val="none"/>
        </w:rPr>
        <w:t xml:space="preserve">全部货物到货、安装调试完成，设备可正常启用，能够实现招标文件约定全部功能。中标人须完整提交货物合格证明、产品说明书、技术手册、设备台账、售后服务方案、培训记录及全套项目技术资料，资料真实完整。采购人组织现场核查，</w:t>
      </w:r>
      <w:r>
        <w:rPr>
          <w:rFonts w:hint="eastAsia" w:cs="Times New Roman"/>
          <w:color w:val="000000" w:themeColor="text1"/>
          <w:sz w:val="24"/>
          <w:szCs w:val="24"/>
          <w:highlight w:val="none"/>
          <w:lang w:val="en-US" w:eastAsia="zh-CN"/>
          <w14:textFill>
            <w14:solidFill>
              <w14:schemeClr w14:val="tx1"/>
            </w14:solidFill>
          </w14:textFill>
        </w:rPr>
        <w:t xml:space="preserve">中标人应当予以配合。验收依据为招标文件第三部分技术参数要求、中标人投标文件的响应内容以及相应的国家标准、行业标准。</w:t>
      </w:r>
      <w:r/>
    </w:p>
    <w:p>
      <w:pPr>
        <w:ind w:left="0" w:firstLine="480"/>
        <w:jc w:val="both"/>
        <w:spacing w:after="120" w:line="360" w:lineRule="auto"/>
        <w:widowControl w:val="off"/>
        <w:rPr>
          <w:rFonts w:hint="eastAsia"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 xml:space="preserve">必要时，采购人有权选择具备相应检测资质的第三方检测机构对到货设备进行核验或者抽检，检测结果符合约定的，检测费用由采购人承担；检测结果不符合约定的，检测费用由中标人承担。</w:t>
      </w:r>
      <w:r/>
    </w:p>
    <w:p>
      <w:pPr>
        <w:ind w:left="0" w:firstLine="480"/>
        <w:jc w:val="both"/>
        <w:spacing w:after="120" w:line="360" w:lineRule="auto"/>
        <w:widowControl w:val="off"/>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经验收确认设备运行正常、资料齐全，甲方出具初步验收报告，即为初验合格。</w:t>
      </w:r>
      <w:r/>
    </w:p>
    <w:p>
      <w:pPr>
        <w:ind w:left="0" w:firstLine="480"/>
        <w:jc w:val="both"/>
        <w:spacing w:after="120" w:line="360" w:lineRule="auto"/>
        <w:widowControl w:val="off"/>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经</w:t>
      </w:r>
      <w:r>
        <w:rPr>
          <w:rFonts w:hint="eastAsia" w:cs="Times New Roman"/>
          <w:color w:val="000000" w:themeColor="text1"/>
          <w:sz w:val="24"/>
          <w:szCs w:val="24"/>
          <w:highlight w:val="none"/>
          <w:lang w:val="en-US" w:eastAsia="zh-CN"/>
          <w14:textFill>
            <w14:solidFill>
              <w14:schemeClr w14:val="tx1"/>
            </w14:solidFill>
          </w14:textFill>
        </w:rPr>
        <w:t xml:space="preserve">初步验收</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发现所供设备的品牌、型号、规格、配置与投标文件响应内容不一致，或者技术参数</w:t>
      </w:r>
      <w:r>
        <w:rPr>
          <w:rFonts w:hint="eastAsia" w:cs="Times New Roman"/>
          <w:color w:val="000000" w:themeColor="text1"/>
          <w:sz w:val="24"/>
          <w:szCs w:val="24"/>
          <w:highlight w:val="none"/>
          <w:lang w:val="en-US" w:eastAsia="zh-CN"/>
          <w14:textFill>
            <w14:solidFill>
              <w14:schemeClr w14:val="tx1"/>
            </w14:solidFill>
          </w14:textFill>
        </w:rPr>
        <w:t xml:space="preserve">与投标文件响应情况不符的</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采购人有权要求中标人限期更换、整改并重新检测，由此增加的全部费用由中标人承担，交付期限不予顺延。中标人逾期未更换、整改，或者更换、整改后复验仍不合格的，视为初验不合格，采购人有权依照合同</w:t>
      </w:r>
      <w:r>
        <w:rPr>
          <w:rFonts w:hint="eastAsia" w:cs="Times New Roman"/>
          <w:color w:val="000000" w:themeColor="text1"/>
          <w:sz w:val="24"/>
          <w:szCs w:val="24"/>
          <w:highlight w:val="none"/>
          <w:lang w:val="en-US" w:eastAsia="zh-CN"/>
          <w14:textFill>
            <w14:solidFill>
              <w14:schemeClr w14:val="tx1"/>
            </w14:solidFill>
          </w14:textFill>
        </w:rPr>
        <w:t xml:space="preserve">相关条款</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要求中标人承担违约责任。</w:t>
      </w:r>
      <w:r/>
    </w:p>
    <w:p>
      <w:pPr>
        <w:ind w:left="0" w:firstLine="480"/>
        <w:jc w:val="both"/>
        <w:spacing w:after="120" w:line="360" w:lineRule="auto"/>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经核实中标人存在提供虚假材料、以旧充新、以次充好、拼装改装等情形的，采购人有权拒收相应设备，已支付的相应款项由中标人退还。</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9.2 最终验收：初验合格后项目进入六个月试运行期。试运行期间，中标人须按合同约定提供维保服务，保障设备稳定运行。若出现影响核心业务的故障、功能失效，中标人须在约定时限内完成整改，试运行期不自动顺延；仅不影响核心功能的轻微瑕疵，中标人及时修复的，不视为试运行不合格。</w:t>
      </w:r>
      <w:r/>
    </w:p>
    <w:p>
      <w:pPr>
        <w:ind w:left="0" w:firstLine="48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最终验收前中标人须完成以下主要内容：</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（1）业务系统灾备等级梳理：对医院全院业务系统按照灾备等级（核心、重要、一般）进行分类，明确不同等级业务系统的RTO、RPO指标。</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（2）容灾演练方案制定：结合医院业务特点，制定年度容灾演练计划（含模拟故障场景：存储故障、网络中断、数据库逻辑错误、勒索病毒等），明确演练步骤、验证指标和回退方案。</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容灾演练支持：提供容灾演练支持，模拟HIS数据库故障，执行系统切换至容灾端，验证业务连续性（RTO≤15min，RPO≈0）；在容灾平台运行不少于7天，完成后执行回切工作，并比对数据一致性，确保数据不丢失。</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（4）备份恢复验证：定期（每季度）从备份介质中恢复虚拟机或数据库，验证备份数据可恢复性及恢复时长，并输出报告。</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（5）人员培训：为医院信息部门技术人员提供不少于5人天的专项培训，内容包括：容灾控制台日常操作、切换/回切流程、CDP恢复操作、备份管理界面使用、常见故障排查。</w:t>
      </w:r>
      <w:r/>
    </w:p>
    <w:p>
      <w:pPr>
        <w:ind w:left="0" w:firstLine="0"/>
        <w:jc w:val="both"/>
        <w:spacing w:after="120" w:line="360" w:lineRule="auto"/>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rPr>
        <w:t xml:space="preserve">（6）运维文档交付：交付完整的运维手册（含架构拓扑图、设备清单、IP规划、切换操作步骤、应急预案、巡检脚本）及常见问题FAQ。</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试运行期满，采购人组织复核验收，核查设备整体运行稳定性，确认满足招标文件全部使用要求，出具最终验收报告，项目履约验收全部完成。</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9.3 最终验收不合格的处理：</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最终验收不合格的，采购人应当书面通知中标人限期整改，整改期限由采购人根据不合格事项确定，最长不超过30日。中标人应当在限期内完成整改并书面申请复验，复验以一次为限，复验所需费用由中标人承担。</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（2）中标人逾期未完成整改、拒不整改，或者复验仍不合格的，采购人有权根据不合格情形选择下列一种或者多种方式处理：</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A.要求中标人退货：中标人应当在收到采购人书面通知后30日内退还已收取的全部合同款项及相应资金占用损失，并将全部货物拆除、包装、运离采购人场所，退货所发生的拆除、包装、运输、仓储等费用由中标人承担；中标人逾期未运离的，采购人有权代为处置，费用由中标人承担。</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B.要求中标人更换不符合约定的货物或者重新建设：由此增加的全部费用由中标人承担，交付期限不予顺延，并按合同约定承担逾期违约责任。</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C.要求中标人减少价款，并按合同约定承担违约责任。</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（3）因验收不合格致使合同目的不能实现的，采购人有权依照《中华人民共和国民法典》第五百六十三条解除合同；合同解除后依照该法第五百六十六条处理，中标人应当恢复原状、返还已收款项并赔偿损失。</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合同解除、退货退款均不免除中标人的违约责任和赔偿责任。采购人保留就下列损失向中标人追偿的权利：已付款项的资金占用损失；重新组织采购的价格差额及采购成本；项目延期造成的损失；采购人因向第三方承担责任而产生的损失；采购人为实现债权支出的律师费、诉讼费、保全费、公证费、差旅费等合理费用。</w:t>
      </w:r>
      <w:r/>
    </w:p>
    <w:p>
      <w:pPr>
        <w:ind w:left="0" w:firstLine="0"/>
        <w:jc w:val="both"/>
        <w:spacing w:after="120" w:line="360" w:lineRule="auto"/>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rPr>
        <w:t xml:space="preserve">（5）</w:t>
      </w:r>
      <w:r>
        <w:rPr>
          <w:rFonts w:hint="eastAsia" w:cs="Times New Roman"/>
          <w:color w:val="000000"/>
          <w:sz w:val="24"/>
          <w:szCs w:val="24"/>
          <w:highlight w:val="none"/>
          <w:lang w:eastAsia="zh-CN"/>
        </w:rPr>
        <w:t xml:space="preserve">出现本条第（2）项情形的，履约保证金不予退还。</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（6）本条约定的处理方式，不影响采购人依照《中华人民共和国政府采购法》第七十七条、《中华人民共和国政府采购法实施条例》第七十二条的规定，将中标人的违约情形报告同级财政部门处理。</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特别约定：项目全部款项付清，不免除中标人合同约定的质保责任，质保期自初验合格之日起计算，质保义务按合同约定执行。</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10.付款方式：本项目分三期支付，所有付款前提：中标人提交对应金额合法、有效的等额增值税发票及配套付款资料，采购人资料审核无误后启动支付。</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rPr>
        <w:t xml:space="preserve">10.1 第一期（预付款）：合同签订生效，中标人提交与预付款等额、合法有效的增值税发票，并同时提交合同总价30%的预付款保函后30个工作日内，采购人支付合同总价30%预付款。预付款保函的具体要求见本节第11.2条。</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rPr>
        <w:t xml:space="preserve">10.2 第二期（初验进度款）：项目完成全部到货、安装调试，通过初步验收并出具初验报告；采购人足额收到中标人对应金额增值税发票、全套初验资料后30个工作日内，累计支付至合同总价50%。采购人应在本期款项支付完成后5个工作日内退还预付款保函原件，或者出具解除保函责任的书面确认。</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rPr>
        <w:t xml:space="preserve">10.3 第三期（终验余款）：项目六个月试运行期满，顺利通过最终验收并出具终验报告；采购人足额收到中标人剩余金额增值税发票及全套终验归档资料后30个工作日内，付清剩余50%合同价款，合同款项100%结清；按本节第11.1条约定退还履约保证金。</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11.保证金</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11.1 履约保证金</w:t>
      </w:r>
      <w:r/>
    </w:p>
    <w:p>
      <w:pPr>
        <w:ind w:left="0" w:firstLine="0"/>
        <w:jc w:val="both"/>
        <w:spacing w:after="120" w:line="360" w:lineRule="auto"/>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（1）本项目收取合同金额的10%作为履约保证金，乙方应当在收到中标通知书后7个工作日内以转账方式转入甲方指定账户，或者以金融机构、担保机构出具的保函</w:t>
      </w:r>
      <w:r>
        <w:rPr>
          <w:rFonts w:hint="eastAsia" w:cs="Times New Roman"/>
          <w:color w:val="000000"/>
          <w:sz w:val="24"/>
          <w:szCs w:val="24"/>
          <w:highlight w:val="none"/>
          <w:lang w:eastAsia="zh-CN"/>
        </w:rPr>
        <w:t xml:space="preserve">（</w:t>
      </w:r>
      <w:r>
        <w:rPr>
          <w:rFonts w:hint="eastAsia" w:cs="Times New Roman"/>
          <w:color w:val="000000"/>
          <w:sz w:val="24"/>
          <w:szCs w:val="24"/>
          <w:highlight w:val="none"/>
          <w:lang w:val="en-US" w:eastAsia="zh-CN"/>
        </w:rPr>
        <w:t xml:space="preserve">保险</w:t>
      </w:r>
      <w:r>
        <w:rPr>
          <w:rFonts w:hint="eastAsia"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等非现金形式提交。超期或未有协商，则视为自动放弃中标资格。</w:t>
      </w:r>
      <w:r/>
    </w:p>
    <w:p>
      <w:pPr>
        <w:ind w:left="0" w:firstLine="0"/>
        <w:jc w:val="both"/>
        <w:spacing w:after="120" w:line="360" w:lineRule="auto"/>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（2）乙方全面履行合同义务，经甲方验收合格无质量、进度、服务等问题的，甲方应及时退还履约保证金。</w:t>
      </w:r>
      <w:r/>
    </w:p>
    <w:p>
      <w:pPr>
        <w:ind w:left="0" w:firstLine="0"/>
        <w:jc w:val="both"/>
        <w:spacing w:after="120" w:line="360" w:lineRule="auto"/>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（3）履约保证金退还方式：以转账方式提交履约保证金的，甲方以转账方式原路退还履约保证金；以履约保函方式提交的，甲方向乙方提供验收合格证明、合同履行完成证明等解除担保所需的证明材料。</w:t>
      </w:r>
      <w:r/>
    </w:p>
    <w:p>
      <w:pPr>
        <w:ind w:left="0" w:firstLine="0"/>
        <w:jc w:val="both"/>
        <w:spacing w:after="120" w:line="360" w:lineRule="auto"/>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（4）履约保证金退还时间：见本章节付款方式部分。</w:t>
      </w:r>
      <w:r/>
    </w:p>
    <w:p>
      <w:pPr>
        <w:ind w:left="0" w:firstLine="0"/>
        <w:jc w:val="both"/>
        <w:spacing w:after="120" w:line="360" w:lineRule="auto"/>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（5）履约保证金退还条件：中标人全部履约合同义务，经采购人验收合格无质量、进度等问题的，采购人在项目最终验收合格后一次性无息退还履约保证金。</w:t>
      </w:r>
      <w:r/>
    </w:p>
    <w:p>
      <w:pPr>
        <w:ind w:left="0" w:firstLine="0"/>
        <w:jc w:val="both"/>
        <w:spacing w:after="120" w:line="360" w:lineRule="auto"/>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（6）履约保证金不予退还的情形：</w:t>
      </w:r>
      <w:r/>
    </w:p>
    <w:p>
      <w:pPr>
        <w:ind w:left="0" w:firstLine="0"/>
        <w:jc w:val="both"/>
        <w:spacing w:after="120" w:line="360" w:lineRule="auto"/>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出现以下情形时，甲方有权全额扣除履约保证金，全额不予退还。甲方有权终止合同，乙方还须承担相应的法律赔偿责任。</w:t>
      </w:r>
      <w:r/>
    </w:p>
    <w:p>
      <w:pPr>
        <w:ind w:left="0" w:firstLine="0"/>
        <w:jc w:val="both"/>
        <w:spacing w:after="120" w:line="360" w:lineRule="auto"/>
        <w:widowControl w:val="off"/>
        <w:rPr>
          <w:rFonts w:hint="eastAsia" w:ascii="Times New Roman" w:hAnsi="Times New Roman" w:eastAsia="宋体" w:cs="Times New Roman"/>
          <w:color w:val="000000"/>
          <w:sz w:val="24"/>
          <w:szCs w:val="24"/>
          <w:highlight w:val="none"/>
        </w:rPr>
      </w:pPr>
      <w:r>
        <w:rPr>
          <w:rFonts w:hint="eastAsia" w:cs="Times New Roman"/>
          <w:color w:val="000000"/>
          <w:sz w:val="24"/>
          <w:szCs w:val="24"/>
          <w:highlight w:val="none"/>
          <w:lang w:val="en-US" w:eastAsia="zh-CN"/>
        </w:rPr>
        <w:t xml:space="preserve">A.</w:t>
      </w:r>
      <w:r>
        <w:rPr>
          <w:rFonts w:hint="eastAsia" w:ascii="Times New Roman" w:hAnsi="Times New Roman" w:eastAsia="宋体" w:cs="Times New Roman"/>
          <w:color w:val="000000"/>
          <w:sz w:val="24"/>
          <w:szCs w:val="24"/>
          <w:highlight w:val="none"/>
        </w:rPr>
        <w:t xml:space="preserve">系统功能不完整，或者存在缺陷，经限期整改后仍不合格的；</w:t>
      </w:r>
      <w:r>
        <w:rPr>
          <w:rFonts w:hint="eastAsia" w:cs="Times New Roman"/>
          <w:color w:val="000000"/>
          <w:sz w:val="24"/>
          <w:szCs w:val="24"/>
          <w:highlight w:val="none"/>
          <w:lang w:val="en-US" w:eastAsia="zh-CN"/>
        </w:rPr>
        <w:t xml:space="preserve">B、</w:t>
      </w:r>
      <w:r>
        <w:rPr>
          <w:rFonts w:hint="eastAsia" w:ascii="Times New Roman" w:hAnsi="Times New Roman" w:eastAsia="宋体" w:cs="Times New Roman"/>
          <w:color w:val="000000"/>
          <w:sz w:val="24"/>
          <w:szCs w:val="24"/>
          <w:highlight w:val="none"/>
        </w:rPr>
        <w:t xml:space="preserve">乙方未按合同约定履行义务，经甲方书面催告后仍未履行的；</w:t>
      </w:r>
      <w:r>
        <w:rPr>
          <w:rFonts w:hint="eastAsia" w:cs="Times New Roman"/>
          <w:color w:val="000000"/>
          <w:sz w:val="24"/>
          <w:szCs w:val="24"/>
          <w:highlight w:val="none"/>
          <w:lang w:val="en-US" w:eastAsia="zh-CN"/>
        </w:rPr>
        <w:t xml:space="preserve">C、</w:t>
      </w:r>
      <w:r>
        <w:rPr>
          <w:rFonts w:hint="eastAsia" w:ascii="Times New Roman" w:hAnsi="Times New Roman" w:eastAsia="宋体" w:cs="Times New Roman"/>
          <w:color w:val="000000"/>
          <w:sz w:val="24"/>
          <w:szCs w:val="24"/>
          <w:highlight w:val="none"/>
        </w:rPr>
        <w:t xml:space="preserve">乙方将合同转包，或者未经甲方同意分包的；</w:t>
      </w:r>
      <w:r>
        <w:rPr>
          <w:rFonts w:hint="eastAsia" w:cs="Times New Roman"/>
          <w:color w:val="000000"/>
          <w:sz w:val="24"/>
          <w:szCs w:val="24"/>
          <w:highlight w:val="none"/>
          <w:lang w:val="en-US" w:eastAsia="zh-CN"/>
        </w:rPr>
        <w:t xml:space="preserve">D、</w:t>
      </w:r>
      <w:r>
        <w:rPr>
          <w:rFonts w:hint="eastAsia" w:ascii="Times New Roman" w:hAnsi="Times New Roman" w:eastAsia="宋体" w:cs="Times New Roman"/>
          <w:color w:val="000000"/>
          <w:sz w:val="24"/>
          <w:szCs w:val="24"/>
          <w:highlight w:val="none"/>
        </w:rPr>
        <w:t xml:space="preserve">因乙方原因导致合同解除的；</w:t>
      </w:r>
      <w:r>
        <w:rPr>
          <w:rFonts w:hint="eastAsia" w:cs="Times New Roman"/>
          <w:color w:val="000000"/>
          <w:sz w:val="24"/>
          <w:szCs w:val="24"/>
          <w:highlight w:val="none"/>
          <w:lang w:val="en-US" w:eastAsia="zh-CN"/>
        </w:rPr>
        <w:t xml:space="preserve">E、</w:t>
      </w:r>
      <w:r>
        <w:rPr>
          <w:rFonts w:hint="eastAsia" w:ascii="Times New Roman" w:hAnsi="Times New Roman" w:eastAsia="宋体" w:cs="Times New Roman"/>
          <w:color w:val="000000"/>
          <w:sz w:val="24"/>
          <w:szCs w:val="24"/>
          <w:highlight w:val="none"/>
        </w:rPr>
        <w:t xml:space="preserve">其他依合同约定不予退还的情形。</w:t>
      </w:r>
      <w:r/>
    </w:p>
    <w:p>
      <w:pPr>
        <w:ind w:left="0" w:firstLine="0"/>
        <w:jc w:val="both"/>
        <w:spacing w:after="120" w:line="360" w:lineRule="auto"/>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7）履约保证金部分退还的情形：如果乙方未能按合同约定全面履行义务，在履约过程中发生违约行为给采购单位造成损失的，甲方有权从履约保证金中取得补偿或赔偿，且不影响甲方要求乙方承担合同约定的超过履约保证金的违约责任的权利。</w:t>
      </w:r>
      <w:r/>
    </w:p>
    <w:p>
      <w:pPr>
        <w:ind w:left="0" w:firstLine="0"/>
        <w:jc w:val="both"/>
        <w:spacing w:after="120" w:line="360" w:lineRule="auto"/>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（8）逾期退还履约保证金的违约责任：采购人若逾期退还履约保证金的，按照逾期部分的每日0.05%支付违约金。</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cs="Times New Roman"/>
          <w:color w:val="000000"/>
          <w:sz w:val="24"/>
          <w:szCs w:val="24"/>
          <w:highlight w:val="none"/>
          <w:lang w:eastAsia="zh-CN"/>
        </w:rPr>
        <w:t xml:space="preserve">（</w:t>
      </w:r>
      <w:r>
        <w:rPr>
          <w:rFonts w:hint="eastAsia" w:cs="Times New Roman"/>
          <w:color w:val="000000"/>
          <w:sz w:val="24"/>
          <w:szCs w:val="24"/>
          <w:highlight w:val="none"/>
          <w:lang w:val="en-US" w:eastAsia="zh-CN"/>
        </w:rPr>
        <w:t xml:space="preserve">9</w:t>
      </w:r>
      <w:r>
        <w:rPr>
          <w:rFonts w:hint="eastAsia" w:cs="Times New Roman"/>
          <w:color w:val="000000"/>
          <w:sz w:val="24"/>
          <w:szCs w:val="24"/>
          <w:highlight w:val="none"/>
          <w:lang w:eastAsia="zh-CN"/>
        </w:rPr>
        <w:t xml:space="preserve">）</w:t>
      </w:r>
      <w:r>
        <w:rPr>
          <w:rFonts w:hint="eastAsia" w:cs="Times New Roman"/>
          <w:color w:val="000000"/>
          <w:sz w:val="24"/>
          <w:szCs w:val="24"/>
          <w:highlight w:val="none"/>
          <w:lang w:val="en-US" w:eastAsia="zh-CN"/>
        </w:rPr>
        <w:t xml:space="preserve">因本项目实施周期较长，</w:t>
      </w:r>
      <w:r>
        <w:rPr>
          <w:rFonts w:hint="eastAsia" w:ascii="Times New Roman" w:hAnsi="Times New Roman" w:eastAsia="宋体" w:cs="Times New Roman"/>
          <w:color w:val="000000"/>
          <w:sz w:val="24"/>
          <w:szCs w:val="24"/>
          <w:highlight w:val="none"/>
        </w:rPr>
        <w:t xml:space="preserve">以履约保函（保险）形式提交履约保证金的，保函（保险）有效期应不少于合同生效之日起12个月，如遇特殊情况在有效期内不能完成履约验收的，需提前15天办理延期手续。</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w:t>
      </w:r>
      <w:r>
        <w:rPr>
          <w:rFonts w:hint="eastAsia" w:cs="Times New Roman"/>
          <w:color w:val="000000"/>
          <w:sz w:val="24"/>
          <w:szCs w:val="24"/>
          <w:highlight w:val="none"/>
          <w:lang w:val="en-US" w:eastAsia="zh-CN"/>
        </w:rPr>
        <w:t xml:space="preserve">10</w:t>
      </w:r>
      <w:r>
        <w:rPr>
          <w:rFonts w:hint="eastAsia" w:ascii="Times New Roman" w:hAnsi="Times New Roman" w:eastAsia="宋体" w:cs="Times New Roman"/>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中标人可登录江苏政府采购网“资料下载”栏目下载“政府采购电子履约（保函）保险操作手册”。</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11.2 预付款保函</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11.2.1 提交义务：中标人要求支付预付款的，应当在采购人支付第一期预付款前，向采购人提交由银行或者保险机构出具、以采购人为受益人、金额为合同总价30%的预付款保函原件。未按期提交的，采购人有权暂缓支付预付款，且不构成逾期付款，不承担违约责任。</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11.2.2 提交形式：预付款保函应当为不可撤销、见索即付的独立保函，可采用银行保函或者保险保函等非现金形式，不得以现金或者转账方式提交。保函有效期自出具之日起至第二期进度款支付完成且预付款全额抵扣之日止。因项目延期导致保函到期的，中标人应当在保函到期前15日办理延期手续；未办理的，采购人有权从应付款项中扣回预付款，或者要求中标人提前清偿。</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11.2.3 保函金额：与预付款金额一致，即合同总价的30%。</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11.2.4 退还时间与条件：第二期进度款支付时预付款一次性全额抵扣，采购人应当在第二期款项支付完成后5个工作日内退还保函原件；以电子保函形式提交的，采购人应当出具解除保函责任的书面确认。预付款抵扣前，保函继续有效；保函到期日早于预付款抵扣之日的，中标人应当按照本节第11.2.2条办理延期手续。</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11.2.5 不予退还及索赔情形：出现下列情形之一的，采购人有权凭预付款保函向出具机构索赔，索赔金额以未返还的预付款本金及相应资金占用损失为限：（1）中标人未按合同约定履行供货、安装、调试义务，经采购人书面催告后15日内仍未履行的；（2）中标人擅自中止、终止合同，或者以行为表明不履行合同的；（3）项目未通过初步验收，且中标人在限期内未完成整改的；（4）中标人存在提供虚假材料、转包、严重违约等情形，采购人依法解除合同的；（5）其他依合同约定应当返还预付款而未返还的情形。</w:t>
      </w:r>
      <w:r/>
    </w:p>
    <w:p>
      <w:pPr>
        <w:ind w:left="0" w:firstLine="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11.2.6 逾期退还的责任：采购人在满足退还条件后逾期退还预付款保函的，每逾期一日按预付款金额的0.05%向中标人支付违约金；因中标人原因、保函争议或者不可抗力导致延误的除外。</w:t>
      </w:r>
      <w:r/>
    </w:p>
    <w:p>
      <w:pPr>
        <w:ind w:left="0" w:firstLine="0"/>
        <w:jc w:val="both"/>
        <w:spacing w:after="120" w:line="360" w:lineRule="auto"/>
        <w:widowControl w:val="off"/>
        <w:rPr>
          <w:rFonts w:hint="eastAsia" w:cs="Times New Roman"/>
          <w:color w:val="000000"/>
          <w:sz w:val="24"/>
          <w:szCs w:val="24"/>
          <w:highlight w:val="none"/>
        </w:rPr>
      </w:pPr>
      <w:r>
        <w:rPr>
          <w:rFonts w:hint="eastAsia" w:cs="Times New Roman"/>
          <w:color w:val="000000"/>
          <w:sz w:val="24"/>
          <w:szCs w:val="24"/>
          <w:highlight w:val="none"/>
          <w:lang w:eastAsia="zh-CN"/>
        </w:rPr>
        <w:t xml:space="preserve">12.商品包装环保要求：应当按《关于印发〈商品包装政府采购需求标准（试行）〉、〈快递包装政府采购需求标准（试行）〉的通知》（财办库〔2020〕123号）文件执行。</w:t>
      </w:r>
      <w:r/>
    </w:p>
    <w:p>
      <w:pPr>
        <w:keepLines w:val="0"/>
        <w:keepNext w:val="0"/>
        <w:pageBreakBefore w:val="0"/>
        <w:spacing w:line="360" w:lineRule="auto"/>
        <w:widowControl w:val="off"/>
        <w:rPr>
          <w:rFonts w:hint="eastAsia" w:asciiTheme="minorEastAsia" w:hAnsiTheme="minorEastAsia" w:eastAsiaTheme="minorEastAsia" w:cstheme="minorEastAsia"/>
          <w:b/>
          <w:color w:val="000000" w:themeColor="text1"/>
          <w:sz w:val="28"/>
          <w:szCs w:val="28"/>
          <w:highlight w:val="none"/>
          <w:u w:val="singl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u w:val="single"/>
          <w:lang w:val="en-US" w:eastAsia="zh-CN"/>
          <w14:textFill>
            <w14:solidFill>
              <w14:schemeClr w14:val="tx1"/>
            </w14:solidFill>
          </w14:textFill>
        </w:rPr>
        <w:t xml:space="preserve">四、采购需求中必须满足的实质性要求</w:t>
      </w:r>
      <w:r/>
    </w:p>
    <w:p>
      <w:pPr>
        <w:ind w:right="0"/>
        <w:jc w:val="both"/>
        <w:spacing w:after="120" w:line="360" w:lineRule="auto"/>
        <w:rPr>
          <w:rFonts w:hint="eastAsia" w:ascii="Times New Roman" w:hAnsi="Times New Roman" w:eastAsia="宋体" w:cs="Times New Roman"/>
          <w:b/>
          <w:bCs/>
          <w:color w:val="000000"/>
          <w:sz w:val="24"/>
          <w:szCs w:val="24"/>
          <w:highlight w:val="none"/>
          <w:u w:val="single"/>
        </w:rPr>
      </w:pPr>
      <w:r>
        <w:rPr>
          <w:rFonts w:hint="eastAsia" w:ascii="Times New Roman" w:hAnsi="Times New Roman" w:eastAsia="宋体" w:cs="Times New Roman"/>
          <w:b/>
          <w:bCs/>
          <w:color w:val="000000"/>
          <w:sz w:val="24"/>
          <w:szCs w:val="24"/>
          <w:highlight w:val="none"/>
          <w:u w:val="single"/>
        </w:rPr>
        <w:t xml:space="preserve">（一）技术部分实质性要求</w:t>
      </w:r>
      <w:r/>
    </w:p>
    <w:p>
      <w:pPr>
        <w:ind w:left="0" w:firstLine="480"/>
        <w:jc w:val="both"/>
        <w:spacing w:after="120" w:line="360" w:lineRule="auto"/>
        <w:widowControl w:val="off"/>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集成服务</w:t>
      </w:r>
      <w:r>
        <w:rPr>
          <w:rFonts w:hint="eastAsia"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容灾演练支持</w:t>
      </w:r>
      <w:r>
        <w:rPr>
          <w:rFonts w:hint="eastAsia"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配套容灾主机安全软件（投标时提供承诺函，格式自拟</w:t>
      </w:r>
      <w:r>
        <w:rPr>
          <w:rFonts w:hint="eastAsia" w:cs="Times New Roman"/>
          <w:color w:val="000000"/>
          <w:sz w:val="24"/>
          <w:szCs w:val="24"/>
          <w:highlight w:val="none"/>
          <w:lang w:eastAsia="zh-CN"/>
        </w:rPr>
        <w:t xml:space="preserve">，</w:t>
      </w:r>
      <w:r>
        <w:rPr>
          <w:rFonts w:hint="eastAsia" w:cs="Times New Roman"/>
          <w:color w:val="000000"/>
          <w:sz w:val="24"/>
          <w:szCs w:val="24"/>
          <w:highlight w:val="none"/>
          <w:lang w:val="en-US" w:eastAsia="zh-CN"/>
        </w:rPr>
        <w:t xml:space="preserve">详见“集成服务”部分</w:t>
      </w:r>
      <w:r>
        <w:rPr>
          <w:rFonts w:hint="eastAsia" w:ascii="Times New Roman" w:hAnsi="Times New Roman" w:eastAsia="宋体" w:cs="Times New Roman"/>
          <w:color w:val="000000"/>
          <w:sz w:val="24"/>
          <w:szCs w:val="24"/>
          <w:highlight w:val="none"/>
        </w:rPr>
        <w:t xml:space="preserve">）。</w:t>
      </w:r>
      <w:r/>
    </w:p>
    <w:p>
      <w:pPr>
        <w:ind w:right="0"/>
        <w:jc w:val="both"/>
        <w:spacing w:after="120" w:line="360" w:lineRule="auto"/>
        <w:rPr>
          <w:rFonts w:hint="eastAsia" w:ascii="Times New Roman" w:hAnsi="Times New Roman" w:eastAsia="宋体" w:cs="Times New Roman"/>
          <w:b/>
          <w:bCs/>
          <w:color w:val="000000"/>
          <w:sz w:val="24"/>
          <w:szCs w:val="24"/>
          <w:highlight w:val="none"/>
          <w:u w:val="single"/>
        </w:rPr>
      </w:pPr>
      <w:r>
        <w:rPr>
          <w:rFonts w:hint="eastAsia" w:ascii="Times New Roman" w:hAnsi="Times New Roman" w:eastAsia="宋体" w:cs="Times New Roman"/>
          <w:b/>
          <w:bCs/>
          <w:color w:val="000000"/>
          <w:sz w:val="24"/>
          <w:szCs w:val="24"/>
          <w:highlight w:val="none"/>
          <w:u w:val="single"/>
        </w:rPr>
        <w:t xml:space="preserve">（二）商务部分实质性要求</w:t>
      </w:r>
      <w:r/>
    </w:p>
    <w:p>
      <w:pPr>
        <w:ind w:left="0" w:firstLine="480"/>
        <w:jc w:val="both"/>
        <w:spacing w:after="120" w:line="360" w:lineRule="auto"/>
        <w:widowControl w:val="off"/>
        <w:rPr>
          <w:color w:val="000000" w:themeColor="text1"/>
          <w:highlight w:val="none"/>
          <w14:textFill>
            <w14:solidFill>
              <w14:schemeClr w14:val="tx1"/>
            </w14:solidFill>
          </w14:textFill>
        </w:rPr>
      </w:pPr>
      <w:r>
        <w:rPr>
          <w:rFonts w:hint="eastAsia" w:cs="Times New Roman"/>
          <w:color w:val="000000"/>
          <w:sz w:val="24"/>
          <w:szCs w:val="24"/>
          <w:highlight w:val="none"/>
          <w:lang w:val="en-US" w:eastAsia="zh-CN"/>
        </w:rPr>
        <w:t xml:space="preserve">本章节“★三、商务条款”全部内容均为实质性要求，投标人须在《商务部分正负偏离表》逐条响应，任意一条负偏离或意图负偏离的表达将被视为无效投标。</w:t>
      </w:r>
      <w:r>
        <w:rPr>
          <w:rFonts w:hint="eastAsia"/>
          <w:color w:val="000000" w:themeColor="text1"/>
          <w:highlight w:val="none"/>
          <w14:textFill>
            <w14:solidFill>
              <w14:schemeClr w14:val="tx1"/>
            </w14:solidFill>
          </w14:textFill>
        </w:rPr>
        <w:br w:type="page" w:clear="all"/>
      </w:r>
      <w:r/>
    </w:p>
    <w:p>
      <w:pPr>
        <w:pStyle w:val="1440"/>
        <w:tabs>
          <w:tab w:val="left" w:pos="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第四部分  开标和评标</w:t>
      </w:r>
      <w:r/>
    </w:p>
    <w:p>
      <w:pPr>
        <w:pStyle w:val="717"/>
        <w:numPr>
          <w:ilvl w:val="0"/>
          <w:numId w:val="42"/>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开标</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不见面远程开标模式：投标人在各自地点通过苏采云系统参加开标会。</w:t>
      </w:r>
      <w:r/>
    </w:p>
    <w:p>
      <w:pPr>
        <w:pStyle w:val="717"/>
        <w:numPr>
          <w:ilvl w:val="0"/>
          <w:numId w:val="42"/>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评标流程和评标标准</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采用综合评分法。分资格审查，商务、技术标，价格标三部分评审，总分值为100分，加分和减分因素除外。</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开启、评审。投标人商务、技术部分和价格部分的合计分值，为该投标人的评标总得分。</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标结果按评审后得分由高到低顺序排列。得分相同的，按投标报价由低到高顺序排列。得分且投标报价相同的以抽签的方式决定排序。投标文件满足招标文件全部实质性要求，且按照评审因素的量化指标评审得分最高的投标人为中标候选人。本项目选取1名中标候选人。</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应按照评标委员会推荐的</w:t>
      </w:r>
      <w:r>
        <w:rPr>
          <w:color w:val="000000" w:themeColor="text1"/>
          <w:highlight w:val="none"/>
          <w14:textFill>
            <w14:solidFill>
              <w14:schemeClr w14:val="tx1"/>
            </w14:solidFill>
          </w14:textFill>
        </w:rPr>
        <w:t xml:space="preserve">中标候选人</w:t>
      </w:r>
      <w:r>
        <w:rPr>
          <w:rFonts w:hint="eastAsia"/>
          <w:color w:val="000000" w:themeColor="text1"/>
          <w:highlight w:val="none"/>
          <w14:textFill>
            <w14:solidFill>
              <w14:schemeClr w14:val="tx1"/>
            </w14:solidFill>
          </w14:textFill>
        </w:rPr>
        <w:t xml:space="preserve">顺序确定</w:t>
      </w:r>
      <w:r>
        <w:rPr>
          <w:color w:val="000000" w:themeColor="text1"/>
          <w:highlight w:val="none"/>
          <w14:textFill>
            <w14:solidFill>
              <w14:schemeClr w14:val="tx1"/>
            </w14:solidFill>
          </w14:textFill>
        </w:rPr>
        <w:t xml:space="preserve">中标人。</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评委在认真审阅投标文件的基础上，根据各投标文件的响应程度独立评判，不得统一打分。</w:t>
      </w:r>
      <w:r/>
    </w:p>
    <w:p>
      <w:pPr>
        <w:pStyle w:val="739"/>
        <w:numPr>
          <w:ilvl w:val="0"/>
          <w:numId w:val="43"/>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采购人（代表）对投标人资格进行审查。</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投标人资格不合格的，其投标文件判定为无效投标文件。</w:t>
      </w:r>
      <w:r/>
    </w:p>
    <w:p>
      <w:pPr>
        <w:pStyle w:val="739"/>
        <w:numPr>
          <w:ilvl w:val="0"/>
          <w:numId w:val="43"/>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评标委员会对符合资格投标人的投标文件进行符合性审查。</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未通过符合性审查的投标文件，将被判定为不满足招标文件实质性要求。</w:t>
      </w:r>
      <w:r/>
    </w:p>
    <w:p>
      <w:pPr>
        <w:pStyle w:val="739"/>
        <w:numPr>
          <w:ilvl w:val="0"/>
          <w:numId w:val="43"/>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商务技术分：</w:t>
      </w:r>
      <w:r>
        <w:rPr>
          <w:rFonts w:hint="eastAsia"/>
          <w:b/>
          <w:color w:val="000000" w:themeColor="text1"/>
          <w:highlight w:val="none"/>
          <w:lang w:val="en-US" w:eastAsia="zh-CN"/>
          <w14:textFill>
            <w14:solidFill>
              <w14:schemeClr w14:val="tx1"/>
            </w14:solidFill>
          </w14:textFill>
        </w:rPr>
        <w:t xml:space="preserve">7</w:t>
      </w:r>
      <w:r>
        <w:rPr>
          <w:b/>
          <w:color w:val="000000" w:themeColor="text1"/>
          <w:highlight w:val="none"/>
          <w14:textFill>
            <w14:solidFill>
              <w14:schemeClr w14:val="tx1"/>
            </w14:solidFill>
          </w14:textFill>
        </w:rPr>
        <w:t xml:space="preserve">0分</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各投标人商务技术分得分为评委会成员评分的算术平均分，分值保留小数点后两位。</w:t>
      </w:r>
      <w:r/>
    </w:p>
    <w:p>
      <w:pPr>
        <w:pStyle w:val="1443"/>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评分标准</w:t>
      </w:r>
      <w:r/>
    </w:p>
    <w:tbl>
      <w:tblPr>
        <w:tblStyle w:val="727"/>
        <w:tblW w:w="91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90" w:type="dxa"/>
          <w:top w:w="60" w:type="dxa"/>
          <w:right w:w="90" w:type="dxa"/>
          <w:bottom w:w="60" w:type="dxa"/>
        </w:tblCellMar>
        <w:tblLook w:val="04A0" w:firstRow="1" w:lastRow="0" w:firstColumn="1" w:lastColumn="0" w:noHBand="0" w:noVBand="1"/>
      </w:tblPr>
      <w:tblGrid>
        <w:gridCol w:w="1098"/>
        <w:gridCol w:w="8097"/>
      </w:tblGrid>
      <w:tr>
        <w:trPr>
          <w:cantSplit/>
          <w:jc w:val="center"/>
          <w:trHeight w:val="0"/>
          <w:tblHeader/>
        </w:trPr>
        <w:tc>
          <w:tcPr>
            <w:tcW w:w="1098" w:type="dxa"/>
            <w:vAlign w:val="center"/>
            <w:textDirection w:val="lrTb"/>
            <w:noWrap w:val="false"/>
          </w:tcPr>
          <w:p>
            <w:pPr>
              <w:jc w:val="center"/>
              <w:spacing w:after="0" w:line="320" w:lineRule="auto"/>
              <w:rPr>
                <w:rFonts w:hint="eastAsia" w:ascii="Times New Roman" w:hAnsi="Times New Roman" w:eastAsia="宋体" w:cs="Times New Roman"/>
                <w:b/>
                <w:bCs/>
                <w:color w:val="000000"/>
                <w:sz w:val="21"/>
                <w:szCs w:val="21"/>
                <w:highlight w:val="none"/>
              </w:rPr>
            </w:pPr>
            <w:r>
              <w:rPr>
                <w:rFonts w:hint="eastAsia" w:ascii="Times New Roman" w:hAnsi="Times New Roman" w:eastAsia="宋体" w:cs="Times New Roman"/>
                <w:b/>
                <w:bCs/>
                <w:color w:val="000000"/>
                <w:sz w:val="21"/>
                <w:szCs w:val="21"/>
                <w:highlight w:val="none"/>
              </w:rPr>
              <w:t xml:space="preserve">评审因素</w:t>
            </w:r>
            <w:r/>
          </w:p>
        </w:tc>
        <w:tc>
          <w:tcPr>
            <w:tcW w:w="8097" w:type="dxa"/>
            <w:vAlign w:val="center"/>
            <w:textDirection w:val="lrTb"/>
            <w:noWrap w:val="false"/>
          </w:tcPr>
          <w:p>
            <w:pPr>
              <w:jc w:val="center"/>
              <w:spacing w:after="0" w:line="320" w:lineRule="auto"/>
              <w:rPr>
                <w:rFonts w:hint="eastAsia" w:ascii="Times New Roman" w:hAnsi="Times New Roman" w:eastAsia="宋体" w:cs="Times New Roman"/>
                <w:b/>
                <w:bCs/>
                <w:color w:val="000000"/>
                <w:sz w:val="21"/>
                <w:szCs w:val="21"/>
                <w:highlight w:val="none"/>
              </w:rPr>
            </w:pPr>
            <w:r>
              <w:rPr>
                <w:rFonts w:hint="eastAsia" w:ascii="Times New Roman" w:hAnsi="Times New Roman" w:eastAsia="宋体" w:cs="Times New Roman"/>
                <w:b/>
                <w:bCs/>
                <w:color w:val="000000"/>
                <w:sz w:val="21"/>
                <w:szCs w:val="21"/>
                <w:highlight w:val="none"/>
              </w:rPr>
              <w:t xml:space="preserve">评审标准</w:t>
            </w:r>
            <w:r/>
          </w:p>
        </w:tc>
      </w:tr>
      <w:tr>
        <w:trPr>
          <w:cantSplit/>
          <w:jc w:val="center"/>
          <w:trHeight w:val="0"/>
        </w:trPr>
        <w:tc>
          <w:tcPr>
            <w:tcW w:w="1098" w:type="dxa"/>
            <w:vAlign w:val="center"/>
            <w:textDirection w:val="lrTb"/>
            <w:noWrap w:val="false"/>
          </w:tcPr>
          <w:p>
            <w:pPr>
              <w:jc w:val="left"/>
              <w:spacing w:after="0" w:line="32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参数响应</w:t>
            </w:r>
            <w:r/>
          </w:p>
          <w:p>
            <w:pPr>
              <w:jc w:val="left"/>
              <w:spacing w:after="0" w:line="32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w:t>
            </w:r>
            <w:r>
              <w:rPr>
                <w:rFonts w:hint="eastAsia" w:cs="Times New Roman"/>
                <w:color w:val="000000"/>
                <w:sz w:val="21"/>
                <w:szCs w:val="21"/>
                <w:highlight w:val="none"/>
                <w:lang w:val="en-US" w:eastAsia="zh-CN"/>
              </w:rPr>
              <w:t xml:space="preserve">40</w:t>
            </w:r>
            <w:r>
              <w:rPr>
                <w:rFonts w:hint="eastAsia" w:ascii="Times New Roman" w:hAnsi="Times New Roman" w:eastAsia="宋体" w:cs="Times New Roman"/>
                <w:color w:val="000000"/>
                <w:sz w:val="21"/>
                <w:szCs w:val="21"/>
                <w:highlight w:val="none"/>
              </w:rPr>
              <w:t xml:space="preserve">分）</w:t>
            </w:r>
            <w:r/>
          </w:p>
        </w:tc>
        <w:tc>
          <w:tcPr>
            <w:tcW w:w="8097" w:type="dxa"/>
            <w:vAlign w:val="center"/>
            <w:textDirection w:val="lrTb"/>
            <w:noWrap w:val="false"/>
          </w:tcPr>
          <w:p>
            <w:pPr>
              <w:jc w:val="left"/>
              <w:spacing w:after="0" w:line="32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对投标供应商提供的相关设备材料的技术参数、配置、性能是否符合招标文件要求进行评价。</w:t>
            </w:r>
            <w:r/>
          </w:p>
          <w:p>
            <w:pPr>
              <w:jc w:val="left"/>
              <w:spacing w:after="0" w:line="32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1.标★号指标为关键参数，如有负偏离将作为无效投标文件；</w:t>
            </w:r>
            <w:r/>
          </w:p>
          <w:p>
            <w:pPr>
              <w:jc w:val="left"/>
              <w:spacing w:after="0" w:line="32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2.标▲号指标为重要技术参数，</w:t>
            </w:r>
            <w:r>
              <w:rPr>
                <w:rFonts w:hint="eastAsia" w:cs="Times New Roman"/>
                <w:color w:val="000000"/>
                <w:sz w:val="21"/>
                <w:szCs w:val="21"/>
                <w:highlight w:val="none"/>
                <w:lang w:val="en-US" w:eastAsia="zh-CN"/>
              </w:rPr>
              <w:t xml:space="preserve">共17项，</w:t>
            </w:r>
            <w:r>
              <w:rPr>
                <w:rFonts w:hint="eastAsia" w:ascii="Times New Roman" w:hAnsi="Times New Roman" w:eastAsia="宋体" w:cs="Times New Roman"/>
                <w:color w:val="000000"/>
                <w:sz w:val="21"/>
                <w:szCs w:val="21"/>
                <w:highlight w:val="none"/>
              </w:rPr>
              <w:t xml:space="preserve">每有一个负偏离的，扣</w:t>
            </w:r>
            <w:r>
              <w:rPr>
                <w:rFonts w:hint="eastAsia" w:cs="Times New Roman"/>
                <w:color w:val="000000"/>
                <w:sz w:val="21"/>
                <w:szCs w:val="21"/>
                <w:highlight w:val="none"/>
                <w:lang w:val="en-US" w:eastAsia="zh-CN"/>
              </w:rPr>
              <w:t xml:space="preserve">1.8</w:t>
            </w:r>
            <w:r>
              <w:rPr>
                <w:rFonts w:hint="eastAsia" w:ascii="Times New Roman" w:hAnsi="Times New Roman" w:eastAsia="宋体" w:cs="Times New Roman"/>
                <w:color w:val="000000"/>
                <w:sz w:val="21"/>
                <w:szCs w:val="21"/>
                <w:highlight w:val="none"/>
              </w:rPr>
              <w:t xml:space="preserve">分；</w:t>
            </w:r>
            <w:r/>
          </w:p>
          <w:p>
            <w:pPr>
              <w:jc w:val="left"/>
              <w:spacing w:after="0" w:line="32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3.</w:t>
            </w:r>
            <w:r>
              <w:rPr>
                <w:rFonts w:hint="eastAsia" w:cs="Times New Roman"/>
                <w:color w:val="000000"/>
                <w:sz w:val="21"/>
                <w:szCs w:val="21"/>
                <w:highlight w:val="none"/>
                <w:lang w:val="en-US" w:eastAsia="zh-CN"/>
              </w:rPr>
              <w:t xml:space="preserve">未</w:t>
            </w:r>
            <w:r>
              <w:rPr>
                <w:rFonts w:hint="eastAsia" w:ascii="Times New Roman" w:hAnsi="Times New Roman" w:eastAsia="宋体" w:cs="Times New Roman"/>
                <w:color w:val="000000"/>
                <w:sz w:val="21"/>
                <w:szCs w:val="21"/>
                <w:highlight w:val="none"/>
              </w:rPr>
              <w:t xml:space="preserve">标★号</w:t>
            </w:r>
            <w:r>
              <w:rPr>
                <w:rFonts w:hint="eastAsia" w:cs="Times New Roman"/>
                <w:color w:val="000000"/>
                <w:sz w:val="21"/>
                <w:szCs w:val="21"/>
                <w:highlight w:val="none"/>
                <w:lang w:val="en-US" w:eastAsia="zh-CN"/>
              </w:rPr>
              <w:t xml:space="preserve">或</w:t>
            </w:r>
            <w:r>
              <w:rPr>
                <w:rFonts w:hint="eastAsia" w:ascii="Times New Roman" w:hAnsi="Times New Roman" w:eastAsia="宋体" w:cs="Times New Roman"/>
                <w:color w:val="000000"/>
                <w:sz w:val="21"/>
                <w:szCs w:val="21"/>
                <w:highlight w:val="none"/>
              </w:rPr>
              <w:t xml:space="preserve">▲号的技术参数为一般指标，</w:t>
            </w:r>
            <w:r>
              <w:rPr>
                <w:rFonts w:hint="eastAsia" w:cs="Times New Roman"/>
                <w:color w:val="000000"/>
                <w:sz w:val="21"/>
                <w:szCs w:val="21"/>
                <w:highlight w:val="none"/>
                <w:lang w:val="en-US" w:eastAsia="zh-CN"/>
              </w:rPr>
              <w:t xml:space="preserve">共94项，</w:t>
            </w:r>
            <w:r>
              <w:rPr>
                <w:rFonts w:hint="eastAsia" w:ascii="Times New Roman" w:hAnsi="Times New Roman" w:eastAsia="宋体" w:cs="Times New Roman"/>
                <w:color w:val="000000"/>
                <w:sz w:val="21"/>
                <w:szCs w:val="21"/>
                <w:highlight w:val="none"/>
              </w:rPr>
              <w:t xml:space="preserve">每有一个负偏离的，扣</w:t>
            </w:r>
            <w:r>
              <w:rPr>
                <w:rFonts w:hint="eastAsia" w:cs="Times New Roman"/>
                <w:color w:val="000000"/>
                <w:sz w:val="21"/>
                <w:szCs w:val="21"/>
                <w:highlight w:val="none"/>
                <w:lang w:val="en-US" w:eastAsia="zh-CN"/>
              </w:rPr>
              <w:t xml:space="preserve">0.1</w:t>
            </w:r>
            <w:r>
              <w:rPr>
                <w:rFonts w:hint="eastAsia" w:ascii="Times New Roman" w:hAnsi="Times New Roman" w:eastAsia="宋体" w:cs="Times New Roman"/>
                <w:color w:val="000000"/>
                <w:sz w:val="21"/>
                <w:szCs w:val="21"/>
                <w:highlight w:val="none"/>
              </w:rPr>
              <w:t xml:space="preserve">分。</w:t>
            </w:r>
            <w:r/>
          </w:p>
          <w:p>
            <w:pPr>
              <w:jc w:val="left"/>
              <w:spacing w:after="0" w:line="320" w:lineRule="auto"/>
              <w:rPr>
                <w:rFonts w:hint="default"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 xml:space="preserve">4.分值</w:t>
            </w:r>
            <w:r>
              <w:rPr>
                <w:rFonts w:hint="eastAsia" w:ascii="Times New Roman" w:hAnsi="Times New Roman" w:eastAsia="宋体" w:cs="Times New Roman"/>
                <w:color w:val="000000"/>
                <w:sz w:val="21"/>
                <w:szCs w:val="21"/>
                <w:highlight w:val="none"/>
              </w:rPr>
              <w:t xml:space="preserve">扣完为止</w:t>
            </w:r>
            <w:r>
              <w:rPr>
                <w:rFonts w:hint="eastAsia" w:cs="Times New Roman"/>
                <w:color w:val="000000"/>
                <w:sz w:val="21"/>
                <w:szCs w:val="21"/>
                <w:highlight w:val="none"/>
                <w:lang w:eastAsia="zh-CN"/>
              </w:rPr>
              <w:t xml:space="preserve">，</w:t>
            </w:r>
            <w:r>
              <w:rPr>
                <w:rFonts w:hint="eastAsia" w:cs="Times New Roman"/>
                <w:color w:val="000000"/>
                <w:sz w:val="21"/>
                <w:szCs w:val="21"/>
                <w:highlight w:val="none"/>
                <w:lang w:val="en-US" w:eastAsia="zh-CN"/>
              </w:rPr>
              <w:t xml:space="preserve">正偏离不加分。</w:t>
            </w:r>
            <w:r/>
          </w:p>
          <w:p>
            <w:pPr>
              <w:jc w:val="left"/>
              <w:spacing w:after="0" w:line="32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注：投标人须在《</w:t>
            </w:r>
            <w:r>
              <w:rPr>
                <w:rFonts w:hint="eastAsia" w:cs="Times New Roman"/>
                <w:color w:val="000000"/>
                <w:sz w:val="21"/>
                <w:szCs w:val="21"/>
                <w:highlight w:val="none"/>
                <w:lang w:val="en-US" w:eastAsia="zh-CN"/>
              </w:rPr>
              <w:t xml:space="preserve">技术</w:t>
            </w:r>
            <w:r>
              <w:rPr>
                <w:rFonts w:hint="eastAsia" w:ascii="Times New Roman" w:hAnsi="Times New Roman" w:eastAsia="宋体" w:cs="Times New Roman"/>
                <w:color w:val="000000"/>
                <w:sz w:val="21"/>
                <w:szCs w:val="21"/>
                <w:highlight w:val="none"/>
              </w:rPr>
              <w:t xml:space="preserve">部分正负偏离表》中针对</w:t>
            </w:r>
            <w:r>
              <w:rPr>
                <w:rFonts w:hint="eastAsia" w:cs="Times New Roman"/>
                <w:color w:val="000000"/>
                <w:sz w:val="21"/>
                <w:szCs w:val="21"/>
                <w:highlight w:val="none"/>
                <w:lang w:val="en-US" w:eastAsia="zh-CN"/>
              </w:rPr>
              <w:t xml:space="preserve">招标文件第三部分 三、</w:t>
            </w:r>
            <w:r>
              <w:rPr>
                <w:rFonts w:hint="eastAsia" w:ascii="Times New Roman" w:hAnsi="Times New Roman" w:eastAsia="宋体" w:cs="Times New Roman"/>
                <w:color w:val="000000"/>
                <w:sz w:val="21"/>
                <w:szCs w:val="21"/>
                <w:highlight w:val="none"/>
              </w:rPr>
              <w:t xml:space="preserve">技术参数要求</w:t>
            </w:r>
            <w:r>
              <w:rPr>
                <w:rFonts w:hint="eastAsia" w:cs="Times New Roman"/>
                <w:color w:val="000000"/>
                <w:sz w:val="21"/>
                <w:szCs w:val="21"/>
                <w:highlight w:val="none"/>
                <w:lang w:eastAsia="zh-CN"/>
              </w:rPr>
              <w:t xml:space="preserve">的</w:t>
            </w:r>
            <w:r>
              <w:rPr>
                <w:rFonts w:hint="eastAsia" w:cs="Times New Roman"/>
                <w:color w:val="000000"/>
                <w:sz w:val="21"/>
                <w:szCs w:val="21"/>
                <w:highlight w:val="none"/>
                <w:lang w:val="en-US" w:eastAsia="zh-CN"/>
              </w:rPr>
              <w:t xml:space="preserve">要求</w:t>
            </w:r>
            <w:r>
              <w:rPr>
                <w:rFonts w:hint="eastAsia" w:ascii="Times New Roman" w:hAnsi="Times New Roman" w:eastAsia="宋体" w:cs="Times New Roman"/>
                <w:color w:val="000000"/>
                <w:sz w:val="21"/>
                <w:szCs w:val="21"/>
                <w:highlight w:val="none"/>
              </w:rPr>
              <w:t xml:space="preserve">，逐条填写响应情况，按</w:t>
            </w:r>
            <w:r>
              <w:rPr>
                <w:rFonts w:hint="eastAsia" w:cs="Times New Roman"/>
                <w:color w:val="000000"/>
                <w:sz w:val="21"/>
                <w:szCs w:val="21"/>
                <w:highlight w:val="none"/>
                <w:lang w:val="en-US" w:eastAsia="zh-CN"/>
              </w:rPr>
              <w:t xml:space="preserve">招标文件第三部分</w:t>
            </w:r>
            <w:r>
              <w:rPr>
                <w:rFonts w:hint="eastAsia" w:ascii="Times New Roman" w:hAnsi="Times New Roman" w:eastAsia="宋体" w:cs="Times New Roman"/>
                <w:color w:val="000000"/>
                <w:sz w:val="21"/>
                <w:szCs w:val="21"/>
                <w:highlight w:val="none"/>
              </w:rPr>
              <w:t xml:space="preserve">要求提供佐证材料并在《</w:t>
            </w:r>
            <w:r>
              <w:rPr>
                <w:rFonts w:hint="eastAsia" w:cs="Times New Roman"/>
                <w:color w:val="000000"/>
                <w:sz w:val="21"/>
                <w:szCs w:val="21"/>
                <w:highlight w:val="none"/>
                <w:lang w:val="en-US" w:eastAsia="zh-CN"/>
              </w:rPr>
              <w:t xml:space="preserve">技术</w:t>
            </w:r>
            <w:r>
              <w:rPr>
                <w:rFonts w:hint="eastAsia" w:ascii="Times New Roman" w:hAnsi="Times New Roman" w:eastAsia="宋体" w:cs="Times New Roman"/>
                <w:color w:val="000000"/>
                <w:sz w:val="21"/>
                <w:szCs w:val="21"/>
                <w:highlight w:val="none"/>
              </w:rPr>
              <w:t xml:space="preserve">部分正负偏离表》“偏离说明及证明材料页码”一栏中标注证明材料所在的准确页码，否则评标委员会可视为负偏离；</w:t>
            </w:r>
            <w:r>
              <w:rPr>
                <w:rFonts w:hint="eastAsia" w:cs="Times New Roman"/>
                <w:color w:val="000000"/>
                <w:sz w:val="21"/>
                <w:szCs w:val="21"/>
                <w:highlight w:val="none"/>
                <w:lang w:val="en-US" w:eastAsia="zh-CN"/>
              </w:rPr>
              <w:t xml:space="preserve">招标文件第三部分</w:t>
            </w:r>
            <w:r>
              <w:rPr>
                <w:rFonts w:hint="eastAsia" w:ascii="Times New Roman" w:hAnsi="Times New Roman" w:eastAsia="宋体" w:cs="Times New Roman"/>
                <w:color w:val="000000"/>
                <w:sz w:val="21"/>
                <w:szCs w:val="21"/>
                <w:highlight w:val="none"/>
              </w:rPr>
              <w:t xml:space="preserve">中没有要求提供证明材料的，以《技术部分正负偏离表》</w:t>
            </w:r>
            <w:r>
              <w:rPr>
                <w:rFonts w:hint="eastAsia" w:cs="Times New Roman"/>
                <w:color w:val="000000"/>
                <w:sz w:val="21"/>
                <w:szCs w:val="21"/>
                <w:highlight w:val="none"/>
                <w:lang w:val="en-US" w:eastAsia="zh-CN"/>
              </w:rPr>
              <w:t xml:space="preserve">响应情况</w:t>
            </w:r>
            <w:r>
              <w:rPr>
                <w:rFonts w:hint="eastAsia" w:ascii="Times New Roman" w:hAnsi="Times New Roman" w:eastAsia="宋体" w:cs="Times New Roman"/>
                <w:color w:val="000000"/>
                <w:sz w:val="21"/>
                <w:szCs w:val="21"/>
                <w:highlight w:val="none"/>
              </w:rPr>
              <w:t xml:space="preserve">为准。</w:t>
            </w:r>
            <w:r/>
          </w:p>
        </w:tc>
      </w:tr>
      <w:tr>
        <w:trPr>
          <w:cantSplit/>
          <w:jc w:val="center"/>
          <w:trHeight w:val="0"/>
        </w:trPr>
        <w:tc>
          <w:tcPr>
            <w:tcW w:w="1098" w:type="dxa"/>
            <w:vAlign w:val="center"/>
            <w:textDirection w:val="lrTb"/>
            <w:noWrap w:val="false"/>
          </w:tcPr>
          <w:p>
            <w:pPr>
              <w:jc w:val="center"/>
              <w:spacing w:after="0" w:line="32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技术方案</w:t>
            </w:r>
            <w:r/>
          </w:p>
          <w:p>
            <w:pPr>
              <w:jc w:val="center"/>
              <w:spacing w:after="0" w:line="32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w:t>
            </w:r>
            <w:r>
              <w:rPr>
                <w:rFonts w:hint="eastAsia" w:cs="Times New Roman"/>
                <w:color w:val="000000"/>
                <w:sz w:val="21"/>
                <w:szCs w:val="21"/>
                <w:highlight w:val="none"/>
                <w:lang w:val="en-US" w:eastAsia="zh-CN"/>
              </w:rPr>
              <w:t xml:space="preserve">4</w:t>
            </w:r>
            <w:r>
              <w:rPr>
                <w:rFonts w:hint="eastAsia" w:ascii="Times New Roman" w:hAnsi="Times New Roman" w:eastAsia="宋体" w:cs="Times New Roman"/>
                <w:color w:val="000000"/>
                <w:sz w:val="21"/>
                <w:szCs w:val="21"/>
                <w:highlight w:val="none"/>
              </w:rPr>
              <w:t xml:space="preserve">分）</w:t>
            </w:r>
            <w:r/>
          </w:p>
        </w:tc>
        <w:tc>
          <w:tcPr>
            <w:tcW w:w="8097" w:type="dxa"/>
            <w:vAlign w:val="center"/>
            <w:textDirection w:val="lrTb"/>
            <w:noWrap w:val="false"/>
          </w:tcPr>
          <w:p>
            <w:pPr>
              <w:jc w:val="left"/>
              <w:spacing w:after="0" w:line="32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根据项目需求提供针对本项目的容灾平台建设方案。方案包括但不限于现有灾备情况分析、平台建设目标、平台建设内容、容灾演练内容等。</w:t>
            </w:r>
            <w:r/>
          </w:p>
          <w:p>
            <w:pPr>
              <w:jc w:val="left"/>
              <w:spacing w:after="0" w:line="32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上述</w:t>
            </w:r>
            <w:r>
              <w:rPr>
                <w:rFonts w:hint="eastAsia" w:cs="Times New Roman"/>
                <w:color w:val="000000"/>
                <w:sz w:val="21"/>
                <w:szCs w:val="21"/>
                <w:highlight w:val="none"/>
                <w:lang w:val="en-US" w:eastAsia="zh-CN"/>
              </w:rPr>
              <w:t xml:space="preserve">4</w:t>
            </w:r>
            <w:r>
              <w:rPr>
                <w:rFonts w:hint="eastAsia" w:ascii="Times New Roman" w:hAnsi="Times New Roman" w:eastAsia="宋体" w:cs="Times New Roman"/>
                <w:color w:val="000000"/>
                <w:sz w:val="21"/>
                <w:szCs w:val="21"/>
                <w:highlight w:val="none"/>
              </w:rPr>
              <w:t xml:space="preserve">项内容中，每一项分值为</w:t>
            </w:r>
            <w:r>
              <w:rPr>
                <w:rFonts w:hint="eastAsia" w:cs="Times New Roman"/>
                <w:color w:val="000000"/>
                <w:sz w:val="21"/>
                <w:szCs w:val="21"/>
                <w:highlight w:val="none"/>
                <w:lang w:val="en-US" w:eastAsia="zh-CN"/>
              </w:rPr>
              <w:t xml:space="preserve">1</w:t>
            </w:r>
            <w:r>
              <w:rPr>
                <w:rFonts w:hint="eastAsia" w:ascii="Times New Roman" w:hAnsi="Times New Roman" w:eastAsia="宋体" w:cs="Times New Roman"/>
                <w:color w:val="000000"/>
                <w:sz w:val="21"/>
                <w:szCs w:val="21"/>
                <w:highlight w:val="none"/>
              </w:rPr>
              <w:t xml:space="preserve">分，完全响应且符合采购人实际需求的方案得</w:t>
            </w:r>
            <w:r>
              <w:rPr>
                <w:rFonts w:hint="eastAsia" w:cs="Times New Roman"/>
                <w:color w:val="000000"/>
                <w:sz w:val="21"/>
                <w:szCs w:val="21"/>
                <w:highlight w:val="none"/>
                <w:lang w:val="en-US" w:eastAsia="zh-CN"/>
              </w:rPr>
              <w:t xml:space="preserve">4</w:t>
            </w:r>
            <w:r>
              <w:rPr>
                <w:rFonts w:hint="eastAsia" w:ascii="Times New Roman" w:hAnsi="Times New Roman" w:eastAsia="宋体" w:cs="Times New Roman"/>
                <w:color w:val="000000"/>
                <w:sz w:val="21"/>
                <w:szCs w:val="21"/>
                <w:highlight w:val="none"/>
              </w:rPr>
              <w:t xml:space="preserve">分，每有一项内容缺失的扣</w:t>
            </w:r>
            <w:r>
              <w:rPr>
                <w:rFonts w:hint="eastAsia" w:cs="Times New Roman"/>
                <w:color w:val="000000"/>
                <w:sz w:val="21"/>
                <w:szCs w:val="21"/>
                <w:highlight w:val="none"/>
                <w:lang w:val="en-US" w:eastAsia="zh-CN"/>
              </w:rPr>
              <w:t xml:space="preserve">1</w:t>
            </w:r>
            <w:r>
              <w:rPr>
                <w:rFonts w:hint="eastAsia" w:ascii="Times New Roman" w:hAnsi="Times New Roman" w:eastAsia="宋体" w:cs="Times New Roman"/>
                <w:color w:val="000000"/>
                <w:sz w:val="21"/>
                <w:szCs w:val="21"/>
                <w:highlight w:val="none"/>
              </w:rPr>
              <w:t xml:space="preserve">分，每有一处内容存在缺陷或不足的扣</w:t>
            </w:r>
            <w:r>
              <w:rPr>
                <w:rFonts w:hint="eastAsia" w:cs="Times New Roman"/>
                <w:color w:val="000000"/>
                <w:sz w:val="21"/>
                <w:szCs w:val="21"/>
                <w:highlight w:val="none"/>
                <w:lang w:val="en-US" w:eastAsia="zh-CN"/>
              </w:rPr>
              <w:t xml:space="preserve">0.5</w:t>
            </w:r>
            <w:r>
              <w:rPr>
                <w:rFonts w:hint="eastAsia" w:ascii="Times New Roman" w:hAnsi="Times New Roman" w:eastAsia="宋体" w:cs="Times New Roman"/>
                <w:color w:val="000000"/>
                <w:sz w:val="21"/>
                <w:szCs w:val="21"/>
                <w:highlight w:val="none"/>
              </w:rPr>
              <w:t xml:space="preserve">分，每一项分值扣完为止。</w:t>
            </w:r>
            <w:r/>
          </w:p>
          <w:p>
            <w:pPr>
              <w:jc w:val="left"/>
              <w:spacing w:after="0" w:line="320" w:lineRule="auto"/>
              <w:rPr>
                <w:rFonts w:hint="eastAsia" w:ascii="Times New Roman" w:hAnsi="Times New Roman" w:eastAsia="宋体" w:cs="Times New Roman"/>
                <w:color w:val="000000"/>
                <w:sz w:val="21"/>
                <w:szCs w:val="21"/>
                <w:highlight w:val="none"/>
              </w:rPr>
            </w:pPr>
            <w:r>
              <w:rPr>
                <w:rFonts w:hint="eastAsia" w:cs="Times New Roman"/>
                <w:color w:val="000000"/>
                <w:sz w:val="21"/>
                <w:szCs w:val="21"/>
                <w:highlight w:val="none"/>
                <w:lang w:val="en-US" w:eastAsia="zh-CN"/>
              </w:rPr>
              <w:t xml:space="preserve">注：</w:t>
            </w:r>
            <w:r>
              <w:rPr>
                <w:rFonts w:hint="eastAsia" w:ascii="Times New Roman" w:hAnsi="Times New Roman" w:eastAsia="宋体" w:cs="Times New Roman"/>
                <w:color w:val="000000"/>
                <w:sz w:val="21"/>
                <w:szCs w:val="21"/>
                <w:highlight w:val="none"/>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tc>
      </w:tr>
      <w:tr>
        <w:trPr>
          <w:cantSplit/>
          <w:jc w:val="center"/>
          <w:trHeight w:val="0"/>
        </w:trPr>
        <w:tc>
          <w:tcPr>
            <w:tcW w:w="1098" w:type="dxa"/>
            <w:vAlign w:val="center"/>
            <w:textDirection w:val="lrTb"/>
            <w:noWrap w:val="false"/>
          </w:tcPr>
          <w:p>
            <w:pPr>
              <w:jc w:val="center"/>
              <w:spacing w:after="0" w:line="320" w:lineRule="auto"/>
              <w:rPr>
                <w:rFonts w:hint="eastAsia" w:ascii="Times New Roman" w:hAnsi="Times New Roman" w:eastAsia="宋体" w:cs="Times New Roman"/>
                <w:color w:val="000000"/>
                <w:sz w:val="21"/>
                <w:szCs w:val="21"/>
                <w:highlight w:val="none"/>
              </w:rPr>
            </w:pPr>
            <w:r>
              <w:rPr>
                <w:rFonts w:hint="eastAsia" w:cs="Times New Roman"/>
                <w:color w:val="000000"/>
                <w:sz w:val="21"/>
                <w:szCs w:val="21"/>
                <w:highlight w:val="none"/>
                <w:lang w:val="en-US" w:eastAsia="zh-CN"/>
              </w:rPr>
              <w:t xml:space="preserve">实施服务</w:t>
            </w:r>
            <w:r>
              <w:rPr>
                <w:rFonts w:hint="eastAsia" w:ascii="Times New Roman" w:hAnsi="Times New Roman" w:eastAsia="宋体" w:cs="Times New Roman"/>
                <w:color w:val="000000"/>
                <w:sz w:val="21"/>
                <w:szCs w:val="21"/>
                <w:highlight w:val="none"/>
              </w:rPr>
              <w:t xml:space="preserve">方案</w:t>
            </w:r>
            <w:r/>
          </w:p>
          <w:p>
            <w:pPr>
              <w:jc w:val="center"/>
              <w:spacing w:after="0" w:line="32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w:t>
            </w:r>
            <w:r>
              <w:rPr>
                <w:rFonts w:hint="eastAsia" w:cs="Times New Roman"/>
                <w:color w:val="000000"/>
                <w:sz w:val="21"/>
                <w:szCs w:val="21"/>
                <w:highlight w:val="none"/>
                <w:lang w:val="en-US" w:eastAsia="zh-CN"/>
              </w:rPr>
              <w:t xml:space="preserve">4</w:t>
            </w:r>
            <w:r>
              <w:rPr>
                <w:rFonts w:hint="eastAsia" w:ascii="Times New Roman" w:hAnsi="Times New Roman" w:eastAsia="宋体" w:cs="Times New Roman"/>
                <w:color w:val="000000"/>
                <w:sz w:val="21"/>
                <w:szCs w:val="21"/>
                <w:highlight w:val="none"/>
              </w:rPr>
              <w:t xml:space="preserve">分）</w:t>
            </w:r>
            <w:r/>
          </w:p>
        </w:tc>
        <w:tc>
          <w:tcPr>
            <w:tcW w:w="8097" w:type="dxa"/>
            <w:vAlign w:val="center"/>
            <w:textDirection w:val="lrTb"/>
            <w:noWrap w:val="false"/>
          </w:tcPr>
          <w:p>
            <w:pPr>
              <w:jc w:val="left"/>
              <w:spacing w:after="0" w:line="32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根据项目需求制定项目实施服务方案，方案内包含：实施进度计划，工期保证措施，质量保证措施，安全风险控制措施等。</w:t>
            </w:r>
            <w:r/>
          </w:p>
          <w:p>
            <w:pPr>
              <w:jc w:val="left"/>
              <w:spacing w:after="0" w:line="32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上述4项内容中，每一项分值为1分，完全响应且符合采购人实际需求的方案得4分，每有一项内容缺失的扣1分，每有一处内容存在缺陷或不足的扣0.5分，每一项分值扣完为止。</w:t>
            </w:r>
            <w:r/>
          </w:p>
          <w:p>
            <w:pPr>
              <w:jc w:val="left"/>
              <w:spacing w:after="0" w:line="320" w:lineRule="auto"/>
              <w:rPr>
                <w:rFonts w:hint="eastAsia" w:ascii="Times New Roman" w:hAnsi="Times New Roman" w:eastAsia="宋体" w:cs="Times New Roman"/>
                <w:color w:val="000000"/>
                <w:sz w:val="21"/>
                <w:szCs w:val="21"/>
                <w:highlight w:val="none"/>
              </w:rPr>
            </w:pPr>
            <w:r>
              <w:rPr>
                <w:rFonts w:hint="eastAsia" w:cs="Times New Roman"/>
                <w:color w:val="000000"/>
                <w:sz w:val="21"/>
                <w:szCs w:val="21"/>
                <w:highlight w:val="none"/>
                <w:lang w:val="en-US" w:eastAsia="zh-CN"/>
              </w:rPr>
              <w:t xml:space="preserve">注：</w:t>
            </w:r>
            <w:r>
              <w:rPr>
                <w:rFonts w:hint="eastAsia" w:ascii="Times New Roman" w:hAnsi="Times New Roman" w:eastAsia="宋体" w:cs="Times New Roman"/>
                <w:color w:val="000000"/>
                <w:sz w:val="21"/>
                <w:szCs w:val="21"/>
                <w:highlight w:val="none"/>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tc>
      </w:tr>
      <w:tr>
        <w:trPr>
          <w:cantSplit/>
          <w:jc w:val="center"/>
          <w:trHeight w:val="0"/>
        </w:trPr>
        <w:tc>
          <w:tcPr>
            <w:tcW w:w="1098" w:type="dxa"/>
            <w:vAlign w:val="center"/>
            <w:textDirection w:val="lrTb"/>
            <w:noWrap w:val="false"/>
          </w:tcPr>
          <w:p>
            <w:pPr>
              <w:jc w:val="center"/>
              <w:spacing w:after="0" w:line="32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售后服务方案</w:t>
            </w:r>
            <w:r/>
          </w:p>
          <w:p>
            <w:pPr>
              <w:jc w:val="center"/>
              <w:spacing w:after="0" w:line="32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w:t>
            </w:r>
            <w:r>
              <w:rPr>
                <w:rFonts w:hint="eastAsia" w:cs="Times New Roman"/>
                <w:color w:val="000000"/>
                <w:sz w:val="21"/>
                <w:szCs w:val="21"/>
                <w:highlight w:val="none"/>
                <w:lang w:val="en-US" w:eastAsia="zh-CN"/>
              </w:rPr>
              <w:t xml:space="preserve">6</w:t>
            </w:r>
            <w:r>
              <w:rPr>
                <w:rFonts w:hint="eastAsia" w:ascii="Times New Roman" w:hAnsi="Times New Roman" w:eastAsia="宋体" w:cs="Times New Roman"/>
                <w:color w:val="000000"/>
                <w:sz w:val="21"/>
                <w:szCs w:val="21"/>
                <w:highlight w:val="none"/>
              </w:rPr>
              <w:t xml:space="preserve">分）</w:t>
            </w:r>
            <w:r/>
          </w:p>
        </w:tc>
        <w:tc>
          <w:tcPr>
            <w:tcW w:w="8097" w:type="dxa"/>
            <w:vAlign w:val="center"/>
            <w:textDirection w:val="lrTb"/>
            <w:noWrap w:val="false"/>
          </w:tcPr>
          <w:p>
            <w:pPr>
              <w:jc w:val="left"/>
              <w:spacing w:after="0" w:line="32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根据项目需求制定售后服务方案，包含</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服务范围、故障解决方案、响应时间、应急处理方案、</w:t>
            </w:r>
            <w:r>
              <w:rPr>
                <w:rFonts w:hint="eastAsia" w:cs="Times New Roman"/>
                <w:color w:val="000000"/>
                <w:sz w:val="21"/>
                <w:szCs w:val="21"/>
                <w:highlight w:val="none"/>
                <w:lang w:val="en-US" w:eastAsia="zh-CN"/>
              </w:rPr>
              <w:t xml:space="preserve">服务机构能力及</w:t>
            </w:r>
            <w:r>
              <w:rPr>
                <w:rFonts w:hint="eastAsia" w:ascii="Times New Roman" w:hAnsi="Times New Roman" w:eastAsia="宋体" w:cs="Times New Roman"/>
                <w:color w:val="000000"/>
                <w:sz w:val="21"/>
                <w:szCs w:val="21"/>
                <w:highlight w:val="none"/>
              </w:rPr>
              <w:t xml:space="preserve">专业人员保障</w:t>
            </w:r>
            <w:r>
              <w:rPr>
                <w:rFonts w:hint="eastAsia" w:ascii="Times New Roman" w:hAnsi="Times New Roman" w:eastAsia="宋体" w:cs="Times New Roman"/>
                <w:color w:val="000000"/>
                <w:sz w:val="21"/>
                <w:szCs w:val="21"/>
                <w:highlight w:val="none"/>
              </w:rPr>
              <w:t xml:space="preserve">、培训内容和计划等。</w:t>
            </w:r>
            <w:r/>
          </w:p>
          <w:p>
            <w:pPr>
              <w:jc w:val="left"/>
              <w:spacing w:after="0" w:line="32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上述</w:t>
            </w:r>
            <w:r>
              <w:rPr>
                <w:rFonts w:hint="eastAsia" w:cs="Times New Roman"/>
                <w:color w:val="000000"/>
                <w:sz w:val="21"/>
                <w:szCs w:val="21"/>
                <w:highlight w:val="none"/>
                <w:lang w:val="en-US" w:eastAsia="zh-CN"/>
              </w:rPr>
              <w:t xml:space="preserve">6</w:t>
            </w:r>
            <w:r>
              <w:rPr>
                <w:rFonts w:hint="eastAsia" w:ascii="Times New Roman" w:hAnsi="Times New Roman" w:eastAsia="宋体" w:cs="Times New Roman"/>
                <w:color w:val="000000"/>
                <w:sz w:val="21"/>
                <w:szCs w:val="21"/>
                <w:highlight w:val="none"/>
              </w:rPr>
              <w:t xml:space="preserve">项内容中，每一项分值为</w:t>
            </w:r>
            <w:r>
              <w:rPr>
                <w:rFonts w:hint="eastAsia" w:cs="Times New Roman"/>
                <w:color w:val="000000"/>
                <w:sz w:val="21"/>
                <w:szCs w:val="21"/>
                <w:highlight w:val="none"/>
                <w:lang w:val="en-US" w:eastAsia="zh-CN"/>
              </w:rPr>
              <w:t xml:space="preserve">1</w:t>
            </w:r>
            <w:r>
              <w:rPr>
                <w:rFonts w:hint="eastAsia" w:ascii="Times New Roman" w:hAnsi="Times New Roman" w:eastAsia="宋体" w:cs="Times New Roman"/>
                <w:color w:val="000000"/>
                <w:sz w:val="21"/>
                <w:szCs w:val="21"/>
                <w:highlight w:val="none"/>
              </w:rPr>
              <w:t xml:space="preserve">分，完全响应且符合采购人实际需求的方案得</w:t>
            </w:r>
            <w:r>
              <w:rPr>
                <w:rFonts w:hint="eastAsia" w:cs="Times New Roman"/>
                <w:color w:val="000000"/>
                <w:sz w:val="21"/>
                <w:szCs w:val="21"/>
                <w:highlight w:val="none"/>
                <w:lang w:val="en-US" w:eastAsia="zh-CN"/>
              </w:rPr>
              <w:t xml:space="preserve">6</w:t>
            </w:r>
            <w:r>
              <w:rPr>
                <w:rFonts w:hint="eastAsia" w:ascii="Times New Roman" w:hAnsi="Times New Roman" w:eastAsia="宋体" w:cs="Times New Roman"/>
                <w:color w:val="000000"/>
                <w:sz w:val="21"/>
                <w:szCs w:val="21"/>
                <w:highlight w:val="none"/>
              </w:rPr>
              <w:t xml:space="preserve">分，每有一项内容缺失的扣</w:t>
            </w:r>
            <w:r>
              <w:rPr>
                <w:rFonts w:hint="eastAsia" w:cs="Times New Roman"/>
                <w:color w:val="000000"/>
                <w:sz w:val="21"/>
                <w:szCs w:val="21"/>
                <w:highlight w:val="none"/>
                <w:lang w:val="en-US" w:eastAsia="zh-CN"/>
              </w:rPr>
              <w:t xml:space="preserve">1</w:t>
            </w:r>
            <w:r>
              <w:rPr>
                <w:rFonts w:hint="eastAsia" w:ascii="Times New Roman" w:hAnsi="Times New Roman" w:eastAsia="宋体" w:cs="Times New Roman"/>
                <w:color w:val="000000"/>
                <w:sz w:val="21"/>
                <w:szCs w:val="21"/>
                <w:highlight w:val="none"/>
              </w:rPr>
              <w:t xml:space="preserve">分，每有一处内容存在缺陷或不足的扣</w:t>
            </w:r>
            <w:r>
              <w:rPr>
                <w:rFonts w:hint="eastAsia" w:cs="Times New Roman"/>
                <w:color w:val="000000"/>
                <w:sz w:val="21"/>
                <w:szCs w:val="21"/>
                <w:highlight w:val="none"/>
                <w:lang w:val="en-US" w:eastAsia="zh-CN"/>
              </w:rPr>
              <w:t xml:space="preserve">0.5</w:t>
            </w:r>
            <w:r>
              <w:rPr>
                <w:rFonts w:hint="eastAsia" w:ascii="Times New Roman" w:hAnsi="Times New Roman" w:eastAsia="宋体" w:cs="Times New Roman"/>
                <w:color w:val="000000"/>
                <w:sz w:val="21"/>
                <w:szCs w:val="21"/>
                <w:highlight w:val="none"/>
              </w:rPr>
              <w:t xml:space="preserve">分，每一项分值扣完为止。</w:t>
            </w:r>
            <w:r/>
          </w:p>
          <w:p>
            <w:pPr>
              <w:jc w:val="left"/>
              <w:spacing w:after="0" w:line="320" w:lineRule="auto"/>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tc>
      </w:tr>
      <w:tr>
        <w:trPr>
          <w:cantSplit/>
          <w:jc w:val="center"/>
          <w:trHeight w:val="0"/>
        </w:trPr>
        <w:tc>
          <w:tcPr>
            <w:tcW w:w="1098" w:type="dxa"/>
            <w:vAlign w:val="center"/>
            <w:textDirection w:val="lrTb"/>
            <w:noWrap w:val="false"/>
          </w:tcPr>
          <w:p>
            <w:pPr>
              <w:jc w:val="center"/>
              <w:spacing w:after="0" w:line="32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供应商综合能力</w:t>
            </w:r>
            <w:r/>
          </w:p>
          <w:p>
            <w:pPr>
              <w:jc w:val="center"/>
              <w:spacing w:after="0" w:line="32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w:t>
            </w:r>
            <w:r>
              <w:rPr>
                <w:rFonts w:hint="eastAsia" w:cs="Times New Roman"/>
                <w:color w:val="000000"/>
                <w:sz w:val="21"/>
                <w:szCs w:val="21"/>
                <w:highlight w:val="none"/>
                <w:lang w:val="en-US" w:eastAsia="zh-CN"/>
              </w:rPr>
              <w:t xml:space="preserve">4</w:t>
            </w:r>
            <w:r>
              <w:rPr>
                <w:rFonts w:hint="eastAsia" w:ascii="Times New Roman" w:hAnsi="Times New Roman" w:eastAsia="宋体" w:cs="Times New Roman"/>
                <w:color w:val="000000"/>
                <w:sz w:val="21"/>
                <w:szCs w:val="21"/>
                <w:highlight w:val="none"/>
              </w:rPr>
              <w:t xml:space="preserve">分）</w:t>
            </w:r>
            <w:r/>
          </w:p>
        </w:tc>
        <w:tc>
          <w:tcPr>
            <w:tcW w:w="8097" w:type="dxa"/>
            <w:vAlign w:val="center"/>
            <w:textDirection w:val="lrTb"/>
            <w:noWrap w:val="false"/>
          </w:tcPr>
          <w:p>
            <w:pPr>
              <w:jc w:val="left"/>
              <w:spacing w:after="0" w:line="32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投标人具有</w:t>
            </w:r>
            <w:r>
              <w:rPr>
                <w:rFonts w:hint="eastAsia" w:cs="Times New Roman"/>
                <w:color w:val="000000"/>
                <w:sz w:val="21"/>
                <w:szCs w:val="21"/>
                <w:highlight w:val="none"/>
                <w:lang w:val="en-US" w:eastAsia="zh-CN"/>
              </w:rPr>
              <w:t xml:space="preserve">有效的以下</w:t>
            </w:r>
            <w:r>
              <w:rPr>
                <w:rFonts w:hint="eastAsia" w:ascii="Times New Roman" w:hAnsi="Times New Roman" w:eastAsia="宋体" w:cs="Times New Roman"/>
                <w:color w:val="000000"/>
                <w:sz w:val="21"/>
                <w:szCs w:val="21"/>
                <w:highlight w:val="none"/>
              </w:rPr>
              <w:t xml:space="preserve">证书</w:t>
            </w:r>
            <w:r>
              <w:rPr>
                <w:rFonts w:hint="eastAsia" w:cs="Times New Roman"/>
                <w:color w:val="000000"/>
                <w:sz w:val="21"/>
                <w:szCs w:val="21"/>
                <w:highlight w:val="none"/>
                <w:lang w:eastAsia="zh-CN"/>
              </w:rPr>
              <w:t xml:space="preserve">，</w:t>
            </w:r>
            <w:r>
              <w:rPr>
                <w:rFonts w:hint="eastAsia" w:cs="Times New Roman"/>
                <w:color w:val="000000"/>
                <w:sz w:val="21"/>
                <w:szCs w:val="21"/>
                <w:highlight w:val="none"/>
                <w:lang w:val="en-US" w:eastAsia="zh-CN"/>
              </w:rPr>
              <w:t xml:space="preserve">每份</w:t>
            </w:r>
            <w:r>
              <w:rPr>
                <w:rFonts w:hint="eastAsia" w:ascii="Times New Roman" w:hAnsi="Times New Roman" w:eastAsia="宋体" w:cs="Times New Roman"/>
                <w:color w:val="000000"/>
                <w:sz w:val="21"/>
                <w:szCs w:val="21"/>
                <w:highlight w:val="none"/>
              </w:rPr>
              <w:t xml:space="preserve">得1分，提供证书扫描件，不提供的不得分。</w:t>
            </w:r>
            <w:r/>
          </w:p>
          <w:p>
            <w:pPr>
              <w:jc w:val="left"/>
              <w:spacing w:after="0" w:line="32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1.ISO20000信息技术服务管理体系认证证书；</w:t>
            </w:r>
            <w:r/>
          </w:p>
          <w:p>
            <w:pPr>
              <w:jc w:val="left"/>
              <w:spacing w:after="0" w:line="32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2.ISO9001质量管理体系认证证书；</w:t>
            </w:r>
            <w:r/>
          </w:p>
          <w:p>
            <w:pPr>
              <w:jc w:val="left"/>
              <w:spacing w:after="0" w:line="320" w:lineRule="auto"/>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rPr>
              <w:t xml:space="preserve">3.ISO27040数据存储安全管理体系认证证书；</w:t>
            </w:r>
            <w:r/>
          </w:p>
          <w:p>
            <w:pPr>
              <w:jc w:val="left"/>
              <w:spacing w:after="0" w:line="320" w:lineRule="auto"/>
              <w:rPr>
                <w:rFonts w:hint="eastAsia" w:ascii="Times New Roman" w:hAnsi="Times New Roman" w:eastAsia="宋体" w:cs="Times New Roman"/>
                <w:color w:val="000000"/>
                <w:sz w:val="21"/>
                <w:szCs w:val="21"/>
                <w:highlight w:val="none"/>
                <w:lang w:eastAsia="zh-CN"/>
              </w:rPr>
            </w:pPr>
            <w:r>
              <w:rPr>
                <w:rFonts w:hint="eastAsia" w:cs="Times New Roman"/>
                <w:color w:val="000000"/>
                <w:sz w:val="21"/>
                <w:szCs w:val="21"/>
                <w:highlight w:val="none"/>
                <w:lang w:val="en-US" w:eastAsia="zh-CN"/>
              </w:rPr>
              <w:t xml:space="preserve">4</w:t>
            </w:r>
            <w:r>
              <w:rPr>
                <w:rFonts w:hint="eastAsia" w:ascii="Times New Roman" w:hAnsi="Times New Roman" w:eastAsia="宋体" w:cs="Times New Roman"/>
                <w:color w:val="000000"/>
                <w:sz w:val="21"/>
                <w:szCs w:val="21"/>
                <w:highlight w:val="none"/>
              </w:rPr>
              <w:t xml:space="preserve">.CCRC信息系统灾难备份与恢复</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B</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服务</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二级</w:t>
            </w:r>
            <w:r>
              <w:rPr>
                <w:rFonts w:hint="eastAsia" w:cs="Times New Roman"/>
                <w:color w:val="000000"/>
                <w:sz w:val="21"/>
                <w:szCs w:val="21"/>
                <w:highlight w:val="none"/>
                <w:lang w:val="en-US" w:eastAsia="zh-CN"/>
              </w:rPr>
              <w:t xml:space="preserve">及以上）</w:t>
            </w:r>
            <w:r>
              <w:rPr>
                <w:rFonts w:hint="eastAsia" w:ascii="Times New Roman" w:hAnsi="Times New Roman" w:eastAsia="宋体" w:cs="Times New Roman"/>
                <w:color w:val="000000"/>
                <w:sz w:val="21"/>
                <w:szCs w:val="21"/>
                <w:highlight w:val="none"/>
              </w:rPr>
              <w:t xml:space="preserve">证书。</w:t>
            </w:r>
            <w:r/>
          </w:p>
        </w:tc>
      </w:tr>
      <w:tr>
        <w:trPr>
          <w:cantSplit/>
          <w:jc w:val="center"/>
          <w:trHeight w:val="0"/>
        </w:trPr>
        <w:tc>
          <w:tcPr>
            <w:tcW w:w="1098" w:type="dxa"/>
            <w:vAlign w:val="center"/>
            <w:textDirection w:val="lrTb"/>
            <w:noWrap w:val="false"/>
          </w:tcPr>
          <w:p>
            <w:pPr>
              <w:jc w:val="center"/>
              <w:spacing w:after="0" w:line="32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供应商实施支撑能力</w:t>
            </w:r>
            <w:r/>
          </w:p>
          <w:p>
            <w:pPr>
              <w:jc w:val="left"/>
              <w:spacing w:after="0" w:line="32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w:t>
            </w:r>
            <w:r>
              <w:rPr>
                <w:rFonts w:hint="eastAsia" w:cs="Times New Roman"/>
                <w:color w:val="000000"/>
                <w:sz w:val="21"/>
                <w:szCs w:val="21"/>
                <w:highlight w:val="none"/>
                <w:lang w:val="en-US" w:eastAsia="zh-CN"/>
              </w:rPr>
              <w:t xml:space="preserve">6</w:t>
            </w:r>
            <w:r>
              <w:rPr>
                <w:rFonts w:hint="eastAsia" w:ascii="Times New Roman" w:hAnsi="Times New Roman" w:eastAsia="宋体" w:cs="Times New Roman"/>
                <w:color w:val="000000"/>
                <w:sz w:val="21"/>
                <w:szCs w:val="21"/>
                <w:highlight w:val="none"/>
              </w:rPr>
              <w:t xml:space="preserve">分）</w:t>
            </w:r>
            <w:r/>
          </w:p>
        </w:tc>
        <w:tc>
          <w:tcPr>
            <w:tcW w:w="8097" w:type="dxa"/>
            <w:vAlign w:val="center"/>
            <w:textDirection w:val="lrTb"/>
            <w:noWrap w:val="false"/>
          </w:tcPr>
          <w:p>
            <w:pPr>
              <w:jc w:val="left"/>
              <w:spacing w:after="0" w:line="32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鉴于本项目具有重大性、复杂性、特殊性及专业属性</w:t>
            </w:r>
            <w:r>
              <w:rPr>
                <w:rFonts w:hint="eastAsia" w:cs="Times New Roman"/>
                <w:color w:val="000000"/>
                <w:sz w:val="21"/>
                <w:szCs w:val="21"/>
                <w:highlight w:val="none"/>
                <w:lang w:eastAsia="zh-CN"/>
              </w:rPr>
              <w:t xml:space="preserve">，</w:t>
            </w:r>
            <w:r>
              <w:rPr>
                <w:rFonts w:hint="eastAsia" w:cs="Times New Roman"/>
                <w:color w:val="000000"/>
                <w:sz w:val="21"/>
                <w:szCs w:val="21"/>
                <w:highlight w:val="none"/>
                <w:lang w:val="en-US" w:eastAsia="zh-CN"/>
              </w:rPr>
              <w:t xml:space="preserve">投标人拟派</w:t>
            </w:r>
            <w:r>
              <w:rPr>
                <w:rFonts w:hint="eastAsia" w:ascii="Times New Roman" w:hAnsi="Times New Roman" w:eastAsia="宋体" w:cs="Times New Roman"/>
                <w:color w:val="000000"/>
                <w:sz w:val="21"/>
                <w:szCs w:val="21"/>
                <w:highlight w:val="none"/>
              </w:rPr>
              <w:t xml:space="preserve">项目</w:t>
            </w:r>
            <w:r>
              <w:rPr>
                <w:rFonts w:hint="eastAsia" w:cs="Times New Roman"/>
                <w:color w:val="000000"/>
                <w:sz w:val="21"/>
                <w:szCs w:val="21"/>
                <w:highlight w:val="none"/>
                <w:lang w:val="en-US" w:eastAsia="zh-CN"/>
              </w:rPr>
              <w:t xml:space="preserve">技术负责人（1人）</w:t>
            </w:r>
            <w:r>
              <w:rPr>
                <w:rFonts w:hint="eastAsia" w:ascii="Times New Roman" w:hAnsi="Times New Roman" w:eastAsia="宋体" w:cs="Times New Roman"/>
                <w:color w:val="000000"/>
                <w:sz w:val="21"/>
                <w:szCs w:val="21"/>
                <w:highlight w:val="none"/>
              </w:rPr>
              <w:t xml:space="preserve">具有</w:t>
            </w:r>
            <w:r>
              <w:rPr>
                <w:rFonts w:hint="eastAsia" w:cs="Times New Roman"/>
                <w:color w:val="000000"/>
                <w:sz w:val="21"/>
                <w:szCs w:val="21"/>
                <w:highlight w:val="none"/>
                <w:lang w:val="en-US" w:eastAsia="zh-CN"/>
              </w:rPr>
              <w:t xml:space="preserve">有效的</w:t>
            </w:r>
            <w:r>
              <w:rPr>
                <w:rFonts w:hint="eastAsia" w:ascii="Times New Roman" w:hAnsi="Times New Roman" w:eastAsia="宋体" w:cs="Times New Roman"/>
                <w:color w:val="000000"/>
                <w:sz w:val="21"/>
                <w:szCs w:val="21"/>
                <w:highlight w:val="none"/>
              </w:rPr>
              <w:t xml:space="preserve">：</w:t>
            </w:r>
            <w:r/>
          </w:p>
          <w:p>
            <w:pPr>
              <w:jc w:val="left"/>
              <w:spacing w:after="0" w:line="32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1.信息系统项目管理师证书；</w:t>
            </w:r>
            <w:r/>
          </w:p>
          <w:p>
            <w:pPr>
              <w:jc w:val="left"/>
              <w:spacing w:after="0" w:line="320" w:lineRule="auto"/>
              <w:rPr>
                <w:rFonts w:hint="eastAsia" w:ascii="Times New Roman" w:hAnsi="Times New Roman" w:eastAsia="宋体" w:cs="Times New Roman"/>
                <w:color w:val="000000"/>
                <w:sz w:val="21"/>
                <w:szCs w:val="21"/>
                <w:highlight w:val="none"/>
              </w:rPr>
            </w:pPr>
            <w:r>
              <w:rPr>
                <w:rFonts w:hint="eastAsia" w:cs="Times New Roman"/>
                <w:color w:val="000000"/>
                <w:sz w:val="21"/>
                <w:szCs w:val="21"/>
                <w:highlight w:val="none"/>
                <w:lang w:val="en-US" w:eastAsia="zh-CN"/>
              </w:rPr>
              <w:t xml:space="preserve">2</w:t>
            </w:r>
            <w:r>
              <w:rPr>
                <w:rFonts w:hint="eastAsia" w:ascii="Times New Roman" w:hAnsi="Times New Roman" w:eastAsia="宋体" w:cs="Times New Roman"/>
                <w:color w:val="000000"/>
                <w:sz w:val="21"/>
                <w:szCs w:val="21"/>
                <w:highlight w:val="none"/>
              </w:rPr>
              <w:t xml:space="preserve">.持有高级工程师（电子信息）证书；</w:t>
            </w:r>
            <w:r/>
          </w:p>
          <w:p>
            <w:pPr>
              <w:jc w:val="left"/>
              <w:spacing w:after="0" w:line="320" w:lineRule="auto"/>
              <w:rPr>
                <w:rFonts w:hint="default"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 xml:space="preserve">团队成员（含</w:t>
            </w:r>
            <w:r>
              <w:rPr>
                <w:rFonts w:hint="eastAsia" w:ascii="Times New Roman" w:hAnsi="Times New Roman" w:eastAsia="宋体" w:cs="Times New Roman"/>
                <w:color w:val="000000"/>
                <w:sz w:val="21"/>
                <w:szCs w:val="21"/>
                <w:highlight w:val="none"/>
              </w:rPr>
              <w:t xml:space="preserve">项目</w:t>
            </w:r>
            <w:r>
              <w:rPr>
                <w:rFonts w:hint="eastAsia" w:cs="Times New Roman"/>
                <w:color w:val="000000"/>
                <w:sz w:val="21"/>
                <w:szCs w:val="21"/>
                <w:highlight w:val="none"/>
                <w:lang w:val="en-US" w:eastAsia="zh-CN"/>
              </w:rPr>
              <w:t xml:space="preserve">技术负责人）具有有效的：</w:t>
            </w:r>
            <w:r/>
          </w:p>
          <w:p>
            <w:pPr>
              <w:jc w:val="left"/>
              <w:spacing w:after="0" w:line="320" w:lineRule="auto"/>
              <w:rPr>
                <w:rFonts w:hint="eastAsia" w:ascii="Times New Roman" w:hAnsi="Times New Roman" w:eastAsia="宋体" w:cs="Times New Roman"/>
                <w:color w:val="000000"/>
                <w:sz w:val="21"/>
                <w:szCs w:val="21"/>
                <w:highlight w:val="none"/>
              </w:rPr>
            </w:pPr>
            <w:r>
              <w:rPr>
                <w:rFonts w:hint="eastAsia" w:cs="Times New Roman"/>
                <w:color w:val="000000"/>
                <w:sz w:val="21"/>
                <w:szCs w:val="21"/>
                <w:highlight w:val="none"/>
                <w:lang w:val="en-US" w:eastAsia="zh-CN"/>
              </w:rPr>
              <w:t xml:space="preserve">1</w:t>
            </w:r>
            <w:r>
              <w:rPr>
                <w:rFonts w:hint="eastAsia" w:ascii="Times New Roman" w:hAnsi="Times New Roman" w:eastAsia="宋体" w:cs="Times New Roman"/>
                <w:color w:val="000000"/>
                <w:sz w:val="21"/>
                <w:szCs w:val="21"/>
                <w:highlight w:val="none"/>
              </w:rPr>
              <w:t xml:space="preserve">.CISAW信息安全保障人员</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应急服务</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专业级证书；</w:t>
            </w:r>
            <w:r/>
          </w:p>
          <w:p>
            <w:pPr>
              <w:jc w:val="left"/>
              <w:spacing w:after="0" w:line="320" w:lineRule="auto"/>
              <w:rPr>
                <w:rFonts w:hint="eastAsia" w:ascii="Times New Roman" w:hAnsi="Times New Roman" w:eastAsia="宋体" w:cs="Times New Roman"/>
                <w:color w:val="000000"/>
                <w:sz w:val="21"/>
                <w:szCs w:val="21"/>
                <w:highlight w:val="none"/>
              </w:rPr>
            </w:pPr>
            <w:r>
              <w:rPr>
                <w:rFonts w:hint="eastAsia" w:cs="Times New Roman"/>
                <w:color w:val="000000"/>
                <w:sz w:val="21"/>
                <w:szCs w:val="21"/>
                <w:highlight w:val="none"/>
                <w:lang w:val="en-US" w:eastAsia="zh-CN"/>
              </w:rPr>
              <w:t xml:space="preserve">2</w:t>
            </w:r>
            <w:r>
              <w:rPr>
                <w:rFonts w:hint="eastAsia" w:ascii="Times New Roman" w:hAnsi="Times New Roman" w:eastAsia="宋体" w:cs="Times New Roman"/>
                <w:color w:val="000000"/>
                <w:sz w:val="21"/>
                <w:szCs w:val="21"/>
                <w:highlight w:val="none"/>
              </w:rPr>
              <w:t xml:space="preserve">.CISP-CISO注册信息安全专业人员证书；</w:t>
            </w:r>
            <w:r/>
          </w:p>
          <w:p>
            <w:pPr>
              <w:jc w:val="left"/>
              <w:spacing w:after="0" w:line="320" w:lineRule="auto"/>
              <w:rPr>
                <w:rFonts w:hint="eastAsia" w:ascii="Times New Roman" w:hAnsi="Times New Roman" w:eastAsia="宋体" w:cs="Times New Roman"/>
                <w:color w:val="000000"/>
                <w:sz w:val="21"/>
                <w:szCs w:val="21"/>
                <w:highlight w:val="none"/>
                <w:lang w:eastAsia="zh-CN"/>
              </w:rPr>
            </w:pPr>
            <w:r>
              <w:rPr>
                <w:rFonts w:hint="eastAsia" w:cs="Times New Roman"/>
                <w:color w:val="000000"/>
                <w:sz w:val="21"/>
                <w:szCs w:val="21"/>
                <w:highlight w:val="none"/>
                <w:lang w:val="en-US" w:eastAsia="zh-CN"/>
              </w:rPr>
              <w:t xml:space="preserve">3</w:t>
            </w:r>
            <w:r>
              <w:rPr>
                <w:rFonts w:hint="eastAsia" w:ascii="Times New Roman" w:hAnsi="Times New Roman" w:eastAsia="宋体" w:cs="Times New Roman"/>
                <w:color w:val="000000"/>
                <w:sz w:val="21"/>
                <w:szCs w:val="21"/>
                <w:highlight w:val="none"/>
              </w:rPr>
              <w:t xml:space="preserve">.ITSS信息技术应用创新服务工程师证书</w:t>
            </w:r>
            <w:r>
              <w:rPr>
                <w:rFonts w:hint="eastAsia" w:cs="Times New Roman"/>
                <w:color w:val="000000"/>
                <w:sz w:val="21"/>
                <w:szCs w:val="21"/>
                <w:highlight w:val="none"/>
                <w:lang w:eastAsia="zh-CN"/>
              </w:rPr>
              <w:t xml:space="preserve">；</w:t>
            </w:r>
            <w:r/>
          </w:p>
          <w:p>
            <w:pPr>
              <w:jc w:val="left"/>
              <w:spacing w:after="0" w:line="320" w:lineRule="auto"/>
              <w:rPr>
                <w:rFonts w:hint="default"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 xml:space="preserve">4.系统架构设计师证书。</w:t>
            </w:r>
            <w:r/>
          </w:p>
          <w:p>
            <w:pPr>
              <w:jc w:val="left"/>
              <w:spacing w:after="0" w:line="32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以上证书每个得1分，提供证书扫描件以及</w:t>
            </w:r>
            <w:r>
              <w:rPr>
                <w:rFonts w:hint="eastAsia" w:cs="Times New Roman"/>
                <w:color w:val="000000"/>
                <w:sz w:val="21"/>
                <w:szCs w:val="21"/>
                <w:highlight w:val="none"/>
                <w:lang w:val="en-US" w:eastAsia="zh-CN"/>
              </w:rPr>
              <w:t xml:space="preserve">相关人员</w:t>
            </w:r>
            <w:r>
              <w:rPr>
                <w:rFonts w:hint="eastAsia" w:ascii="Times New Roman" w:hAnsi="Times New Roman" w:eastAsia="宋体" w:cs="Times New Roman"/>
                <w:color w:val="000000"/>
                <w:sz w:val="21"/>
                <w:szCs w:val="21"/>
                <w:highlight w:val="none"/>
              </w:rPr>
              <w:t xml:space="preserve">在投标单位缴纳的在开标之日</w:t>
            </w:r>
            <w:r>
              <w:rPr>
                <w:rFonts w:hint="eastAsia" w:cs="Times New Roman"/>
                <w:color w:val="000000"/>
                <w:sz w:val="21"/>
                <w:szCs w:val="21"/>
                <w:highlight w:val="none"/>
                <w:lang w:val="en-US" w:eastAsia="zh-CN"/>
              </w:rPr>
              <w:t xml:space="preserve">前6</w:t>
            </w:r>
            <w:r>
              <w:rPr>
                <w:rFonts w:hint="eastAsia" w:ascii="Times New Roman" w:hAnsi="Times New Roman" w:eastAsia="宋体" w:cs="Times New Roman"/>
                <w:color w:val="000000"/>
                <w:sz w:val="21"/>
                <w:szCs w:val="21"/>
                <w:highlight w:val="none"/>
              </w:rPr>
              <w:t xml:space="preserve">个月任意一个月社保证明。</w:t>
            </w:r>
            <w:r/>
          </w:p>
        </w:tc>
      </w:tr>
      <w:tr>
        <w:trPr>
          <w:cantSplit/>
          <w:jc w:val="center"/>
          <w:trHeight w:val="0"/>
        </w:trPr>
        <w:tc>
          <w:tcPr>
            <w:tcW w:w="1098" w:type="dxa"/>
            <w:vAlign w:val="center"/>
            <w:textDirection w:val="lrTb"/>
            <w:noWrap w:val="false"/>
          </w:tcPr>
          <w:p>
            <w:pPr>
              <w:jc w:val="left"/>
              <w:spacing w:after="0" w:line="32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业绩案例</w:t>
            </w:r>
            <w:r/>
          </w:p>
          <w:p>
            <w:pPr>
              <w:jc w:val="left"/>
              <w:spacing w:after="0" w:line="32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（6分）</w:t>
            </w:r>
            <w:r/>
          </w:p>
        </w:tc>
        <w:tc>
          <w:tcPr>
            <w:tcW w:w="8097" w:type="dxa"/>
            <w:vAlign w:val="center"/>
            <w:textDirection w:val="lrTb"/>
            <w:noWrap w:val="false"/>
          </w:tcPr>
          <w:p>
            <w:pPr>
              <w:jc w:val="left"/>
              <w:spacing w:after="0" w:line="32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提供自2023年1月1日（以合同签订日期为准）以来投标人的</w:t>
            </w:r>
            <w:r>
              <w:rPr>
                <w:rFonts w:hint="eastAsia" w:cs="Times New Roman"/>
                <w:color w:val="000000"/>
                <w:sz w:val="21"/>
                <w:szCs w:val="21"/>
                <w:highlight w:val="none"/>
                <w:lang w:val="en-US" w:eastAsia="zh-CN"/>
              </w:rPr>
              <w:t xml:space="preserve">类似</w:t>
            </w:r>
            <w:r>
              <w:rPr>
                <w:rFonts w:hint="eastAsia" w:ascii="Times New Roman" w:hAnsi="Times New Roman" w:eastAsia="宋体" w:cs="Times New Roman"/>
                <w:color w:val="000000"/>
                <w:sz w:val="21"/>
                <w:szCs w:val="21"/>
                <w:highlight w:val="none"/>
              </w:rPr>
              <w:t xml:space="preserve">业绩</w:t>
            </w:r>
            <w:r>
              <w:rPr>
                <w:rFonts w:hint="eastAsia" w:cs="Times New Roman"/>
                <w:color w:val="000000"/>
                <w:sz w:val="21"/>
                <w:szCs w:val="21"/>
                <w:highlight w:val="none"/>
                <w:lang w:eastAsia="zh-CN"/>
              </w:rPr>
              <w:t xml:space="preserve">（</w:t>
            </w:r>
            <w:r>
              <w:rPr>
                <w:rFonts w:hint="eastAsia" w:cs="Times New Roman"/>
                <w:color w:val="000000"/>
                <w:sz w:val="21"/>
                <w:szCs w:val="21"/>
                <w:highlight w:val="none"/>
                <w:lang w:val="en-US" w:eastAsia="zh-CN"/>
              </w:rPr>
              <w:t xml:space="preserve">容灾平台建设</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案例，每份得2分，最多得6分。</w:t>
            </w:r>
            <w:r/>
          </w:p>
          <w:p>
            <w:pPr>
              <w:jc w:val="left"/>
              <w:spacing w:after="0" w:line="320" w:lineRule="auto"/>
              <w:rPr>
                <w:rFonts w:hint="eastAsia" w:ascii="Times New Roman" w:hAnsi="Times New Roman" w:eastAsia="宋体" w:cs="Times New Roman"/>
                <w:color w:val="000000"/>
                <w:sz w:val="21"/>
                <w:szCs w:val="21"/>
                <w:highlight w:val="none"/>
              </w:rPr>
            </w:pPr>
            <w:r>
              <w:rPr>
                <w:rFonts w:hint="eastAsia" w:cs="Times New Roman"/>
                <w:color w:val="000000"/>
                <w:sz w:val="21"/>
                <w:szCs w:val="21"/>
                <w:highlight w:val="none"/>
                <w:lang w:val="en-US" w:eastAsia="zh-CN"/>
              </w:rPr>
              <w:t xml:space="preserve">注：</w:t>
            </w:r>
            <w:r>
              <w:rPr>
                <w:rFonts w:hint="eastAsia" w:ascii="Times New Roman" w:hAnsi="Times New Roman" w:eastAsia="宋体" w:cs="Times New Roman"/>
                <w:color w:val="000000"/>
                <w:sz w:val="21"/>
                <w:szCs w:val="21"/>
                <w:highlight w:val="none"/>
              </w:rPr>
              <w:t xml:space="preserve">1.须同时提供合同扫描件及发票，时间以合同签订时间为准，合同关键信息（合同</w:t>
            </w:r>
            <w:r>
              <w:rPr>
                <w:rFonts w:hint="eastAsia" w:cs="Times New Roman"/>
                <w:color w:val="000000"/>
                <w:sz w:val="21"/>
                <w:szCs w:val="21"/>
                <w:highlight w:val="none"/>
                <w:lang w:val="en-US" w:eastAsia="zh-CN"/>
              </w:rPr>
              <w:t xml:space="preserve">标的</w:t>
            </w:r>
            <w:r>
              <w:rPr>
                <w:rFonts w:hint="eastAsia" w:ascii="Times New Roman" w:hAnsi="Times New Roman" w:eastAsia="宋体" w:cs="Times New Roman"/>
                <w:color w:val="000000"/>
                <w:sz w:val="21"/>
                <w:szCs w:val="21"/>
                <w:highlight w:val="none"/>
              </w:rPr>
              <w:t xml:space="preserve">、合同签订主体、合同双方签字及盖章、合同签订时间）须清晰可辨认。</w:t>
            </w:r>
            <w:r/>
          </w:p>
          <w:p>
            <w:pPr>
              <w:jc w:val="left"/>
              <w:spacing w:after="0" w:line="32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2.未提供合同扫描件及发票或提供的合同及发票关键信息不全，或所提供业绩与</w:t>
            </w:r>
            <w:r>
              <w:rPr>
                <w:rFonts w:hint="eastAsia" w:cs="Times New Roman"/>
                <w:color w:val="000000"/>
                <w:sz w:val="21"/>
                <w:szCs w:val="21"/>
                <w:highlight w:val="none"/>
                <w:lang w:val="en-US" w:eastAsia="zh-CN"/>
              </w:rPr>
              <w:t xml:space="preserve">要求</w:t>
            </w:r>
            <w:r>
              <w:rPr>
                <w:rFonts w:hint="eastAsia" w:ascii="Times New Roman" w:hAnsi="Times New Roman" w:eastAsia="宋体" w:cs="Times New Roman"/>
                <w:color w:val="000000"/>
                <w:sz w:val="21"/>
                <w:szCs w:val="21"/>
                <w:highlight w:val="none"/>
              </w:rPr>
              <w:t xml:space="preserve">不符的不得分。</w:t>
            </w:r>
            <w:r/>
          </w:p>
          <w:p>
            <w:pPr>
              <w:jc w:val="left"/>
              <w:spacing w:after="0" w:line="320" w:lineRule="auto"/>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rPr>
              <w:t xml:space="preserve">3.投标人须确保所提供的发票真实有效，二维码及发票内容清晰可辨，所有发票须可通过国家税务总局全国增值税发票查验平台（网址：https://inv-veri.chinatax.gov.cn/）查验</w:t>
            </w:r>
            <w:r>
              <w:rPr>
                <w:rFonts w:hint="eastAsia" w:cs="Times New Roman"/>
                <w:color w:val="000000"/>
                <w:sz w:val="21"/>
                <w:szCs w:val="21"/>
                <w:highlight w:val="none"/>
                <w:lang w:eastAsia="zh-CN"/>
              </w:rPr>
              <w:t xml:space="preserve">，</w:t>
            </w:r>
            <w:r>
              <w:rPr>
                <w:rFonts w:hint="eastAsia" w:cs="Times New Roman"/>
                <w:color w:val="000000"/>
                <w:sz w:val="21"/>
                <w:szCs w:val="21"/>
                <w:highlight w:val="none"/>
                <w:lang w:val="en-US" w:eastAsia="zh-CN"/>
              </w:rPr>
              <w:t xml:space="preserve">发票无法查验的业绩不得分</w:t>
            </w:r>
            <w:r>
              <w:rPr>
                <w:rFonts w:hint="eastAsia" w:ascii="Times New Roman" w:hAnsi="Times New Roman" w:eastAsia="宋体" w:cs="Times New Roman"/>
                <w:color w:val="000000"/>
                <w:sz w:val="21"/>
                <w:szCs w:val="21"/>
                <w:highlight w:val="none"/>
              </w:rPr>
              <w:t xml:space="preserve">。</w:t>
            </w:r>
            <w:r/>
          </w:p>
        </w:tc>
      </w:tr>
      <w:tr>
        <w:trPr>
          <w:cantSplit/>
          <w:jc w:val="center"/>
          <w:trHeight w:val="0"/>
        </w:trPr>
        <w:tc>
          <w:tcPr>
            <w:tcW w:w="1098" w:type="dxa"/>
            <w:vAlign w:val="center"/>
            <w:textDirection w:val="lrTb"/>
            <w:noWrap w:val="false"/>
          </w:tcPr>
          <w:p>
            <w:pPr>
              <w:jc w:val="center"/>
              <w:spacing w:after="0" w:line="32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合计（70分）</w:t>
            </w:r>
            <w:r/>
          </w:p>
        </w:tc>
        <w:tc>
          <w:tcPr>
            <w:tcW w:w="8097" w:type="dxa"/>
            <w:vAlign w:val="center"/>
            <w:textDirection w:val="lrTb"/>
            <w:noWrap w:val="false"/>
          </w:tcPr>
          <w:p>
            <w:pPr>
              <w:jc w:val="left"/>
              <w:spacing w:after="0" w:line="32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r>
    </w:tbl>
    <w:p>
      <w:pPr>
        <w:pStyle w:val="739"/>
        <w:numPr>
          <w:ilvl w:val="0"/>
          <w:numId w:val="0"/>
        </w:numPr>
        <w:ind w:firstLine="482"/>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pStyle w:val="739"/>
        <w:numPr>
          <w:ilvl w:val="0"/>
          <w:numId w:val="43"/>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价格分：</w:t>
      </w:r>
      <w:r>
        <w:rPr>
          <w:rFonts w:hint="eastAsia"/>
          <w:b/>
          <w:color w:val="000000" w:themeColor="text1"/>
          <w:highlight w:val="none"/>
          <w:lang w:val="en-US" w:eastAsia="zh-CN"/>
          <w14:textFill>
            <w14:solidFill>
              <w14:schemeClr w14:val="tx1"/>
            </w14:solidFill>
          </w14:textFill>
        </w:rPr>
        <w:t xml:space="preserve">3</w:t>
      </w:r>
      <w:r>
        <w:rPr>
          <w:b/>
          <w:color w:val="000000" w:themeColor="text1"/>
          <w:highlight w:val="none"/>
          <w14:textFill>
            <w14:solidFill>
              <w14:schemeClr w14:val="tx1"/>
            </w14:solidFill>
          </w14:textFill>
        </w:rPr>
        <w:t xml:space="preserve">0分</w:t>
      </w:r>
      <w:r/>
    </w:p>
    <w:p>
      <w:pPr>
        <w:pStyle w:val="739"/>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4.1价格分统一采用低价优先法计算，即满足招标文件要求且投标价格最低的投标报价为评标基准价，其价格分为满分。其他投标人的价格分统一按照下列公式计算：</w:t>
      </w:r>
      <w:r/>
    </w:p>
    <w:p>
      <w:pPr>
        <w:pStyle w:val="739"/>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投标报价得分=（评标基准价/投标报价）×30</w:t>
      </w:r>
      <w:r/>
    </w:p>
    <w:p>
      <w:pPr>
        <w:pStyle w:val="739"/>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注：参照财库〔2026〕2号文件，评标委员会启动异常低价投标审查的情形和具体要求，包括：</w:t>
      </w:r>
      <w:r/>
    </w:p>
    <w:p>
      <w:pPr>
        <w:pStyle w:val="739"/>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1.投标报价低于全部通过符合性审查供应商投标报价平均值50%的，即投标报价&lt;全部通过符合性审查供应商投标报价平均值×50%；</w:t>
      </w:r>
      <w:r/>
    </w:p>
    <w:p>
      <w:pPr>
        <w:pStyle w:val="739"/>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2.投标报价低于通过符合性审查的次低报价供应商投标报价50%的，即投标报价&lt;通过符合性审查的次低报价供应商投标报价×50%；</w:t>
      </w:r>
      <w:r/>
    </w:p>
    <w:p>
      <w:pPr>
        <w:pStyle w:val="739"/>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3.投标报价低于采购项目最高限价45%的，即投标报价&lt;采购项目最高限价×45%；</w:t>
      </w:r>
      <w:r/>
    </w:p>
    <w:p>
      <w:pPr>
        <w:pStyle w:val="739"/>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4.评标委员会基于专业判断，认为供应商报价过低，有可能影响产品质量或者不能诚信履约的其他情形。</w:t>
      </w:r>
      <w:r/>
    </w:p>
    <w:p>
      <w:pPr>
        <w:pStyle w:val="739"/>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启动异常低价投标审查后，属于前述第1项至第4项情形的，相关供应商应在规定时间内现场书面对投标价格作出解释，并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pStyle w:val="739"/>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739"/>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739"/>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异常低价投标审查的启动原因、审查意见和审查结果应当在评标报告中记录，并随供应商提供的相关书面说明及证明材料，以及评标委员会有关互联网浏览、查询历史一并归档。</w:t>
      </w:r>
      <w:r/>
    </w:p>
    <w:p>
      <w:pPr>
        <w:pStyle w:val="739"/>
        <w:numPr>
          <w:ilvl w:val="0"/>
          <w:numId w:val="43"/>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政府采购政策功能落实</w:t>
      </w:r>
      <w:r/>
    </w:p>
    <w:p>
      <w:pPr>
        <w:pStyle w:val="739"/>
        <w:numPr>
          <w:ilvl w:val="0"/>
          <w:numId w:val="0"/>
        </w:numPr>
        <w:ind w:left="482"/>
        <w:tabs>
          <w:tab w:val="left" w:pos="1204" w:leader="none"/>
        </w:tabs>
        <w:rPr>
          <w:b/>
          <w:color w:val="000000"/>
          <w:highlight w:val="none"/>
        </w:rPr>
      </w:pPr>
      <w:r>
        <w:rPr>
          <w:rFonts w:hint="eastAsia" w:hAnsi="宋体" w:cs="宋体"/>
          <w:b w:val="0"/>
          <w:bCs/>
          <w:highlight w:val="none"/>
        </w:rPr>
        <w:t xml:space="preserve">1、促进中小企业发展政策</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rPr>
        <w:t xml:space="preserve">本项目为非专门面向中小微企业的项目，对小型和微型企业产品价格给予10%的扣除，用扣除后的价格参与评审</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提供中小企业声明函，格式《政府采购促进中小企业发展管理办法》财库</w:t>
      </w:r>
      <w:r>
        <w:rPr>
          <w:rFonts w:hint="eastAsia" w:ascii="宋体" w:hAnsi="宋体" w:cs="宋体"/>
          <w:bCs/>
          <w:sz w:val="24"/>
          <w:highlight w:val="none"/>
          <w:lang w:eastAsia="zh-CN"/>
        </w:rPr>
        <w:t xml:space="preserve">〔2020〕46号</w:t>
      </w:r>
      <w:r>
        <w:rPr>
          <w:rFonts w:hint="eastAsia" w:ascii="宋体" w:hAnsi="宋体" w:cs="宋体"/>
          <w:bCs/>
          <w:sz w:val="24"/>
          <w:highlight w:val="none"/>
        </w:rPr>
        <w:t xml:space="preserve">。企业标准请参照《关于印发中小企业划型标准规定的通知》（工信部联企业</w:t>
      </w:r>
      <w:r>
        <w:rPr>
          <w:rFonts w:hint="eastAsia" w:ascii="宋体" w:hAnsi="宋体" w:cs="宋体"/>
          <w:bCs/>
          <w:sz w:val="24"/>
          <w:highlight w:val="none"/>
          <w:lang w:eastAsia="zh-CN"/>
        </w:rPr>
        <w:t xml:space="preserve">〔2011〕300号</w:t>
      </w:r>
      <w:r>
        <w:rPr>
          <w:rFonts w:hint="eastAsia" w:ascii="宋体" w:hAnsi="宋体" w:cs="宋体"/>
          <w:bCs/>
          <w:sz w:val="24"/>
          <w:highlight w:val="none"/>
        </w:rPr>
        <w:t xml:space="preserve">）文件规定自行填写，联合体投标时，如果满足要求，需要分别提供</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否则不考虑价格扣除）。</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rPr>
        <w:t xml:space="preserve">在政府采购活动中，投标人提供的货物、工程或者服务符合下列情形的，享受价格扣除：</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lang w:val="en-US" w:eastAsia="zh-CN"/>
        </w:rPr>
        <w:t xml:space="preserve">（1）</w:t>
      </w:r>
      <w:r>
        <w:rPr>
          <w:rFonts w:hint="eastAsia" w:ascii="宋体" w:hAnsi="宋体" w:cs="宋体"/>
          <w:bCs/>
          <w:sz w:val="24"/>
          <w:highlight w:val="none"/>
        </w:rPr>
        <w:t xml:space="preserve">在货物采购项目中，货物由小微企业制造，即货物由小微企业生产且使用该小微企业商号或者注册商标；</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2</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rPr>
        <w:t xml:space="preserve">在货物采购项目中，投标人提供的货物既有中小企业制造货物，也有大型企业制造货物的，不享受本办法规定的中小企业</w:t>
      </w:r>
      <w:r>
        <w:rPr>
          <w:rFonts w:hint="eastAsia" w:ascii="宋体" w:hAnsi="宋体" w:cs="宋体"/>
          <w:bCs/>
          <w:sz w:val="24"/>
          <w:highlight w:val="none"/>
        </w:rPr>
        <w:t xml:space="preserve">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3</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根据《关于政府采购支持监狱企业发展有关问题的通知》（财库</w:t>
      </w:r>
      <w:r>
        <w:rPr>
          <w:rFonts w:hint="eastAsia" w:ascii="宋体" w:hAnsi="宋体" w:cs="宋体"/>
          <w:bCs/>
          <w:sz w:val="24"/>
          <w:highlight w:val="none"/>
          <w:lang w:eastAsia="zh-CN"/>
        </w:rPr>
        <w:t xml:space="preserve">〔2014〕68号</w:t>
      </w:r>
      <w:r>
        <w:rPr>
          <w:rFonts w:hint="eastAsia" w:ascii="宋体" w:hAnsi="宋体" w:cs="宋体"/>
          <w:bCs/>
          <w:sz w:val="24"/>
          <w:highlight w:val="none"/>
        </w:rPr>
        <w:t xml:space="preserve">），监狱企业视同小型、微型企业，享受以上政策。监狱企业须提供由省级以上监狱管理局、戒毒管理局</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含新疆生产建设兵团</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出具的属于监狱企业的证明文件，否则不考虑价格扣除。</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4</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5</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残疾人福利单位、监狱企业属于小型、微型企业的，不重复享受政策。</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rPr>
        <w:t xml:space="preserve">2、采购本国产品的支持政策</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rPr>
        <w:t xml:space="preserve">2.3本项目政府采购活动中既有本国产品又有非本国产品参与竞争的，依法对本国产品给予价格评审优惠，对本国产品的报价给予20%的价格扣除，用扣除后的价格参与评审。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rPr>
        <w:t xml:space="preserve">2.4当采购项目或者采购包中含有多种产品，投标人为该采购项目或者采购包提供的符合本国产品标准的产品成本之和占该投标人提供的全部产品成本之和的比例达到80%以上时（投标人需在投标文件格式的</w:t>
      </w:r>
      <w:r>
        <w:rPr>
          <w:rFonts w:hint="eastAsia" w:ascii="宋体" w:hAnsi="宋体" w:cs="宋体"/>
          <w:b/>
          <w:bCs w:val="0"/>
          <w:sz w:val="24"/>
          <w:highlight w:val="none"/>
        </w:rPr>
        <w:t xml:space="preserve">“分项报价明细表”</w:t>
      </w:r>
      <w:r>
        <w:rPr>
          <w:rFonts w:hint="eastAsia" w:ascii="宋体" w:hAnsi="宋体" w:cs="宋体"/>
          <w:bCs/>
          <w:sz w:val="24"/>
          <w:highlight w:val="none"/>
        </w:rPr>
        <w:t xml:space="preserve">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rPr>
        <w:t xml:space="preserve">2.5投标人需按照招标文件的要求提供《关于符合本国产品标准的声明函》（以下简称《声明函》），如不提供将不享受本国产品价格评审优惠。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rPr>
        <w:t xml:space="preserve">2.6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sz w:val="24"/>
          <w:highlight w:val="none"/>
        </w:rPr>
        <w:t xml:space="preserve">2.7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739"/>
        <w:numPr>
          <w:ilvl w:val="0"/>
          <w:numId w:val="43"/>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中标人的确定</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评委会汇总各评委评分后，按照得分从高到低的顺序推荐</w:t>
      </w:r>
      <w:r>
        <w:rPr>
          <w:rFonts w:hint="eastAsia"/>
          <w:color w:val="000000" w:themeColor="text1"/>
          <w:highlight w:val="none"/>
          <w:lang w:val="en-US" w:eastAsia="zh-CN"/>
          <w14:textFill>
            <w14:solidFill>
              <w14:schemeClr w14:val="tx1"/>
            </w14:solidFill>
          </w14:textFill>
        </w:rPr>
        <w:t xml:space="preserve">一</w:t>
      </w:r>
      <w:r>
        <w:rPr>
          <w:color w:val="000000" w:themeColor="text1"/>
          <w:highlight w:val="none"/>
          <w14:textFill>
            <w14:solidFill>
              <w14:schemeClr w14:val="tx1"/>
            </w14:solidFill>
          </w14:textFill>
        </w:rPr>
        <w:t xml:space="preserve">名中标候选人，并编写评标报告。</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采购人应根据评标委员会推荐的中标候选人确定中标人。</w:t>
      </w:r>
      <w:r/>
    </w:p>
    <w:p>
      <w:pPr>
        <w:pStyle w:val="739"/>
        <w:numPr>
          <w:ilvl w:val="0"/>
          <w:numId w:val="43"/>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采购人代表宣布评标结果</w:t>
      </w:r>
      <w:r/>
    </w:p>
    <w:p>
      <w:pPr>
        <w:pStyle w:val="739"/>
        <w:numPr>
          <w:ilvl w:val="0"/>
          <w:numId w:val="43"/>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公告中标结果</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自确定中标人之日起2个工作日内，在江苏政府采购网公告中标结果，公告期限为1个工作日。</w:t>
      </w:r>
      <w:r/>
    </w:p>
    <w:p>
      <w:pPr>
        <w:pStyle w:val="739"/>
        <w:numPr>
          <w:ilvl w:val="0"/>
          <w:numId w:val="43"/>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发放中标通知书</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公告中标结果的同时，采购代理机构向中标供应商发放中标通知书。中标通知书发出后，采购人不得违法改变中标结果，中标人无正当理由不得放弃中标。</w:t>
      </w:r>
      <w:r/>
    </w:p>
    <w:p>
      <w:pPr>
        <w:ind w:firstLine="480"/>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br w:type="page" w:clear="all"/>
      </w:r>
      <w:r/>
    </w:p>
    <w:p>
      <w:pPr>
        <w:pStyle w:val="739"/>
        <w:ind w:left="0" w:firstLine="0"/>
        <w:jc w:val="center"/>
        <w:rPr>
          <w:color w:val="000000" w:themeColor="text1"/>
          <w:highlight w:val="none"/>
          <w14:textFill>
            <w14:solidFill>
              <w14:schemeClr w14:val="tx1"/>
            </w14:solidFill>
          </w14:textFill>
        </w:rPr>
      </w:pPr>
      <w:r>
        <w:rPr>
          <w:rFonts w:hint="default" w:ascii="Times New Roman" w:hAnsi="Times New Roman" w:eastAsia="黑体" w:cs="Times New Roman"/>
          <w:color w:val="000000" w:themeColor="text1"/>
          <w:sz w:val="32"/>
          <w:szCs w:val="36"/>
          <w:highlight w:val="none"/>
          <w14:textFill>
            <w14:solidFill>
              <w14:schemeClr w14:val="tx1"/>
            </w14:solidFill>
          </w14:textFill>
        </w:rPr>
        <w:t xml:space="preserve">第五部分  合同格式</w:t>
      </w:r>
      <w:r/>
    </w:p>
    <w:p>
      <w:pPr>
        <w:pStyle w:val="739"/>
        <w:ind w:firstLine="480"/>
        <w:rPr>
          <w:color w:val="000000" w:themeColor="text1"/>
          <w:highlight w:val="none"/>
          <w14:textFill>
            <w14:solidFill>
              <w14:schemeClr w14:val="tx1"/>
            </w14:solidFill>
          </w14:textFill>
        </w:rPr>
      </w:pPr>
      <w:r/>
      <w:bookmarkStart w:id="117" w:name="_Toc513029243"/>
      <w:r/>
      <w:bookmarkStart w:id="118" w:name="_Toc20823315"/>
      <w:r/>
      <w:bookmarkStart w:id="119" w:name="_Toc16938559"/>
      <w:r>
        <w:rPr>
          <w:color w:val="000000" w:themeColor="text1"/>
          <w:highlight w:val="none"/>
          <w14:textFill>
            <w14:solidFill>
              <w14:schemeClr w14:val="tx1"/>
            </w14:solidFill>
          </w14:textFill>
        </w:rPr>
        <w:t xml:space="preserve">以下</w:t>
      </w:r>
      <w:r>
        <w:rPr>
          <w:rFonts w:hint="eastAsia"/>
          <w:color w:val="000000" w:themeColor="text1"/>
          <w:highlight w:val="none"/>
          <w14:textFill>
            <w14:solidFill>
              <w14:schemeClr w14:val="tx1"/>
            </w14:solidFill>
          </w14:textFill>
        </w:rPr>
        <w:t xml:space="preserve">合同模板为采购人采购合同模板，</w:t>
      </w:r>
      <w:r>
        <w:rPr>
          <w:color w:val="000000" w:themeColor="text1"/>
          <w:highlight w:val="none"/>
          <w14:textFill>
            <w14:solidFill>
              <w14:schemeClr w14:val="tx1"/>
            </w14:solidFill>
          </w14:textFill>
        </w:rPr>
        <w:t xml:space="preserve">为</w:t>
      </w:r>
      <w:r>
        <w:rPr>
          <w:rFonts w:hint="eastAsia"/>
          <w:color w:val="000000" w:themeColor="text1"/>
          <w:highlight w:val="none"/>
          <w14:textFill>
            <w14:solidFill>
              <w14:schemeClr w14:val="tx1"/>
            </w14:solidFill>
          </w14:textFill>
        </w:rPr>
        <w:t xml:space="preserve">中标</w:t>
      </w:r>
      <w:r>
        <w:rPr>
          <w:color w:val="000000" w:themeColor="text1"/>
          <w:highlight w:val="none"/>
          <w14:textFill>
            <w14:solidFill>
              <w14:schemeClr w14:val="tx1"/>
            </w14:solidFill>
          </w14:textFill>
        </w:rPr>
        <w:t xml:space="preserve">后签订本项目合同的</w:t>
      </w:r>
      <w:r>
        <w:rPr>
          <w:rFonts w:hint="eastAsia"/>
          <w:color w:val="000000" w:themeColor="text1"/>
          <w:highlight w:val="none"/>
          <w14:textFill>
            <w14:solidFill>
              <w14:schemeClr w14:val="tx1"/>
            </w14:solidFill>
          </w14:textFill>
        </w:rPr>
        <w:t xml:space="preserve">基本</w:t>
      </w:r>
      <w:r>
        <w:rPr>
          <w:color w:val="000000" w:themeColor="text1"/>
          <w:highlight w:val="none"/>
          <w14:textFill>
            <w14:solidFill>
              <w14:schemeClr w14:val="tx1"/>
            </w14:solidFill>
          </w14:textFill>
        </w:rPr>
        <w:t xml:space="preserve">条款，</w:t>
      </w:r>
      <w:r>
        <w:rPr>
          <w:rFonts w:hint="eastAsia"/>
          <w:color w:val="000000" w:themeColor="text1"/>
          <w:highlight w:val="none"/>
          <w14:textFill>
            <w14:solidFill>
              <w14:schemeClr w14:val="tx1"/>
            </w14:solidFill>
          </w14:textFill>
        </w:rPr>
        <w:t xml:space="preserve">中标人</w:t>
      </w:r>
      <w:r>
        <w:rPr>
          <w:color w:val="000000" w:themeColor="text1"/>
          <w:highlight w:val="none"/>
          <w14:textFill>
            <w14:solidFill>
              <w14:schemeClr w14:val="tx1"/>
            </w14:solidFill>
          </w14:textFill>
        </w:rPr>
        <w:t xml:space="preserve">不得提出实质性的修改，专用条款将</w:t>
      </w:r>
      <w:r>
        <w:rPr>
          <w:rFonts w:hint="eastAsia"/>
          <w:color w:val="000000" w:themeColor="text1"/>
          <w:highlight w:val="none"/>
          <w14:textFill>
            <w14:solidFill>
              <w14:schemeClr w14:val="tx1"/>
            </w14:solidFill>
          </w14:textFill>
        </w:rPr>
        <w:t xml:space="preserve">根据</w:t>
      </w:r>
      <w:r>
        <w:rPr>
          <w:color w:val="000000" w:themeColor="text1"/>
          <w:highlight w:val="none"/>
          <w14:textFill>
            <w14:solidFill>
              <w14:schemeClr w14:val="tx1"/>
            </w14:solidFill>
          </w14:textFill>
        </w:rPr>
        <w:t xml:space="preserve">本项目</w:t>
      </w:r>
      <w:r>
        <w:rPr>
          <w:rFonts w:hint="eastAsia"/>
          <w:color w:val="000000" w:themeColor="text1"/>
          <w:highlight w:val="none"/>
          <w14:textFill>
            <w14:solidFill>
              <w14:schemeClr w14:val="tx1"/>
            </w14:solidFill>
          </w14:textFill>
        </w:rPr>
        <w:t xml:space="preserve">中标结果</w:t>
      </w:r>
      <w:r>
        <w:rPr>
          <w:color w:val="000000" w:themeColor="text1"/>
          <w:highlight w:val="none"/>
          <w14:textFill>
            <w14:solidFill>
              <w14:schemeClr w14:val="tx1"/>
            </w14:solidFill>
          </w14:textFill>
        </w:rPr>
        <w:t xml:space="preserve">具体情况协商后签订。</w:t>
      </w:r>
      <w:bookmarkEnd w:id="117"/>
      <w:r/>
      <w:bookmarkEnd w:id="118"/>
      <w:r/>
      <w:bookmarkEnd w:id="119"/>
      <w:r/>
      <w:r/>
    </w:p>
    <w:p>
      <w:pPr>
        <w:jc w:val="center"/>
        <w:spacing w:line="360" w:lineRule="auto"/>
        <w:rPr>
          <w:rFonts w:ascii="仿宋" w:hAnsi="仿宋" w:eastAsia="仿宋"/>
          <w:bCs/>
          <w:sz w:val="30"/>
          <w:highlight w:val="none"/>
        </w:rPr>
        <w:outlineLvl w:val="0"/>
      </w:pPr>
      <w:r>
        <w:rPr>
          <w:rFonts w:hint="eastAsia" w:ascii="仿宋" w:hAnsi="仿宋" w:eastAsia="仿宋"/>
          <w:bCs/>
          <w:sz w:val="30"/>
          <w:szCs w:val="21"/>
          <w:highlight w:val="none"/>
        </w:rPr>
        <w:t xml:space="preserve">南通大学附属医院采购合同</w:t>
      </w:r>
      <w:r/>
    </w:p>
    <w:p>
      <w:pPr>
        <w:spacing w:line="360" w:lineRule="auto"/>
        <w:rPr>
          <w:rFonts w:ascii="仿宋" w:hAnsi="仿宋" w:eastAsia="仿宋" w:cs="Courier New"/>
          <w:bCs/>
          <w:highlight w:val="none"/>
        </w:rPr>
      </w:pPr>
      <w:r>
        <w:rPr>
          <w:rFonts w:ascii="仿宋" w:hAnsi="仿宋" w:eastAsia="仿宋" w:cs="Courier New"/>
          <w:bCs/>
          <w:highlight w:val="none"/>
        </w:rPr>
        <w:t xml:space="preserve">项目名称：</w:t>
      </w:r>
      <w:r>
        <w:rPr>
          <w:rFonts w:hint="eastAsia" w:ascii="仿宋" w:hAnsi="仿宋" w:eastAsia="仿宋" w:cs="Courier New"/>
          <w:bCs/>
          <w:highlight w:val="none"/>
          <w:lang w:eastAsia="zh-CN"/>
        </w:rPr>
        <w:t xml:space="preserve">南通大学附属医院跨院区容灾平台建设采购项目</w:t>
      </w:r>
      <w:r>
        <w:rPr>
          <w:rFonts w:ascii="仿宋" w:hAnsi="仿宋" w:eastAsia="仿宋" w:cs="Courier New"/>
          <w:bCs/>
          <w:highlight w:val="none"/>
        </w:rPr>
        <w:t xml:space="preserve">      </w:t>
      </w:r>
      <w:r>
        <w:rPr>
          <w:rFonts w:hint="eastAsia" w:ascii="仿宋" w:hAnsi="仿宋" w:eastAsia="仿宋" w:cs="Courier New"/>
          <w:bCs/>
          <w:highlight w:val="none"/>
        </w:rPr>
        <w:t xml:space="preserve">合同</w:t>
      </w:r>
      <w:r>
        <w:rPr>
          <w:rFonts w:ascii="仿宋" w:hAnsi="仿宋" w:eastAsia="仿宋" w:cs="Courier New"/>
          <w:bCs/>
          <w:highlight w:val="none"/>
        </w:rPr>
        <w:t xml:space="preserve">编号：</w:t>
      </w:r>
      <w:r/>
    </w:p>
    <w:p>
      <w:pPr>
        <w:spacing w:line="360" w:lineRule="auto"/>
        <w:rPr>
          <w:rFonts w:ascii="仿宋" w:hAnsi="仿宋" w:eastAsia="仿宋" w:cs="Courier New"/>
          <w:bCs/>
          <w:highlight w:val="none"/>
        </w:rPr>
      </w:pPr>
      <w:r>
        <w:rPr>
          <w:rFonts w:ascii="仿宋" w:hAnsi="仿宋" w:eastAsia="仿宋" w:cs="Courier New"/>
          <w:bCs/>
          <w:highlight w:val="none"/>
        </w:rPr>
        <w:t xml:space="preserve">甲方：（买方）南通大学附属医院</w:t>
      </w:r>
      <w:r/>
    </w:p>
    <w:p>
      <w:pPr>
        <w:spacing w:line="360" w:lineRule="auto"/>
        <w:rPr>
          <w:rFonts w:ascii="仿宋" w:hAnsi="仿宋" w:eastAsia="仿宋" w:cs="Courier New"/>
          <w:bCs/>
          <w:highlight w:val="none"/>
        </w:rPr>
      </w:pPr>
      <w:r>
        <w:rPr>
          <w:rFonts w:ascii="仿宋" w:hAnsi="仿宋" w:eastAsia="仿宋" w:cs="Courier New"/>
          <w:bCs/>
          <w:highlight w:val="none"/>
        </w:rPr>
        <w:t xml:space="preserve">乙方：（卖方）_________</w:t>
      </w:r>
      <w:r/>
    </w:p>
    <w:p>
      <w:pPr>
        <w:spacing w:line="360" w:lineRule="auto"/>
        <w:rPr>
          <w:rFonts w:ascii="仿宋" w:hAnsi="仿宋" w:eastAsia="仿宋" w:cs="Courier New"/>
          <w:bCs/>
          <w:highlight w:val="none"/>
        </w:rPr>
      </w:pPr>
      <w:r>
        <w:rPr>
          <w:rFonts w:ascii="仿宋" w:hAnsi="仿宋" w:eastAsia="仿宋" w:cs="Courier New"/>
          <w:bCs/>
          <w:highlight w:val="none"/>
        </w:rPr>
        <w:t xml:space="preserve">甲、乙双方</w:t>
      </w:r>
      <w:r>
        <w:rPr>
          <w:rFonts w:hint="eastAsia" w:ascii="仿宋" w:hAnsi="仿宋" w:eastAsia="仿宋" w:cs="Courier New"/>
          <w:bCs/>
          <w:highlight w:val="none"/>
          <w:lang w:eastAsia="zh-CN"/>
        </w:rPr>
        <w:t xml:space="preserve">根据南通大学附属医院</w:t>
      </w:r>
      <w:r>
        <w:rPr>
          <w:rFonts w:hint="eastAsia" w:ascii="仿宋" w:hAnsi="仿宋" w:eastAsia="仿宋" w:cs="Courier New"/>
          <w:bCs/>
          <w:highlight w:val="none"/>
          <w:u w:val="single"/>
          <w:lang w:eastAsia="zh-CN"/>
        </w:rPr>
        <w:t xml:space="preserve">跨院区容灾平台建设采购项目</w:t>
      </w:r>
      <w:r>
        <w:rPr>
          <w:rFonts w:ascii="仿宋" w:hAnsi="仿宋" w:eastAsia="仿宋" w:cs="Courier New"/>
          <w:bCs/>
          <w:highlight w:val="none"/>
        </w:rPr>
        <w:t xml:space="preserve">公开招标的结果，签署本合同。</w:t>
      </w:r>
      <w:r/>
    </w:p>
    <w:p>
      <w:pPr>
        <w:pStyle w:val="719"/>
        <w:ind w:firstLine="480"/>
        <w:tabs>
          <w:tab w:val="left" w:pos="210" w:leader="none"/>
        </w:tabs>
        <w:rPr>
          <w:rFonts w:ascii="仿宋" w:hAnsi="仿宋" w:eastAsia="仿宋"/>
          <w:highlight w:val="none"/>
        </w:rPr>
      </w:pPr>
      <w:r>
        <w:rPr>
          <w:rFonts w:hint="eastAsia" w:ascii="仿宋" w:hAnsi="仿宋" w:eastAsia="仿宋"/>
          <w:highlight w:val="none"/>
        </w:rPr>
        <w:t xml:space="preserve">一、合同内容</w:t>
      </w:r>
      <w:r/>
    </w:p>
    <w:p>
      <w:pPr>
        <w:spacing w:line="360" w:lineRule="auto"/>
        <w:rPr>
          <w:rFonts w:ascii="仿宋" w:hAnsi="仿宋" w:eastAsia="仿宋" w:cs="Courier New"/>
          <w:bCs/>
          <w:highlight w:val="none"/>
        </w:rPr>
      </w:pPr>
      <w:r>
        <w:rPr>
          <w:rFonts w:ascii="仿宋" w:hAnsi="仿宋" w:eastAsia="仿宋" w:cs="Courier New"/>
          <w:bCs/>
          <w:highlight w:val="none"/>
        </w:rPr>
        <w:t xml:space="preserve">1.1 </w:t>
      </w:r>
      <w:r>
        <w:rPr>
          <w:rFonts w:hint="eastAsia" w:ascii="仿宋" w:hAnsi="仿宋" w:eastAsia="仿宋" w:cs="Courier New"/>
          <w:bCs/>
          <w:highlight w:val="none"/>
        </w:rPr>
        <w:t xml:space="preserve">标的</w:t>
      </w:r>
      <w:r>
        <w:rPr>
          <w:rFonts w:ascii="仿宋" w:hAnsi="仿宋" w:eastAsia="仿宋" w:cs="Courier New"/>
          <w:bCs/>
          <w:highlight w:val="none"/>
        </w:rPr>
        <w:t xml:space="preserve">名称：南通大学附属医院跨院区容灾平台建设</w:t>
      </w:r>
      <w:r/>
    </w:p>
    <w:p>
      <w:pPr>
        <w:ind w:left="425" w:hanging="371"/>
        <w:spacing w:line="360" w:lineRule="auto"/>
        <w:rPr>
          <w:rFonts w:ascii="仿宋" w:hAnsi="仿宋" w:eastAsia="仿宋" w:cs="Courier New"/>
          <w:bCs/>
          <w:highlight w:val="none"/>
        </w:rPr>
      </w:pPr>
      <w:r>
        <w:rPr>
          <w:rFonts w:ascii="仿宋" w:hAnsi="仿宋" w:eastAsia="仿宋" w:cs="Courier New"/>
          <w:bCs/>
          <w:highlight w:val="none"/>
        </w:rPr>
        <w:t xml:space="preserve">1.2</w:t>
      </w:r>
      <w:r>
        <w:rPr>
          <w:rFonts w:hint="eastAsia" w:ascii="仿宋" w:hAnsi="仿宋" w:eastAsia="仿宋" w:cs="Courier New"/>
          <w:bCs/>
          <w:highlight w:val="none"/>
        </w:rPr>
        <w:t xml:space="preserve"> 标的质量：合同项目下所有货物技术标准应符合相关国家标准、行业标准、企业标准或者甲乙双方在本合同、合同附件、技术协议或者其他文件中约定的标准，标准内容不一致的，以要求最高的标准为准。</w:t>
      </w:r>
      <w:r/>
    </w:p>
    <w:p>
      <w:pPr>
        <w:spacing w:line="360" w:lineRule="auto"/>
        <w:rPr>
          <w:rFonts w:ascii="仿宋" w:hAnsi="仿宋" w:eastAsia="仿宋" w:cs="Courier New"/>
          <w:bCs/>
          <w:highlight w:val="none"/>
        </w:rPr>
      </w:pPr>
      <w:r>
        <w:rPr>
          <w:rFonts w:hint="eastAsia" w:ascii="仿宋" w:hAnsi="仿宋" w:eastAsia="仿宋" w:cs="Courier New"/>
          <w:bCs/>
          <w:highlight w:val="none"/>
        </w:rPr>
        <w:t xml:space="preserve">1.3 标的数量（规模）：详细清单见附件1</w:t>
      </w:r>
      <w:r/>
    </w:p>
    <w:p>
      <w:pPr>
        <w:spacing w:line="360" w:lineRule="auto"/>
        <w:rPr>
          <w:rFonts w:ascii="仿宋" w:hAnsi="仿宋" w:eastAsia="仿宋" w:cs="Courier New"/>
          <w:bCs/>
          <w:highlight w:val="none"/>
        </w:rPr>
      </w:pPr>
      <w:r>
        <w:rPr>
          <w:rFonts w:hint="eastAsia" w:ascii="仿宋" w:hAnsi="仿宋" w:eastAsia="仿宋" w:cs="Courier New"/>
          <w:bCs/>
          <w:highlight w:val="none"/>
          <w:lang w:val="en-US" w:eastAsia="zh-CN"/>
        </w:rPr>
        <w:t xml:space="preserve">1.4 </w:t>
      </w:r>
      <w:r>
        <w:rPr>
          <w:rFonts w:hint="eastAsia" w:ascii="仿宋" w:hAnsi="仿宋" w:eastAsia="仿宋" w:cs="Courier New"/>
          <w:bCs/>
          <w:highlight w:val="none"/>
        </w:rPr>
        <w:t xml:space="preserve">签订合同后60个工作日内完成平台的安装、部署、调试、培训等工作（不包括试运行阶段）。</w:t>
      </w:r>
      <w:r/>
    </w:p>
    <w:p>
      <w:pPr>
        <w:spacing w:line="360" w:lineRule="auto"/>
        <w:rPr>
          <w:rFonts w:ascii="仿宋" w:hAnsi="仿宋" w:eastAsia="仿宋" w:cs="Courier New"/>
          <w:bCs/>
          <w:highlight w:val="none"/>
        </w:rPr>
      </w:pPr>
      <w:r>
        <w:rPr>
          <w:rFonts w:hint="eastAsia" w:ascii="仿宋" w:hAnsi="仿宋" w:eastAsia="仿宋" w:cs="Courier New"/>
          <w:bCs/>
          <w:highlight w:val="none"/>
        </w:rPr>
        <w:t xml:space="preserve">1.5 履行地点：南通大学附属医院指定地点</w:t>
      </w:r>
      <w:r/>
    </w:p>
    <w:p>
      <w:pPr>
        <w:spacing w:line="360" w:lineRule="auto"/>
        <w:rPr>
          <w:rFonts w:ascii="仿宋" w:hAnsi="仿宋" w:eastAsia="仿宋" w:cs="Courier New"/>
          <w:bCs/>
          <w:highlight w:val="none"/>
        </w:rPr>
      </w:pPr>
      <w:r>
        <w:rPr>
          <w:rFonts w:ascii="仿宋" w:hAnsi="仿宋" w:eastAsia="仿宋" w:cs="Courier New"/>
          <w:bCs/>
          <w:highlight w:val="none"/>
        </w:rPr>
        <w:t xml:space="preserve">1.</w:t>
      </w:r>
      <w:r>
        <w:rPr>
          <w:rFonts w:hint="eastAsia" w:ascii="仿宋" w:hAnsi="仿宋" w:eastAsia="仿宋" w:cs="Courier New"/>
          <w:bCs/>
          <w:highlight w:val="none"/>
        </w:rPr>
        <w:t xml:space="preserve">6 履行方式：/</w:t>
      </w:r>
      <w:r/>
    </w:p>
    <w:p>
      <w:pPr>
        <w:spacing w:line="360" w:lineRule="auto"/>
        <w:rPr>
          <w:rFonts w:ascii="仿宋" w:hAnsi="仿宋" w:eastAsia="仿宋" w:cs="Courier New"/>
          <w:bCs/>
          <w:highlight w:val="none"/>
        </w:rPr>
      </w:pPr>
      <w:r>
        <w:rPr>
          <w:rFonts w:hint="eastAsia" w:ascii="仿宋" w:hAnsi="仿宋" w:eastAsia="仿宋" w:cs="Courier New"/>
          <w:bCs/>
          <w:highlight w:val="none"/>
        </w:rPr>
        <w:t xml:space="preserve">1.7 包装方式：参考《商品包装政府采购需求标准（试行）》、《快递包装政府采购需求标准（试行）》产品及相关快递服务的具体包装要求。</w:t>
      </w:r>
      <w:r/>
    </w:p>
    <w:p>
      <w:pPr>
        <w:pStyle w:val="719"/>
        <w:ind w:firstLine="480"/>
        <w:tabs>
          <w:tab w:val="left" w:pos="210" w:leader="none"/>
        </w:tabs>
        <w:rPr>
          <w:rFonts w:ascii="仿宋" w:hAnsi="仿宋" w:eastAsia="仿宋"/>
          <w:highlight w:val="none"/>
        </w:rPr>
      </w:pPr>
      <w:r>
        <w:rPr>
          <w:rFonts w:hint="eastAsia" w:ascii="仿宋" w:hAnsi="仿宋" w:eastAsia="仿宋" w:cs="Times New Roman"/>
          <w:highlight w:val="none"/>
        </w:rPr>
        <w:t xml:space="preserve">二、合同金额</w:t>
      </w:r>
      <w:r/>
    </w:p>
    <w:p>
      <w:pPr>
        <w:ind w:left="410" w:hanging="359"/>
        <w:spacing w:line="360" w:lineRule="auto"/>
        <w:rPr>
          <w:rFonts w:ascii="仿宋" w:hAnsi="仿宋" w:eastAsia="仿宋" w:cs="Courier New"/>
          <w:bCs/>
          <w:highlight w:val="none"/>
        </w:rPr>
      </w:pPr>
      <w:r>
        <w:rPr>
          <w:rFonts w:ascii="仿宋" w:hAnsi="仿宋" w:eastAsia="仿宋" w:cs="Courier New"/>
          <w:bCs/>
          <w:highlight w:val="none"/>
        </w:rPr>
        <w:t xml:space="preserve">2.1 本合同金额为（大写）：_______</w:t>
      </w:r>
      <w:r>
        <w:rPr>
          <w:rFonts w:hint="eastAsia" w:ascii="仿宋" w:hAnsi="仿宋" w:eastAsia="仿宋" w:cs="Courier New"/>
          <w:bCs/>
          <w:highlight w:val="none"/>
        </w:rPr>
        <w:t xml:space="preserve">圆</w:t>
      </w:r>
      <w:r>
        <w:rPr>
          <w:rFonts w:ascii="仿宋" w:hAnsi="仿宋" w:eastAsia="仿宋" w:cs="Courier New"/>
          <w:bCs/>
          <w:highlight w:val="none"/>
        </w:rPr>
        <w:t xml:space="preserve">（___元）人民币。</w:t>
      </w:r>
      <w:r/>
    </w:p>
    <w:p>
      <w:pPr>
        <w:pStyle w:val="719"/>
        <w:ind w:firstLine="480"/>
        <w:tabs>
          <w:tab w:val="left" w:pos="210" w:leader="none"/>
        </w:tabs>
        <w:rPr>
          <w:rFonts w:ascii="仿宋" w:hAnsi="仿宋" w:eastAsia="仿宋"/>
          <w:highlight w:val="none"/>
        </w:rPr>
      </w:pPr>
      <w:r>
        <w:rPr>
          <w:rFonts w:hint="eastAsia" w:ascii="仿宋" w:hAnsi="仿宋" w:eastAsia="仿宋" w:cs="Times New Roman"/>
          <w:highlight w:val="none"/>
        </w:rPr>
        <w:t xml:space="preserve">三、技术资料</w:t>
      </w:r>
      <w:r/>
    </w:p>
    <w:p>
      <w:pPr>
        <w:ind w:left="410" w:hanging="359"/>
        <w:spacing w:line="360" w:lineRule="auto"/>
        <w:rPr>
          <w:rFonts w:ascii="仿宋" w:hAnsi="仿宋" w:eastAsia="仿宋" w:cs="Courier New"/>
          <w:bCs/>
          <w:highlight w:val="none"/>
        </w:rPr>
      </w:pPr>
      <w:r>
        <w:rPr>
          <w:rFonts w:ascii="仿宋" w:hAnsi="仿宋" w:eastAsia="仿宋" w:cs="Courier New"/>
          <w:bCs/>
          <w:highlight w:val="none"/>
        </w:rPr>
        <w:t xml:space="preserve">3.1乙方应按招标文件规定的时间向甲方提供使用货物</w:t>
      </w:r>
      <w:r>
        <w:rPr>
          <w:rFonts w:hint="eastAsia" w:ascii="仿宋" w:hAnsi="仿宋" w:eastAsia="仿宋" w:cs="Courier New"/>
          <w:bCs/>
          <w:highlight w:val="none"/>
        </w:rPr>
        <w:t xml:space="preserve">(包含与货物相关的服务)</w:t>
      </w:r>
      <w:r>
        <w:rPr>
          <w:rFonts w:ascii="仿宋" w:hAnsi="仿宋" w:eastAsia="仿宋" w:cs="Courier New"/>
          <w:bCs/>
          <w:highlight w:val="none"/>
        </w:rPr>
        <w:t xml:space="preserve">的有关技术资料。</w:t>
      </w:r>
      <w:r/>
    </w:p>
    <w:p>
      <w:pPr>
        <w:ind w:left="410" w:hanging="359"/>
        <w:spacing w:line="360" w:lineRule="auto"/>
        <w:rPr>
          <w:rFonts w:ascii="仿宋" w:hAnsi="仿宋" w:eastAsia="仿宋" w:cs="Courier New"/>
          <w:bCs/>
          <w:highlight w:val="none"/>
        </w:rPr>
      </w:pPr>
      <w:r>
        <w:rPr>
          <w:rFonts w:ascii="仿宋" w:hAnsi="仿宋" w:eastAsia="仿宋" w:cs="Courier New"/>
          <w:bCs/>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19"/>
        <w:ind w:firstLine="480"/>
        <w:tabs>
          <w:tab w:val="left" w:pos="210" w:leader="none"/>
        </w:tabs>
        <w:rPr>
          <w:rFonts w:ascii="仿宋" w:hAnsi="仿宋" w:eastAsia="仿宋"/>
          <w:highlight w:val="none"/>
        </w:rPr>
      </w:pPr>
      <w:r>
        <w:rPr>
          <w:rFonts w:hint="eastAsia" w:ascii="仿宋" w:hAnsi="仿宋" w:eastAsia="仿宋" w:cs="Times New Roman"/>
          <w:highlight w:val="none"/>
        </w:rPr>
        <w:t xml:space="preserve">四、知识产权</w:t>
      </w:r>
      <w:r/>
    </w:p>
    <w:p>
      <w:pPr>
        <w:ind w:left="410" w:hanging="359"/>
        <w:spacing w:line="360" w:lineRule="auto"/>
        <w:rPr>
          <w:rFonts w:hint="eastAsia" w:ascii="仿宋" w:hAnsi="仿宋" w:eastAsia="仿宋" w:cs="Courier New"/>
          <w:bCs/>
          <w:highlight w:val="none"/>
        </w:rPr>
      </w:pPr>
      <w:r>
        <w:rPr>
          <w:rFonts w:ascii="仿宋" w:hAnsi="仿宋" w:eastAsia="仿宋" w:cs="Courier New"/>
          <w:bCs/>
          <w:highlight w:val="none"/>
        </w:rPr>
        <w:t xml:space="preserve">4.1乙</w:t>
      </w:r>
      <w:r>
        <w:rPr>
          <w:rFonts w:hint="eastAsia" w:ascii="仿宋" w:hAnsi="仿宋" w:eastAsia="仿宋" w:cs="Courier New"/>
          <w:bCs/>
          <w:highlight w:val="none"/>
        </w:rPr>
        <w:t xml:space="preserve">方应保证甲方在使用、接受本合同货物（包含与货物相关的服务）或其任何一部分时不受第三方提出侵犯其专利权、版权、商标权和工业设计权等知识产权的起诉。一旦出现侵权，由乙方负全部责任。</w:t>
      </w:r>
      <w:r/>
    </w:p>
    <w:p>
      <w:pPr>
        <w:ind w:left="410" w:hanging="359"/>
        <w:spacing w:line="360" w:lineRule="auto"/>
        <w:rPr>
          <w:rFonts w:hint="eastAsia" w:ascii="仿宋" w:hAnsi="仿宋" w:eastAsia="仿宋" w:cs="Courier New"/>
          <w:bCs/>
          <w:highlight w:val="none"/>
          <w:lang w:val="en-US" w:eastAsia="zh-CN"/>
        </w:rPr>
      </w:pPr>
      <w:r>
        <w:rPr>
          <w:rFonts w:hint="eastAsia" w:ascii="仿宋" w:hAnsi="仿宋" w:eastAsia="仿宋" w:cs="Courier New"/>
          <w:bCs/>
          <w:highlight w:val="none"/>
          <w:lang w:val="en-US" w:eastAsia="zh-CN"/>
        </w:rPr>
        <w:t xml:space="preserve">4.2甲方自初步验收合格之日起，在南通大学附属医院范围内，取得本合同项下软件的永久、不可撤销、无偿的使用许可，用于甲方自身业务运行及与其相关的管理活动。</w:t>
      </w:r>
      <w:r/>
    </w:p>
    <w:p>
      <w:pPr>
        <w:ind w:left="410" w:hanging="359"/>
        <w:spacing w:line="360" w:lineRule="auto"/>
        <w:rPr>
          <w:rFonts w:hint="eastAsia" w:ascii="仿宋" w:hAnsi="仿宋" w:eastAsia="仿宋" w:cs="Courier New"/>
          <w:bCs/>
          <w:highlight w:val="none"/>
          <w:lang w:val="en-US" w:eastAsia="zh-CN"/>
        </w:rPr>
      </w:pPr>
      <w:r>
        <w:rPr>
          <w:rFonts w:hint="eastAsia" w:ascii="仿宋" w:hAnsi="仿宋" w:eastAsia="仿宋" w:cs="Courier New"/>
          <w:bCs/>
          <w:highlight w:val="none"/>
          <w:lang w:val="en-US" w:eastAsia="zh-CN"/>
        </w:rPr>
        <w:t xml:space="preserve">4.3乙方不得在合同履行期间及质保期届满后，以任何理由限制甲方使用本合同货物</w:t>
      </w:r>
      <w:r>
        <w:rPr>
          <w:rFonts w:hint="eastAsia" w:ascii="仿宋" w:hAnsi="仿宋" w:eastAsia="仿宋" w:cs="Courier New"/>
          <w:bCs/>
          <w:highlight w:val="none"/>
        </w:rPr>
        <w:t xml:space="preserve">（包含与货物相关的服务）</w:t>
      </w:r>
      <w:r>
        <w:rPr>
          <w:rFonts w:hint="eastAsia" w:ascii="仿宋" w:hAnsi="仿宋" w:eastAsia="仿宋" w:cs="Courier New"/>
          <w:bCs/>
          <w:highlight w:val="none"/>
          <w:lang w:val="en-US" w:eastAsia="zh-CN"/>
        </w:rPr>
        <w:t xml:space="preserve">或者另行收取许可费用。</w:t>
      </w:r>
      <w:r/>
    </w:p>
    <w:p>
      <w:pPr>
        <w:pStyle w:val="719"/>
        <w:ind w:firstLine="480"/>
        <w:tabs>
          <w:tab w:val="left" w:pos="210" w:leader="none"/>
        </w:tabs>
        <w:rPr>
          <w:rFonts w:ascii="仿宋" w:hAnsi="仿宋" w:eastAsia="仿宋"/>
          <w:highlight w:val="none"/>
        </w:rPr>
      </w:pPr>
      <w:r>
        <w:rPr>
          <w:rFonts w:hint="eastAsia" w:ascii="仿宋" w:hAnsi="仿宋" w:eastAsia="仿宋" w:cs="Times New Roman"/>
          <w:highlight w:val="none"/>
        </w:rPr>
        <w:t xml:space="preserve">五、产权担保</w:t>
      </w:r>
      <w:r/>
    </w:p>
    <w:p>
      <w:pPr>
        <w:ind w:left="408" w:hanging="357"/>
        <w:spacing w:line="360" w:lineRule="auto"/>
        <w:rPr>
          <w:rFonts w:ascii="仿宋" w:hAnsi="仿宋" w:eastAsia="仿宋" w:cs="Courier New"/>
          <w:bCs/>
          <w:highlight w:val="none"/>
          <w:u w:val="single"/>
        </w:rPr>
      </w:pPr>
      <w:r>
        <w:rPr>
          <w:rFonts w:ascii="仿宋" w:hAnsi="仿宋" w:eastAsia="仿宋" w:cs="Courier New"/>
          <w:bCs/>
          <w:highlight w:val="none"/>
        </w:rPr>
        <w:t xml:space="preserve">5.1乙方保证所交付的货物</w:t>
      </w:r>
      <w:r>
        <w:rPr>
          <w:rFonts w:hint="eastAsia" w:ascii="仿宋" w:hAnsi="仿宋" w:eastAsia="仿宋" w:cs="Courier New"/>
          <w:bCs/>
          <w:highlight w:val="none"/>
        </w:rPr>
        <w:t xml:space="preserve">（包含与货物相关的服务）</w:t>
      </w:r>
      <w:r>
        <w:rPr>
          <w:rFonts w:ascii="仿宋" w:hAnsi="仿宋" w:eastAsia="仿宋" w:cs="Courier New"/>
          <w:bCs/>
          <w:highlight w:val="none"/>
        </w:rPr>
        <w:t xml:space="preserve">的所有权完全属于乙方且无任何抵押、查封等产权瑕疵。</w:t>
      </w:r>
      <w:r/>
    </w:p>
    <w:p>
      <w:pPr>
        <w:pStyle w:val="719"/>
        <w:ind w:firstLine="480"/>
        <w:tabs>
          <w:tab w:val="left" w:pos="210" w:leader="none"/>
        </w:tabs>
        <w:rPr>
          <w:rFonts w:ascii="仿宋" w:hAnsi="仿宋" w:eastAsia="仿宋"/>
          <w:highlight w:val="none"/>
        </w:rPr>
      </w:pPr>
      <w:r>
        <w:rPr>
          <w:rFonts w:hint="eastAsia" w:ascii="仿宋" w:hAnsi="仿宋" w:eastAsia="仿宋" w:cs="Times New Roman"/>
          <w:highlight w:val="none"/>
        </w:rPr>
        <w:t xml:space="preserve">六、履约保证金</w:t>
      </w:r>
      <w:r/>
    </w:p>
    <w:p>
      <w:pPr>
        <w:ind w:left="408" w:hanging="357"/>
        <w:spacing w:line="360" w:lineRule="auto"/>
        <w:rPr>
          <w:rFonts w:ascii="仿宋" w:hAnsi="仿宋" w:eastAsia="仿宋" w:cs="Courier New"/>
          <w:bCs/>
          <w:highlight w:val="none"/>
        </w:rPr>
      </w:pPr>
      <w:r>
        <w:rPr>
          <w:rFonts w:ascii="仿宋" w:hAnsi="仿宋" w:eastAsia="仿宋" w:cs="Courier New"/>
          <w:bCs/>
          <w:highlight w:val="none"/>
        </w:rPr>
        <w:t xml:space="preserve">6.1本合同的履约保证金</w:t>
      </w:r>
      <w:r>
        <w:rPr>
          <w:rFonts w:hint="eastAsia" w:ascii="仿宋" w:hAnsi="仿宋" w:eastAsia="仿宋" w:cs="Courier New"/>
          <w:bCs/>
          <w:highlight w:val="none"/>
          <w:lang w:val="en-US" w:eastAsia="zh-CN"/>
        </w:rPr>
        <w:t xml:space="preserve">为</w:t>
      </w:r>
      <w:r>
        <w:rPr>
          <w:rFonts w:ascii="仿宋" w:hAnsi="仿宋" w:eastAsia="仿宋" w:cs="Courier New"/>
          <w:bCs/>
          <w:highlight w:val="none"/>
        </w:rPr>
        <w:t xml:space="preserve">人民币_________元。（合同金额的10%）</w:t>
      </w:r>
      <w:r/>
    </w:p>
    <w:p>
      <w:pPr>
        <w:ind w:left="408" w:hanging="357"/>
        <w:spacing w:line="360" w:lineRule="auto"/>
        <w:rPr>
          <w:rFonts w:ascii="仿宋" w:hAnsi="仿宋" w:eastAsia="仿宋" w:cs="Courier New"/>
          <w:bCs/>
          <w:highlight w:val="none"/>
        </w:rPr>
      </w:pPr>
      <w:r>
        <w:rPr>
          <w:rFonts w:hint="eastAsia" w:ascii="仿宋" w:hAnsi="仿宋" w:eastAsia="仿宋" w:cs="Courier New"/>
          <w:bCs/>
          <w:highlight w:val="none"/>
        </w:rPr>
        <w:t xml:space="preserve">6.2合同履行结束后，甲方应及时退还交纳的履约保证金。</w:t>
      </w:r>
      <w:r/>
    </w:p>
    <w:p>
      <w:pPr>
        <w:ind w:left="408" w:hanging="357"/>
        <w:spacing w:line="360" w:lineRule="auto"/>
        <w:rPr>
          <w:rFonts w:ascii="仿宋" w:hAnsi="仿宋" w:eastAsia="仿宋" w:cs="Courier New"/>
          <w:bCs/>
          <w:highlight w:val="none"/>
        </w:rPr>
      </w:pPr>
      <w:r>
        <w:rPr>
          <w:rFonts w:hint="eastAsia" w:ascii="仿宋" w:hAnsi="仿宋" w:eastAsia="仿宋" w:cs="Courier New"/>
          <w:bCs/>
          <w:highlight w:val="none"/>
        </w:rPr>
        <w:t xml:space="preserve">6.2.1履约保证金退还方式：项目验收合格后，乙方凭经甲方盖章确认的《退还履约保证金申请函》申请退款，甲方于收到乙方退款申请之日起30个工作日内一次性退还。</w:t>
      </w:r>
      <w:r/>
    </w:p>
    <w:p>
      <w:pPr>
        <w:ind w:left="408" w:hanging="357"/>
        <w:spacing w:line="360" w:lineRule="auto"/>
        <w:rPr>
          <w:rFonts w:ascii="仿宋" w:hAnsi="仿宋" w:eastAsia="仿宋" w:cs="Courier New"/>
          <w:bCs/>
          <w:highlight w:val="none"/>
        </w:rPr>
      </w:pPr>
      <w:r>
        <w:rPr>
          <w:rFonts w:hint="eastAsia" w:ascii="仿宋" w:hAnsi="仿宋" w:eastAsia="仿宋" w:cs="Courier New"/>
          <w:bCs/>
          <w:highlight w:val="none"/>
        </w:rPr>
        <w:t xml:space="preserve">6.2.2履约保证金退还时间：本项目通过整体验收。</w:t>
      </w:r>
      <w:r/>
    </w:p>
    <w:p>
      <w:pPr>
        <w:ind w:left="408" w:hanging="357"/>
        <w:spacing w:line="360" w:lineRule="auto"/>
        <w:rPr>
          <w:rFonts w:ascii="仿宋" w:hAnsi="仿宋" w:eastAsia="仿宋" w:cs="Courier New"/>
          <w:bCs/>
          <w:highlight w:val="none"/>
        </w:rPr>
      </w:pPr>
      <w:r>
        <w:rPr>
          <w:rFonts w:hint="eastAsia" w:ascii="仿宋" w:hAnsi="仿宋" w:eastAsia="仿宋" w:cs="Courier New"/>
          <w:bCs/>
          <w:highlight w:val="none"/>
        </w:rPr>
        <w:t xml:space="preserve">6.2.3履约保证金退还条件：本项目整体验收合格。</w:t>
      </w:r>
      <w:r/>
    </w:p>
    <w:p>
      <w:pPr>
        <w:ind w:left="408" w:hanging="357"/>
        <w:spacing w:line="360" w:lineRule="auto"/>
        <w:rPr>
          <w:rFonts w:ascii="仿宋" w:hAnsi="仿宋" w:eastAsia="仿宋" w:cs="Courier New"/>
          <w:bCs/>
          <w:highlight w:val="none"/>
        </w:rPr>
      </w:pPr>
      <w:r>
        <w:rPr>
          <w:rFonts w:hint="eastAsia" w:ascii="仿宋" w:hAnsi="仿宋" w:eastAsia="仿宋" w:cs="Courier New"/>
          <w:bCs/>
          <w:highlight w:val="none"/>
        </w:rPr>
        <w:t xml:space="preserve">6.2.4履约保证金不予退还的情形：（1）系统功能不完整，或者存在缺陷，经限期整改后仍不合格的；（2）乙方未按合同约定履行义务，经甲方书面催告后仍未履行的；（3）乙方将合同转包，或者未经甲方同意分包的；（4）因乙方原因导致合同解除的；（5）其他依本合同约定不予退还的情形。</w:t>
      </w:r>
      <w:r/>
    </w:p>
    <w:p>
      <w:pPr>
        <w:ind w:left="408" w:hanging="357"/>
        <w:spacing w:line="360" w:lineRule="auto"/>
        <w:rPr>
          <w:rFonts w:ascii="仿宋" w:hAnsi="仿宋" w:eastAsia="仿宋" w:cs="Courier New"/>
          <w:bCs/>
          <w:highlight w:val="none"/>
        </w:rPr>
      </w:pPr>
      <w:r>
        <w:rPr>
          <w:rFonts w:hint="eastAsia" w:ascii="仿宋" w:hAnsi="仿宋" w:eastAsia="仿宋" w:cs="Courier New"/>
          <w:bCs/>
          <w:highlight w:val="none"/>
        </w:rPr>
        <w:t xml:space="preserve">6.2.5提交履约保证金的形式：以转账方式转入甲方指定账户，或者以金融机构、担保机构出具的保函等非现金形式提交。</w:t>
      </w:r>
      <w:r/>
    </w:p>
    <w:p>
      <w:pPr>
        <w:ind w:left="420" w:firstLine="63"/>
        <w:spacing w:line="360" w:lineRule="auto"/>
        <w:rPr>
          <w:rFonts w:ascii="仿宋" w:hAnsi="仿宋" w:eastAsia="仿宋" w:cs="Courier New"/>
          <w:bCs/>
          <w:highlight w:val="none"/>
        </w:rPr>
      </w:pPr>
      <w:r>
        <w:rPr>
          <w:rFonts w:hint="eastAsia" w:ascii="仿宋" w:hAnsi="仿宋" w:eastAsia="仿宋" w:cs="Courier New"/>
          <w:bCs/>
          <w:highlight w:val="none"/>
        </w:rPr>
        <w:t xml:space="preserve">收款人：南通大学附属医院</w:t>
      </w:r>
      <w:r/>
    </w:p>
    <w:p>
      <w:pPr>
        <w:ind w:left="420" w:firstLine="63"/>
        <w:spacing w:line="360" w:lineRule="auto"/>
        <w:rPr>
          <w:rFonts w:ascii="仿宋" w:hAnsi="仿宋" w:eastAsia="仿宋" w:cs="Courier New"/>
          <w:bCs/>
          <w:highlight w:val="none"/>
        </w:rPr>
      </w:pPr>
      <w:r>
        <w:rPr>
          <w:rFonts w:hint="eastAsia" w:ascii="仿宋" w:hAnsi="仿宋" w:eastAsia="仿宋" w:cs="Courier New"/>
          <w:bCs/>
          <w:highlight w:val="none"/>
        </w:rPr>
        <w:t xml:space="preserve">开户行：建设银行南通崇川支行</w:t>
      </w:r>
      <w:r/>
    </w:p>
    <w:p>
      <w:pPr>
        <w:ind w:left="420" w:firstLine="63"/>
        <w:spacing w:line="360" w:lineRule="auto"/>
        <w:rPr>
          <w:rFonts w:ascii="仿宋" w:hAnsi="仿宋" w:eastAsia="仿宋" w:cs="Courier New"/>
          <w:bCs/>
          <w:highlight w:val="none"/>
        </w:rPr>
      </w:pPr>
      <w:r>
        <w:rPr>
          <w:rFonts w:hint="eastAsia" w:ascii="仿宋" w:hAnsi="仿宋" w:eastAsia="仿宋" w:cs="Courier New"/>
          <w:bCs/>
          <w:highlight w:val="none"/>
        </w:rPr>
        <w:t xml:space="preserve">账号：32001642736052505622</w:t>
      </w:r>
      <w:r/>
    </w:p>
    <w:p>
      <w:pPr>
        <w:ind w:left="420" w:firstLine="63"/>
        <w:spacing w:line="360" w:lineRule="auto"/>
        <w:rPr>
          <w:rFonts w:ascii="仿宋" w:hAnsi="仿宋" w:eastAsia="仿宋" w:cs="Courier New"/>
          <w:bCs/>
          <w:highlight w:val="none"/>
        </w:rPr>
      </w:pPr>
      <w:r>
        <w:rPr>
          <w:rFonts w:hint="eastAsia" w:ascii="仿宋" w:hAnsi="仿宋" w:eastAsia="仿宋" w:cs="Courier New"/>
          <w:bCs/>
          <w:highlight w:val="none"/>
        </w:rPr>
        <w:t xml:space="preserve">用途：（项目名称）履约保证金</w:t>
      </w:r>
      <w:r/>
    </w:p>
    <w:p>
      <w:pPr>
        <w:ind w:left="408" w:hanging="357"/>
        <w:spacing w:line="360" w:lineRule="auto"/>
        <w:rPr>
          <w:rFonts w:ascii="仿宋" w:hAnsi="仿宋" w:eastAsia="仿宋" w:cs="Courier New"/>
          <w:bCs/>
          <w:highlight w:val="none"/>
        </w:rPr>
      </w:pPr>
      <w:r>
        <w:rPr>
          <w:rFonts w:hint="eastAsia" w:ascii="仿宋" w:hAnsi="仿宋" w:eastAsia="仿宋" w:cs="Courier New"/>
          <w:bCs/>
          <w:highlight w:val="none"/>
        </w:rPr>
        <w:t xml:space="preserve">6.2.6以银行保函形式提交履约保证金的，保函有效期应</w:t>
      </w:r>
      <w:r>
        <w:rPr>
          <w:rFonts w:hint="eastAsia" w:ascii="仿宋" w:hAnsi="仿宋" w:eastAsia="仿宋" w:cs="Courier New"/>
          <w:bCs/>
          <w:highlight w:val="none"/>
          <w:lang w:val="en-US" w:eastAsia="zh-CN"/>
        </w:rPr>
        <w:t xml:space="preserve">不少于合同生效之日起12个月</w:t>
      </w:r>
      <w:r>
        <w:rPr>
          <w:rFonts w:hint="eastAsia" w:ascii="仿宋" w:hAnsi="仿宋" w:eastAsia="仿宋" w:cs="Courier New"/>
          <w:bCs/>
          <w:highlight w:val="none"/>
        </w:rPr>
        <w:t xml:space="preserve">，如遇特殊情况在有效期内不能完成履约验收的，需提前15天办理保函延期手续。</w:t>
      </w:r>
      <w:r/>
    </w:p>
    <w:p>
      <w:pPr>
        <w:ind w:left="408" w:hanging="357"/>
        <w:spacing w:line="360" w:lineRule="auto"/>
        <w:rPr>
          <w:rFonts w:ascii="仿宋" w:hAnsi="仿宋" w:eastAsia="仿宋"/>
          <w:highlight w:val="none"/>
        </w:rPr>
      </w:pPr>
      <w:r>
        <w:rPr>
          <w:rFonts w:hint="eastAsia" w:ascii="仿宋" w:hAnsi="仿宋" w:eastAsia="仿宋" w:cs="Courier New"/>
          <w:bCs/>
          <w:highlight w:val="none"/>
        </w:rPr>
        <w:t xml:space="preserve">6.2.7以银行保函形式提交履约保证金的，必须在合同签订前提交保函原件。</w:t>
      </w:r>
      <w:r/>
    </w:p>
    <w:p>
      <w:pPr>
        <w:ind w:left="408" w:hanging="357"/>
        <w:spacing w:line="360" w:lineRule="auto"/>
        <w:rPr>
          <w:rFonts w:ascii="仿宋" w:hAnsi="仿宋" w:eastAsia="仿宋"/>
          <w:highlight w:val="none"/>
        </w:rPr>
      </w:pPr>
      <w:r>
        <w:rPr>
          <w:rFonts w:hint="eastAsia" w:ascii="仿宋" w:hAnsi="仿宋" w:eastAsia="仿宋" w:cs="Courier New"/>
          <w:bCs/>
          <w:highlight w:val="none"/>
        </w:rPr>
        <w:t xml:space="preserve">6.3 预付款保函</w:t>
      </w:r>
      <w:r/>
    </w:p>
    <w:p>
      <w:pPr>
        <w:ind w:left="408" w:hanging="357"/>
        <w:spacing w:line="360" w:lineRule="auto"/>
        <w:rPr>
          <w:rFonts w:ascii="仿宋" w:hAnsi="仿宋" w:eastAsia="仿宋"/>
          <w:highlight w:val="none"/>
        </w:rPr>
      </w:pPr>
      <w:r>
        <w:rPr>
          <w:rFonts w:hint="eastAsia" w:ascii="仿宋" w:hAnsi="仿宋" w:eastAsia="仿宋" w:cs="Courier New"/>
          <w:bCs/>
          <w:highlight w:val="none"/>
        </w:rPr>
        <w:t xml:space="preserve">6.3.1 乙方申请支付预付款的，应当在甲方支付第一期预付款前，向甲方提交由银行或者保险机构出具、以甲方为受益人、金额为合同总价30%的预付款保函原件。乙方未提交的，甲方有权暂缓支付预付款，且不构成逾期付款，不承担违约责任。</w:t>
      </w:r>
      <w:r/>
    </w:p>
    <w:p>
      <w:pPr>
        <w:ind w:left="408" w:hanging="357"/>
        <w:spacing w:line="360" w:lineRule="auto"/>
        <w:rPr>
          <w:rFonts w:ascii="仿宋" w:hAnsi="仿宋" w:eastAsia="仿宋"/>
          <w:highlight w:val="none"/>
        </w:rPr>
      </w:pPr>
      <w:r>
        <w:rPr>
          <w:rFonts w:hint="eastAsia" w:ascii="仿宋" w:hAnsi="仿宋" w:eastAsia="仿宋" w:cs="Courier New"/>
          <w:bCs/>
          <w:highlight w:val="none"/>
        </w:rPr>
        <w:t xml:space="preserve">6.3.2 预付款保函应当为不可撤销、见索即付的独立保函，可采用银行保函或者保险保函等非现金形式，不得以现金或者转账方式提交。保函有效期自出具之日起至第二期进度款支付完成且预付款全额抵扣之日止。因项目延期导致保函到期的，乙方应当在保函到期前15日办理延期手续；逾期未办理的，甲方有权从应付款项中扣回预付款，或者要求乙方提前清偿。</w:t>
      </w:r>
      <w:r/>
    </w:p>
    <w:p>
      <w:pPr>
        <w:ind w:left="408" w:hanging="357"/>
        <w:spacing w:line="360" w:lineRule="auto"/>
        <w:rPr>
          <w:rFonts w:ascii="仿宋" w:hAnsi="仿宋" w:eastAsia="仿宋"/>
          <w:highlight w:val="none"/>
        </w:rPr>
      </w:pPr>
      <w:r>
        <w:rPr>
          <w:rFonts w:hint="eastAsia" w:ascii="仿宋" w:hAnsi="仿宋" w:eastAsia="仿宋" w:cs="Courier New"/>
          <w:bCs/>
          <w:highlight w:val="none"/>
        </w:rPr>
        <w:t xml:space="preserve">6.3.3 预付款于第二期进度款支付时全额抵扣。抵扣完成后5个工作日内，甲方应当退还保函原件；以电子保函形式提交的，甲方应当出具解除保函责任的书面确认。</w:t>
      </w:r>
      <w:r/>
    </w:p>
    <w:p>
      <w:pPr>
        <w:ind w:left="408" w:hanging="357"/>
        <w:spacing w:line="360" w:lineRule="auto"/>
        <w:rPr>
          <w:rFonts w:ascii="仿宋" w:hAnsi="仿宋" w:eastAsia="仿宋"/>
          <w:highlight w:val="none"/>
        </w:rPr>
      </w:pPr>
      <w:r>
        <w:rPr>
          <w:rFonts w:hint="eastAsia" w:ascii="仿宋" w:hAnsi="仿宋" w:eastAsia="仿宋" w:cs="Courier New"/>
          <w:bCs/>
          <w:highlight w:val="none"/>
        </w:rPr>
        <w:t xml:space="preserve">6.3.4 出现本合同第6.2.4条、第十七条约定情形之一，或者乙方未按约定返还预付款的，甲方有权凭预付款保函向出具机构索赔，索赔金额以未返还的预付款本金及相应资金占用损失为限。</w:t>
      </w:r>
      <w:r/>
    </w:p>
    <w:p>
      <w:pPr>
        <w:ind w:left="408" w:hanging="357"/>
        <w:spacing w:line="360" w:lineRule="auto"/>
        <w:rPr>
          <w:rFonts w:ascii="仿宋" w:hAnsi="仿宋" w:eastAsia="仿宋"/>
          <w:highlight w:val="none"/>
        </w:rPr>
      </w:pPr>
      <w:r>
        <w:rPr>
          <w:rFonts w:hint="eastAsia" w:ascii="仿宋" w:hAnsi="仿宋" w:eastAsia="仿宋" w:cs="Courier New"/>
          <w:bCs/>
          <w:highlight w:val="none"/>
        </w:rPr>
        <w:t xml:space="preserve">6.3.5 甲方在满足退还条件后逾期退还预付款保函的，每逾期一日按预付款金额的0.05%向乙方支付违约金；因乙方原因或者不可抗力导致延误的除外。</w:t>
      </w:r>
      <w:r/>
    </w:p>
    <w:p>
      <w:pPr>
        <w:pStyle w:val="719"/>
        <w:ind w:firstLine="480"/>
        <w:tabs>
          <w:tab w:val="left" w:pos="210" w:leader="none"/>
        </w:tabs>
        <w:rPr>
          <w:rFonts w:ascii="仿宋" w:hAnsi="仿宋" w:eastAsia="仿宋"/>
          <w:highlight w:val="none"/>
        </w:rPr>
      </w:pPr>
      <w:r>
        <w:rPr>
          <w:rFonts w:hint="eastAsia" w:ascii="仿宋" w:hAnsi="仿宋" w:eastAsia="仿宋" w:cs="Times New Roman"/>
          <w:highlight w:val="none"/>
        </w:rPr>
        <w:t xml:space="preserve">七、合同转包或分包</w:t>
      </w:r>
      <w:r/>
    </w:p>
    <w:p>
      <w:pPr>
        <w:spacing w:line="360" w:lineRule="auto"/>
        <w:rPr>
          <w:rFonts w:ascii="仿宋" w:hAnsi="仿宋" w:eastAsia="仿宋"/>
          <w:bCs/>
          <w:highlight w:val="none"/>
        </w:rPr>
      </w:pPr>
      <w:r>
        <w:rPr>
          <w:rFonts w:ascii="仿宋" w:hAnsi="仿宋" w:eastAsia="仿宋"/>
          <w:bCs/>
          <w:highlight w:val="none"/>
        </w:rPr>
        <w:t xml:space="preserve">7.1</w:t>
      </w:r>
      <w:r>
        <w:rPr>
          <w:rFonts w:hint="eastAsia" w:ascii="仿宋" w:hAnsi="仿宋" w:eastAsia="仿宋"/>
          <w:bCs/>
          <w:highlight w:val="none"/>
        </w:rPr>
        <w:t xml:space="preserve">乙方如有未经甲方同意的转包或分包行为，甲方有权给予终止合同。</w:t>
      </w:r>
      <w:r/>
    </w:p>
    <w:p>
      <w:pPr>
        <w:pStyle w:val="719"/>
        <w:ind w:firstLine="480"/>
        <w:tabs>
          <w:tab w:val="left" w:pos="210" w:leader="none"/>
        </w:tabs>
        <w:rPr>
          <w:rFonts w:ascii="仿宋" w:hAnsi="仿宋" w:eastAsia="仿宋" w:cs="Times New Roman"/>
          <w:highlight w:val="none"/>
        </w:rPr>
      </w:pPr>
      <w:r>
        <w:rPr>
          <w:rFonts w:hint="eastAsia" w:ascii="仿宋" w:hAnsi="仿宋" w:eastAsia="仿宋" w:cs="Times New Roman"/>
          <w:highlight w:val="none"/>
        </w:rPr>
        <w:t xml:space="preserve">八、合同款项支付</w:t>
      </w:r>
      <w:r/>
    </w:p>
    <w:p>
      <w:pPr>
        <w:pStyle w:val="861"/>
        <w:ind w:firstLine="0"/>
        <w:spacing w:line="360" w:lineRule="auto"/>
        <w:rPr>
          <w:rFonts w:ascii="仿宋" w:hAnsi="仿宋" w:eastAsia="仿宋" w:cs="Courier New"/>
          <w:bCs/>
          <w:highlight w:val="none"/>
        </w:rPr>
      </w:pPr>
      <w:r>
        <w:rPr>
          <w:rFonts w:hint="eastAsia" w:ascii="仿宋" w:hAnsi="仿宋" w:eastAsia="仿宋" w:cs="Courier New"/>
          <w:bCs/>
          <w:highlight w:val="none"/>
        </w:rPr>
        <w:t xml:space="preserve">8</w:t>
      </w:r>
      <w:r>
        <w:rPr>
          <w:rFonts w:ascii="仿宋" w:hAnsi="仿宋" w:eastAsia="仿宋" w:cs="Courier New"/>
          <w:bCs/>
          <w:highlight w:val="none"/>
        </w:rPr>
        <w:t xml:space="preserve">.1</w:t>
      </w:r>
      <w:r>
        <w:rPr>
          <w:rFonts w:hint="eastAsia" w:ascii="仿宋" w:hAnsi="仿宋" w:eastAsia="仿宋" w:cs="Courier New"/>
          <w:bCs/>
          <w:highlight w:val="none"/>
        </w:rPr>
        <w:t xml:space="preserve">合同款项的支付方式及进度安排</w:t>
      </w:r>
      <w:r/>
    </w:p>
    <w:p>
      <w:pPr>
        <w:ind w:firstLine="420"/>
        <w:spacing w:line="360" w:lineRule="auto"/>
        <w:rPr>
          <w:rFonts w:ascii="仿宋" w:hAnsi="仿宋" w:eastAsia="仿宋"/>
          <w:highlight w:val="none"/>
        </w:rPr>
      </w:pPr>
      <w:r>
        <w:rPr>
          <w:rFonts w:ascii="仿宋" w:hAnsi="仿宋" w:eastAsia="仿宋"/>
          <w:highlight w:val="none"/>
        </w:rPr>
        <w:t xml:space="preserve">本项目分三期支付，所有付款前提：</w:t>
      </w:r>
      <w:r>
        <w:rPr>
          <w:rFonts w:ascii="仿宋" w:hAnsi="仿宋" w:eastAsia="仿宋"/>
          <w:highlight w:val="none"/>
        </w:rPr>
        <w:t xml:space="preserve">中标人</w:t>
      </w:r>
      <w:r>
        <w:rPr>
          <w:rFonts w:hint="eastAsia" w:ascii="仿宋" w:hAnsi="仿宋" w:eastAsia="仿宋"/>
          <w:highlight w:val="none"/>
          <w:lang w:val="en-US" w:eastAsia="zh-CN"/>
        </w:rPr>
        <w:t xml:space="preserve">履行合同约定、</w:t>
      </w:r>
      <w:r>
        <w:rPr>
          <w:rFonts w:ascii="仿宋" w:hAnsi="仿宋" w:eastAsia="仿宋"/>
          <w:highlight w:val="none"/>
        </w:rPr>
        <w:t xml:space="preserve">提交对应金额合法、有效的等额增值税发票及配套付款资料，采购人资料审核无误后启动支付。</w:t>
      </w:r>
      <w:r/>
    </w:p>
    <w:p>
      <w:pPr>
        <w:ind w:firstLine="420"/>
        <w:spacing w:line="360" w:lineRule="auto"/>
        <w:rPr>
          <w:rFonts w:ascii="仿宋" w:hAnsi="仿宋" w:eastAsia="仿宋"/>
          <w:highlight w:val="none"/>
        </w:rPr>
      </w:pPr>
      <w:r>
        <w:rPr>
          <w:rFonts w:hint="eastAsia" w:ascii="仿宋" w:hAnsi="仿宋" w:eastAsia="仿宋"/>
          <w:highlight w:val="none"/>
        </w:rPr>
        <w:t xml:space="preserve">本合同项下款项，由甲方通过银行转账方式，支付至本合同第八条列明的乙方收款账户。</w:t>
      </w:r>
      <w:r/>
    </w:p>
    <w:p>
      <w:pPr>
        <w:spacing w:line="360" w:lineRule="auto"/>
        <w:rPr>
          <w:rFonts w:ascii="仿宋" w:hAnsi="仿宋" w:eastAsia="仿宋"/>
          <w:highlight w:val="none"/>
        </w:rPr>
      </w:pPr>
      <w:r>
        <w:rPr>
          <w:rFonts w:ascii="仿宋" w:hAnsi="仿宋" w:eastAsia="仿宋"/>
          <w:highlight w:val="none"/>
        </w:rPr>
        <w:t xml:space="preserve">8.1.1.第一期（预付款）</w:t>
      </w:r>
      <w:r/>
    </w:p>
    <w:p>
      <w:pPr>
        <w:ind w:firstLine="420"/>
        <w:spacing w:line="360" w:lineRule="auto"/>
        <w:rPr>
          <w:rFonts w:ascii="仿宋" w:hAnsi="仿宋" w:eastAsia="仿宋"/>
          <w:highlight w:val="none"/>
        </w:rPr>
      </w:pPr>
      <w:r>
        <w:rPr>
          <w:rFonts w:ascii="仿宋" w:hAnsi="仿宋" w:eastAsia="仿宋"/>
          <w:highlight w:val="none"/>
        </w:rPr>
        <w:t xml:space="preserve">合同签订生效，乙方提交与预付款等额、合法有效的增值税发票，并同时提交合同总价30%的预付款保函后30个工作日内，甲方支付合同总价30%预付款。预付款保函的具体要求见本合同第6.3条。</w:t>
      </w:r>
      <w:r/>
    </w:p>
    <w:p>
      <w:pPr>
        <w:spacing w:line="360" w:lineRule="auto"/>
        <w:rPr>
          <w:rFonts w:ascii="仿宋" w:hAnsi="仿宋" w:eastAsia="仿宋"/>
          <w:highlight w:val="none"/>
        </w:rPr>
      </w:pPr>
      <w:r>
        <w:rPr>
          <w:rFonts w:ascii="仿宋" w:hAnsi="仿宋" w:eastAsia="仿宋"/>
          <w:highlight w:val="none"/>
        </w:rPr>
        <w:t xml:space="preserve">8.1.2.第二期（初验进度款）</w:t>
      </w:r>
      <w:r/>
    </w:p>
    <w:p>
      <w:pPr>
        <w:ind w:firstLine="420"/>
        <w:spacing w:line="360" w:lineRule="auto"/>
        <w:rPr>
          <w:rFonts w:ascii="仿宋" w:hAnsi="仿宋" w:eastAsia="仿宋"/>
          <w:highlight w:val="none"/>
        </w:rPr>
      </w:pPr>
      <w:r>
        <w:rPr>
          <w:rFonts w:ascii="仿宋" w:hAnsi="仿宋" w:eastAsia="仿宋"/>
          <w:highlight w:val="none"/>
        </w:rPr>
        <w:t xml:space="preserve">项目完成全部到货、安装调试，通过初步验收并出具初验报告；甲方足额收到乙方对应金额增值税发票、全套初验资料后30个工作日内，累计支付至合同总价50%（其中预付款30%在本期全额抵扣）。甲方应在本期款项支付完成后5个工作日内退还预付款保函原件，或者出具解除保函责任的书面确认。</w:t>
      </w:r>
      <w:r/>
    </w:p>
    <w:p>
      <w:pPr>
        <w:spacing w:line="360" w:lineRule="auto"/>
        <w:rPr>
          <w:rFonts w:ascii="仿宋" w:hAnsi="仿宋" w:eastAsia="仿宋"/>
          <w:highlight w:val="none"/>
        </w:rPr>
      </w:pPr>
      <w:r>
        <w:rPr>
          <w:rFonts w:ascii="仿宋" w:hAnsi="仿宋" w:eastAsia="仿宋"/>
          <w:highlight w:val="none"/>
        </w:rPr>
        <w:t xml:space="preserve">8.1.3.第三期（终验余款）</w:t>
      </w:r>
      <w:r/>
    </w:p>
    <w:p>
      <w:pPr>
        <w:ind w:firstLine="420"/>
        <w:spacing w:line="360" w:lineRule="auto"/>
        <w:rPr>
          <w:rFonts w:ascii="仿宋" w:hAnsi="仿宋" w:eastAsia="仿宋"/>
          <w:highlight w:val="none"/>
        </w:rPr>
      </w:pPr>
      <w:r>
        <w:rPr>
          <w:rFonts w:ascii="仿宋" w:hAnsi="仿宋" w:eastAsia="仿宋"/>
          <w:highlight w:val="none"/>
        </w:rPr>
        <w:t xml:space="preserve">项目六个月试运行期满，顺利通过最终验收并出具终验报告；采购人足额收到中标人剩余金额增值税发票及全套终验归档资料后30个工作日内，付清剩余50%合同价款，合同款项100%结清；履约保证金按本合同第6.2条约定退还。</w:t>
      </w:r>
      <w:r/>
    </w:p>
    <w:p>
      <w:pPr>
        <w:spacing w:line="360" w:lineRule="auto"/>
        <w:rPr>
          <w:rFonts w:ascii="仿宋" w:hAnsi="仿宋" w:eastAsia="仿宋" w:cs="Courier New"/>
          <w:bCs/>
          <w:highlight w:val="none"/>
        </w:rPr>
      </w:pPr>
      <w:r>
        <w:rPr>
          <w:rFonts w:hint="eastAsia" w:ascii="仿宋" w:hAnsi="仿宋" w:eastAsia="仿宋" w:cs="Courier New"/>
          <w:bCs/>
          <w:highlight w:val="none"/>
        </w:rPr>
        <w:t xml:space="preserve">8</w:t>
      </w:r>
      <w:r>
        <w:rPr>
          <w:rFonts w:ascii="仿宋" w:hAnsi="仿宋" w:eastAsia="仿宋" w:cs="Courier New"/>
          <w:bCs/>
          <w:highlight w:val="none"/>
        </w:rPr>
        <w:t xml:space="preserve">.2</w:t>
      </w:r>
      <w:r>
        <w:rPr>
          <w:rFonts w:hint="eastAsia" w:ascii="仿宋" w:hAnsi="仿宋" w:eastAsia="仿宋" w:cs="Courier New"/>
          <w:bCs/>
          <w:highlight w:val="none"/>
        </w:rPr>
        <w:t xml:space="preserve">本项目总价款</w:t>
      </w:r>
      <w:r/>
    </w:p>
    <w:p>
      <w:pPr>
        <w:ind w:firstLine="420"/>
        <w:spacing w:line="360" w:lineRule="auto"/>
        <w:rPr>
          <w:rFonts w:ascii="仿宋" w:hAnsi="仿宋" w:eastAsia="仿宋"/>
          <w:highlight w:val="none"/>
        </w:rPr>
      </w:pPr>
      <w:r>
        <w:rPr>
          <w:rFonts w:hint="eastAsia" w:ascii="仿宋" w:hAnsi="仿宋" w:eastAsia="仿宋"/>
          <w:highlight w:val="none"/>
        </w:rPr>
        <w:t xml:space="preserve">包含但不限于设备费、软件/平台系统费、安装调试费、人员培训费用等直至本合同内所建设功能完全实现的一切费用。在本合同履行期间，该价格不受市场任何因素影响。</w:t>
      </w:r>
      <w:r/>
    </w:p>
    <w:p>
      <w:pPr>
        <w:ind w:firstLine="422"/>
        <w:spacing w:line="360" w:lineRule="auto"/>
        <w:rPr>
          <w:rFonts w:ascii="仿宋" w:hAnsi="仿宋" w:eastAsia="仿宋"/>
          <w:b/>
          <w:bCs/>
          <w:highlight w:val="none"/>
        </w:rPr>
      </w:pPr>
      <w:r>
        <w:rPr>
          <w:rFonts w:hint="eastAsia" w:ascii="仿宋" w:hAnsi="仿宋" w:eastAsia="仿宋"/>
          <w:b/>
          <w:bCs/>
          <w:highlight w:val="none"/>
          <w:lang w:bidi="ar"/>
        </w:rPr>
        <w:t xml:space="preserve">乙方收款账户</w:t>
      </w:r>
      <w:r/>
    </w:p>
    <w:p>
      <w:pPr>
        <w:ind w:firstLine="420"/>
        <w:spacing w:line="360" w:lineRule="auto"/>
        <w:rPr>
          <w:rFonts w:ascii="仿宋" w:hAnsi="仿宋" w:eastAsia="仿宋"/>
          <w:highlight w:val="none"/>
        </w:rPr>
      </w:pPr>
      <w:r>
        <w:rPr>
          <w:rFonts w:hint="eastAsia" w:ascii="仿宋" w:hAnsi="仿宋" w:eastAsia="仿宋"/>
          <w:highlight w:val="none"/>
          <w:lang w:bidi="ar"/>
        </w:rPr>
        <w:t xml:space="preserve">户</w:t>
      </w:r>
      <w:r>
        <w:rPr>
          <w:rFonts w:ascii="仿宋" w:hAnsi="仿宋" w:eastAsia="仿宋" w:cs="Times New Roman"/>
          <w:highlight w:val="none"/>
          <w:lang w:bidi="ar"/>
        </w:rPr>
        <w:t xml:space="preserve">  </w:t>
      </w:r>
      <w:r>
        <w:rPr>
          <w:rFonts w:hint="eastAsia" w:ascii="仿宋" w:hAnsi="仿宋" w:eastAsia="仿宋"/>
          <w:highlight w:val="none"/>
          <w:lang w:bidi="ar"/>
        </w:rPr>
        <w:t xml:space="preserve">名：</w:t>
      </w:r>
      <w:r>
        <w:rPr>
          <w:rFonts w:ascii="仿宋" w:hAnsi="仿宋" w:eastAsia="仿宋" w:cs="Times New Roman"/>
          <w:highlight w:val="none"/>
          <w:lang w:bidi="ar"/>
        </w:rPr>
        <w:t xml:space="preserve"> </w:t>
      </w:r>
      <w:r/>
    </w:p>
    <w:p>
      <w:pPr>
        <w:ind w:firstLine="420"/>
        <w:spacing w:line="360" w:lineRule="auto"/>
        <w:rPr>
          <w:rFonts w:ascii="仿宋" w:hAnsi="仿宋" w:eastAsia="仿宋"/>
          <w:highlight w:val="none"/>
        </w:rPr>
      </w:pPr>
      <w:r>
        <w:rPr>
          <w:rFonts w:hint="eastAsia" w:ascii="仿宋" w:hAnsi="仿宋" w:eastAsia="仿宋"/>
          <w:highlight w:val="none"/>
          <w:lang w:bidi="ar"/>
        </w:rPr>
        <w:t xml:space="preserve">开户行：</w:t>
      </w:r>
      <w:r>
        <w:rPr>
          <w:rFonts w:ascii="仿宋" w:hAnsi="仿宋" w:eastAsia="仿宋" w:cs="Times New Roman"/>
          <w:highlight w:val="none"/>
          <w:lang w:bidi="ar"/>
        </w:rPr>
        <w:t xml:space="preserve"> </w:t>
      </w:r>
      <w:r/>
    </w:p>
    <w:p>
      <w:pPr>
        <w:ind w:firstLine="420"/>
        <w:spacing w:line="360" w:lineRule="auto"/>
        <w:rPr>
          <w:rFonts w:ascii="仿宋" w:hAnsi="仿宋" w:eastAsia="仿宋"/>
          <w:highlight w:val="none"/>
        </w:rPr>
      </w:pPr>
      <w:r>
        <w:rPr>
          <w:rFonts w:hint="eastAsia" w:ascii="仿宋" w:hAnsi="仿宋" w:eastAsia="仿宋"/>
          <w:highlight w:val="none"/>
          <w:lang w:bidi="ar"/>
        </w:rPr>
        <w:t xml:space="preserve">银行账号：</w:t>
      </w:r>
      <w:r/>
    </w:p>
    <w:p>
      <w:pPr>
        <w:ind w:firstLine="422"/>
        <w:spacing w:line="360" w:lineRule="auto"/>
        <w:rPr>
          <w:rFonts w:ascii="仿宋" w:hAnsi="仿宋" w:eastAsia="仿宋"/>
          <w:b/>
          <w:bCs/>
          <w:highlight w:val="none"/>
        </w:rPr>
      </w:pPr>
      <w:r>
        <w:rPr>
          <w:rFonts w:hint="eastAsia" w:ascii="仿宋" w:hAnsi="仿宋" w:eastAsia="仿宋"/>
          <w:b/>
          <w:bCs/>
          <w:highlight w:val="none"/>
          <w:lang w:bidi="ar"/>
        </w:rPr>
        <w:t xml:space="preserve">甲方开票信息</w:t>
      </w:r>
      <w:r/>
    </w:p>
    <w:p>
      <w:pPr>
        <w:ind w:firstLine="420"/>
        <w:spacing w:line="360" w:lineRule="auto"/>
        <w:rPr>
          <w:rFonts w:ascii="仿宋" w:hAnsi="仿宋" w:eastAsia="仿宋"/>
          <w:highlight w:val="none"/>
        </w:rPr>
      </w:pPr>
      <w:r>
        <w:rPr>
          <w:rFonts w:hint="eastAsia" w:ascii="仿宋" w:hAnsi="仿宋" w:eastAsia="仿宋"/>
          <w:highlight w:val="none"/>
          <w:lang w:bidi="ar"/>
        </w:rPr>
        <w:t xml:space="preserve">开户行：建设银行南通崇川支行</w:t>
      </w:r>
      <w:r>
        <w:rPr>
          <w:rFonts w:ascii="仿宋" w:hAnsi="仿宋" w:eastAsia="仿宋" w:cs="Times New Roman"/>
          <w:highlight w:val="none"/>
          <w:lang w:bidi="ar"/>
        </w:rPr>
        <w:t xml:space="preserve"> </w:t>
      </w:r>
      <w:r/>
    </w:p>
    <w:p>
      <w:pPr>
        <w:ind w:firstLine="420"/>
        <w:spacing w:line="360" w:lineRule="auto"/>
        <w:rPr>
          <w:rFonts w:hint="eastAsia" w:ascii="仿宋" w:hAnsi="仿宋" w:eastAsia="仿宋"/>
          <w:highlight w:val="none"/>
          <w:lang w:bidi="ar"/>
        </w:rPr>
      </w:pPr>
      <w:r>
        <w:rPr>
          <w:rFonts w:hint="eastAsia" w:ascii="仿宋" w:hAnsi="仿宋" w:eastAsia="仿宋"/>
          <w:highlight w:val="none"/>
          <w:lang w:bidi="ar"/>
        </w:rPr>
        <w:t xml:space="preserve">银行账号：32001642736052505622</w:t>
      </w:r>
      <w:r/>
    </w:p>
    <w:p>
      <w:pPr>
        <w:ind w:firstLine="420"/>
        <w:spacing w:line="360" w:lineRule="auto"/>
        <w:rPr>
          <w:rFonts w:hint="eastAsia" w:ascii="仿宋" w:hAnsi="仿宋" w:eastAsia="仿宋"/>
          <w:highlight w:val="none"/>
          <w:lang w:bidi="ar"/>
        </w:rPr>
      </w:pPr>
      <w:r>
        <w:rPr>
          <w:rFonts w:hint="eastAsia" w:ascii="仿宋" w:hAnsi="仿宋" w:eastAsia="仿宋"/>
          <w:highlight w:val="none"/>
          <w:lang w:bidi="ar"/>
        </w:rPr>
        <w:t xml:space="preserve">统一社会信用代码：12320000466002649L</w:t>
      </w:r>
      <w:r/>
    </w:p>
    <w:p>
      <w:pPr>
        <w:pStyle w:val="719"/>
        <w:ind w:firstLine="480"/>
        <w:tabs>
          <w:tab w:val="left" w:pos="210" w:leader="none"/>
        </w:tabs>
        <w:rPr>
          <w:rFonts w:ascii="仿宋" w:hAnsi="仿宋" w:eastAsia="仿宋"/>
          <w:highlight w:val="none"/>
        </w:rPr>
      </w:pPr>
      <w:r>
        <w:rPr>
          <w:rFonts w:hint="eastAsia" w:ascii="仿宋" w:hAnsi="仿宋" w:eastAsia="仿宋" w:cs="Times New Roman"/>
          <w:highlight w:val="none"/>
        </w:rPr>
        <w:t xml:space="preserve">九、税费</w:t>
      </w:r>
      <w:r/>
    </w:p>
    <w:p>
      <w:pPr>
        <w:spacing w:line="360" w:lineRule="auto"/>
        <w:rPr>
          <w:rFonts w:ascii="仿宋" w:hAnsi="仿宋" w:eastAsia="仿宋"/>
          <w:bCs/>
          <w:highlight w:val="none"/>
        </w:rPr>
      </w:pPr>
      <w:r>
        <w:rPr>
          <w:rFonts w:hint="eastAsia" w:ascii="仿宋" w:hAnsi="仿宋" w:eastAsia="仿宋"/>
          <w:bCs/>
          <w:highlight w:val="none"/>
        </w:rPr>
        <w:t xml:space="preserve">9</w:t>
      </w:r>
      <w:r>
        <w:rPr>
          <w:rFonts w:ascii="仿宋" w:hAnsi="仿宋" w:eastAsia="仿宋"/>
          <w:bCs/>
          <w:highlight w:val="none"/>
        </w:rPr>
        <w:t xml:space="preserve">.1</w:t>
      </w:r>
      <w:r>
        <w:rPr>
          <w:rFonts w:hint="eastAsia" w:ascii="仿宋" w:hAnsi="仿宋" w:eastAsia="仿宋"/>
          <w:bCs/>
          <w:highlight w:val="none"/>
        </w:rPr>
        <w:t xml:space="preserve">本合同执行中相关的一切税费均由乙方负担。</w:t>
      </w:r>
      <w:r/>
    </w:p>
    <w:p>
      <w:pPr>
        <w:pStyle w:val="719"/>
        <w:ind w:firstLine="480"/>
        <w:tabs>
          <w:tab w:val="left" w:pos="210" w:leader="none"/>
        </w:tabs>
        <w:rPr>
          <w:rFonts w:ascii="仿宋" w:hAnsi="仿宋" w:eastAsia="仿宋"/>
          <w:highlight w:val="none"/>
        </w:rPr>
      </w:pPr>
      <w:r>
        <w:rPr>
          <w:rFonts w:hint="eastAsia" w:ascii="仿宋" w:hAnsi="仿宋" w:eastAsia="仿宋" w:cs="Times New Roman"/>
          <w:highlight w:val="none"/>
        </w:rPr>
        <w:t xml:space="preserve">十、质保服务范围和保修期及售后服务</w:t>
      </w:r>
      <w:r/>
    </w:p>
    <w:p>
      <w:pPr>
        <w:ind w:left="410" w:hanging="359"/>
        <w:spacing w:line="360" w:lineRule="auto"/>
        <w:rPr>
          <w:rFonts w:ascii="仿宋" w:hAnsi="仿宋" w:eastAsia="仿宋" w:cs="Courier New"/>
          <w:bCs/>
          <w:highlight w:val="none"/>
        </w:rPr>
      </w:pPr>
      <w:r>
        <w:rPr>
          <w:rFonts w:ascii="仿宋" w:hAnsi="仿宋" w:eastAsia="仿宋" w:cs="Courier New"/>
          <w:bCs/>
          <w:highlight w:val="none"/>
        </w:rPr>
        <w:t xml:space="preserve">1</w:t>
      </w:r>
      <w:r>
        <w:rPr>
          <w:rFonts w:hint="eastAsia" w:ascii="仿宋" w:hAnsi="仿宋" w:eastAsia="仿宋" w:cs="Courier New"/>
          <w:bCs/>
          <w:highlight w:val="none"/>
        </w:rPr>
        <w:t xml:space="preserve">0</w:t>
      </w:r>
      <w:r>
        <w:rPr>
          <w:rFonts w:ascii="仿宋" w:hAnsi="仿宋" w:eastAsia="仿宋" w:cs="Courier New"/>
          <w:bCs/>
          <w:highlight w:val="none"/>
        </w:rPr>
        <w:t xml:space="preserve">.1乙方应按招标文件规定的货物性能、技术要求、质量标准向甲方提供产品。</w:t>
      </w:r>
      <w:r/>
    </w:p>
    <w:p>
      <w:pPr>
        <w:ind w:left="410" w:hanging="359"/>
        <w:jc w:val="both"/>
        <w:spacing w:line="360" w:lineRule="auto"/>
        <w:rPr>
          <w:rFonts w:ascii="仿宋" w:hAnsi="仿宋" w:eastAsia="仿宋" w:cs="Courier New"/>
          <w:bCs/>
          <w:highlight w:val="none"/>
        </w:rPr>
      </w:pPr>
      <w:r>
        <w:rPr>
          <w:rFonts w:hint="eastAsia" w:ascii="仿宋" w:hAnsi="仿宋" w:eastAsia="仿宋" w:cs="Courier New"/>
          <w:bCs/>
          <w:highlight w:val="none"/>
        </w:rPr>
        <w:t xml:space="preserve">10.</w:t>
      </w:r>
      <w:r>
        <w:rPr>
          <w:rFonts w:ascii="仿宋" w:hAnsi="仿宋" w:eastAsia="仿宋" w:cs="Courier New"/>
          <w:bCs/>
          <w:highlight w:val="none"/>
        </w:rPr>
        <w:t xml:space="preserve">2</w:t>
      </w:r>
      <w:r>
        <w:rPr>
          <w:rFonts w:hint="eastAsia" w:ascii="仿宋" w:hAnsi="仿宋" w:eastAsia="仿宋" w:cs="Courier New"/>
          <w:bCs/>
          <w:highlight w:val="none"/>
        </w:rPr>
        <w:t xml:space="preserve">质保服务的内容：</w:t>
      </w:r>
      <w:r>
        <w:rPr>
          <w:rFonts w:hint="eastAsia" w:ascii="仿宋" w:hAnsi="仿宋" w:eastAsia="仿宋" w:cs="Courier New"/>
          <w:bCs/>
          <w:highlight w:val="none"/>
        </w:rPr>
        <w:t xml:space="preserve">提供3年软硬件免费维保及技术支持服务，质保期自初步验收合格之日起算</w:t>
      </w:r>
      <w:r>
        <w:rPr>
          <w:rFonts w:ascii="仿宋" w:hAnsi="仿宋" w:eastAsia="仿宋" w:cs="Courier New"/>
          <w:bCs/>
          <w:highlight w:val="none"/>
        </w:rPr>
        <w:t xml:space="preserve">。</w:t>
      </w:r>
      <w:r>
        <w:rPr>
          <w:rFonts w:ascii="仿宋" w:hAnsi="仿宋" w:eastAsia="仿宋" w:cs="Courier New"/>
          <w:bCs/>
          <w:highlight w:val="none"/>
        </w:rPr>
        <w:t xml:space="preserve">免费维保期内，因货物质量问题导致的各种故障的技术服务及维修所产生的一切费用由中标人负责承担。免费维保</w:t>
      </w:r>
      <w:r>
        <w:rPr>
          <w:rFonts w:ascii="仿宋" w:hAnsi="仿宋" w:eastAsia="仿宋" w:cs="Courier New"/>
          <w:bCs/>
          <w:highlight w:val="none"/>
        </w:rPr>
        <w:t xml:space="preserve">期内，中标人为本项目中所有设备提供质保服务、软件升级服务、全免费上门主动服务和应急服务等，按照月度提供巡检服务，采购人不再另外付费。中标人提供7×24小时售后服务，对于现场应急服务应立即响应，10分钟内电话或者远程技术支持；若采购人要求现场服务的，专业技术人员需在2小时内到达现场；硬件设备维修和替换至少实现4小时内解决、关键设备2小时内解决。免费维保期内中标人提供所有软件（包括大、小版本等）的升级，不得以任何借口收取任何升级费用。如遇重大节日或采购人认为的重要时期，需按采购人指定要求进行特殊时期的保障服务。</w:t>
      </w:r>
      <w:r/>
    </w:p>
    <w:p>
      <w:pPr>
        <w:ind w:left="410" w:hanging="359"/>
        <w:spacing w:line="360" w:lineRule="auto"/>
        <w:rPr>
          <w:rFonts w:ascii="仿宋" w:hAnsi="仿宋" w:eastAsia="仿宋" w:cs="Courier New"/>
          <w:bCs/>
          <w:highlight w:val="none"/>
        </w:rPr>
      </w:pPr>
      <w:r>
        <w:rPr>
          <w:rFonts w:hint="eastAsia" w:ascii="仿宋" w:hAnsi="仿宋" w:eastAsia="仿宋" w:cs="Courier New"/>
          <w:bCs/>
          <w:highlight w:val="none"/>
        </w:rPr>
        <w:t xml:space="preserve">10.</w:t>
      </w:r>
      <w:r>
        <w:rPr>
          <w:rFonts w:ascii="仿宋" w:hAnsi="仿宋" w:eastAsia="仿宋" w:cs="Courier New"/>
          <w:bCs/>
          <w:highlight w:val="none"/>
        </w:rPr>
        <w:t xml:space="preserve">3</w:t>
      </w:r>
      <w:r>
        <w:rPr>
          <w:rFonts w:hint="eastAsia" w:ascii="仿宋" w:hAnsi="仿宋" w:eastAsia="仿宋" w:cs="Courier New"/>
          <w:bCs/>
          <w:highlight w:val="none"/>
        </w:rPr>
        <w:t xml:space="preserve">质保期结束后的年度维护费：≤成交金额的6%。</w:t>
      </w:r>
      <w:r/>
    </w:p>
    <w:p>
      <w:pPr>
        <w:ind w:left="410" w:hanging="359"/>
        <w:spacing w:line="360" w:lineRule="auto"/>
        <w:rPr>
          <w:rFonts w:ascii="仿宋" w:hAnsi="仿宋" w:eastAsia="仿宋" w:cs="Courier New"/>
          <w:bCs/>
          <w:highlight w:val="none"/>
        </w:rPr>
      </w:pPr>
      <w:r>
        <w:rPr>
          <w:rFonts w:hint="eastAsia" w:ascii="仿宋" w:hAnsi="仿宋" w:eastAsia="仿宋" w:cs="Courier New"/>
          <w:bCs/>
          <w:highlight w:val="none"/>
        </w:rPr>
        <w:t xml:space="preserve">10.</w:t>
      </w:r>
      <w:r>
        <w:rPr>
          <w:rFonts w:ascii="仿宋" w:hAnsi="仿宋" w:eastAsia="仿宋" w:cs="Courier New"/>
          <w:bCs/>
          <w:highlight w:val="none"/>
        </w:rPr>
        <w:t xml:space="preserve">4</w:t>
      </w:r>
      <w:r>
        <w:rPr>
          <w:rFonts w:hint="eastAsia" w:ascii="仿宋" w:hAnsi="仿宋" w:eastAsia="仿宋" w:cs="Courier New"/>
          <w:bCs/>
          <w:highlight w:val="none"/>
        </w:rPr>
        <w:t xml:space="preserve">系统完成整体验收并交付后，乙方应提供一支专业、高效、熟悉医院信息化系统项目且有一定的开发维护经验的团队进行售后维护服务。</w:t>
      </w:r>
      <w:r/>
    </w:p>
    <w:p>
      <w:pPr>
        <w:ind w:left="410" w:hanging="359"/>
        <w:spacing w:line="360" w:lineRule="auto"/>
        <w:rPr>
          <w:rFonts w:ascii="仿宋" w:hAnsi="仿宋" w:eastAsia="仿宋" w:cs="Courier New"/>
          <w:bCs/>
          <w:highlight w:val="none"/>
        </w:rPr>
      </w:pPr>
      <w:r>
        <w:rPr>
          <w:rFonts w:hint="eastAsia" w:ascii="仿宋" w:hAnsi="仿宋" w:eastAsia="仿宋" w:cs="Courier New"/>
          <w:bCs/>
          <w:highlight w:val="none"/>
        </w:rPr>
        <w:t xml:space="preserve">10.</w:t>
      </w:r>
      <w:r>
        <w:rPr>
          <w:rFonts w:ascii="仿宋" w:hAnsi="仿宋" w:eastAsia="仿宋" w:cs="Courier New"/>
          <w:bCs/>
          <w:highlight w:val="none"/>
        </w:rPr>
        <w:t xml:space="preserve">5</w:t>
      </w:r>
      <w:r>
        <w:rPr>
          <w:rFonts w:hint="eastAsia" w:ascii="仿宋" w:hAnsi="仿宋" w:eastAsia="仿宋" w:cs="Courier New"/>
          <w:bCs/>
          <w:highlight w:val="none"/>
        </w:rPr>
        <w:t xml:space="preserve">售后服务和应急响应方案及承诺以投标文件内容为准。</w:t>
      </w:r>
      <w:r/>
    </w:p>
    <w:p>
      <w:pPr>
        <w:pStyle w:val="719"/>
        <w:ind w:firstLine="480"/>
        <w:tabs>
          <w:tab w:val="left" w:pos="210" w:leader="none"/>
        </w:tabs>
        <w:rPr>
          <w:rFonts w:ascii="仿宋" w:hAnsi="仿宋" w:eastAsia="仿宋"/>
          <w:highlight w:val="none"/>
        </w:rPr>
      </w:pPr>
      <w:r>
        <w:rPr>
          <w:rFonts w:hint="eastAsia" w:ascii="仿宋" w:hAnsi="仿宋" w:eastAsia="仿宋" w:cs="Times New Roman"/>
          <w:highlight w:val="none"/>
        </w:rPr>
        <w:t xml:space="preserve">十一、项目实施</w:t>
      </w:r>
      <w:r/>
    </w:p>
    <w:p>
      <w:pPr>
        <w:ind w:left="410" w:hanging="359"/>
        <w:jc w:val="both"/>
        <w:spacing w:line="360" w:lineRule="auto"/>
        <w:rPr>
          <w:rFonts w:ascii="仿宋" w:hAnsi="仿宋" w:eastAsia="仿宋" w:cs="Courier New"/>
          <w:bCs/>
          <w:highlight w:val="none"/>
        </w:rPr>
      </w:pPr>
      <w:r>
        <w:rPr>
          <w:rFonts w:hint="eastAsia" w:ascii="仿宋" w:hAnsi="仿宋" w:eastAsia="仿宋" w:cs="Courier New"/>
          <w:bCs/>
          <w:highlight w:val="none"/>
        </w:rPr>
        <w:t xml:space="preserve">11.1乙方应提供完整的项目实施计划、详细的工作内容安排，经甲方确认后严格按计划执行，并按计划要求交付产品和成果。如需变更必须提出书面的实施计划变更手续。</w:t>
      </w:r>
      <w:r/>
    </w:p>
    <w:p>
      <w:pPr>
        <w:ind w:left="410" w:hanging="359"/>
        <w:jc w:val="both"/>
        <w:spacing w:line="360" w:lineRule="auto"/>
        <w:rPr>
          <w:rFonts w:ascii="仿宋" w:hAnsi="仿宋" w:eastAsia="仿宋" w:cs="Courier New"/>
          <w:bCs/>
          <w:highlight w:val="none"/>
        </w:rPr>
      </w:pPr>
      <w:r>
        <w:rPr>
          <w:rFonts w:hint="eastAsia" w:ascii="仿宋" w:hAnsi="仿宋" w:eastAsia="仿宋" w:cs="Courier New"/>
          <w:bCs/>
          <w:highlight w:val="none"/>
        </w:rPr>
        <w:t xml:space="preserve">11.3乙方应在项目实施方案中提供项目组成员名单，并详细描述项目组成员的技术能力、项目履历、工作职责和具体工作内容等。</w:t>
      </w:r>
      <w:r/>
    </w:p>
    <w:p>
      <w:pPr>
        <w:ind w:left="410" w:hanging="359"/>
        <w:jc w:val="both"/>
        <w:spacing w:line="360" w:lineRule="auto"/>
        <w:rPr>
          <w:rFonts w:ascii="仿宋" w:hAnsi="仿宋" w:eastAsia="仿宋" w:cs="Courier New"/>
          <w:bCs/>
          <w:highlight w:val="none"/>
        </w:rPr>
      </w:pPr>
      <w:r>
        <w:rPr>
          <w:rFonts w:hint="eastAsia" w:ascii="仿宋" w:hAnsi="仿宋" w:eastAsia="仿宋" w:cs="Courier New"/>
          <w:bCs/>
          <w:highlight w:val="none"/>
        </w:rPr>
        <w:t xml:space="preserve">11.4项目实施完成后，乙方应提交一份双方签字的项目实施完成清单。</w:t>
      </w:r>
      <w:r/>
    </w:p>
    <w:p>
      <w:pPr>
        <w:ind w:left="410" w:hanging="359"/>
        <w:jc w:val="both"/>
        <w:spacing w:line="360" w:lineRule="auto"/>
        <w:rPr>
          <w:rFonts w:ascii="仿宋" w:hAnsi="仿宋" w:eastAsia="仿宋" w:cs="Courier New"/>
          <w:bCs/>
          <w:highlight w:val="none"/>
        </w:rPr>
      </w:pPr>
      <w:r>
        <w:rPr>
          <w:rFonts w:hint="eastAsia" w:ascii="仿宋" w:hAnsi="仿宋" w:eastAsia="仿宋" w:cs="Courier New"/>
          <w:bCs/>
          <w:highlight w:val="none"/>
        </w:rPr>
        <w:t xml:space="preserve">11.5</w:t>
      </w:r>
      <w:r>
        <w:rPr>
          <w:rFonts w:ascii="仿宋" w:hAnsi="仿宋" w:eastAsia="仿宋" w:cs="Courier New"/>
          <w:bCs/>
          <w:highlight w:val="none"/>
        </w:rPr>
        <w:t xml:space="preserve">供应商在提供所投设备的同时必须提供对于本次招标软硬件的系统安装、集成服务。供应商负责软硬件安装调试，供应商应具备实施本次项目相应的技术能力，充分了解采购人现状和业务需求，与采购人等相关方充分沟通后，制定详细可行的项目实施方案，对技术方案规划、项目计划与进度、项目质量、风险等进行总体管控与协调，经采购人认可后方可开始实施。</w:t>
      </w:r>
      <w:r/>
    </w:p>
    <w:p>
      <w:pPr>
        <w:ind w:left="410" w:hanging="359"/>
        <w:jc w:val="both"/>
        <w:spacing w:line="360" w:lineRule="auto"/>
        <w:rPr>
          <w:rFonts w:ascii="仿宋" w:hAnsi="仿宋" w:eastAsia="仿宋" w:cs="Courier New"/>
          <w:bCs/>
          <w:highlight w:val="none"/>
        </w:rPr>
      </w:pPr>
      <w:r>
        <w:rPr>
          <w:rFonts w:hint="eastAsia" w:ascii="仿宋" w:hAnsi="仿宋" w:eastAsia="仿宋" w:cs="Courier New"/>
          <w:bCs/>
          <w:highlight w:val="none"/>
        </w:rPr>
        <w:t xml:space="preserve">11.6乙方支持并配合甲方的信创建设要求。</w:t>
      </w:r>
      <w:r/>
    </w:p>
    <w:p>
      <w:pPr>
        <w:pStyle w:val="719"/>
        <w:ind w:firstLine="480"/>
        <w:tabs>
          <w:tab w:val="left" w:pos="210" w:leader="none"/>
        </w:tabs>
        <w:rPr>
          <w:rFonts w:ascii="仿宋" w:hAnsi="仿宋" w:eastAsia="仿宋"/>
          <w:highlight w:val="none"/>
        </w:rPr>
      </w:pPr>
      <w:r>
        <w:rPr>
          <w:rFonts w:hint="eastAsia" w:ascii="仿宋" w:hAnsi="仿宋" w:eastAsia="仿宋" w:cs="Times New Roman"/>
          <w:highlight w:val="none"/>
        </w:rPr>
        <w:t xml:space="preserve">十二、培训要求</w:t>
      </w:r>
      <w:r/>
    </w:p>
    <w:p>
      <w:pPr>
        <w:ind w:left="410" w:hanging="359"/>
        <w:jc w:val="both"/>
        <w:spacing w:line="360" w:lineRule="auto"/>
        <w:rPr>
          <w:rFonts w:ascii="仿宋" w:hAnsi="仿宋" w:eastAsia="仿宋" w:cs="Courier New"/>
          <w:bCs/>
          <w:highlight w:val="none"/>
        </w:rPr>
      </w:pPr>
      <w:r>
        <w:rPr>
          <w:rFonts w:hint="eastAsia" w:ascii="仿宋" w:hAnsi="仿宋" w:eastAsia="仿宋" w:cs="Courier New"/>
          <w:bCs/>
          <w:highlight w:val="none"/>
        </w:rPr>
        <w:t xml:space="preserve">12.1乙方负责提供现场操作、运行、维护等涉及项目后续发展的培训方案及必需的培训资料。</w:t>
      </w:r>
      <w:r/>
    </w:p>
    <w:p>
      <w:pPr>
        <w:ind w:left="410" w:hanging="359"/>
        <w:jc w:val="both"/>
        <w:spacing w:line="360" w:lineRule="auto"/>
        <w:rPr>
          <w:rFonts w:ascii="仿宋" w:hAnsi="仿宋" w:eastAsia="仿宋" w:cs="Courier New"/>
          <w:bCs/>
          <w:highlight w:val="none"/>
        </w:rPr>
      </w:pPr>
      <w:r>
        <w:rPr>
          <w:rFonts w:hint="eastAsia" w:ascii="仿宋" w:hAnsi="仿宋" w:eastAsia="仿宋" w:cs="Courier New"/>
          <w:bCs/>
          <w:highlight w:val="none"/>
        </w:rPr>
        <w:t xml:space="preserve">12.2乙方负责对甲方指定受训人员提供不少于5人天的专项培训，内容包括：容灾控制台日常操作、切换/回切流程、CDP恢复操作、备份管理界面使用、常见故障排查等。直至该等人员能独立进行系统使用、管理、故障处理、日常测试和维护等工作，以保证所建设的系统能够正常、安全、平稳地运行。</w:t>
      </w:r>
      <w:r/>
    </w:p>
    <w:p>
      <w:pPr>
        <w:ind w:left="410" w:hanging="359"/>
        <w:jc w:val="both"/>
        <w:spacing w:line="360" w:lineRule="auto"/>
        <w:rPr>
          <w:rFonts w:ascii="仿宋" w:hAnsi="仿宋" w:eastAsia="仿宋" w:cs="Courier New"/>
          <w:bCs/>
          <w:highlight w:val="none"/>
        </w:rPr>
      </w:pPr>
      <w:r>
        <w:rPr>
          <w:rFonts w:hint="eastAsia" w:ascii="仿宋" w:hAnsi="仿宋" w:eastAsia="仿宋" w:cs="Courier New"/>
          <w:bCs/>
          <w:highlight w:val="none"/>
        </w:rPr>
        <w:t xml:space="preserve">12.3培训费用包含在合同总价内，如果培训地点在外地，乙方应向甲方承诺为所有培训人员提供食宿。</w:t>
      </w:r>
      <w:r/>
    </w:p>
    <w:p>
      <w:pPr>
        <w:pStyle w:val="719"/>
        <w:ind w:firstLine="480"/>
        <w:tabs>
          <w:tab w:val="left" w:pos="210" w:leader="none"/>
        </w:tabs>
        <w:rPr>
          <w:rFonts w:ascii="仿宋" w:hAnsi="仿宋" w:eastAsia="仿宋" w:cs="Times New Roman"/>
          <w:highlight w:val="none"/>
        </w:rPr>
      </w:pPr>
      <w:r>
        <w:rPr>
          <w:rFonts w:hint="eastAsia" w:ascii="仿宋" w:hAnsi="仿宋" w:eastAsia="仿宋" w:cs="Times New Roman"/>
          <w:highlight w:val="none"/>
        </w:rPr>
        <w:t xml:space="preserve">十三、验收要求</w:t>
      </w:r>
      <w:r/>
    </w:p>
    <w:p>
      <w:pPr>
        <w:ind w:firstLine="420"/>
        <w:spacing w:line="360" w:lineRule="auto"/>
        <w:rPr>
          <w:rFonts w:ascii="仿宋" w:hAnsi="仿宋" w:eastAsia="仿宋"/>
          <w:highlight w:val="none"/>
        </w:rPr>
      </w:pPr>
      <w:r>
        <w:rPr>
          <w:rFonts w:ascii="仿宋" w:hAnsi="仿宋" w:eastAsia="仿宋"/>
          <w:highlight w:val="none"/>
        </w:rPr>
        <w:t xml:space="preserve">本项目采用两阶段履约验收，验收依据为本项目招标文件、投标文件、合同、相关国家或行业标准。</w:t>
      </w:r>
      <w:r/>
    </w:p>
    <w:p>
      <w:pPr>
        <w:ind w:firstLine="420"/>
        <w:spacing w:line="360" w:lineRule="auto"/>
        <w:rPr>
          <w:rFonts w:ascii="仿宋" w:hAnsi="仿宋" w:eastAsia="仿宋"/>
          <w:highlight w:val="none"/>
        </w:rPr>
      </w:pPr>
      <w:r>
        <w:rPr>
          <w:rFonts w:ascii="仿宋" w:hAnsi="仿宋" w:eastAsia="仿宋"/>
          <w:highlight w:val="none"/>
        </w:rPr>
        <w:t xml:space="preserve">1.初步验收</w:t>
      </w:r>
      <w:r/>
    </w:p>
    <w:p>
      <w:pPr>
        <w:ind w:firstLine="420"/>
        <w:spacing w:line="360" w:lineRule="auto"/>
        <w:rPr>
          <w:rFonts w:hint="eastAsia" w:ascii="仿宋" w:hAnsi="仿宋" w:eastAsia="仿宋"/>
          <w:highlight w:val="none"/>
        </w:rPr>
      </w:pPr>
      <w:r>
        <w:rPr>
          <w:rFonts w:hint="eastAsia" w:ascii="仿宋" w:hAnsi="仿宋" w:eastAsia="仿宋"/>
          <w:highlight w:val="none"/>
        </w:rPr>
        <w:t xml:space="preserve">全部货物到货、安装调试完成，设备可正常启用，能够实现招标文件约定全部功能。</w:t>
      </w:r>
      <w:r>
        <w:rPr>
          <w:rFonts w:hint="eastAsia" w:ascii="仿宋" w:hAnsi="仿宋" w:eastAsia="仿宋"/>
          <w:highlight w:val="none"/>
          <w:lang w:val="en-US" w:eastAsia="zh-CN"/>
        </w:rPr>
        <w:t xml:space="preserve">乙方</w:t>
      </w:r>
      <w:r>
        <w:rPr>
          <w:rFonts w:hint="eastAsia" w:ascii="仿宋" w:hAnsi="仿宋" w:eastAsia="仿宋"/>
          <w:highlight w:val="none"/>
        </w:rPr>
        <w:t xml:space="preserve">须完整提交货物合格证明、产品说明书、技术手册、设备台账、售后服务方案、培训记录及全套项目技术资料，资料真实完整。</w:t>
      </w:r>
      <w:r>
        <w:rPr>
          <w:rFonts w:hint="eastAsia" w:ascii="仿宋" w:hAnsi="仿宋" w:eastAsia="仿宋"/>
          <w:highlight w:val="none"/>
          <w:lang w:val="en-US" w:eastAsia="zh-CN"/>
        </w:rPr>
        <w:t xml:space="preserve">甲方</w:t>
      </w:r>
      <w:r>
        <w:rPr>
          <w:rFonts w:hint="eastAsia" w:ascii="仿宋" w:hAnsi="仿宋" w:eastAsia="仿宋"/>
          <w:highlight w:val="none"/>
        </w:rPr>
        <w:t xml:space="preserve">组织现场核查，</w:t>
      </w:r>
      <w:r>
        <w:rPr>
          <w:rFonts w:hint="eastAsia" w:ascii="仿宋" w:hAnsi="仿宋" w:eastAsia="仿宋"/>
          <w:highlight w:val="none"/>
          <w:lang w:val="en-US" w:eastAsia="zh-CN"/>
        </w:rPr>
        <w:t xml:space="preserve">乙方</w:t>
      </w:r>
      <w:r>
        <w:rPr>
          <w:rFonts w:hint="eastAsia" w:ascii="仿宋" w:hAnsi="仿宋" w:eastAsia="仿宋"/>
          <w:highlight w:val="none"/>
        </w:rPr>
        <w:t xml:space="preserve">应当予以配合。验收依据为招标文件第三部分技术参数要求、</w:t>
      </w:r>
      <w:r>
        <w:rPr>
          <w:rFonts w:hint="eastAsia" w:ascii="仿宋" w:hAnsi="仿宋" w:eastAsia="仿宋"/>
          <w:highlight w:val="none"/>
          <w:lang w:val="en-US" w:eastAsia="zh-CN"/>
        </w:rPr>
        <w:t xml:space="preserve">乙方</w:t>
      </w:r>
      <w:r>
        <w:rPr>
          <w:rFonts w:hint="eastAsia" w:ascii="仿宋" w:hAnsi="仿宋" w:eastAsia="仿宋"/>
          <w:highlight w:val="none"/>
        </w:rPr>
        <w:t xml:space="preserve">投标文件的响应内容以及相应的国家标准、行业标准。</w:t>
      </w:r>
      <w:r/>
    </w:p>
    <w:p>
      <w:pPr>
        <w:ind w:firstLine="420"/>
        <w:spacing w:line="360" w:lineRule="auto"/>
        <w:rPr>
          <w:rFonts w:hint="eastAsia" w:ascii="仿宋" w:hAnsi="仿宋" w:eastAsia="仿宋"/>
          <w:highlight w:val="none"/>
        </w:rPr>
      </w:pPr>
      <w:r>
        <w:rPr>
          <w:rFonts w:hint="eastAsia" w:ascii="仿宋" w:hAnsi="仿宋" w:eastAsia="仿宋"/>
          <w:highlight w:val="none"/>
        </w:rPr>
        <w:t xml:space="preserve">必要时，</w:t>
      </w:r>
      <w:r>
        <w:rPr>
          <w:rFonts w:hint="eastAsia" w:ascii="仿宋" w:hAnsi="仿宋" w:eastAsia="仿宋"/>
          <w:highlight w:val="none"/>
          <w:lang w:val="en-US" w:eastAsia="zh-CN"/>
        </w:rPr>
        <w:t xml:space="preserve">甲方</w:t>
      </w:r>
      <w:r>
        <w:rPr>
          <w:rFonts w:hint="eastAsia" w:ascii="仿宋" w:hAnsi="仿宋" w:eastAsia="仿宋"/>
          <w:highlight w:val="none"/>
        </w:rPr>
        <w:t xml:space="preserve">有权选择具备相应检测资质的第三方检测机构对到货设备进行核验或者抽检，检测结果符合约定的，检测费用由</w:t>
      </w:r>
      <w:r>
        <w:rPr>
          <w:rFonts w:hint="eastAsia" w:ascii="仿宋" w:hAnsi="仿宋" w:eastAsia="仿宋"/>
          <w:highlight w:val="none"/>
          <w:lang w:val="en-US" w:eastAsia="zh-CN"/>
        </w:rPr>
        <w:t xml:space="preserve">甲方</w:t>
      </w:r>
      <w:r>
        <w:rPr>
          <w:rFonts w:hint="eastAsia" w:ascii="仿宋" w:hAnsi="仿宋" w:eastAsia="仿宋"/>
          <w:highlight w:val="none"/>
        </w:rPr>
        <w:t xml:space="preserve">承担；检测结果不符合约定的，检测费用由</w:t>
      </w:r>
      <w:r>
        <w:rPr>
          <w:rFonts w:hint="eastAsia" w:ascii="仿宋" w:hAnsi="仿宋" w:eastAsia="仿宋"/>
          <w:highlight w:val="none"/>
          <w:lang w:val="en-US" w:eastAsia="zh-CN"/>
        </w:rPr>
        <w:t xml:space="preserve">乙方</w:t>
      </w:r>
      <w:r>
        <w:rPr>
          <w:rFonts w:hint="eastAsia" w:ascii="仿宋" w:hAnsi="仿宋" w:eastAsia="仿宋"/>
          <w:highlight w:val="none"/>
        </w:rPr>
        <w:t xml:space="preserve">承担。</w:t>
      </w:r>
      <w:r/>
    </w:p>
    <w:p>
      <w:pPr>
        <w:ind w:firstLine="420"/>
        <w:spacing w:line="360" w:lineRule="auto"/>
        <w:rPr>
          <w:rFonts w:hint="eastAsia" w:ascii="仿宋" w:hAnsi="仿宋" w:eastAsia="仿宋"/>
          <w:highlight w:val="none"/>
        </w:rPr>
      </w:pPr>
      <w:r>
        <w:rPr>
          <w:rFonts w:hint="eastAsia" w:ascii="仿宋" w:hAnsi="仿宋" w:eastAsia="仿宋"/>
          <w:highlight w:val="none"/>
          <w:lang w:val="en-US" w:eastAsia="zh-CN"/>
        </w:rPr>
        <w:t xml:space="preserve">经验收</w:t>
      </w:r>
      <w:r>
        <w:rPr>
          <w:rFonts w:hint="eastAsia" w:ascii="仿宋" w:hAnsi="仿宋" w:eastAsia="仿宋"/>
          <w:highlight w:val="none"/>
        </w:rPr>
        <w:t xml:space="preserve">确认设备运行正常、资料齐全，</w:t>
      </w:r>
      <w:r>
        <w:rPr>
          <w:rFonts w:hint="eastAsia" w:ascii="仿宋" w:hAnsi="仿宋" w:eastAsia="仿宋"/>
          <w:highlight w:val="none"/>
          <w:lang w:val="en-US" w:eastAsia="zh-CN"/>
        </w:rPr>
        <w:t xml:space="preserve">甲方</w:t>
      </w:r>
      <w:r>
        <w:rPr>
          <w:rFonts w:hint="eastAsia" w:ascii="仿宋" w:hAnsi="仿宋" w:eastAsia="仿宋"/>
          <w:highlight w:val="none"/>
        </w:rPr>
        <w:t xml:space="preserve">出具初步验收报告，即为初验合格。</w:t>
      </w:r>
      <w:r/>
    </w:p>
    <w:p>
      <w:pPr>
        <w:ind w:firstLine="420"/>
        <w:spacing w:line="360" w:lineRule="auto"/>
        <w:rPr>
          <w:rFonts w:hint="eastAsia" w:ascii="仿宋" w:hAnsi="仿宋" w:eastAsia="仿宋"/>
          <w:highlight w:val="none"/>
        </w:rPr>
      </w:pPr>
      <w:r>
        <w:rPr>
          <w:rFonts w:hint="eastAsia" w:ascii="仿宋" w:hAnsi="仿宋" w:eastAsia="仿宋"/>
          <w:highlight w:val="none"/>
        </w:rPr>
        <w:t xml:space="preserve">经初步验收发现所供设备的品牌、型号、规格、配置与投标文件响应内容不一致，或者技术参数与投标文件响应情况不符的，</w:t>
      </w:r>
      <w:r>
        <w:rPr>
          <w:rFonts w:hint="eastAsia" w:ascii="仿宋" w:hAnsi="仿宋" w:eastAsia="仿宋"/>
          <w:highlight w:val="none"/>
          <w:lang w:val="en-US" w:eastAsia="zh-CN"/>
        </w:rPr>
        <w:t xml:space="preserve">甲方</w:t>
      </w:r>
      <w:r>
        <w:rPr>
          <w:rFonts w:hint="eastAsia" w:ascii="仿宋" w:hAnsi="仿宋" w:eastAsia="仿宋"/>
          <w:highlight w:val="none"/>
        </w:rPr>
        <w:t xml:space="preserve">有权要求</w:t>
      </w:r>
      <w:r>
        <w:rPr>
          <w:rFonts w:hint="eastAsia" w:ascii="仿宋" w:hAnsi="仿宋" w:eastAsia="仿宋"/>
          <w:highlight w:val="none"/>
          <w:lang w:val="en-US" w:eastAsia="zh-CN"/>
        </w:rPr>
        <w:t xml:space="preserve">乙方</w:t>
      </w:r>
      <w:r>
        <w:rPr>
          <w:rFonts w:hint="eastAsia" w:ascii="仿宋" w:hAnsi="仿宋" w:eastAsia="仿宋"/>
          <w:highlight w:val="none"/>
        </w:rPr>
        <w:t xml:space="preserve">限期更换、整改并重新检测，由此增加的全部费用由</w:t>
      </w:r>
      <w:r>
        <w:rPr>
          <w:rFonts w:hint="eastAsia" w:ascii="仿宋" w:hAnsi="仿宋" w:eastAsia="仿宋"/>
          <w:highlight w:val="none"/>
          <w:lang w:val="en-US" w:eastAsia="zh-CN"/>
        </w:rPr>
        <w:t xml:space="preserve">乙方</w:t>
      </w:r>
      <w:r>
        <w:rPr>
          <w:rFonts w:hint="eastAsia" w:ascii="仿宋" w:hAnsi="仿宋" w:eastAsia="仿宋"/>
          <w:highlight w:val="none"/>
        </w:rPr>
        <w:t xml:space="preserve">承担，交付期限不予顺延。</w:t>
      </w:r>
      <w:r>
        <w:rPr>
          <w:rFonts w:hint="eastAsia" w:ascii="仿宋" w:hAnsi="仿宋" w:eastAsia="仿宋"/>
          <w:highlight w:val="none"/>
          <w:lang w:val="en-US" w:eastAsia="zh-CN"/>
        </w:rPr>
        <w:t xml:space="preserve">乙方</w:t>
      </w:r>
      <w:r>
        <w:rPr>
          <w:rFonts w:hint="eastAsia" w:ascii="仿宋" w:hAnsi="仿宋" w:eastAsia="仿宋"/>
          <w:highlight w:val="none"/>
        </w:rPr>
        <w:t xml:space="preserve">逾期未更换、整改，或者更换、整改后复验仍不合格的，视为初验不合格，</w:t>
      </w:r>
      <w:r>
        <w:rPr>
          <w:rFonts w:hint="eastAsia" w:ascii="仿宋" w:hAnsi="仿宋" w:eastAsia="仿宋"/>
          <w:highlight w:val="none"/>
          <w:lang w:val="en-US" w:eastAsia="zh-CN"/>
        </w:rPr>
        <w:t xml:space="preserve">甲方</w:t>
      </w:r>
      <w:r>
        <w:rPr>
          <w:rFonts w:hint="eastAsia" w:ascii="仿宋" w:hAnsi="仿宋" w:eastAsia="仿宋"/>
          <w:highlight w:val="none"/>
        </w:rPr>
        <w:t xml:space="preserve">有权依照合同相关条款要求乙方承担违约责任。</w:t>
      </w:r>
      <w:r/>
    </w:p>
    <w:p>
      <w:pPr>
        <w:ind w:firstLine="420"/>
        <w:spacing w:line="360" w:lineRule="auto"/>
        <w:rPr>
          <w:rFonts w:ascii="仿宋" w:hAnsi="仿宋" w:eastAsia="仿宋"/>
          <w:highlight w:val="none"/>
        </w:rPr>
      </w:pPr>
      <w:r>
        <w:rPr>
          <w:rFonts w:hint="eastAsia" w:ascii="仿宋" w:hAnsi="仿宋" w:eastAsia="仿宋"/>
          <w:highlight w:val="none"/>
        </w:rPr>
        <w:t xml:space="preserve">经核实</w:t>
      </w:r>
      <w:r>
        <w:rPr>
          <w:rFonts w:hint="eastAsia" w:ascii="仿宋" w:hAnsi="仿宋" w:eastAsia="仿宋"/>
          <w:highlight w:val="none"/>
          <w:lang w:val="en-US" w:eastAsia="zh-CN"/>
        </w:rPr>
        <w:t xml:space="preserve">乙方</w:t>
      </w:r>
      <w:r>
        <w:rPr>
          <w:rFonts w:hint="eastAsia" w:ascii="仿宋" w:hAnsi="仿宋" w:eastAsia="仿宋"/>
          <w:highlight w:val="none"/>
        </w:rPr>
        <w:t xml:space="preserve">存在提供虚假材料、以旧充新、以次充好、拼装改装等情形的，</w:t>
      </w:r>
      <w:r>
        <w:rPr>
          <w:rFonts w:hint="eastAsia" w:ascii="仿宋" w:hAnsi="仿宋" w:eastAsia="仿宋"/>
          <w:highlight w:val="none"/>
          <w:lang w:val="en-US" w:eastAsia="zh-CN"/>
        </w:rPr>
        <w:t xml:space="preserve">甲方</w:t>
      </w:r>
      <w:r>
        <w:rPr>
          <w:rFonts w:hint="eastAsia" w:ascii="仿宋" w:hAnsi="仿宋" w:eastAsia="仿宋"/>
          <w:highlight w:val="none"/>
        </w:rPr>
        <w:t xml:space="preserve">有权拒收相应设备，已支付的相应款项由</w:t>
      </w:r>
      <w:r>
        <w:rPr>
          <w:rFonts w:hint="eastAsia" w:ascii="仿宋" w:hAnsi="仿宋" w:eastAsia="仿宋"/>
          <w:highlight w:val="none"/>
          <w:lang w:val="en-US" w:eastAsia="zh-CN"/>
        </w:rPr>
        <w:t xml:space="preserve">乙方</w:t>
      </w:r>
      <w:r>
        <w:rPr>
          <w:rFonts w:hint="eastAsia" w:ascii="仿宋" w:hAnsi="仿宋" w:eastAsia="仿宋"/>
          <w:highlight w:val="none"/>
        </w:rPr>
        <w:t xml:space="preserve">退还。</w:t>
      </w:r>
      <w:r/>
    </w:p>
    <w:p>
      <w:pPr>
        <w:ind w:firstLine="420"/>
        <w:spacing w:line="360" w:lineRule="auto"/>
        <w:rPr>
          <w:rFonts w:ascii="仿宋" w:hAnsi="仿宋" w:eastAsia="仿宋"/>
          <w:highlight w:val="none"/>
        </w:rPr>
      </w:pPr>
      <w:r>
        <w:rPr>
          <w:rFonts w:ascii="仿宋" w:hAnsi="仿宋" w:eastAsia="仿宋"/>
          <w:highlight w:val="none"/>
        </w:rPr>
        <w:t xml:space="preserve">2.最终验收</w:t>
      </w:r>
      <w:r/>
    </w:p>
    <w:p>
      <w:pPr>
        <w:ind w:firstLine="420"/>
        <w:spacing w:line="360" w:lineRule="auto"/>
        <w:rPr>
          <w:rFonts w:ascii="仿宋" w:hAnsi="仿宋" w:eastAsia="仿宋"/>
          <w:highlight w:val="none"/>
        </w:rPr>
      </w:pPr>
      <w:r>
        <w:rPr>
          <w:rFonts w:ascii="仿宋" w:hAnsi="仿宋" w:eastAsia="仿宋"/>
          <w:highlight w:val="none"/>
        </w:rPr>
        <w:t xml:space="preserve">初验合格后项目进入六个月试运行期。试运行期间，中标人须按合同约定提供维保服务，保障设备稳定运行。若出现影响核心业务的故障、功能失效，中标人须在约定时限内完成整改，试运行期不自动顺延；仅不影响核心功能的轻微瑕疵，中标人及时修复的，不视为试运行不合格。</w:t>
      </w:r>
      <w:r/>
    </w:p>
    <w:p>
      <w:pPr>
        <w:ind w:firstLine="420"/>
        <w:spacing w:line="360" w:lineRule="auto"/>
        <w:rPr>
          <w:rFonts w:ascii="仿宋" w:hAnsi="仿宋" w:eastAsia="仿宋"/>
          <w:highlight w:val="none"/>
        </w:rPr>
      </w:pPr>
      <w:r>
        <w:rPr>
          <w:rFonts w:ascii="仿宋" w:hAnsi="仿宋" w:eastAsia="仿宋"/>
          <w:highlight w:val="none"/>
        </w:rPr>
        <w:t xml:space="preserve">试运行期满，采购人组织复核验收，核查设备整体运行稳定性，确认满足招标文件全部使用要求，出具最终验收报告，项目履约验收全部完成。</w:t>
      </w:r>
      <w:r/>
    </w:p>
    <w:p>
      <w:pPr>
        <w:ind w:firstLine="420"/>
        <w:spacing w:line="360" w:lineRule="auto"/>
        <w:rPr>
          <w:rFonts w:ascii="仿宋" w:hAnsi="仿宋" w:eastAsia="仿宋"/>
          <w:highlight w:val="none"/>
        </w:rPr>
      </w:pPr>
      <w:r>
        <w:rPr>
          <w:rFonts w:ascii="仿宋" w:hAnsi="仿宋" w:eastAsia="仿宋"/>
          <w:highlight w:val="none"/>
        </w:rPr>
        <w:t xml:space="preserve">3.最终验收不合格的处理</w:t>
      </w:r>
      <w:r/>
    </w:p>
    <w:p>
      <w:pPr>
        <w:ind w:firstLine="420"/>
        <w:spacing w:line="360" w:lineRule="auto"/>
        <w:rPr>
          <w:rFonts w:ascii="仿宋" w:hAnsi="仿宋" w:eastAsia="仿宋"/>
          <w:highlight w:val="none"/>
        </w:rPr>
      </w:pPr>
      <w:r>
        <w:rPr>
          <w:rFonts w:ascii="仿宋" w:hAnsi="仿宋" w:eastAsia="仿宋"/>
          <w:highlight w:val="none"/>
        </w:rPr>
        <w:t xml:space="preserve">（1）最终验收不合格的，甲方应当书面通知乙方限期整改，整改期限由甲方根据不合格事项确定，最长不超过30日。乙方应当在限期内完成整改并书面申请复验，复验以一次为限，复验所需费用由乙方承担。</w:t>
      </w:r>
      <w:r/>
    </w:p>
    <w:p>
      <w:pPr>
        <w:ind w:firstLine="420"/>
        <w:spacing w:line="360" w:lineRule="auto"/>
        <w:rPr>
          <w:rFonts w:ascii="仿宋" w:hAnsi="仿宋" w:eastAsia="仿宋"/>
          <w:highlight w:val="none"/>
        </w:rPr>
      </w:pPr>
      <w:r>
        <w:rPr>
          <w:rFonts w:ascii="仿宋" w:hAnsi="仿宋" w:eastAsia="仿宋"/>
          <w:highlight w:val="none"/>
        </w:rPr>
        <w:t xml:space="preserve">（2）乙方逾期未完成整改、拒不整改，或者复验仍不合格的，甲方有权根据不合格情形选择下列一种或者多种方式处理：</w:t>
      </w:r>
      <w:r/>
    </w:p>
    <w:p>
      <w:pPr>
        <w:ind w:firstLine="420"/>
        <w:spacing w:line="360" w:lineRule="auto"/>
        <w:rPr>
          <w:rFonts w:ascii="仿宋" w:hAnsi="仿宋" w:eastAsia="仿宋"/>
          <w:highlight w:val="none"/>
        </w:rPr>
      </w:pPr>
      <w:r>
        <w:rPr>
          <w:rFonts w:ascii="仿宋" w:hAnsi="仿宋" w:eastAsia="仿宋"/>
          <w:highlight w:val="none"/>
        </w:rPr>
        <w:t xml:space="preserve">A.要求乙方退货：乙方应当在收到甲方书面通知后30日内退还已收取的全部合同款项及相应资金占用损失，并将全部货物拆除、包装、运离甲方场所，退货所发生的拆除、包装、运输、仓储等费用由乙方承担；乙方逾期未运离的，甲方有权代为处置，费用由乙方承担。</w:t>
      </w:r>
      <w:r/>
    </w:p>
    <w:p>
      <w:pPr>
        <w:ind w:firstLine="420"/>
        <w:spacing w:line="360" w:lineRule="auto"/>
        <w:rPr>
          <w:rFonts w:ascii="仿宋" w:hAnsi="仿宋" w:eastAsia="仿宋"/>
          <w:highlight w:val="none"/>
        </w:rPr>
      </w:pPr>
      <w:r>
        <w:rPr>
          <w:rFonts w:ascii="仿宋" w:hAnsi="仿宋" w:eastAsia="仿宋"/>
          <w:highlight w:val="none"/>
        </w:rPr>
        <w:t xml:space="preserve">B.要求乙方更换不符合约定的货物或者重新建设：由此增加的全部费用由乙方承担，交付期限不予顺延，并按本合同第十七条承担逾期违约责任。</w:t>
      </w:r>
      <w:r/>
    </w:p>
    <w:p>
      <w:pPr>
        <w:ind w:firstLine="420"/>
        <w:spacing w:line="360" w:lineRule="auto"/>
        <w:rPr>
          <w:rFonts w:ascii="仿宋" w:hAnsi="仿宋" w:eastAsia="仿宋"/>
          <w:highlight w:val="none"/>
        </w:rPr>
      </w:pPr>
      <w:r>
        <w:rPr>
          <w:rFonts w:ascii="仿宋" w:hAnsi="仿宋" w:eastAsia="仿宋"/>
          <w:highlight w:val="none"/>
        </w:rPr>
        <w:t xml:space="preserve">C.要求乙方减少价款，并按本合同第十七条承担违约责任。</w:t>
      </w:r>
      <w:r/>
    </w:p>
    <w:p>
      <w:pPr>
        <w:ind w:firstLine="420"/>
        <w:spacing w:line="360" w:lineRule="auto"/>
        <w:rPr>
          <w:rFonts w:ascii="仿宋" w:hAnsi="仿宋" w:eastAsia="仿宋"/>
          <w:highlight w:val="none"/>
        </w:rPr>
      </w:pPr>
      <w:r>
        <w:rPr>
          <w:rFonts w:ascii="仿宋" w:hAnsi="仿宋" w:eastAsia="仿宋"/>
          <w:highlight w:val="none"/>
        </w:rPr>
        <w:t xml:space="preserve">（3）因验收不合格致使合同目的不能实现的，甲方有权依照《中华人民共和国民法典》第五百六十三条解除合同；合同解除后依照该法第五百六十六条处理，乙方应当恢复原状、返还已收款项并赔偿损失。</w:t>
      </w:r>
      <w:r/>
    </w:p>
    <w:p>
      <w:pPr>
        <w:ind w:firstLine="420"/>
        <w:spacing w:line="360" w:lineRule="auto"/>
        <w:rPr>
          <w:rFonts w:ascii="仿宋" w:hAnsi="仿宋" w:eastAsia="仿宋"/>
          <w:highlight w:val="none"/>
        </w:rPr>
      </w:pPr>
      <w:r>
        <w:rPr>
          <w:rFonts w:ascii="仿宋" w:hAnsi="仿宋" w:eastAsia="仿宋"/>
          <w:highlight w:val="none"/>
        </w:rPr>
        <w:t xml:space="preserve">（4）合同解除、退货退款均不免除乙方的违约责任和赔偿责任。甲方保留就下列损失向乙方追偿的权利：已付款项的资金占用损失；甲方重新组织采购的价格差额及采购成本；项目延期造成的损失；甲方因向第三方承担责任而产生的损失；甲方为实现债权支出的律师费、诉讼费、保全费、公证费、差旅费等合理费用。</w:t>
      </w:r>
      <w:r/>
    </w:p>
    <w:p>
      <w:pPr>
        <w:ind w:firstLine="420"/>
        <w:spacing w:line="360" w:lineRule="auto"/>
        <w:rPr>
          <w:rFonts w:ascii="仿宋" w:hAnsi="仿宋" w:eastAsia="仿宋"/>
          <w:highlight w:val="none"/>
        </w:rPr>
      </w:pPr>
      <w:r>
        <w:rPr>
          <w:rFonts w:ascii="仿宋" w:hAnsi="仿宋" w:eastAsia="仿宋"/>
          <w:highlight w:val="none"/>
        </w:rPr>
        <w:t xml:space="preserve">（5）</w:t>
      </w:r>
      <w:r>
        <w:rPr>
          <w:rFonts w:hint="eastAsia" w:ascii="仿宋" w:hAnsi="仿宋" w:eastAsia="仿宋"/>
          <w:highlight w:val="none"/>
          <w:lang w:eastAsia="zh-CN"/>
        </w:rPr>
        <w:t xml:space="preserve">出现本条第（2）项情形的，履约保证金不予退还</w:t>
      </w:r>
      <w:r>
        <w:rPr>
          <w:rFonts w:ascii="仿宋" w:hAnsi="仿宋" w:eastAsia="仿宋"/>
          <w:highlight w:val="none"/>
        </w:rPr>
        <w:t xml:space="preserve">。</w:t>
      </w:r>
      <w:r/>
    </w:p>
    <w:p>
      <w:pPr>
        <w:ind w:firstLine="420"/>
        <w:spacing w:line="360" w:lineRule="auto"/>
        <w:rPr>
          <w:rFonts w:ascii="仿宋" w:hAnsi="仿宋" w:eastAsia="仿宋"/>
          <w:highlight w:val="none"/>
        </w:rPr>
      </w:pPr>
      <w:r>
        <w:rPr>
          <w:rFonts w:ascii="仿宋" w:hAnsi="仿宋" w:eastAsia="仿宋"/>
          <w:highlight w:val="none"/>
        </w:rPr>
        <w:t xml:space="preserve">（6）本条约定不影响甲方依照《中华人民共和国政府采购法》第七十七条、《中华人民共和国政府采购法实施条例》第七十二条的规定，将乙方的违约情形报告同级财政部门处理。</w:t>
      </w:r>
      <w:r/>
    </w:p>
    <w:p>
      <w:pPr>
        <w:ind w:firstLine="420"/>
        <w:spacing w:line="360" w:lineRule="auto"/>
        <w:rPr>
          <w:rFonts w:ascii="仿宋" w:hAnsi="仿宋" w:eastAsia="仿宋"/>
          <w:highlight w:val="none"/>
        </w:rPr>
      </w:pPr>
      <w:r>
        <w:rPr>
          <w:rFonts w:ascii="仿宋" w:hAnsi="仿宋" w:eastAsia="仿宋"/>
          <w:highlight w:val="none"/>
        </w:rPr>
        <w:t xml:space="preserve">特别约定：项目全部款项付清，不免除中标人合同约定的质保责任，质保期自初验合格之日起计算，质保义务按合同约定执行。 </w:t>
      </w:r>
      <w:r/>
    </w:p>
    <w:p>
      <w:pPr>
        <w:pStyle w:val="719"/>
        <w:ind w:firstLine="480"/>
        <w:tabs>
          <w:tab w:val="left" w:pos="210" w:leader="none"/>
        </w:tabs>
        <w:rPr>
          <w:rFonts w:ascii="仿宋" w:hAnsi="仿宋" w:eastAsia="仿宋"/>
          <w:highlight w:val="none"/>
        </w:rPr>
      </w:pPr>
      <w:r>
        <w:rPr>
          <w:rFonts w:hint="eastAsia" w:ascii="仿宋" w:hAnsi="仿宋" w:eastAsia="仿宋" w:cs="Times New Roman"/>
          <w:highlight w:val="none"/>
        </w:rPr>
        <w:t xml:space="preserve">十四、甲方权利义务</w:t>
      </w:r>
      <w:r/>
    </w:p>
    <w:p>
      <w:pPr>
        <w:ind w:left="410" w:hanging="359"/>
        <w:jc w:val="both"/>
        <w:spacing w:line="360" w:lineRule="auto"/>
        <w:rPr>
          <w:rFonts w:ascii="仿宋" w:hAnsi="仿宋" w:eastAsia="仿宋" w:cs="Courier New"/>
          <w:bCs/>
          <w:highlight w:val="none"/>
        </w:rPr>
      </w:pPr>
      <w:r>
        <w:rPr>
          <w:rFonts w:hint="eastAsia" w:ascii="仿宋" w:hAnsi="仿宋" w:eastAsia="仿宋" w:cs="Courier New"/>
          <w:bCs/>
          <w:highlight w:val="none"/>
        </w:rPr>
        <w:t xml:space="preserve">1</w:t>
      </w:r>
      <w:r>
        <w:rPr>
          <w:rFonts w:ascii="仿宋" w:hAnsi="仿宋" w:eastAsia="仿宋" w:cs="Courier New"/>
          <w:bCs/>
          <w:highlight w:val="none"/>
        </w:rPr>
        <w:t xml:space="preserve">4</w:t>
      </w:r>
      <w:r>
        <w:rPr>
          <w:rFonts w:hint="eastAsia" w:ascii="仿宋" w:hAnsi="仿宋" w:eastAsia="仿宋" w:cs="Courier New"/>
          <w:bCs/>
          <w:highlight w:val="none"/>
        </w:rPr>
        <w:t xml:space="preserve">.1甲方为乙方提供符合信息系统软件安装、实施要求的工作环境、运行环境。包括但不限于工作场地、网络、VPN工具等，并对乙方实施工作给予支持。</w:t>
      </w:r>
      <w:r/>
    </w:p>
    <w:p>
      <w:pPr>
        <w:ind w:left="410" w:hanging="359"/>
        <w:jc w:val="both"/>
        <w:spacing w:line="360" w:lineRule="auto"/>
        <w:rPr>
          <w:rFonts w:ascii="仿宋" w:hAnsi="仿宋" w:eastAsia="仿宋" w:cs="Courier New"/>
          <w:bCs/>
          <w:highlight w:val="none"/>
        </w:rPr>
      </w:pPr>
      <w:r>
        <w:rPr>
          <w:rFonts w:hint="eastAsia" w:ascii="仿宋" w:hAnsi="仿宋" w:eastAsia="仿宋" w:cs="Courier New"/>
          <w:bCs/>
          <w:highlight w:val="none"/>
        </w:rPr>
        <w:t xml:space="preserve">1</w:t>
      </w:r>
      <w:r>
        <w:rPr>
          <w:rFonts w:ascii="仿宋" w:hAnsi="仿宋" w:eastAsia="仿宋" w:cs="Courier New"/>
          <w:bCs/>
          <w:highlight w:val="none"/>
        </w:rPr>
        <w:t xml:space="preserve">4</w:t>
      </w:r>
      <w:r>
        <w:rPr>
          <w:rFonts w:hint="eastAsia" w:ascii="仿宋" w:hAnsi="仿宋" w:eastAsia="仿宋" w:cs="Courier New"/>
          <w:bCs/>
          <w:highlight w:val="none"/>
        </w:rPr>
        <w:t xml:space="preserve">.2甲方永久性拥有本合同所建设内容的所有权和使用权，乙方承诺任何时候不会给甲方使用本合同建设内容制造障碍，否则将在甲方要求时间内退还本合同全额款项并赔偿甲方本合同总金额的30%。</w:t>
      </w:r>
      <w:r/>
    </w:p>
    <w:p>
      <w:pPr>
        <w:ind w:left="410" w:hanging="359"/>
        <w:jc w:val="both"/>
        <w:spacing w:line="360" w:lineRule="auto"/>
        <w:rPr>
          <w:rFonts w:ascii="仿宋" w:hAnsi="仿宋" w:eastAsia="仿宋" w:cs="Courier New"/>
          <w:bCs/>
          <w:highlight w:val="none"/>
        </w:rPr>
      </w:pPr>
      <w:r>
        <w:rPr>
          <w:rFonts w:hint="eastAsia" w:ascii="仿宋" w:hAnsi="仿宋" w:eastAsia="仿宋" w:cs="Courier New"/>
          <w:bCs/>
          <w:highlight w:val="none"/>
        </w:rPr>
        <w:t xml:space="preserve">1</w:t>
      </w:r>
      <w:r>
        <w:rPr>
          <w:rFonts w:ascii="仿宋" w:hAnsi="仿宋" w:eastAsia="仿宋" w:cs="Courier New"/>
          <w:bCs/>
          <w:highlight w:val="none"/>
        </w:rPr>
        <w:t xml:space="preserve">4</w:t>
      </w:r>
      <w:r>
        <w:rPr>
          <w:rFonts w:hint="eastAsia" w:ascii="仿宋" w:hAnsi="仿宋" w:eastAsia="仿宋" w:cs="Courier New"/>
          <w:bCs/>
          <w:highlight w:val="none"/>
        </w:rPr>
        <w:t xml:space="preserve">.3甲方有责任对本项目实施过程进行配合和监督，并积极组织验收。</w:t>
      </w:r>
      <w:r/>
    </w:p>
    <w:p>
      <w:pPr>
        <w:pStyle w:val="719"/>
        <w:ind w:firstLine="480"/>
        <w:tabs>
          <w:tab w:val="left" w:pos="210" w:leader="none"/>
        </w:tabs>
        <w:rPr>
          <w:rFonts w:ascii="仿宋" w:hAnsi="仿宋" w:eastAsia="仿宋"/>
          <w:highlight w:val="none"/>
        </w:rPr>
      </w:pPr>
      <w:r>
        <w:rPr>
          <w:rFonts w:hint="eastAsia" w:ascii="仿宋" w:hAnsi="仿宋" w:eastAsia="仿宋" w:cs="Times New Roman"/>
          <w:highlight w:val="none"/>
        </w:rPr>
        <w:t xml:space="preserve">十五、乙方权利义务</w:t>
      </w:r>
      <w:r/>
    </w:p>
    <w:p>
      <w:pPr>
        <w:ind w:left="410" w:hanging="359"/>
        <w:jc w:val="both"/>
        <w:spacing w:line="360" w:lineRule="auto"/>
        <w:rPr>
          <w:rFonts w:ascii="仿宋" w:hAnsi="仿宋" w:eastAsia="仿宋" w:cs="Courier New"/>
          <w:bCs/>
          <w:highlight w:val="none"/>
        </w:rPr>
      </w:pPr>
      <w:r>
        <w:rPr>
          <w:rFonts w:hint="eastAsia" w:ascii="仿宋" w:hAnsi="仿宋" w:eastAsia="仿宋" w:cs="Courier New"/>
          <w:bCs/>
          <w:highlight w:val="none"/>
        </w:rPr>
        <w:t xml:space="preserve">1</w:t>
      </w:r>
      <w:r>
        <w:rPr>
          <w:rFonts w:ascii="仿宋" w:hAnsi="仿宋" w:eastAsia="仿宋" w:cs="Courier New"/>
          <w:bCs/>
          <w:highlight w:val="none"/>
        </w:rPr>
        <w:t xml:space="preserve">5</w:t>
      </w:r>
      <w:r>
        <w:rPr>
          <w:rFonts w:hint="eastAsia" w:ascii="仿宋" w:hAnsi="仿宋" w:eastAsia="仿宋" w:cs="Courier New"/>
          <w:bCs/>
          <w:highlight w:val="none"/>
        </w:rPr>
        <w:t xml:space="preserve">.1乙方将按照本合同附件1《采购清单》内容</w:t>
      </w:r>
      <w:r>
        <w:rPr>
          <w:rFonts w:hint="eastAsia" w:ascii="仿宋" w:hAnsi="仿宋" w:eastAsia="仿宋" w:cs="Courier New"/>
          <w:bCs/>
          <w:highlight w:val="none"/>
          <w:lang w:eastAsia="zh-CN"/>
        </w:rPr>
        <w:t xml:space="preserve">实施</w:t>
      </w:r>
      <w:r>
        <w:rPr>
          <w:rFonts w:hint="eastAsia" w:ascii="仿宋" w:hAnsi="仿宋" w:eastAsia="仿宋" w:cs="Courier New"/>
          <w:bCs/>
          <w:highlight w:val="none"/>
        </w:rPr>
        <w:t xml:space="preserve">安装与调试。</w:t>
      </w:r>
      <w:r/>
    </w:p>
    <w:p>
      <w:pPr>
        <w:ind w:left="410" w:hanging="359"/>
        <w:jc w:val="both"/>
        <w:spacing w:line="360" w:lineRule="auto"/>
        <w:rPr>
          <w:rFonts w:ascii="仿宋" w:hAnsi="仿宋" w:eastAsia="仿宋"/>
          <w:highlight w:val="none"/>
        </w:rPr>
      </w:pPr>
      <w:r>
        <w:rPr>
          <w:rFonts w:hint="eastAsia" w:ascii="仿宋" w:hAnsi="仿宋" w:eastAsia="仿宋" w:cs="Courier New"/>
          <w:bCs/>
          <w:highlight w:val="none"/>
        </w:rPr>
        <w:t xml:space="preserve">1</w:t>
      </w:r>
      <w:r>
        <w:rPr>
          <w:rFonts w:ascii="仿宋" w:hAnsi="仿宋" w:eastAsia="仿宋" w:cs="Courier New"/>
          <w:bCs/>
          <w:highlight w:val="none"/>
        </w:rPr>
        <w:t xml:space="preserve">5</w:t>
      </w:r>
      <w:r>
        <w:rPr>
          <w:rFonts w:hint="eastAsia" w:ascii="仿宋" w:hAnsi="仿宋" w:eastAsia="仿宋" w:cs="Courier New"/>
          <w:bCs/>
          <w:highlight w:val="none"/>
        </w:rPr>
        <w:t xml:space="preserve">.</w:t>
      </w:r>
      <w:r>
        <w:rPr>
          <w:rFonts w:ascii="仿宋" w:hAnsi="仿宋" w:eastAsia="仿宋" w:cs="Courier New"/>
          <w:bCs/>
          <w:highlight w:val="none"/>
        </w:rPr>
        <w:t xml:space="preserve">2</w:t>
      </w:r>
      <w:r>
        <w:rPr>
          <w:rFonts w:hint="eastAsia" w:ascii="仿宋" w:hAnsi="仿宋" w:eastAsia="仿宋" w:cs="Courier New"/>
          <w:bCs/>
          <w:highlight w:val="none"/>
        </w:rPr>
        <w:t xml:space="preserve">除非甲方过错所致，本合同在履行过程中的安全责任及由此所产生的费用均由乙方承担，尤其是安装、调试、维保、派驻等工作所引起的人员事故及损失，由乙方承担。</w:t>
      </w:r>
      <w:r/>
    </w:p>
    <w:p>
      <w:pPr>
        <w:pStyle w:val="719"/>
        <w:ind w:firstLine="480"/>
        <w:tabs>
          <w:tab w:val="left" w:pos="210" w:leader="none"/>
        </w:tabs>
        <w:rPr>
          <w:rFonts w:ascii="仿宋" w:hAnsi="仿宋" w:eastAsia="仿宋"/>
          <w:highlight w:val="none"/>
        </w:rPr>
      </w:pPr>
      <w:r>
        <w:rPr>
          <w:rFonts w:hint="eastAsia" w:ascii="仿宋" w:hAnsi="仿宋" w:eastAsia="仿宋" w:cs="Times New Roman"/>
          <w:highlight w:val="none"/>
        </w:rPr>
        <w:t xml:space="preserve">十六、保密约定</w:t>
      </w:r>
      <w:r/>
    </w:p>
    <w:p>
      <w:pPr>
        <w:ind w:left="410" w:hanging="359"/>
        <w:jc w:val="both"/>
        <w:spacing w:line="360" w:lineRule="auto"/>
        <w:rPr>
          <w:rFonts w:ascii="仿宋" w:hAnsi="仿宋" w:eastAsia="仿宋" w:cs="Courier New"/>
          <w:bCs/>
          <w:highlight w:val="none"/>
        </w:rPr>
      </w:pPr>
      <w:r>
        <w:rPr>
          <w:rFonts w:hint="eastAsia" w:ascii="仿宋" w:hAnsi="仿宋" w:eastAsia="仿宋" w:cs="Courier New"/>
          <w:bCs/>
          <w:highlight w:val="none"/>
        </w:rPr>
        <w:t xml:space="preserve">1</w:t>
      </w:r>
      <w:r>
        <w:rPr>
          <w:rFonts w:ascii="仿宋" w:hAnsi="仿宋" w:eastAsia="仿宋" w:cs="Courier New"/>
          <w:bCs/>
          <w:highlight w:val="none"/>
        </w:rPr>
        <w:t xml:space="preserve">6</w:t>
      </w:r>
      <w:r>
        <w:rPr>
          <w:rFonts w:hint="eastAsia" w:ascii="仿宋" w:hAnsi="仿宋" w:eastAsia="仿宋" w:cs="Courier New"/>
          <w:bCs/>
          <w:highlight w:val="none"/>
        </w:rPr>
        <w:t xml:space="preserve">.1甲方</w:t>
      </w:r>
      <w:r>
        <w:rPr>
          <w:rFonts w:ascii="仿宋" w:hAnsi="仿宋" w:eastAsia="仿宋" w:cs="Courier New"/>
          <w:bCs/>
          <w:highlight w:val="none"/>
        </w:rPr>
        <w:t xml:space="preserve">保证不向</w:t>
      </w:r>
      <w:r>
        <w:rPr>
          <w:rFonts w:hint="eastAsia" w:ascii="仿宋" w:hAnsi="仿宋" w:eastAsia="仿宋" w:cs="Courier New"/>
          <w:bCs/>
          <w:highlight w:val="none"/>
        </w:rPr>
        <w:t xml:space="preserve">甲方</w:t>
      </w:r>
      <w:r>
        <w:rPr>
          <w:rFonts w:ascii="仿宋" w:hAnsi="仿宋" w:eastAsia="仿宋" w:cs="Courier New"/>
          <w:bCs/>
          <w:highlight w:val="none"/>
        </w:rPr>
        <w:t xml:space="preserve">以外的任何人透露任何</w:t>
      </w:r>
      <w:r>
        <w:rPr>
          <w:rFonts w:hint="eastAsia" w:ascii="仿宋" w:hAnsi="仿宋" w:eastAsia="仿宋" w:cs="Courier New"/>
          <w:bCs/>
          <w:highlight w:val="none"/>
        </w:rPr>
        <w:t xml:space="preserve">乙方</w:t>
      </w:r>
      <w:r>
        <w:rPr>
          <w:rFonts w:ascii="仿宋" w:hAnsi="仿宋" w:eastAsia="仿宋" w:cs="Courier New"/>
          <w:bCs/>
          <w:highlight w:val="none"/>
        </w:rPr>
        <w:t xml:space="preserve">商业机密及专有知识、专有技术或</w:t>
      </w:r>
      <w:r>
        <w:rPr>
          <w:rFonts w:hint="eastAsia" w:ascii="仿宋" w:hAnsi="仿宋" w:eastAsia="仿宋" w:cs="Courier New"/>
          <w:bCs/>
          <w:highlight w:val="none"/>
        </w:rPr>
        <w:t xml:space="preserve">乙方</w:t>
      </w:r>
      <w:r>
        <w:rPr>
          <w:rFonts w:ascii="仿宋" w:hAnsi="仿宋" w:eastAsia="仿宋" w:cs="Courier New"/>
          <w:bCs/>
          <w:highlight w:val="none"/>
        </w:rPr>
        <w:t xml:space="preserve">的知识产权。</w:t>
      </w:r>
      <w:r/>
    </w:p>
    <w:p>
      <w:pPr>
        <w:ind w:left="410" w:hanging="359"/>
        <w:jc w:val="both"/>
        <w:spacing w:line="360" w:lineRule="auto"/>
        <w:rPr>
          <w:rFonts w:ascii="仿宋" w:hAnsi="仿宋" w:eastAsia="仿宋"/>
          <w:highlight w:val="none"/>
        </w:rPr>
      </w:pPr>
      <w:r>
        <w:rPr>
          <w:rFonts w:hint="eastAsia" w:ascii="仿宋" w:hAnsi="仿宋" w:eastAsia="仿宋" w:cs="Courier New"/>
          <w:bCs/>
          <w:highlight w:val="none"/>
        </w:rPr>
        <w:t xml:space="preserve">1</w:t>
      </w:r>
      <w:r>
        <w:rPr>
          <w:rFonts w:ascii="仿宋" w:hAnsi="仿宋" w:eastAsia="仿宋" w:cs="Courier New"/>
          <w:bCs/>
          <w:highlight w:val="none"/>
        </w:rPr>
        <w:t xml:space="preserve">6</w:t>
      </w:r>
      <w:r>
        <w:rPr>
          <w:rFonts w:hint="eastAsia" w:ascii="仿宋" w:hAnsi="仿宋" w:eastAsia="仿宋" w:cs="Courier New"/>
          <w:bCs/>
          <w:highlight w:val="none"/>
        </w:rPr>
        <w:t xml:space="preserve">.2乙方</w:t>
      </w:r>
      <w:r>
        <w:rPr>
          <w:rFonts w:ascii="仿宋" w:hAnsi="仿宋" w:eastAsia="仿宋" w:cs="Courier New"/>
          <w:bCs/>
          <w:highlight w:val="none"/>
        </w:rPr>
        <w:t xml:space="preserve">保证对</w:t>
      </w:r>
      <w:r>
        <w:rPr>
          <w:rFonts w:hint="eastAsia" w:ascii="仿宋" w:hAnsi="仿宋" w:eastAsia="仿宋" w:cs="Courier New"/>
          <w:bCs/>
          <w:highlight w:val="none"/>
        </w:rPr>
        <w:t xml:space="preserve">服务过程中获取的甲方</w:t>
      </w:r>
      <w:r>
        <w:rPr>
          <w:rFonts w:ascii="仿宋" w:hAnsi="仿宋" w:eastAsia="仿宋" w:cs="Courier New"/>
          <w:bCs/>
          <w:highlight w:val="none"/>
        </w:rPr>
        <w:t xml:space="preserve">的</w:t>
      </w:r>
      <w:r>
        <w:rPr>
          <w:rFonts w:hint="eastAsia" w:ascii="仿宋" w:hAnsi="仿宋" w:eastAsia="仿宋" w:cs="Courier New"/>
          <w:bCs/>
          <w:highlight w:val="none"/>
        </w:rPr>
        <w:t xml:space="preserve">业务</w:t>
      </w:r>
      <w:r>
        <w:rPr>
          <w:rFonts w:ascii="仿宋" w:hAnsi="仿宋" w:eastAsia="仿宋" w:cs="Courier New"/>
          <w:bCs/>
          <w:highlight w:val="none"/>
        </w:rPr>
        <w:t xml:space="preserve">数据、</w:t>
      </w:r>
      <w:r>
        <w:rPr>
          <w:rFonts w:hint="eastAsia" w:ascii="仿宋" w:hAnsi="仿宋" w:eastAsia="仿宋" w:cs="Courier New"/>
          <w:bCs/>
          <w:highlight w:val="none"/>
        </w:rPr>
        <w:t xml:space="preserve">患者</w:t>
      </w:r>
      <w:r>
        <w:rPr>
          <w:rFonts w:ascii="仿宋" w:hAnsi="仿宋" w:eastAsia="仿宋" w:cs="Courier New"/>
          <w:bCs/>
          <w:highlight w:val="none"/>
        </w:rPr>
        <w:t xml:space="preserve">数据</w:t>
      </w:r>
      <w:r>
        <w:rPr>
          <w:rFonts w:hint="eastAsia" w:ascii="仿宋" w:hAnsi="仿宋" w:eastAsia="仿宋" w:cs="Courier New"/>
          <w:bCs/>
          <w:highlight w:val="none"/>
        </w:rPr>
        <w:t xml:space="preserve">等信息进行</w:t>
      </w:r>
      <w:r>
        <w:rPr>
          <w:rFonts w:ascii="仿宋" w:hAnsi="仿宋" w:eastAsia="仿宋" w:cs="Courier New"/>
          <w:bCs/>
          <w:highlight w:val="none"/>
        </w:rPr>
        <w:t xml:space="preserve">保密，</w:t>
      </w:r>
      <w:r>
        <w:rPr>
          <w:rFonts w:hint="eastAsia" w:ascii="仿宋" w:hAnsi="仿宋" w:eastAsia="仿宋" w:cs="Courier New"/>
          <w:bCs/>
          <w:highlight w:val="none"/>
        </w:rPr>
        <w:t xml:space="preserve">乙方</w:t>
      </w:r>
      <w:r>
        <w:rPr>
          <w:rFonts w:ascii="仿宋" w:hAnsi="仿宋" w:eastAsia="仿宋" w:cs="Courier New"/>
          <w:bCs/>
          <w:highlight w:val="none"/>
        </w:rPr>
        <w:t xml:space="preserve">不得以任何形式泄露给任何第三方，否则将承担法律责任。</w:t>
      </w:r>
      <w:r/>
    </w:p>
    <w:p>
      <w:pPr>
        <w:pStyle w:val="719"/>
        <w:ind w:firstLine="480"/>
        <w:tabs>
          <w:tab w:val="left" w:pos="210" w:leader="none"/>
        </w:tabs>
        <w:rPr>
          <w:rFonts w:ascii="仿宋" w:hAnsi="仿宋" w:eastAsia="仿宋"/>
          <w:highlight w:val="none"/>
        </w:rPr>
      </w:pPr>
      <w:r>
        <w:rPr>
          <w:rFonts w:hint="eastAsia" w:ascii="仿宋" w:hAnsi="仿宋" w:eastAsia="仿宋" w:cs="Times New Roman"/>
          <w:highlight w:val="none"/>
        </w:rPr>
        <w:t xml:space="preserve">十七、违约责任</w:t>
      </w:r>
      <w:r/>
    </w:p>
    <w:p>
      <w:pPr>
        <w:ind w:left="410" w:hanging="359"/>
        <w:jc w:val="both"/>
        <w:spacing w:line="360" w:lineRule="auto"/>
        <w:rPr>
          <w:rFonts w:ascii="仿宋" w:hAnsi="仿宋" w:eastAsia="仿宋" w:cs="Courier New"/>
          <w:bCs/>
          <w:highlight w:val="none"/>
        </w:rPr>
      </w:pPr>
      <w:r>
        <w:rPr>
          <w:rFonts w:hint="eastAsia" w:ascii="仿宋" w:hAnsi="仿宋" w:eastAsia="仿宋" w:cs="Courier New"/>
          <w:bCs/>
          <w:highlight w:val="none"/>
        </w:rPr>
        <w:t xml:space="preserve">1</w:t>
      </w:r>
      <w:r>
        <w:rPr>
          <w:rFonts w:ascii="仿宋" w:hAnsi="仿宋" w:eastAsia="仿宋" w:cs="Courier New"/>
          <w:bCs/>
          <w:highlight w:val="none"/>
        </w:rPr>
        <w:t xml:space="preserve">7</w:t>
      </w:r>
      <w:r>
        <w:rPr>
          <w:rFonts w:hint="eastAsia" w:ascii="仿宋" w:hAnsi="仿宋" w:eastAsia="仿宋" w:cs="Courier New"/>
          <w:bCs/>
          <w:highlight w:val="none"/>
        </w:rPr>
        <w:t xml:space="preserve">.1乙方提供的服务内容不符合约定的质量要求，甲方有权解除或终止合同，并要求乙方按合同总价款的5%支付违约金，给甲方造成经济损失的，乙方还应如数赔偿。</w:t>
      </w:r>
      <w:r/>
    </w:p>
    <w:p>
      <w:pPr>
        <w:ind w:left="410" w:hanging="359"/>
        <w:jc w:val="both"/>
        <w:spacing w:line="360" w:lineRule="auto"/>
        <w:rPr>
          <w:rFonts w:ascii="仿宋" w:hAnsi="仿宋" w:eastAsia="仿宋" w:cs="Courier New"/>
          <w:bCs/>
          <w:highlight w:val="none"/>
        </w:rPr>
      </w:pPr>
      <w:r>
        <w:rPr>
          <w:rFonts w:hint="eastAsia" w:ascii="仿宋" w:hAnsi="仿宋" w:eastAsia="仿宋" w:cs="Courier New"/>
          <w:bCs/>
          <w:highlight w:val="none"/>
        </w:rPr>
        <w:t xml:space="preserve">1</w:t>
      </w:r>
      <w:r>
        <w:rPr>
          <w:rFonts w:ascii="仿宋" w:hAnsi="仿宋" w:eastAsia="仿宋" w:cs="Courier New"/>
          <w:bCs/>
          <w:highlight w:val="none"/>
        </w:rPr>
        <w:t xml:space="preserve">7</w:t>
      </w:r>
      <w:r>
        <w:rPr>
          <w:rFonts w:hint="eastAsia" w:ascii="仿宋" w:hAnsi="仿宋" w:eastAsia="仿宋" w:cs="Courier New"/>
          <w:bCs/>
          <w:highlight w:val="none"/>
        </w:rPr>
        <w:t xml:space="preserve">.2在履行合同的过程中，如果乙方遇到妨碍不能按时交货和提供服务的情况时，应及时以书面形式将拖延的事实、可能拖延的时间和原因通知甲方。甲方在收到乙方通知后，应尽快对情况进行核实，并有权根据情况确定是否酌情延长交货时间以及是否收取逾期交货的违约金及损害赔偿金</w:t>
      </w:r>
      <w:r>
        <w:rPr>
          <w:rFonts w:hint="eastAsia" w:ascii="仿宋" w:hAnsi="仿宋" w:eastAsia="仿宋" w:cs="Courier New"/>
          <w:bCs/>
          <w:highlight w:val="none"/>
          <w:lang w:eastAsia="zh-CN"/>
        </w:rPr>
        <w:t xml:space="preserve">（</w:t>
      </w:r>
      <w:r>
        <w:rPr>
          <w:rFonts w:hint="eastAsia" w:ascii="仿宋" w:hAnsi="仿宋" w:eastAsia="仿宋" w:cs="Courier New"/>
          <w:bCs/>
          <w:highlight w:val="none"/>
        </w:rPr>
        <w:t xml:space="preserve">如有</w:t>
      </w:r>
      <w:r>
        <w:rPr>
          <w:rFonts w:hint="eastAsia" w:ascii="仿宋" w:hAnsi="仿宋" w:eastAsia="仿宋" w:cs="Courier New"/>
          <w:bCs/>
          <w:highlight w:val="none"/>
          <w:lang w:eastAsia="zh-CN"/>
        </w:rPr>
        <w:t xml:space="preserve">）</w:t>
      </w:r>
      <w:r>
        <w:rPr>
          <w:rFonts w:hint="eastAsia" w:ascii="仿宋" w:hAnsi="仿宋" w:eastAsia="仿宋" w:cs="Courier New"/>
          <w:bCs/>
          <w:highlight w:val="none"/>
        </w:rPr>
        <w:t xml:space="preserve">，或依照法律程序经和乙方协商后解除部分或全部合同。</w:t>
      </w:r>
      <w:r/>
    </w:p>
    <w:p>
      <w:pPr>
        <w:ind w:left="410" w:hanging="359"/>
        <w:jc w:val="both"/>
        <w:spacing w:line="360" w:lineRule="auto"/>
        <w:rPr>
          <w:rFonts w:ascii="仿宋" w:hAnsi="仿宋" w:eastAsia="仿宋" w:cs="Courier New"/>
          <w:bCs/>
          <w:highlight w:val="none"/>
        </w:rPr>
      </w:pPr>
      <w:r>
        <w:rPr>
          <w:rFonts w:hint="eastAsia" w:ascii="仿宋" w:hAnsi="仿宋" w:eastAsia="仿宋" w:cs="Courier New"/>
          <w:bCs/>
          <w:highlight w:val="none"/>
        </w:rPr>
        <w:t xml:space="preserve">1</w:t>
      </w:r>
      <w:r>
        <w:rPr>
          <w:rFonts w:ascii="仿宋" w:hAnsi="仿宋" w:eastAsia="仿宋" w:cs="Courier New"/>
          <w:bCs/>
          <w:highlight w:val="none"/>
        </w:rPr>
        <w:t xml:space="preserve">7</w:t>
      </w:r>
      <w:r>
        <w:rPr>
          <w:rFonts w:hint="eastAsia" w:ascii="仿宋" w:hAnsi="仿宋" w:eastAsia="仿宋" w:cs="Courier New"/>
          <w:bCs/>
          <w:highlight w:val="none"/>
        </w:rPr>
        <w:t xml:space="preserve">.3如乙方逾期交付本合同中约定的产品且未经甲方同意延长交付时间，每逾期一日，乙方应向甲方支付合同总额5‰的逾期交付违约金，逾期交付超过30天，甲方有权终止合同，但因甲方原因造成延期交付的除外。</w:t>
      </w:r>
      <w:r/>
    </w:p>
    <w:p>
      <w:pPr>
        <w:ind w:left="410" w:hanging="359"/>
        <w:jc w:val="both"/>
        <w:spacing w:line="360" w:lineRule="auto"/>
        <w:rPr>
          <w:rFonts w:ascii="仿宋" w:hAnsi="仿宋" w:eastAsia="仿宋" w:cs="Courier New"/>
          <w:bCs/>
          <w:highlight w:val="none"/>
        </w:rPr>
      </w:pPr>
      <w:r>
        <w:rPr>
          <w:rFonts w:hint="eastAsia" w:ascii="仿宋" w:hAnsi="仿宋" w:eastAsia="仿宋" w:cs="Courier New"/>
          <w:bCs/>
          <w:highlight w:val="none"/>
        </w:rPr>
        <w:t xml:space="preserve">1</w:t>
      </w:r>
      <w:r>
        <w:rPr>
          <w:rFonts w:ascii="仿宋" w:hAnsi="仿宋" w:eastAsia="仿宋" w:cs="Courier New"/>
          <w:bCs/>
          <w:highlight w:val="none"/>
        </w:rPr>
        <w:t xml:space="preserve">7</w:t>
      </w:r>
      <w:r>
        <w:rPr>
          <w:rFonts w:hint="eastAsia" w:ascii="仿宋" w:hAnsi="仿宋" w:eastAsia="仿宋" w:cs="Courier New"/>
          <w:bCs/>
          <w:highlight w:val="none"/>
        </w:rPr>
        <w:t xml:space="preserve">.4乙方如无不可抗力，又未履行采购文件、响应文件和合同条款的，一经查实，乙方须在甲方规定时间内无条件100%退回甲方该项目所付款项，乙方赔偿由此给甲方造成的直接损失，并按照合同总价的30%向甲方支付违约金，因采购活动产生的其他责任及后果按采购文件的相关要求及处理方式执行。</w:t>
      </w:r>
      <w:r/>
    </w:p>
    <w:p>
      <w:pPr>
        <w:ind w:left="410" w:hanging="359"/>
        <w:jc w:val="both"/>
        <w:spacing w:line="360" w:lineRule="auto"/>
        <w:rPr>
          <w:rFonts w:ascii="仿宋" w:hAnsi="仿宋" w:eastAsia="仿宋" w:cs="Courier New"/>
          <w:bCs/>
          <w:highlight w:val="none"/>
        </w:rPr>
      </w:pPr>
      <w:r>
        <w:rPr>
          <w:rFonts w:hint="eastAsia" w:ascii="仿宋" w:hAnsi="仿宋" w:eastAsia="仿宋" w:cs="Courier New"/>
          <w:bCs/>
          <w:highlight w:val="none"/>
        </w:rPr>
        <w:t xml:space="preserve">1</w:t>
      </w:r>
      <w:r>
        <w:rPr>
          <w:rFonts w:ascii="仿宋" w:hAnsi="仿宋" w:eastAsia="仿宋" w:cs="Courier New"/>
          <w:bCs/>
          <w:highlight w:val="none"/>
        </w:rPr>
        <w:t xml:space="preserve">7</w:t>
      </w:r>
      <w:r>
        <w:rPr>
          <w:rFonts w:hint="eastAsia" w:ascii="仿宋" w:hAnsi="仿宋" w:eastAsia="仿宋" w:cs="Courier New"/>
          <w:bCs/>
          <w:highlight w:val="none"/>
        </w:rPr>
        <w:t xml:space="preserve">.5由于乙方提供货物质量和安装存在问题和缺陷导致任何人身、财产损害的，乙方应负责承担由此产生的责任，与甲方无关。如不可避免地造成甲方损失的，甲方有权向乙方追偿</w:t>
      </w:r>
      <w:r>
        <w:rPr>
          <w:rFonts w:hint="eastAsia" w:ascii="仿宋" w:hAnsi="仿宋" w:eastAsia="仿宋" w:cs="Courier New"/>
          <w:bCs/>
          <w:highlight w:val="none"/>
          <w:lang w:eastAsia="zh-CN"/>
        </w:rPr>
        <w:t xml:space="preserve">（</w:t>
      </w:r>
      <w:r>
        <w:rPr>
          <w:rFonts w:hint="eastAsia" w:ascii="仿宋" w:hAnsi="仿宋" w:eastAsia="仿宋" w:cs="Courier New"/>
          <w:bCs/>
          <w:highlight w:val="none"/>
        </w:rPr>
        <w:t xml:space="preserve">该等损失包括但不限于损害赔偿金、甲方为解决纠纷支付的律师费、诉讼费、差旅费等合理费用</w:t>
      </w:r>
      <w:r>
        <w:rPr>
          <w:rFonts w:hint="eastAsia" w:ascii="仿宋" w:hAnsi="仿宋" w:eastAsia="仿宋" w:cs="Courier New"/>
          <w:bCs/>
          <w:highlight w:val="none"/>
          <w:lang w:eastAsia="zh-CN"/>
        </w:rPr>
        <w:t xml:space="preserve">）</w:t>
      </w:r>
      <w:r>
        <w:rPr>
          <w:rFonts w:hint="eastAsia" w:ascii="仿宋" w:hAnsi="仿宋" w:eastAsia="仿宋" w:cs="Courier New"/>
          <w:bCs/>
          <w:highlight w:val="none"/>
        </w:rPr>
        <w:t xml:space="preserve">。乙方并应按照合同总价的20%向甲方支付违约金，如给甲方造成其他损失的，乙方还应负责赔偿。</w:t>
      </w:r>
      <w:r/>
    </w:p>
    <w:p>
      <w:pPr>
        <w:ind w:left="410" w:hanging="359"/>
        <w:jc w:val="both"/>
        <w:spacing w:line="360" w:lineRule="auto"/>
        <w:rPr>
          <w:rFonts w:ascii="仿宋" w:hAnsi="仿宋" w:eastAsia="仿宋" w:cs="Courier New"/>
          <w:bCs/>
          <w:highlight w:val="none"/>
        </w:rPr>
      </w:pPr>
      <w:r>
        <w:rPr>
          <w:rFonts w:hint="eastAsia" w:ascii="仿宋" w:hAnsi="仿宋" w:eastAsia="仿宋" w:cs="Courier New"/>
          <w:bCs/>
          <w:highlight w:val="none"/>
        </w:rPr>
        <w:t xml:space="preserve">1</w:t>
      </w:r>
      <w:r>
        <w:rPr>
          <w:rFonts w:ascii="仿宋" w:hAnsi="仿宋" w:eastAsia="仿宋" w:cs="Courier New"/>
          <w:bCs/>
          <w:highlight w:val="none"/>
        </w:rPr>
        <w:t xml:space="preserve">7</w:t>
      </w:r>
      <w:r>
        <w:rPr>
          <w:rFonts w:hint="eastAsia" w:ascii="仿宋" w:hAnsi="仿宋" w:eastAsia="仿宋" w:cs="Courier New"/>
          <w:bCs/>
          <w:highlight w:val="none"/>
        </w:rPr>
        <w:t xml:space="preserve">.6未经甲方事先书面同意，乙方不得通过任何方式出售、转让或转移其在本合同项下的任何权利或义务。</w:t>
      </w:r>
      <w:r/>
    </w:p>
    <w:p>
      <w:pPr>
        <w:ind w:left="410" w:hanging="359"/>
        <w:jc w:val="both"/>
        <w:spacing w:line="360" w:lineRule="auto"/>
        <w:rPr>
          <w:rFonts w:hint="eastAsia" w:ascii="仿宋" w:hAnsi="仿宋" w:eastAsia="仿宋" w:cs="Courier New"/>
          <w:bCs/>
          <w:highlight w:val="none"/>
        </w:rPr>
      </w:pPr>
      <w:r>
        <w:rPr>
          <w:rFonts w:hint="eastAsia" w:ascii="仿宋" w:hAnsi="仿宋" w:eastAsia="仿宋" w:cs="Courier New"/>
          <w:bCs/>
          <w:highlight w:val="none"/>
        </w:rPr>
        <w:t xml:space="preserve">17.7乙方应当向甲方支付违约金或赔偿金的，应当在甲方发出索赔通知后10日之内支付给甲方。如甲方尚有未向乙方支付的款项的，乙方同意甲方有权从未支付款项中扣除相应数额的款项。</w:t>
      </w:r>
      <w:r/>
    </w:p>
    <w:p>
      <w:pPr>
        <w:pStyle w:val="719"/>
        <w:ind w:firstLine="480"/>
        <w:tabs>
          <w:tab w:val="left" w:pos="210" w:leader="none"/>
        </w:tabs>
        <w:rPr>
          <w:rFonts w:ascii="仿宋" w:hAnsi="仿宋" w:eastAsia="仿宋"/>
          <w:highlight w:val="none"/>
        </w:rPr>
      </w:pPr>
      <w:r>
        <w:rPr>
          <w:rFonts w:hint="eastAsia" w:ascii="仿宋" w:hAnsi="仿宋" w:eastAsia="仿宋" w:cs="Times New Roman"/>
          <w:highlight w:val="none"/>
        </w:rPr>
        <w:t xml:space="preserve">十八、不可抗力</w:t>
      </w:r>
      <w:r/>
    </w:p>
    <w:p>
      <w:pPr>
        <w:ind w:left="410" w:hanging="359"/>
        <w:jc w:val="both"/>
        <w:spacing w:line="360" w:lineRule="auto"/>
        <w:rPr>
          <w:rFonts w:ascii="仿宋" w:hAnsi="仿宋" w:eastAsia="仿宋" w:cs="Courier New"/>
          <w:bCs/>
          <w:highlight w:val="none"/>
        </w:rPr>
      </w:pPr>
      <w:r>
        <w:rPr>
          <w:rFonts w:hint="eastAsia" w:ascii="仿宋" w:hAnsi="仿宋" w:eastAsia="仿宋" w:cs="Courier New"/>
          <w:bCs/>
          <w:highlight w:val="none"/>
        </w:rPr>
        <w:t xml:space="preserve">1</w:t>
      </w:r>
      <w:r>
        <w:rPr>
          <w:rFonts w:ascii="仿宋" w:hAnsi="仿宋" w:eastAsia="仿宋" w:cs="Courier New"/>
          <w:bCs/>
          <w:highlight w:val="none"/>
        </w:rPr>
        <w:t xml:space="preserve">8</w:t>
      </w:r>
      <w:r>
        <w:rPr>
          <w:rFonts w:hint="eastAsia" w:ascii="仿宋" w:hAnsi="仿宋" w:eastAsia="仿宋" w:cs="Courier New"/>
          <w:bCs/>
          <w:highlight w:val="none"/>
        </w:rPr>
        <w:t xml:space="preserve">.1由于不可抗力因素（指火灾、地震、洪水、战争等）导致影响本合同规定条款执行，受不可抗力的一方免于承担因此可能发生的违约责任，但免责方应当在不可抗力发生后24小时内通知对方，使对方及时采取措施防止损失的扩大，否则将赔偿对方由于未能采取措施而遭受的损失。</w:t>
      </w:r>
      <w:r/>
    </w:p>
    <w:p>
      <w:pPr>
        <w:pStyle w:val="719"/>
        <w:ind w:firstLine="480"/>
        <w:tabs>
          <w:tab w:val="left" w:pos="210" w:leader="none"/>
        </w:tabs>
        <w:rPr>
          <w:rFonts w:ascii="仿宋" w:hAnsi="仿宋" w:eastAsia="仿宋"/>
          <w:highlight w:val="none"/>
        </w:rPr>
      </w:pPr>
      <w:r>
        <w:rPr>
          <w:rFonts w:hint="eastAsia" w:ascii="仿宋" w:hAnsi="仿宋" w:eastAsia="仿宋" w:cs="Times New Roman"/>
          <w:highlight w:val="none"/>
        </w:rPr>
        <w:t xml:space="preserve">十九、争议解决</w:t>
      </w:r>
      <w:r/>
    </w:p>
    <w:p>
      <w:pPr>
        <w:ind w:left="410" w:hanging="359"/>
        <w:spacing w:line="360" w:lineRule="auto"/>
        <w:rPr>
          <w:rFonts w:ascii="仿宋" w:hAnsi="仿宋" w:eastAsia="仿宋"/>
          <w:highlight w:val="none"/>
        </w:rPr>
      </w:pPr>
      <w:r>
        <w:rPr>
          <w:rFonts w:ascii="仿宋" w:hAnsi="仿宋" w:eastAsia="仿宋" w:cs="Courier New"/>
          <w:bCs/>
          <w:highlight w:val="none"/>
        </w:rPr>
        <w:t xml:space="preserve">19</w:t>
      </w:r>
      <w:r>
        <w:rPr>
          <w:rFonts w:hint="eastAsia" w:ascii="仿宋" w:hAnsi="仿宋" w:eastAsia="仿宋" w:cs="Courier New"/>
          <w:bCs/>
          <w:highlight w:val="none"/>
        </w:rPr>
        <w:t xml:space="preserve">.1甲乙双方若就本合同发生任何争议，应首先协商解决，协商不能解决时，甲乙双方均应向甲方所在地人民法院提起诉讼。</w:t>
      </w:r>
      <w:r/>
    </w:p>
    <w:p>
      <w:pPr>
        <w:pStyle w:val="719"/>
        <w:ind w:firstLine="480"/>
        <w:tabs>
          <w:tab w:val="left" w:pos="210" w:leader="none"/>
        </w:tabs>
        <w:rPr>
          <w:rFonts w:ascii="仿宋" w:hAnsi="仿宋" w:eastAsia="仿宋"/>
          <w:highlight w:val="none"/>
        </w:rPr>
      </w:pPr>
      <w:r>
        <w:rPr>
          <w:rFonts w:hint="eastAsia" w:ascii="仿宋" w:hAnsi="仿宋" w:eastAsia="仿宋" w:cs="Times New Roman"/>
          <w:highlight w:val="none"/>
        </w:rPr>
        <w:t xml:space="preserve">二十、其他</w:t>
      </w:r>
      <w:r/>
    </w:p>
    <w:p>
      <w:pPr>
        <w:ind w:left="410" w:hanging="359"/>
        <w:jc w:val="both"/>
        <w:spacing w:line="360" w:lineRule="auto"/>
        <w:rPr>
          <w:rFonts w:ascii="仿宋" w:hAnsi="仿宋" w:eastAsia="仿宋" w:cs="Courier New"/>
          <w:bCs/>
          <w:highlight w:val="none"/>
        </w:rPr>
      </w:pPr>
      <w:r>
        <w:rPr>
          <w:rFonts w:hint="eastAsia" w:ascii="仿宋" w:hAnsi="仿宋" w:eastAsia="仿宋" w:cs="Courier New"/>
          <w:bCs/>
          <w:highlight w:val="none"/>
        </w:rPr>
        <w:t xml:space="preserve">2</w:t>
      </w:r>
      <w:r>
        <w:rPr>
          <w:rFonts w:ascii="仿宋" w:hAnsi="仿宋" w:eastAsia="仿宋" w:cs="Courier New"/>
          <w:bCs/>
          <w:highlight w:val="none"/>
        </w:rPr>
        <w:t xml:space="preserve">0</w:t>
      </w:r>
      <w:r>
        <w:rPr>
          <w:rFonts w:hint="eastAsia" w:ascii="仿宋" w:hAnsi="仿宋" w:eastAsia="仿宋" w:cs="Courier New"/>
          <w:bCs/>
          <w:highlight w:val="none"/>
        </w:rPr>
        <w:t xml:space="preserve">.1本合同履行过程中的一切安全责任和费用均由乙方承担。</w:t>
      </w:r>
      <w:r/>
    </w:p>
    <w:p>
      <w:pPr>
        <w:ind w:left="410" w:hanging="359"/>
        <w:jc w:val="both"/>
        <w:spacing w:line="360" w:lineRule="auto"/>
        <w:rPr>
          <w:rFonts w:ascii="仿宋" w:hAnsi="仿宋" w:eastAsia="仿宋" w:cs="Courier New"/>
          <w:bCs/>
          <w:highlight w:val="none"/>
        </w:rPr>
      </w:pPr>
      <w:r>
        <w:rPr>
          <w:rFonts w:hint="eastAsia" w:ascii="仿宋" w:hAnsi="仿宋" w:eastAsia="仿宋" w:cs="Courier New"/>
          <w:bCs/>
          <w:highlight w:val="none"/>
        </w:rPr>
        <w:t xml:space="preserve">2</w:t>
      </w:r>
      <w:r>
        <w:rPr>
          <w:rFonts w:ascii="仿宋" w:hAnsi="仿宋" w:eastAsia="仿宋" w:cs="Courier New"/>
          <w:bCs/>
          <w:highlight w:val="none"/>
        </w:rPr>
        <w:t xml:space="preserve">0</w:t>
      </w:r>
      <w:r>
        <w:rPr>
          <w:rFonts w:hint="eastAsia" w:ascii="仿宋" w:hAnsi="仿宋" w:eastAsia="仿宋" w:cs="Courier New"/>
          <w:bCs/>
          <w:highlight w:val="none"/>
        </w:rPr>
        <w:t xml:space="preserve">.2甲方在符合国产相关法律管理要求的前提下拥有本项目产品在南通大学附属医院内的永久所有权和使用权，乙方永久向甲方保持系统开放。</w:t>
      </w:r>
      <w:r/>
    </w:p>
    <w:p>
      <w:pPr>
        <w:ind w:left="410" w:hanging="359"/>
        <w:jc w:val="both"/>
        <w:spacing w:line="360" w:lineRule="auto"/>
        <w:rPr>
          <w:rFonts w:ascii="仿宋" w:hAnsi="仿宋" w:eastAsia="仿宋" w:cs="Courier New"/>
          <w:bCs/>
          <w:highlight w:val="none"/>
        </w:rPr>
      </w:pPr>
      <w:r>
        <w:rPr>
          <w:rFonts w:hint="eastAsia" w:ascii="仿宋" w:hAnsi="仿宋" w:eastAsia="仿宋" w:cs="Courier New"/>
          <w:bCs/>
          <w:highlight w:val="none"/>
        </w:rPr>
        <w:t xml:space="preserve">2</w:t>
      </w:r>
      <w:r>
        <w:rPr>
          <w:rFonts w:ascii="仿宋" w:hAnsi="仿宋" w:eastAsia="仿宋" w:cs="Courier New"/>
          <w:bCs/>
          <w:highlight w:val="none"/>
        </w:rPr>
        <w:t xml:space="preserve">0</w:t>
      </w:r>
      <w:r>
        <w:rPr>
          <w:rFonts w:hint="eastAsia" w:ascii="仿宋" w:hAnsi="仿宋" w:eastAsia="仿宋" w:cs="Courier New"/>
          <w:bCs/>
          <w:highlight w:val="none"/>
        </w:rPr>
        <w:t xml:space="preserve">.3乙方承诺对本合同内的建设内容在整个使用周期内的维护。</w:t>
      </w:r>
      <w:r/>
    </w:p>
    <w:p>
      <w:pPr>
        <w:ind w:left="410" w:hanging="359"/>
        <w:jc w:val="both"/>
        <w:spacing w:line="360" w:lineRule="auto"/>
        <w:rPr>
          <w:rFonts w:ascii="仿宋" w:hAnsi="仿宋" w:eastAsia="仿宋" w:cs="Courier New"/>
          <w:bCs/>
          <w:highlight w:val="none"/>
        </w:rPr>
      </w:pPr>
      <w:r>
        <w:rPr>
          <w:rFonts w:hint="eastAsia" w:ascii="仿宋" w:hAnsi="仿宋" w:eastAsia="仿宋" w:cs="Courier New"/>
          <w:bCs/>
          <w:highlight w:val="none"/>
        </w:rPr>
        <w:t xml:space="preserve">2</w:t>
      </w:r>
      <w:r>
        <w:rPr>
          <w:rFonts w:ascii="仿宋" w:hAnsi="仿宋" w:eastAsia="仿宋" w:cs="Courier New"/>
          <w:bCs/>
          <w:highlight w:val="none"/>
        </w:rPr>
        <w:t xml:space="preserve">0</w:t>
      </w:r>
      <w:r>
        <w:rPr>
          <w:rFonts w:hint="eastAsia" w:ascii="仿宋" w:hAnsi="仿宋" w:eastAsia="仿宋" w:cs="Courier New"/>
          <w:bCs/>
          <w:highlight w:val="none"/>
        </w:rPr>
        <w:t xml:space="preserve">.</w:t>
      </w:r>
      <w:r>
        <w:rPr>
          <w:rFonts w:ascii="仿宋" w:hAnsi="仿宋" w:eastAsia="仿宋" w:cs="Courier New"/>
          <w:bCs/>
          <w:highlight w:val="none"/>
        </w:rPr>
        <w:t xml:space="preserve">4</w:t>
      </w:r>
      <w:r>
        <w:rPr>
          <w:rFonts w:hint="eastAsia" w:ascii="仿宋" w:hAnsi="仿宋" w:eastAsia="仿宋" w:cs="Courier New"/>
          <w:bCs/>
          <w:highlight w:val="none"/>
        </w:rPr>
        <w:t xml:space="preserve">乙方承诺免费对接甲方本项目中相关的硬件设备。</w:t>
      </w:r>
      <w:r/>
    </w:p>
    <w:p>
      <w:pPr>
        <w:ind w:left="410" w:hanging="359"/>
        <w:jc w:val="both"/>
        <w:spacing w:line="360" w:lineRule="auto"/>
        <w:rPr>
          <w:rFonts w:ascii="仿宋" w:hAnsi="仿宋" w:eastAsia="仿宋" w:cs="Courier New"/>
          <w:bCs/>
          <w:highlight w:val="none"/>
        </w:rPr>
      </w:pPr>
      <w:r>
        <w:rPr>
          <w:rFonts w:hint="eastAsia" w:ascii="仿宋" w:hAnsi="仿宋" w:eastAsia="仿宋" w:cs="Courier New"/>
          <w:bCs/>
          <w:highlight w:val="none"/>
        </w:rPr>
        <w:t xml:space="preserve">2</w:t>
      </w:r>
      <w:r>
        <w:rPr>
          <w:rFonts w:ascii="仿宋" w:hAnsi="仿宋" w:eastAsia="仿宋" w:cs="Courier New"/>
          <w:bCs/>
          <w:highlight w:val="none"/>
        </w:rPr>
        <w:t xml:space="preserve">0</w:t>
      </w:r>
      <w:r>
        <w:rPr>
          <w:rFonts w:hint="eastAsia" w:ascii="仿宋" w:hAnsi="仿宋" w:eastAsia="仿宋" w:cs="Courier New"/>
          <w:bCs/>
          <w:highlight w:val="none"/>
        </w:rPr>
        <w:t xml:space="preserve">.</w:t>
      </w:r>
      <w:r>
        <w:rPr>
          <w:rFonts w:ascii="仿宋" w:hAnsi="仿宋" w:eastAsia="仿宋" w:cs="Courier New"/>
          <w:bCs/>
          <w:highlight w:val="none"/>
        </w:rPr>
        <w:t xml:space="preserve">5</w:t>
      </w:r>
      <w:r>
        <w:rPr>
          <w:rFonts w:hint="eastAsia" w:ascii="仿宋" w:hAnsi="仿宋" w:eastAsia="仿宋" w:cs="Courier New"/>
          <w:bCs/>
          <w:highlight w:val="none"/>
        </w:rPr>
        <w:t xml:space="preserve">乙方承诺后续涉及软件功能改造部分，涉及到新增模块级别功能或者系统架构级别的更新产生费用，提供报价清单并经甲乙双方友好协商后，按协商价格收取。若甲方对费用存有疑义，由甲方聘请咨询服务公司审核报价，乙方需接受该报价（咨询费用由乙方支付）。对于有时间要求的功能改造，乙方承诺不会以商务未谈拢拒绝响应。</w:t>
      </w:r>
      <w:r/>
    </w:p>
    <w:p>
      <w:pPr>
        <w:ind w:left="410" w:hanging="359"/>
        <w:jc w:val="both"/>
        <w:spacing w:line="360" w:lineRule="auto"/>
        <w:rPr>
          <w:rFonts w:ascii="仿宋" w:hAnsi="仿宋" w:eastAsia="仿宋" w:cs="Courier New"/>
          <w:bCs/>
          <w:highlight w:val="none"/>
        </w:rPr>
      </w:pPr>
      <w:r>
        <w:rPr>
          <w:rFonts w:hint="eastAsia" w:ascii="仿宋" w:hAnsi="仿宋" w:eastAsia="仿宋" w:cs="Courier New"/>
          <w:bCs/>
          <w:highlight w:val="none"/>
        </w:rPr>
        <w:t xml:space="preserve">2</w:t>
      </w:r>
      <w:r>
        <w:rPr>
          <w:rFonts w:ascii="仿宋" w:hAnsi="仿宋" w:eastAsia="仿宋" w:cs="Courier New"/>
          <w:bCs/>
          <w:highlight w:val="none"/>
        </w:rPr>
        <w:t xml:space="preserve">0</w:t>
      </w:r>
      <w:r>
        <w:rPr>
          <w:rFonts w:hint="eastAsia" w:ascii="仿宋" w:hAnsi="仿宋" w:eastAsia="仿宋" w:cs="Courier New"/>
          <w:bCs/>
          <w:highlight w:val="none"/>
        </w:rPr>
        <w:t xml:space="preserve">.</w:t>
      </w:r>
      <w:r>
        <w:rPr>
          <w:rFonts w:ascii="仿宋" w:hAnsi="仿宋" w:eastAsia="仿宋" w:cs="Courier New"/>
          <w:bCs/>
          <w:highlight w:val="none"/>
        </w:rPr>
        <w:t xml:space="preserve">6</w:t>
      </w:r>
      <w:r>
        <w:rPr>
          <w:rFonts w:hint="eastAsia" w:ascii="仿宋" w:hAnsi="仿宋" w:eastAsia="仿宋" w:cs="Courier New"/>
          <w:bCs/>
          <w:highlight w:val="none"/>
        </w:rPr>
        <w:t xml:space="preserve">对于甲方提出的紧急需求任务（一般指上级部门文件、院内文件，或对接国家、省、市数据平台，或配合院内第三方系统并有时效要求的任务），乙方承诺做到及时响应并在甲方要求的工期内完工。若有1次未能按时完成，扣除本合同总金额的5%。</w:t>
      </w:r>
      <w:r/>
    </w:p>
    <w:p>
      <w:pPr>
        <w:pStyle w:val="719"/>
        <w:ind w:firstLine="480"/>
        <w:tabs>
          <w:tab w:val="left" w:pos="210" w:leader="none"/>
        </w:tabs>
        <w:rPr>
          <w:rFonts w:ascii="仿宋" w:hAnsi="仿宋" w:eastAsia="仿宋"/>
          <w:highlight w:val="none"/>
        </w:rPr>
      </w:pPr>
      <w:r>
        <w:rPr>
          <w:rFonts w:hint="eastAsia" w:ascii="仿宋" w:hAnsi="仿宋" w:eastAsia="仿宋" w:cs="Times New Roman"/>
          <w:highlight w:val="none"/>
        </w:rPr>
        <w:t xml:space="preserve">二十一、合同构成</w:t>
      </w:r>
      <w:r/>
    </w:p>
    <w:p>
      <w:pPr>
        <w:ind w:left="410" w:hanging="359"/>
        <w:spacing w:line="360" w:lineRule="auto"/>
        <w:rPr>
          <w:rFonts w:ascii="仿宋" w:hAnsi="仿宋" w:eastAsia="仿宋" w:cs="Courier New"/>
          <w:bCs/>
          <w:highlight w:val="none"/>
        </w:rPr>
      </w:pPr>
      <w:r>
        <w:rPr>
          <w:rFonts w:ascii="仿宋" w:hAnsi="仿宋" w:eastAsia="仿宋" w:cs="Courier New"/>
          <w:bCs/>
          <w:highlight w:val="none"/>
        </w:rPr>
        <w:t xml:space="preserve">21</w:t>
      </w:r>
      <w:r>
        <w:rPr>
          <w:rFonts w:hint="eastAsia" w:ascii="仿宋" w:hAnsi="仿宋" w:eastAsia="仿宋" w:cs="Courier New"/>
          <w:bCs/>
          <w:highlight w:val="none"/>
        </w:rPr>
        <w:t xml:space="preserve">.1下述文件是构成合同不可分割的部分，具有同等的法律效力，应一并阅读和理解，若文本之间存在争议，则以甲方有利的方法解释。</w:t>
      </w:r>
      <w:r/>
    </w:p>
    <w:p>
      <w:pPr>
        <w:pStyle w:val="861"/>
        <w:ind w:left="420" w:firstLine="0"/>
        <w:spacing w:line="300" w:lineRule="auto"/>
        <w:tabs>
          <w:tab w:val="left" w:pos="360" w:leader="none"/>
        </w:tabs>
        <w:rPr>
          <w:rFonts w:ascii="仿宋" w:hAnsi="仿宋" w:eastAsia="仿宋"/>
          <w:highlight w:val="none"/>
        </w:rPr>
      </w:pPr>
      <w:r>
        <w:rPr>
          <w:rFonts w:hint="eastAsia" w:ascii="仿宋" w:hAnsi="仿宋" w:eastAsia="仿宋"/>
          <w:highlight w:val="none"/>
        </w:rPr>
        <w:t xml:space="preserve">（1）采购文件。</w:t>
      </w:r>
      <w:r/>
    </w:p>
    <w:p>
      <w:pPr>
        <w:pStyle w:val="861"/>
        <w:ind w:left="420" w:firstLine="0"/>
        <w:spacing w:line="300" w:lineRule="auto"/>
        <w:tabs>
          <w:tab w:val="left" w:pos="360" w:leader="none"/>
        </w:tabs>
        <w:rPr>
          <w:rFonts w:ascii="仿宋" w:hAnsi="仿宋" w:eastAsia="仿宋"/>
          <w:highlight w:val="none"/>
        </w:rPr>
      </w:pPr>
      <w:r>
        <w:rPr>
          <w:rFonts w:hint="eastAsia" w:ascii="仿宋" w:hAnsi="仿宋" w:eastAsia="仿宋"/>
          <w:highlight w:val="none"/>
        </w:rPr>
        <w:t xml:space="preserve">（2）应标</w:t>
      </w:r>
      <w:r>
        <w:rPr>
          <w:rFonts w:ascii="仿宋" w:hAnsi="仿宋" w:eastAsia="仿宋"/>
          <w:highlight w:val="none"/>
        </w:rPr>
        <w:t xml:space="preserve">文件</w:t>
      </w:r>
      <w:r>
        <w:rPr>
          <w:rFonts w:hint="eastAsia" w:ascii="仿宋" w:hAnsi="仿宋" w:eastAsia="仿宋"/>
          <w:highlight w:val="none"/>
        </w:rPr>
        <w:t xml:space="preserve">。</w:t>
      </w:r>
      <w:r/>
    </w:p>
    <w:p>
      <w:pPr>
        <w:pStyle w:val="861"/>
        <w:ind w:left="420" w:firstLine="0"/>
        <w:spacing w:line="300" w:lineRule="auto"/>
        <w:tabs>
          <w:tab w:val="left" w:pos="360" w:leader="none"/>
        </w:tabs>
        <w:rPr>
          <w:rFonts w:ascii="仿宋" w:hAnsi="仿宋" w:eastAsia="仿宋"/>
          <w:highlight w:val="none"/>
        </w:rPr>
      </w:pPr>
      <w:r>
        <w:rPr>
          <w:rFonts w:hint="eastAsia" w:ascii="仿宋" w:hAnsi="仿宋" w:eastAsia="仿宋"/>
          <w:highlight w:val="none"/>
        </w:rPr>
        <w:t xml:space="preserve">（3）采购文件所要求的技术参数佐证材料检测报告。</w:t>
      </w:r>
      <w:r/>
    </w:p>
    <w:p>
      <w:pPr>
        <w:pStyle w:val="861"/>
        <w:ind w:left="420" w:firstLine="0"/>
        <w:spacing w:line="300" w:lineRule="auto"/>
        <w:tabs>
          <w:tab w:val="left" w:pos="360" w:leader="none"/>
        </w:tabs>
        <w:rPr>
          <w:rFonts w:ascii="仿宋" w:hAnsi="仿宋" w:eastAsia="仿宋"/>
          <w:highlight w:val="none"/>
        </w:rPr>
      </w:pPr>
      <w:r>
        <w:rPr>
          <w:rFonts w:hint="eastAsia" w:ascii="仿宋" w:hAnsi="仿宋" w:eastAsia="仿宋"/>
          <w:highlight w:val="none"/>
        </w:rPr>
        <w:t xml:space="preserve">（4）</w:t>
      </w:r>
      <w:r>
        <w:rPr>
          <w:rFonts w:ascii="仿宋" w:hAnsi="仿宋" w:eastAsia="仿宋"/>
          <w:highlight w:val="none"/>
        </w:rPr>
        <w:t xml:space="preserve">中标通知书</w:t>
      </w:r>
      <w:r>
        <w:rPr>
          <w:rFonts w:hint="eastAsia" w:ascii="仿宋" w:hAnsi="仿宋" w:eastAsia="仿宋"/>
          <w:highlight w:val="none"/>
        </w:rPr>
        <w:t xml:space="preserve">。</w:t>
      </w:r>
      <w:r/>
    </w:p>
    <w:p>
      <w:pPr>
        <w:pStyle w:val="861"/>
        <w:ind w:left="420" w:firstLine="0"/>
        <w:spacing w:line="300" w:lineRule="auto"/>
        <w:tabs>
          <w:tab w:val="left" w:pos="360" w:leader="none"/>
        </w:tabs>
        <w:rPr>
          <w:rFonts w:ascii="仿宋" w:hAnsi="仿宋" w:eastAsia="仿宋"/>
          <w:highlight w:val="none"/>
        </w:rPr>
      </w:pPr>
      <w:r>
        <w:rPr>
          <w:rFonts w:hint="eastAsia" w:ascii="仿宋" w:hAnsi="仿宋" w:eastAsia="仿宋"/>
          <w:highlight w:val="none"/>
        </w:rPr>
        <w:t xml:space="preserve">（5）合同附件。</w:t>
      </w:r>
      <w:r/>
    </w:p>
    <w:p>
      <w:pPr>
        <w:pStyle w:val="719"/>
        <w:ind w:firstLine="480"/>
        <w:tabs>
          <w:tab w:val="left" w:pos="210" w:leader="none"/>
        </w:tabs>
        <w:rPr>
          <w:rFonts w:ascii="仿宋" w:hAnsi="仿宋" w:eastAsia="仿宋"/>
          <w:highlight w:val="none"/>
        </w:rPr>
      </w:pPr>
      <w:r>
        <w:rPr>
          <w:rFonts w:hint="eastAsia" w:ascii="仿宋" w:hAnsi="仿宋" w:eastAsia="仿宋" w:cs="Times New Roman"/>
          <w:highlight w:val="none"/>
        </w:rPr>
        <w:t xml:space="preserve">二十二、合同数量</w:t>
      </w:r>
      <w:r/>
    </w:p>
    <w:p>
      <w:pPr>
        <w:pStyle w:val="861"/>
        <w:ind w:firstLine="0"/>
        <w:spacing w:line="300" w:lineRule="auto"/>
        <w:tabs>
          <w:tab w:val="left" w:pos="360" w:leader="none"/>
        </w:tabs>
        <w:rPr>
          <w:rFonts w:ascii="仿宋" w:hAnsi="仿宋" w:eastAsia="仿宋"/>
          <w:color w:val="000000"/>
          <w:highlight w:val="none"/>
        </w:rPr>
      </w:pPr>
      <w:r>
        <w:rPr>
          <w:rFonts w:hint="eastAsia" w:ascii="仿宋" w:hAnsi="仿宋" w:eastAsia="仿宋"/>
          <w:color w:val="000000"/>
          <w:highlight w:val="none"/>
        </w:rPr>
        <w:t xml:space="preserve">2</w:t>
      </w:r>
      <w:r>
        <w:rPr>
          <w:rFonts w:ascii="仿宋" w:hAnsi="仿宋" w:eastAsia="仿宋"/>
          <w:color w:val="000000"/>
          <w:highlight w:val="none"/>
        </w:rPr>
        <w:t xml:space="preserve">2</w:t>
      </w:r>
      <w:r>
        <w:rPr>
          <w:rFonts w:hint="eastAsia" w:ascii="仿宋" w:hAnsi="仿宋" w:eastAsia="仿宋"/>
          <w:color w:val="000000"/>
          <w:highlight w:val="none"/>
        </w:rPr>
        <w:t xml:space="preserve">.1本合同合计</w:t>
      </w:r>
      <w:r>
        <w:rPr>
          <w:rFonts w:hint="eastAsia" w:ascii="仿宋" w:hAnsi="仿宋" w:eastAsia="仿宋"/>
          <w:color w:val="000000"/>
          <w:highlight w:val="none"/>
          <w:u w:val="single"/>
        </w:rPr>
        <w:t xml:space="preserve">  </w:t>
      </w:r>
      <w:r>
        <w:rPr>
          <w:rFonts w:ascii="仿宋" w:hAnsi="仿宋" w:eastAsia="仿宋"/>
          <w:color w:val="000000"/>
          <w:highlight w:val="none"/>
          <w:u w:val="single"/>
        </w:rPr>
        <w:t xml:space="preserve">  </w:t>
      </w:r>
      <w:r>
        <w:rPr>
          <w:rFonts w:hint="eastAsia" w:ascii="仿宋" w:hAnsi="仿宋" w:eastAsia="仿宋"/>
          <w:color w:val="000000"/>
          <w:highlight w:val="none"/>
          <w:u w:val="single"/>
        </w:rPr>
        <w:t xml:space="preserve">   </w:t>
      </w:r>
      <w:r>
        <w:rPr>
          <w:rFonts w:hint="eastAsia" w:ascii="仿宋" w:hAnsi="仿宋" w:eastAsia="仿宋"/>
          <w:color w:val="000000"/>
          <w:highlight w:val="none"/>
        </w:rPr>
        <w:t xml:space="preserve">页A4纸张，缺页之合同为无效合同。</w:t>
      </w:r>
      <w:r/>
    </w:p>
    <w:p>
      <w:pPr>
        <w:pStyle w:val="861"/>
        <w:ind w:firstLine="0"/>
        <w:spacing w:line="300" w:lineRule="auto"/>
        <w:tabs>
          <w:tab w:val="left" w:pos="360" w:leader="none"/>
        </w:tabs>
        <w:rPr>
          <w:rFonts w:ascii="仿宋" w:hAnsi="仿宋" w:eastAsia="仿宋"/>
          <w:highlight w:val="none"/>
        </w:rPr>
      </w:pPr>
      <w:r>
        <w:rPr>
          <w:rFonts w:hint="eastAsia" w:ascii="仿宋" w:hAnsi="仿宋" w:eastAsia="仿宋"/>
          <w:color w:val="000000"/>
          <w:highlight w:val="none"/>
        </w:rPr>
        <w:t xml:space="preserve">2</w:t>
      </w:r>
      <w:r>
        <w:rPr>
          <w:rFonts w:ascii="仿宋" w:hAnsi="仿宋" w:eastAsia="仿宋"/>
          <w:color w:val="000000"/>
          <w:highlight w:val="none"/>
        </w:rPr>
        <w:t xml:space="preserve">2</w:t>
      </w:r>
      <w:r>
        <w:rPr>
          <w:rFonts w:hint="eastAsia" w:ascii="仿宋" w:hAnsi="仿宋" w:eastAsia="仿宋"/>
          <w:color w:val="000000"/>
          <w:highlight w:val="none"/>
        </w:rPr>
        <w:t xml:space="preserve">.2</w:t>
      </w:r>
      <w:r>
        <w:rPr>
          <w:rFonts w:ascii="仿宋" w:hAnsi="仿宋" w:eastAsia="仿宋"/>
          <w:color w:val="000000"/>
          <w:highlight w:val="none"/>
        </w:rPr>
        <w:t xml:space="preserve">本</w:t>
      </w:r>
      <w:r>
        <w:rPr>
          <w:rFonts w:hint="eastAsia" w:ascii="仿宋" w:hAnsi="仿宋" w:eastAsia="仿宋"/>
          <w:color w:val="000000"/>
          <w:highlight w:val="none"/>
        </w:rPr>
        <w:t xml:space="preserve">合同（</w:t>
      </w:r>
      <w:r>
        <w:rPr>
          <w:rFonts w:ascii="仿宋" w:hAnsi="仿宋" w:eastAsia="仿宋"/>
          <w:color w:val="000000"/>
          <w:highlight w:val="none"/>
        </w:rPr>
        <w:t xml:space="preserve">协议</w:t>
      </w:r>
      <w:r>
        <w:rPr>
          <w:rFonts w:hint="eastAsia" w:ascii="仿宋" w:hAnsi="仿宋" w:eastAsia="仿宋"/>
          <w:color w:val="000000"/>
          <w:highlight w:val="none"/>
        </w:rPr>
        <w:t xml:space="preserve">书）</w:t>
      </w:r>
      <w:r>
        <w:rPr>
          <w:rFonts w:ascii="仿宋" w:hAnsi="仿宋" w:eastAsia="仿宋"/>
          <w:color w:val="000000"/>
          <w:highlight w:val="none"/>
        </w:rPr>
        <w:t xml:space="preserve">一式5份，甲方3份，乙方2份，经双方签署盖章后生效</w:t>
      </w:r>
      <w:r>
        <w:rPr>
          <w:rFonts w:hint="eastAsia" w:ascii="仿宋" w:hAnsi="仿宋" w:eastAsia="仿宋"/>
          <w:color w:val="000000"/>
          <w:highlight w:val="none"/>
        </w:rPr>
        <w:t xml:space="preserve">（生效日以最后一个签字日为准），</w:t>
      </w:r>
      <w:r>
        <w:rPr>
          <w:rFonts w:ascii="仿宋" w:hAnsi="仿宋" w:eastAsia="仿宋"/>
          <w:color w:val="000000"/>
          <w:highlight w:val="none"/>
        </w:rPr>
        <w:t xml:space="preserve">具有同等法律效力。</w:t>
      </w:r>
      <w:r/>
    </w:p>
    <w:p>
      <w:pPr>
        <w:pStyle w:val="719"/>
        <w:ind w:firstLine="480"/>
        <w:tabs>
          <w:tab w:val="left" w:pos="210" w:leader="none"/>
        </w:tabs>
        <w:rPr>
          <w:rFonts w:ascii="仿宋" w:hAnsi="仿宋" w:eastAsia="仿宋"/>
          <w:highlight w:val="none"/>
        </w:rPr>
      </w:pPr>
      <w:r>
        <w:rPr>
          <w:rFonts w:hint="eastAsia" w:ascii="仿宋" w:hAnsi="仿宋" w:eastAsia="仿宋" w:cs="Times New Roman"/>
          <w:highlight w:val="none"/>
        </w:rPr>
        <w:t xml:space="preserve">二十三、未尽事宜</w:t>
      </w:r>
      <w:r/>
    </w:p>
    <w:p>
      <w:pPr>
        <w:ind w:firstLine="420"/>
        <w:spacing w:line="300" w:lineRule="auto"/>
        <w:rPr>
          <w:rFonts w:ascii="仿宋" w:hAnsi="仿宋" w:eastAsia="仿宋"/>
          <w:highlight w:val="none"/>
        </w:rPr>
      </w:pPr>
      <w:r>
        <w:rPr>
          <w:rFonts w:hint="eastAsia" w:ascii="仿宋" w:hAnsi="仿宋" w:eastAsia="仿宋"/>
          <w:highlight w:val="none"/>
        </w:rPr>
        <w:t xml:space="preserve">本</w:t>
      </w:r>
      <w:r>
        <w:rPr>
          <w:rFonts w:ascii="仿宋" w:hAnsi="仿宋" w:eastAsia="仿宋"/>
          <w:highlight w:val="none"/>
        </w:rPr>
        <w:t xml:space="preserve">合同未尽事宜，</w:t>
      </w:r>
      <w:r>
        <w:rPr>
          <w:rFonts w:hint="eastAsia" w:ascii="仿宋" w:hAnsi="仿宋" w:eastAsia="仿宋"/>
          <w:highlight w:val="none"/>
        </w:rPr>
        <w:t xml:space="preserve">由</w:t>
      </w:r>
      <w:r>
        <w:rPr>
          <w:rFonts w:ascii="仿宋" w:hAnsi="仿宋" w:eastAsia="仿宋"/>
          <w:highlight w:val="none"/>
        </w:rPr>
        <w:t xml:space="preserve">甲乙双方协商</w:t>
      </w:r>
      <w:r>
        <w:rPr>
          <w:rFonts w:hint="eastAsia" w:ascii="仿宋" w:hAnsi="仿宋" w:eastAsia="仿宋"/>
          <w:highlight w:val="none"/>
        </w:rPr>
        <w:t xml:space="preserve">后</w:t>
      </w:r>
      <w:r>
        <w:rPr>
          <w:rFonts w:ascii="仿宋" w:hAnsi="仿宋" w:eastAsia="仿宋"/>
          <w:highlight w:val="none"/>
        </w:rPr>
        <w:t xml:space="preserve">签订补充协议</w:t>
      </w:r>
      <w:r>
        <w:rPr>
          <w:rFonts w:hint="eastAsia" w:ascii="仿宋" w:hAnsi="仿宋" w:eastAsia="仿宋"/>
          <w:highlight w:val="none"/>
        </w:rPr>
        <w:t xml:space="preserve">，与本合同具有同等法律效力</w:t>
      </w:r>
      <w:r>
        <w:rPr>
          <w:rFonts w:ascii="仿宋" w:hAnsi="仿宋" w:eastAsia="仿宋"/>
          <w:highlight w:val="none"/>
        </w:rPr>
        <w:t xml:space="preserve">。（以下无正文）</w:t>
      </w:r>
      <w:r/>
    </w:p>
    <w:p>
      <w:pPr>
        <w:rPr>
          <w:rFonts w:ascii="仿宋" w:hAnsi="仿宋" w:eastAsia="仿宋"/>
          <w:highlight w:val="none"/>
        </w:rPr>
      </w:pPr>
      <w:r>
        <w:rPr>
          <w:rFonts w:ascii="仿宋" w:hAnsi="仿宋" w:eastAsia="仿宋"/>
          <w:highlight w:val="none"/>
        </w:rPr>
        <w:br w:type="page" w:clear="all"/>
      </w:r>
      <w:r/>
    </w:p>
    <w:tbl>
      <w:tblPr>
        <w:tblStyle w:val="727"/>
        <w:tblpPr w:horzAnchor="page" w:tblpXSpec="center" w:vertAnchor="text" w:tblpY="162" w:leftFromText="180" w:topFromText="0" w:rightFromText="180" w:bottomFromText="0"/>
        <w:tblW w:w="9498" w:type="dxa"/>
        <w:tblInd w:w="0" w:type="dxa"/>
        <w:tblLayout w:type="fixed"/>
        <w:tblCellMar>
          <w:left w:w="108" w:type="dxa"/>
          <w:top w:w="0" w:type="dxa"/>
          <w:right w:w="108" w:type="dxa"/>
          <w:bottom w:w="0" w:type="dxa"/>
        </w:tblCellMar>
        <w:tblLook w:val="04A0" w:firstRow="1" w:lastRow="0" w:firstColumn="1" w:lastColumn="0" w:noHBand="0" w:noVBand="1"/>
      </w:tblPr>
      <w:tblGrid>
        <w:gridCol w:w="4351"/>
        <w:gridCol w:w="5147"/>
      </w:tblGrid>
      <w:tr>
        <w:trPr/>
        <w:tc>
          <w:tcPr>
            <w:tcW w:w="4351" w:type="dxa"/>
            <w:textDirection w:val="lrTb"/>
            <w:noWrap w:val="false"/>
          </w:tcPr>
          <w:p>
            <w:pPr>
              <w:spacing w:line="300" w:lineRule="auto"/>
              <w:rPr>
                <w:rFonts w:ascii="仿宋" w:hAnsi="仿宋" w:eastAsia="仿宋"/>
                <w:highlight w:val="none"/>
              </w:rPr>
            </w:pPr>
            <w:r>
              <w:rPr>
                <w:rFonts w:ascii="仿宋" w:hAnsi="仿宋" w:eastAsia="仿宋"/>
                <w:highlight w:val="none"/>
              </w:rPr>
              <w:t xml:space="preserve">甲方（盖章）：南通大学附属医院</w:t>
            </w:r>
            <w:r/>
          </w:p>
        </w:tc>
        <w:tc>
          <w:tcPr>
            <w:tcW w:w="5147" w:type="dxa"/>
            <w:textDirection w:val="lrTb"/>
            <w:noWrap w:val="false"/>
          </w:tcPr>
          <w:p>
            <w:pPr>
              <w:spacing w:line="300" w:lineRule="auto"/>
              <w:rPr>
                <w:rFonts w:ascii="仿宋" w:hAnsi="仿宋" w:eastAsia="仿宋"/>
                <w:highlight w:val="none"/>
              </w:rPr>
            </w:pPr>
            <w:r>
              <w:rPr>
                <w:rFonts w:ascii="仿宋" w:hAnsi="仿宋" w:eastAsia="仿宋"/>
                <w:highlight w:val="none"/>
              </w:rPr>
              <w:t xml:space="preserve">乙方（盖章）：</w:t>
            </w:r>
            <w:r>
              <w:rPr>
                <w:rFonts w:ascii="仿宋" w:hAnsi="仿宋" w:eastAsia="仿宋"/>
                <w:color w:val="000000"/>
                <w:highlight w:val="none"/>
              </w:rPr>
              <w:t xml:space="preserve"> </w:t>
            </w:r>
            <w:r>
              <w:rPr>
                <w:rFonts w:hint="eastAsia" w:ascii="仿宋" w:hAnsi="仿宋" w:eastAsia="仿宋"/>
                <w:color w:val="000000"/>
                <w:highlight w:val="none"/>
              </w:rPr>
              <w:t xml:space="preserve">x</w:t>
            </w:r>
            <w:r>
              <w:rPr>
                <w:rFonts w:ascii="仿宋" w:hAnsi="仿宋" w:eastAsia="仿宋"/>
                <w:color w:val="000000"/>
                <w:highlight w:val="none"/>
              </w:rPr>
              <w:t xml:space="preserve">xx</w:t>
            </w:r>
            <w:r>
              <w:rPr>
                <w:rFonts w:ascii="仿宋" w:hAnsi="仿宋" w:eastAsia="仿宋"/>
                <w:highlight w:val="none"/>
              </w:rPr>
              <w:t xml:space="preserve">  </w:t>
            </w:r>
            <w:r/>
          </w:p>
        </w:tc>
      </w:tr>
      <w:tr>
        <w:trPr/>
        <w:tc>
          <w:tcPr>
            <w:tcW w:w="4351" w:type="dxa"/>
            <w:textDirection w:val="lrTb"/>
            <w:noWrap w:val="false"/>
          </w:tcPr>
          <w:p>
            <w:pPr>
              <w:spacing w:line="300" w:lineRule="auto"/>
              <w:rPr>
                <w:rFonts w:ascii="仿宋" w:hAnsi="仿宋" w:eastAsia="仿宋"/>
                <w:highlight w:val="none"/>
              </w:rPr>
            </w:pPr>
            <w:r>
              <w:rPr>
                <w:rFonts w:ascii="仿宋" w:hAnsi="仿宋" w:eastAsia="仿宋"/>
                <w:highlight w:val="none"/>
              </w:rPr>
              <w:t xml:space="preserve">地址：南通市崇川区西寺路20号</w:t>
            </w:r>
            <w:r/>
          </w:p>
        </w:tc>
        <w:tc>
          <w:tcPr>
            <w:tcW w:w="5147" w:type="dxa"/>
            <w:textDirection w:val="lrTb"/>
            <w:noWrap w:val="false"/>
          </w:tcPr>
          <w:p>
            <w:pPr>
              <w:spacing w:line="300" w:lineRule="auto"/>
              <w:rPr>
                <w:rFonts w:ascii="仿宋" w:hAnsi="仿宋" w:eastAsia="仿宋"/>
                <w:highlight w:val="none"/>
              </w:rPr>
            </w:pPr>
            <w:r>
              <w:rPr>
                <w:rFonts w:ascii="仿宋" w:hAnsi="仿宋" w:eastAsia="仿宋"/>
                <w:highlight w:val="none"/>
              </w:rPr>
              <w:t xml:space="preserve">地址：</w:t>
            </w:r>
            <w:r>
              <w:rPr>
                <w:rFonts w:ascii="仿宋" w:hAnsi="仿宋" w:eastAsia="仿宋"/>
                <w:color w:val="000000"/>
                <w:highlight w:val="none"/>
              </w:rPr>
              <w:t xml:space="preserve"> xxx</w:t>
            </w:r>
            <w:r/>
          </w:p>
        </w:tc>
      </w:tr>
      <w:tr>
        <w:trPr/>
        <w:tc>
          <w:tcPr>
            <w:tcW w:w="4351" w:type="dxa"/>
            <w:textDirection w:val="lrTb"/>
            <w:noWrap w:val="false"/>
          </w:tcPr>
          <w:p>
            <w:pPr>
              <w:spacing w:line="300" w:lineRule="auto"/>
              <w:rPr>
                <w:rFonts w:ascii="仿宋" w:hAnsi="仿宋" w:eastAsia="仿宋"/>
                <w:highlight w:val="none"/>
              </w:rPr>
            </w:pPr>
            <w:r>
              <w:rPr>
                <w:rFonts w:ascii="仿宋" w:hAnsi="仿宋" w:eastAsia="仿宋"/>
                <w:highlight w:val="none"/>
              </w:rPr>
              <w:t xml:space="preserve">法定代表人或授权代表：（签字）：</w:t>
            </w:r>
            <w:r/>
          </w:p>
        </w:tc>
        <w:tc>
          <w:tcPr>
            <w:tcW w:w="5147" w:type="dxa"/>
            <w:textDirection w:val="lrTb"/>
            <w:noWrap w:val="false"/>
          </w:tcPr>
          <w:p>
            <w:pPr>
              <w:spacing w:line="300" w:lineRule="auto"/>
              <w:rPr>
                <w:rFonts w:ascii="仿宋" w:hAnsi="仿宋" w:eastAsia="仿宋"/>
                <w:highlight w:val="none"/>
              </w:rPr>
            </w:pPr>
            <w:r>
              <w:rPr>
                <w:rFonts w:ascii="仿宋" w:hAnsi="仿宋" w:eastAsia="仿宋"/>
                <w:highlight w:val="none"/>
              </w:rPr>
              <w:t xml:space="preserve">法定代表人或授权代表：（签字）</w:t>
            </w:r>
            <w:r/>
          </w:p>
        </w:tc>
      </w:tr>
      <w:tr>
        <w:trPr/>
        <w:tc>
          <w:tcPr>
            <w:tcW w:w="4351" w:type="dxa"/>
            <w:textDirection w:val="lrTb"/>
            <w:noWrap w:val="false"/>
          </w:tcPr>
          <w:p>
            <w:pPr>
              <w:spacing w:line="300" w:lineRule="auto"/>
              <w:rPr>
                <w:rFonts w:ascii="仿宋" w:hAnsi="仿宋" w:eastAsia="仿宋"/>
                <w:highlight w:val="none"/>
              </w:rPr>
            </w:pPr>
            <w:r>
              <w:rPr>
                <w:rFonts w:ascii="仿宋" w:hAnsi="仿宋" w:eastAsia="仿宋"/>
                <w:highlight w:val="none"/>
              </w:rPr>
            </w:r>
            <w:r/>
          </w:p>
        </w:tc>
        <w:tc>
          <w:tcPr>
            <w:tcW w:w="5147" w:type="dxa"/>
            <w:textDirection w:val="lrTb"/>
            <w:noWrap w:val="false"/>
          </w:tcPr>
          <w:p>
            <w:pPr>
              <w:spacing w:line="300" w:lineRule="auto"/>
              <w:rPr>
                <w:rFonts w:ascii="仿宋" w:hAnsi="仿宋" w:eastAsia="仿宋"/>
                <w:highlight w:val="none"/>
              </w:rPr>
            </w:pPr>
            <w:r>
              <w:rPr>
                <w:rFonts w:ascii="仿宋" w:hAnsi="仿宋" w:eastAsia="仿宋"/>
                <w:highlight w:val="none"/>
              </w:rPr>
            </w:r>
            <w:r/>
          </w:p>
        </w:tc>
      </w:tr>
      <w:tr>
        <w:trPr/>
        <w:tc>
          <w:tcPr>
            <w:tcW w:w="4351" w:type="dxa"/>
            <w:textDirection w:val="lrTb"/>
            <w:noWrap w:val="false"/>
          </w:tcPr>
          <w:p>
            <w:pPr>
              <w:spacing w:line="300" w:lineRule="auto"/>
              <w:rPr>
                <w:rFonts w:ascii="仿宋" w:hAnsi="仿宋" w:eastAsia="仿宋"/>
                <w:highlight w:val="none"/>
              </w:rPr>
            </w:pPr>
            <w:r>
              <w:rPr>
                <w:rFonts w:ascii="仿宋" w:hAnsi="仿宋" w:eastAsia="仿宋"/>
                <w:highlight w:val="none"/>
              </w:rPr>
            </w:r>
            <w:r/>
          </w:p>
        </w:tc>
        <w:tc>
          <w:tcPr>
            <w:tcW w:w="5147" w:type="dxa"/>
            <w:textDirection w:val="lrTb"/>
            <w:noWrap w:val="false"/>
          </w:tcPr>
          <w:p>
            <w:pPr>
              <w:spacing w:line="300" w:lineRule="auto"/>
              <w:rPr>
                <w:rFonts w:ascii="仿宋" w:hAnsi="仿宋" w:eastAsia="仿宋"/>
                <w:highlight w:val="none"/>
              </w:rPr>
            </w:pPr>
            <w:r>
              <w:rPr>
                <w:rFonts w:ascii="仿宋" w:hAnsi="仿宋" w:eastAsia="仿宋"/>
                <w:highlight w:val="none"/>
              </w:rPr>
            </w:r>
            <w:r/>
          </w:p>
        </w:tc>
      </w:tr>
      <w:tr>
        <w:trPr/>
        <w:tc>
          <w:tcPr>
            <w:tcW w:w="4351" w:type="dxa"/>
            <w:textDirection w:val="lrTb"/>
            <w:noWrap w:val="false"/>
          </w:tcPr>
          <w:p>
            <w:pPr>
              <w:spacing w:line="300" w:lineRule="auto"/>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hint="eastAsia" w:ascii="仿宋" w:hAnsi="仿宋" w:eastAsia="仿宋"/>
                <w:highlight w:val="none"/>
              </w:rPr>
              <w:t xml:space="preserve">信息中心代表（签字）：</w:t>
            </w:r>
            <w:r/>
          </w:p>
          <w:p>
            <w:pPr>
              <w:pStyle w:val="739"/>
              <w:rPr>
                <w:rFonts w:ascii="仿宋" w:hAnsi="仿宋" w:eastAsia="仿宋"/>
                <w:highlight w:val="none"/>
              </w:rPr>
            </w:pPr>
            <w:r>
              <w:rPr>
                <w:rFonts w:ascii="仿宋" w:hAnsi="仿宋" w:eastAsia="仿宋"/>
                <w:highlight w:val="none"/>
              </w:rPr>
            </w:r>
            <w:r/>
          </w:p>
          <w:p>
            <w:pPr>
              <w:pStyle w:val="739"/>
              <w:rPr>
                <w:rFonts w:ascii="仿宋" w:hAnsi="仿宋" w:eastAsia="仿宋"/>
                <w:highlight w:val="none"/>
              </w:rPr>
            </w:pPr>
            <w:r>
              <w:rPr>
                <w:rFonts w:ascii="仿宋" w:hAnsi="仿宋" w:eastAsia="仿宋"/>
                <w:highlight w:val="none"/>
              </w:rPr>
            </w:r>
            <w:r/>
          </w:p>
        </w:tc>
        <w:tc>
          <w:tcPr>
            <w:tcW w:w="5147" w:type="dxa"/>
            <w:textDirection w:val="lrTb"/>
            <w:noWrap w:val="false"/>
          </w:tcPr>
          <w:p>
            <w:pPr>
              <w:spacing w:line="300" w:lineRule="auto"/>
              <w:rPr>
                <w:rFonts w:ascii="仿宋" w:hAnsi="仿宋" w:eastAsia="仿宋"/>
                <w:highlight w:val="none"/>
              </w:rPr>
            </w:pPr>
            <w:r>
              <w:rPr>
                <w:rFonts w:ascii="仿宋" w:hAnsi="仿宋" w:eastAsia="仿宋"/>
                <w:highlight w:val="none"/>
              </w:rPr>
            </w:r>
            <w:r/>
          </w:p>
        </w:tc>
      </w:tr>
      <w:tr>
        <w:trPr/>
        <w:tc>
          <w:tcPr>
            <w:tcW w:w="4351" w:type="dxa"/>
            <w:textDirection w:val="lrTb"/>
            <w:noWrap w:val="false"/>
          </w:tcPr>
          <w:p>
            <w:pPr>
              <w:spacing w:line="300" w:lineRule="auto"/>
              <w:rPr>
                <w:rFonts w:ascii="仿宋" w:hAnsi="仿宋" w:eastAsia="仿宋"/>
                <w:highlight w:val="none"/>
              </w:rPr>
            </w:pPr>
            <w:r>
              <w:rPr>
                <w:rFonts w:ascii="仿宋" w:hAnsi="仿宋" w:eastAsia="仿宋"/>
                <w:highlight w:val="none"/>
                <w:u w:val="single"/>
              </w:rPr>
              <w:t xml:space="preserve">       </w:t>
            </w:r>
            <w:r>
              <w:rPr>
                <w:rFonts w:ascii="仿宋" w:hAnsi="仿宋" w:eastAsia="仿宋"/>
                <w:highlight w:val="none"/>
              </w:rPr>
              <w:t xml:space="preserve">年</w:t>
            </w:r>
            <w:r>
              <w:rPr>
                <w:rFonts w:ascii="仿宋" w:hAnsi="仿宋" w:eastAsia="仿宋"/>
                <w:highlight w:val="none"/>
                <w:u w:val="single"/>
              </w:rPr>
              <w:t xml:space="preserve">      </w:t>
            </w:r>
            <w:r>
              <w:rPr>
                <w:rFonts w:ascii="仿宋" w:hAnsi="仿宋" w:eastAsia="仿宋"/>
                <w:highlight w:val="none"/>
              </w:rPr>
              <w:t xml:space="preserve">月</w:t>
            </w:r>
            <w:r>
              <w:rPr>
                <w:rFonts w:ascii="仿宋" w:hAnsi="仿宋" w:eastAsia="仿宋"/>
                <w:highlight w:val="none"/>
                <w:u w:val="single"/>
              </w:rPr>
              <w:t xml:space="preserve">      </w:t>
            </w:r>
            <w:r>
              <w:rPr>
                <w:rFonts w:ascii="仿宋" w:hAnsi="仿宋" w:eastAsia="仿宋"/>
                <w:highlight w:val="none"/>
              </w:rPr>
              <w:t xml:space="preserve">日</w:t>
            </w:r>
            <w:r/>
          </w:p>
        </w:tc>
        <w:tc>
          <w:tcPr>
            <w:tcW w:w="5147" w:type="dxa"/>
            <w:textDirection w:val="lrTb"/>
            <w:noWrap w:val="false"/>
          </w:tcPr>
          <w:p>
            <w:pPr>
              <w:spacing w:line="300" w:lineRule="auto"/>
              <w:rPr>
                <w:rFonts w:ascii="仿宋" w:hAnsi="仿宋" w:eastAsia="仿宋"/>
                <w:highlight w:val="none"/>
              </w:rPr>
            </w:pPr>
            <w:r>
              <w:rPr>
                <w:rFonts w:ascii="仿宋" w:hAnsi="仿宋" w:eastAsia="仿宋"/>
                <w:highlight w:val="none"/>
                <w:u w:val="single"/>
              </w:rPr>
              <w:t xml:space="preserve">       </w:t>
            </w:r>
            <w:r>
              <w:rPr>
                <w:rFonts w:ascii="仿宋" w:hAnsi="仿宋" w:eastAsia="仿宋"/>
                <w:highlight w:val="none"/>
              </w:rPr>
              <w:t xml:space="preserve">年</w:t>
            </w:r>
            <w:r>
              <w:rPr>
                <w:rFonts w:ascii="仿宋" w:hAnsi="仿宋" w:eastAsia="仿宋"/>
                <w:highlight w:val="none"/>
                <w:u w:val="single"/>
              </w:rPr>
              <w:t xml:space="preserve">       </w:t>
            </w:r>
            <w:r>
              <w:rPr>
                <w:rFonts w:ascii="仿宋" w:hAnsi="仿宋" w:eastAsia="仿宋"/>
                <w:highlight w:val="none"/>
              </w:rPr>
              <w:t xml:space="preserve">月</w:t>
            </w:r>
            <w:r>
              <w:rPr>
                <w:rFonts w:ascii="仿宋" w:hAnsi="仿宋" w:eastAsia="仿宋"/>
                <w:highlight w:val="none"/>
                <w:u w:val="single"/>
              </w:rPr>
              <w:t xml:space="preserve">       </w:t>
            </w:r>
            <w:r>
              <w:rPr>
                <w:rFonts w:ascii="仿宋" w:hAnsi="仿宋" w:eastAsia="仿宋"/>
                <w:highlight w:val="none"/>
              </w:rPr>
              <w:t xml:space="preserve">日</w:t>
            </w:r>
            <w:r/>
          </w:p>
        </w:tc>
      </w:tr>
    </w:tbl>
    <w:p>
      <w:pPr>
        <w:rPr>
          <w:rFonts w:ascii="仿宋" w:hAnsi="仿宋" w:eastAsia="仿宋"/>
          <w:highlight w:val="none"/>
        </w:rPr>
      </w:pPr>
      <w:r>
        <w:rPr>
          <w:rFonts w:ascii="仿宋" w:hAnsi="仿宋" w:eastAsia="仿宋"/>
          <w:highlight w:val="none"/>
        </w:rPr>
        <w:br w:type="page" w:clear="all"/>
      </w:r>
      <w:r/>
    </w:p>
    <w:p>
      <w:pPr>
        <w:ind w:left="-424" w:firstLine="562"/>
        <w:spacing w:line="300" w:lineRule="auto"/>
        <w:rPr>
          <w:rFonts w:ascii="仿宋" w:hAnsi="仿宋" w:eastAsia="仿宋"/>
          <w:b/>
          <w:iCs/>
          <w:color w:val="000000"/>
          <w:sz w:val="30"/>
          <w:szCs w:val="30"/>
          <w:highlight w:val="none"/>
        </w:rPr>
      </w:pPr>
      <w:r>
        <w:rPr>
          <w:rFonts w:ascii="仿宋" w:hAnsi="仿宋" w:eastAsia="仿宋"/>
          <w:b/>
          <w:bCs/>
          <w:sz w:val="28"/>
          <w:szCs w:val="28"/>
          <w:highlight w:val="none"/>
        </w:rPr>
        <w:t xml:space="preserve">附件1：</w:t>
      </w:r>
      <w:r>
        <w:rPr>
          <w:rFonts w:hint="eastAsia" w:ascii="仿宋" w:hAnsi="仿宋" w:eastAsia="仿宋"/>
          <w:b/>
          <w:bCs/>
          <w:sz w:val="28"/>
          <w:szCs w:val="28"/>
          <w:highlight w:val="none"/>
        </w:rPr>
        <w:t xml:space="preserve">采购</w:t>
      </w:r>
      <w:r>
        <w:rPr>
          <w:rFonts w:ascii="仿宋" w:hAnsi="仿宋" w:eastAsia="仿宋"/>
          <w:b/>
          <w:iCs/>
          <w:color w:val="000000"/>
          <w:sz w:val="30"/>
          <w:szCs w:val="30"/>
          <w:highlight w:val="none"/>
        </w:rPr>
        <w:t xml:space="preserve">清单</w:t>
      </w:r>
      <w:r/>
    </w:p>
    <w:p>
      <w:pPr>
        <w:rPr>
          <w:rFonts w:ascii="仿宋" w:hAnsi="仿宋" w:eastAsia="仿宋"/>
          <w:highlight w:val="none"/>
        </w:rPr>
      </w:pPr>
      <w:r>
        <w:rPr>
          <w:rFonts w:ascii="仿宋" w:hAnsi="仿宋" w:eastAsia="仿宋"/>
          <w:highlight w:val="none"/>
        </w:rPr>
        <w:br w:type="page" w:clear="all"/>
      </w:r>
      <w:r/>
    </w:p>
    <w:p>
      <w:pPr>
        <w:jc w:val="center"/>
        <w:rPr>
          <w:rFonts w:ascii="仿宋" w:hAnsi="仿宋" w:eastAsia="仿宋"/>
          <w:b/>
          <w:bCs/>
          <w:highlight w:val="none"/>
        </w:rPr>
      </w:pPr>
      <w:r>
        <w:rPr>
          <w:rFonts w:ascii="仿宋" w:hAnsi="仿宋" w:eastAsia="仿宋"/>
          <w:b/>
          <w:bCs/>
          <w:highlight w:val="none"/>
        </w:rPr>
        <w:t xml:space="preserve">廉政协议</w:t>
      </w:r>
      <w:r/>
    </w:p>
    <w:p>
      <w:pPr>
        <w:ind w:firstLine="420"/>
        <w:jc w:val="both"/>
        <w:spacing w:line="360" w:lineRule="auto"/>
        <w:rPr>
          <w:rFonts w:ascii="仿宋" w:hAnsi="仿宋" w:eastAsia="仿宋"/>
          <w:highlight w:val="none"/>
        </w:rPr>
      </w:pPr>
      <w:r>
        <w:rPr>
          <w:rFonts w:hint="eastAsia" w:ascii="仿宋" w:hAnsi="仿宋" w:eastAsia="仿宋"/>
          <w:highlight w:val="none"/>
        </w:rPr>
        <w:t xml:space="preserve">签立协议单位</w:t>
      </w:r>
      <w:r>
        <w:rPr>
          <w:rFonts w:hint="eastAsia" w:ascii="仿宋" w:hAnsi="仿宋" w:eastAsia="仿宋"/>
          <w:highlight w:val="none"/>
          <w:u w:val="single"/>
        </w:rPr>
        <w:t xml:space="preserve">：</w:t>
      </w:r>
      <w:r>
        <w:rPr>
          <w:rFonts w:hint="eastAsia" w:ascii="仿宋" w:hAnsi="仿宋" w:eastAsia="仿宋"/>
          <w:highlight w:val="none"/>
          <w:u w:val="single"/>
        </w:rPr>
        <w:tab/>
      </w:r>
      <w:r>
        <w:rPr>
          <w:rFonts w:hint="eastAsia" w:ascii="仿宋" w:hAnsi="仿宋" w:eastAsia="仿宋"/>
          <w:highlight w:val="none"/>
          <w:u w:val="single"/>
        </w:rPr>
        <w:t xml:space="preserve">南通大学附属医院  （甲方）</w:t>
      </w:r>
      <w:r/>
    </w:p>
    <w:p>
      <w:pPr>
        <w:ind w:firstLine="420"/>
        <w:jc w:val="both"/>
        <w:spacing w:line="360" w:lineRule="auto"/>
        <w:rPr>
          <w:rFonts w:ascii="仿宋" w:hAnsi="仿宋" w:eastAsia="仿宋"/>
          <w:highlight w:val="none"/>
          <w:u w:val="single"/>
        </w:rPr>
      </w:pPr>
      <w:r>
        <w:rPr>
          <w:rFonts w:hint="eastAsia" w:ascii="仿宋" w:hAnsi="仿宋" w:eastAsia="仿宋"/>
          <w:highlight w:val="none"/>
        </w:rPr>
        <w:tab/>
      </w:r>
      <w:r>
        <w:rPr>
          <w:rFonts w:hint="eastAsia" w:ascii="仿宋" w:hAnsi="仿宋" w:eastAsia="仿宋"/>
          <w:highlight w:val="none"/>
        </w:rPr>
        <w:t xml:space="preserve">        </w:t>
      </w:r>
      <w:r>
        <w:rPr>
          <w:rFonts w:hint="eastAsia" w:ascii="仿宋" w:hAnsi="仿宋" w:eastAsia="仿宋"/>
          <w:highlight w:val="none"/>
          <w:u w:val="single"/>
        </w:rPr>
        <w:tab/>
      </w:r>
      <w:r>
        <w:rPr>
          <w:rFonts w:hint="eastAsia" w:ascii="仿宋" w:hAnsi="仿宋" w:eastAsia="仿宋"/>
          <w:highlight w:val="none"/>
          <w:u w:val="single"/>
        </w:rPr>
        <w:t xml:space="preserve">        </w:t>
      </w:r>
      <w:r>
        <w:rPr>
          <w:rFonts w:hint="eastAsia" w:ascii="仿宋" w:hAnsi="仿宋" w:eastAsia="仿宋"/>
          <w:color w:val="000000" w:themeColor="text1"/>
          <w:highlight w:val="none"/>
          <w:u w:val="single"/>
          <w14:textFill>
            <w14:solidFill>
              <w14:schemeClr w14:val="tx1"/>
            </w14:solidFill>
          </w14:textFill>
        </w:rPr>
        <w:t xml:space="preserve">    </w:t>
      </w:r>
      <w:r>
        <w:rPr>
          <w:rFonts w:hint="eastAsia" w:ascii="仿宋" w:hAnsi="仿宋" w:eastAsia="仿宋"/>
          <w:highlight w:val="none"/>
          <w:u w:val="single"/>
        </w:rPr>
        <w:t xml:space="preserve">      （乙方）</w:t>
      </w:r>
      <w:r/>
    </w:p>
    <w:p>
      <w:pPr>
        <w:ind w:firstLine="420"/>
        <w:jc w:val="both"/>
        <w:spacing w:line="360" w:lineRule="auto"/>
        <w:rPr>
          <w:rFonts w:ascii="仿宋" w:hAnsi="仿宋" w:eastAsia="仿宋"/>
          <w:highlight w:val="none"/>
        </w:rPr>
      </w:pPr>
      <w:r>
        <w:rPr>
          <w:rFonts w:hint="eastAsia" w:ascii="仿宋" w:hAnsi="仿宋" w:eastAsia="仿宋"/>
          <w:highlight w:val="none"/>
        </w:rPr>
        <w:t xml:space="preserve">为了在服务全过程中保持廉洁自律的风气，防止各种不正当行为的发生，根据国家、省、市有关服务项目承发包和廉政建设的各项规定，甲乙双方按照公平、公正和诚实信用的原则，自愿订立并共同遵守如下协议： </w:t>
      </w:r>
      <w:r/>
    </w:p>
    <w:p>
      <w:pPr>
        <w:ind w:firstLine="420"/>
        <w:jc w:val="both"/>
        <w:spacing w:line="360" w:lineRule="auto"/>
        <w:rPr>
          <w:rFonts w:ascii="仿宋" w:hAnsi="仿宋" w:eastAsia="仿宋"/>
          <w:highlight w:val="none"/>
        </w:rPr>
      </w:pPr>
      <w:r>
        <w:rPr>
          <w:rFonts w:hint="eastAsia" w:ascii="仿宋" w:hAnsi="仿宋" w:eastAsia="仿宋"/>
          <w:highlight w:val="none"/>
        </w:rPr>
        <w:t xml:space="preserve">第一条 甲乙双方应当自觉遵守国家、省、市关于服务项目承发包和廉政建设的各项规定。</w:t>
      </w:r>
      <w:r/>
    </w:p>
    <w:p>
      <w:pPr>
        <w:ind w:firstLine="420"/>
        <w:jc w:val="both"/>
        <w:spacing w:line="360" w:lineRule="auto"/>
        <w:rPr>
          <w:rFonts w:ascii="仿宋" w:hAnsi="仿宋" w:eastAsia="仿宋"/>
          <w:highlight w:val="none"/>
        </w:rPr>
      </w:pPr>
      <w:r>
        <w:rPr>
          <w:rFonts w:hint="eastAsia" w:ascii="仿宋" w:hAnsi="仿宋" w:eastAsia="仿宋"/>
          <w:highlight w:val="none"/>
        </w:rPr>
        <w:t xml:space="preserve">第二条 甲方责任</w:t>
      </w:r>
      <w:r/>
    </w:p>
    <w:p>
      <w:pPr>
        <w:ind w:firstLine="420"/>
        <w:jc w:val="both"/>
        <w:spacing w:line="360" w:lineRule="auto"/>
        <w:rPr>
          <w:rFonts w:ascii="仿宋" w:hAnsi="仿宋" w:eastAsia="仿宋"/>
          <w:highlight w:val="none"/>
        </w:rPr>
      </w:pPr>
      <w:r>
        <w:rPr>
          <w:rFonts w:hint="eastAsia" w:ascii="仿宋" w:hAnsi="仿宋" w:eastAsia="仿宋"/>
          <w:highlight w:val="none"/>
        </w:rPr>
        <w:t xml:space="preserve">（一）甲方工作人员不得以任何形式接受乙方的礼金、有价证券、物品、好处费、感谢费等，不得在乙方报销任何应由个人支付的费用。</w:t>
      </w:r>
      <w:r/>
    </w:p>
    <w:p>
      <w:pPr>
        <w:ind w:firstLine="420"/>
        <w:jc w:val="both"/>
        <w:spacing w:line="360" w:lineRule="auto"/>
        <w:rPr>
          <w:rFonts w:ascii="仿宋" w:hAnsi="仿宋" w:eastAsia="仿宋"/>
          <w:highlight w:val="none"/>
        </w:rPr>
      </w:pPr>
      <w:r>
        <w:rPr>
          <w:rFonts w:hint="eastAsia" w:ascii="仿宋" w:hAnsi="仿宋" w:eastAsia="仿宋"/>
          <w:highlight w:val="none"/>
        </w:rPr>
        <w:t xml:space="preserve">（二）甲方工作人员不得参加可能对公正执行公务有影响的宴请、健身和娱乐等活动。</w:t>
      </w:r>
      <w:r/>
    </w:p>
    <w:p>
      <w:pPr>
        <w:ind w:firstLine="420"/>
        <w:jc w:val="both"/>
        <w:spacing w:line="360" w:lineRule="auto"/>
        <w:rPr>
          <w:rFonts w:ascii="仿宋" w:hAnsi="仿宋" w:eastAsia="仿宋"/>
          <w:highlight w:val="none"/>
        </w:rPr>
      </w:pPr>
      <w:r>
        <w:rPr>
          <w:rFonts w:hint="eastAsia" w:ascii="仿宋" w:hAnsi="仿宋" w:eastAsia="仿宋"/>
          <w:highlight w:val="none"/>
        </w:rPr>
        <w:t xml:space="preserve">（三）甲方工作人员不得接受、要求和暗示乙方和相关单位为个人装修住房、婚丧嫁娶、配偶子女的工作安排以及出国（境）、旅游等提供方便。</w:t>
      </w:r>
      <w:r/>
    </w:p>
    <w:p>
      <w:pPr>
        <w:ind w:firstLine="420"/>
        <w:jc w:val="both"/>
        <w:spacing w:line="360" w:lineRule="auto"/>
        <w:rPr>
          <w:rFonts w:ascii="仿宋" w:hAnsi="仿宋" w:eastAsia="仿宋"/>
          <w:highlight w:val="none"/>
        </w:rPr>
      </w:pPr>
      <w:r>
        <w:rPr>
          <w:rFonts w:hint="eastAsia" w:ascii="仿宋" w:hAnsi="仿宋" w:eastAsia="仿宋"/>
          <w:highlight w:val="none"/>
        </w:rPr>
        <w:t xml:space="preserve">（四）甲方工作人员不得向乙方和相关单位介绍或为配偶、子女、亲属参与同甲方管理合同有关的业务活动；不得以任何理由要求或暗示乙方和相关单位使用某种产品、材料和设备。</w:t>
      </w:r>
      <w:r/>
    </w:p>
    <w:p>
      <w:pPr>
        <w:ind w:firstLine="420"/>
        <w:jc w:val="both"/>
        <w:spacing w:line="360" w:lineRule="auto"/>
        <w:rPr>
          <w:rFonts w:ascii="仿宋" w:hAnsi="仿宋" w:eastAsia="仿宋"/>
          <w:highlight w:val="none"/>
        </w:rPr>
      </w:pPr>
      <w:r>
        <w:rPr>
          <w:rFonts w:hint="eastAsia" w:ascii="仿宋" w:hAnsi="仿宋" w:eastAsia="仿宋"/>
          <w:highlight w:val="none"/>
        </w:rPr>
        <w:t xml:space="preserve">（五）甲方工作人员不得向乙方和相关单位泄露应当保密或者可能影响公平竞争的相关情况。</w:t>
      </w:r>
      <w:r/>
    </w:p>
    <w:p>
      <w:pPr>
        <w:ind w:firstLine="420"/>
        <w:jc w:val="both"/>
        <w:spacing w:line="360" w:lineRule="auto"/>
        <w:rPr>
          <w:rFonts w:ascii="仿宋" w:hAnsi="仿宋" w:eastAsia="仿宋"/>
          <w:highlight w:val="none"/>
        </w:rPr>
      </w:pPr>
      <w:r>
        <w:rPr>
          <w:rFonts w:hint="eastAsia" w:ascii="仿宋" w:hAnsi="仿宋" w:eastAsia="仿宋"/>
          <w:highlight w:val="none"/>
        </w:rPr>
        <w:t xml:space="preserve">（六）甲方工作人员不得接受、要求和暗示乙方和相关单位为其购置或者提供通讯工具、交通工具、家电、高档办公用品等物品。</w:t>
      </w:r>
      <w:r/>
    </w:p>
    <w:p>
      <w:pPr>
        <w:ind w:firstLine="420"/>
        <w:jc w:val="both"/>
        <w:spacing w:line="360" w:lineRule="auto"/>
        <w:rPr>
          <w:rFonts w:ascii="仿宋" w:hAnsi="仿宋" w:eastAsia="仿宋"/>
          <w:highlight w:val="none"/>
        </w:rPr>
      </w:pPr>
      <w:r>
        <w:rPr>
          <w:rFonts w:hint="eastAsia" w:ascii="仿宋" w:hAnsi="仿宋" w:eastAsia="仿宋"/>
          <w:highlight w:val="none"/>
        </w:rPr>
        <w:t xml:space="preserve">（七）甲方工作人员不得在家里接待乙方有关事宜的询访。</w:t>
      </w:r>
      <w:r/>
    </w:p>
    <w:p>
      <w:pPr>
        <w:ind w:firstLine="420"/>
        <w:jc w:val="both"/>
        <w:spacing w:line="360" w:lineRule="auto"/>
        <w:rPr>
          <w:rFonts w:ascii="仿宋" w:hAnsi="仿宋" w:eastAsia="仿宋"/>
          <w:highlight w:val="none"/>
        </w:rPr>
      </w:pPr>
      <w:r>
        <w:rPr>
          <w:rFonts w:hint="eastAsia" w:ascii="仿宋" w:hAnsi="仿宋" w:eastAsia="仿宋"/>
          <w:highlight w:val="none"/>
        </w:rPr>
        <w:t xml:space="preserve">第三条 乙方责任</w:t>
      </w:r>
      <w:r/>
    </w:p>
    <w:p>
      <w:pPr>
        <w:ind w:firstLine="420"/>
        <w:jc w:val="both"/>
        <w:spacing w:line="360" w:lineRule="auto"/>
        <w:rPr>
          <w:rFonts w:ascii="仿宋" w:hAnsi="仿宋" w:eastAsia="仿宋"/>
          <w:highlight w:val="none"/>
        </w:rPr>
      </w:pPr>
      <w:r>
        <w:rPr>
          <w:rFonts w:hint="eastAsia" w:ascii="仿宋" w:hAnsi="仿宋" w:eastAsia="仿宋"/>
          <w:highlight w:val="none"/>
        </w:rPr>
        <w:t xml:space="preserve">（一）乙方通过正常途径开展相关业务，不得向甲方工作人员、审计等相关人员赠送礼品、礼金、有价证券、物品和好处费、感谢费等。不得为甲方工作人员、审计等相关人员报销应由其个人或其单位负担的费用。</w:t>
      </w:r>
      <w:r/>
    </w:p>
    <w:p>
      <w:pPr>
        <w:ind w:firstLine="420"/>
        <w:jc w:val="both"/>
        <w:spacing w:line="360" w:lineRule="auto"/>
        <w:rPr>
          <w:rFonts w:ascii="仿宋" w:hAnsi="仿宋" w:eastAsia="仿宋"/>
          <w:highlight w:val="none"/>
        </w:rPr>
      </w:pPr>
      <w:r>
        <w:rPr>
          <w:rFonts w:hint="eastAsia" w:ascii="仿宋" w:hAnsi="仿宋" w:eastAsia="仿宋"/>
          <w:highlight w:val="none"/>
        </w:rPr>
        <w:t xml:space="preserve">（二）乙方不得为谋取不正当利益擅自与甲方工作人员、审计等相关人员就服务项目进行私下商谈或达成默契。</w:t>
      </w:r>
      <w:r/>
    </w:p>
    <w:p>
      <w:pPr>
        <w:ind w:firstLine="420"/>
        <w:jc w:val="both"/>
        <w:spacing w:line="360" w:lineRule="auto"/>
        <w:rPr>
          <w:rFonts w:ascii="仿宋" w:hAnsi="仿宋" w:eastAsia="仿宋"/>
          <w:highlight w:val="none"/>
        </w:rPr>
      </w:pPr>
      <w:r>
        <w:rPr>
          <w:rFonts w:hint="eastAsia" w:ascii="仿宋" w:hAnsi="仿宋" w:eastAsia="仿宋"/>
          <w:highlight w:val="none"/>
        </w:rPr>
        <w:t xml:space="preserve">（三）乙方不得为甲方工作人员、审计等相关人员装修住房、婚丧嫁娶、配偶子女的工作安排以及出国（境）、旅游等提供方便。</w:t>
      </w:r>
      <w:r/>
    </w:p>
    <w:p>
      <w:pPr>
        <w:ind w:firstLine="420"/>
        <w:jc w:val="both"/>
        <w:spacing w:line="360" w:lineRule="auto"/>
        <w:rPr>
          <w:rFonts w:ascii="仿宋" w:hAnsi="仿宋" w:eastAsia="仿宋"/>
          <w:highlight w:val="none"/>
        </w:rPr>
      </w:pPr>
      <w:r>
        <w:rPr>
          <w:rFonts w:hint="eastAsia" w:ascii="仿宋" w:hAnsi="仿宋" w:eastAsia="仿宋"/>
          <w:highlight w:val="none"/>
        </w:rPr>
        <w:t xml:space="preserve">（四）乙方不得以任何理由为甲方、审计等相关人员和相关单位及其个人组织有可能影响公正执行公务的宴请、健身、娱乐等活动。</w:t>
      </w:r>
      <w:r/>
    </w:p>
    <w:p>
      <w:pPr>
        <w:ind w:firstLine="420"/>
        <w:jc w:val="both"/>
        <w:spacing w:line="360" w:lineRule="auto"/>
        <w:rPr>
          <w:rFonts w:ascii="仿宋" w:hAnsi="仿宋" w:eastAsia="仿宋"/>
          <w:highlight w:val="none"/>
        </w:rPr>
      </w:pPr>
      <w:r>
        <w:rPr>
          <w:rFonts w:hint="eastAsia" w:ascii="仿宋" w:hAnsi="仿宋" w:eastAsia="仿宋"/>
          <w:highlight w:val="none"/>
        </w:rPr>
        <w:t xml:space="preserve">（五）乙方不得为甲方工作人员、审计等相关人员购置或者提供通讯工具、交通工具、家电、高档办公用品等物品。</w:t>
      </w:r>
      <w:r/>
    </w:p>
    <w:p>
      <w:pPr>
        <w:ind w:firstLine="420"/>
        <w:jc w:val="both"/>
        <w:spacing w:line="360" w:lineRule="auto"/>
        <w:rPr>
          <w:rFonts w:ascii="仿宋" w:hAnsi="仿宋" w:eastAsia="仿宋"/>
          <w:highlight w:val="none"/>
        </w:rPr>
      </w:pPr>
      <w:r>
        <w:rPr>
          <w:rFonts w:hint="eastAsia" w:ascii="仿宋" w:hAnsi="仿宋" w:eastAsia="仿宋"/>
          <w:highlight w:val="none"/>
        </w:rPr>
        <w:t xml:space="preserve">第四条 违约责任</w:t>
      </w:r>
      <w:r/>
    </w:p>
    <w:p>
      <w:pPr>
        <w:ind w:firstLine="420"/>
        <w:jc w:val="both"/>
        <w:spacing w:line="360" w:lineRule="auto"/>
        <w:rPr>
          <w:rFonts w:ascii="仿宋" w:hAnsi="仿宋" w:eastAsia="仿宋"/>
          <w:highlight w:val="none"/>
        </w:rPr>
      </w:pPr>
      <w:r>
        <w:rPr>
          <w:rFonts w:hint="eastAsia" w:ascii="仿宋" w:hAnsi="仿宋" w:eastAsia="仿宋"/>
          <w:highlight w:val="none"/>
        </w:rPr>
        <w:t xml:space="preserve">（一）乙方如发现甲方工作人员有违反上述协议者，应向甲方纪委监察机关或甲方上级单位举报。甲方不得找任何借口对乙方进行报复。</w:t>
      </w:r>
      <w:r/>
    </w:p>
    <w:p>
      <w:pPr>
        <w:ind w:firstLine="420"/>
        <w:jc w:val="both"/>
        <w:spacing w:line="360" w:lineRule="auto"/>
        <w:rPr>
          <w:rFonts w:ascii="仿宋" w:hAnsi="仿宋" w:eastAsia="仿宋"/>
          <w:highlight w:val="none"/>
        </w:rPr>
      </w:pPr>
      <w:r>
        <w:rPr>
          <w:rFonts w:hint="eastAsia" w:ascii="仿宋" w:hAnsi="仿宋" w:eastAsia="仿宋"/>
          <w:highlight w:val="none"/>
        </w:rPr>
        <w:t xml:space="preserve">（二）甲方发现乙方违反本协议，甲方根据具体情况和造成的后果扣除乙方合同价的2%—10%作为廉政违约金（发现一次，至少扣除合同价2%的违约金），对有贿赂等不良记录的单位和个人，在2-3年内不得参与甲方任何项目投标。乙方用不正当手段获取的非法所得由甲方从合同款中扣除。由此给甲方单位造成的损失，乙方应予赔偿。</w:t>
      </w:r>
      <w:r/>
    </w:p>
    <w:p>
      <w:pPr>
        <w:ind w:firstLine="420"/>
        <w:jc w:val="both"/>
        <w:spacing w:line="360" w:lineRule="auto"/>
        <w:rPr>
          <w:rFonts w:ascii="仿宋" w:hAnsi="仿宋" w:eastAsia="仿宋"/>
          <w:highlight w:val="none"/>
        </w:rPr>
      </w:pPr>
      <w:r>
        <w:rPr>
          <w:rFonts w:hint="eastAsia" w:ascii="仿宋" w:hAnsi="仿宋" w:eastAsia="仿宋"/>
          <w:highlight w:val="none"/>
        </w:rPr>
        <w:t xml:space="preserve">第五条 本协议一式四份。双方各随合同保存一份，交纪委、监察部门备案一份。</w:t>
      </w:r>
      <w:r/>
    </w:p>
    <w:p>
      <w:pPr>
        <w:ind w:firstLine="420"/>
        <w:jc w:val="both"/>
        <w:spacing w:line="360" w:lineRule="auto"/>
        <w:rPr>
          <w:rFonts w:ascii="仿宋" w:hAnsi="仿宋" w:eastAsia="仿宋"/>
          <w:highlight w:val="none"/>
        </w:rPr>
      </w:pPr>
      <w:r>
        <w:rPr>
          <w:rFonts w:hint="eastAsia" w:ascii="仿宋" w:hAnsi="仿宋" w:eastAsia="仿宋"/>
          <w:bCs/>
          <w:highlight w:val="none"/>
        </w:rPr>
        <w:t xml:space="preserve">第六条 本廉洁协议作为合同</w:t>
      </w:r>
      <w:r>
        <w:rPr>
          <w:rFonts w:hint="eastAsia" w:ascii="仿宋" w:hAnsi="仿宋" w:eastAsia="仿宋"/>
          <w:color w:val="000000" w:themeColor="text1"/>
          <w:highlight w:val="none"/>
          <w:u w:val="single"/>
          <w14:textFill>
            <w14:solidFill>
              <w14:schemeClr w14:val="tx1"/>
            </w14:solidFill>
          </w14:textFill>
        </w:rPr>
        <w:t xml:space="preserve">xxx</w:t>
      </w:r>
      <w:r>
        <w:rPr>
          <w:rFonts w:hint="eastAsia" w:ascii="仿宋" w:hAnsi="仿宋" w:eastAsia="仿宋"/>
          <w:bCs/>
          <w:highlight w:val="none"/>
        </w:rPr>
        <w:t xml:space="preserve">的附件，与合同</w:t>
      </w:r>
      <w:r>
        <w:rPr>
          <w:rFonts w:hint="eastAsia" w:ascii="仿宋" w:hAnsi="仿宋" w:eastAsia="仿宋"/>
          <w:color w:val="000000" w:themeColor="text1"/>
          <w:highlight w:val="none"/>
          <w:u w:val="single"/>
          <w14:textFill>
            <w14:solidFill>
              <w14:schemeClr w14:val="tx1"/>
            </w14:solidFill>
          </w14:textFill>
        </w:rPr>
        <w:t xml:space="preserve">xxx</w:t>
      </w:r>
      <w:r>
        <w:rPr>
          <w:rFonts w:hint="eastAsia" w:ascii="仿宋" w:hAnsi="仿宋" w:eastAsia="仿宋"/>
          <w:bCs/>
          <w:highlight w:val="none"/>
        </w:rPr>
        <w:t xml:space="preserve">具有同等法律效力。经协议双方签署盖章后立即生效。</w:t>
      </w:r>
      <w:r/>
    </w:p>
    <w:p>
      <w:pPr>
        <w:jc w:val="both"/>
        <w:spacing w:line="360" w:lineRule="auto"/>
        <w:rPr>
          <w:rFonts w:ascii="仿宋" w:hAnsi="仿宋" w:eastAsia="仿宋"/>
          <w:highlight w:val="none"/>
        </w:rPr>
      </w:pPr>
      <w:r>
        <w:rPr>
          <w:rFonts w:hint="eastAsia" w:ascii="仿宋" w:hAnsi="仿宋" w:eastAsia="仿宋"/>
          <w:highlight w:val="none"/>
        </w:rPr>
        <w:t xml:space="preserve">甲  方：（公章）南通大学附属医院       乙  方：（公章）</w:t>
      </w:r>
      <w:r>
        <w:rPr>
          <w:rFonts w:hint="eastAsia" w:ascii="仿宋" w:hAnsi="仿宋" w:eastAsia="仿宋"/>
          <w:color w:val="000000" w:themeColor="text1"/>
          <w:highlight w:val="none"/>
          <w14:textFill>
            <w14:solidFill>
              <w14:schemeClr w14:val="tx1"/>
            </w14:solidFill>
          </w14:textFill>
        </w:rPr>
        <w:t xml:space="preserve">xxx</w:t>
      </w:r>
      <w:r>
        <w:rPr>
          <w:rFonts w:hint="eastAsia" w:ascii="仿宋" w:hAnsi="仿宋" w:eastAsia="仿宋"/>
          <w:highlight w:val="none"/>
        </w:rPr>
        <w:t xml:space="preserve">  </w:t>
      </w:r>
      <w:r/>
    </w:p>
    <w:p>
      <w:pPr>
        <w:jc w:val="both"/>
        <w:spacing w:line="360" w:lineRule="auto"/>
        <w:rPr>
          <w:rFonts w:ascii="仿宋" w:hAnsi="仿宋" w:eastAsia="仿宋"/>
          <w:highlight w:val="none"/>
        </w:rPr>
      </w:pPr>
      <w:r>
        <w:rPr>
          <w:rFonts w:hint="eastAsia" w:ascii="仿宋" w:hAnsi="仿宋" w:eastAsia="仿宋"/>
          <w:highlight w:val="none"/>
        </w:rPr>
        <w:t xml:space="preserve">代表人：（签字）                       代表人：（签字）</w:t>
      </w:r>
      <w:r/>
    </w:p>
    <w:p>
      <w:pPr>
        <w:jc w:val="both"/>
        <w:spacing w:line="360" w:lineRule="auto"/>
        <w:rPr>
          <w:rFonts w:ascii="仿宋" w:hAnsi="仿宋" w:eastAsia="仿宋"/>
          <w:highlight w:val="none"/>
        </w:rPr>
      </w:pPr>
      <w:r>
        <w:rPr>
          <w:rFonts w:hint="eastAsia" w:ascii="仿宋" w:hAnsi="仿宋" w:eastAsia="仿宋"/>
          <w:highlight w:val="none"/>
        </w:rPr>
        <w:t xml:space="preserve">信息中心代表（签字）：</w:t>
      </w:r>
      <w:r/>
    </w:p>
    <w:p>
      <w:pPr>
        <w:pStyle w:val="739"/>
        <w:jc w:val="both"/>
        <w:rPr>
          <w:rFonts w:ascii="仿宋" w:hAnsi="仿宋" w:eastAsia="仿宋"/>
          <w:highlight w:val="none"/>
        </w:rPr>
      </w:pPr>
      <w:r>
        <w:rPr>
          <w:rFonts w:hint="eastAsia" w:ascii="仿宋" w:hAnsi="仿宋" w:eastAsia="仿宋"/>
          <w:highlight w:val="none"/>
        </w:rPr>
        <w:t xml:space="preserve">日  期：                              日  期：</w:t>
      </w:r>
      <w:r/>
    </w:p>
    <w:p>
      <w:pPr>
        <w:jc w:val="both"/>
        <w:spacing w:line="500" w:lineRule="exact"/>
        <w:rPr>
          <w:rFonts w:hint="eastAsia" w:ascii="宋体" w:hAnsi="宋体"/>
          <w:bCs/>
          <w:color w:val="000000" w:themeColor="text1"/>
          <w:sz w:val="36"/>
          <w:szCs w:val="36"/>
          <w:highlight w:val="none"/>
          <w14:textFill>
            <w14:solidFill>
              <w14:schemeClr w14:val="tx1"/>
            </w14:solidFill>
          </w14:textFill>
        </w:rPr>
      </w:pPr>
      <w:r>
        <w:rPr>
          <w:rFonts w:ascii="宋体" w:hAnsi="宋体"/>
          <w:bCs/>
          <w:color w:val="000000" w:themeColor="text1"/>
          <w:sz w:val="36"/>
          <w:szCs w:val="36"/>
          <w:highlight w:val="none"/>
          <w14:textFill>
            <w14:solidFill>
              <w14:schemeClr w14:val="tx1"/>
            </w14:solidFill>
          </w14:textFill>
        </w:rPr>
        <w:br w:type="page" w:clear="all"/>
      </w:r>
      <w:r/>
    </w:p>
    <w:p>
      <w:pPr>
        <w:pStyle w:val="1440"/>
        <w:tabs>
          <w:tab w:val="left" w:pos="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第六部分  投标文件组成</w:t>
      </w:r>
      <w:r/>
    </w:p>
    <w:p>
      <w:pPr>
        <w:pStyle w:val="739"/>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投标文件由资格审查证明材料，商务、技术标，价格标三部分组成。请投标人根据本招标文件的要求在以上三部分中分别上传的投标材料。</w:t>
      </w:r>
      <w:r/>
    </w:p>
    <w:p>
      <w:pPr>
        <w:pStyle w:val="717"/>
        <w:numPr>
          <w:ilvl w:val="0"/>
          <w:numId w:val="44"/>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资格审查证明材料</w:t>
      </w:r>
      <w:r/>
    </w:p>
    <w:p>
      <w:pPr>
        <w:pStyle w:val="739"/>
        <w:numPr>
          <w:ilvl w:val="0"/>
          <w:numId w:val="45"/>
        </w:numPr>
        <w:tabs>
          <w:tab w:val="clear" w:pos="210" w:leader="none"/>
          <w:tab w:val="left" w:pos="78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具有独立承担民事责任的能力；（提供法人或者其他组织的营业执照等证明文件，自然人的身份证明）</w:t>
      </w:r>
      <w:r/>
    </w:p>
    <w:p>
      <w:pPr>
        <w:pStyle w:val="739"/>
        <w:numPr>
          <w:ilvl w:val="0"/>
          <w:numId w:val="45"/>
        </w:numPr>
        <w:tabs>
          <w:tab w:val="clear" w:pos="210" w:leader="none"/>
          <w:tab w:val="left" w:pos="78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具有良好的商业信誉和健全的财务会计制度；（提供上一年度的财务状况报告，成立不满一年不需提供）</w:t>
      </w:r>
      <w:r/>
    </w:p>
    <w:p>
      <w:pPr>
        <w:pStyle w:val="739"/>
        <w:numPr>
          <w:ilvl w:val="0"/>
          <w:numId w:val="7"/>
        </w:numPr>
        <w:tabs>
          <w:tab w:val="clear" w:pos="210" w:leader="none"/>
          <w:tab w:val="left" w:pos="78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有依法缴纳税收和社会保障资金的良好记录；</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依法纳税凭据：</w:t>
      </w:r>
      <w:r>
        <w:rPr>
          <w:rFonts w:hint="eastAsia"/>
          <w:color w:val="000000" w:themeColor="text1"/>
          <w:highlight w:val="none"/>
          <w:lang w:eastAsia="zh-CN"/>
          <w14:textFill>
            <w14:solidFill>
              <w14:schemeClr w14:val="tx1"/>
            </w14:solidFill>
          </w14:textFill>
        </w:rPr>
        <w:t xml:space="preserve">提供参加政府采购活动前6个月（即2026年5月-10月）内任意一个月依法纳税的凭据</w:t>
      </w:r>
      <w:r>
        <w:rPr>
          <w:rFonts w:hint="eastAsia"/>
          <w:color w:val="000000" w:themeColor="text1"/>
          <w:highlight w:val="none"/>
          <w14:textFill>
            <w14:solidFill>
              <w14:schemeClr w14:val="tx1"/>
            </w14:solidFill>
          </w14:textFill>
        </w:rPr>
        <w:t xml:space="preserve">，如完税凭证或税务机关开具的完税证明</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个人所得税除外）</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缴纳社会保险的凭据：提供参加政府采购活动</w:t>
      </w:r>
      <w:r>
        <w:rPr>
          <w:rFonts w:hint="eastAsia"/>
          <w:color w:val="000000" w:themeColor="text1"/>
          <w:highlight w:val="none"/>
          <w:lang w:eastAsia="zh-CN"/>
          <w14:textFill>
            <w14:solidFill>
              <w14:schemeClr w14:val="tx1"/>
            </w14:solidFill>
          </w14:textFill>
        </w:rPr>
        <w:t xml:space="preserve">前6个月内任意一个月</w:t>
      </w:r>
      <w:r>
        <w:rPr>
          <w:rFonts w:hint="eastAsia"/>
          <w:color w:val="000000" w:themeColor="text1"/>
          <w:highlight w:val="none"/>
          <w14:textFill>
            <w14:solidFill>
              <w14:schemeClr w14:val="tx1"/>
            </w14:solidFill>
          </w14:textFill>
        </w:rPr>
        <w:t xml:space="preserve">缴纳社会保险的凭据，如专用收据或社会保险缴纳清单</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依法免税或不需要缴纳社会保障资金的证明文件</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如果供应商依法免税或不需要缴纳社会保障资金，则须提供相应的证明文件，以说明其免税或无需缴纳的依据和情况</w:t>
      </w:r>
      <w:r>
        <w:rPr>
          <w:rFonts w:hint="eastAsia"/>
          <w:color w:val="000000" w:themeColor="text1"/>
          <w:highlight w:val="none"/>
          <w:lang w:val="en-US" w:eastAsia="zh-CN"/>
          <w14:textFill>
            <w14:solidFill>
              <w14:schemeClr w14:val="tx1"/>
            </w14:solidFill>
          </w14:textFill>
        </w:rPr>
        <w:t xml:space="preserve">]</w:t>
      </w:r>
      <w:r/>
    </w:p>
    <w:p>
      <w:pPr>
        <w:pStyle w:val="739"/>
        <w:numPr>
          <w:ilvl w:val="0"/>
          <w:numId w:val="45"/>
        </w:numPr>
        <w:tabs>
          <w:tab w:val="clear" w:pos="210" w:leader="none"/>
          <w:tab w:val="left" w:pos="78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具有履行合同所必需的设备和专业技术能力；（提供书面声明）</w:t>
      </w:r>
      <w:r/>
    </w:p>
    <w:p>
      <w:pPr>
        <w:pStyle w:val="739"/>
        <w:numPr>
          <w:ilvl w:val="0"/>
          <w:numId w:val="45"/>
        </w:numPr>
        <w:tabs>
          <w:tab w:val="clear" w:pos="210" w:leader="none"/>
          <w:tab w:val="left" w:pos="78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参加政府采购活动前3年内在经营活动中没有重大违法记录。（提供书面声明）</w:t>
      </w:r>
      <w:r/>
    </w:p>
    <w:p>
      <w:pPr>
        <w:pStyle w:val="739"/>
        <w:numPr>
          <w:ilvl w:val="0"/>
          <w:numId w:val="45"/>
        </w:numPr>
        <w:tabs>
          <w:tab w:val="clear" w:pos="210" w:leader="none"/>
          <w:tab w:val="left" w:pos="780" w:leader="none"/>
        </w:tabs>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具备法律、行政法规规定的其他条件的证明材料；（提供书面声明）</w:t>
      </w:r>
      <w:r/>
    </w:p>
    <w:p>
      <w:pPr>
        <w:pStyle w:val="739"/>
        <w:numPr>
          <w:ilvl w:val="0"/>
          <w:numId w:val="45"/>
        </w:numPr>
        <w:tabs>
          <w:tab w:val="clear" w:pos="210" w:leader="none"/>
          <w:tab w:val="left" w:pos="78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其他需要提交的资格审查证明材料。</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（招标文件要求提供的</w:t>
      </w:r>
      <w:r>
        <w:rPr>
          <w:b/>
          <w:color w:val="000000" w:themeColor="text1"/>
          <w:highlight w:val="none"/>
          <w14:textFill>
            <w14:solidFill>
              <w14:schemeClr w14:val="tx1"/>
            </w14:solidFill>
          </w14:textFill>
        </w:rPr>
        <w:t xml:space="preserve">资格审查证明材料</w:t>
      </w:r>
      <w:r>
        <w:rPr>
          <w:color w:val="000000" w:themeColor="text1"/>
          <w:highlight w:val="none"/>
          <w14:textFill>
            <w14:solidFill>
              <w14:schemeClr w14:val="tx1"/>
            </w14:solidFill>
          </w14:textFill>
        </w:rPr>
        <w:t xml:space="preserve">中没有对应的接口上传的资料，可以在本部分的其他材料的接口中上传）</w:t>
      </w:r>
      <w:r/>
    </w:p>
    <w:p>
      <w:pPr>
        <w:pStyle w:val="717"/>
        <w:numPr>
          <w:ilvl w:val="0"/>
          <w:numId w:val="44"/>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商务、技术标</w:t>
      </w:r>
      <w:r/>
    </w:p>
    <w:p>
      <w:pPr>
        <w:pStyle w:val="739"/>
        <w:numPr>
          <w:ilvl w:val="0"/>
          <w:numId w:val="46"/>
        </w:numPr>
        <w:tabs>
          <w:tab w:val="clear" w:pos="210" w:leader="none"/>
          <w:tab w:val="left" w:pos="78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委托授权代表投标的，须提供法定代表人（或组织负责人）授权书及授权代表身份证（扫描件）；法定代表人（或组织负责人）本人参与投标的，提供法定代表人（或组织负责人）身份证明书及法定代表人身份证（扫描件）</w:t>
      </w:r>
      <w:r>
        <w:rPr>
          <w:rFonts w:hint="eastAsia"/>
          <w:color w:val="000000" w:themeColor="text1"/>
          <w:highlight w:val="none"/>
          <w:lang w:eastAsia="zh-CN"/>
          <w14:textFill>
            <w14:solidFill>
              <w14:schemeClr w14:val="tx1"/>
            </w14:solidFill>
          </w14:textFill>
        </w:rPr>
        <w:t xml:space="preserve">；</w:t>
      </w:r>
      <w:r/>
    </w:p>
    <w:p>
      <w:pPr>
        <w:pStyle w:val="739"/>
        <w:numPr>
          <w:ilvl w:val="0"/>
          <w:numId w:val="46"/>
        </w:numPr>
        <w:tabs>
          <w:tab w:val="clear" w:pos="210" w:leader="none"/>
          <w:tab w:val="left" w:pos="78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投标函；</w:t>
      </w:r>
      <w:r>
        <w:rPr>
          <w:color w:val="000000" w:themeColor="text1"/>
          <w:highlight w:val="none"/>
          <w14:textFill>
            <w14:solidFill>
              <w14:schemeClr w14:val="tx1"/>
            </w14:solidFill>
          </w14:textFill>
        </w:rPr>
        <w:t xml:space="preserve">（格式见附件）</w:t>
      </w:r>
      <w:r/>
    </w:p>
    <w:p>
      <w:pPr>
        <w:pStyle w:val="739"/>
        <w:numPr>
          <w:ilvl w:val="0"/>
          <w:numId w:val="46"/>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投标人情况一览表；（格式见附件）</w:t>
      </w:r>
      <w:r/>
    </w:p>
    <w:p>
      <w:pPr>
        <w:pStyle w:val="739"/>
        <w:numPr>
          <w:ilvl w:val="0"/>
          <w:numId w:val="46"/>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商务部分正负偏离表；（格式见附件）</w:t>
      </w:r>
      <w:r/>
    </w:p>
    <w:p>
      <w:pPr>
        <w:pStyle w:val="739"/>
        <w:numPr>
          <w:ilvl w:val="0"/>
          <w:numId w:val="46"/>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技术部分正负偏离表；（格式见附件）</w:t>
      </w:r>
      <w:r/>
    </w:p>
    <w:p>
      <w:pPr>
        <w:pStyle w:val="739"/>
        <w:numPr>
          <w:ilvl w:val="0"/>
          <w:numId w:val="46"/>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商务、技术评分标准中</w:t>
      </w:r>
      <w:r>
        <w:rPr>
          <w:rFonts w:hint="eastAsia"/>
          <w:color w:val="000000" w:themeColor="text1"/>
          <w:highlight w:val="none"/>
          <w:lang w:eastAsia="zh-CN"/>
          <w14:textFill>
            <w14:solidFill>
              <w14:schemeClr w14:val="tx1"/>
            </w14:solidFill>
          </w14:textFill>
        </w:rPr>
        <w:t xml:space="preserve">需</w:t>
      </w:r>
      <w:r>
        <w:rPr>
          <w:color w:val="000000" w:themeColor="text1"/>
          <w:highlight w:val="none"/>
          <w14:textFill>
            <w14:solidFill>
              <w14:schemeClr w14:val="tx1"/>
            </w14:solidFill>
          </w14:textFill>
        </w:rPr>
        <w:t xml:space="preserve">提供的相关得分佐证材料；（</w:t>
      </w:r>
      <w:r>
        <w:rPr>
          <w:rFonts w:hint="eastAsia"/>
          <w:color w:val="000000" w:themeColor="text1"/>
          <w:highlight w:val="none"/>
          <w14:textFill>
            <w14:solidFill>
              <w14:schemeClr w14:val="tx1"/>
            </w14:solidFill>
          </w14:textFill>
        </w:rPr>
        <w:t xml:space="preserve">评分方法中技术响应部分要求提供的佐证材料</w:t>
      </w:r>
      <w:r>
        <w:rPr>
          <w:color w:val="000000" w:themeColor="text1"/>
          <w:highlight w:val="none"/>
          <w14:textFill>
            <w14:solidFill>
              <w14:schemeClr w14:val="tx1"/>
            </w14:solidFill>
          </w14:textFill>
        </w:rPr>
        <w:t xml:space="preserve">、业绩证明等）</w:t>
      </w:r>
      <w:r/>
    </w:p>
    <w:p>
      <w:pPr>
        <w:pStyle w:val="739"/>
        <w:numPr>
          <w:ilvl w:val="0"/>
          <w:numId w:val="46"/>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商务、技术评分标准中</w:t>
      </w:r>
      <w:r>
        <w:rPr>
          <w:rFonts w:hint="eastAsia"/>
          <w:color w:val="000000" w:themeColor="text1"/>
          <w:highlight w:val="none"/>
          <w:lang w:eastAsia="zh-CN"/>
          <w14:textFill>
            <w14:solidFill>
              <w14:schemeClr w14:val="tx1"/>
            </w14:solidFill>
          </w14:textFill>
        </w:rPr>
        <w:t xml:space="preserve">需</w:t>
      </w:r>
      <w:r>
        <w:rPr>
          <w:color w:val="000000" w:themeColor="text1"/>
          <w:highlight w:val="none"/>
          <w14:textFill>
            <w14:solidFill>
              <w14:schemeClr w14:val="tx1"/>
            </w14:solidFill>
          </w14:textFill>
        </w:rPr>
        <w:t xml:space="preserve">提供其他材料</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方案等</w:t>
      </w:r>
      <w:r>
        <w:rPr>
          <w:color w:val="000000" w:themeColor="text1"/>
          <w:highlight w:val="none"/>
          <w14:textFill>
            <w14:solidFill>
              <w14:schemeClr w14:val="tx1"/>
            </w14:solidFill>
          </w14:textFill>
        </w:rPr>
        <w:t xml:space="preserve">）</w:t>
      </w:r>
      <w:r/>
    </w:p>
    <w:p>
      <w:pPr>
        <w:pStyle w:val="739"/>
        <w:numPr>
          <w:ilvl w:val="0"/>
          <w:numId w:val="46"/>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投标人认为需要提交的其他商务、技术材料</w:t>
      </w:r>
      <w:r>
        <w:rPr>
          <w:rFonts w:hint="eastAsia"/>
          <w:color w:val="000000" w:themeColor="text1"/>
          <w:highlight w:val="none"/>
          <w:lang w:eastAsia="zh-CN"/>
          <w14:textFill>
            <w14:solidFill>
              <w14:schemeClr w14:val="tx1"/>
            </w14:solidFill>
          </w14:textFill>
        </w:rPr>
        <w:t xml:space="preserve">。</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（招标文件要求提供的</w:t>
      </w:r>
      <w:r>
        <w:rPr>
          <w:b/>
          <w:color w:val="000000" w:themeColor="text1"/>
          <w:highlight w:val="none"/>
          <w14:textFill>
            <w14:solidFill>
              <w14:schemeClr w14:val="tx1"/>
            </w14:solidFill>
          </w14:textFill>
        </w:rPr>
        <w:t xml:space="preserve">商务、技术标材料</w:t>
      </w:r>
      <w:r>
        <w:rPr>
          <w:color w:val="000000" w:themeColor="text1"/>
          <w:highlight w:val="none"/>
          <w14:textFill>
            <w14:solidFill>
              <w14:schemeClr w14:val="tx1"/>
            </w14:solidFill>
          </w14:textFill>
        </w:rPr>
        <w:t xml:space="preserve">中没有对应的接口上传的资料，可以在本部分的其他材料的接口中上传）</w:t>
      </w:r>
      <w:r/>
    </w:p>
    <w:p>
      <w:pPr>
        <w:pStyle w:val="717"/>
        <w:numPr>
          <w:ilvl w:val="0"/>
          <w:numId w:val="44"/>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价格标</w:t>
      </w:r>
      <w:r/>
    </w:p>
    <w:p>
      <w:pPr>
        <w:pStyle w:val="739"/>
        <w:numPr>
          <w:ilvl w:val="0"/>
          <w:numId w:val="47"/>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开标一览表（格式见附件）</w:t>
      </w:r>
      <w:r/>
    </w:p>
    <w:p>
      <w:pPr>
        <w:pStyle w:val="739"/>
        <w:numPr>
          <w:ilvl w:val="0"/>
          <w:numId w:val="47"/>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分项报价明细表（格式见附件）</w:t>
      </w:r>
      <w:r/>
    </w:p>
    <w:p>
      <w:pPr>
        <w:pStyle w:val="739"/>
        <w:numPr>
          <w:ilvl w:val="0"/>
          <w:numId w:val="47"/>
        </w:numPr>
        <w:tabs>
          <w:tab w:val="clear" w:pos="210" w:leader="none"/>
          <w:tab w:val="left" w:pos="78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价格折扣证明文件（格式见附件，包括《关于符合本国产品标准的声明函》）</w:t>
      </w:r>
      <w:r/>
    </w:p>
    <w:p>
      <w:pPr>
        <w:pStyle w:val="739"/>
        <w:ind w:firstLine="480"/>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（如招标文件要求提供的价格标资料中没有对应的接口上传的资料可以在本部分的其他材料的接口中上传）</w:t>
      </w:r>
      <w:r>
        <w:rPr>
          <w:color w:val="000000" w:themeColor="text1"/>
          <w:highlight w:val="none"/>
          <w14:textFill>
            <w14:solidFill>
              <w14:schemeClr w14:val="tx1"/>
            </w14:solidFill>
          </w14:textFill>
        </w:rPr>
        <w:br w:type="page" w:clear="all"/>
      </w:r>
      <w:r>
        <w:rPr>
          <w:color w:val="000000" w:themeColor="text1"/>
          <w:highlight w:val="none"/>
          <w14:textFill>
            <w14:solidFill>
              <w14:schemeClr w14:val="tx1"/>
            </w14:solidFill>
          </w14:textFill>
        </w:rPr>
        <w:t xml:space="preserve">附件1</w:t>
      </w:r>
      <w:r/>
    </w:p>
    <w:p>
      <w:pPr>
        <w:pStyle w:val="1444"/>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参加政府采购活动前 3 年内在经营活动中没有重大违法记录的书面声明</w:t>
      </w:r>
      <w:r/>
    </w:p>
    <w:p>
      <w:pPr>
        <w:ind w:firstLine="881"/>
        <w:jc w:val="center"/>
        <w:spacing w:line="460" w:lineRule="exact"/>
        <w:rPr>
          <w:rFonts w:hint="eastAsia" w:ascii="宋体" w:hAnsi="宋体"/>
          <w:b/>
          <w:bCs/>
          <w:color w:val="000000" w:themeColor="text1"/>
          <w:sz w:val="44"/>
          <w:szCs w:val="44"/>
          <w:highlight w:val="none"/>
          <w14:textFill>
            <w14:solidFill>
              <w14:schemeClr w14:val="tx1"/>
            </w14:solidFill>
          </w14:textFill>
        </w:rPr>
      </w:pPr>
      <w:r>
        <w:rPr>
          <w:rFonts w:hint="eastAsia" w:ascii="宋体" w:hAnsi="宋体"/>
          <w:b/>
          <w:bCs/>
          <w:color w:val="000000" w:themeColor="text1"/>
          <w:sz w:val="44"/>
          <w:szCs w:val="44"/>
          <w:highlight w:val="none"/>
          <w14:textFill>
            <w14:solidFill>
              <w14:schemeClr w14:val="tx1"/>
            </w14:solidFill>
          </w14:textFill>
        </w:rPr>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我公司（本人）郑重声明：参加本次政府采购活动前 3 年内，我公司在经营活动中没有因违法经营受到刑事处罚或者责令停产停业、吊销许可证或者执照、较大数额罚款等行政处罚。</w:t>
      </w:r>
      <w:r/>
    </w:p>
    <w:p>
      <w:pPr>
        <w:ind w:firstLine="482"/>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2"/>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2"/>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2"/>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2"/>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2"/>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2"/>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spacing w:after="120" w:line="360" w:lineRule="auto"/>
        <w:rPr>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投标人名称（公章）：</w:t>
      </w:r>
      <w:r>
        <w:rPr>
          <w:rFonts w:hint="eastAsia"/>
          <w:bCs/>
          <w:color w:val="000000" w:themeColor="text1"/>
          <w:sz w:val="24"/>
          <w:szCs w:val="21"/>
          <w:highlight w:val="none"/>
          <w:lang w:val="en-US" w:eastAsia="zh-CN"/>
          <w14:textFill>
            <w14:solidFill>
              <w14:schemeClr w14:val="tx1"/>
            </w14:solidFill>
          </w14:textFill>
        </w:rPr>
        <w:t xml:space="preserve">______________</w:t>
      </w:r>
      <w:r/>
    </w:p>
    <w:p>
      <w:pPr>
        <w:spacing w:after="120" w:line="360" w:lineRule="auto"/>
        <w:rPr>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lang w:val="en-US" w:eastAsia="zh-CN"/>
          <w14:textFill>
            <w14:solidFill>
              <w14:schemeClr w14:val="tx1"/>
            </w14:solidFill>
          </w14:textFill>
        </w:rPr>
        <w:t xml:space="preserve">法定代表人或其</w:t>
      </w:r>
      <w:r>
        <w:rPr>
          <w:rFonts w:hint="eastAsia"/>
          <w:bCs/>
          <w:color w:val="000000" w:themeColor="text1"/>
          <w:sz w:val="24"/>
          <w:szCs w:val="21"/>
          <w:highlight w:val="none"/>
          <w14:textFill>
            <w14:solidFill>
              <w14:schemeClr w14:val="tx1"/>
            </w14:solidFill>
          </w14:textFill>
        </w:rPr>
        <w:t xml:space="preserve">授权代表签字：</w:t>
      </w:r>
      <w:r>
        <w:rPr>
          <w:rFonts w:hint="eastAsia"/>
          <w:bCs/>
          <w:color w:val="000000" w:themeColor="text1"/>
          <w:sz w:val="24"/>
          <w:szCs w:val="21"/>
          <w:highlight w:val="none"/>
          <w:lang w:val="en-US" w:eastAsia="zh-CN"/>
          <w14:textFill>
            <w14:solidFill>
              <w14:schemeClr w14:val="tx1"/>
            </w14:solidFill>
          </w14:textFill>
        </w:rPr>
        <w:t xml:space="preserve">____________________</w:t>
      </w:r>
      <w:r/>
    </w:p>
    <w:p>
      <w:pPr>
        <w:jc w:val="left"/>
        <w:spacing w:after="120" w:line="360" w:lineRule="auto"/>
        <w:rPr>
          <w:color w:val="000000" w:themeColor="text1"/>
          <w:sz w:val="24"/>
          <w:szCs w:val="28"/>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日期：</w:t>
      </w:r>
      <w:r>
        <w:rPr>
          <w:rFonts w:hint="eastAsia"/>
          <w:bCs/>
          <w:color w:val="000000" w:themeColor="text1"/>
          <w:sz w:val="24"/>
          <w:szCs w:val="21"/>
          <w:highlight w:val="none"/>
          <w:lang w:val="en-US" w:eastAsia="zh-CN"/>
          <w14:textFill>
            <w14:solidFill>
              <w14:schemeClr w14:val="tx1"/>
            </w14:solidFill>
          </w14:textFill>
        </w:rPr>
        <w:t xml:space="preserve">_____</w:t>
      </w:r>
      <w:r>
        <w:rPr>
          <w:rFonts w:hint="eastAsia"/>
          <w:color w:val="000000" w:themeColor="text1"/>
          <w:sz w:val="24"/>
          <w:szCs w:val="28"/>
          <w:highlight w:val="none"/>
          <w14:textFill>
            <w14:solidFill>
              <w14:schemeClr w14:val="tx1"/>
            </w14:solidFill>
          </w14:textFill>
        </w:rPr>
        <w:t xml:space="preserve">年</w:t>
      </w:r>
      <w:r>
        <w:rPr>
          <w:rFonts w:hint="eastAsia"/>
          <w:color w:val="000000" w:themeColor="text1"/>
          <w:sz w:val="24"/>
          <w:szCs w:val="28"/>
          <w:highlight w:val="none"/>
          <w:lang w:val="en-US" w:eastAsia="zh-CN"/>
          <w14:textFill>
            <w14:solidFill>
              <w14:schemeClr w14:val="tx1"/>
            </w14:solidFill>
          </w14:textFill>
        </w:rPr>
        <w:t xml:space="preserve">__</w:t>
      </w:r>
      <w:r>
        <w:rPr>
          <w:rFonts w:hint="eastAsia"/>
          <w:color w:val="000000" w:themeColor="text1"/>
          <w:sz w:val="24"/>
          <w:szCs w:val="28"/>
          <w:highlight w:val="none"/>
          <w14:textFill>
            <w14:solidFill>
              <w14:schemeClr w14:val="tx1"/>
            </w14:solidFill>
          </w14:textFill>
        </w:rPr>
        <w:t xml:space="preserve">月</w:t>
      </w:r>
      <w:r>
        <w:rPr>
          <w:rFonts w:hint="eastAsia"/>
          <w:color w:val="000000" w:themeColor="text1"/>
          <w:sz w:val="24"/>
          <w:szCs w:val="28"/>
          <w:highlight w:val="none"/>
          <w:lang w:val="en-US" w:eastAsia="zh-CN"/>
          <w14:textFill>
            <w14:solidFill>
              <w14:schemeClr w14:val="tx1"/>
            </w14:solidFill>
          </w14:textFill>
        </w:rPr>
        <w:t xml:space="preserve">__</w:t>
      </w:r>
      <w:r>
        <w:rPr>
          <w:rFonts w:hint="eastAsia"/>
          <w:color w:val="000000" w:themeColor="text1"/>
          <w:sz w:val="24"/>
          <w:szCs w:val="28"/>
          <w:highlight w:val="none"/>
          <w14:textFill>
            <w14:solidFill>
              <w14:schemeClr w14:val="tx1"/>
            </w14:solidFill>
          </w14:textFill>
        </w:rPr>
        <w:t xml:space="preserve">日</w:t>
      </w:r>
      <w:r/>
    </w:p>
    <w:p>
      <w:pPr>
        <w:pStyle w:val="143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color w:val="000000" w:themeColor="text1"/>
          <w:highlight w:val="none"/>
          <w14:textFill>
            <w14:solidFill>
              <w14:schemeClr w14:val="tx1"/>
            </w14:solidFill>
          </w14:textFill>
        </w:rPr>
        <w:t xml:space="preserve">附件2</w:t>
      </w:r>
      <w:r/>
    </w:p>
    <w:p>
      <w:pPr>
        <w:pStyle w:val="1444"/>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具备履行合同所必需的设备和专业技术能力的</w:t>
      </w:r>
      <w:r>
        <w:rPr>
          <w:rFonts w:hint="eastAsia"/>
          <w:color w:val="000000" w:themeColor="text1"/>
          <w:highlight w:val="none"/>
          <w:lang w:val="en-US" w:eastAsia="zh-CN"/>
          <w14:textFill>
            <w14:solidFill>
              <w14:schemeClr w14:val="tx1"/>
            </w14:solidFill>
          </w14:textFill>
        </w:rPr>
        <w:t xml:space="preserve">声明函</w:t>
      </w:r>
      <w:r/>
    </w:p>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lang w:val="en-US" w:eastAsia="zh-CN"/>
          <w14:textFill>
            <w14:solidFill>
              <w14:schemeClr w14:val="tx1"/>
            </w14:solidFill>
          </w14:textFill>
        </w:rPr>
        <w:t xml:space="preserve">南通大学附属医院</w:t>
      </w:r>
      <w:r>
        <w:rPr>
          <w:rFonts w:hint="eastAsia" w:ascii="宋体" w:hAnsi="宋体"/>
          <w:bCs/>
          <w:color w:val="000000" w:themeColor="text1"/>
          <w:sz w:val="24"/>
          <w:highlight w:val="none"/>
          <w:u w:val="single"/>
          <w:lang w:val="zh-CN"/>
          <w14:textFill>
            <w14:solidFill>
              <w14:schemeClr w14:val="tx1"/>
            </w14:solidFill>
          </w14:textFill>
        </w:rPr>
        <w:t xml:space="preserve">：</w:t>
      </w:r>
      <w:r/>
    </w:p>
    <w:p>
      <w:pPr>
        <w:pStyle w:val="739"/>
        <w:ind w:firstLine="480"/>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我方参加你方的（项目名称）的投标，现我方向你方慎重承诺：</w:t>
      </w:r>
      <w:r/>
    </w:p>
    <w:p>
      <w:pPr>
        <w:pStyle w:val="739"/>
        <w:ind w:firstLine="480"/>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本单位（具备/不具备）履行合同所必需的设备和专业技术能力。</w:t>
      </w:r>
      <w:r/>
    </w:p>
    <w:p>
      <w:pPr>
        <w:spacing w:after="120" w:line="360" w:lineRule="auto"/>
        <w:rPr>
          <w:rFonts w:hint="eastAsia"/>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r>
      <w:r/>
    </w:p>
    <w:p>
      <w:pPr>
        <w:spacing w:after="120" w:line="360" w:lineRule="auto"/>
        <w:rPr>
          <w:rFonts w:hint="eastAsia"/>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r>
      <w:r/>
    </w:p>
    <w:p>
      <w:pPr>
        <w:spacing w:after="120" w:line="360" w:lineRule="auto"/>
        <w:rPr>
          <w:rFonts w:hint="eastAsia"/>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r>
      <w:r/>
    </w:p>
    <w:p>
      <w:pPr>
        <w:spacing w:after="120" w:line="360" w:lineRule="auto"/>
        <w:rPr>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投标人名称（公章）：</w:t>
      </w:r>
      <w:r>
        <w:rPr>
          <w:rFonts w:hint="eastAsia"/>
          <w:bCs/>
          <w:color w:val="000000" w:themeColor="text1"/>
          <w:sz w:val="24"/>
          <w:szCs w:val="21"/>
          <w:highlight w:val="none"/>
          <w:lang w:val="en-US" w:eastAsia="zh-CN"/>
          <w14:textFill>
            <w14:solidFill>
              <w14:schemeClr w14:val="tx1"/>
            </w14:solidFill>
          </w14:textFill>
        </w:rPr>
        <w:t xml:space="preserve">______________</w:t>
      </w:r>
      <w:r/>
    </w:p>
    <w:p>
      <w:pPr>
        <w:spacing w:after="120" w:line="360" w:lineRule="auto"/>
        <w:rPr>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lang w:val="en-US" w:eastAsia="zh-CN"/>
          <w14:textFill>
            <w14:solidFill>
              <w14:schemeClr w14:val="tx1"/>
            </w14:solidFill>
          </w14:textFill>
        </w:rPr>
        <w:t xml:space="preserve">法定代表人或其</w:t>
      </w:r>
      <w:r>
        <w:rPr>
          <w:rFonts w:hint="eastAsia"/>
          <w:bCs/>
          <w:color w:val="000000" w:themeColor="text1"/>
          <w:sz w:val="24"/>
          <w:szCs w:val="21"/>
          <w:highlight w:val="none"/>
          <w14:textFill>
            <w14:solidFill>
              <w14:schemeClr w14:val="tx1"/>
            </w14:solidFill>
          </w14:textFill>
        </w:rPr>
        <w:t xml:space="preserve">授权代表签字：</w:t>
      </w:r>
      <w:r>
        <w:rPr>
          <w:rFonts w:hint="eastAsia"/>
          <w:bCs/>
          <w:color w:val="000000" w:themeColor="text1"/>
          <w:sz w:val="24"/>
          <w:szCs w:val="21"/>
          <w:highlight w:val="none"/>
          <w:lang w:val="en-US" w:eastAsia="zh-CN"/>
          <w14:textFill>
            <w14:solidFill>
              <w14:schemeClr w14:val="tx1"/>
            </w14:solidFill>
          </w14:textFill>
        </w:rPr>
        <w:t xml:space="preserve">____________________</w:t>
      </w:r>
      <w:r/>
    </w:p>
    <w:p>
      <w:pPr>
        <w:jc w:val="left"/>
        <w:spacing w:after="120" w:line="360" w:lineRule="auto"/>
        <w:rPr>
          <w:color w:val="000000" w:themeColor="text1"/>
          <w:sz w:val="24"/>
          <w:szCs w:val="28"/>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日期：</w:t>
      </w:r>
      <w:r>
        <w:rPr>
          <w:rFonts w:hint="eastAsia"/>
          <w:bCs/>
          <w:color w:val="000000" w:themeColor="text1"/>
          <w:sz w:val="24"/>
          <w:szCs w:val="21"/>
          <w:highlight w:val="none"/>
          <w:lang w:val="en-US" w:eastAsia="zh-CN"/>
          <w14:textFill>
            <w14:solidFill>
              <w14:schemeClr w14:val="tx1"/>
            </w14:solidFill>
          </w14:textFill>
        </w:rPr>
        <w:t xml:space="preserve">_____</w:t>
      </w:r>
      <w:r>
        <w:rPr>
          <w:rFonts w:hint="eastAsia"/>
          <w:color w:val="000000" w:themeColor="text1"/>
          <w:sz w:val="24"/>
          <w:szCs w:val="28"/>
          <w:highlight w:val="none"/>
          <w14:textFill>
            <w14:solidFill>
              <w14:schemeClr w14:val="tx1"/>
            </w14:solidFill>
          </w14:textFill>
        </w:rPr>
        <w:t xml:space="preserve">年</w:t>
      </w:r>
      <w:r>
        <w:rPr>
          <w:rFonts w:hint="eastAsia"/>
          <w:color w:val="000000" w:themeColor="text1"/>
          <w:sz w:val="24"/>
          <w:szCs w:val="28"/>
          <w:highlight w:val="none"/>
          <w:lang w:val="en-US" w:eastAsia="zh-CN"/>
          <w14:textFill>
            <w14:solidFill>
              <w14:schemeClr w14:val="tx1"/>
            </w14:solidFill>
          </w14:textFill>
        </w:rPr>
        <w:t xml:space="preserve">__</w:t>
      </w:r>
      <w:r>
        <w:rPr>
          <w:rFonts w:hint="eastAsia"/>
          <w:color w:val="000000" w:themeColor="text1"/>
          <w:sz w:val="24"/>
          <w:szCs w:val="28"/>
          <w:highlight w:val="none"/>
          <w14:textFill>
            <w14:solidFill>
              <w14:schemeClr w14:val="tx1"/>
            </w14:solidFill>
          </w14:textFill>
        </w:rPr>
        <w:t xml:space="preserve">月</w:t>
      </w:r>
      <w:r>
        <w:rPr>
          <w:rFonts w:hint="eastAsia"/>
          <w:color w:val="000000" w:themeColor="text1"/>
          <w:sz w:val="24"/>
          <w:szCs w:val="28"/>
          <w:highlight w:val="none"/>
          <w:lang w:val="en-US" w:eastAsia="zh-CN"/>
          <w14:textFill>
            <w14:solidFill>
              <w14:schemeClr w14:val="tx1"/>
            </w14:solidFill>
          </w14:textFill>
        </w:rPr>
        <w:t xml:space="preserve">__</w:t>
      </w:r>
      <w:r>
        <w:rPr>
          <w:rFonts w:hint="eastAsia"/>
          <w:color w:val="000000" w:themeColor="text1"/>
          <w:sz w:val="24"/>
          <w:szCs w:val="28"/>
          <w:highlight w:val="none"/>
          <w14:textFill>
            <w14:solidFill>
              <w14:schemeClr w14:val="tx1"/>
            </w14:solidFill>
          </w14:textFill>
        </w:rPr>
        <w:t xml:space="preserve">日</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contextualSpacing/>
        <w:spacing w:line="400" w:lineRule="exact"/>
        <w:rPr>
          <w:rFonts w:hint="eastAsia"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br w:type="page" w:clear="all"/>
      </w:r>
      <w:r/>
    </w:p>
    <w:p>
      <w:pPr>
        <w:pStyle w:val="143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附件3</w:t>
      </w:r>
      <w:r/>
    </w:p>
    <w:p>
      <w:pPr>
        <w:pStyle w:val="1444"/>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法定代表人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组织负责人</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身份证明</w:t>
      </w:r>
      <w:r/>
    </w:p>
    <w:p>
      <w:pPr>
        <w:pStyle w:val="739"/>
        <w:ind w:firstLine="480"/>
        <w:rPr>
          <w:color w:val="000000" w:themeColor="text1"/>
          <w:highlight w:val="none"/>
          <w14:textFill>
            <w14:solidFill>
              <w14:schemeClr w14:val="tx1"/>
            </w14:solidFill>
          </w14:textFill>
        </w:rPr>
      </w:pP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先生/女士： 现任我单位</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职务，为</w:t>
      </w:r>
      <w:r>
        <w:rPr>
          <w:color w:val="000000" w:themeColor="text1"/>
          <w:highlight w:val="none"/>
          <w:u w:val="single"/>
          <w14:textFill>
            <w14:solidFill>
              <w14:schemeClr w14:val="tx1"/>
            </w14:solidFill>
          </w14:textFill>
        </w:rPr>
        <w:t xml:space="preserve">法定代表人</w:t>
      </w:r>
      <w:r>
        <w:rPr>
          <w:rFonts w:hint="eastAsia"/>
          <w:color w:val="000000" w:themeColor="text1"/>
          <w:highlight w:val="none"/>
          <w:u w:val="single"/>
          <w:lang w:val="en-US" w:eastAsia="zh-CN"/>
          <w14:textFill>
            <w14:solidFill>
              <w14:schemeClr w14:val="tx1"/>
            </w14:solidFill>
          </w14:textFill>
        </w:rPr>
        <w:t xml:space="preserve">/组织负责人（请根据投标人组织性质自行填写）</w:t>
      </w:r>
      <w:r>
        <w:rPr>
          <w:color w:val="000000" w:themeColor="text1"/>
          <w:highlight w:val="none"/>
          <w14:textFill>
            <w14:solidFill>
              <w14:schemeClr w14:val="tx1"/>
            </w14:solidFill>
          </w14:textFill>
        </w:rPr>
        <w:t xml:space="preserve">，特此证明。</w:t>
      </w:r>
      <w:r/>
    </w:p>
    <w:p>
      <w:pPr>
        <w:pStyle w:val="739"/>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 xml:space="preserve">身份证号码：</w:t>
      </w:r>
      <w:r>
        <w:rPr>
          <w:color w:val="000000" w:themeColor="text1"/>
          <w:highlight w:val="none"/>
          <w:u w:val="single"/>
          <w14:textFill>
            <w14:solidFill>
              <w14:schemeClr w14:val="tx1"/>
            </w14:solidFill>
          </w14:textFill>
        </w:rPr>
        <w:t xml:space="preserve">                                               </w:t>
      </w:r>
      <w:r/>
    </w:p>
    <w:p>
      <w:pPr>
        <w:pStyle w:val="739"/>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注：提供法定代表人的身份证复印</w:t>
      </w:r>
      <w:r>
        <w:rPr>
          <w:rFonts w:hint="eastAsia"/>
          <w:b/>
          <w:color w:val="000000" w:themeColor="text1"/>
          <w:highlight w:val="none"/>
          <w:lang w:eastAsia="zh-CN"/>
          <w14:textFill>
            <w14:solidFill>
              <w14:schemeClr w14:val="tx1"/>
            </w14:solidFill>
          </w14:textFill>
        </w:rPr>
        <w:t xml:space="preserve">件加</w:t>
      </w:r>
      <w:r>
        <w:rPr>
          <w:b/>
          <w:color w:val="000000" w:themeColor="text1"/>
          <w:highlight w:val="none"/>
          <w14:textFill>
            <w14:solidFill>
              <w14:schemeClr w14:val="tx1"/>
            </w14:solidFill>
          </w14:textFill>
        </w:rPr>
        <w:t xml:space="preserve">盖公章</w:t>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spacing w:after="120" w:line="360" w:lineRule="auto"/>
        <w:rPr>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投标人名称（公章）：</w:t>
      </w:r>
      <w:r>
        <w:rPr>
          <w:rFonts w:hint="eastAsia"/>
          <w:bCs/>
          <w:color w:val="000000" w:themeColor="text1"/>
          <w:sz w:val="24"/>
          <w:szCs w:val="21"/>
          <w:highlight w:val="none"/>
          <w:lang w:val="en-US" w:eastAsia="zh-CN"/>
          <w14:textFill>
            <w14:solidFill>
              <w14:schemeClr w14:val="tx1"/>
            </w14:solidFill>
          </w14:textFill>
        </w:rPr>
        <w:t xml:space="preserve">______________</w:t>
      </w:r>
      <w:r/>
    </w:p>
    <w:p>
      <w:pPr>
        <w:spacing w:after="120" w:line="360" w:lineRule="auto"/>
        <w:rPr>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lang w:val="en-US" w:eastAsia="zh-CN"/>
          <w14:textFill>
            <w14:solidFill>
              <w14:schemeClr w14:val="tx1"/>
            </w14:solidFill>
          </w14:textFill>
        </w:rPr>
        <w:t xml:space="preserve">法定代表人或其</w:t>
      </w:r>
      <w:r>
        <w:rPr>
          <w:rFonts w:hint="eastAsia"/>
          <w:bCs/>
          <w:color w:val="000000" w:themeColor="text1"/>
          <w:sz w:val="24"/>
          <w:szCs w:val="21"/>
          <w:highlight w:val="none"/>
          <w14:textFill>
            <w14:solidFill>
              <w14:schemeClr w14:val="tx1"/>
            </w14:solidFill>
          </w14:textFill>
        </w:rPr>
        <w:t xml:space="preserve">授权代表签字：</w:t>
      </w:r>
      <w:r>
        <w:rPr>
          <w:rFonts w:hint="eastAsia"/>
          <w:bCs/>
          <w:color w:val="000000" w:themeColor="text1"/>
          <w:sz w:val="24"/>
          <w:szCs w:val="21"/>
          <w:highlight w:val="none"/>
          <w:lang w:val="en-US" w:eastAsia="zh-CN"/>
          <w14:textFill>
            <w14:solidFill>
              <w14:schemeClr w14:val="tx1"/>
            </w14:solidFill>
          </w14:textFill>
        </w:rPr>
        <w:t xml:space="preserve">____________________</w:t>
      </w:r>
      <w:r/>
    </w:p>
    <w:p>
      <w:pPr>
        <w:jc w:val="left"/>
        <w:spacing w:after="120" w:line="360" w:lineRule="auto"/>
        <w:rPr>
          <w:color w:val="000000" w:themeColor="text1"/>
          <w:sz w:val="24"/>
          <w:szCs w:val="28"/>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日期：</w:t>
      </w:r>
      <w:r>
        <w:rPr>
          <w:rFonts w:hint="eastAsia"/>
          <w:bCs/>
          <w:color w:val="000000" w:themeColor="text1"/>
          <w:sz w:val="24"/>
          <w:szCs w:val="21"/>
          <w:highlight w:val="none"/>
          <w:lang w:val="en-US" w:eastAsia="zh-CN"/>
          <w14:textFill>
            <w14:solidFill>
              <w14:schemeClr w14:val="tx1"/>
            </w14:solidFill>
          </w14:textFill>
        </w:rPr>
        <w:t xml:space="preserve">_____</w:t>
      </w:r>
      <w:r>
        <w:rPr>
          <w:rFonts w:hint="eastAsia"/>
          <w:color w:val="000000" w:themeColor="text1"/>
          <w:sz w:val="24"/>
          <w:szCs w:val="28"/>
          <w:highlight w:val="none"/>
          <w14:textFill>
            <w14:solidFill>
              <w14:schemeClr w14:val="tx1"/>
            </w14:solidFill>
          </w14:textFill>
        </w:rPr>
        <w:t xml:space="preserve">年</w:t>
      </w:r>
      <w:r>
        <w:rPr>
          <w:rFonts w:hint="eastAsia"/>
          <w:color w:val="000000" w:themeColor="text1"/>
          <w:sz w:val="24"/>
          <w:szCs w:val="28"/>
          <w:highlight w:val="none"/>
          <w:lang w:val="en-US" w:eastAsia="zh-CN"/>
          <w14:textFill>
            <w14:solidFill>
              <w14:schemeClr w14:val="tx1"/>
            </w14:solidFill>
          </w14:textFill>
        </w:rPr>
        <w:t xml:space="preserve">__</w:t>
      </w:r>
      <w:r>
        <w:rPr>
          <w:rFonts w:hint="eastAsia"/>
          <w:color w:val="000000" w:themeColor="text1"/>
          <w:sz w:val="24"/>
          <w:szCs w:val="28"/>
          <w:highlight w:val="none"/>
          <w14:textFill>
            <w14:solidFill>
              <w14:schemeClr w14:val="tx1"/>
            </w14:solidFill>
          </w14:textFill>
        </w:rPr>
        <w:t xml:space="preserve">月</w:t>
      </w:r>
      <w:r>
        <w:rPr>
          <w:rFonts w:hint="eastAsia"/>
          <w:color w:val="000000" w:themeColor="text1"/>
          <w:sz w:val="24"/>
          <w:szCs w:val="28"/>
          <w:highlight w:val="none"/>
          <w:lang w:val="en-US" w:eastAsia="zh-CN"/>
          <w14:textFill>
            <w14:solidFill>
              <w14:schemeClr w14:val="tx1"/>
            </w14:solidFill>
          </w14:textFill>
        </w:rPr>
        <w:t xml:space="preserve">__</w:t>
      </w:r>
      <w:r>
        <w:rPr>
          <w:rFonts w:hint="eastAsia"/>
          <w:color w:val="000000" w:themeColor="text1"/>
          <w:sz w:val="24"/>
          <w:szCs w:val="28"/>
          <w:highlight w:val="none"/>
          <w14:textFill>
            <w14:solidFill>
              <w14:schemeClr w14:val="tx1"/>
            </w14:solidFill>
          </w14:textFill>
        </w:rPr>
        <w:t xml:space="preserve">日</w:t>
      </w:r>
      <w:r/>
    </w:p>
    <w:p>
      <w:pPr>
        <w:rPr>
          <w:rFonts w:hint="eastAsia"/>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br w:type="page" w:clear="all"/>
      </w:r>
      <w:r/>
    </w:p>
    <w:p>
      <w:pPr>
        <w:jc w:val="right"/>
        <w:spacing w:after="120" w:line="360" w:lineRule="auto"/>
        <w:rPr>
          <w:rFonts w:hint="eastAsia"/>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r>
      <w:r/>
    </w:p>
    <w:p>
      <w:pPr>
        <w:pStyle w:val="1438"/>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4</w:t>
      </w:r>
      <w:r/>
    </w:p>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center"/>
        <w:spacing w:line="276" w:lineRule="auto"/>
        <w:rPr>
          <w:rFonts w:ascii="宋体" w:hAnsi="宋体" w:cs="宋体"/>
          <w:bCs/>
          <w:color w:val="000000" w:themeColor="text1"/>
          <w:sz w:val="32"/>
          <w:szCs w:val="32"/>
          <w:highlight w:val="none"/>
          <w14:textFill>
            <w14:solidFill>
              <w14:schemeClr w14:val="tx1"/>
            </w14:solidFill>
          </w14:textFill>
        </w:rPr>
      </w:pPr>
      <w:r>
        <w:rPr>
          <w:rFonts w:hint="eastAsia" w:ascii="宋体" w:hAnsi="宋体" w:cs="宋体"/>
          <w:bCs/>
          <w:color w:val="000000" w:themeColor="text1"/>
          <w:sz w:val="32"/>
          <w:szCs w:val="32"/>
          <w:highlight w:val="none"/>
          <w14:textFill>
            <w14:solidFill>
              <w14:schemeClr w14:val="tx1"/>
            </w14:solidFill>
          </w14:textFill>
        </w:rPr>
        <w:t xml:space="preserve">声明</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spacing w:line="360" w:lineRule="auto"/>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致：</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南通大学附属医院</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我公司郑重声明：</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我公司具有</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（项目名称）</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（项目</w:t>
      </w:r>
      <w:r>
        <w:rPr>
          <w:rFonts w:hint="eastAsia" w:ascii="宋体" w:hAnsi="宋体" w:cs="宋体"/>
          <w:bCs/>
          <w:color w:val="000000" w:themeColor="text1"/>
          <w:sz w:val="24"/>
          <w:szCs w:val="24"/>
          <w:highlight w:val="none"/>
          <w14:textFill>
            <w14:solidFill>
              <w14:schemeClr w14:val="tx1"/>
            </w14:solidFill>
          </w14:textFill>
        </w:rPr>
        <w:t xml:space="preserve">编号</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法律、行政法规规定的其他</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资格</w:t>
      </w:r>
      <w:r>
        <w:rPr>
          <w:rFonts w:hint="eastAsia" w:ascii="宋体" w:hAnsi="宋体" w:cs="宋体"/>
          <w:bCs/>
          <w:color w:val="000000" w:themeColor="text1"/>
          <w:sz w:val="24"/>
          <w:szCs w:val="24"/>
          <w:highlight w:val="none"/>
          <w14:textFill>
            <w14:solidFill>
              <w14:schemeClr w14:val="tx1"/>
            </w14:solidFill>
          </w14:textFill>
        </w:rPr>
        <w:t xml:space="preserve">条件。</w:t>
      </w:r>
      <w:r/>
    </w:p>
    <w:p>
      <w:pPr>
        <w:ind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特此声明！</w:t>
      </w:r>
      <w:r/>
    </w:p>
    <w:p>
      <w:pPr>
        <w:ind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p>
      <w:pPr>
        <w:spacing w:after="120" w:line="360" w:lineRule="auto"/>
        <w:rPr>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投标人名称（公章）：</w:t>
      </w:r>
      <w:r>
        <w:rPr>
          <w:rFonts w:hint="eastAsia"/>
          <w:bCs/>
          <w:color w:val="000000" w:themeColor="text1"/>
          <w:sz w:val="24"/>
          <w:szCs w:val="21"/>
          <w:highlight w:val="none"/>
          <w:lang w:val="en-US" w:eastAsia="zh-CN"/>
          <w14:textFill>
            <w14:solidFill>
              <w14:schemeClr w14:val="tx1"/>
            </w14:solidFill>
          </w14:textFill>
        </w:rPr>
        <w:t xml:space="preserve">______________</w:t>
      </w:r>
      <w:r/>
    </w:p>
    <w:p>
      <w:pPr>
        <w:spacing w:after="120" w:line="360" w:lineRule="auto"/>
        <w:rPr>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lang w:val="en-US" w:eastAsia="zh-CN"/>
          <w14:textFill>
            <w14:solidFill>
              <w14:schemeClr w14:val="tx1"/>
            </w14:solidFill>
          </w14:textFill>
        </w:rPr>
        <w:t xml:space="preserve">法定代表人或其</w:t>
      </w:r>
      <w:r>
        <w:rPr>
          <w:rFonts w:hint="eastAsia"/>
          <w:bCs/>
          <w:color w:val="000000" w:themeColor="text1"/>
          <w:sz w:val="24"/>
          <w:szCs w:val="21"/>
          <w:highlight w:val="none"/>
          <w14:textFill>
            <w14:solidFill>
              <w14:schemeClr w14:val="tx1"/>
            </w14:solidFill>
          </w14:textFill>
        </w:rPr>
        <w:t xml:space="preserve">授权代表签字：</w:t>
      </w:r>
      <w:r>
        <w:rPr>
          <w:rFonts w:hint="eastAsia"/>
          <w:bCs/>
          <w:color w:val="000000" w:themeColor="text1"/>
          <w:sz w:val="24"/>
          <w:szCs w:val="21"/>
          <w:highlight w:val="none"/>
          <w:lang w:val="en-US" w:eastAsia="zh-CN"/>
          <w14:textFill>
            <w14:solidFill>
              <w14:schemeClr w14:val="tx1"/>
            </w14:solidFill>
          </w14:textFill>
        </w:rPr>
        <w:t xml:space="preserve">____________________</w:t>
      </w:r>
      <w:r/>
    </w:p>
    <w:p>
      <w:pPr>
        <w:jc w:val="left"/>
        <w:spacing w:after="120" w:line="360" w:lineRule="auto"/>
        <w:rPr>
          <w:color w:val="000000" w:themeColor="text1"/>
          <w:sz w:val="24"/>
          <w:szCs w:val="28"/>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日期：</w:t>
      </w:r>
      <w:r>
        <w:rPr>
          <w:rFonts w:hint="eastAsia"/>
          <w:bCs/>
          <w:color w:val="000000" w:themeColor="text1"/>
          <w:sz w:val="24"/>
          <w:szCs w:val="21"/>
          <w:highlight w:val="none"/>
          <w:lang w:val="en-US" w:eastAsia="zh-CN"/>
          <w14:textFill>
            <w14:solidFill>
              <w14:schemeClr w14:val="tx1"/>
            </w14:solidFill>
          </w14:textFill>
        </w:rPr>
        <w:t xml:space="preserve">_____</w:t>
      </w:r>
      <w:r>
        <w:rPr>
          <w:rFonts w:hint="eastAsia"/>
          <w:color w:val="000000" w:themeColor="text1"/>
          <w:sz w:val="24"/>
          <w:szCs w:val="28"/>
          <w:highlight w:val="none"/>
          <w14:textFill>
            <w14:solidFill>
              <w14:schemeClr w14:val="tx1"/>
            </w14:solidFill>
          </w14:textFill>
        </w:rPr>
        <w:t xml:space="preserve">年</w:t>
      </w:r>
      <w:r>
        <w:rPr>
          <w:rFonts w:hint="eastAsia"/>
          <w:color w:val="000000" w:themeColor="text1"/>
          <w:sz w:val="24"/>
          <w:szCs w:val="28"/>
          <w:highlight w:val="none"/>
          <w:lang w:val="en-US" w:eastAsia="zh-CN"/>
          <w14:textFill>
            <w14:solidFill>
              <w14:schemeClr w14:val="tx1"/>
            </w14:solidFill>
          </w14:textFill>
        </w:rPr>
        <w:t xml:space="preserve">__</w:t>
      </w:r>
      <w:r>
        <w:rPr>
          <w:rFonts w:hint="eastAsia"/>
          <w:color w:val="000000" w:themeColor="text1"/>
          <w:sz w:val="24"/>
          <w:szCs w:val="28"/>
          <w:highlight w:val="none"/>
          <w14:textFill>
            <w14:solidFill>
              <w14:schemeClr w14:val="tx1"/>
            </w14:solidFill>
          </w14:textFill>
        </w:rPr>
        <w:t xml:space="preserve">月</w:t>
      </w:r>
      <w:r>
        <w:rPr>
          <w:rFonts w:hint="eastAsia"/>
          <w:color w:val="000000" w:themeColor="text1"/>
          <w:sz w:val="24"/>
          <w:szCs w:val="28"/>
          <w:highlight w:val="none"/>
          <w:lang w:val="en-US" w:eastAsia="zh-CN"/>
          <w14:textFill>
            <w14:solidFill>
              <w14:schemeClr w14:val="tx1"/>
            </w14:solidFill>
          </w14:textFill>
        </w:rPr>
        <w:t xml:space="preserve">__</w:t>
      </w:r>
      <w:r>
        <w:rPr>
          <w:rFonts w:hint="eastAsia"/>
          <w:color w:val="000000" w:themeColor="text1"/>
          <w:sz w:val="24"/>
          <w:szCs w:val="28"/>
          <w:highlight w:val="none"/>
          <w14:textFill>
            <w14:solidFill>
              <w14:schemeClr w14:val="tx1"/>
            </w14:solidFill>
          </w14:textFill>
        </w:rPr>
        <w:t xml:space="preserve">日</w:t>
      </w:r>
      <w:r/>
    </w:p>
    <w:p>
      <w:pPr>
        <w:contextualSpacing/>
        <w:ind w:firstLine="46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1438"/>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5</w:t>
      </w:r>
      <w:r/>
    </w:p>
    <w:p>
      <w:pPr>
        <w:pStyle w:val="1444"/>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法定代表人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组织负责人</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授权委托书</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本人</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（姓名）系</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授权单位名称）的</w:t>
      </w:r>
      <w:r>
        <w:rPr>
          <w:color w:val="000000" w:themeColor="text1"/>
          <w:highlight w:val="none"/>
          <w:u w:val="single"/>
          <w14:textFill>
            <w14:solidFill>
              <w14:schemeClr w14:val="tx1"/>
            </w14:solidFill>
          </w14:textFill>
        </w:rPr>
        <w:t xml:space="preserve">法定代表人</w:t>
      </w:r>
      <w:r>
        <w:rPr>
          <w:rFonts w:hint="eastAsia"/>
          <w:color w:val="000000" w:themeColor="text1"/>
          <w:highlight w:val="none"/>
          <w:u w:val="single"/>
          <w:lang w:val="en-US" w:eastAsia="zh-CN"/>
          <w14:textFill>
            <w14:solidFill>
              <w14:schemeClr w14:val="tx1"/>
            </w14:solidFill>
          </w14:textFill>
        </w:rPr>
        <w:t xml:space="preserve">/组织负责人（请根据投标人组织性质自行填写）</w:t>
      </w:r>
      <w:r>
        <w:rPr>
          <w:color w:val="000000" w:themeColor="text1"/>
          <w:highlight w:val="none"/>
          <w14:textFill>
            <w14:solidFill>
              <w14:schemeClr w14:val="tx1"/>
            </w14:solidFill>
          </w14:textFill>
        </w:rPr>
        <w:t xml:space="preserve">，现委托</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（姓名）（身份证号</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）为我方代理人，以我方名义全权处理与本次采购项目（编号</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）有关的一切事务，其法律后果由我方承担。</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本授权书于</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年</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月</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日起生效。代理人无转委托权。</w:t>
      </w:r>
      <w:r/>
    </w:p>
    <w:p>
      <w:pPr>
        <w:ind w:firstLine="420"/>
        <w:spacing w:after="120" w:line="360" w:lineRule="auto"/>
        <w:rPr>
          <w:rFonts w:hint="eastAsia"/>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r>
      <w:r/>
    </w:p>
    <w:p>
      <w:pPr>
        <w:ind w:firstLine="420"/>
        <w:spacing w:after="120" w:line="360" w:lineRule="auto"/>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代理人</w:t>
      </w:r>
      <w:r>
        <w:rPr>
          <w:rFonts w:hint="eastAsia"/>
          <w:color w:val="000000" w:themeColor="text1"/>
          <w:sz w:val="24"/>
          <w:szCs w:val="28"/>
          <w:highlight w:val="none"/>
          <w:lang w:eastAsia="zh-CN"/>
          <w14:textFill>
            <w14:solidFill>
              <w14:schemeClr w14:val="tx1"/>
            </w14:solidFill>
          </w14:textFill>
        </w:rPr>
        <w:t xml:space="preserve">（</w:t>
      </w:r>
      <w:r>
        <w:rPr>
          <w:rFonts w:hint="eastAsia"/>
          <w:color w:val="000000" w:themeColor="text1"/>
          <w:sz w:val="24"/>
          <w:szCs w:val="28"/>
          <w:highlight w:val="none"/>
          <w14:textFill>
            <w14:solidFill>
              <w14:schemeClr w14:val="tx1"/>
            </w14:solidFill>
          </w14:textFill>
        </w:rPr>
        <w:t xml:space="preserve">被授权人</w:t>
      </w:r>
      <w:r>
        <w:rPr>
          <w:rFonts w:hint="eastAsia"/>
          <w:color w:val="000000" w:themeColor="text1"/>
          <w:sz w:val="24"/>
          <w:szCs w:val="28"/>
          <w:highlight w:val="none"/>
          <w:lang w:eastAsia="zh-CN"/>
          <w14:textFill>
            <w14:solidFill>
              <w14:schemeClr w14:val="tx1"/>
            </w14:solidFill>
          </w14:textFill>
        </w:rPr>
        <w:t xml:space="preserve">）</w:t>
      </w:r>
      <w:r>
        <w:rPr>
          <w:rFonts w:hint="eastAsia"/>
          <w:color w:val="000000" w:themeColor="text1"/>
          <w:sz w:val="24"/>
          <w:szCs w:val="28"/>
          <w:highlight w:val="none"/>
          <w:lang w:val="en-US" w:eastAsia="zh-CN"/>
          <w14:textFill>
            <w14:solidFill>
              <w14:schemeClr w14:val="tx1"/>
            </w14:solidFill>
          </w14:textFill>
        </w:rPr>
        <w:t xml:space="preserve">签字：</w:t>
      </w:r>
      <w:r>
        <w:rPr>
          <w:rFonts w:hint="eastAsia"/>
          <w:color w:val="000000" w:themeColor="text1"/>
          <w:highlight w:val="none"/>
          <w:u w:val="single"/>
          <w:lang w:val="en-US" w:eastAsia="zh-CN"/>
          <w14:textFill>
            <w14:solidFill>
              <w14:schemeClr w14:val="tx1"/>
            </w14:solidFill>
          </w14:textFill>
        </w:rPr>
        <w:t xml:space="preserve">       </w:t>
      </w:r>
      <w:r/>
    </w:p>
    <w:p>
      <w:pPr>
        <w:ind w:firstLine="420"/>
        <w:spacing w:after="120" w:line="360" w:lineRule="auto"/>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授权单位名称（盖章）：</w:t>
      </w:r>
      <w:r>
        <w:rPr>
          <w:rFonts w:hint="eastAsia"/>
          <w:color w:val="000000" w:themeColor="text1"/>
          <w:highlight w:val="none"/>
          <w:u w:val="single"/>
          <w:lang w:val="en-US" w:eastAsia="zh-CN"/>
          <w14:textFill>
            <w14:solidFill>
              <w14:schemeClr w14:val="tx1"/>
            </w14:solidFill>
          </w14:textFill>
        </w:rPr>
        <w:t xml:space="preserve">      </w:t>
      </w:r>
      <w:r/>
    </w:p>
    <w:p>
      <w:pPr>
        <w:ind w:firstLine="420"/>
        <w:spacing w:after="120" w:line="360" w:lineRule="auto"/>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授权单位法定代表人（签字或盖章）：</w:t>
      </w:r>
      <w:r>
        <w:rPr>
          <w:rFonts w:hint="eastAsia"/>
          <w:color w:val="000000" w:themeColor="text1"/>
          <w:highlight w:val="none"/>
          <w:u w:val="single"/>
          <w:lang w:val="en-US" w:eastAsia="zh-CN"/>
          <w14:textFill>
            <w14:solidFill>
              <w14:schemeClr w14:val="tx1"/>
            </w14:solidFill>
          </w14:textFill>
        </w:rPr>
        <w:t xml:space="preserve">      </w:t>
      </w:r>
      <w:r/>
    </w:p>
    <w:p>
      <w:pPr>
        <w:ind w:left="0" w:firstLine="5258"/>
        <w:jc w:val="left"/>
        <w:spacing w:after="120" w:line="360" w:lineRule="auto"/>
        <w:rPr>
          <w:color w:val="000000" w:themeColor="text1"/>
          <w:sz w:val="24"/>
          <w:szCs w:val="28"/>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日期：</w:t>
      </w:r>
      <w:r>
        <w:rPr>
          <w:rFonts w:hint="eastAsia"/>
          <w:bCs/>
          <w:color w:val="000000" w:themeColor="text1"/>
          <w:sz w:val="24"/>
          <w:szCs w:val="21"/>
          <w:highlight w:val="none"/>
          <w:lang w:val="en-US" w:eastAsia="zh-CN"/>
          <w14:textFill>
            <w14:solidFill>
              <w14:schemeClr w14:val="tx1"/>
            </w14:solidFill>
          </w14:textFill>
        </w:rPr>
        <w:t xml:space="preserve">_____</w:t>
      </w:r>
      <w:r>
        <w:rPr>
          <w:rFonts w:hint="eastAsia"/>
          <w:color w:val="000000" w:themeColor="text1"/>
          <w:sz w:val="24"/>
          <w:szCs w:val="28"/>
          <w:highlight w:val="none"/>
          <w14:textFill>
            <w14:solidFill>
              <w14:schemeClr w14:val="tx1"/>
            </w14:solidFill>
          </w14:textFill>
        </w:rPr>
        <w:t xml:space="preserve">年</w:t>
      </w:r>
      <w:r>
        <w:rPr>
          <w:rFonts w:hint="eastAsia"/>
          <w:color w:val="000000" w:themeColor="text1"/>
          <w:sz w:val="24"/>
          <w:szCs w:val="28"/>
          <w:highlight w:val="none"/>
          <w:lang w:val="en-US" w:eastAsia="zh-CN"/>
          <w14:textFill>
            <w14:solidFill>
              <w14:schemeClr w14:val="tx1"/>
            </w14:solidFill>
          </w14:textFill>
        </w:rPr>
        <w:t xml:space="preserve">__</w:t>
      </w:r>
      <w:r>
        <w:rPr>
          <w:rFonts w:hint="eastAsia"/>
          <w:color w:val="000000" w:themeColor="text1"/>
          <w:sz w:val="24"/>
          <w:szCs w:val="28"/>
          <w:highlight w:val="none"/>
          <w14:textFill>
            <w14:solidFill>
              <w14:schemeClr w14:val="tx1"/>
            </w14:solidFill>
          </w14:textFill>
        </w:rPr>
        <w:t xml:space="preserve">月</w:t>
      </w:r>
      <w:r>
        <w:rPr>
          <w:rFonts w:hint="eastAsia"/>
          <w:color w:val="000000" w:themeColor="text1"/>
          <w:sz w:val="24"/>
          <w:szCs w:val="28"/>
          <w:highlight w:val="none"/>
          <w:lang w:val="en-US" w:eastAsia="zh-CN"/>
          <w14:textFill>
            <w14:solidFill>
              <w14:schemeClr w14:val="tx1"/>
            </w14:solidFill>
          </w14:textFill>
        </w:rPr>
        <w:t xml:space="preserve">__</w:t>
      </w:r>
      <w:r>
        <w:rPr>
          <w:rFonts w:hint="eastAsia"/>
          <w:color w:val="000000" w:themeColor="text1"/>
          <w:sz w:val="24"/>
          <w:szCs w:val="28"/>
          <w:highlight w:val="none"/>
          <w14:textFill>
            <w14:solidFill>
              <w14:schemeClr w14:val="tx1"/>
            </w14:solidFill>
          </w14:textFill>
        </w:rPr>
        <w:t xml:space="preserve">日</w:t>
      </w:r>
      <w:r/>
    </w:p>
    <w:p>
      <w:pPr>
        <w:jc w:val="right"/>
        <w:spacing w:after="120" w:line="360" w:lineRule="auto"/>
        <w:rPr>
          <w:color w:val="000000" w:themeColor="text1"/>
          <w:sz w:val="24"/>
          <w:szCs w:val="28"/>
          <w:highlight w:val="none"/>
          <w14:textFill>
            <w14:solidFill>
              <w14:schemeClr w14:val="tx1"/>
            </w14:solidFill>
          </w14:textFill>
        </w:rPr>
      </w:pPr>
      <w:r>
        <w:rPr>
          <w:color w:val="000000" w:themeColor="text1"/>
          <w:sz w:val="24"/>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pStyle w:val="739"/>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注：提供投标代表本人身份证复印</w:t>
      </w:r>
      <w:r>
        <w:rPr>
          <w:rFonts w:hint="eastAsia"/>
          <w:b/>
          <w:color w:val="000000" w:themeColor="text1"/>
          <w:highlight w:val="none"/>
          <w:lang w:eastAsia="zh-CN"/>
          <w14:textFill>
            <w14:solidFill>
              <w14:schemeClr w14:val="tx1"/>
            </w14:solidFill>
          </w14:textFill>
        </w:rPr>
        <w:t xml:space="preserve">件加</w:t>
      </w:r>
      <w:r>
        <w:rPr>
          <w:b/>
          <w:color w:val="000000" w:themeColor="text1"/>
          <w:highlight w:val="none"/>
          <w14:textFill>
            <w14:solidFill>
              <w14:schemeClr w14:val="tx1"/>
            </w14:solidFill>
          </w14:textFill>
        </w:rPr>
        <w:t xml:space="preserve">盖公章</w:t>
      </w:r>
      <w:r/>
    </w:p>
    <w:p>
      <w:pPr>
        <w:jc w:val="left"/>
        <w:widowControl/>
        <w:rPr>
          <w:rFonts w:hint="eastAsia"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br w:type="page" w:clear="all"/>
      </w:r>
      <w:r/>
    </w:p>
    <w:p>
      <w:pPr>
        <w:pStyle w:val="1438"/>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6</w:t>
      </w:r>
      <w:r/>
    </w:p>
    <w:p>
      <w:pPr>
        <w:pStyle w:val="144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投标函</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276" w:lineRule="auto"/>
        <w:rPr>
          <w:rFonts w:hint="eastAsia"/>
          <w:color w:val="000000" w:themeColor="text1"/>
          <w:sz w:val="24"/>
          <w:szCs w:val="32"/>
          <w:highlight w:val="none"/>
          <w:u w:val="single"/>
          <w:lang w:val="en-US" w:eastAsia="zh-CN"/>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致：</w:t>
      </w:r>
      <w:r>
        <w:rPr>
          <w:rFonts w:hint="eastAsia"/>
          <w:color w:val="000000" w:themeColor="text1"/>
          <w:sz w:val="24"/>
          <w:szCs w:val="32"/>
          <w:highlight w:val="none"/>
          <w:u w:val="single"/>
          <w:lang w:val="en-US" w:eastAsia="zh-CN"/>
          <w14:textFill>
            <w14:solidFill>
              <w14:schemeClr w14:val="tx1"/>
            </w14:solidFill>
          </w14:textFill>
        </w:rPr>
        <w:t xml:space="preserve">南通大学附属医院</w:t>
      </w:r>
      <w:r/>
    </w:p>
    <w:p>
      <w:pPr>
        <w:spacing w:line="276" w:lineRule="auto"/>
        <w:rPr>
          <w:rFonts w:hint="eastAsia"/>
          <w:color w:val="000000" w:themeColor="text1"/>
          <w:sz w:val="24"/>
          <w:szCs w:val="32"/>
          <w:highlight w:val="none"/>
          <w:u w:val="single"/>
          <w:lang w:val="en-US" w:eastAsia="zh-CN"/>
          <w14:textFill>
            <w14:solidFill>
              <w14:schemeClr w14:val="tx1"/>
            </w14:solidFill>
          </w14:textFill>
        </w:rPr>
      </w:pPr>
      <w:r>
        <w:rPr>
          <w:rFonts w:hint="eastAsia"/>
          <w:color w:val="000000" w:themeColor="text1"/>
          <w:sz w:val="24"/>
          <w:szCs w:val="32"/>
          <w:highlight w:val="none"/>
          <w:u w:val="single"/>
          <w:lang w:val="en-US" w:eastAsia="zh-CN"/>
          <w14:textFill>
            <w14:solidFill>
              <w14:schemeClr w14:val="tx1"/>
            </w14:solidFill>
          </w14:textFill>
        </w:rPr>
      </w:r>
      <w:r/>
    </w:p>
    <w:p>
      <w:pPr>
        <w:ind w:firstLine="560"/>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根据贵方</w:t>
      </w:r>
      <w:r>
        <w:rPr>
          <w:rFonts w:hint="eastAsia"/>
          <w:i/>
          <w:color w:val="000000" w:themeColor="text1"/>
          <w:sz w:val="24"/>
          <w:szCs w:val="32"/>
          <w:highlight w:val="none"/>
          <w:u w:val="single"/>
          <w14:textFill>
            <w14:solidFill>
              <w14:schemeClr w14:val="tx1"/>
            </w14:solidFill>
          </w14:textFill>
        </w:rPr>
        <w:t xml:space="preserve">（项目编号：）（项目名称）</w:t>
      </w:r>
      <w:r>
        <w:rPr>
          <w:rFonts w:hint="eastAsia"/>
          <w:color w:val="000000" w:themeColor="text1"/>
          <w:sz w:val="24"/>
          <w:szCs w:val="32"/>
          <w:highlight w:val="none"/>
          <w14:textFill>
            <w14:solidFill>
              <w14:schemeClr w14:val="tx1"/>
            </w14:solidFill>
          </w14:textFill>
        </w:rPr>
        <w:t xml:space="preserve">项目招标采购货物及服务的</w:t>
      </w:r>
      <w:r>
        <w:rPr>
          <w:rFonts w:hint="eastAsia"/>
          <w:color w:val="000000" w:themeColor="text1"/>
          <w:sz w:val="24"/>
          <w:szCs w:val="32"/>
          <w:highlight w:val="none"/>
          <w:lang w:eastAsia="zh-CN"/>
          <w14:textFill>
            <w14:solidFill>
              <w14:schemeClr w14:val="tx1"/>
            </w14:solidFill>
          </w14:textFill>
        </w:rPr>
        <w:t xml:space="preserve">招标公告</w:t>
      </w:r>
      <w:r>
        <w:rPr>
          <w:rFonts w:hint="eastAsia"/>
          <w:color w:val="000000" w:themeColor="text1"/>
          <w:sz w:val="24"/>
          <w:szCs w:val="32"/>
          <w:highlight w:val="none"/>
          <w14:textFill>
            <w14:solidFill>
              <w14:schemeClr w14:val="tx1"/>
            </w14:solidFill>
          </w14:textFill>
        </w:rPr>
        <w:t xml:space="preserve">，投标人代表</w:t>
      </w:r>
      <w:r>
        <w:rPr>
          <w:rFonts w:hint="eastAsia"/>
          <w:i/>
          <w:color w:val="000000" w:themeColor="text1"/>
          <w:sz w:val="24"/>
          <w:szCs w:val="32"/>
          <w:highlight w:val="none"/>
          <w:u w:val="single"/>
          <w14:textFill>
            <w14:solidFill>
              <w14:schemeClr w14:val="tx1"/>
            </w14:solidFill>
          </w14:textFill>
        </w:rPr>
        <w:t xml:space="preserve">（姓名、职务）</w:t>
      </w:r>
      <w:r>
        <w:rPr>
          <w:rFonts w:hint="eastAsia"/>
          <w:color w:val="000000" w:themeColor="text1"/>
          <w:sz w:val="24"/>
          <w:szCs w:val="32"/>
          <w:highlight w:val="none"/>
          <w14:textFill>
            <w14:solidFill>
              <w14:schemeClr w14:val="tx1"/>
            </w14:solidFill>
          </w14:textFill>
        </w:rPr>
        <w:t xml:space="preserve">经正式授权并代表投标人</w:t>
      </w:r>
      <w:r>
        <w:rPr>
          <w:rFonts w:hint="eastAsia"/>
          <w:i/>
          <w:color w:val="000000" w:themeColor="text1"/>
          <w:sz w:val="24"/>
          <w:szCs w:val="32"/>
          <w:highlight w:val="none"/>
          <w:u w:val="single"/>
          <w14:textFill>
            <w14:solidFill>
              <w14:schemeClr w14:val="tx1"/>
            </w14:solidFill>
          </w14:textFill>
        </w:rPr>
        <w:t xml:space="preserve">（投标人名称、地址）</w:t>
      </w:r>
      <w:r>
        <w:rPr>
          <w:rFonts w:hint="eastAsia"/>
          <w:color w:val="000000" w:themeColor="text1"/>
          <w:sz w:val="24"/>
          <w:szCs w:val="32"/>
          <w:highlight w:val="none"/>
          <w14:textFill>
            <w14:solidFill>
              <w14:schemeClr w14:val="tx1"/>
            </w14:solidFill>
          </w14:textFill>
        </w:rPr>
        <w:t xml:space="preserve">提交投标文件。</w:t>
      </w:r>
      <w:r/>
    </w:p>
    <w:p>
      <w:pPr>
        <w:spacing w:line="276" w:lineRule="auto"/>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r>
      <w:r/>
    </w:p>
    <w:p>
      <w:pPr>
        <w:ind w:firstLine="560"/>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据此函，签字代表宣布同意如下：</w:t>
      </w:r>
      <w:r/>
    </w:p>
    <w:p>
      <w:pPr>
        <w:ind w:firstLine="566"/>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1、所附投标价格表中规定的应提交和交付的货物及服务的投标总价见开标一览表。</w:t>
      </w:r>
      <w:r/>
    </w:p>
    <w:p>
      <w:pPr>
        <w:ind w:firstLine="566"/>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2、投标人将按招标文件的规定履行合同责任和义务。</w:t>
      </w:r>
      <w:r/>
    </w:p>
    <w:p>
      <w:pPr>
        <w:ind w:firstLine="566"/>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3、投标人已详细审查全部招标文件，包括有关澄清和修改说明（如有）</w:t>
      </w:r>
      <w:r>
        <w:rPr>
          <w:rFonts w:hint="eastAsia"/>
          <w:color w:val="000000" w:themeColor="text1"/>
          <w:sz w:val="24"/>
          <w:szCs w:val="32"/>
          <w:highlight w:val="none"/>
          <w:lang w:eastAsia="zh-CN"/>
          <w14:textFill>
            <w14:solidFill>
              <w14:schemeClr w14:val="tx1"/>
            </w14:solidFill>
          </w14:textFill>
        </w:rPr>
        <w:t xml:space="preserve">，</w:t>
      </w:r>
      <w:r>
        <w:rPr>
          <w:rFonts w:hint="eastAsia"/>
          <w:color w:val="000000" w:themeColor="text1"/>
          <w:sz w:val="24"/>
          <w:szCs w:val="32"/>
          <w:highlight w:val="none"/>
          <w14:textFill>
            <w14:solidFill>
              <w14:schemeClr w14:val="tx1"/>
            </w14:solidFill>
          </w14:textFill>
        </w:rPr>
        <w:t xml:space="preserve">并对其内容无保留意见。双方权利义务以招标文件及其澄清、修改、更正公告的书面内容为准；因投标人自身理解偏差或未及时获取上述文件而产生的不利后果，由投标人自行承担。</w:t>
      </w:r>
      <w:r/>
    </w:p>
    <w:p>
      <w:pPr>
        <w:ind w:firstLine="566"/>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4、本投标有效期为自开标日起</w:t>
      </w:r>
      <w:r>
        <w:rPr>
          <w:rFonts w:hint="eastAsia"/>
          <w:color w:val="000000" w:themeColor="text1"/>
          <w:sz w:val="24"/>
          <w:szCs w:val="32"/>
          <w:highlight w:val="none"/>
          <w:u w:val="single"/>
          <w14:textFill>
            <w14:solidFill>
              <w14:schemeClr w14:val="tx1"/>
            </w14:solidFill>
          </w14:textFill>
        </w:rPr>
        <w:t xml:space="preserve">90</w:t>
      </w:r>
      <w:r>
        <w:rPr>
          <w:rFonts w:hint="eastAsia"/>
          <w:color w:val="000000" w:themeColor="text1"/>
          <w:sz w:val="24"/>
          <w:szCs w:val="32"/>
          <w:highlight w:val="none"/>
          <w14:textFill>
            <w14:solidFill>
              <w14:schemeClr w14:val="tx1"/>
            </w14:solidFill>
          </w14:textFill>
        </w:rPr>
        <w:t xml:space="preserve">日历日。在这期间，本投标文件将始终对我方具有约束力。如果中标，本次招标文件和本投标文件（含承诺书）将作为买卖</w:t>
      </w:r>
      <w:r>
        <w:rPr>
          <w:rFonts w:hint="eastAsia"/>
          <w:color w:val="000000" w:themeColor="text1"/>
          <w:sz w:val="24"/>
          <w:szCs w:val="32"/>
          <w:highlight w:val="none"/>
          <w:lang w:val="en-US" w:eastAsia="zh-CN"/>
          <w14:textFill>
            <w14:solidFill>
              <w14:schemeClr w14:val="tx1"/>
            </w14:solidFill>
          </w14:textFill>
        </w:rPr>
        <w:t xml:space="preserve">合同</w:t>
      </w:r>
      <w:r>
        <w:rPr>
          <w:rFonts w:hint="eastAsia"/>
          <w:color w:val="000000" w:themeColor="text1"/>
          <w:sz w:val="24"/>
          <w:szCs w:val="32"/>
          <w:highlight w:val="none"/>
          <w14:textFill>
            <w14:solidFill>
              <w14:schemeClr w14:val="tx1"/>
            </w14:solidFill>
          </w14:textFill>
        </w:rPr>
        <w:t xml:space="preserve">的附件。</w:t>
      </w:r>
      <w:r/>
    </w:p>
    <w:p>
      <w:pPr>
        <w:ind w:firstLine="566"/>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5、我方愿意向采购人提供任何与本次招标有关的其他资料。</w:t>
      </w:r>
      <w:r/>
    </w:p>
    <w:p>
      <w:pPr>
        <w:ind w:firstLine="566"/>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6、我方愿意履行自己在投标文件中的全部承诺和责任。</w:t>
      </w:r>
      <w:r/>
    </w:p>
    <w:p>
      <w:pPr>
        <w:ind w:firstLine="566"/>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7、我方愿意遵守招标文件中对投标者的所有规定。</w:t>
      </w:r>
      <w:r/>
    </w:p>
    <w:p>
      <w:pPr>
        <w:ind w:firstLine="566"/>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8、我方承诺不以任何形式向评标委员会成员和参与评标的有关工作人员探听对投标文件的评审和比较、中标候选人的推荐情况以及与评标有关的其他情况。</w:t>
      </w:r>
      <w:r/>
    </w:p>
    <w:p>
      <w:pPr>
        <w:ind w:firstLine="566"/>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9、我方完全理解采购代理机构和采购人有保留在授标之前任何时候接受或拒绝任何投标，以及宣布招标程序无效或拒绝所有投标的</w:t>
      </w:r>
      <w:r>
        <w:rPr>
          <w:rFonts w:hint="eastAsia"/>
          <w:color w:val="000000" w:themeColor="text1"/>
          <w:sz w:val="24"/>
          <w:szCs w:val="32"/>
          <w:highlight w:val="none"/>
          <w:lang w:eastAsia="zh-CN"/>
          <w14:textFill>
            <w14:solidFill>
              <w14:schemeClr w14:val="tx1"/>
            </w14:solidFill>
          </w14:textFill>
        </w:rPr>
        <w:t xml:space="preserve">权利</w:t>
      </w:r>
      <w:r>
        <w:rPr>
          <w:rFonts w:hint="eastAsia"/>
          <w:color w:val="000000" w:themeColor="text1"/>
          <w:sz w:val="24"/>
          <w:szCs w:val="32"/>
          <w:highlight w:val="none"/>
          <w14:textFill>
            <w14:solidFill>
              <w14:schemeClr w14:val="tx1"/>
            </w14:solidFill>
          </w14:textFill>
        </w:rPr>
        <w:t xml:space="preserve">。我方完全理解采购代理机构和采购人无向未中标人解释未中标理由的义务。</w:t>
      </w:r>
      <w:r/>
    </w:p>
    <w:p>
      <w:pPr>
        <w:ind w:firstLine="566"/>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10、我方在投标有效期内</w:t>
      </w:r>
      <w:r>
        <w:rPr>
          <w:rFonts w:hint="eastAsia"/>
          <w:color w:val="000000" w:themeColor="text1"/>
          <w:sz w:val="24"/>
          <w:szCs w:val="32"/>
          <w:highlight w:val="none"/>
          <w:lang w:val="en-US" w:eastAsia="zh-CN"/>
          <w14:textFill>
            <w14:solidFill>
              <w14:schemeClr w14:val="tx1"/>
            </w14:solidFill>
          </w14:textFill>
        </w:rPr>
        <w:t xml:space="preserve">不</w:t>
      </w:r>
      <w:r>
        <w:rPr>
          <w:rFonts w:hint="eastAsia"/>
          <w:color w:val="000000" w:themeColor="text1"/>
          <w:sz w:val="24"/>
          <w:szCs w:val="32"/>
          <w:highlight w:val="none"/>
          <w14:textFill>
            <w14:solidFill>
              <w14:schemeClr w14:val="tx1"/>
            </w14:solidFill>
          </w14:textFill>
        </w:rPr>
        <w:t xml:space="preserve">撤回投标，</w:t>
      </w:r>
      <w:r>
        <w:rPr>
          <w:rFonts w:hint="eastAsia"/>
          <w:color w:val="000000" w:themeColor="text1"/>
          <w:sz w:val="24"/>
          <w:szCs w:val="32"/>
          <w:highlight w:val="none"/>
          <w:lang w:val="en-US" w:eastAsia="zh-CN"/>
          <w14:textFill>
            <w14:solidFill>
              <w14:schemeClr w14:val="tx1"/>
            </w14:solidFill>
          </w14:textFill>
        </w:rPr>
        <w:t xml:space="preserve">如有违反，我方将承担相应的法律责任</w:t>
      </w:r>
      <w:r>
        <w:rPr>
          <w:rFonts w:hint="eastAsia"/>
          <w:color w:val="000000" w:themeColor="text1"/>
          <w:sz w:val="24"/>
          <w:szCs w:val="32"/>
          <w:highlight w:val="none"/>
          <w14:textFill>
            <w14:solidFill>
              <w14:schemeClr w14:val="tx1"/>
            </w14:solidFill>
          </w14:textFill>
        </w:rPr>
        <w:t xml:space="preserve">。</w:t>
      </w:r>
      <w:r/>
    </w:p>
    <w:p>
      <w:pPr>
        <w:ind w:firstLine="566"/>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11、我方承诺，与采购人聘请的为此项目提供咨询服务的公司及任何附属机构均无关联，我方不是采购人的附属机构。</w:t>
      </w:r>
      <w:r/>
    </w:p>
    <w:p>
      <w:pPr>
        <w:ind w:firstLine="566"/>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12、投标人同意提供按照贵方可能要求的与其投标有关的一切数据或资料，完全理解贵方不一定接受最低价的投标或收到的任何投标。</w:t>
      </w:r>
      <w:r/>
    </w:p>
    <w:p>
      <w:pPr>
        <w:ind w:firstLine="566"/>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13、其他说明：</w:t>
      </w:r>
      <w:r/>
    </w:p>
    <w:p>
      <w:pPr>
        <w:ind w:firstLine="566"/>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14、与本投标有关的一切正式往来信函请寄：</w:t>
      </w:r>
      <w:r/>
    </w:p>
    <w:p>
      <w:pPr>
        <w:ind w:firstLine="566"/>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地址：</w:t>
      </w:r>
      <w:r>
        <w:rPr>
          <w:rFonts w:hint="eastAsia"/>
          <w:color w:val="000000" w:themeColor="text1"/>
          <w:sz w:val="24"/>
          <w:szCs w:val="32"/>
          <w:highlight w:val="none"/>
          <w:lang w:val="en-US" w:eastAsia="zh-CN"/>
          <w14:textFill>
            <w14:solidFill>
              <w14:schemeClr w14:val="tx1"/>
            </w14:solidFill>
          </w14:textFill>
        </w:rPr>
        <w:t xml:space="preserve">           </w:t>
      </w:r>
      <w:r>
        <w:rPr>
          <w:rFonts w:hint="eastAsia"/>
          <w:color w:val="000000" w:themeColor="text1"/>
          <w:sz w:val="24"/>
          <w:szCs w:val="32"/>
          <w:highlight w:val="none"/>
          <w14:textFill>
            <w14:solidFill>
              <w14:schemeClr w14:val="tx1"/>
            </w14:solidFill>
          </w14:textFill>
        </w:rPr>
        <w:t xml:space="preserve">联系人：</w:t>
      </w:r>
      <w:r>
        <w:rPr>
          <w:rFonts w:hint="eastAsia"/>
          <w:color w:val="000000" w:themeColor="text1"/>
          <w:sz w:val="24"/>
          <w:szCs w:val="32"/>
          <w:highlight w:val="none"/>
          <w:lang w:val="en-US" w:eastAsia="zh-CN"/>
          <w14:textFill>
            <w14:solidFill>
              <w14:schemeClr w14:val="tx1"/>
            </w14:solidFill>
          </w14:textFill>
        </w:rPr>
        <w:t xml:space="preserve">           </w:t>
      </w:r>
      <w:r>
        <w:rPr>
          <w:rFonts w:hint="eastAsia"/>
          <w:color w:val="000000" w:themeColor="text1"/>
          <w:sz w:val="24"/>
          <w:szCs w:val="32"/>
          <w:highlight w:val="none"/>
          <w14:textFill>
            <w14:solidFill>
              <w14:schemeClr w14:val="tx1"/>
            </w14:solidFill>
          </w14:textFill>
        </w:rPr>
        <w:t xml:space="preserve">电话：</w:t>
      </w:r>
      <w:r>
        <w:rPr>
          <w:rFonts w:hint="eastAsia"/>
          <w:color w:val="000000" w:themeColor="text1"/>
          <w:sz w:val="24"/>
          <w:szCs w:val="32"/>
          <w:highlight w:val="none"/>
          <w:lang w:val="en-US" w:eastAsia="zh-CN"/>
          <w14:textFill>
            <w14:solidFill>
              <w14:schemeClr w14:val="tx1"/>
            </w14:solidFill>
          </w14:textFill>
        </w:rPr>
        <w:t xml:space="preserve">         </w:t>
      </w:r>
      <w:r>
        <w:rPr>
          <w:rFonts w:hint="eastAsia"/>
          <w:color w:val="000000" w:themeColor="text1"/>
          <w:sz w:val="24"/>
          <w:szCs w:val="32"/>
          <w:highlight w:val="none"/>
          <w14:textFill>
            <w14:solidFill>
              <w14:schemeClr w14:val="tx1"/>
            </w14:solidFill>
          </w14:textFill>
        </w:rPr>
        <w:t xml:space="preserve">电子邮件：</w:t>
      </w:r>
      <w:r/>
    </w:p>
    <w:p>
      <w:pPr>
        <w:spacing w:after="120" w:line="360" w:lineRule="auto"/>
        <w:rPr>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投标人名称（公章）：</w:t>
      </w:r>
      <w:r>
        <w:rPr>
          <w:rFonts w:hint="eastAsia"/>
          <w:bCs/>
          <w:color w:val="000000" w:themeColor="text1"/>
          <w:sz w:val="24"/>
          <w:szCs w:val="21"/>
          <w:highlight w:val="none"/>
          <w:lang w:val="en-US" w:eastAsia="zh-CN"/>
          <w14:textFill>
            <w14:solidFill>
              <w14:schemeClr w14:val="tx1"/>
            </w14:solidFill>
          </w14:textFill>
        </w:rPr>
        <w:t xml:space="preserve">______________</w:t>
      </w:r>
      <w:r/>
    </w:p>
    <w:p>
      <w:pPr>
        <w:spacing w:after="120" w:line="360" w:lineRule="auto"/>
        <w:rPr>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lang w:val="en-US" w:eastAsia="zh-CN"/>
          <w14:textFill>
            <w14:solidFill>
              <w14:schemeClr w14:val="tx1"/>
            </w14:solidFill>
          </w14:textFill>
        </w:rPr>
        <w:t xml:space="preserve">法定代表人或其</w:t>
      </w:r>
      <w:r>
        <w:rPr>
          <w:rFonts w:hint="eastAsia"/>
          <w:bCs/>
          <w:color w:val="000000" w:themeColor="text1"/>
          <w:sz w:val="24"/>
          <w:szCs w:val="21"/>
          <w:highlight w:val="none"/>
          <w14:textFill>
            <w14:solidFill>
              <w14:schemeClr w14:val="tx1"/>
            </w14:solidFill>
          </w14:textFill>
        </w:rPr>
        <w:t xml:space="preserve">授权代表签字：</w:t>
      </w:r>
      <w:r>
        <w:rPr>
          <w:rFonts w:hint="eastAsia"/>
          <w:bCs/>
          <w:color w:val="000000" w:themeColor="text1"/>
          <w:sz w:val="24"/>
          <w:szCs w:val="21"/>
          <w:highlight w:val="none"/>
          <w:lang w:val="en-US" w:eastAsia="zh-CN"/>
          <w14:textFill>
            <w14:solidFill>
              <w14:schemeClr w14:val="tx1"/>
            </w14:solidFill>
          </w14:textFill>
        </w:rPr>
        <w:t xml:space="preserve">____________________</w:t>
      </w:r>
      <w:r/>
    </w:p>
    <w:p>
      <w:pPr>
        <w:jc w:val="left"/>
        <w:spacing w:after="120" w:line="360" w:lineRule="auto"/>
        <w:rPr>
          <w:color w:val="000000" w:themeColor="text1"/>
          <w:sz w:val="24"/>
          <w:szCs w:val="28"/>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日期：</w:t>
      </w:r>
      <w:r>
        <w:rPr>
          <w:rFonts w:hint="eastAsia"/>
          <w:bCs/>
          <w:color w:val="000000" w:themeColor="text1"/>
          <w:sz w:val="24"/>
          <w:szCs w:val="21"/>
          <w:highlight w:val="none"/>
          <w:lang w:val="en-US" w:eastAsia="zh-CN"/>
          <w14:textFill>
            <w14:solidFill>
              <w14:schemeClr w14:val="tx1"/>
            </w14:solidFill>
          </w14:textFill>
        </w:rPr>
        <w:t xml:space="preserve">_____</w:t>
      </w:r>
      <w:r>
        <w:rPr>
          <w:rFonts w:hint="eastAsia"/>
          <w:color w:val="000000" w:themeColor="text1"/>
          <w:sz w:val="24"/>
          <w:szCs w:val="28"/>
          <w:highlight w:val="none"/>
          <w14:textFill>
            <w14:solidFill>
              <w14:schemeClr w14:val="tx1"/>
            </w14:solidFill>
          </w14:textFill>
        </w:rPr>
        <w:t xml:space="preserve">年</w:t>
      </w:r>
      <w:r>
        <w:rPr>
          <w:rFonts w:hint="eastAsia"/>
          <w:color w:val="000000" w:themeColor="text1"/>
          <w:sz w:val="24"/>
          <w:szCs w:val="28"/>
          <w:highlight w:val="none"/>
          <w:lang w:val="en-US" w:eastAsia="zh-CN"/>
          <w14:textFill>
            <w14:solidFill>
              <w14:schemeClr w14:val="tx1"/>
            </w14:solidFill>
          </w14:textFill>
        </w:rPr>
        <w:t xml:space="preserve">__</w:t>
      </w:r>
      <w:r>
        <w:rPr>
          <w:rFonts w:hint="eastAsia"/>
          <w:color w:val="000000" w:themeColor="text1"/>
          <w:sz w:val="24"/>
          <w:szCs w:val="28"/>
          <w:highlight w:val="none"/>
          <w14:textFill>
            <w14:solidFill>
              <w14:schemeClr w14:val="tx1"/>
            </w14:solidFill>
          </w14:textFill>
        </w:rPr>
        <w:t xml:space="preserve">月</w:t>
      </w:r>
      <w:r>
        <w:rPr>
          <w:rFonts w:hint="eastAsia"/>
          <w:color w:val="000000" w:themeColor="text1"/>
          <w:sz w:val="24"/>
          <w:szCs w:val="28"/>
          <w:highlight w:val="none"/>
          <w:lang w:val="en-US" w:eastAsia="zh-CN"/>
          <w14:textFill>
            <w14:solidFill>
              <w14:schemeClr w14:val="tx1"/>
            </w14:solidFill>
          </w14:textFill>
        </w:rPr>
        <w:t xml:space="preserve">__</w:t>
      </w:r>
      <w:r>
        <w:rPr>
          <w:rFonts w:hint="eastAsia"/>
          <w:color w:val="000000" w:themeColor="text1"/>
          <w:sz w:val="24"/>
          <w:szCs w:val="28"/>
          <w:highlight w:val="none"/>
          <w14:textFill>
            <w14:solidFill>
              <w14:schemeClr w14:val="tx1"/>
            </w14:solidFill>
          </w14:textFill>
        </w:rPr>
        <w:t xml:space="preserve">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1438"/>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7</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444"/>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投标人情况一览表</w:t>
      </w:r>
      <w:r/>
    </w:p>
    <w:tbl>
      <w:tblPr>
        <w:tblStyle w:val="727"/>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394"/>
        <w:gridCol w:w="788"/>
        <w:gridCol w:w="340"/>
        <w:gridCol w:w="973"/>
        <w:gridCol w:w="525"/>
        <w:gridCol w:w="876"/>
        <w:gridCol w:w="1169"/>
        <w:gridCol w:w="141"/>
        <w:gridCol w:w="1038"/>
        <w:gridCol w:w="58"/>
        <w:gridCol w:w="1434"/>
      </w:tblGrid>
      <w:tr>
        <w:trPr>
          <w:trHeight w:val="397"/>
        </w:trPr>
        <w:tc>
          <w:tcPr>
            <w:gridSpan w:val="2"/>
            <w:tcW w:w="677" w:type="pct"/>
            <w:vAlign w:val="center"/>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单位名称</w:t>
            </w:r>
            <w:r/>
          </w:p>
        </w:tc>
        <w:tc>
          <w:tcPr>
            <w:gridSpan w:val="10"/>
            <w:tcW w:w="4322"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397"/>
        </w:trPr>
        <w:tc>
          <w:tcPr>
            <w:gridSpan w:val="3"/>
            <w:tcW w:w="1141"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单位优势及特长</w:t>
            </w:r>
            <w:r/>
          </w:p>
        </w:tc>
        <w:tc>
          <w:tcPr>
            <w:gridSpan w:val="9"/>
            <w:tcW w:w="3858"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397"/>
        </w:trPr>
        <w:tc>
          <w:tcPr>
            <w:tcW w:w="445" w:type="pct"/>
            <w:vAlign w:val="center"/>
            <w:vMerge w:val="restart"/>
            <w:textDirection w:val="lrTb"/>
            <w:noWrap w:val="false"/>
          </w:tcPr>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w:t>
            </w:r>
            <w:r/>
          </w:p>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概况</w:t>
            </w:r>
            <w:r/>
          </w:p>
        </w:tc>
        <w:tc>
          <w:tcPr>
            <w:gridSpan w:val="2"/>
            <w:tcW w:w="696" w:type="pct"/>
            <w:vAlign w:val="center"/>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职工总数</w:t>
            </w:r>
            <w:r/>
          </w:p>
        </w:tc>
        <w:tc>
          <w:tcPr>
            <w:gridSpan w:val="2"/>
            <w:tcW w:w="773" w:type="pct"/>
            <w:vAlign w:val="center"/>
            <w:textDirection w:val="lrTb"/>
            <w:noWrap w:val="false"/>
          </w:tcPr>
          <w:p>
            <w:pPr>
              <w:jc w:val="right"/>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人</w:t>
            </w:r>
            <w:r/>
          </w:p>
        </w:tc>
        <w:tc>
          <w:tcPr>
            <w:tcW w:w="309" w:type="pct"/>
            <w:vAlign w:val="center"/>
            <w:vMerge w:val="restart"/>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上一年主要经济指标</w:t>
            </w:r>
            <w:r/>
          </w:p>
        </w:tc>
        <w:tc>
          <w:tcPr>
            <w:tcW w:w="516" w:type="pct"/>
            <w:vAlign w:val="center"/>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营业额</w:t>
            </w:r>
            <w:r/>
          </w:p>
        </w:tc>
        <w:tc>
          <w:tcPr>
            <w:gridSpan w:val="2"/>
            <w:tcW w:w="771"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45" w:type="pct"/>
            <w:vAlign w:val="center"/>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实现利润</w:t>
            </w:r>
            <w:r/>
          </w:p>
        </w:tc>
        <w:tc>
          <w:tcPr>
            <w:tcW w:w="842"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397"/>
        </w:trPr>
        <w:tc>
          <w:tcPr>
            <w:tcW w:w="445" w:type="pct"/>
            <w:vAlign w:val="center"/>
            <w:vMerge w:val="continue"/>
            <w:textDirection w:val="lrTb"/>
            <w:noWrap w:val="false"/>
          </w:tcPr>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96" w:type="pct"/>
            <w:vAlign w:val="center"/>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流动资金</w:t>
            </w:r>
            <w:r/>
          </w:p>
        </w:tc>
        <w:tc>
          <w:tcPr>
            <w:gridSpan w:val="2"/>
            <w:tcW w:w="773" w:type="pct"/>
            <w:vAlign w:val="center"/>
            <w:textDirection w:val="lrTb"/>
            <w:noWrap w:val="false"/>
          </w:tcPr>
          <w:p>
            <w:pPr>
              <w:jc w:val="right"/>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万元</w:t>
            </w:r>
            <w:r/>
          </w:p>
        </w:tc>
        <w:tc>
          <w:tcPr>
            <w:tcW w:w="309"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516" w:type="pct"/>
            <w:vAlign w:val="center"/>
            <w:vMerge w:val="restart"/>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主要</w:t>
            </w:r>
            <w:r/>
          </w:p>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产品</w:t>
            </w:r>
            <w:r/>
          </w:p>
        </w:tc>
        <w:tc>
          <w:tcPr>
            <w:gridSpan w:val="5"/>
            <w:tcW w:w="2260" w:type="pct"/>
            <w:vAlign w:val="center"/>
            <w:textDirection w:val="lrTb"/>
            <w:noWrap w:val="false"/>
          </w:tcPr>
          <w:p>
            <w:pPr>
              <w:spacing w:before="120" w:after="12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p>
        </w:tc>
      </w:tr>
      <w:tr>
        <w:trPr>
          <w:cantSplit/>
          <w:trHeight w:val="1116"/>
        </w:trPr>
        <w:tc>
          <w:tcPr>
            <w:tcW w:w="445" w:type="pct"/>
            <w:vAlign w:val="center"/>
            <w:vMerge w:val="continue"/>
            <w:textDirection w:val="lrTb"/>
            <w:noWrap w:val="false"/>
          </w:tcPr>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96" w:type="pct"/>
            <w:vAlign w:val="center"/>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固定资产</w:t>
            </w:r>
            <w:r/>
          </w:p>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（万元）</w:t>
            </w:r>
            <w:r/>
          </w:p>
        </w:tc>
        <w:tc>
          <w:tcPr>
            <w:gridSpan w:val="2"/>
            <w:tcW w:w="773" w:type="pct"/>
            <w:vAlign w:val="center"/>
            <w:textDirection w:val="lrTb"/>
            <w:noWrap w:val="false"/>
          </w:tcPr>
          <w:p>
            <w:pPr>
              <w:ind w:right="-133" w:hanging="48"/>
              <w:tabs>
                <w:tab w:val="left" w:pos="-48" w:leader="none"/>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原值：</w:t>
            </w:r>
            <w:r/>
          </w:p>
          <w:p>
            <w:pPr>
              <w:ind w:hanging="48"/>
              <w:jc w:val="right"/>
              <w:tabs>
                <w:tab w:val="left" w:pos="-48" w:leader="none"/>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right="-133" w:hanging="48"/>
              <w:tabs>
                <w:tab w:val="left" w:pos="-48" w:leader="none"/>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净值：</w:t>
            </w:r>
            <w:r/>
          </w:p>
          <w:p>
            <w:pPr>
              <w:ind w:hanging="48"/>
              <w:jc w:val="right"/>
              <w:tabs>
                <w:tab w:val="left" w:pos="-48" w:leader="none"/>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09"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516" w:type="pct"/>
            <w:vAlign w:val="center"/>
            <w:vMerge w:val="continue"/>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5"/>
            <w:tcW w:w="2260"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p>
        </w:tc>
      </w:tr>
      <w:tr>
        <w:trPr>
          <w:cantSplit/>
          <w:trHeight w:val="397"/>
        </w:trPr>
        <w:tc>
          <w:tcPr>
            <w:tcW w:w="445" w:type="pct"/>
            <w:vAlign w:val="center"/>
            <w:vMerge w:val="continue"/>
            <w:textDirection w:val="lrTb"/>
            <w:noWrap w:val="false"/>
          </w:tcPr>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96" w:type="pct"/>
            <w:vAlign w:val="center"/>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占地面积</w:t>
            </w:r>
            <w:r/>
          </w:p>
        </w:tc>
        <w:tc>
          <w:tcPr>
            <w:gridSpan w:val="2"/>
            <w:tcW w:w="773" w:type="pct"/>
            <w:vAlign w:val="center"/>
            <w:textDirection w:val="lrTb"/>
            <w:noWrap w:val="false"/>
          </w:tcPr>
          <w:p>
            <w:pPr>
              <w:jc w:val="right"/>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M</w:t>
            </w:r>
            <w:r>
              <w:rPr>
                <w:rFonts w:hint="eastAsia" w:ascii="宋体" w:hAnsi="宋体"/>
                <w:color w:val="000000" w:themeColor="text1"/>
                <w:sz w:val="24"/>
                <w:highlight w:val="none"/>
                <w:vertAlign w:val="superscript"/>
                <w14:textFill>
                  <w14:solidFill>
                    <w14:schemeClr w14:val="tx1"/>
                  </w14:solidFill>
                </w14:textFill>
              </w:rPr>
              <w:t xml:space="preserve">2</w:t>
            </w:r>
            <w:r/>
          </w:p>
        </w:tc>
        <w:tc>
          <w:tcPr>
            <w:tcW w:w="309"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516" w:type="pct"/>
            <w:vAlign w:val="center"/>
            <w:vMerge w:val="continue"/>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5"/>
            <w:tcW w:w="2260" w:type="pct"/>
            <w:vAlign w:val="center"/>
            <w:textDirection w:val="lrTb"/>
            <w:noWrap w:val="false"/>
          </w:tcPr>
          <w:p>
            <w:pPr>
              <w:spacing w:before="120" w:after="12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p>
        </w:tc>
      </w:tr>
      <w:tr>
        <w:trPr>
          <w:cantSplit/>
          <w:trHeight w:val="397"/>
        </w:trPr>
        <w:tc>
          <w:tcPr>
            <w:tcW w:w="445" w:type="pct"/>
            <w:vAlign w:val="center"/>
            <w:vMerge w:val="restart"/>
            <w:textDirection w:val="lrTb"/>
            <w:noWrap w:val="false"/>
          </w:tcPr>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本次</w:t>
            </w:r>
            <w:r/>
          </w:p>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w:t>
            </w:r>
            <w:r/>
          </w:p>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产品</w:t>
            </w:r>
            <w:r/>
          </w:p>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情况</w:t>
            </w:r>
            <w:r/>
          </w:p>
        </w:tc>
        <w:tc>
          <w:tcPr>
            <w:gridSpan w:val="3"/>
            <w:tcW w:w="896" w:type="pct"/>
            <w:vAlign w:val="center"/>
            <w:textDirection w:val="lrTb"/>
            <w:noWrap w:val="false"/>
          </w:tcPr>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本次投标</w:t>
            </w:r>
            <w:r/>
          </w:p>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产品名称</w:t>
            </w:r>
            <w:r/>
          </w:p>
        </w:tc>
        <w:tc>
          <w:tcPr>
            <w:gridSpan w:val="2"/>
            <w:tcW w:w="881" w:type="pct"/>
            <w:vAlign w:val="center"/>
            <w:textDirection w:val="lrTb"/>
            <w:noWrap w:val="false"/>
          </w:tcPr>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型    号</w:t>
            </w:r>
            <w:r/>
          </w:p>
        </w:tc>
        <w:tc>
          <w:tcPr>
            <w:tcW w:w="516" w:type="pct"/>
            <w:vAlign w:val="center"/>
            <w:textDirection w:val="lrTb"/>
            <w:noWrap w:val="false"/>
          </w:tcPr>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上年</w:t>
            </w:r>
            <w:r/>
          </w:p>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产销量</w:t>
            </w:r>
            <w:r/>
          </w:p>
        </w:tc>
        <w:tc>
          <w:tcPr>
            <w:tcW w:w="688" w:type="pct"/>
            <w:vAlign w:val="center"/>
            <w:textDirection w:val="lrTb"/>
            <w:noWrap w:val="false"/>
          </w:tcPr>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产品技术</w:t>
            </w:r>
            <w:r/>
          </w:p>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先进水平</w:t>
            </w:r>
            <w:r/>
          </w:p>
        </w:tc>
        <w:tc>
          <w:tcPr>
            <w:gridSpan w:val="2"/>
            <w:tcW w:w="694" w:type="pct"/>
            <w:vAlign w:val="center"/>
            <w:textDirection w:val="lrTb"/>
            <w:noWrap w:val="false"/>
          </w:tcPr>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曾获何级</w:t>
            </w:r>
            <w:r/>
          </w:p>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何种奖励</w:t>
            </w:r>
            <w:r/>
          </w:p>
        </w:tc>
        <w:tc>
          <w:tcPr>
            <w:gridSpan w:val="2"/>
            <w:tcW w:w="876" w:type="pct"/>
            <w:vAlign w:val="center"/>
            <w:textDirection w:val="lrTb"/>
            <w:noWrap w:val="false"/>
          </w:tcPr>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主要用户</w:t>
            </w:r>
            <w:r/>
          </w:p>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名称</w:t>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3"/>
            <w:tcW w:w="89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81"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51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688"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94"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7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3"/>
            <w:tcW w:w="89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81"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51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688"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94"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7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3"/>
            <w:tcW w:w="89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81"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51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688"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94"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7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3"/>
            <w:tcW w:w="89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81"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51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688"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94"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7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397"/>
        </w:trPr>
        <w:tc>
          <w:tcPr>
            <w:tcW w:w="445" w:type="pct"/>
            <w:vAlign w:val="center"/>
            <w:vMerge w:val="restart"/>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其他</w:t>
            </w:r>
            <w:r/>
          </w:p>
        </w:tc>
        <w:tc>
          <w:tcPr>
            <w:gridSpan w:val="6"/>
            <w:tcW w:w="2294" w:type="pct"/>
            <w:vAlign w:val="center"/>
            <w:textDirection w:val="lrTb"/>
            <w:noWrap w:val="false"/>
          </w:tcPr>
          <w:p>
            <w:pP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近3年完成及正在执行的合同中发生的由于投标人违约或部分违约而引起诉讼和受到索赔的案件具体情况及结果（须如实填写，若对此进行隐瞒，而后又被采购人或采购代理机构发现，或被他人举证成立，其投标资格将被取消）。</w:t>
            </w:r>
            <w:r/>
          </w:p>
        </w:tc>
        <w:tc>
          <w:tcPr>
            <w:gridSpan w:val="5"/>
            <w:tcW w:w="2260" w:type="pct"/>
            <w:vAlign w:val="center"/>
            <w:textDirection w:val="lrTb"/>
            <w:noWrap w:val="false"/>
          </w:tcPr>
          <w:p>
            <w:pP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r>
        <w:trPr>
          <w:cantSplit/>
          <w:trHeight w:val="2006"/>
        </w:trPr>
        <w:tc>
          <w:tcPr>
            <w:tcW w:w="445"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6"/>
            <w:tcW w:w="2294"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5"/>
            <w:tcW w:w="2260"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jc w:val="left"/>
        <w:widowControl/>
        <w:rPr>
          <w:rFonts w:hint="eastAsia"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br w:type="page" w:clear="all"/>
      </w:r>
      <w:r/>
    </w:p>
    <w:p>
      <w:pPr>
        <w:pStyle w:val="1438"/>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8</w:t>
      </w:r>
      <w:r/>
    </w:p>
    <w:p>
      <w:pPr>
        <w:pStyle w:val="1444"/>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商务部分正负偏离表</w:t>
      </w:r>
      <w:r/>
    </w:p>
    <w:p>
      <w:pPr>
        <w:pStyle w:val="76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（由投标人据实填写，表格不够自行添加）</w:t>
      </w:r>
      <w:r/>
    </w:p>
    <w:tbl>
      <w:tblPr>
        <w:tblStyle w:val="727"/>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78"/>
        <w:gridCol w:w="2126"/>
        <w:gridCol w:w="1856"/>
        <w:gridCol w:w="2394"/>
        <w:gridCol w:w="1320"/>
      </w:tblGrid>
      <w:tr>
        <w:trPr>
          <w:trHeight w:val="994"/>
        </w:trPr>
        <w:tc>
          <w:tcPr>
            <w:tcW w:w="459"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序号</w:t>
            </w:r>
            <w:r/>
          </w:p>
        </w:tc>
        <w:tc>
          <w:tcPr>
            <w:tcW w:w="1254"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货物或服务名称</w:t>
            </w:r>
            <w:r/>
          </w:p>
        </w:tc>
        <w:tc>
          <w:tcPr>
            <w:tcW w:w="1095"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招标文件要求的商务条款</w:t>
            </w:r>
            <w:r/>
          </w:p>
        </w:tc>
        <w:tc>
          <w:tcPr>
            <w:tcW w:w="1412"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投标文件响应情况</w:t>
            </w:r>
            <w:r/>
          </w:p>
        </w:tc>
        <w:tc>
          <w:tcPr>
            <w:tcW w:w="778"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偏离说明</w:t>
            </w:r>
            <w:r/>
          </w:p>
        </w:tc>
      </w:tr>
      <w:tr>
        <w:trPr>
          <w:trHeight w:val="414"/>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548"/>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400"/>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419"/>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pStyle w:val="739"/>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注：</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1.投标人提交的投标文件中与招标文件第三部分“项目需求”中的商务部分的要求，应逐条填列在偏离表中。</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2.“偏离说明”一栏选择“正偏离”“无偏离”“负偏离”进行填写。正偏离、无偏离的确认和负偏离的是否响应招标文件，由评委认定。</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3.投标人如果虚假响应，将被暂停参加采购人组织政府采购活动。</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4.投标人若提供其他增值服务，可以在表中自行据实填写。</w:t>
      </w:r>
      <w:r/>
    </w:p>
    <w:p>
      <w:pPr>
        <w:pStyle w:val="739"/>
        <w:ind w:firstLine="48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本表行数可根据实际需要自行增加</w:t>
      </w:r>
      <w:r>
        <w:rPr>
          <w:rFonts w:hint="eastAsia"/>
          <w:color w:val="000000" w:themeColor="text1"/>
          <w:highlight w:val="none"/>
          <w:lang w:eastAsia="zh-CN"/>
          <w14:textFill>
            <w14:solidFill>
              <w14:schemeClr w14:val="tx1"/>
            </w14:solidFill>
          </w14:textFill>
        </w:rPr>
        <w:t xml:space="preserve">。</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1438"/>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9</w:t>
      </w:r>
      <w:r/>
    </w:p>
    <w:p>
      <w:pPr>
        <w:pStyle w:val="1444"/>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技术部分正负偏离表</w:t>
      </w:r>
      <w:r/>
    </w:p>
    <w:p>
      <w:pPr>
        <w:pStyle w:val="76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（由投标人据实填写，表格不够自行添加）</w:t>
      </w:r>
      <w:r/>
    </w:p>
    <w:tbl>
      <w:tblPr>
        <w:tblStyle w:val="727"/>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78"/>
        <w:gridCol w:w="2126"/>
        <w:gridCol w:w="1856"/>
        <w:gridCol w:w="2394"/>
        <w:gridCol w:w="1320"/>
      </w:tblGrid>
      <w:tr>
        <w:trPr>
          <w:trHeight w:val="994"/>
        </w:trPr>
        <w:tc>
          <w:tcPr>
            <w:tcW w:w="459"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序号</w:t>
            </w:r>
            <w:r/>
          </w:p>
        </w:tc>
        <w:tc>
          <w:tcPr>
            <w:tcW w:w="1254"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货物或服务名称</w:t>
            </w:r>
            <w:r/>
          </w:p>
        </w:tc>
        <w:tc>
          <w:tcPr>
            <w:tcW w:w="1095"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招标文件要求的技术要求</w:t>
            </w:r>
            <w:r/>
          </w:p>
        </w:tc>
        <w:tc>
          <w:tcPr>
            <w:tcW w:w="1412"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投标文件响应情况</w:t>
            </w:r>
            <w:r/>
          </w:p>
        </w:tc>
        <w:tc>
          <w:tcPr>
            <w:tcW w:w="778"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偏离说明及证明材料页码</w:t>
            </w:r>
            <w:r/>
          </w:p>
        </w:tc>
      </w:tr>
      <w:tr>
        <w:trPr>
          <w:trHeight w:val="414"/>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548"/>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400"/>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419"/>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pStyle w:val="739"/>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注：</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1.投标人提交的投标文件中与招标文件第三部分“项目需求”中的技术部分的要求，应逐条填列在偏离表中。</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2.“偏离说明”一栏选择“正偏离”“无偏离”“负偏离”进行填写。正偏离、无偏离的确认和负偏离的是否响应招标文件，由评委认定。</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3.投标人如果虚假响应，将被暂停参加采购人组织政府采购活动。</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4.投标人若提供其他增值服务，可以在表中自行据实填写。</w:t>
      </w:r>
      <w:r/>
    </w:p>
    <w:p>
      <w:pPr>
        <w:pStyle w:val="739"/>
        <w:ind w:firstLine="48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本表行数可根据实际需要自行增加</w:t>
      </w:r>
      <w:r>
        <w:rPr>
          <w:rFonts w:hint="eastAsia"/>
          <w:color w:val="000000" w:themeColor="text1"/>
          <w:highlight w:val="none"/>
          <w:lang w:eastAsia="zh-CN"/>
          <w14:textFill>
            <w14:solidFill>
              <w14:schemeClr w14:val="tx1"/>
            </w14:solidFill>
          </w14:textFill>
        </w:rPr>
        <w:t xml:space="preserve">。</w:t>
      </w:r>
      <w:r/>
    </w:p>
    <w:p>
      <w:pPr>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br w:type="page" w:clear="all"/>
      </w:r>
      <w:r/>
    </w:p>
    <w:p>
      <w:pPr>
        <w:pStyle w:val="1438"/>
        <w:rPr>
          <w:rFonts w:hint="default"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10</w:t>
      </w:r>
      <w:r/>
    </w:p>
    <w:p>
      <w:pPr>
        <w:pStyle w:val="1444"/>
        <w:widowControl/>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开标一览表</w:t>
      </w:r>
      <w:r/>
    </w:p>
    <w:p>
      <w:pPr>
        <w:pStyle w:val="739"/>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 xml:space="preserve">投标人全称（加盖公章）：</w:t>
      </w:r>
      <w:r/>
    </w:p>
    <w:p>
      <w:pPr>
        <w:pStyle w:val="739"/>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 xml:space="preserve">项目名称：</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项目编号：</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分包号：</w:t>
      </w:r>
      <w:r/>
    </w:p>
    <w:tbl>
      <w:tblPr>
        <w:tblStyle w:val="727"/>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22"/>
        <w:gridCol w:w="4469"/>
      </w:tblGrid>
      <w:tr>
        <w:trPr/>
        <w:tc>
          <w:tcPr>
            <w:tcW w:w="2368" w:type="pct"/>
            <w:textDirection w:val="lrTb"/>
            <w:noWrap w:val="false"/>
          </w:tcPr>
          <w:p>
            <w:pPr>
              <w:jc w:val="center"/>
              <w:rPr>
                <w:rFonts w:hint="eastAsia" w:ascii="宋体" w:hAnsi="宋体"/>
                <w:color w:val="000000" w:themeColor="text1"/>
                <w:szCs w:val="22"/>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投标货物、服务名称</w:t>
            </w:r>
            <w:r/>
          </w:p>
        </w:tc>
        <w:tc>
          <w:tcPr>
            <w:tcW w:w="2631" w:type="pct"/>
            <w:textDirection w:val="lrTb"/>
            <w:noWrap w:val="false"/>
          </w:tcPr>
          <w:p>
            <w:pPr>
              <w:jc w:val="center"/>
              <w:rPr>
                <w:rFonts w:hint="eastAsia" w:ascii="宋体" w:hAnsi="宋体"/>
                <w:color w:val="000000" w:themeColor="text1"/>
                <w:szCs w:val="22"/>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投标总报价</w:t>
            </w:r>
            <w:r/>
          </w:p>
        </w:tc>
      </w:tr>
      <w:tr>
        <w:trPr>
          <w:trHeight w:val="1091"/>
        </w:trPr>
        <w:tc>
          <w:tcPr>
            <w:tcW w:w="2368" w:type="pct"/>
            <w:textDirection w:val="lrTb"/>
            <w:noWrap w:val="false"/>
          </w:tcPr>
          <w:p>
            <w:pPr>
              <w:rPr>
                <w:rFonts w:hint="eastAsia" w:ascii="宋体" w:hAnsi="宋体"/>
                <w:color w:val="000000" w:themeColor="text1"/>
                <w:szCs w:val="22"/>
                <w:highlight w:val="none"/>
                <w14:textFill>
                  <w14:solidFill>
                    <w14:schemeClr w14:val="tx1"/>
                  </w14:solidFill>
                </w14:textFill>
              </w:rPr>
            </w:pPr>
            <w:r>
              <w:rPr>
                <w:rFonts w:hint="eastAsia" w:ascii="宋体" w:hAnsi="宋体"/>
                <w:color w:val="000000" w:themeColor="text1"/>
                <w:szCs w:val="22"/>
                <w:highlight w:val="none"/>
                <w14:textFill>
                  <w14:solidFill>
                    <w14:schemeClr w14:val="tx1"/>
                  </w14:solidFill>
                </w14:textFill>
              </w:rPr>
            </w:r>
            <w:r/>
          </w:p>
        </w:tc>
        <w:tc>
          <w:tcPr>
            <w:tcW w:w="2631" w:type="pct"/>
            <w:textDirection w:val="lrTb"/>
            <w:noWrap w:val="false"/>
          </w:tcPr>
          <w:p>
            <w:pPr>
              <w:rPr>
                <w:rFonts w:hint="eastAsia"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大写：</w:t>
            </w:r>
            <w:r/>
          </w:p>
          <w:p>
            <w:pPr>
              <w:rPr>
                <w:rFonts w:hint="eastAsia" w:ascii="宋体" w:hAnsi="宋体"/>
                <w:color w:val="000000" w:themeColor="text1"/>
                <w:szCs w:val="22"/>
                <w:highlight w:val="none"/>
                <w:u w:val="singl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小写：元（人民币）</w:t>
            </w:r>
            <w:r/>
          </w:p>
        </w:tc>
      </w:tr>
    </w:tbl>
    <w:p>
      <w:pPr>
        <w:ind w:left="480"/>
        <w:spacing w:after="120" w:line="360" w:lineRule="auto"/>
        <w:rPr>
          <w:color w:val="000000" w:themeColor="text1"/>
          <w:sz w:val="24"/>
          <w:szCs w:val="28"/>
          <w:highlight w:val="none"/>
          <w14:textFill>
            <w14:solidFill>
              <w14:schemeClr w14:val="tx1"/>
            </w14:solidFill>
          </w14:textFill>
        </w:rPr>
      </w:pPr>
      <w:r>
        <w:rPr>
          <w:color w:val="000000" w:themeColor="text1"/>
          <w:sz w:val="24"/>
          <w:szCs w:val="28"/>
          <w:highlight w:val="none"/>
          <w14:textFill>
            <w14:solidFill>
              <w14:schemeClr w14:val="tx1"/>
            </w14:solidFill>
          </w14:textFill>
        </w:rPr>
        <w:t xml:space="preserve">日期：</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填写说明：</w:t>
      </w:r>
      <w:r/>
    </w:p>
    <w:p>
      <w:pPr>
        <w:pStyle w:val="739"/>
        <w:ind w:firstLine="480"/>
        <w:rPr>
          <w:color w:val="000000" w:themeColor="text1"/>
          <w:highlight w:val="none"/>
          <w:u w:val="single"/>
          <w14:textFill>
            <w14:solidFill>
              <w14:schemeClr w14:val="tx1"/>
            </w14:solidFill>
          </w14:textFill>
        </w:rPr>
      </w:pPr>
      <w:r>
        <w:rPr>
          <w:color w:val="000000" w:themeColor="text1"/>
          <w:highlight w:val="none"/>
          <w:u w:val="single"/>
          <w14:textFill>
            <w14:solidFill>
              <w14:schemeClr w14:val="tx1"/>
            </w14:solidFill>
          </w14:textFill>
        </w:rPr>
        <w:t xml:space="preserve">1.开标一览表必须加盖投标单位公章（复印件无效）。</w:t>
      </w:r>
      <w:r/>
    </w:p>
    <w:p>
      <w:pPr>
        <w:pStyle w:val="739"/>
        <w:ind w:firstLine="480"/>
        <w:rPr>
          <w:color w:val="000000" w:themeColor="text1"/>
          <w:highlight w:val="none"/>
          <w:u w:val="single"/>
          <w14:textFill>
            <w14:solidFill>
              <w14:schemeClr w14:val="tx1"/>
            </w14:solidFill>
          </w14:textFill>
        </w:rPr>
      </w:pPr>
      <w:r>
        <w:rPr>
          <w:rFonts w:hint="eastAsia"/>
          <w:color w:val="000000" w:themeColor="text1"/>
          <w:highlight w:val="none"/>
          <w:u w:val="single"/>
          <w:lang w:val="en-US" w:eastAsia="zh-CN"/>
          <w14:textFill>
            <w14:solidFill>
              <w14:schemeClr w14:val="tx1"/>
            </w14:solidFill>
          </w14:textFill>
        </w:rPr>
        <w:t xml:space="preserve">2.</w:t>
      </w:r>
      <w:r>
        <w:rPr>
          <w:color w:val="000000" w:themeColor="text1"/>
          <w:highlight w:val="none"/>
          <w:u w:val="single"/>
          <w14:textFill>
            <w14:solidFill>
              <w14:schemeClr w14:val="tx1"/>
            </w14:solidFill>
          </w14:textFill>
        </w:rPr>
        <w:t xml:space="preserve">每项货物、服务等只允许有一个报价，任何有选择的报价将不予接受，将作为无效投标文件处理。</w:t>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pStyle w:val="1438"/>
        <w:rPr>
          <w:rFonts w:hint="default"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11</w:t>
      </w:r>
      <w:r/>
    </w:p>
    <w:p>
      <w:pPr>
        <w:pStyle w:val="739"/>
        <w:ind w:firstLine="48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分项报价明细表</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项目名称：</w:t>
      </w:r>
      <w:r/>
    </w:p>
    <w:p>
      <w:pPr>
        <w:pStyle w:val="739"/>
        <w:ind w:firstLine="480"/>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项目编号：</w:t>
      </w:r>
      <w:r/>
    </w:p>
    <w:p>
      <w:pPr>
        <w:ind w:left="480"/>
        <w:spacing w:after="120" w:line="360" w:lineRule="auto"/>
        <w:rPr>
          <w:b/>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采购代理编号：</w:t>
      </w:r>
      <w:r>
        <w:rPr>
          <w:color w:val="000000" w:themeColor="text1"/>
          <w:sz w:val="24"/>
          <w:highlight w:val="none"/>
          <w14:textFill>
            <w14:solidFill>
              <w14:schemeClr w14:val="tx1"/>
            </w14:solidFill>
          </w14:textFill>
        </w:rPr>
        <w:t xml:space="preserve">                包号：          </w:t>
      </w:r>
      <w:r>
        <w:rPr>
          <w:rFonts w:hint="eastAsia"/>
          <w:bCs/>
          <w:color w:val="000000" w:themeColor="text1"/>
          <w:sz w:val="24"/>
          <w:highlight w:val="none"/>
          <w14:textFill>
            <w14:solidFill>
              <w14:schemeClr w14:val="tx1"/>
            </w14:solidFill>
          </w14:textFill>
        </w:rPr>
        <w:t xml:space="preserve">金额单位：人民币万元</w:t>
      </w:r>
      <w:r/>
    </w:p>
    <w:tbl>
      <w:tblPr>
        <w:tblStyle w:val="727"/>
        <w:tblW w:w="9867" w:type="dxa"/>
        <w:tblInd w:w="-545" w:type="dxa"/>
        <w:tblLayout w:type="fixed"/>
        <w:tblCellMar>
          <w:left w:w="108" w:type="dxa"/>
          <w:top w:w="0" w:type="dxa"/>
          <w:right w:w="108" w:type="dxa"/>
          <w:bottom w:w="0" w:type="dxa"/>
        </w:tblCellMar>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Cs w:val="24"/>
                <w:highlight w:val="none"/>
              </w:rPr>
            </w:pPr>
            <w:r>
              <w:rPr>
                <w:rFonts w:hint="eastAsia"/>
                <w:b w:val="0"/>
                <w:position w:val="0"/>
                <w:szCs w:val="24"/>
                <w:highlight w:val="none"/>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val="0"/>
                <w:position w:val="0"/>
                <w:szCs w:val="24"/>
                <w:highlight w:val="none"/>
              </w:rPr>
            </w:pPr>
            <w:r>
              <w:rPr>
                <w:rFonts w:hint="eastAsia" w:ascii="Times New Roman"/>
                <w:b w:val="0"/>
                <w:position w:val="0"/>
                <w:szCs w:val="24"/>
                <w:highlight w:val="none"/>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Cs w:val="24"/>
                <w:highlight w:val="none"/>
              </w:rPr>
            </w:pPr>
            <w:r>
              <w:rPr>
                <w:rFonts w:hint="eastAsia"/>
                <w:b w:val="0"/>
                <w:position w:val="0"/>
                <w:szCs w:val="24"/>
                <w:highlight w:val="none"/>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Cs w:val="24"/>
                <w:highlight w:val="none"/>
              </w:rPr>
            </w:pPr>
            <w:r>
              <w:rPr>
                <w:rFonts w:hint="eastAsia"/>
                <w:b w:val="0"/>
                <w:position w:val="0"/>
                <w:szCs w:val="24"/>
                <w:highlight w:val="none"/>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Cs w:val="24"/>
                <w:highlight w:val="none"/>
              </w:rPr>
            </w:pPr>
            <w:r>
              <w:rPr>
                <w:rFonts w:hint="eastAsia"/>
                <w:b w:val="0"/>
                <w:position w:val="0"/>
                <w:szCs w:val="24"/>
                <w:highlight w:val="none"/>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Cs w:val="24"/>
                <w:highlight w:val="none"/>
              </w:rPr>
            </w:pPr>
            <w:r>
              <w:rPr>
                <w:rFonts w:hint="eastAsia"/>
                <w:b w:val="0"/>
                <w:position w:val="0"/>
                <w:szCs w:val="24"/>
                <w:highlight w:val="none"/>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Cs w:val="24"/>
                <w:highlight w:val="none"/>
              </w:rPr>
            </w:pPr>
            <w:r>
              <w:rPr>
                <w:rFonts w:hint="eastAsia"/>
                <w:b w:val="0"/>
                <w:position w:val="0"/>
                <w:szCs w:val="24"/>
                <w:highlight w:val="none"/>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Cs w:val="24"/>
                <w:highlight w:val="none"/>
              </w:rPr>
            </w:pPr>
            <w:r>
              <w:rPr>
                <w:rFonts w:hint="eastAsia"/>
                <w:b w:val="0"/>
                <w:position w:val="0"/>
                <w:szCs w:val="24"/>
                <w:highlight w:val="none"/>
              </w:rPr>
              <w:t xml:space="preserve">制造商/产地</w:t>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Cs w:val="24"/>
                <w:highlight w:val="none"/>
              </w:rPr>
            </w:pPr>
            <w:r>
              <w:rPr>
                <w:rFonts w:hint="eastAsia"/>
                <w:b w:val="0"/>
                <w:position w:val="0"/>
                <w:szCs w:val="24"/>
                <w:highlight w:val="none"/>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highlight w:val="none"/>
              </w:rPr>
            </w:pPr>
            <w:r>
              <w:rPr>
                <w:rFonts w:ascii="Times New Roman"/>
                <w:b w:val="0"/>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highlight w:val="none"/>
              </w:rPr>
            </w:pPr>
            <w:r>
              <w:rPr>
                <w:rFonts w:ascii="Times New Roman"/>
                <w:b w:val="0"/>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highlight w:val="none"/>
              </w:rPr>
            </w:pPr>
            <w:r>
              <w:rPr>
                <w:rFonts w:ascii="Times New Roman"/>
                <w:b w:val="0"/>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Cs w:val="24"/>
                <w:highlight w:val="none"/>
              </w:rPr>
            </w:pPr>
            <w:r>
              <w:rPr>
                <w:rFonts w:hint="eastAsia" w:ascii="Times New Roman"/>
                <w:b w:val="0"/>
                <w:position w:val="0"/>
                <w:szCs w:val="24"/>
                <w:highlight w:val="none"/>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9867" w:type="dxa"/>
            <w:textDirection w:val="lrTb"/>
            <w:noWrap w:val="false"/>
          </w:tcPr>
          <w:p>
            <w:pPr>
              <w:ind w:right="-5"/>
              <w:jc w:val="left"/>
              <w:spacing w:line="500" w:lineRule="exact"/>
              <w:rPr>
                <w:b w:val="0"/>
                <w:position w:val="0"/>
                <w:sz w:val="21"/>
                <w:szCs w:val="24"/>
                <w:highlight w:val="none"/>
              </w:rPr>
            </w:pPr>
            <w:r>
              <w:rPr>
                <w:rFonts w:hint="eastAsia" w:hAnsi="宋体"/>
                <w:b w:val="0"/>
                <w:position w:val="0"/>
                <w:sz w:val="21"/>
                <w:szCs w:val="21"/>
                <w:highlight w:val="none"/>
              </w:rPr>
              <w:t xml:space="preserve">本采购包中提供的符合本国产品标准的产品成本之和占该采购包提供的全部产品成本之和的比例为</w:t>
            </w:r>
            <w:r>
              <w:rPr>
                <w:rFonts w:hint="eastAsia" w:hAnsi="宋体"/>
                <w:b w:val="0"/>
                <w:position w:val="0"/>
                <w:sz w:val="21"/>
                <w:szCs w:val="21"/>
                <w:highlight w:val="none"/>
                <w:u w:val="single"/>
              </w:rPr>
              <w:t xml:space="preserve">      </w:t>
            </w:r>
            <w:r>
              <w:rPr>
                <w:rFonts w:hint="eastAsia" w:hAnsi="宋体"/>
                <w:b w:val="0"/>
                <w:position w:val="0"/>
                <w:sz w:val="21"/>
                <w:szCs w:val="21"/>
                <w:highlight w:val="none"/>
              </w:rPr>
              <w:t xml:space="preserve">%。</w:t>
            </w:r>
            <w:r/>
          </w:p>
        </w:tc>
      </w:tr>
    </w:tbl>
    <w:p>
      <w:pPr>
        <w:ind w:firstLine="480"/>
        <w:spacing w:after="120"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ind w:firstLine="480"/>
        <w:spacing w:after="120"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投标人（盖章）：</w:t>
      </w:r>
      <w:r/>
    </w:p>
    <w:p>
      <w:pPr>
        <w:ind w:firstLine="480"/>
        <w:spacing w:after="120"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投标人授权代表（签字）：</w:t>
      </w:r>
      <w:r/>
    </w:p>
    <w:p>
      <w:pPr>
        <w:ind w:firstLine="480"/>
        <w:spacing w:after="120" w:line="360" w:lineRule="auto"/>
        <w:rPr>
          <w:b/>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日期：     </w:t>
      </w:r>
      <w:r/>
    </w:p>
    <w:p>
      <w:pPr>
        <w:pStyle w:val="739"/>
        <w:ind w:firstLine="0"/>
        <w:rPr>
          <w:sz w:val="24"/>
          <w:szCs w:val="24"/>
          <w:highlight w:val="none"/>
        </w:rPr>
      </w:pPr>
      <w:r>
        <w:rPr>
          <w:sz w:val="24"/>
          <w:szCs w:val="24"/>
          <w:highlight w:val="none"/>
        </w:rPr>
        <w:t xml:space="preserve">注：</w:t>
      </w:r>
      <w:r/>
    </w:p>
    <w:p>
      <w:pPr>
        <w:pStyle w:val="739"/>
        <w:ind w:firstLine="0"/>
        <w:rPr>
          <w:sz w:val="24"/>
          <w:szCs w:val="24"/>
          <w:highlight w:val="none"/>
        </w:rPr>
      </w:pPr>
      <w:r>
        <w:rPr>
          <w:rFonts w:hint="eastAsia"/>
          <w:sz w:val="24"/>
          <w:szCs w:val="24"/>
          <w:highlight w:val="none"/>
          <w:lang w:eastAsia="zh-CN"/>
        </w:rPr>
        <w:t xml:space="preserve">（</w:t>
      </w:r>
      <w:r>
        <w:rPr>
          <w:rFonts w:hint="eastAsia"/>
          <w:sz w:val="24"/>
          <w:szCs w:val="24"/>
          <w:highlight w:val="none"/>
          <w:lang w:val="en-US" w:eastAsia="zh-CN"/>
        </w:rPr>
        <w:t xml:space="preserve">1</w:t>
      </w:r>
      <w:r>
        <w:rPr>
          <w:rFonts w:hint="eastAsia"/>
          <w:sz w:val="24"/>
          <w:szCs w:val="24"/>
          <w:highlight w:val="none"/>
          <w:lang w:eastAsia="zh-CN"/>
        </w:rPr>
        <w:t xml:space="preserve">）</w:t>
      </w:r>
      <w:r>
        <w:rPr>
          <w:sz w:val="24"/>
          <w:szCs w:val="24"/>
          <w:highlight w:val="none"/>
        </w:rPr>
        <w:t xml:space="preserve">“分项报价表”中“合计”金额应当与“开标一览表”中“投标总价”金额一致。</w:t>
      </w:r>
      <w:r/>
    </w:p>
    <w:p>
      <w:pPr>
        <w:pStyle w:val="739"/>
        <w:ind w:firstLine="480"/>
        <w:rPr>
          <w:rFonts w:hint="eastAsia" w:eastAsia="宋体"/>
          <w:b/>
          <w:sz w:val="24"/>
          <w:szCs w:val="24"/>
          <w:highlight w:val="none"/>
        </w:rPr>
      </w:pPr>
      <w:r>
        <w:rPr>
          <w:rFonts w:hint="eastAsia"/>
          <w:sz w:val="24"/>
          <w:szCs w:val="24"/>
          <w:highlight w:val="none"/>
          <w:lang w:eastAsia="zh-CN"/>
        </w:rPr>
        <w:t xml:space="preserve">（</w:t>
      </w:r>
      <w:r>
        <w:rPr>
          <w:rFonts w:hint="eastAsia"/>
          <w:sz w:val="24"/>
          <w:szCs w:val="24"/>
          <w:highlight w:val="none"/>
          <w:lang w:val="en-US" w:eastAsia="zh-CN"/>
        </w:rPr>
        <w:t xml:space="preserve">2</w:t>
      </w:r>
      <w:r>
        <w:rPr>
          <w:rFonts w:hint="eastAsia"/>
          <w:sz w:val="24"/>
          <w:szCs w:val="24"/>
          <w:highlight w:val="none"/>
          <w:lang w:eastAsia="zh-CN"/>
        </w:rPr>
        <w:t xml:space="preserve">）</w:t>
      </w:r>
      <w:r>
        <w:rPr>
          <w:rFonts w:hint="eastAsia"/>
          <w:sz w:val="24"/>
          <w:szCs w:val="24"/>
          <w:highlight w:val="none"/>
          <w:lang w:val="en-US" w:eastAsia="zh-CN"/>
        </w:rPr>
        <w:t xml:space="preserve">一个</w:t>
      </w:r>
      <w:r>
        <w:rPr>
          <w:rFonts w:hint="eastAsia"/>
          <w:sz w:val="24"/>
          <w:szCs w:val="24"/>
          <w:highlight w:val="none"/>
        </w:rPr>
        <w:t xml:space="preserve">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sz w:val="24"/>
          <w:szCs w:val="24"/>
          <w:highlight w:val="none"/>
          <w:lang w:eastAsia="zh-CN"/>
        </w:rPr>
        <w:t xml:space="preserve">。</w:t>
      </w:r>
      <w:r/>
    </w:p>
    <w:p>
      <w:pPr>
        <w:spacing w:line="500" w:lineRule="exact"/>
        <w:rPr>
          <w:b/>
          <w:bCs/>
          <w:sz w:val="24"/>
          <w:szCs w:val="32"/>
          <w:highlight w:val="none"/>
        </w:rPr>
      </w:pPr>
      <w:r>
        <w:rPr>
          <w:color w:val="000000" w:themeColor="text1"/>
          <w:highlight w:val="none"/>
          <w14:textFill>
            <w14:solidFill>
              <w14:schemeClr w14:val="tx1"/>
            </w14:solidFill>
          </w14:textFill>
        </w:rPr>
        <w:br w:type="page" w:clear="all"/>
      </w:r>
      <w:r>
        <w:rPr>
          <w:rFonts w:hint="eastAsia"/>
          <w:b/>
          <w:bCs/>
          <w:sz w:val="24"/>
          <w:szCs w:val="32"/>
          <w:highlight w:val="none"/>
        </w:rPr>
        <w:t xml:space="preserve">附件1</w:t>
      </w:r>
      <w:r>
        <w:rPr>
          <w:rFonts w:hint="eastAsia"/>
          <w:b/>
          <w:bCs/>
          <w:sz w:val="24"/>
          <w:szCs w:val="32"/>
          <w:highlight w:val="none"/>
          <w:lang w:val="en-US" w:eastAsia="zh-CN"/>
        </w:rPr>
        <w:t xml:space="preserve">2</w:t>
      </w:r>
      <w:r>
        <w:rPr>
          <w:rFonts w:hint="eastAsia"/>
          <w:b/>
          <w:bCs/>
          <w:sz w:val="24"/>
          <w:szCs w:val="32"/>
          <w:highlight w:val="none"/>
        </w:rPr>
        <w:t xml:space="preserve">：</w:t>
      </w:r>
      <w:r/>
    </w:p>
    <w:p>
      <w:pPr>
        <w:jc w:val="center"/>
        <w:spacing w:line="500" w:lineRule="exact"/>
        <w:rPr>
          <w:b/>
          <w:bCs/>
          <w:sz w:val="24"/>
          <w:szCs w:val="32"/>
          <w:highlight w:val="none"/>
        </w:rPr>
      </w:pPr>
      <w:r>
        <w:rPr>
          <w:rFonts w:hint="eastAsia"/>
          <w:b/>
          <w:bCs/>
          <w:sz w:val="24"/>
          <w:szCs w:val="32"/>
          <w:highlight w:val="none"/>
        </w:rPr>
        <w:t xml:space="preserve">质保期满后的备品备件明细表</w:t>
      </w:r>
      <w:r/>
    </w:p>
    <w:p>
      <w:pPr>
        <w:pStyle w:val="739"/>
        <w:ind w:firstLine="480"/>
        <w:rPr>
          <w:highlight w:val="none"/>
        </w:rPr>
      </w:pPr>
      <w:r>
        <w:rPr>
          <w:highlight w:val="none"/>
        </w:rPr>
        <w:t xml:space="preserve">项目名称：</w:t>
      </w:r>
      <w:r/>
    </w:p>
    <w:p>
      <w:pPr>
        <w:pStyle w:val="739"/>
        <w:ind w:firstLine="480"/>
        <w:rPr>
          <w:b/>
          <w:highlight w:val="none"/>
        </w:rPr>
      </w:pPr>
      <w:r>
        <w:rPr>
          <w:highlight w:val="none"/>
        </w:rPr>
        <w:t xml:space="preserve">项目编号：</w:t>
      </w:r>
      <w:r/>
    </w:p>
    <w:p>
      <w:pPr>
        <w:ind w:left="480"/>
        <w:spacing w:after="120" w:line="360" w:lineRule="auto"/>
        <w:rPr>
          <w:highlight w:val="none"/>
        </w:rPr>
      </w:pPr>
      <w:r>
        <w:rPr>
          <w:rFonts w:hint="eastAsia"/>
          <w:sz w:val="24"/>
          <w:highlight w:val="none"/>
        </w:rPr>
        <w:t xml:space="preserve">采购代理编号：</w:t>
      </w:r>
      <w:r>
        <w:rPr>
          <w:sz w:val="24"/>
          <w:highlight w:val="none"/>
        </w:rPr>
        <w:t xml:space="preserve">                  包号：        </w:t>
      </w:r>
      <w:r>
        <w:rPr>
          <w:rFonts w:hint="eastAsia"/>
          <w:bCs/>
          <w:sz w:val="24"/>
          <w:highlight w:val="none"/>
        </w:rPr>
        <w:t xml:space="preserve">金额单位：人民币元</w:t>
      </w:r>
      <w:r/>
    </w:p>
    <w:tbl>
      <w:tblPr>
        <w:tblStyle w:val="727"/>
        <w:tblW w:w="9092" w:type="dxa"/>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319"/>
        <w:gridCol w:w="1155"/>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highlight w:val="none"/>
              </w:rPr>
            </w:pPr>
            <w:r>
              <w:rPr>
                <w:rFonts w:hint="eastAsia"/>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highlight w:val="none"/>
              </w:rPr>
            </w:pPr>
            <w:r>
              <w:rPr>
                <w:rFonts w:hint="eastAsia"/>
                <w:highlight w:val="none"/>
              </w:rPr>
              <w:t xml:space="preserve">备品备件</w:t>
            </w:r>
            <w:r/>
          </w:p>
          <w:p>
            <w:pPr>
              <w:ind w:right="-5"/>
              <w:jc w:val="center"/>
              <w:spacing w:line="500" w:lineRule="exact"/>
              <w:tabs>
                <w:tab w:val="left" w:pos="972" w:leader="none"/>
              </w:tabs>
              <w:rPr>
                <w:highlight w:val="none"/>
              </w:rPr>
            </w:pPr>
            <w:r>
              <w:rPr>
                <w:rFonts w:hint="eastAsia"/>
                <w:highlight w:val="none"/>
              </w:rPr>
              <w:t xml:space="preserve">名称</w:t>
            </w:r>
            <w:r/>
          </w:p>
        </w:tc>
        <w:tc>
          <w:tcPr>
            <w:tcBorders>
              <w:top w:val="single" w:color="auto" w:sz="4" w:space="0"/>
              <w:left w:val="single" w:color="auto" w:sz="6" w:space="0"/>
              <w:bottom w:val="single" w:color="auto" w:sz="4" w:space="0"/>
              <w:right w:val="single" w:color="auto" w:sz="6" w:space="0"/>
            </w:tcBorders>
            <w:tcW w:w="1319" w:type="dxa"/>
            <w:vAlign w:val="center"/>
            <w:textDirection w:val="lrTb"/>
            <w:noWrap w:val="false"/>
          </w:tcPr>
          <w:p>
            <w:pPr>
              <w:ind w:right="-5"/>
              <w:jc w:val="center"/>
              <w:spacing w:line="500" w:lineRule="exact"/>
              <w:rPr>
                <w:highlight w:val="none"/>
              </w:rPr>
            </w:pPr>
            <w:r>
              <w:rPr>
                <w:rFonts w:hint="eastAsia"/>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highlight w:val="none"/>
              </w:rPr>
            </w:pPr>
            <w:r>
              <w:rPr>
                <w:rFonts w:hint="eastAsia"/>
                <w:highlight w:val="none"/>
              </w:rPr>
              <w:t xml:space="preserve">数量</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highlight w:val="none"/>
              </w:rPr>
            </w:pPr>
            <w:r>
              <w:rPr>
                <w:rFonts w:hint="eastAsia"/>
                <w:highlight w:val="none"/>
              </w:rPr>
              <w:t xml:space="preserve">单位</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highlight w:val="none"/>
              </w:rPr>
            </w:pPr>
            <w:r>
              <w:rPr>
                <w:rFonts w:hint="eastAsia"/>
                <w:highlight w:val="none"/>
              </w:rPr>
              <w:t xml:space="preserve">单价</w:t>
            </w:r>
            <w:r/>
          </w:p>
          <w:p>
            <w:pPr>
              <w:ind w:right="-5"/>
              <w:jc w:val="center"/>
              <w:spacing w:line="500" w:lineRule="exact"/>
              <w:rPr>
                <w:highlight w:val="none"/>
              </w:rPr>
            </w:pPr>
            <w:r>
              <w:rPr>
                <w:highlight w:val="none"/>
              </w:rPr>
              <w:t xml:space="preserve">(</w:t>
            </w:r>
            <w:r>
              <w:rPr>
                <w:rFonts w:hint="eastAsia"/>
                <w:highlight w:val="none"/>
              </w:rPr>
              <w:t xml:space="preserve">元</w:t>
            </w:r>
            <w:r>
              <w:rPr>
                <w:highlight w:val="none"/>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highlight w:val="none"/>
              </w:rPr>
            </w:pPr>
            <w:r>
              <w:rPr>
                <w:rFonts w:hint="eastAsia"/>
                <w:highlight w:val="none"/>
              </w:rPr>
              <w:t xml:space="preserve">备注</w:t>
            </w:r>
            <w:r/>
          </w:p>
          <w:p>
            <w:pPr>
              <w:ind w:right="-5"/>
              <w:jc w:val="center"/>
              <w:spacing w:line="500" w:lineRule="exact"/>
              <w:rPr>
                <w:highlight w:val="none"/>
              </w:rPr>
            </w:pPr>
            <w:r>
              <w:rPr>
                <w:rFonts w:hint="eastAsia"/>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highlight w:val="none"/>
              </w:rPr>
            </w:pPr>
            <w:r>
              <w:rPr>
                <w:rFonts w:ascii="仿宋_GB2312" w:eastAsia="仿宋_GB2312"/>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highlight w:val="none"/>
              </w:rPr>
            </w:pPr>
            <w:r>
              <w:rPr>
                <w:rFonts w:ascii="仿宋_GB2312" w:eastAsia="仿宋_GB2312"/>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highlight w:val="none"/>
              </w:rPr>
            </w:pPr>
            <w:r>
              <w:rPr>
                <w:rFonts w:ascii="仿宋_GB2312" w:eastAsia="仿宋_GB2312"/>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highlight w:val="none"/>
              </w:rPr>
            </w:pPr>
            <w:r>
              <w:rPr>
                <w:rFonts w:ascii="仿宋_GB2312" w:eastAsia="仿宋_GB2312"/>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highlight w:val="none"/>
              </w:rPr>
            </w:pPr>
            <w:r>
              <w:rPr>
                <w:rFonts w:ascii="仿宋_GB2312" w:eastAsia="仿宋_GB2312"/>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highlight w:val="none"/>
              </w:rPr>
            </w:pPr>
            <w:r>
              <w:rPr>
                <w:rFonts w:ascii="仿宋_GB2312" w:eastAsia="仿宋_GB2312"/>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highlight w:val="none"/>
              </w:rPr>
            </w:pPr>
            <w:r>
              <w:rPr>
                <w:rFonts w:ascii="仿宋_GB2312" w:eastAsia="仿宋_GB2312"/>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highlight w:val="none"/>
              </w:rPr>
            </w:pPr>
            <w:r>
              <w:rPr>
                <w:rFonts w:ascii="仿宋_GB2312" w:eastAsia="仿宋_GB2312"/>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highlight w:val="none"/>
              </w:rPr>
            </w:pPr>
            <w:r>
              <w:rPr>
                <w:rFonts w:ascii="仿宋_GB2312" w:eastAsia="仿宋_GB2312"/>
                <w:highlight w:val="none"/>
              </w:rPr>
            </w:r>
            <w:r/>
          </w:p>
        </w:tc>
      </w:tr>
    </w:tbl>
    <w:p>
      <w:pPr>
        <w:ind w:firstLine="480"/>
        <w:spacing w:after="120" w:line="360" w:lineRule="auto"/>
        <w:rPr>
          <w:sz w:val="24"/>
          <w:highlight w:val="none"/>
        </w:rPr>
      </w:pPr>
      <w:r>
        <w:rPr>
          <w:rFonts w:hint="eastAsia"/>
          <w:sz w:val="24"/>
          <w:highlight w:val="none"/>
        </w:rPr>
        <w:t xml:space="preserve">投标人（盖章）：</w:t>
      </w:r>
      <w:r/>
    </w:p>
    <w:p>
      <w:pPr>
        <w:ind w:firstLine="480"/>
        <w:spacing w:after="120" w:line="360" w:lineRule="auto"/>
        <w:rPr>
          <w:sz w:val="24"/>
          <w:highlight w:val="none"/>
        </w:rPr>
      </w:pPr>
      <w:r>
        <w:rPr>
          <w:rFonts w:hint="eastAsia"/>
          <w:sz w:val="24"/>
          <w:highlight w:val="none"/>
        </w:rPr>
        <w:t xml:space="preserve">投标人授权代表（签字）：</w:t>
      </w:r>
      <w:r/>
    </w:p>
    <w:p>
      <w:pPr>
        <w:ind w:firstLine="480"/>
        <w:spacing w:after="120" w:line="360" w:lineRule="auto"/>
        <w:rPr>
          <w:b/>
          <w:sz w:val="24"/>
          <w:highlight w:val="none"/>
        </w:rPr>
      </w:pPr>
      <w:r>
        <w:rPr>
          <w:rFonts w:hint="eastAsia"/>
          <w:sz w:val="24"/>
          <w:highlight w:val="none"/>
        </w:rPr>
        <w:t xml:space="preserve">日期：     </w:t>
      </w:r>
      <w:r/>
    </w:p>
    <w:p>
      <w:pPr>
        <w:pStyle w:val="739"/>
        <w:ind w:firstLine="0"/>
        <w:rPr>
          <w:b/>
          <w:sz w:val="22"/>
          <w:szCs w:val="22"/>
          <w:highlight w:val="none"/>
        </w:rPr>
      </w:pPr>
      <w:r>
        <w:rPr>
          <w:sz w:val="22"/>
          <w:szCs w:val="22"/>
          <w:highlight w:val="none"/>
        </w:rPr>
        <w:t xml:space="preserve">注：</w:t>
      </w:r>
      <w:r/>
    </w:p>
    <w:p>
      <w:pPr>
        <w:pStyle w:val="739"/>
        <w:ind w:firstLine="0"/>
        <w:rPr>
          <w:b/>
          <w:sz w:val="22"/>
          <w:szCs w:val="22"/>
          <w:highlight w:val="none"/>
        </w:rPr>
      </w:pPr>
      <w:r>
        <w:rPr>
          <w:rFonts w:hint="eastAsia"/>
          <w:sz w:val="22"/>
          <w:szCs w:val="22"/>
          <w:highlight w:val="none"/>
        </w:rPr>
        <w:t xml:space="preserve">1、投标人承诺的质保期内的所有备品备件均应包含在投标报价内，无论是否在分项报价明细表中单列，采购人均不额外付费</w:t>
      </w:r>
      <w:r>
        <w:rPr>
          <w:sz w:val="22"/>
          <w:szCs w:val="22"/>
          <w:highlight w:val="none"/>
        </w:rPr>
        <w:t xml:space="preserve">。</w:t>
      </w:r>
      <w:r/>
    </w:p>
    <w:p>
      <w:pPr>
        <w:pStyle w:val="739"/>
        <w:ind w:firstLine="0"/>
        <w:rPr>
          <w:sz w:val="22"/>
          <w:szCs w:val="22"/>
          <w:highlight w:val="none"/>
        </w:rPr>
      </w:pPr>
      <w:r>
        <w:rPr>
          <w:sz w:val="22"/>
          <w:szCs w:val="22"/>
          <w:highlight w:val="none"/>
        </w:rPr>
        <w:t xml:space="preserve">2、</w:t>
      </w:r>
      <w:r>
        <w:rPr>
          <w:rFonts w:hint="eastAsia"/>
          <w:sz w:val="22"/>
          <w:szCs w:val="22"/>
          <w:highlight w:val="none"/>
        </w:rPr>
        <w:t xml:space="preserve">如所投产品不涉及备品备件，可在投标文件中将本表空置</w:t>
      </w:r>
      <w:r>
        <w:rPr>
          <w:sz w:val="22"/>
          <w:szCs w:val="22"/>
          <w:highlight w:val="none"/>
        </w:rPr>
        <w:t xml:space="preserve">。</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438"/>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附件1</w:t>
      </w:r>
      <w:r>
        <w:rPr>
          <w:rFonts w:hint="eastAsia"/>
          <w:color w:val="000000" w:themeColor="text1"/>
          <w:highlight w:val="none"/>
          <w:lang w:val="en-US" w:eastAsia="zh-CN"/>
          <w14:textFill>
            <w14:solidFill>
              <w14:schemeClr w14:val="tx1"/>
            </w14:solidFill>
          </w14:textFill>
        </w:rPr>
        <w:t xml:space="preserve">3</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hAnsi="宋体" w:cs="宋体"/>
          <w:b w:val="0"/>
          <w:color w:val="000000" w:themeColor="text1"/>
          <w:sz w:val="28"/>
          <w:szCs w:val="36"/>
          <w:highlight w:val="none"/>
          <w14:textFill>
            <w14:solidFill>
              <w14:schemeClr w14:val="tx1"/>
            </w14:solidFill>
          </w14:textFill>
        </w:rPr>
      </w:pPr>
      <w:r>
        <w:rPr>
          <w:rFonts w:hint="eastAsia" w:hAnsi="宋体" w:cs="宋体"/>
          <w:b w:val="0"/>
          <w:color w:val="000000" w:themeColor="text1"/>
          <w:sz w:val="28"/>
          <w:szCs w:val="36"/>
          <w:highlight w:val="none"/>
          <w14:textFill>
            <w14:solidFill>
              <w14:schemeClr w14:val="tx1"/>
            </w14:solidFill>
          </w14:textFill>
        </w:rPr>
      </w:r>
      <w:r/>
    </w:p>
    <w:p>
      <w:pPr>
        <w:pStyle w:val="1444"/>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中小企业声明函（货物）</w:t>
      </w:r>
      <w:r/>
    </w:p>
    <w:p>
      <w:pPr>
        <w:pStyle w:val="739"/>
        <w:ind w:firstLine="480"/>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本公司（联合体）郑重声明，根据《政府采购促进中小企业发展管理办法》（财库﹝2020﹞46号）的规定，本公司（联合体）参加</w:t>
      </w:r>
      <w:r>
        <w:rPr>
          <w:color w:val="000000" w:themeColor="text1"/>
          <w:highlight w:val="none"/>
          <w:u w:val="single"/>
          <w14:textFill>
            <w14:solidFill>
              <w14:schemeClr w14:val="tx1"/>
            </w14:solidFill>
          </w14:textFill>
        </w:rPr>
        <w:t xml:space="preserve">（单位名称）</w:t>
      </w:r>
      <w:r>
        <w:rPr>
          <w:color w:val="000000" w:themeColor="text1"/>
          <w:highlight w:val="none"/>
          <w14:textFill>
            <w14:solidFill>
              <w14:schemeClr w14:val="tx1"/>
            </w14:solidFill>
          </w14:textFill>
        </w:rPr>
        <w:t xml:space="preserve">的</w:t>
      </w:r>
      <w:r>
        <w:rPr>
          <w:color w:val="000000" w:themeColor="text1"/>
          <w:highlight w:val="none"/>
          <w:u w:val="single"/>
          <w14:textFill>
            <w14:solidFill>
              <w14:schemeClr w14:val="tx1"/>
            </w14:solidFill>
          </w14:textFill>
        </w:rPr>
        <w:t xml:space="preserve">（项目名称）</w:t>
      </w:r>
      <w:r>
        <w:rPr>
          <w:color w:val="000000" w:themeColor="text1"/>
          <w:highlight w:val="non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pStyle w:val="739"/>
        <w:ind w:firstLine="480"/>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color w:val="000000" w:themeColor="text1"/>
          <w:highlight w:val="none"/>
          <w:u w:val="single"/>
          <w14:textFill>
            <w14:solidFill>
              <w14:schemeClr w14:val="tx1"/>
            </w14:solidFill>
          </w14:textFill>
        </w:rPr>
        <w:t xml:space="preserve"> （标的名称） </w:t>
      </w:r>
      <w:r>
        <w:rPr>
          <w:color w:val="000000" w:themeColor="text1"/>
          <w:highlight w:val="none"/>
          <w14:textFill>
            <w14:solidFill>
              <w14:schemeClr w14:val="tx1"/>
            </w14:solidFill>
          </w14:textFill>
        </w:rPr>
        <w:t xml:space="preserve">，属于</w:t>
      </w:r>
      <w:r>
        <w:rPr>
          <w:color w:val="000000" w:themeColor="text1"/>
          <w:highlight w:val="none"/>
          <w:u w:val="single"/>
          <w14:textFill>
            <w14:solidFill>
              <w14:schemeClr w14:val="tx1"/>
            </w14:solidFill>
          </w14:textFill>
        </w:rPr>
        <w:t xml:space="preserve">（招标文件中明确的所属行业）</w:t>
      </w:r>
      <w:r>
        <w:rPr>
          <w:color w:val="000000" w:themeColor="text1"/>
          <w:highlight w:val="none"/>
          <w14:textFill>
            <w14:solidFill>
              <w14:schemeClr w14:val="tx1"/>
            </w14:solidFill>
          </w14:textFill>
        </w:rPr>
        <w:t xml:space="preserve">行业；制造商为</w:t>
      </w:r>
      <w:r>
        <w:rPr>
          <w:color w:val="000000" w:themeColor="text1"/>
          <w:highlight w:val="none"/>
          <w:u w:val="single"/>
          <w14:textFill>
            <w14:solidFill>
              <w14:schemeClr w14:val="tx1"/>
            </w14:solidFill>
          </w14:textFill>
        </w:rPr>
        <w:t xml:space="preserve">（企业名称）</w:t>
      </w:r>
      <w:r>
        <w:rPr>
          <w:color w:val="000000" w:themeColor="text1"/>
          <w:highlight w:val="none"/>
          <w14:textFill>
            <w14:solidFill>
              <w14:schemeClr w14:val="tx1"/>
            </w14:solidFill>
          </w14:textFill>
        </w:rPr>
        <w:t xml:space="preserve">，从业人员人，营业收入为</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万元，属于</w:t>
      </w:r>
      <w:r>
        <w:rPr>
          <w:color w:val="000000" w:themeColor="text1"/>
          <w:highlight w:val="none"/>
          <w:u w:val="single"/>
          <w14:textFill>
            <w14:solidFill>
              <w14:schemeClr w14:val="tx1"/>
            </w14:solidFill>
          </w14:textFill>
        </w:rPr>
        <w:t xml:space="preserve">（□中型企业、□小型企业、□微型企业</w:t>
      </w:r>
      <w:r>
        <w:rPr>
          <w:color w:val="000000" w:themeColor="text1"/>
          <w:highlight w:val="none"/>
          <w14:textFill>
            <w14:solidFill>
              <w14:schemeClr w14:val="tx1"/>
            </w14:solidFill>
          </w14:textFill>
        </w:rPr>
        <w:t xml:space="preserve">；</w:t>
      </w:r>
      <w:r/>
    </w:p>
    <w:p>
      <w:pPr>
        <w:pStyle w:val="739"/>
        <w:ind w:firstLine="480"/>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color w:val="000000" w:themeColor="text1"/>
          <w:highlight w:val="none"/>
          <w:u w:val="single"/>
          <w14:textFill>
            <w14:solidFill>
              <w14:schemeClr w14:val="tx1"/>
            </w14:solidFill>
          </w14:textFill>
        </w:rPr>
        <w:t xml:space="preserve"> （标的名称） </w:t>
      </w:r>
      <w:r>
        <w:rPr>
          <w:color w:val="000000" w:themeColor="text1"/>
          <w:highlight w:val="none"/>
          <w14:textFill>
            <w14:solidFill>
              <w14:schemeClr w14:val="tx1"/>
            </w14:solidFill>
          </w14:textFill>
        </w:rPr>
        <w:t xml:space="preserve">，属于</w:t>
      </w:r>
      <w:r>
        <w:rPr>
          <w:color w:val="000000" w:themeColor="text1"/>
          <w:highlight w:val="none"/>
          <w:u w:val="single"/>
          <w14:textFill>
            <w14:solidFill>
              <w14:schemeClr w14:val="tx1"/>
            </w14:solidFill>
          </w14:textFill>
        </w:rPr>
        <w:t xml:space="preserve">（招标文件中明确的所属行业）</w:t>
      </w:r>
      <w:r>
        <w:rPr>
          <w:color w:val="000000" w:themeColor="text1"/>
          <w:highlight w:val="none"/>
          <w14:textFill>
            <w14:solidFill>
              <w14:schemeClr w14:val="tx1"/>
            </w14:solidFill>
          </w14:textFill>
        </w:rPr>
        <w:t xml:space="preserve">行业；制造商为</w:t>
      </w:r>
      <w:r>
        <w:rPr>
          <w:color w:val="000000" w:themeColor="text1"/>
          <w:highlight w:val="none"/>
          <w:u w:val="single"/>
          <w14:textFill>
            <w14:solidFill>
              <w14:schemeClr w14:val="tx1"/>
            </w14:solidFill>
          </w14:textFill>
        </w:rPr>
        <w:t xml:space="preserve">（企业名称）</w:t>
      </w:r>
      <w:r>
        <w:rPr>
          <w:color w:val="000000" w:themeColor="text1"/>
          <w:highlight w:val="none"/>
          <w14:textFill>
            <w14:solidFill>
              <w14:schemeClr w14:val="tx1"/>
            </w14:solidFill>
          </w14:textFill>
        </w:rPr>
        <w:t xml:space="preserve">，从业人员人，营业收入为万元，资产总额为万元，属于</w:t>
      </w:r>
      <w:r>
        <w:rPr>
          <w:color w:val="000000" w:themeColor="text1"/>
          <w:highlight w:val="none"/>
          <w:u w:val="single"/>
          <w14:textFill>
            <w14:solidFill>
              <w14:schemeClr w14:val="tx1"/>
            </w14:solidFill>
          </w14:textFill>
        </w:rPr>
        <w:t xml:space="preserve">（□中型企业、□小型企业、□微型企业）</w:t>
      </w:r>
      <w:r>
        <w:rPr>
          <w:color w:val="000000" w:themeColor="text1"/>
          <w:highlight w:val="none"/>
          <w14:textFill>
            <w14:solidFill>
              <w14:schemeClr w14:val="tx1"/>
            </w14:solidFill>
          </w14:textFill>
        </w:rPr>
        <w:t xml:space="preserve">；</w:t>
      </w:r>
      <w:r/>
    </w:p>
    <w:p>
      <w:pPr>
        <w:pStyle w:val="739"/>
        <w:ind w:firstLine="480"/>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w:t>
      </w:r>
      <w:r/>
    </w:p>
    <w:p>
      <w:pPr>
        <w:pStyle w:val="739"/>
        <w:ind w:firstLine="480"/>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739"/>
        <w:ind w:firstLine="480"/>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本企业对上述声明内容的真实性负责。如有虚假，将依法承担相应责任。</w:t>
      </w:r>
      <w:r/>
    </w:p>
    <w:p>
      <w:pPr>
        <w:pStyle w:val="739"/>
        <w:ind w:firstLine="480"/>
        <w:jc w:val="right"/>
        <w:tabs>
          <w:tab w:val="left" w:pos="7098" w:leader="none"/>
        </w:tabs>
        <w:rPr>
          <w:b/>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投标人或制造商名称（盖章）：</w:t>
      </w:r>
      <w:r/>
    </w:p>
    <w:p>
      <w:pPr>
        <w:pStyle w:val="739"/>
        <w:ind w:firstLine="6000"/>
        <w:tabs>
          <w:tab w:val="left" w:pos="7098" w:leader="none"/>
        </w:tabs>
        <w:rPr>
          <w:b/>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p>
    <w:p>
      <w:pPr>
        <w:contextualSpacing/>
        <w:jc w:val="left"/>
        <w:spacing w:line="360" w:lineRule="auto"/>
        <w:rPr>
          <w:rFonts w:hint="eastAsia" w:hAnsi="宋体" w:cs="宋体"/>
          <w:b w:val="0"/>
          <w:color w:val="000000" w:themeColor="text1"/>
          <w:highlight w:val="none"/>
          <w14:textFill>
            <w14:solidFill>
              <w14:schemeClr w14:val="tx1"/>
            </w14:solidFill>
          </w14:textFill>
        </w:rPr>
      </w:pPr>
      <w:r>
        <w:rPr>
          <w:rFonts w:hint="eastAsia" w:hAnsi="宋体" w:cs="宋体"/>
          <w:b w:val="0"/>
          <w:color w:val="000000" w:themeColor="text1"/>
          <w:highlight w:val="none"/>
          <w14:textFill>
            <w14:solidFill>
              <w14:schemeClr w14:val="tx1"/>
            </w14:solidFill>
          </w14:textFill>
        </w:rPr>
      </w:r>
      <w:r/>
    </w:p>
    <w:p>
      <w:pPr>
        <w:contextualSpacing/>
        <w:ind w:firstLine="480"/>
        <w:jc w:val="left"/>
        <w:spacing w:line="360" w:lineRule="auto"/>
        <w:rPr>
          <w:rFonts w:hint="eastAsia" w:hAnsi="宋体" w:cs="宋体"/>
          <w:b w:val="0"/>
          <w:color w:val="000000" w:themeColor="text1"/>
          <w:highlight w:val="none"/>
          <w14:textFill>
            <w14:solidFill>
              <w14:schemeClr w14:val="tx1"/>
            </w14:solidFill>
          </w14:textFill>
        </w:rPr>
      </w:pPr>
      <w:r>
        <w:rPr>
          <w:rFonts w:hint="eastAsia" w:hAnsi="宋体" w:cs="宋体"/>
          <w:b w:val="0"/>
          <w:color w:val="000000" w:themeColor="text1"/>
          <w:highlight w:val="none"/>
          <w14:textFill>
            <w14:solidFill>
              <w14:schemeClr w14:val="tx1"/>
            </w14:solidFill>
          </w14:textFill>
        </w:rPr>
      </w:r>
      <w:r/>
    </w:p>
    <w:p>
      <w:pPr>
        <w:contextualSpacing/>
        <w:ind w:firstLine="480"/>
        <w:jc w:val="left"/>
        <w:spacing w:line="360" w:lineRule="auto"/>
        <w:rPr>
          <w:rFonts w:hint="eastAsia" w:hAnsi="宋体" w:cs="宋体"/>
          <w:b w:val="0"/>
          <w:color w:val="000000" w:themeColor="text1"/>
          <w:highlight w:val="none"/>
          <w14:textFill>
            <w14:solidFill>
              <w14:schemeClr w14:val="tx1"/>
            </w14:solidFill>
          </w14:textFill>
        </w:rPr>
      </w:pPr>
      <w:r>
        <w:rPr>
          <w:rFonts w:hint="eastAsia" w:hAnsi="宋体" w:cs="宋体"/>
          <w:b w:val="0"/>
          <w:color w:val="000000" w:themeColor="text1"/>
          <w:highlight w:val="none"/>
          <w14:textFill>
            <w14:solidFill>
              <w14:schemeClr w14:val="tx1"/>
            </w14:solidFill>
          </w14:textFill>
        </w:rPr>
      </w:r>
      <w:r/>
    </w:p>
    <w:p>
      <w:pPr>
        <w:contextualSpacing/>
        <w:ind w:firstLine="480"/>
        <w:jc w:val="left"/>
        <w:spacing w:line="360" w:lineRule="auto"/>
        <w:rPr>
          <w:rFonts w:hint="eastAsia" w:hAnsi="宋体" w:cs="宋体"/>
          <w:b w:val="0"/>
          <w:color w:val="000000" w:themeColor="text1"/>
          <w:highlight w:val="none"/>
          <w14:textFill>
            <w14:solidFill>
              <w14:schemeClr w14:val="tx1"/>
            </w14:solidFill>
          </w14:textFill>
        </w:rPr>
      </w:pPr>
      <w:r>
        <w:rPr>
          <w:rFonts w:hint="eastAsia" w:hAnsi="宋体" w:cs="宋体"/>
          <w:b w:val="0"/>
          <w:color w:val="000000" w:themeColor="text1"/>
          <w:highlight w:val="none"/>
          <w14:textFill>
            <w14:solidFill>
              <w14:schemeClr w14:val="tx1"/>
            </w14:solidFill>
          </w14:textFill>
        </w:rPr>
        <w:t xml:space="preserve">注：从业人员、营业收入、资产总额填报上一年度数据，无上一年度数据的新成立企业可不填报。</w:t>
      </w:r>
      <w:r/>
    </w:p>
    <w:p>
      <w:pPr>
        <w:ind w:firstLine="4962"/>
        <w:spacing w:line="588"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br w:type="page" w:clear="all"/>
      </w:r>
      <w:r/>
    </w:p>
    <w:p>
      <w:pPr>
        <w:pStyle w:val="1438"/>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附件1</w:t>
      </w:r>
      <w:r>
        <w:rPr>
          <w:rFonts w:hint="eastAsia"/>
          <w:color w:val="000000" w:themeColor="text1"/>
          <w:highlight w:val="none"/>
          <w:lang w:val="en-US" w:eastAsia="zh-CN"/>
          <w14:textFill>
            <w14:solidFill>
              <w14:schemeClr w14:val="tx1"/>
            </w14:solidFill>
          </w14:textFill>
        </w:rPr>
        <w:t xml:space="preserve">4</w:t>
      </w:r>
      <w:r/>
    </w:p>
    <w:p>
      <w:pPr>
        <w:pStyle w:val="1444"/>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残疾人福利性单位声明函</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本单位对上述声明的真实性负责。如有虚假，将依法承担相应责任。</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（备注：1、供应商如不提供此声明函，价格将不做相应扣除。2、中标供应商为残疾人福利单位的，此声明函将随中标结果同时公告，接受社会监督）</w:t>
      </w:r>
      <w:r/>
    </w:p>
    <w:p>
      <w:pPr>
        <w:ind w:firstLine="584"/>
        <w:spacing w:line="588" w:lineRule="exact"/>
        <w:rPr>
          <w:rFonts w:hint="eastAsia" w:ascii="宋体" w:hAnsi="宋体"/>
          <w:color w:val="000000" w:themeColor="text1"/>
          <w:spacing w:val="6"/>
          <w:sz w:val="28"/>
          <w:szCs w:val="28"/>
          <w:highlight w:val="none"/>
          <w14:textFill>
            <w14:solidFill>
              <w14:schemeClr w14:val="tx1"/>
            </w14:solidFill>
          </w14:textFill>
        </w:rPr>
      </w:pPr>
      <w:r>
        <w:rPr>
          <w:rFonts w:hint="eastAsia" w:ascii="宋体" w:hAnsi="宋体"/>
          <w:color w:val="000000" w:themeColor="text1"/>
          <w:spacing w:val="6"/>
          <w:sz w:val="28"/>
          <w:szCs w:val="28"/>
          <w:highlight w:val="none"/>
          <w14:textFill>
            <w14:solidFill>
              <w14:schemeClr w14:val="tx1"/>
            </w14:solidFill>
          </w14:textFill>
        </w:rPr>
      </w:r>
      <w:r/>
    </w:p>
    <w:p>
      <w:pPr>
        <w:ind w:firstLine="584"/>
        <w:spacing w:line="588" w:lineRule="exact"/>
        <w:rPr>
          <w:rFonts w:hint="eastAsia" w:ascii="宋体" w:hAnsi="宋体"/>
          <w:color w:val="000000" w:themeColor="text1"/>
          <w:spacing w:val="6"/>
          <w:sz w:val="28"/>
          <w:szCs w:val="28"/>
          <w:highlight w:val="none"/>
          <w14:textFill>
            <w14:solidFill>
              <w14:schemeClr w14:val="tx1"/>
            </w14:solidFill>
          </w14:textFill>
        </w:rPr>
      </w:pPr>
      <w:r>
        <w:rPr>
          <w:rFonts w:hint="eastAsia" w:ascii="宋体" w:hAnsi="宋体"/>
          <w:color w:val="000000" w:themeColor="text1"/>
          <w:spacing w:val="6"/>
          <w:sz w:val="28"/>
          <w:szCs w:val="28"/>
          <w:highlight w:val="none"/>
          <w14:textFill>
            <w14:solidFill>
              <w14:schemeClr w14:val="tx1"/>
            </w14:solidFill>
          </w14:textFill>
        </w:rPr>
      </w:r>
      <w:r/>
    </w:p>
    <w:p>
      <w:pPr>
        <w:ind w:firstLine="584"/>
        <w:spacing w:line="588" w:lineRule="exact"/>
        <w:rPr>
          <w:rFonts w:hint="eastAsia" w:ascii="宋体" w:hAnsi="宋体"/>
          <w:color w:val="000000" w:themeColor="text1"/>
          <w:spacing w:val="6"/>
          <w:sz w:val="28"/>
          <w:szCs w:val="28"/>
          <w:highlight w:val="none"/>
          <w14:textFill>
            <w14:solidFill>
              <w14:schemeClr w14:val="tx1"/>
            </w14:solidFill>
          </w14:textFill>
        </w:rPr>
      </w:pPr>
      <w:r>
        <w:rPr>
          <w:rFonts w:hint="eastAsia" w:ascii="宋体" w:hAnsi="宋体"/>
          <w:color w:val="000000" w:themeColor="text1"/>
          <w:spacing w:val="6"/>
          <w:sz w:val="28"/>
          <w:szCs w:val="28"/>
          <w:highlight w:val="none"/>
          <w14:textFill>
            <w14:solidFill>
              <w14:schemeClr w14:val="tx1"/>
            </w14:solidFill>
          </w14:textFill>
        </w:rPr>
      </w:r>
      <w:r/>
    </w:p>
    <w:p>
      <w:pPr>
        <w:ind w:right="1560" w:firstLine="584"/>
        <w:jc w:val="center"/>
        <w:spacing w:after="120" w:line="360" w:lineRule="auto"/>
        <w:tabs>
          <w:tab w:val="left" w:pos="4860" w:leader="none"/>
        </w:tabs>
        <w:rPr>
          <w:color w:val="000000" w:themeColor="text1"/>
          <w:sz w:val="24"/>
          <w:szCs w:val="28"/>
          <w:highlight w:val="none"/>
          <w14:textFill>
            <w14:solidFill>
              <w14:schemeClr w14:val="tx1"/>
            </w14:solidFill>
          </w14:textFill>
        </w:rPr>
      </w:pPr>
      <w:r>
        <w:rPr>
          <w:rFonts w:hint="eastAsia"/>
          <w:color w:val="000000" w:themeColor="text1"/>
          <w:spacing w:val="6"/>
          <w:sz w:val="24"/>
          <w:szCs w:val="28"/>
          <w:highlight w:val="none"/>
          <w14:textFill>
            <w14:solidFill>
              <w14:schemeClr w14:val="tx1"/>
            </w14:solidFill>
          </w14:textFill>
        </w:rPr>
        <w:t xml:space="preserve">             </w:t>
      </w:r>
      <w:r>
        <w:rPr>
          <w:rFonts w:hint="eastAsia"/>
          <w:color w:val="000000" w:themeColor="text1"/>
          <w:sz w:val="24"/>
          <w:szCs w:val="28"/>
          <w:highlight w:val="none"/>
          <w14:textFill>
            <w14:solidFill>
              <w14:schemeClr w14:val="tx1"/>
            </w14:solidFill>
          </w14:textFill>
        </w:rPr>
        <w:t xml:space="preserve">           供应商全称（盖章）：</w:t>
      </w:r>
      <w:r/>
    </w:p>
    <w:p>
      <w:pPr>
        <w:ind w:right="1560" w:firstLine="560"/>
        <w:jc w:val="center"/>
        <w:spacing w:after="120" w:line="360" w:lineRule="auto"/>
        <w:tabs>
          <w:tab w:val="left" w:pos="4860" w:leader="none"/>
        </w:tabs>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              日  期：</w:t>
      </w:r>
      <w:r/>
    </w:p>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1438"/>
        <w:rPr>
          <w:rFonts w:hint="default"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15</w:t>
      </w:r>
      <w:r/>
    </w:p>
    <w:p>
      <w:pPr>
        <w:pStyle w:val="1444"/>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监狱和戒毒企业证明材料</w:t>
      </w:r>
      <w:r/>
    </w:p>
    <w:p>
      <w:pPr>
        <w:pStyle w:val="76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（格式自拟）</w:t>
      </w:r>
      <w:r/>
    </w:p>
    <w:p>
      <w:pPr>
        <w:pStyle w:val="73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jc w:val="left"/>
        <w:widowControl/>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br w:type="page" w:clear="all"/>
      </w:r>
      <w:r/>
    </w:p>
    <w:p>
      <w:pPr>
        <w:pStyle w:val="1438"/>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16</w:t>
      </w:r>
      <w:r/>
    </w:p>
    <w:p>
      <w:pPr>
        <w:pStyle w:val="1444"/>
        <w:shd w:val="clear" w:color="auto" w:fill="ffff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关于符合本国产品标准的声明函</w:t>
      </w:r>
      <w:r/>
    </w:p>
    <w:p>
      <w:pPr>
        <w:ind w:firstLine="420"/>
        <w:spacing w:line="360" w:lineRule="auto"/>
        <w:rPr>
          <w:rFonts w:hint="eastAsia" w:hAnsi="宋体" w:cs="方正魏碑_GBK"/>
          <w:b w:val="0"/>
          <w:position w:val="0"/>
          <w:sz w:val="21"/>
          <w:szCs w:val="21"/>
          <w:highlight w:val="none"/>
        </w:rPr>
      </w:pPr>
      <w:r>
        <w:rPr>
          <w:rFonts w:hint="eastAsia" w:hAnsi="宋体" w:cs="方正魏碑_GBK"/>
          <w:b w:val="0"/>
          <w:position w:val="0"/>
          <w:sz w:val="21"/>
          <w:szCs w:val="21"/>
          <w:highlight w:val="none"/>
        </w:rPr>
      </w:r>
      <w:r/>
    </w:p>
    <w:p>
      <w:pPr>
        <w:ind w:firstLine="420"/>
        <w:spacing w:line="360" w:lineRule="auto"/>
        <w:rPr>
          <w:rFonts w:hint="eastAsia" w:hAnsi="宋体" w:cs="方正魏碑_GBK"/>
          <w:b w:val="0"/>
          <w:position w:val="0"/>
          <w:sz w:val="21"/>
          <w:szCs w:val="21"/>
          <w:highlight w:val="none"/>
        </w:rPr>
      </w:pPr>
      <w:r>
        <w:rPr>
          <w:rFonts w:hint="eastAsia" w:hAnsi="宋体" w:cs="方正魏碑_GBK"/>
          <w:b w:val="0"/>
          <w:position w:val="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int="eastAsia" w:hAnsi="宋体" w:cs="方正魏碑_GBK"/>
          <w:b w:val="0"/>
          <w:position w:val="0"/>
          <w:sz w:val="21"/>
          <w:szCs w:val="21"/>
          <w:highlight w:val="none"/>
        </w:rPr>
      </w:pPr>
      <w:r>
        <w:rPr>
          <w:rFonts w:hint="eastAsia" w:hAnsi="宋体" w:cs="方正魏碑_GBK"/>
          <w:b w:val="0"/>
          <w:position w:val="0"/>
          <w:sz w:val="21"/>
          <w:szCs w:val="21"/>
          <w:highlight w:val="none"/>
          <w:shd w:val="clear" w:color="auto" w:fill="ffffff"/>
        </w:rPr>
        <w:t xml:space="preserve">1.</w:t>
      </w:r>
      <w:r>
        <w:rPr>
          <w:rFonts w:hint="eastAsia" w:hAnsi="宋体" w:cs="方正魏碑_GBK"/>
          <w:b w:val="0"/>
          <w:position w:val="0"/>
          <w:sz w:val="21"/>
          <w:szCs w:val="21"/>
          <w:highlight w:val="none"/>
          <w:u w:val="single"/>
          <w:shd w:val="clear" w:color="auto" w:fill="ffffff"/>
        </w:rPr>
        <w:t xml:space="preserve">（产品名称1）</w:t>
      </w:r>
      <w:r>
        <w:rPr>
          <w:rFonts w:hint="eastAsia" w:hAnsi="宋体" w:cs="方正魏碑_GBK"/>
          <w:b w:val="0"/>
          <w:position w:val="0"/>
          <w:sz w:val="21"/>
          <w:szCs w:val="21"/>
          <w:highlight w:val="none"/>
          <w:shd w:val="clear" w:color="auto" w:fill="ffffff"/>
          <w:vertAlign w:val="superscript"/>
        </w:rPr>
        <w:t xml:space="preserve">1</w:t>
      </w:r>
      <w:r>
        <w:rPr>
          <w:rFonts w:hint="eastAsia" w:hAnsi="宋体" w:cs="方正魏碑_GBK"/>
          <w:b w:val="0"/>
          <w:position w:val="0"/>
          <w:sz w:val="21"/>
          <w:szCs w:val="21"/>
          <w:highlight w:val="none"/>
          <w:shd w:val="clear" w:color="auto" w:fill="ffffff"/>
        </w:rPr>
        <w:t xml:space="preserve">，生产厂为</w:t>
      </w:r>
      <w:r>
        <w:rPr>
          <w:rFonts w:hint="eastAsia" w:hAnsi="宋体" w:cs="方正魏碑_GBK"/>
          <w:b w:val="0"/>
          <w:position w:val="0"/>
          <w:sz w:val="21"/>
          <w:szCs w:val="21"/>
          <w:highlight w:val="none"/>
          <w:u w:val="single"/>
          <w:shd w:val="clear" w:color="auto" w:fill="ffffff"/>
        </w:rPr>
        <w:t xml:space="preserve">（厂名）</w:t>
      </w:r>
      <w:r>
        <w:rPr>
          <w:rFonts w:hint="eastAsia" w:hAnsi="宋体" w:cs="方正魏碑_GBK"/>
          <w:b w:val="0"/>
          <w:position w:val="0"/>
          <w:sz w:val="21"/>
          <w:szCs w:val="21"/>
          <w:highlight w:val="none"/>
          <w:shd w:val="clear" w:color="auto" w:fill="ffffff"/>
          <w:vertAlign w:val="superscript"/>
        </w:rPr>
        <w:t xml:space="preserve">2</w:t>
      </w:r>
      <w:r>
        <w:rPr>
          <w:rFonts w:hint="eastAsia" w:hAnsi="宋体" w:cs="方正魏碑_GBK"/>
          <w:b w:val="0"/>
          <w:position w:val="0"/>
          <w:sz w:val="21"/>
          <w:szCs w:val="21"/>
          <w:highlight w:val="none"/>
          <w:shd w:val="clear" w:color="auto" w:fill="ffffff"/>
        </w:rPr>
        <w:t xml:space="preserve">，厂址为</w:t>
      </w:r>
      <w:r>
        <w:rPr>
          <w:rFonts w:hint="eastAsia" w:hAnsi="宋体" w:cs="方正魏碑_GBK"/>
          <w:b w:val="0"/>
          <w:position w:val="0"/>
          <w:sz w:val="21"/>
          <w:szCs w:val="21"/>
          <w:highlight w:val="none"/>
          <w:u w:val="single"/>
          <w:shd w:val="clear" w:color="auto" w:fill="ffffff"/>
        </w:rPr>
        <w:t xml:space="preserve">（生产厂址）</w:t>
      </w:r>
      <w:r>
        <w:rPr>
          <w:rFonts w:hint="eastAsia" w:hAnsi="宋体" w:cs="方正魏碑_GBK"/>
          <w:b w:val="0"/>
          <w:position w:val="0"/>
          <w:sz w:val="21"/>
          <w:szCs w:val="21"/>
          <w:highlight w:val="none"/>
          <w:shd w:val="clear" w:color="auto" w:fill="ffffff"/>
        </w:rPr>
        <w:t xml:space="preserve">。</w:t>
      </w:r>
      <w:r>
        <w:rPr>
          <w:rFonts w:hint="eastAsia" w:hAnsi="宋体" w:cs="方正魏碑_GBK"/>
          <w:b w:val="0"/>
          <w:strike/>
          <w:position w:val="0"/>
          <w:sz w:val="21"/>
          <w:szCs w:val="21"/>
          <w:highlight w:val="none"/>
          <w:u w:val="single"/>
          <w:shd w:val="clear" w:color="auto" w:fill="ffffff"/>
        </w:rPr>
        <w:t xml:space="preserve"> （产品名称1） </w:t>
      </w:r>
      <w:r>
        <w:rPr>
          <w:rFonts w:hint="eastAsia" w:hAnsi="宋体" w:cs="方正魏碑_GBK"/>
          <w:b w:val="0"/>
          <w:position w:val="0"/>
          <w:sz w:val="21"/>
          <w:szCs w:val="21"/>
          <w:highlight w:val="none"/>
          <w:shd w:val="clear" w:color="auto" w:fill="ffffff"/>
        </w:rPr>
        <w:t xml:space="preserve">的中国境内生产的组件成本占比≥</w:t>
      </w:r>
      <w:r>
        <w:rPr>
          <w:rFonts w:hint="eastAsia" w:hAnsi="宋体" w:cs="方正魏碑_GBK"/>
          <w:b w:val="0"/>
          <w:strike/>
          <w:position w:val="0"/>
          <w:sz w:val="21"/>
          <w:szCs w:val="21"/>
          <w:highlight w:val="none"/>
          <w:u w:val="single"/>
          <w:shd w:val="clear" w:color="auto" w:fill="ffffff"/>
        </w:rPr>
        <w:t xml:space="preserve">（规定</w:t>
      </w:r>
      <w:r>
        <w:rPr>
          <w:rFonts w:hAnsi="宋体" w:cs="方正魏碑_GBK"/>
          <w:b w:val="0"/>
          <w:strike/>
          <w:position w:val="0"/>
          <w:sz w:val="21"/>
          <w:szCs w:val="21"/>
          <w:highlight w:val="none"/>
          <w:u w:val="single"/>
          <w:shd w:val="clear" w:color="auto" w:fill="ffffff"/>
        </w:rPr>
        <w:t xml:space="preserve">比例</w:t>
      </w:r>
      <w:r>
        <w:rPr>
          <w:rFonts w:hint="eastAsia" w:hAnsi="宋体" w:cs="方正魏碑_GBK"/>
          <w:b w:val="0"/>
          <w:strike/>
          <w:position w:val="0"/>
          <w:sz w:val="21"/>
          <w:szCs w:val="21"/>
          <w:highlight w:val="none"/>
          <w:u w:val="single"/>
          <w:shd w:val="clear" w:color="auto" w:fill="ffffff"/>
        </w:rPr>
        <w:t xml:space="preserve">）</w:t>
      </w:r>
      <w:r>
        <w:rPr>
          <w:rFonts w:hint="eastAsia" w:hAnsi="宋体" w:cs="方正魏碑_GBK"/>
          <w:b w:val="0"/>
          <w:position w:val="0"/>
          <w:sz w:val="21"/>
          <w:szCs w:val="21"/>
          <w:highlight w:val="none"/>
          <w:shd w:val="clear" w:color="auto" w:fill="ffffff"/>
          <w:vertAlign w:val="superscript"/>
        </w:rPr>
        <w:t xml:space="preserve">3</w:t>
      </w:r>
      <w:r>
        <w:rPr>
          <w:rFonts w:hint="eastAsia" w:hAnsi="宋体" w:cs="方正魏碑_GBK"/>
          <w:b w:val="0"/>
          <w:position w:val="0"/>
          <w:sz w:val="21"/>
          <w:szCs w:val="21"/>
          <w:highlight w:val="none"/>
          <w:shd w:val="clear" w:color="auto" w:fill="ffffff"/>
        </w:rPr>
        <w:t xml:space="preserve">。</w:t>
      </w:r>
      <w:r>
        <w:rPr>
          <w:rFonts w:hint="eastAsia" w:hAnsi="宋体" w:cs="方正魏碑_GBK"/>
          <w:b w:val="0"/>
          <w:strike/>
          <w:position w:val="0"/>
          <w:sz w:val="21"/>
          <w:szCs w:val="21"/>
          <w:highlight w:val="none"/>
          <w:u w:val="single"/>
          <w:shd w:val="clear" w:color="auto" w:fill="ffffff"/>
        </w:rPr>
        <w:t xml:space="preserve">（产品名称1）</w:t>
      </w:r>
      <w:r>
        <w:rPr>
          <w:rFonts w:hint="eastAsia" w:hAnsi="宋体" w:cs="方正魏碑_GBK"/>
          <w:b w:val="0"/>
          <w:position w:val="0"/>
          <w:sz w:val="21"/>
          <w:szCs w:val="21"/>
          <w:highlight w:val="none"/>
          <w:shd w:val="clear" w:color="auto" w:fill="ffffff"/>
        </w:rPr>
        <w:t xml:space="preserve">的</w:t>
      </w:r>
      <w:r>
        <w:rPr>
          <w:rFonts w:hint="eastAsia" w:hAnsi="宋体" w:cs="方正魏碑_GBK"/>
          <w:b w:val="0"/>
          <w:strike/>
          <w:position w:val="0"/>
          <w:sz w:val="21"/>
          <w:szCs w:val="21"/>
          <w:highlight w:val="none"/>
          <w:u w:val="single"/>
          <w:shd w:val="clear" w:color="auto" w:fill="ffffff"/>
        </w:rPr>
        <w:t xml:space="preserve">（关键</w:t>
      </w:r>
      <w:r>
        <w:rPr>
          <w:rFonts w:hAnsi="宋体" w:cs="方正魏碑_GBK"/>
          <w:b w:val="0"/>
          <w:strike/>
          <w:position w:val="0"/>
          <w:sz w:val="21"/>
          <w:szCs w:val="21"/>
          <w:highlight w:val="none"/>
          <w:u w:val="single"/>
          <w:shd w:val="clear" w:color="auto" w:fill="ffffff"/>
        </w:rPr>
        <w:t xml:space="preserve">组件</w:t>
      </w:r>
      <w:r>
        <w:rPr>
          <w:rFonts w:hint="eastAsia" w:hAnsi="宋体" w:cs="方正魏碑_GBK"/>
          <w:b w:val="0"/>
          <w:strike/>
          <w:position w:val="0"/>
          <w:sz w:val="21"/>
          <w:szCs w:val="21"/>
          <w:highlight w:val="none"/>
          <w:u w:val="single"/>
          <w:shd w:val="clear" w:color="auto" w:fill="ffffff"/>
        </w:rPr>
        <w:t xml:space="preserve">）</w:t>
      </w:r>
      <w:r>
        <w:rPr>
          <w:rFonts w:hint="eastAsia" w:hAnsi="宋体" w:cs="方正魏碑_GBK"/>
          <w:b w:val="0"/>
          <w:position w:val="0"/>
          <w:sz w:val="21"/>
          <w:szCs w:val="21"/>
          <w:highlight w:val="none"/>
          <w:shd w:val="clear" w:color="auto" w:fill="ffffff"/>
          <w:vertAlign w:val="superscript"/>
        </w:rPr>
        <w:t xml:space="preserve">4</w:t>
      </w:r>
      <w:r>
        <w:rPr>
          <w:rFonts w:hint="eastAsia" w:hAnsi="宋体" w:cs="方正魏碑_GBK"/>
          <w:b w:val="0"/>
          <w:position w:val="0"/>
          <w:sz w:val="21"/>
          <w:szCs w:val="21"/>
          <w:highlight w:val="none"/>
          <w:shd w:val="clear" w:color="auto" w:fill="ffffff"/>
        </w:rPr>
        <w:t xml:space="preserve">在中国境内生产。</w:t>
      </w:r>
      <w:r>
        <w:rPr>
          <w:rFonts w:hint="eastAsia" w:hAnsi="宋体" w:cs="方正魏碑_GBK"/>
          <w:b w:val="0"/>
          <w:strike/>
          <w:position w:val="0"/>
          <w:sz w:val="21"/>
          <w:szCs w:val="21"/>
          <w:highlight w:val="none"/>
          <w:u w:val="single"/>
          <w:shd w:val="clear" w:color="auto" w:fill="ffffff"/>
        </w:rPr>
        <w:t xml:space="preserve">（产品名称1）</w:t>
      </w:r>
      <w:r>
        <w:rPr>
          <w:rFonts w:hint="eastAsia" w:hAnsi="宋体" w:cs="方正魏碑_GBK"/>
          <w:b w:val="0"/>
          <w:position w:val="0"/>
          <w:sz w:val="21"/>
          <w:szCs w:val="21"/>
          <w:highlight w:val="none"/>
          <w:shd w:val="clear" w:color="auto" w:fill="ffffff"/>
        </w:rPr>
        <w:t xml:space="preserve">的</w:t>
      </w:r>
      <w:r>
        <w:rPr>
          <w:rFonts w:hint="eastAsia" w:hAnsi="宋体" w:cs="方正魏碑_GBK"/>
          <w:b w:val="0"/>
          <w:strike/>
          <w:position w:val="0"/>
          <w:sz w:val="21"/>
          <w:szCs w:val="21"/>
          <w:highlight w:val="none"/>
          <w:u w:val="single"/>
          <w:shd w:val="clear" w:color="auto" w:fill="ffffff"/>
        </w:rPr>
        <w:t xml:space="preserve">（关键工序）</w:t>
      </w:r>
      <w:r>
        <w:rPr>
          <w:rFonts w:hint="eastAsia" w:hAnsi="宋体" w:cs="方正魏碑_GBK"/>
          <w:b w:val="0"/>
          <w:position w:val="0"/>
          <w:sz w:val="21"/>
          <w:szCs w:val="21"/>
          <w:highlight w:val="none"/>
          <w:shd w:val="clear" w:color="auto" w:fill="ffffff"/>
          <w:vertAlign w:val="superscript"/>
        </w:rPr>
        <w:t xml:space="preserve">5</w:t>
      </w:r>
      <w:r>
        <w:rPr>
          <w:rFonts w:hint="eastAsia" w:hAnsi="宋体" w:cs="方正魏碑_GBK"/>
          <w:b w:val="0"/>
          <w:position w:val="0"/>
          <w:sz w:val="21"/>
          <w:szCs w:val="21"/>
          <w:highlight w:val="none"/>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highlight w:val="none"/>
        </w:rPr>
      </w:pPr>
      <w:r>
        <w:rPr>
          <w:rFonts w:hint="eastAsia" w:hAnsi="宋体" w:cs="方正魏碑_GBK"/>
          <w:b w:val="0"/>
          <w:position w:val="0"/>
          <w:sz w:val="21"/>
          <w:szCs w:val="21"/>
          <w:highlight w:val="none"/>
          <w:shd w:val="clear" w:color="auto" w:fill="ffffff"/>
        </w:rPr>
        <w:t xml:space="preserve">2.</w:t>
      </w:r>
      <w:r>
        <w:rPr>
          <w:rFonts w:hint="eastAsia" w:hAnsi="宋体" w:cs="方正魏碑_GBK"/>
          <w:b w:val="0"/>
          <w:position w:val="0"/>
          <w:sz w:val="21"/>
          <w:szCs w:val="21"/>
          <w:highlight w:val="none"/>
          <w:u w:val="single"/>
          <w:shd w:val="clear" w:color="auto" w:fill="ffffff"/>
        </w:rPr>
        <w:t xml:space="preserve">（产品名称2）</w:t>
      </w:r>
      <w:r>
        <w:rPr>
          <w:rFonts w:hint="eastAsia" w:hAnsi="宋体" w:cs="方正魏碑_GBK"/>
          <w:b w:val="0"/>
          <w:position w:val="0"/>
          <w:sz w:val="21"/>
          <w:szCs w:val="21"/>
          <w:highlight w:val="none"/>
          <w:shd w:val="clear" w:color="auto" w:fill="ffffff"/>
        </w:rPr>
        <w:t xml:space="preserve">，生产厂为</w:t>
      </w:r>
      <w:r>
        <w:rPr>
          <w:rFonts w:hint="eastAsia" w:hAnsi="宋体" w:cs="方正魏碑_GBK"/>
          <w:b w:val="0"/>
          <w:position w:val="0"/>
          <w:sz w:val="21"/>
          <w:szCs w:val="21"/>
          <w:highlight w:val="none"/>
          <w:u w:val="single"/>
          <w:shd w:val="clear" w:color="auto" w:fill="ffffff"/>
        </w:rPr>
        <w:t xml:space="preserve">（厂名）</w:t>
      </w:r>
      <w:r>
        <w:rPr>
          <w:rFonts w:hint="eastAsia" w:hAnsi="宋体" w:cs="方正魏碑_GBK"/>
          <w:b w:val="0"/>
          <w:position w:val="0"/>
          <w:sz w:val="21"/>
          <w:szCs w:val="21"/>
          <w:highlight w:val="none"/>
          <w:shd w:val="clear" w:color="auto" w:fill="ffffff"/>
        </w:rPr>
        <w:t xml:space="preserve">，厂址为</w:t>
      </w:r>
      <w:r>
        <w:rPr>
          <w:rFonts w:hint="eastAsia" w:hAnsi="宋体" w:cs="方正魏碑_GBK"/>
          <w:b w:val="0"/>
          <w:position w:val="0"/>
          <w:sz w:val="21"/>
          <w:szCs w:val="21"/>
          <w:highlight w:val="none"/>
          <w:u w:val="single"/>
          <w:shd w:val="clear" w:color="auto" w:fill="ffffff"/>
        </w:rPr>
        <w:t xml:space="preserve">（生产厂址）</w:t>
      </w:r>
      <w:r>
        <w:rPr>
          <w:rFonts w:hint="eastAsia" w:hAnsi="宋体" w:cs="方正魏碑_GBK"/>
          <w:b w:val="0"/>
          <w:position w:val="0"/>
          <w:sz w:val="21"/>
          <w:szCs w:val="21"/>
          <w:highlight w:val="none"/>
          <w:shd w:val="clear" w:color="auto" w:fill="ffffff"/>
        </w:rPr>
        <w:t xml:space="preserve">。</w:t>
      </w:r>
      <w:r>
        <w:rPr>
          <w:rFonts w:hint="eastAsia" w:hAnsi="宋体" w:cs="方正魏碑_GBK"/>
          <w:b w:val="0"/>
          <w:strike/>
          <w:position w:val="0"/>
          <w:sz w:val="21"/>
          <w:szCs w:val="21"/>
          <w:highlight w:val="none"/>
          <w:u w:val="single"/>
          <w:shd w:val="clear" w:color="auto" w:fill="ffffff"/>
        </w:rPr>
        <w:t xml:space="preserve">（产品名称2）</w:t>
      </w:r>
      <w:r>
        <w:rPr>
          <w:rFonts w:hint="eastAsia" w:hAnsi="宋体" w:cs="方正魏碑_GBK"/>
          <w:b w:val="0"/>
          <w:position w:val="0"/>
          <w:sz w:val="21"/>
          <w:szCs w:val="21"/>
          <w:highlight w:val="none"/>
          <w:shd w:val="clear" w:color="auto" w:fill="ffffff"/>
        </w:rPr>
        <w:t xml:space="preserve">的中国境内生产的组件成本占比≥</w:t>
      </w:r>
      <w:r>
        <w:rPr>
          <w:rFonts w:hint="eastAsia" w:hAnsi="宋体" w:cs="方正魏碑_GBK"/>
          <w:b w:val="0"/>
          <w:strike/>
          <w:position w:val="0"/>
          <w:sz w:val="21"/>
          <w:szCs w:val="21"/>
          <w:highlight w:val="none"/>
          <w:u w:val="single"/>
          <w:shd w:val="clear" w:color="auto" w:fill="ffffff"/>
        </w:rPr>
        <w:t xml:space="preserve">（规定</w:t>
      </w:r>
      <w:r>
        <w:rPr>
          <w:rFonts w:hAnsi="宋体" w:cs="方正魏碑_GBK"/>
          <w:b w:val="0"/>
          <w:strike/>
          <w:position w:val="0"/>
          <w:sz w:val="21"/>
          <w:szCs w:val="21"/>
          <w:highlight w:val="none"/>
          <w:u w:val="single"/>
          <w:shd w:val="clear" w:color="auto" w:fill="ffffff"/>
        </w:rPr>
        <w:t xml:space="preserve">比例</w:t>
      </w:r>
      <w:r>
        <w:rPr>
          <w:rFonts w:hint="eastAsia" w:hAnsi="宋体" w:cs="方正魏碑_GBK"/>
          <w:b w:val="0"/>
          <w:strike/>
          <w:position w:val="0"/>
          <w:sz w:val="21"/>
          <w:szCs w:val="21"/>
          <w:highlight w:val="none"/>
          <w:u w:val="single"/>
          <w:shd w:val="clear" w:color="auto" w:fill="ffffff"/>
        </w:rPr>
        <w:t xml:space="preserve">）</w:t>
      </w:r>
      <w:r>
        <w:rPr>
          <w:rFonts w:hint="eastAsia" w:hAnsi="宋体" w:cs="方正魏碑_GBK"/>
          <w:b w:val="0"/>
          <w:position w:val="0"/>
          <w:sz w:val="21"/>
          <w:szCs w:val="21"/>
          <w:highlight w:val="none"/>
          <w:shd w:val="clear" w:color="auto" w:fill="ffffff"/>
        </w:rPr>
        <w:t xml:space="preserve">。</w:t>
      </w:r>
      <w:r>
        <w:rPr>
          <w:rFonts w:hint="eastAsia" w:hAnsi="宋体" w:cs="方正魏碑_GBK"/>
          <w:b w:val="0"/>
          <w:strike/>
          <w:position w:val="0"/>
          <w:sz w:val="21"/>
          <w:szCs w:val="21"/>
          <w:highlight w:val="none"/>
          <w:u w:val="single"/>
          <w:shd w:val="clear" w:color="auto" w:fill="ffffff"/>
        </w:rPr>
        <w:t xml:space="preserve">（产品名称2）</w:t>
      </w:r>
      <w:r>
        <w:rPr>
          <w:rFonts w:hint="eastAsia" w:hAnsi="宋体" w:cs="方正魏碑_GBK"/>
          <w:b w:val="0"/>
          <w:position w:val="0"/>
          <w:sz w:val="21"/>
          <w:szCs w:val="21"/>
          <w:highlight w:val="none"/>
          <w:shd w:val="clear" w:color="auto" w:fill="ffffff"/>
        </w:rPr>
        <w:t xml:space="preserve">的</w:t>
      </w:r>
      <w:r>
        <w:rPr>
          <w:rFonts w:hint="eastAsia" w:hAnsi="宋体" w:cs="方正魏碑_GBK"/>
          <w:b w:val="0"/>
          <w:strike/>
          <w:position w:val="0"/>
          <w:sz w:val="21"/>
          <w:szCs w:val="21"/>
          <w:highlight w:val="none"/>
          <w:u w:val="single"/>
          <w:shd w:val="clear" w:color="auto" w:fill="ffffff"/>
        </w:rPr>
        <w:t xml:space="preserve">（关键</w:t>
      </w:r>
      <w:r>
        <w:rPr>
          <w:rFonts w:hAnsi="宋体" w:cs="方正魏碑_GBK"/>
          <w:b w:val="0"/>
          <w:strike/>
          <w:position w:val="0"/>
          <w:sz w:val="21"/>
          <w:szCs w:val="21"/>
          <w:highlight w:val="none"/>
          <w:u w:val="single"/>
          <w:shd w:val="clear" w:color="auto" w:fill="ffffff"/>
        </w:rPr>
        <w:t xml:space="preserve">组件</w:t>
      </w:r>
      <w:r>
        <w:rPr>
          <w:rFonts w:hint="eastAsia" w:hAnsi="宋体" w:cs="方正魏碑_GBK"/>
          <w:b w:val="0"/>
          <w:strike/>
          <w:position w:val="0"/>
          <w:sz w:val="21"/>
          <w:szCs w:val="21"/>
          <w:highlight w:val="none"/>
          <w:u w:val="single"/>
          <w:shd w:val="clear" w:color="auto" w:fill="ffffff"/>
        </w:rPr>
        <w:t xml:space="preserve">）</w:t>
      </w:r>
      <w:r>
        <w:rPr>
          <w:rFonts w:hint="eastAsia" w:hAnsi="宋体" w:cs="方正魏碑_GBK"/>
          <w:b w:val="0"/>
          <w:position w:val="0"/>
          <w:sz w:val="21"/>
          <w:szCs w:val="21"/>
          <w:highlight w:val="none"/>
          <w:shd w:val="clear" w:color="auto" w:fill="ffffff"/>
        </w:rPr>
        <w:t xml:space="preserve">在中国境内生产。</w:t>
      </w:r>
      <w:r>
        <w:rPr>
          <w:rFonts w:hint="eastAsia" w:hAnsi="宋体" w:cs="方正魏碑_GBK"/>
          <w:b w:val="0"/>
          <w:strike/>
          <w:position w:val="0"/>
          <w:sz w:val="21"/>
          <w:szCs w:val="21"/>
          <w:highlight w:val="none"/>
          <w:u w:val="single"/>
          <w:shd w:val="clear" w:color="auto" w:fill="ffffff"/>
        </w:rPr>
        <w:t xml:space="preserve">（产品名称</w:t>
      </w:r>
      <w:r>
        <w:rPr>
          <w:rFonts w:hint="eastAsia" w:hAnsi="宋体" w:cs="方正魏碑_GBK"/>
          <w:b w:val="0"/>
          <w:strike/>
          <w:position w:val="0"/>
          <w:sz w:val="21"/>
          <w:szCs w:val="21"/>
          <w:highlight w:val="none"/>
          <w:u w:val="single"/>
          <w:shd w:val="clear" w:color="auto" w:fill="ffffff"/>
          <w:lang w:val="en-US" w:eastAsia="zh-CN"/>
        </w:rPr>
        <w:t xml:space="preserve">2</w:t>
      </w:r>
      <w:r>
        <w:rPr>
          <w:rFonts w:hint="eastAsia" w:hAnsi="宋体" w:cs="方正魏碑_GBK"/>
          <w:b w:val="0"/>
          <w:strike/>
          <w:position w:val="0"/>
          <w:sz w:val="21"/>
          <w:szCs w:val="21"/>
          <w:highlight w:val="none"/>
          <w:u w:val="single"/>
          <w:shd w:val="clear" w:color="auto" w:fill="ffffff"/>
        </w:rPr>
        <w:t xml:space="preserve">）</w:t>
      </w:r>
      <w:r>
        <w:rPr>
          <w:rFonts w:hint="eastAsia" w:hAnsi="宋体" w:cs="方正魏碑_GBK"/>
          <w:b w:val="0"/>
          <w:position w:val="0"/>
          <w:sz w:val="21"/>
          <w:szCs w:val="21"/>
          <w:highlight w:val="none"/>
          <w:shd w:val="clear" w:color="auto" w:fill="ffffff"/>
        </w:rPr>
        <w:t xml:space="preserve">的</w:t>
      </w:r>
      <w:r>
        <w:rPr>
          <w:rFonts w:hint="eastAsia" w:hAnsi="宋体" w:cs="方正魏碑_GBK"/>
          <w:b w:val="0"/>
          <w:strike/>
          <w:position w:val="0"/>
          <w:sz w:val="21"/>
          <w:szCs w:val="21"/>
          <w:highlight w:val="none"/>
          <w:u w:val="single"/>
          <w:shd w:val="clear" w:color="auto" w:fill="ffffff"/>
        </w:rPr>
        <w:t xml:space="preserve">（关键工序）</w:t>
      </w:r>
      <w:r>
        <w:rPr>
          <w:rFonts w:hint="eastAsia" w:hAnsi="宋体" w:cs="方正魏碑_GBK"/>
          <w:b w:val="0"/>
          <w:position w:val="0"/>
          <w:sz w:val="21"/>
          <w:szCs w:val="21"/>
          <w:highlight w:val="none"/>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highlight w:val="none"/>
        </w:rPr>
      </w:pPr>
      <w:r>
        <w:rPr>
          <w:rFonts w:hint="eastAsia" w:hAnsi="宋体" w:cs="方正魏碑_GBK"/>
          <w:b w:val="0"/>
          <w:position w:val="0"/>
          <w:sz w:val="21"/>
          <w:szCs w:val="21"/>
          <w:highlight w:val="none"/>
          <w:shd w:val="clear" w:color="auto" w:fill="ffffff"/>
        </w:rPr>
        <w:t xml:space="preserve">……</w:t>
      </w:r>
      <w:r/>
    </w:p>
    <w:p>
      <w:pPr>
        <w:ind w:firstLine="420"/>
        <w:spacing w:before="30" w:after="30" w:line="360" w:lineRule="auto"/>
        <w:rPr>
          <w:rFonts w:hint="eastAsia" w:hAnsi="宋体" w:cs="方正魏碑_GBK"/>
          <w:b w:val="0"/>
          <w:position w:val="0"/>
          <w:sz w:val="21"/>
          <w:szCs w:val="21"/>
          <w:highlight w:val="none"/>
        </w:rPr>
      </w:pPr>
      <w:r>
        <w:rPr>
          <w:rFonts w:hint="eastAsia" w:hAnsi="宋体" w:cs="方正魏碑_GBK"/>
          <w:b w:val="0"/>
          <w:position w:val="0"/>
          <w:sz w:val="21"/>
          <w:szCs w:val="21"/>
          <w:highlight w:val="none"/>
          <w:shd w:val="clear" w:color="auto" w:fill="ffffff"/>
        </w:rPr>
        <w:t xml:space="preserve">本公司（单位）对上述声明内容的真实性负责。如有虚假，愿承担相应法律责任。</w:t>
      </w:r>
      <w:r/>
    </w:p>
    <w:p>
      <w:pPr>
        <w:spacing w:before="30" w:after="30" w:line="360" w:lineRule="auto"/>
        <w:rPr>
          <w:rFonts w:hint="eastAsia" w:hAnsi="宋体" w:cs="方正魏碑_GBK"/>
          <w:b w:val="0"/>
          <w:position w:val="0"/>
          <w:sz w:val="21"/>
          <w:szCs w:val="21"/>
          <w:highlight w:val="none"/>
        </w:rPr>
      </w:pPr>
      <w:r>
        <w:rPr>
          <w:rFonts w:hint="eastAsia" w:hAnsi="宋体" w:cs="方正魏碑_GBK"/>
          <w:b w:val="0"/>
          <w:position w:val="0"/>
          <w:sz w:val="21"/>
          <w:szCs w:val="21"/>
          <w:highlight w:val="none"/>
        </w:rPr>
      </w:r>
      <w:r/>
    </w:p>
    <w:p>
      <w:pPr>
        <w:ind w:right="1560" w:firstLine="444"/>
        <w:jc w:val="center"/>
        <w:spacing w:line="360" w:lineRule="auto"/>
        <w:tabs>
          <w:tab w:val="left" w:pos="4860" w:leader="none"/>
        </w:tabs>
        <w:rPr>
          <w:rFonts w:hint="eastAsia" w:hAnsi="宋体"/>
          <w:b w:val="0"/>
          <w:position w:val="0"/>
          <w:sz w:val="21"/>
          <w:szCs w:val="21"/>
          <w:highlight w:val="none"/>
        </w:rPr>
      </w:pPr>
      <w:r>
        <w:rPr>
          <w:rFonts w:hint="eastAsia" w:hAnsi="宋体"/>
          <w:b w:val="0"/>
          <w:spacing w:val="6"/>
          <w:position w:val="0"/>
          <w:sz w:val="21"/>
          <w:szCs w:val="21"/>
          <w:highlight w:val="none"/>
        </w:rPr>
        <w:t xml:space="preserve">           </w:t>
      </w:r>
      <w:r>
        <w:rPr>
          <w:rFonts w:hint="eastAsia" w:hAnsi="宋体"/>
          <w:b w:val="0"/>
          <w:position w:val="0"/>
          <w:sz w:val="21"/>
          <w:szCs w:val="21"/>
          <w:highlight w:val="none"/>
        </w:rPr>
        <w:t xml:space="preserve">               投标人名称（盖章）：</w:t>
      </w:r>
      <w:r/>
    </w:p>
    <w:p>
      <w:pPr>
        <w:ind w:right="1560" w:firstLine="420"/>
        <w:jc w:val="center"/>
        <w:spacing w:line="360" w:lineRule="auto"/>
        <w:tabs>
          <w:tab w:val="left" w:pos="4860" w:leader="none"/>
        </w:tabs>
        <w:rPr>
          <w:rFonts w:hint="eastAsia" w:hAnsi="宋体"/>
          <w:b w:val="0"/>
          <w:position w:val="0"/>
          <w:sz w:val="21"/>
          <w:szCs w:val="21"/>
          <w:highlight w:val="none"/>
        </w:rPr>
      </w:pPr>
      <w:r>
        <w:rPr>
          <w:rFonts w:hint="eastAsia" w:hAnsi="宋体"/>
          <w:b w:val="0"/>
          <w:position w:val="0"/>
          <w:sz w:val="21"/>
          <w:szCs w:val="21"/>
          <w:highlight w:val="none"/>
        </w:rPr>
        <w:t xml:space="preserve">                              日  期：</w:t>
      </w:r>
      <w:r/>
    </w:p>
    <w:p>
      <w:pPr>
        <w:jc w:val="center"/>
        <w:spacing w:before="30" w:after="30" w:line="360" w:lineRule="auto"/>
        <w:rPr>
          <w:rFonts w:hint="eastAsia" w:hAnsi="宋体" w:cs="方正魏碑_GBK"/>
          <w:b w:val="0"/>
          <w:position w:val="0"/>
          <w:sz w:val="21"/>
          <w:szCs w:val="21"/>
          <w:highlight w:val="none"/>
        </w:rPr>
      </w:pPr>
      <w:r>
        <w:rPr>
          <w:rFonts w:hint="eastAsia" w:hAnsi="宋体" w:cs="方正魏碑_GBK"/>
          <w:b w:val="0"/>
          <w:position w:val="0"/>
          <w:sz w:val="21"/>
          <w:szCs w:val="21"/>
          <w:highlight w:val="none"/>
          <w:shd w:val="clear" w:color="auto" w:fill="ffffff"/>
        </w:rPr>
        <w:t xml:space="preserve">   </w:t>
      </w:r>
      <w:r/>
    </w:p>
    <w:p>
      <w:pPr>
        <w:spacing w:before="30" w:after="30" w:line="360" w:lineRule="auto"/>
        <w:rPr>
          <w:rFonts w:hint="eastAsia" w:hAnsi="宋体" w:cs="方正魏碑_GBK"/>
          <w:b w:val="0"/>
          <w:position w:val="0"/>
          <w:sz w:val="21"/>
          <w:szCs w:val="21"/>
          <w:highlight w:val="none"/>
        </w:rPr>
      </w:pPr>
      <w:r>
        <w:rPr>
          <w:rFonts w:hint="eastAsia" w:hAnsi="宋体" w:cs="方正魏碑_GBK"/>
          <w:b w:val="0"/>
          <w:position w:val="0"/>
          <w:sz w:val="21"/>
          <w:szCs w:val="21"/>
          <w:highlight w:val="none"/>
          <w:shd w:val="clear" w:color="auto" w:fill="ffffff"/>
        </w:rPr>
        <w:t xml:space="preserve">__________________</w:t>
      </w:r>
      <w:r/>
    </w:p>
    <w:p>
      <w:pPr>
        <w:spacing w:before="30" w:after="30" w:line="360" w:lineRule="auto"/>
        <w:rPr>
          <w:rFonts w:hint="eastAsia" w:hAnsi="宋体" w:cs="方正魏碑_GBK"/>
          <w:b w:val="0"/>
          <w:position w:val="0"/>
          <w:sz w:val="21"/>
          <w:szCs w:val="21"/>
          <w:highlight w:val="none"/>
        </w:rPr>
      </w:pPr>
      <w:r>
        <w:rPr>
          <w:rFonts w:hint="eastAsia" w:hAnsi="宋体" w:cs="方正魏碑_GBK"/>
          <w:b w:val="0"/>
          <w:position w:val="0"/>
          <w:sz w:val="21"/>
          <w:szCs w:val="21"/>
          <w:highlight w:val="none"/>
          <w:shd w:val="clear" w:color="auto" w:fill="ffffff"/>
        </w:rPr>
        <w:t xml:space="preserve">1.产品如有型号，请在“产品名称”栏一并填写。</w:t>
      </w:r>
      <w:r/>
    </w:p>
    <w:p>
      <w:pPr>
        <w:spacing w:before="30" w:after="30" w:line="360" w:lineRule="auto"/>
        <w:rPr>
          <w:rFonts w:hint="eastAsia" w:hAnsi="宋体" w:cs="方正魏碑_GBK"/>
          <w:b w:val="0"/>
          <w:position w:val="0"/>
          <w:sz w:val="21"/>
          <w:szCs w:val="21"/>
          <w:highlight w:val="none"/>
        </w:rPr>
      </w:pPr>
      <w:r>
        <w:rPr>
          <w:rFonts w:hint="eastAsia" w:hAnsi="宋体" w:cs="方正魏碑_GBK"/>
          <w:b w:val="0"/>
          <w:position w:val="0"/>
          <w:sz w:val="21"/>
          <w:szCs w:val="21"/>
          <w:highlight w:val="none"/>
          <w:shd w:val="clear" w:color="auto" w:fill="ffffff"/>
        </w:rPr>
        <w:t xml:space="preserve">2.生产厂名与厂址应与生产厂营业执照载明的相关信息保持一致。</w:t>
      </w:r>
      <w:r/>
    </w:p>
    <w:p>
      <w:pPr>
        <w:spacing w:before="30" w:after="30" w:line="360" w:lineRule="auto"/>
        <w:rPr>
          <w:rFonts w:hint="eastAsia" w:hAnsi="宋体" w:cs="方正魏碑_GBK"/>
          <w:b w:val="0"/>
          <w:position w:val="0"/>
          <w:sz w:val="21"/>
          <w:szCs w:val="21"/>
          <w:highlight w:val="none"/>
        </w:rPr>
      </w:pPr>
      <w:r>
        <w:rPr>
          <w:rFonts w:hint="eastAsia" w:hAnsi="宋体" w:cs="方正魏碑_GBK"/>
          <w:b w:val="0"/>
          <w:position w:val="0"/>
          <w:sz w:val="21"/>
          <w:szCs w:val="21"/>
          <w:highlight w:val="none"/>
          <w:shd w:val="clear" w:color="auto" w:fill="ffffff"/>
        </w:rPr>
        <w:t xml:space="preserve">3.该产品的中国境内生产的组件成本占比相关要求实施前，“规定比例”栏可不填，下同。</w:t>
      </w:r>
      <w:r/>
    </w:p>
    <w:p>
      <w:pPr>
        <w:spacing w:before="30" w:after="30" w:line="360" w:lineRule="auto"/>
        <w:rPr>
          <w:rFonts w:hint="eastAsia" w:hAnsi="宋体" w:cs="方正魏碑_GBK"/>
          <w:b w:val="0"/>
          <w:position w:val="0"/>
          <w:sz w:val="21"/>
          <w:szCs w:val="21"/>
          <w:highlight w:val="none"/>
        </w:rPr>
      </w:pPr>
      <w:r>
        <w:rPr>
          <w:rFonts w:hint="eastAsia" w:hAnsi="宋体" w:cs="方正魏碑_GBK"/>
          <w:b w:val="0"/>
          <w:position w:val="0"/>
          <w:sz w:val="21"/>
          <w:szCs w:val="21"/>
          <w:highlight w:val="none"/>
          <w:shd w:val="clear" w:color="auto" w:fill="ffffff"/>
        </w:rPr>
        <w:t xml:space="preserve">4.该产品的关键组件要求实施前，“关键组件”栏可不填，下同。</w:t>
      </w:r>
      <w:r/>
    </w:p>
    <w:p>
      <w:pPr>
        <w:spacing w:before="30" w:after="30" w:line="360" w:lineRule="auto"/>
        <w:rPr>
          <w:rFonts w:hint="eastAsia" w:hAnsi="宋体" w:cs="方正魏碑_GBK"/>
          <w:b w:val="0"/>
          <w:position w:val="0"/>
          <w:sz w:val="21"/>
          <w:szCs w:val="21"/>
          <w:highlight w:val="none"/>
          <w:shd w:val="clear" w:color="auto" w:fill="ffffff"/>
        </w:rPr>
      </w:pPr>
      <w:r>
        <w:rPr>
          <w:rFonts w:hint="eastAsia" w:hAnsi="宋体" w:cs="方正魏碑_GBK"/>
          <w:b w:val="0"/>
          <w:position w:val="0"/>
          <w:sz w:val="21"/>
          <w:szCs w:val="21"/>
          <w:highlight w:val="none"/>
          <w:shd w:val="clear" w:color="auto" w:fill="ffffff"/>
        </w:rPr>
        <w:t xml:space="preserve">5.该产品的关键工序要求实施前，“关键工序”栏可不填，下同。</w:t>
      </w:r>
      <w:r/>
    </w:p>
    <w:p>
      <w:pPr>
        <w:spacing w:before="30" w:after="30" w:line="360" w:lineRule="auto"/>
        <w:rPr>
          <w:rFonts w:hint="eastAsia" w:hAnsi="宋体" w:eastAsia="宋体" w:cs="方正魏碑_GBK"/>
          <w:b w:val="0"/>
          <w:position w:val="0"/>
          <w:sz w:val="21"/>
          <w:szCs w:val="21"/>
          <w:highlight w:val="none"/>
          <w:shd w:val="clear" w:color="auto" w:fill="ffffff"/>
        </w:rPr>
      </w:pPr>
      <w:r>
        <w:rPr>
          <w:rFonts w:hint="eastAsia" w:hAnsi="宋体" w:cs="方正魏碑_GBK"/>
          <w:b w:val="0"/>
          <w:position w:val="0"/>
          <w:sz w:val="21"/>
          <w:szCs w:val="21"/>
          <w:highlight w:val="none"/>
          <w:shd w:val="clear" w:color="auto" w:fill="ffffff"/>
        </w:rPr>
        <w:t xml:space="preserve">6.用斜线</w:t>
      </w:r>
      <w:r>
        <w:rPr>
          <w:rFonts w:hint="eastAsia" w:hAnsi="宋体" w:cs="方正魏碑_GBK"/>
          <w:b w:val="0"/>
          <w:position w:val="0"/>
          <w:sz w:val="21"/>
          <w:szCs w:val="21"/>
          <w:highlight w:val="none"/>
          <w:shd w:val="clear" w:color="auto" w:fill="ffffff"/>
          <w:lang w:eastAsia="zh-CN"/>
        </w:rPr>
        <w:t xml:space="preserve">（</w:t>
      </w:r>
      <w:r>
        <w:rPr>
          <w:rFonts w:hint="eastAsia" w:hAnsi="宋体" w:cs="方正魏碑_GBK"/>
          <w:b w:val="0"/>
          <w:position w:val="0"/>
          <w:sz w:val="21"/>
          <w:szCs w:val="21"/>
          <w:highlight w:val="none"/>
          <w:shd w:val="clear" w:color="auto" w:fill="ffffff"/>
          <w:lang w:val="en-US" w:eastAsia="zh-CN"/>
        </w:rPr>
        <w:t xml:space="preserve">因系统文件格式原因，本格式模板中为“删除线”</w:t>
      </w:r>
      <w:r>
        <w:rPr>
          <w:rFonts w:hint="eastAsia" w:hAnsi="宋体" w:cs="方正魏碑_GBK"/>
          <w:b w:val="0"/>
          <w:position w:val="0"/>
          <w:sz w:val="21"/>
          <w:szCs w:val="21"/>
          <w:highlight w:val="none"/>
          <w:shd w:val="clear" w:color="auto" w:fill="ffffff"/>
          <w:lang w:eastAsia="zh-CN"/>
        </w:rPr>
        <w:t xml:space="preserve">）</w:t>
      </w:r>
      <w:r>
        <w:rPr>
          <w:rFonts w:hint="eastAsia" w:hAnsi="宋体" w:cs="方正魏碑_GBK"/>
          <w:b w:val="0"/>
          <w:position w:val="0"/>
          <w:sz w:val="21"/>
          <w:szCs w:val="21"/>
          <w:highlight w:val="none"/>
          <w:shd w:val="clear" w:color="auto" w:fill="ffffff"/>
        </w:rPr>
        <w:t xml:space="preserve">划除的地方无需填写。</w:t>
      </w:r>
      <w:r/>
    </w:p>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r>
      <w:bookmarkEnd w:id="120"/>
      <w:r/>
    </w:p>
    <w:sectPr>
      <w:headerReference w:type="default" r:id="rId9"/>
      <w:footerReference w:type="default" r:id="rId10"/>
      <w:footnotePr/>
      <w:endnotePr/>
      <w:type w:val="nextPage"/>
      <w:pgSz w:w="11906" w:h="16838" w:orient="portrait"/>
      <w:pgMar w:top="1440" w:right="1701" w:bottom="1440" w:left="170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汉仪雅酷黑简">
    <w:panose1 w:val="020B0503020202020204"/>
  </w:font>
  <w:font w:name="Cambria">
    <w:panose1 w:val="02040503050406030204"/>
  </w:font>
  <w:font w:name="方正黑体_GBK">
    <w:panose1 w:val="020B0503020202020204"/>
  </w:font>
  <w:font w:name="Miss Sweetie">
    <w:panose1 w:val="020B0503020202020204"/>
  </w:font>
  <w:font w:name="Wingdings">
    <w:panose1 w:val="05000000000000000000"/>
  </w:font>
  <w:font w:name="方正小标宋_GBK">
    <w:panose1 w:val="020B0503020202020204"/>
  </w:font>
  <w:font w:name="华文细黑">
    <w:panose1 w:val="02010600040101010101"/>
  </w:font>
  <w:font w:name="方正仿宋简体">
    <w:panose1 w:val="020B0503020202020204"/>
  </w:font>
  <w:font w:name="Tahoma">
    <w:panose1 w:val="020B0604030504040204"/>
  </w:font>
  <w:font w:name="Symbol">
    <w:panose1 w:val="05050102010706020507"/>
  </w:font>
  <w:font w:name="新宋体">
    <w:panose1 w:val="02010609030101010101"/>
  </w:font>
  <w:font w:name="等线">
    <w:panose1 w:val="02010600030101010101"/>
  </w:font>
  <w:font w:name="等线 Light">
    <w:panose1 w:val="02010600030101010101"/>
  </w:font>
  <w:font w:name="仿宋">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楷体_GB2312">
    <w:panose1 w:val="02010609060101010101"/>
  </w:font>
  <w:font w:name="Bell MT">
    <w:panose1 w:val="02020503060305020303"/>
  </w:font>
  <w:font w:name="微软雅黑">
    <w:panose1 w:val="020B0503020204020204"/>
  </w:font>
  <w:font w:name="Helvetica Neue">
    <w:panose1 w:val="020B0503020202020204"/>
  </w:font>
  <w:font w:name="Calibri">
    <w:panose1 w:val="020F050202020403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Times New Roman" w:hAnsi="Times New Roman" w:eastAsia="宋体"/>
        <w:sz w:val="21"/>
        <w:szCs w:val="21"/>
      </w:rPr>
    </w:pPr>
    <w:r>
      <w:rPr>
        <w:rFonts w:ascii="Times New Roman" w:hAnsi="Times New Roman" w:eastAsia="宋体"/>
        <w:sz w:val="21"/>
        <w:szCs w:val="21"/>
      </w:rPr>
      <w:fldChar w:fldCharType="begin"/>
    </w:r>
    <w:r>
      <w:instrText xml:space="preserve"> PAGE </w:instrText>
    </w:r>
    <w:r>
      <w:fldChar w:fldCharType="separate"/>
    </w:r>
    <w:r>
      <w:rPr>
        <w:sz w:val="21"/>
        <w:szCs w:val="21"/>
      </w:rP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5.%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upperLetter"/>
      <w:pStyle w:val="108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9.%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4.%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8.%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pStyle w:val="1053"/>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20">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chineseCounting"/>
      <w:isLgl w:val="false"/>
      <w:suff w:val="nothing"/>
      <w:lvlText w:val="（%1）"/>
      <w:lvlJc w:val="left"/>
      <w:pPr>
        <w:ind w:left="0" w:firstLine="4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6.%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0.%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5.%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7.%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4.%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pStyle w:val="109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7">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1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5.%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9"/>
  </w:num>
  <w:num w:numId="2">
    <w:abstractNumId w:val="13"/>
  </w:num>
  <w:num w:numId="3">
    <w:abstractNumId w:val="36"/>
  </w:num>
  <w:num w:numId="4">
    <w:abstractNumId w:val="11"/>
  </w:num>
  <w:num w:numId="5">
    <w:abstractNumId w:val="8"/>
  </w:num>
  <w:num w:numId="6">
    <w:abstractNumId w:val="21"/>
  </w:num>
  <w:num w:numId="7">
    <w:abstractNumId w:val="26"/>
  </w:num>
  <w:num w:numId="8">
    <w:abstractNumId w:val="41"/>
  </w:num>
  <w:num w:numId="9">
    <w:abstractNumId w:val="20"/>
  </w:num>
  <w:num w:numId="10">
    <w:abstractNumId w:val="4"/>
  </w:num>
  <w:num w:numId="11">
    <w:abstractNumId w:val="27"/>
  </w:num>
  <w:num w:numId="12">
    <w:abstractNumId w:val="37"/>
  </w:num>
  <w:num w:numId="13">
    <w:abstractNumId w:val="12"/>
  </w:num>
  <w:num w:numId="14">
    <w:abstractNumId w:val="33"/>
  </w:num>
  <w:num w:numId="15">
    <w:abstractNumId w:val="17"/>
  </w:num>
  <w:num w:numId="16">
    <w:abstractNumId w:val="25"/>
  </w:num>
  <w:num w:numId="17">
    <w:abstractNumId w:val="15"/>
  </w:num>
  <w:num w:numId="18">
    <w:abstractNumId w:val="14"/>
  </w:num>
  <w:num w:numId="19">
    <w:abstractNumId w:val="6"/>
  </w:num>
  <w:num w:numId="20">
    <w:abstractNumId w:val="31"/>
  </w:num>
  <w:num w:numId="21">
    <w:abstractNumId w:val="39"/>
  </w:num>
  <w:num w:numId="22">
    <w:abstractNumId w:val="22"/>
  </w:num>
  <w:num w:numId="23">
    <w:abstractNumId w:val="30"/>
  </w:num>
  <w:num w:numId="24">
    <w:abstractNumId w:val="7"/>
  </w:num>
  <w:num w:numId="25">
    <w:abstractNumId w:val="45"/>
  </w:num>
  <w:num w:numId="26">
    <w:abstractNumId w:val="43"/>
  </w:num>
  <w:num w:numId="27">
    <w:abstractNumId w:val="10"/>
  </w:num>
  <w:num w:numId="28">
    <w:abstractNumId w:val="40"/>
  </w:num>
  <w:num w:numId="29">
    <w:abstractNumId w:val="5"/>
  </w:num>
  <w:num w:numId="30">
    <w:abstractNumId w:val="29"/>
  </w:num>
  <w:num w:numId="31">
    <w:abstractNumId w:val="2"/>
  </w:num>
  <w:num w:numId="32">
    <w:abstractNumId w:val="35"/>
  </w:num>
  <w:num w:numId="33">
    <w:abstractNumId w:val="46"/>
  </w:num>
  <w:num w:numId="34">
    <w:abstractNumId w:val="0"/>
  </w:num>
  <w:num w:numId="35">
    <w:abstractNumId w:val="24"/>
  </w:num>
  <w:num w:numId="36">
    <w:abstractNumId w:val="34"/>
  </w:num>
  <w:num w:numId="37">
    <w:abstractNumId w:val="18"/>
  </w:num>
  <w:num w:numId="38">
    <w:abstractNumId w:val="16"/>
  </w:num>
  <w:num w:numId="39">
    <w:abstractNumId w:val="28"/>
  </w:num>
  <w:num w:numId="40">
    <w:abstractNumId w:val="44"/>
  </w:num>
  <w:num w:numId="41">
    <w:abstractNumId w:val="9"/>
  </w:num>
  <w:num w:numId="42">
    <w:abstractNumId w:val="1"/>
  </w:num>
  <w:num w:numId="43">
    <w:abstractNumId w:val="23"/>
  </w:num>
  <w:num w:numId="44">
    <w:abstractNumId w:val="3"/>
  </w:num>
  <w:num w:numId="45">
    <w:abstractNumId w:val="38"/>
  </w:num>
  <w:num w:numId="46">
    <w:abstractNumId w:val="42"/>
  </w:num>
  <w:num w:numId="4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uiPriority w:val="0"/>
    <w:qFormat/>
    <w:pPr>
      <w:jc w:val="both"/>
      <w:widowControl w:val="off"/>
    </w:pPr>
    <w:rPr>
      <w:rFonts w:hint="default" w:ascii="Times New Roman" w:hAnsi="Times New Roman" w:eastAsia="宋体" w:cs="Times New Roman"/>
      <w:sz w:val="21"/>
      <w:szCs w:val="24"/>
    </w:rPr>
  </w:style>
  <w:style w:type="paragraph" w:styleId="717">
    <w:name w:val="Heading 1"/>
    <w:next w:val="716"/>
    <w:link w:val="793"/>
    <w:uiPriority w:val="0"/>
    <w:qFormat/>
    <w:pPr>
      <w:spacing w:before="240" w:after="120" w:line="360" w:lineRule="auto"/>
      <w:widowControl w:val="off"/>
      <w:outlineLvl w:val="0"/>
    </w:pPr>
    <w:rPr>
      <w:rFonts w:hint="default" w:ascii="宋体" w:hAnsi="宋体" w:eastAsia="宋体" w:cs="宋体"/>
      <w:b/>
      <w:bCs/>
      <w:sz w:val="24"/>
      <w:szCs w:val="30"/>
    </w:rPr>
  </w:style>
  <w:style w:type="paragraph" w:styleId="718">
    <w:name w:val="Heading 2"/>
    <w:basedOn w:val="716"/>
    <w:next w:val="716"/>
    <w:link w:val="983"/>
    <w:uiPriority w:val="0"/>
    <w:qFormat/>
    <w:pPr>
      <w:spacing w:after="120" w:line="360" w:lineRule="auto"/>
      <w:outlineLvl w:val="1"/>
    </w:pPr>
    <w:rPr>
      <w:b/>
      <w:sz w:val="24"/>
    </w:rPr>
  </w:style>
  <w:style w:type="paragraph" w:styleId="719">
    <w:name w:val="Heading 3"/>
    <w:next w:val="716"/>
    <w:link w:val="984"/>
    <w:uiPriority w:val="99"/>
    <w:qFormat/>
    <w:pPr>
      <w:spacing w:after="120" w:line="360" w:lineRule="auto"/>
      <w:widowControl w:val="off"/>
      <w:outlineLvl w:val="2"/>
    </w:pPr>
    <w:rPr>
      <w:rFonts w:hint="default" w:ascii="Times New Roman" w:hAnsi="Times New Roman" w:eastAsia="宋体" w:cs="Times New Roman"/>
      <w:b/>
      <w:sz w:val="24"/>
    </w:rPr>
  </w:style>
  <w:style w:type="paragraph" w:styleId="720">
    <w:name w:val="Heading 4"/>
    <w:next w:val="716"/>
    <w:link w:val="985"/>
    <w:uiPriority w:val="0"/>
    <w:qFormat/>
    <w:pPr>
      <w:spacing w:after="120" w:line="360" w:lineRule="auto"/>
      <w:widowControl w:val="off"/>
      <w:outlineLvl w:val="3"/>
    </w:pPr>
    <w:rPr>
      <w:rFonts w:hint="default" w:ascii="Times New Roman" w:hAnsi="Times New Roman" w:eastAsia="宋体" w:cs="Times New Roman"/>
      <w:sz w:val="24"/>
    </w:rPr>
  </w:style>
  <w:style w:type="paragraph" w:styleId="721">
    <w:name w:val="Heading 5"/>
    <w:next w:val="716"/>
    <w:link w:val="986"/>
    <w:uiPriority w:val="0"/>
    <w:qFormat/>
    <w:pPr>
      <w:spacing w:after="120" w:line="440" w:lineRule="exact"/>
      <w:widowControl w:val="off"/>
      <w:outlineLvl w:val="4"/>
    </w:pPr>
    <w:rPr>
      <w:rFonts w:hint="default" w:ascii="Times New Roman" w:hAnsi="Times New Roman" w:eastAsia="宋体" w:cs="Times New Roman"/>
      <w:sz w:val="24"/>
    </w:rPr>
  </w:style>
  <w:style w:type="paragraph" w:styleId="722">
    <w:name w:val="Heading 6"/>
    <w:next w:val="728"/>
    <w:link w:val="987"/>
    <w:uiPriority w:val="0"/>
    <w:qFormat/>
    <w:pPr>
      <w:spacing w:after="120" w:line="360" w:lineRule="auto"/>
      <w:widowControl w:val="off"/>
      <w:outlineLvl w:val="5"/>
    </w:pPr>
    <w:rPr>
      <w:rFonts w:hint="default" w:ascii="Times New Roman" w:hAnsi="Times New Roman" w:eastAsia="宋体" w:cs="Times New Roman"/>
      <w:sz w:val="24"/>
    </w:rPr>
  </w:style>
  <w:style w:type="paragraph" w:styleId="723">
    <w:name w:val="Heading 7"/>
    <w:next w:val="716"/>
    <w:link w:val="989"/>
    <w:uiPriority w:val="0"/>
    <w:qFormat/>
    <w:pPr>
      <w:spacing w:after="120" w:line="360" w:lineRule="auto"/>
      <w:widowControl w:val="off"/>
      <w:outlineLvl w:val="6"/>
    </w:pPr>
    <w:rPr>
      <w:rFonts w:hint="default" w:ascii="Times New Roman" w:hAnsi="Times New Roman" w:eastAsia="宋体" w:cs="Times New Roman"/>
      <w:sz w:val="24"/>
    </w:rPr>
  </w:style>
  <w:style w:type="paragraph" w:styleId="724">
    <w:name w:val="Heading 8"/>
    <w:next w:val="716"/>
    <w:link w:val="990"/>
    <w:uiPriority w:val="0"/>
    <w:qFormat/>
    <w:pPr>
      <w:spacing w:after="120" w:line="360" w:lineRule="auto"/>
      <w:widowControl w:val="off"/>
      <w:outlineLvl w:val="7"/>
    </w:pPr>
    <w:rPr>
      <w:rFonts w:hint="default" w:ascii="Times New Roman" w:hAnsi="Times New Roman" w:eastAsia="宋体" w:cs="Times New Roman"/>
      <w:sz w:val="24"/>
    </w:rPr>
  </w:style>
  <w:style w:type="paragraph" w:styleId="725">
    <w:name w:val="Heading 9"/>
    <w:next w:val="716"/>
    <w:link w:val="991"/>
    <w:uiPriority w:val="0"/>
    <w:qFormat/>
    <w:pPr>
      <w:spacing w:after="120" w:line="360" w:lineRule="auto"/>
      <w:widowControl w:val="off"/>
      <w:outlineLvl w:val="8"/>
    </w:pPr>
    <w:rPr>
      <w:rFonts w:hint="default" w:ascii="Times New Roman" w:hAnsi="Times New Roman" w:eastAsia="宋体" w:cs="Times New Roman"/>
      <w:sz w:val="24"/>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Normal Indent"/>
    <w:basedOn w:val="716"/>
    <w:link w:val="988"/>
    <w:uiPriority w:val="0"/>
    <w:qFormat/>
    <w:pPr>
      <w:ind w:firstLine="420"/>
    </w:pPr>
    <w:rPr>
      <w:sz w:val="20"/>
      <w:szCs w:val="20"/>
    </w:rPr>
  </w:style>
  <w:style w:type="paragraph" w:styleId="729">
    <w:name w:val="List 3"/>
    <w:basedOn w:val="716"/>
    <w:uiPriority w:val="0"/>
    <w:qFormat/>
    <w:pPr>
      <w:ind w:left="100" w:hanging="200"/>
    </w:pPr>
    <w:rPr>
      <w:szCs w:val="21"/>
    </w:rPr>
  </w:style>
  <w:style w:type="paragraph" w:styleId="730">
    <w:name w:val="toc 7"/>
    <w:basedOn w:val="716"/>
    <w:next w:val="716"/>
    <w:uiPriority w:val="39"/>
    <w:unhideWhenUsed/>
    <w:qFormat/>
    <w:pPr>
      <w:ind w:left="1701"/>
      <w:spacing w:after="57"/>
    </w:pPr>
  </w:style>
  <w:style w:type="paragraph" w:styleId="731">
    <w:name w:val="index 8"/>
    <w:basedOn w:val="716"/>
    <w:next w:val="716"/>
    <w:uiPriority w:val="0"/>
    <w:qFormat/>
    <w:pPr>
      <w:ind w:left="2940"/>
    </w:pPr>
    <w:rPr>
      <w:rFonts w:ascii="Calibri" w:hAnsi="Calibri" w:eastAsia="楷体_GB2312"/>
      <w:sz w:val="26"/>
      <w:szCs w:val="20"/>
    </w:rPr>
  </w:style>
  <w:style w:type="paragraph" w:styleId="732">
    <w:name w:val="Caption"/>
    <w:basedOn w:val="716"/>
    <w:next w:val="716"/>
    <w:uiPriority w:val="35"/>
    <w:semiHidden/>
    <w:unhideWhenUsed/>
    <w:qFormat/>
    <w:pPr>
      <w:spacing w:line="276" w:lineRule="auto"/>
    </w:pPr>
    <w:rPr>
      <w:b/>
      <w:bCs/>
      <w:color w:val="4f81bd"/>
      <w:sz w:val="18"/>
      <w:szCs w:val="18"/>
    </w:rPr>
  </w:style>
  <w:style w:type="paragraph" w:styleId="733">
    <w:name w:val="index 5"/>
    <w:basedOn w:val="716"/>
    <w:next w:val="716"/>
    <w:uiPriority w:val="0"/>
    <w:qFormat/>
    <w:pPr>
      <w:ind w:left="1680"/>
    </w:pPr>
    <w:rPr>
      <w:rFonts w:ascii="Calibri" w:hAnsi="Calibri" w:eastAsia="楷体_GB2312"/>
      <w:sz w:val="26"/>
      <w:szCs w:val="20"/>
    </w:rPr>
  </w:style>
  <w:style w:type="paragraph" w:styleId="734">
    <w:name w:val="Document Map"/>
    <w:basedOn w:val="716"/>
    <w:link w:val="992"/>
    <w:uiPriority w:val="0"/>
    <w:qFormat/>
    <w:pPr>
      <w:shd w:val="clear" w:color="auto" w:fill="000080"/>
    </w:pPr>
    <w:rPr>
      <w:sz w:val="20"/>
    </w:rPr>
  </w:style>
  <w:style w:type="paragraph" w:styleId="735">
    <w:name w:val="toa heading"/>
    <w:basedOn w:val="716"/>
    <w:next w:val="716"/>
    <w:uiPriority w:val="0"/>
    <w:qFormat/>
    <w:rPr>
      <w:rFonts w:ascii="Arial" w:hAnsi="Arial"/>
      <w:sz w:val="24"/>
      <w:szCs w:val="21"/>
    </w:rPr>
  </w:style>
  <w:style w:type="paragraph" w:styleId="736">
    <w:name w:val="annotation text"/>
    <w:basedOn w:val="716"/>
    <w:link w:val="1069"/>
    <w:uiPriority w:val="0"/>
    <w:unhideWhenUsed/>
    <w:qFormat/>
    <w:pPr>
      <w:jc w:val="left"/>
    </w:pPr>
    <w:rPr>
      <w:rFonts w:ascii="Calibri" w:hAnsi="Calibri"/>
      <w:szCs w:val="22"/>
    </w:rPr>
  </w:style>
  <w:style w:type="paragraph" w:styleId="737">
    <w:name w:val="index 6"/>
    <w:basedOn w:val="716"/>
    <w:next w:val="716"/>
    <w:uiPriority w:val="0"/>
    <w:qFormat/>
    <w:pPr>
      <w:ind w:left="2100"/>
    </w:pPr>
    <w:rPr>
      <w:rFonts w:ascii="Calibri" w:hAnsi="Calibri" w:eastAsia="楷体_GB2312"/>
      <w:sz w:val="26"/>
      <w:szCs w:val="20"/>
    </w:rPr>
  </w:style>
  <w:style w:type="paragraph" w:styleId="738">
    <w:name w:val="Body Text 3"/>
    <w:basedOn w:val="716"/>
    <w:link w:val="993"/>
    <w:uiPriority w:val="0"/>
    <w:qFormat/>
    <w:pPr>
      <w:spacing w:after="120"/>
    </w:pPr>
    <w:rPr>
      <w:sz w:val="16"/>
      <w:szCs w:val="16"/>
    </w:rPr>
  </w:style>
  <w:style w:type="paragraph" w:styleId="739">
    <w:name w:val="Body Text"/>
    <w:basedOn w:val="716"/>
    <w:link w:val="994"/>
    <w:uiPriority w:val="0"/>
    <w:qFormat/>
    <w:pPr>
      <w:ind w:firstLine="420"/>
      <w:spacing w:after="120" w:line="360" w:lineRule="auto"/>
    </w:pPr>
    <w:rPr>
      <w:sz w:val="24"/>
    </w:rPr>
  </w:style>
  <w:style w:type="paragraph" w:styleId="740">
    <w:name w:val="Body Text Indent"/>
    <w:basedOn w:val="716"/>
    <w:next w:val="741"/>
    <w:link w:val="995"/>
    <w:uiPriority w:val="0"/>
    <w:qFormat/>
    <w:pPr>
      <w:ind w:left="765"/>
    </w:pPr>
    <w:rPr>
      <w:rFonts w:ascii="仿宋_GB2312" w:eastAsia="仿宋_GB2312"/>
      <w:sz w:val="28"/>
      <w:szCs w:val="20"/>
    </w:rPr>
  </w:style>
  <w:style w:type="paragraph" w:styleId="741">
    <w:name w:val="envelope return"/>
    <w:basedOn w:val="716"/>
    <w:uiPriority w:val="99"/>
    <w:unhideWhenUsed/>
    <w:qFormat/>
    <w:rPr>
      <w:rFonts w:ascii="Arial" w:hAnsi="Arial"/>
      <w:szCs w:val="22"/>
    </w:rPr>
  </w:style>
  <w:style w:type="paragraph" w:styleId="742">
    <w:name w:val="List 2"/>
    <w:basedOn w:val="716"/>
    <w:uiPriority w:val="0"/>
    <w:qFormat/>
    <w:pPr>
      <w:ind w:left="100" w:hanging="200"/>
    </w:pPr>
    <w:rPr>
      <w:szCs w:val="21"/>
    </w:rPr>
  </w:style>
  <w:style w:type="paragraph" w:styleId="743">
    <w:name w:val="Block Text"/>
    <w:basedOn w:val="716"/>
    <w:next w:val="739"/>
    <w:uiPriority w:val="0"/>
    <w:qFormat/>
    <w:pPr>
      <w:ind w:firstLine="640"/>
      <w:jc w:val="left"/>
      <w:spacing w:line="360" w:lineRule="auto"/>
    </w:pPr>
    <w:rPr>
      <w:sz w:val="24"/>
      <w:szCs w:val="22"/>
    </w:rPr>
  </w:style>
  <w:style w:type="paragraph" w:styleId="744">
    <w:name w:val="index 4"/>
    <w:basedOn w:val="716"/>
    <w:next w:val="716"/>
    <w:uiPriority w:val="0"/>
    <w:qFormat/>
    <w:pPr>
      <w:ind w:left="1260"/>
    </w:pPr>
    <w:rPr>
      <w:rFonts w:ascii="Calibri" w:hAnsi="Calibri"/>
      <w:szCs w:val="20"/>
    </w:rPr>
  </w:style>
  <w:style w:type="paragraph" w:styleId="745">
    <w:name w:val="toc 5"/>
    <w:basedOn w:val="716"/>
    <w:next w:val="716"/>
    <w:uiPriority w:val="39"/>
    <w:unhideWhenUsed/>
    <w:qFormat/>
    <w:pPr>
      <w:ind w:left="1134"/>
      <w:spacing w:after="57"/>
    </w:pPr>
  </w:style>
  <w:style w:type="paragraph" w:styleId="746">
    <w:name w:val="toc 3"/>
    <w:basedOn w:val="716"/>
    <w:next w:val="716"/>
    <w:uiPriority w:val="39"/>
    <w:unhideWhenUsed/>
    <w:qFormat/>
    <w:pPr>
      <w:ind w:left="567"/>
      <w:spacing w:after="57"/>
    </w:pPr>
  </w:style>
  <w:style w:type="paragraph" w:styleId="747">
    <w:name w:val="Plain Text"/>
    <w:basedOn w:val="716"/>
    <w:link w:val="996"/>
    <w:uiPriority w:val="0"/>
    <w:qFormat/>
    <w:rPr>
      <w:rFonts w:ascii="宋体" w:hAnsi="Courier New"/>
      <w:sz w:val="20"/>
      <w:szCs w:val="21"/>
    </w:rPr>
  </w:style>
  <w:style w:type="paragraph" w:styleId="748">
    <w:name w:val="toc 8"/>
    <w:basedOn w:val="716"/>
    <w:next w:val="716"/>
    <w:uiPriority w:val="39"/>
    <w:unhideWhenUsed/>
    <w:qFormat/>
    <w:pPr>
      <w:ind w:left="1984"/>
      <w:spacing w:after="57"/>
    </w:pPr>
  </w:style>
  <w:style w:type="paragraph" w:styleId="749">
    <w:name w:val="index 3"/>
    <w:basedOn w:val="716"/>
    <w:next w:val="716"/>
    <w:uiPriority w:val="0"/>
    <w:qFormat/>
    <w:pPr>
      <w:ind w:left="840"/>
    </w:pPr>
    <w:rPr>
      <w:rFonts w:ascii="Calibri" w:hAnsi="Calibri" w:eastAsia="楷体_GB2312"/>
      <w:sz w:val="26"/>
      <w:szCs w:val="20"/>
    </w:rPr>
  </w:style>
  <w:style w:type="paragraph" w:styleId="750">
    <w:name w:val="Date"/>
    <w:basedOn w:val="716"/>
    <w:next w:val="716"/>
    <w:link w:val="997"/>
    <w:uiPriority w:val="0"/>
    <w:qFormat/>
    <w:rPr>
      <w:sz w:val="24"/>
      <w:szCs w:val="20"/>
    </w:rPr>
  </w:style>
  <w:style w:type="paragraph" w:styleId="751">
    <w:name w:val="Body Text Indent 2"/>
    <w:basedOn w:val="716"/>
    <w:link w:val="998"/>
    <w:uiPriority w:val="0"/>
    <w:qFormat/>
    <w:pPr>
      <w:ind w:firstLine="560"/>
      <w:spacing w:line="500" w:lineRule="exact"/>
    </w:pPr>
    <w:rPr>
      <w:rFonts w:eastAsia="仿宋_GB2312"/>
      <w:sz w:val="28"/>
      <w:szCs w:val="20"/>
    </w:rPr>
  </w:style>
  <w:style w:type="paragraph" w:styleId="752">
    <w:name w:val="endnote text"/>
    <w:basedOn w:val="716"/>
    <w:link w:val="981"/>
    <w:uiPriority w:val="99"/>
    <w:semiHidden/>
    <w:unhideWhenUsed/>
    <w:qFormat/>
    <w:rPr>
      <w:sz w:val="20"/>
    </w:rPr>
  </w:style>
  <w:style w:type="paragraph" w:styleId="753">
    <w:name w:val="Balloon Text"/>
    <w:basedOn w:val="716"/>
    <w:link w:val="999"/>
    <w:uiPriority w:val="0"/>
    <w:qFormat/>
    <w:rPr>
      <w:sz w:val="18"/>
      <w:szCs w:val="18"/>
    </w:rPr>
  </w:style>
  <w:style w:type="paragraph" w:styleId="754">
    <w:name w:val="Footer"/>
    <w:basedOn w:val="716"/>
    <w:link w:val="1000"/>
    <w:uiPriority w:val="99"/>
    <w:qFormat/>
    <w:pPr>
      <w:jc w:val="left"/>
      <w:tabs>
        <w:tab w:val="center" w:pos="4153" w:leader="none"/>
        <w:tab w:val="right" w:pos="8306" w:leader="none"/>
      </w:tabs>
    </w:pPr>
    <w:rPr>
      <w:sz w:val="18"/>
      <w:szCs w:val="20"/>
    </w:rPr>
  </w:style>
  <w:style w:type="paragraph" w:styleId="755">
    <w:name w:val="Header"/>
    <w:basedOn w:val="716"/>
    <w:link w:val="1001"/>
    <w:uiPriority w:val="99"/>
    <w:qFormat/>
    <w:pPr>
      <w:jc w:val="center"/>
      <w:tabs>
        <w:tab w:val="center" w:pos="4153" w:leader="none"/>
        <w:tab w:val="right" w:pos="8306" w:leader="none"/>
      </w:tabs>
      <w:pBdr>
        <w:bottom w:val="single" w:color="000000" w:sz="6" w:space="1"/>
      </w:pBdr>
    </w:pPr>
    <w:rPr>
      <w:sz w:val="18"/>
      <w:szCs w:val="18"/>
    </w:rPr>
  </w:style>
  <w:style w:type="paragraph" w:styleId="756">
    <w:name w:val="Signature"/>
    <w:basedOn w:val="716"/>
    <w:link w:val="1070"/>
    <w:uiPriority w:val="0"/>
    <w:qFormat/>
    <w:pPr>
      <w:jc w:val="center"/>
      <w:spacing w:after="600" w:line="312" w:lineRule="atLeast"/>
    </w:pPr>
    <w:rPr>
      <w:rFonts w:ascii="Calibri" w:hAnsi="Calibri" w:eastAsia="仿宋_GB2312"/>
      <w:sz w:val="24"/>
      <w:szCs w:val="20"/>
    </w:rPr>
  </w:style>
  <w:style w:type="paragraph" w:styleId="757">
    <w:name w:val="toc 1"/>
    <w:basedOn w:val="716"/>
    <w:next w:val="716"/>
    <w:uiPriority w:val="39"/>
    <w:unhideWhenUsed/>
    <w:qFormat/>
    <w:pPr>
      <w:spacing w:after="57"/>
    </w:pPr>
  </w:style>
  <w:style w:type="paragraph" w:styleId="758">
    <w:name w:val="toc 4"/>
    <w:basedOn w:val="716"/>
    <w:next w:val="716"/>
    <w:uiPriority w:val="39"/>
    <w:unhideWhenUsed/>
    <w:qFormat/>
    <w:pPr>
      <w:ind w:left="850"/>
      <w:spacing w:after="57"/>
    </w:pPr>
  </w:style>
  <w:style w:type="paragraph" w:styleId="759">
    <w:name w:val="index heading"/>
    <w:basedOn w:val="716"/>
    <w:next w:val="760"/>
    <w:uiPriority w:val="0"/>
    <w:qFormat/>
    <w:rPr>
      <w:rFonts w:ascii="Calibri" w:hAnsi="Calibri" w:eastAsia="楷体_GB2312"/>
      <w:sz w:val="26"/>
      <w:szCs w:val="20"/>
    </w:rPr>
  </w:style>
  <w:style w:type="paragraph" w:styleId="760">
    <w:name w:val="index 1"/>
    <w:basedOn w:val="716"/>
    <w:next w:val="716"/>
    <w:uiPriority w:val="0"/>
    <w:unhideWhenUsed/>
    <w:qFormat/>
  </w:style>
  <w:style w:type="paragraph" w:styleId="761">
    <w:name w:val="Subtitle"/>
    <w:next w:val="716"/>
    <w:link w:val="864"/>
    <w:uiPriority w:val="11"/>
    <w:qFormat/>
    <w:pPr>
      <w:jc w:val="center"/>
      <w:spacing w:after="240"/>
      <w:widowControl w:val="off"/>
    </w:pPr>
    <w:rPr>
      <w:rFonts w:hint="default" w:ascii="Times New Roman" w:hAnsi="Times New Roman" w:eastAsia="宋体" w:cs="Times New Roman"/>
      <w:sz w:val="21"/>
    </w:rPr>
  </w:style>
  <w:style w:type="paragraph" w:styleId="762">
    <w:name w:val="List"/>
    <w:basedOn w:val="716"/>
    <w:uiPriority w:val="0"/>
    <w:qFormat/>
    <w:pPr>
      <w:ind w:left="200" w:hanging="200"/>
    </w:pPr>
  </w:style>
  <w:style w:type="paragraph" w:styleId="763">
    <w:name w:val="footnote text"/>
    <w:basedOn w:val="716"/>
    <w:link w:val="980"/>
    <w:uiPriority w:val="0"/>
    <w:unhideWhenUsed/>
    <w:qFormat/>
    <w:pPr>
      <w:spacing w:after="40"/>
    </w:pPr>
    <w:rPr>
      <w:sz w:val="18"/>
    </w:rPr>
  </w:style>
  <w:style w:type="paragraph" w:styleId="764">
    <w:name w:val="toc 6"/>
    <w:basedOn w:val="716"/>
    <w:next w:val="716"/>
    <w:uiPriority w:val="39"/>
    <w:unhideWhenUsed/>
    <w:qFormat/>
    <w:pPr>
      <w:ind w:left="1417"/>
      <w:spacing w:after="57"/>
    </w:pPr>
  </w:style>
  <w:style w:type="paragraph" w:styleId="765">
    <w:name w:val="Body Text Indent 3"/>
    <w:basedOn w:val="716"/>
    <w:link w:val="1003"/>
    <w:uiPriority w:val="0"/>
    <w:qFormat/>
    <w:pPr>
      <w:ind w:left="420"/>
      <w:spacing w:after="120"/>
    </w:pPr>
    <w:rPr>
      <w:sz w:val="16"/>
      <w:szCs w:val="16"/>
    </w:rPr>
  </w:style>
  <w:style w:type="paragraph" w:styleId="766">
    <w:name w:val="index 7"/>
    <w:basedOn w:val="716"/>
    <w:next w:val="716"/>
    <w:uiPriority w:val="0"/>
    <w:qFormat/>
    <w:pPr>
      <w:ind w:left="2520"/>
    </w:pPr>
    <w:rPr>
      <w:rFonts w:ascii="Calibri" w:hAnsi="Calibri" w:eastAsia="楷体_GB2312"/>
      <w:sz w:val="26"/>
      <w:szCs w:val="20"/>
    </w:rPr>
  </w:style>
  <w:style w:type="paragraph" w:styleId="767">
    <w:name w:val="index 9"/>
    <w:basedOn w:val="716"/>
    <w:next w:val="716"/>
    <w:uiPriority w:val="0"/>
    <w:qFormat/>
    <w:pPr>
      <w:ind w:left="3360"/>
    </w:pPr>
    <w:rPr>
      <w:rFonts w:ascii="Calibri" w:hAnsi="Calibri" w:eastAsia="楷体_GB2312"/>
      <w:sz w:val="26"/>
      <w:szCs w:val="20"/>
    </w:rPr>
  </w:style>
  <w:style w:type="paragraph" w:styleId="768">
    <w:name w:val="table of figures"/>
    <w:basedOn w:val="716"/>
    <w:next w:val="716"/>
    <w:uiPriority w:val="0"/>
    <w:unhideWhenUsed/>
    <w:qFormat/>
  </w:style>
  <w:style w:type="paragraph" w:styleId="769">
    <w:name w:val="toc 2"/>
    <w:basedOn w:val="716"/>
    <w:next w:val="716"/>
    <w:uiPriority w:val="39"/>
    <w:unhideWhenUsed/>
    <w:qFormat/>
    <w:pPr>
      <w:ind w:left="283"/>
      <w:spacing w:after="57"/>
    </w:pPr>
  </w:style>
  <w:style w:type="paragraph" w:styleId="770">
    <w:name w:val="toc 9"/>
    <w:basedOn w:val="716"/>
    <w:next w:val="716"/>
    <w:uiPriority w:val="39"/>
    <w:unhideWhenUsed/>
    <w:qFormat/>
    <w:pPr>
      <w:ind w:left="2268"/>
      <w:spacing w:after="57"/>
    </w:pPr>
  </w:style>
  <w:style w:type="paragraph" w:styleId="771">
    <w:name w:val="Body Text 2"/>
    <w:basedOn w:val="716"/>
    <w:link w:val="1004"/>
    <w:uiPriority w:val="0"/>
    <w:qFormat/>
    <w:rPr>
      <w:b/>
      <w:bCs/>
      <w:sz w:val="18"/>
    </w:rPr>
  </w:style>
  <w:style w:type="paragraph" w:styleId="772">
    <w:name w:val="HTML Preformatted"/>
    <w:basedOn w:val="716"/>
    <w:link w:val="100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等线 Light" w:hAnsi="等线 Light" w:eastAsia="幼圆" w:cs="等线 Light"/>
      <w:sz w:val="24"/>
      <w:szCs w:val="22"/>
    </w:rPr>
  </w:style>
  <w:style w:type="paragraph" w:styleId="773">
    <w:name w:val="Normal (Web)"/>
    <w:basedOn w:val="716"/>
    <w:link w:val="1264"/>
    <w:uiPriority w:val="0"/>
    <w:qFormat/>
    <w:pPr>
      <w:jc w:val="left"/>
      <w:spacing w:before="100" w:beforeAutospacing="1" w:after="100" w:afterAutospacing="1"/>
      <w:widowControl/>
    </w:pPr>
    <w:rPr>
      <w:rFonts w:ascii="宋体" w:hAnsi="宋体"/>
      <w:color w:val="000000"/>
      <w:sz w:val="24"/>
    </w:rPr>
  </w:style>
  <w:style w:type="paragraph" w:styleId="774">
    <w:name w:val="index 2"/>
    <w:basedOn w:val="716"/>
    <w:next w:val="716"/>
    <w:uiPriority w:val="0"/>
    <w:qFormat/>
    <w:pPr>
      <w:ind w:left="420"/>
    </w:pPr>
    <w:rPr>
      <w:rFonts w:ascii="Calibri" w:hAnsi="Calibri" w:eastAsia="楷体_GB2312"/>
      <w:sz w:val="26"/>
      <w:szCs w:val="20"/>
    </w:rPr>
  </w:style>
  <w:style w:type="paragraph" w:styleId="775">
    <w:name w:val="Title"/>
    <w:next w:val="716"/>
    <w:link w:val="863"/>
    <w:uiPriority w:val="10"/>
    <w:qFormat/>
    <w:pPr>
      <w:jc w:val="center"/>
      <w:spacing w:before="240" w:after="240"/>
    </w:pPr>
    <w:rPr>
      <w:rFonts w:hint="default" w:ascii="Times New Roman" w:hAnsi="Times New Roman" w:eastAsia="宋体" w:cs="Times New Roman"/>
      <w:b/>
      <w:sz w:val="32"/>
    </w:rPr>
  </w:style>
  <w:style w:type="paragraph" w:styleId="776">
    <w:name w:val="annotation subject"/>
    <w:basedOn w:val="736"/>
    <w:next w:val="736"/>
    <w:link w:val="1071"/>
    <w:uiPriority w:val="99"/>
    <w:qFormat/>
    <w:rPr>
      <w:rFonts w:ascii="Times New Roman" w:hAnsi="Times New Roman"/>
      <w:b/>
      <w:bCs/>
      <w:sz w:val="20"/>
      <w:szCs w:val="21"/>
    </w:rPr>
  </w:style>
  <w:style w:type="paragraph" w:styleId="777">
    <w:name w:val="Body Text First Indent"/>
    <w:basedOn w:val="739"/>
    <w:uiPriority w:val="0"/>
    <w:qFormat/>
    <w:rPr>
      <w:sz w:val="21"/>
      <w:lang w:val="zh-CN"/>
    </w:rPr>
  </w:style>
  <w:style w:type="paragraph" w:styleId="778">
    <w:name w:val="Body Text First Indent 2"/>
    <w:basedOn w:val="740"/>
    <w:next w:val="716"/>
    <w:uiPriority w:val="0"/>
    <w:unhideWhenUsed/>
    <w:qFormat/>
    <w:pPr>
      <w:ind w:left="0"/>
      <w:jc w:val="center"/>
      <w:spacing w:line="360" w:lineRule="auto"/>
    </w:pPr>
    <w:rPr>
      <w:rFonts w:ascii="Times New Roman" w:eastAsia="宋体" w:cs="宋体"/>
      <w:b/>
      <w:color w:val="000000" w:themeColor="text1"/>
      <w:sz w:val="48"/>
      <w:szCs w:val="48"/>
      <w14:textFill>
        <w14:solidFill>
          <w14:schemeClr w14:val="tx1"/>
        </w14:solidFill>
      </w14:textFill>
    </w:rPr>
  </w:style>
  <w:style w:type="table" w:styleId="779">
    <w:name w:val="Table Grid"/>
    <w:basedOn w:val="72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0">
    <w:name w:val="Strong"/>
    <w:uiPriority w:val="22"/>
    <w:qFormat/>
    <w:rPr>
      <w:b/>
      <w:bCs/>
    </w:rPr>
  </w:style>
  <w:style w:type="character" w:styleId="781">
    <w:name w:val="endnote reference"/>
    <w:uiPriority w:val="99"/>
    <w:semiHidden/>
    <w:unhideWhenUsed/>
    <w:qFormat/>
    <w:rPr>
      <w:vertAlign w:val="superscript"/>
    </w:rPr>
  </w:style>
  <w:style w:type="character" w:styleId="782">
    <w:name w:val="page number"/>
    <w:uiPriority w:val="0"/>
    <w:qFormat/>
  </w:style>
  <w:style w:type="character" w:styleId="783">
    <w:name w:val="Emphasis"/>
    <w:uiPriority w:val="0"/>
    <w:qFormat/>
    <w:rPr>
      <w:i/>
      <w:iCs/>
    </w:rPr>
  </w:style>
  <w:style w:type="character" w:styleId="784">
    <w:name w:val="line number"/>
    <w:uiPriority w:val="0"/>
    <w:qFormat/>
  </w:style>
  <w:style w:type="character" w:styleId="785">
    <w:name w:val="HTML Definition"/>
    <w:uiPriority w:val="0"/>
    <w:qFormat/>
    <w:rPr>
      <w:i/>
    </w:rPr>
  </w:style>
  <w:style w:type="character" w:styleId="786">
    <w:name w:val="Hyperlink"/>
    <w:uiPriority w:val="99"/>
    <w:qFormat/>
    <w:rPr>
      <w:color w:val="0000ff"/>
      <w:u w:val="single"/>
    </w:rPr>
  </w:style>
  <w:style w:type="character" w:styleId="787">
    <w:name w:val="HTML Code"/>
    <w:uiPriority w:val="0"/>
    <w:qFormat/>
    <w:rPr>
      <w:rFonts w:ascii="Bell MT" w:hAnsi="Bell MT" w:eastAsia="Bell MT" w:cs="Bell MT"/>
      <w:color w:val="c7254e"/>
      <w:sz w:val="21"/>
      <w:szCs w:val="21"/>
      <w:shd w:val="clear" w:color="auto" w:fill="f9f2f4"/>
    </w:rPr>
  </w:style>
  <w:style w:type="character" w:styleId="788">
    <w:name w:val="annotation reference"/>
    <w:uiPriority w:val="0"/>
    <w:qFormat/>
    <w:rPr>
      <w:sz w:val="21"/>
      <w:szCs w:val="21"/>
    </w:rPr>
  </w:style>
  <w:style w:type="character" w:styleId="789">
    <w:name w:val="HTML Cite"/>
    <w:uiPriority w:val="0"/>
    <w:qFormat/>
  </w:style>
  <w:style w:type="character" w:styleId="790">
    <w:name w:val="footnote reference"/>
    <w:uiPriority w:val="0"/>
    <w:unhideWhenUsed/>
    <w:qFormat/>
    <w:rPr>
      <w:vertAlign w:val="superscript"/>
    </w:rPr>
  </w:style>
  <w:style w:type="character" w:styleId="791">
    <w:name w:val="HTML Keyboard"/>
    <w:uiPriority w:val="0"/>
    <w:qFormat/>
    <w:rPr>
      <w:rFonts w:ascii="Bell MT" w:hAnsi="Bell MT" w:eastAsia="Bell MT" w:cs="Bell MT"/>
      <w:sz w:val="21"/>
      <w:szCs w:val="21"/>
    </w:rPr>
  </w:style>
  <w:style w:type="character" w:styleId="792">
    <w:name w:val="HTML Sample"/>
    <w:uiPriority w:val="0"/>
    <w:qFormat/>
    <w:rPr>
      <w:rFonts w:ascii="Bell MT" w:hAnsi="Bell MT" w:eastAsia="Bell MT" w:cs="Bell MT"/>
      <w:sz w:val="21"/>
      <w:szCs w:val="21"/>
    </w:rPr>
  </w:style>
  <w:style w:type="character" w:styleId="793" w:customStyle="1">
    <w:name w:val="标题 1 字符"/>
    <w:link w:val="717"/>
    <w:uiPriority w:val="0"/>
    <w:qFormat/>
    <w:rPr>
      <w:rFonts w:ascii="Times New Roman" w:hAnsi="Times New Roman" w:eastAsia="宋体" w:cs="Times New Roman"/>
      <w:b/>
      <w:bCs/>
      <w:sz w:val="44"/>
      <w:szCs w:val="44"/>
    </w:rPr>
  </w:style>
  <w:style w:type="table" w:styleId="794" w:customStyle="1">
    <w:name w:val="Plain Table 1"/>
    <w:basedOn w:val="7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2"/>
    <w:basedOn w:val="7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3"/>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Plain Table 4"/>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Plain Table 5"/>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Grid Table 1 Light"/>
    <w:basedOn w:val="7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2"/>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Grid Table 3"/>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4"/>
    <w:basedOn w:val="7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5 Dark"/>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6 Colorful"/>
    <w:basedOn w:val="7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5" w:customStyle="1">
    <w:name w:val="Grid Table 7 Colorful"/>
    <w:basedOn w:val="7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List Table 1 Light"/>
    <w:basedOn w:val="7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2"/>
    <w:basedOn w:val="7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List Table 3"/>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4"/>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5 Dark"/>
    <w:basedOn w:val="7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6 Colorful"/>
    <w:basedOn w:val="7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2" w:customStyle="1">
    <w:name w:val="List Table 7 Colorful"/>
    <w:basedOn w:val="7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3" w:customStyle="1">
    <w:name w:val="TOC Heading"/>
    <w:uiPriority w:val="39"/>
    <w:unhideWhenUsed/>
    <w:qFormat/>
    <w:rPr>
      <w:rFonts w:hint="default" w:ascii="Calibri" w:hAnsi="Calibri" w:eastAsia="宋体" w:cs="Calibri"/>
    </w:rPr>
  </w:style>
  <w:style w:type="table" w:styleId="814" w:customStyle="1">
    <w:name w:val="无格式表格 11"/>
    <w:basedOn w:val="727"/>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无格式表格 21"/>
    <w:basedOn w:val="727"/>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无格式表格 31"/>
    <w:basedOn w:val="72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无格式表格 41"/>
    <w:basedOn w:val="72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无格式表格 51"/>
    <w:basedOn w:val="72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网格表 1 浅色1"/>
    <w:basedOn w:val="727"/>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网格表 21"/>
    <w:basedOn w:val="72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网格表 31"/>
    <w:basedOn w:val="72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网格表 41"/>
    <w:basedOn w:val="727"/>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网格表 5 深色1"/>
    <w:basedOn w:val="72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网格表 6 彩色1"/>
    <w:basedOn w:val="727"/>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网格表 7 彩色1"/>
    <w:basedOn w:val="727"/>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清单表 1 浅色1"/>
    <w:basedOn w:val="727"/>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清单表 21"/>
    <w:basedOn w:val="727"/>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清单表 31"/>
    <w:basedOn w:val="727"/>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清单表 41"/>
    <w:basedOn w:val="72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清单表 5 深色1"/>
    <w:basedOn w:val="727"/>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清单表 6 彩色1"/>
    <w:basedOn w:val="727"/>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2" w:customStyle="1">
    <w:name w:val="清单表 7 彩色1"/>
    <w:basedOn w:val="727"/>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3" w:customStyle="1">
    <w:name w:val="TOC 标题1"/>
    <w:uiPriority w:val="39"/>
    <w:unhideWhenUsed/>
    <w:qFormat/>
    <w:rPr>
      <w:rFonts w:hint="default" w:ascii="Times New Roman" w:hAnsi="Times New Roman" w:eastAsia="宋体" w:cs="Times New Roman"/>
    </w:rPr>
  </w:style>
  <w:style w:type="paragraph" w:styleId="834" w:customStyle="1">
    <w:name w:val="TOC 标题113"/>
    <w:uiPriority w:val="39"/>
    <w:unhideWhenUsed/>
    <w:qFormat/>
    <w:rPr>
      <w:rFonts w:hint="default" w:ascii="Times New Roman" w:hAnsi="Times New Roman" w:eastAsia="宋体" w:cs="Times New Roman"/>
    </w:rPr>
  </w:style>
  <w:style w:type="paragraph" w:styleId="835" w:customStyle="1">
    <w:name w:val="TOC 标题112"/>
    <w:uiPriority w:val="39"/>
    <w:unhideWhenUsed/>
    <w:qFormat/>
    <w:rPr>
      <w:rFonts w:hint="default" w:ascii="Times New Roman" w:hAnsi="Times New Roman" w:eastAsia="宋体" w:cs="Times New Roman"/>
    </w:rPr>
  </w:style>
  <w:style w:type="paragraph" w:styleId="836" w:customStyle="1">
    <w:name w:val="TOC 标题111"/>
    <w:uiPriority w:val="39"/>
    <w:unhideWhenUsed/>
    <w:qFormat/>
    <w:rPr>
      <w:rFonts w:hint="default" w:ascii="Times New Roman" w:hAnsi="Times New Roman" w:eastAsia="宋体" w:cs="Times New Roman"/>
    </w:rPr>
  </w:style>
  <w:style w:type="character" w:styleId="837" w:customStyle="1">
    <w:name w:val="Title Char"/>
    <w:basedOn w:val="726"/>
    <w:uiPriority w:val="10"/>
    <w:qFormat/>
    <w:rPr>
      <w:sz w:val="48"/>
      <w:szCs w:val="48"/>
    </w:rPr>
  </w:style>
  <w:style w:type="character" w:styleId="838" w:customStyle="1">
    <w:name w:val="Subtitle Char"/>
    <w:basedOn w:val="726"/>
    <w:uiPriority w:val="11"/>
    <w:qFormat/>
    <w:rPr>
      <w:sz w:val="24"/>
      <w:szCs w:val="24"/>
    </w:rPr>
  </w:style>
  <w:style w:type="character" w:styleId="839" w:customStyle="1">
    <w:name w:val="Quote Char"/>
    <w:uiPriority w:val="29"/>
    <w:qFormat/>
    <w:rPr>
      <w:i/>
    </w:rPr>
  </w:style>
  <w:style w:type="character" w:styleId="840" w:customStyle="1">
    <w:name w:val="Intense Quote Char"/>
    <w:uiPriority w:val="30"/>
    <w:qFormat/>
    <w:rPr>
      <w:i/>
    </w:rPr>
  </w:style>
  <w:style w:type="character" w:styleId="841" w:customStyle="1">
    <w:name w:val="Footnote Text Char"/>
    <w:uiPriority w:val="99"/>
    <w:qFormat/>
    <w:rPr>
      <w:sz w:val="18"/>
    </w:rPr>
  </w:style>
  <w:style w:type="character" w:styleId="842" w:customStyle="1">
    <w:name w:val="Endnote Text Char"/>
    <w:uiPriority w:val="99"/>
    <w:qFormat/>
    <w:rPr>
      <w:sz w:val="20"/>
    </w:rPr>
  </w:style>
  <w:style w:type="character" w:styleId="843" w:customStyle="1">
    <w:name w:val="Heading 1 Char"/>
    <w:link w:val="844"/>
    <w:uiPriority w:val="9"/>
    <w:qFormat/>
    <w:rPr>
      <w:rFonts w:ascii="Arial" w:hAnsi="Arial" w:eastAsia="Arial" w:cs="Arial"/>
      <w:sz w:val="40"/>
      <w:szCs w:val="40"/>
    </w:rPr>
  </w:style>
  <w:style w:type="paragraph" w:styleId="844" w:customStyle="1">
    <w:name w:val="标题 11"/>
    <w:basedOn w:val="716"/>
    <w:next w:val="716"/>
    <w:link w:val="843"/>
    <w:uiPriority w:val="0"/>
    <w:qFormat/>
    <w:pPr>
      <w:keepLines/>
      <w:keepNext/>
      <w:spacing w:before="480" w:after="200"/>
      <w:outlineLvl w:val="0"/>
    </w:pPr>
    <w:rPr>
      <w:rFonts w:ascii="Arial" w:hAnsi="Arial" w:eastAsia="Arial" w:cs="Arial"/>
      <w:sz w:val="40"/>
      <w:szCs w:val="40"/>
    </w:rPr>
  </w:style>
  <w:style w:type="character" w:styleId="845" w:customStyle="1">
    <w:name w:val="Heading 2 Char"/>
    <w:link w:val="846"/>
    <w:uiPriority w:val="9"/>
    <w:qFormat/>
    <w:rPr>
      <w:rFonts w:ascii="Arial" w:hAnsi="Arial" w:eastAsia="Arial" w:cs="Arial"/>
      <w:sz w:val="34"/>
    </w:rPr>
  </w:style>
  <w:style w:type="paragraph" w:styleId="846" w:customStyle="1">
    <w:name w:val="标题 21"/>
    <w:basedOn w:val="716"/>
    <w:next w:val="716"/>
    <w:link w:val="845"/>
    <w:uiPriority w:val="0"/>
    <w:unhideWhenUsed/>
    <w:qFormat/>
    <w:pPr>
      <w:keepLines/>
      <w:keepNext/>
      <w:spacing w:before="360" w:after="200"/>
      <w:outlineLvl w:val="1"/>
    </w:pPr>
    <w:rPr>
      <w:rFonts w:ascii="Arial" w:hAnsi="Arial" w:eastAsia="Arial" w:cs="Arial"/>
      <w:sz w:val="34"/>
      <w:szCs w:val="20"/>
    </w:rPr>
  </w:style>
  <w:style w:type="character" w:styleId="847" w:customStyle="1">
    <w:name w:val="Heading 3 Char"/>
    <w:link w:val="848"/>
    <w:uiPriority w:val="9"/>
    <w:qFormat/>
    <w:rPr>
      <w:rFonts w:ascii="Arial" w:hAnsi="Arial" w:eastAsia="Arial" w:cs="Arial"/>
      <w:sz w:val="30"/>
      <w:szCs w:val="30"/>
    </w:rPr>
  </w:style>
  <w:style w:type="paragraph" w:styleId="848" w:customStyle="1">
    <w:name w:val="标题 31"/>
    <w:basedOn w:val="716"/>
    <w:next w:val="716"/>
    <w:link w:val="847"/>
    <w:uiPriority w:val="99"/>
    <w:unhideWhenUsed/>
    <w:qFormat/>
    <w:pPr>
      <w:keepLines/>
      <w:keepNext/>
      <w:spacing w:before="320" w:after="200"/>
      <w:outlineLvl w:val="2"/>
    </w:pPr>
    <w:rPr>
      <w:rFonts w:ascii="Arial" w:hAnsi="Arial" w:eastAsia="Arial" w:cs="Arial"/>
      <w:sz w:val="30"/>
      <w:szCs w:val="30"/>
    </w:rPr>
  </w:style>
  <w:style w:type="character" w:styleId="849" w:customStyle="1">
    <w:name w:val="Heading 4 Char"/>
    <w:link w:val="850"/>
    <w:uiPriority w:val="9"/>
    <w:qFormat/>
    <w:rPr>
      <w:rFonts w:ascii="Arial" w:hAnsi="Arial" w:eastAsia="Arial" w:cs="Arial"/>
      <w:b/>
      <w:bCs/>
      <w:sz w:val="26"/>
      <w:szCs w:val="26"/>
    </w:rPr>
  </w:style>
  <w:style w:type="paragraph" w:styleId="850" w:customStyle="1">
    <w:name w:val="标题 41"/>
    <w:basedOn w:val="716"/>
    <w:next w:val="716"/>
    <w:link w:val="849"/>
    <w:uiPriority w:val="0"/>
    <w:unhideWhenUsed/>
    <w:qFormat/>
    <w:pPr>
      <w:keepLines/>
      <w:keepNext/>
      <w:spacing w:before="320" w:after="200"/>
      <w:outlineLvl w:val="3"/>
    </w:pPr>
    <w:rPr>
      <w:rFonts w:ascii="Arial" w:hAnsi="Arial" w:eastAsia="Arial" w:cs="Arial"/>
      <w:b/>
      <w:bCs/>
      <w:sz w:val="26"/>
      <w:szCs w:val="26"/>
    </w:rPr>
  </w:style>
  <w:style w:type="character" w:styleId="851" w:customStyle="1">
    <w:name w:val="Heading 5 Char"/>
    <w:link w:val="852"/>
    <w:uiPriority w:val="9"/>
    <w:qFormat/>
    <w:rPr>
      <w:rFonts w:ascii="Arial" w:hAnsi="Arial" w:eastAsia="Arial" w:cs="Arial"/>
      <w:b/>
      <w:bCs/>
      <w:sz w:val="24"/>
      <w:szCs w:val="24"/>
    </w:rPr>
  </w:style>
  <w:style w:type="paragraph" w:styleId="852" w:customStyle="1">
    <w:name w:val="标题 51"/>
    <w:basedOn w:val="716"/>
    <w:next w:val="716"/>
    <w:link w:val="851"/>
    <w:uiPriority w:val="0"/>
    <w:unhideWhenUsed/>
    <w:qFormat/>
    <w:pPr>
      <w:keepLines/>
      <w:keepNext/>
      <w:spacing w:before="320" w:after="200"/>
      <w:outlineLvl w:val="4"/>
    </w:pPr>
    <w:rPr>
      <w:rFonts w:ascii="Arial" w:hAnsi="Arial" w:eastAsia="Arial" w:cs="Arial"/>
      <w:b/>
      <w:bCs/>
      <w:sz w:val="24"/>
    </w:rPr>
  </w:style>
  <w:style w:type="character" w:styleId="853" w:customStyle="1">
    <w:name w:val="Heading 6 Char"/>
    <w:link w:val="854"/>
    <w:uiPriority w:val="9"/>
    <w:qFormat/>
    <w:rPr>
      <w:rFonts w:ascii="Arial" w:hAnsi="Arial" w:eastAsia="Arial" w:cs="Arial"/>
      <w:b/>
      <w:bCs/>
      <w:sz w:val="22"/>
      <w:szCs w:val="22"/>
    </w:rPr>
  </w:style>
  <w:style w:type="paragraph" w:styleId="854" w:customStyle="1">
    <w:name w:val="标题 61"/>
    <w:basedOn w:val="716"/>
    <w:next w:val="716"/>
    <w:link w:val="853"/>
    <w:uiPriority w:val="0"/>
    <w:unhideWhenUsed/>
    <w:qFormat/>
    <w:pPr>
      <w:keepLines/>
      <w:keepNext/>
      <w:spacing w:before="320" w:after="200"/>
      <w:outlineLvl w:val="5"/>
    </w:pPr>
    <w:rPr>
      <w:rFonts w:ascii="Arial" w:hAnsi="Arial" w:eastAsia="Arial" w:cs="Arial"/>
      <w:b/>
      <w:bCs/>
      <w:sz w:val="22"/>
      <w:szCs w:val="22"/>
    </w:rPr>
  </w:style>
  <w:style w:type="character" w:styleId="855" w:customStyle="1">
    <w:name w:val="Heading 7 Char"/>
    <w:link w:val="856"/>
    <w:uiPriority w:val="9"/>
    <w:qFormat/>
    <w:rPr>
      <w:rFonts w:ascii="Arial" w:hAnsi="Arial" w:eastAsia="Arial" w:cs="Arial"/>
      <w:b/>
      <w:bCs/>
      <w:i/>
      <w:iCs/>
      <w:sz w:val="22"/>
      <w:szCs w:val="22"/>
    </w:rPr>
  </w:style>
  <w:style w:type="paragraph" w:styleId="856" w:customStyle="1">
    <w:name w:val="标题 71"/>
    <w:basedOn w:val="716"/>
    <w:next w:val="716"/>
    <w:link w:val="855"/>
    <w:uiPriority w:val="0"/>
    <w:unhideWhenUsed/>
    <w:qFormat/>
    <w:pPr>
      <w:keepLines/>
      <w:keepNext/>
      <w:spacing w:before="320" w:after="200"/>
      <w:outlineLvl w:val="6"/>
    </w:pPr>
    <w:rPr>
      <w:rFonts w:ascii="Arial" w:hAnsi="Arial" w:eastAsia="Arial" w:cs="Arial"/>
      <w:b/>
      <w:bCs/>
      <w:i/>
      <w:iCs/>
      <w:sz w:val="22"/>
      <w:szCs w:val="22"/>
    </w:rPr>
  </w:style>
  <w:style w:type="character" w:styleId="857" w:customStyle="1">
    <w:name w:val="Heading 8 Char"/>
    <w:link w:val="858"/>
    <w:uiPriority w:val="9"/>
    <w:qFormat/>
    <w:rPr>
      <w:rFonts w:ascii="Arial" w:hAnsi="Arial" w:eastAsia="Arial" w:cs="Arial"/>
      <w:i/>
      <w:iCs/>
      <w:sz w:val="22"/>
      <w:szCs w:val="22"/>
    </w:rPr>
  </w:style>
  <w:style w:type="paragraph" w:styleId="858" w:customStyle="1">
    <w:name w:val="标题 81"/>
    <w:basedOn w:val="716"/>
    <w:next w:val="716"/>
    <w:link w:val="857"/>
    <w:uiPriority w:val="0"/>
    <w:unhideWhenUsed/>
    <w:qFormat/>
    <w:pPr>
      <w:keepLines/>
      <w:keepNext/>
      <w:spacing w:before="320" w:after="200"/>
      <w:outlineLvl w:val="7"/>
    </w:pPr>
    <w:rPr>
      <w:rFonts w:ascii="Arial" w:hAnsi="Arial" w:eastAsia="Arial" w:cs="Arial"/>
      <w:i/>
      <w:iCs/>
      <w:sz w:val="22"/>
      <w:szCs w:val="22"/>
    </w:rPr>
  </w:style>
  <w:style w:type="character" w:styleId="859" w:customStyle="1">
    <w:name w:val="Heading 9 Char"/>
    <w:link w:val="860"/>
    <w:uiPriority w:val="9"/>
    <w:qFormat/>
    <w:rPr>
      <w:rFonts w:ascii="Arial" w:hAnsi="Arial" w:eastAsia="Arial" w:cs="Arial"/>
      <w:i/>
      <w:iCs/>
      <w:sz w:val="21"/>
      <w:szCs w:val="21"/>
    </w:rPr>
  </w:style>
  <w:style w:type="paragraph" w:styleId="860" w:customStyle="1">
    <w:name w:val="标题 91"/>
    <w:basedOn w:val="716"/>
    <w:next w:val="716"/>
    <w:link w:val="859"/>
    <w:uiPriority w:val="0"/>
    <w:unhideWhenUsed/>
    <w:qFormat/>
    <w:pPr>
      <w:keepLines/>
      <w:keepNext/>
      <w:spacing w:before="320" w:after="200"/>
      <w:outlineLvl w:val="8"/>
    </w:pPr>
    <w:rPr>
      <w:rFonts w:ascii="Arial" w:hAnsi="Arial" w:eastAsia="Arial" w:cs="Arial"/>
      <w:i/>
      <w:iCs/>
      <w:szCs w:val="21"/>
    </w:rPr>
  </w:style>
  <w:style w:type="paragraph" w:styleId="861">
    <w:name w:val="List Paragraph"/>
    <w:basedOn w:val="716"/>
    <w:link w:val="1009"/>
    <w:uiPriority w:val="34"/>
    <w:qFormat/>
    <w:pPr>
      <w:ind w:firstLine="420"/>
    </w:pPr>
    <w:rPr>
      <w:sz w:val="20"/>
      <w:szCs w:val="20"/>
    </w:rPr>
  </w:style>
  <w:style w:type="paragraph" w:styleId="862">
    <w:name w:val="No Spacing"/>
    <w:uiPriority w:val="99"/>
    <w:qFormat/>
    <w:rPr>
      <w:rFonts w:hint="default" w:ascii="Times New Roman" w:hAnsi="Times New Roman" w:eastAsia="宋体" w:cs="Times New Roman"/>
    </w:rPr>
  </w:style>
  <w:style w:type="character" w:styleId="863" w:customStyle="1">
    <w:name w:val="标题 字符"/>
    <w:link w:val="775"/>
    <w:uiPriority w:val="10"/>
    <w:qFormat/>
    <w:rPr>
      <w:sz w:val="48"/>
      <w:szCs w:val="48"/>
    </w:rPr>
  </w:style>
  <w:style w:type="character" w:styleId="864" w:customStyle="1">
    <w:name w:val="副标题 字符"/>
    <w:link w:val="761"/>
    <w:uiPriority w:val="11"/>
    <w:qFormat/>
    <w:rPr>
      <w:sz w:val="24"/>
      <w:szCs w:val="24"/>
    </w:rPr>
  </w:style>
  <w:style w:type="paragraph" w:styleId="865">
    <w:name w:val="Quote"/>
    <w:basedOn w:val="716"/>
    <w:next w:val="716"/>
    <w:link w:val="866"/>
    <w:uiPriority w:val="29"/>
    <w:qFormat/>
    <w:pPr>
      <w:ind w:left="720" w:right="720"/>
    </w:pPr>
    <w:rPr>
      <w:i/>
    </w:rPr>
  </w:style>
  <w:style w:type="character" w:styleId="866" w:customStyle="1">
    <w:name w:val="引用 字符"/>
    <w:link w:val="865"/>
    <w:uiPriority w:val="29"/>
    <w:qFormat/>
    <w:rPr>
      <w:i/>
    </w:rPr>
  </w:style>
  <w:style w:type="paragraph" w:styleId="867">
    <w:name w:val="Intense Quote"/>
    <w:basedOn w:val="716"/>
    <w:next w:val="716"/>
    <w:link w:val="8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customStyle="1">
    <w:name w:val="明显引用 字符"/>
    <w:link w:val="867"/>
    <w:uiPriority w:val="30"/>
    <w:qFormat/>
    <w:rPr>
      <w:i/>
    </w:rPr>
  </w:style>
  <w:style w:type="character" w:styleId="869" w:customStyle="1">
    <w:name w:val="Header Char"/>
    <w:link w:val="870"/>
    <w:uiPriority w:val="0"/>
    <w:qFormat/>
  </w:style>
  <w:style w:type="paragraph" w:styleId="870" w:customStyle="1">
    <w:name w:val="页眉1"/>
    <w:basedOn w:val="716"/>
    <w:link w:val="869"/>
    <w:uiPriority w:val="99"/>
    <w:unhideWhenUsed/>
    <w:qFormat/>
    <w:pPr>
      <w:tabs>
        <w:tab w:val="center" w:pos="7143" w:leader="none"/>
        <w:tab w:val="right" w:pos="14287" w:leader="none"/>
      </w:tabs>
    </w:pPr>
    <w:rPr>
      <w:sz w:val="20"/>
      <w:szCs w:val="20"/>
    </w:rPr>
  </w:style>
  <w:style w:type="character" w:styleId="871" w:customStyle="1">
    <w:name w:val="Footer Char"/>
    <w:uiPriority w:val="99"/>
    <w:qFormat/>
  </w:style>
  <w:style w:type="character" w:styleId="872" w:customStyle="1">
    <w:name w:val="Caption Char"/>
    <w:link w:val="873"/>
    <w:uiPriority w:val="99"/>
    <w:qFormat/>
  </w:style>
  <w:style w:type="paragraph" w:styleId="873" w:customStyle="1">
    <w:name w:val="页脚1"/>
    <w:basedOn w:val="716"/>
    <w:link w:val="872"/>
    <w:uiPriority w:val="99"/>
    <w:unhideWhenUsed/>
    <w:qFormat/>
    <w:pPr>
      <w:tabs>
        <w:tab w:val="center" w:pos="7143" w:leader="none"/>
        <w:tab w:val="right" w:pos="14287" w:leader="none"/>
      </w:tabs>
    </w:pPr>
    <w:rPr>
      <w:sz w:val="20"/>
      <w:szCs w:val="20"/>
    </w:rPr>
  </w:style>
  <w:style w:type="table" w:styleId="87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8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8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9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9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9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9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7" w:customStyle="1">
    <w:name w:val="List Table 1 Light - Accent 1"/>
    <w:uiPriority w:val="99"/>
    <w:qFormat/>
    <w:tblPr>
      <w:tblCellMar>
        <w:left w:w="0" w:type="dxa"/>
        <w:top w:w="0" w:type="dxa"/>
        <w:right w:w="0" w:type="dxa"/>
        <w:bottom w:w="0" w:type="dxa"/>
      </w:tblCellMar>
    </w:tblPr>
  </w:style>
  <w:style w:type="table" w:styleId="918" w:customStyle="1">
    <w:name w:val="List Table 1 Light - Accent 2"/>
    <w:uiPriority w:val="99"/>
    <w:qFormat/>
    <w:tblPr>
      <w:tblCellMar>
        <w:left w:w="0" w:type="dxa"/>
        <w:top w:w="0" w:type="dxa"/>
        <w:right w:w="0" w:type="dxa"/>
        <w:bottom w:w="0" w:type="dxa"/>
      </w:tblCellMar>
    </w:tblPr>
  </w:style>
  <w:style w:type="table" w:styleId="919" w:customStyle="1">
    <w:name w:val="List Table 1 Light - Accent 3"/>
    <w:uiPriority w:val="99"/>
    <w:qFormat/>
    <w:tblPr>
      <w:tblCellMar>
        <w:left w:w="0" w:type="dxa"/>
        <w:top w:w="0" w:type="dxa"/>
        <w:right w:w="0" w:type="dxa"/>
        <w:bottom w:w="0" w:type="dxa"/>
      </w:tblCellMar>
    </w:tblPr>
  </w:style>
  <w:style w:type="table" w:styleId="920" w:customStyle="1">
    <w:name w:val="List Table 1 Light - Accent 4"/>
    <w:uiPriority w:val="99"/>
    <w:qFormat/>
    <w:tblPr>
      <w:tblCellMar>
        <w:left w:w="0" w:type="dxa"/>
        <w:top w:w="0" w:type="dxa"/>
        <w:right w:w="0" w:type="dxa"/>
        <w:bottom w:w="0" w:type="dxa"/>
      </w:tblCellMar>
    </w:tblPr>
  </w:style>
  <w:style w:type="table" w:styleId="921" w:customStyle="1">
    <w:name w:val="List Table 1 Light - Accent 5"/>
    <w:uiPriority w:val="99"/>
    <w:qFormat/>
    <w:tblPr>
      <w:tblCellMar>
        <w:left w:w="0" w:type="dxa"/>
        <w:top w:w="0" w:type="dxa"/>
        <w:right w:w="0" w:type="dxa"/>
        <w:bottom w:w="0" w:type="dxa"/>
      </w:tblCellMar>
    </w:tblPr>
  </w:style>
  <w:style w:type="table" w:styleId="922" w:customStyle="1">
    <w:name w:val="List Table 1 Light - Accent 6"/>
    <w:uiPriority w:val="99"/>
    <w:qFormat/>
    <w:tblPr>
      <w:tblCellMar>
        <w:left w:w="0" w:type="dxa"/>
        <w:top w:w="0" w:type="dxa"/>
        <w:right w:w="0" w:type="dxa"/>
        <w:bottom w:w="0" w:type="dxa"/>
      </w:tblCellMar>
    </w:tblPr>
  </w:style>
  <w:style w:type="table" w:styleId="92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2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2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2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2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2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2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3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3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3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3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3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3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3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3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3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3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4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4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4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4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4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4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4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4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4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4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5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5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5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5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5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5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5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5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5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59" w:customStyle="1">
    <w:name w:val="Lined - Accent"/>
    <w:uiPriority w:val="99"/>
    <w:qFormat/>
    <w:rPr>
      <w:color w:val="404040"/>
    </w:rPr>
    <w:tblPr>
      <w:tblCellMar>
        <w:left w:w="0" w:type="dxa"/>
        <w:top w:w="0" w:type="dxa"/>
        <w:right w:w="0" w:type="dxa"/>
        <w:bottom w:w="0" w:type="dxa"/>
      </w:tblCellMar>
    </w:tblPr>
  </w:style>
  <w:style w:type="table" w:styleId="960" w:customStyle="1">
    <w:name w:val="Lined - Accent 1"/>
    <w:uiPriority w:val="99"/>
    <w:qFormat/>
    <w:rPr>
      <w:color w:val="404040"/>
    </w:rPr>
    <w:tblPr>
      <w:tblCellMar>
        <w:left w:w="0" w:type="dxa"/>
        <w:top w:w="0" w:type="dxa"/>
        <w:right w:w="0" w:type="dxa"/>
        <w:bottom w:w="0" w:type="dxa"/>
      </w:tblCellMar>
    </w:tblPr>
  </w:style>
  <w:style w:type="table" w:styleId="961" w:customStyle="1">
    <w:name w:val="Lined - Accent 2"/>
    <w:uiPriority w:val="99"/>
    <w:qFormat/>
    <w:rPr>
      <w:color w:val="404040"/>
    </w:rPr>
    <w:tblPr>
      <w:tblCellMar>
        <w:left w:w="0" w:type="dxa"/>
        <w:top w:w="0" w:type="dxa"/>
        <w:right w:w="0" w:type="dxa"/>
        <w:bottom w:w="0" w:type="dxa"/>
      </w:tblCellMar>
    </w:tblPr>
  </w:style>
  <w:style w:type="table" w:styleId="962" w:customStyle="1">
    <w:name w:val="Lined - Accent 3"/>
    <w:uiPriority w:val="99"/>
    <w:qFormat/>
    <w:rPr>
      <w:color w:val="404040"/>
    </w:rPr>
    <w:tblPr>
      <w:tblCellMar>
        <w:left w:w="0" w:type="dxa"/>
        <w:top w:w="0" w:type="dxa"/>
        <w:right w:w="0" w:type="dxa"/>
        <w:bottom w:w="0" w:type="dxa"/>
      </w:tblCellMar>
    </w:tblPr>
  </w:style>
  <w:style w:type="table" w:styleId="963" w:customStyle="1">
    <w:name w:val="Lined - Accent 4"/>
    <w:uiPriority w:val="99"/>
    <w:qFormat/>
    <w:rPr>
      <w:color w:val="404040"/>
    </w:rPr>
    <w:tblPr>
      <w:tblCellMar>
        <w:left w:w="0" w:type="dxa"/>
        <w:top w:w="0" w:type="dxa"/>
        <w:right w:w="0" w:type="dxa"/>
        <w:bottom w:w="0" w:type="dxa"/>
      </w:tblCellMar>
    </w:tblPr>
  </w:style>
  <w:style w:type="table" w:styleId="964" w:customStyle="1">
    <w:name w:val="Lined - Accent 5"/>
    <w:uiPriority w:val="99"/>
    <w:qFormat/>
    <w:rPr>
      <w:color w:val="404040"/>
    </w:rPr>
    <w:tblPr>
      <w:tblCellMar>
        <w:left w:w="0" w:type="dxa"/>
        <w:top w:w="0" w:type="dxa"/>
        <w:right w:w="0" w:type="dxa"/>
        <w:bottom w:w="0" w:type="dxa"/>
      </w:tblCellMar>
    </w:tblPr>
  </w:style>
  <w:style w:type="table" w:styleId="965" w:customStyle="1">
    <w:name w:val="Lined - Accent 6"/>
    <w:uiPriority w:val="99"/>
    <w:qFormat/>
    <w:rPr>
      <w:color w:val="404040"/>
    </w:rPr>
    <w:tblPr>
      <w:tblCellMar>
        <w:left w:w="0" w:type="dxa"/>
        <w:top w:w="0" w:type="dxa"/>
        <w:right w:w="0" w:type="dxa"/>
        <w:bottom w:w="0" w:type="dxa"/>
      </w:tblCellMar>
    </w:tblPr>
  </w:style>
  <w:style w:type="table" w:styleId="96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67" w:customStyle="1">
    <w:name w:val="Bordered &amp; Lined - Accent 1"/>
    <w:uiPriority w:val="99"/>
    <w:qFormat/>
    <w:rPr>
      <w:color w:val="404040"/>
    </w:rPr>
    <w:tblPr>
      <w:tblCellMar>
        <w:left w:w="0" w:type="dxa"/>
        <w:top w:w="0" w:type="dxa"/>
        <w:right w:w="0" w:type="dxa"/>
        <w:bottom w:w="0" w:type="dxa"/>
      </w:tblCellMar>
    </w:tblPr>
  </w:style>
  <w:style w:type="table" w:styleId="96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6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7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7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7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7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7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7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80" w:customStyle="1">
    <w:name w:val="脚注文本 字符"/>
    <w:link w:val="763"/>
    <w:uiPriority w:val="0"/>
    <w:qFormat/>
    <w:rPr>
      <w:sz w:val="18"/>
    </w:rPr>
  </w:style>
  <w:style w:type="character" w:styleId="981" w:customStyle="1">
    <w:name w:val="尾注文本 字符"/>
    <w:link w:val="752"/>
    <w:uiPriority w:val="99"/>
    <w:qFormat/>
    <w:rPr>
      <w:sz w:val="20"/>
    </w:rPr>
  </w:style>
  <w:style w:type="paragraph" w:styleId="982" w:customStyle="1">
    <w:name w:val="TOC 标题11"/>
    <w:uiPriority w:val="39"/>
    <w:unhideWhenUsed/>
    <w:qFormat/>
    <w:rPr>
      <w:rFonts w:hint="default" w:ascii="Times New Roman" w:hAnsi="Times New Roman" w:eastAsia="宋体" w:cs="Times New Roman"/>
    </w:rPr>
  </w:style>
  <w:style w:type="character" w:styleId="983" w:customStyle="1">
    <w:name w:val="标题 2 字符"/>
    <w:link w:val="718"/>
    <w:uiPriority w:val="0"/>
    <w:qFormat/>
    <w:rPr>
      <w:rFonts w:ascii="Arial" w:hAnsi="Arial" w:eastAsia="黑体" w:cs="Times New Roman"/>
      <w:b/>
      <w:bCs/>
      <w:sz w:val="32"/>
      <w:szCs w:val="32"/>
    </w:rPr>
  </w:style>
  <w:style w:type="character" w:styleId="984" w:customStyle="1">
    <w:name w:val="标题 3 字符"/>
    <w:link w:val="719"/>
    <w:uiPriority w:val="99"/>
    <w:qFormat/>
    <w:rPr>
      <w:rFonts w:ascii="Times New Roman" w:hAnsi="Times New Roman" w:eastAsia="宋体" w:cs="Times New Roman"/>
      <w:b/>
      <w:bCs/>
      <w:sz w:val="32"/>
      <w:szCs w:val="32"/>
    </w:rPr>
  </w:style>
  <w:style w:type="character" w:styleId="985" w:customStyle="1">
    <w:name w:val="标题 4 字符"/>
    <w:link w:val="720"/>
    <w:uiPriority w:val="0"/>
    <w:qFormat/>
    <w:rPr>
      <w:rFonts w:ascii="Times New Roman" w:hAnsi="Times New Roman" w:eastAsia="新宋体" w:cs="Times New Roman"/>
      <w:sz w:val="30"/>
      <w:szCs w:val="21"/>
    </w:rPr>
  </w:style>
  <w:style w:type="character" w:styleId="986" w:customStyle="1">
    <w:name w:val="标题 5 字符"/>
    <w:link w:val="721"/>
    <w:uiPriority w:val="0"/>
    <w:qFormat/>
    <w:rPr>
      <w:rFonts w:ascii="Times New Roman" w:hAnsi="Times New Roman" w:eastAsia="宋体" w:cs="Times New Roman"/>
      <w:b/>
      <w:bCs/>
      <w:sz w:val="28"/>
      <w:szCs w:val="28"/>
    </w:rPr>
  </w:style>
  <w:style w:type="character" w:styleId="987" w:customStyle="1">
    <w:name w:val="标题 6 字符"/>
    <w:link w:val="722"/>
    <w:uiPriority w:val="0"/>
    <w:qFormat/>
    <w:rPr>
      <w:rFonts w:ascii="Times New Roman" w:hAnsi="Times New Roman" w:eastAsia="宋体" w:cs="Times New Roman"/>
      <w:b/>
      <w:sz w:val="44"/>
      <w:szCs w:val="20"/>
    </w:rPr>
  </w:style>
  <w:style w:type="character" w:styleId="988" w:customStyle="1">
    <w:name w:val="正文缩进 字符"/>
    <w:link w:val="728"/>
    <w:uiPriority w:val="0"/>
    <w:qFormat/>
    <w:rPr>
      <w:rFonts w:ascii="Times New Roman" w:hAnsi="Times New Roman" w:eastAsia="宋体" w:cs="Times New Roman"/>
      <w:sz w:val="20"/>
      <w:szCs w:val="20"/>
    </w:rPr>
  </w:style>
  <w:style w:type="character" w:styleId="989" w:customStyle="1">
    <w:name w:val="标题 7 字符"/>
    <w:link w:val="723"/>
    <w:uiPriority w:val="0"/>
    <w:qFormat/>
    <w:rPr>
      <w:rFonts w:ascii="Times New Roman" w:hAnsi="Times New Roman" w:eastAsia="宋体" w:cs="Times New Roman"/>
      <w:b/>
      <w:bCs/>
      <w:sz w:val="24"/>
      <w:szCs w:val="24"/>
    </w:rPr>
  </w:style>
  <w:style w:type="character" w:styleId="990" w:customStyle="1">
    <w:name w:val="标题 8 字符"/>
    <w:link w:val="724"/>
    <w:uiPriority w:val="0"/>
    <w:qFormat/>
    <w:rPr>
      <w:rFonts w:ascii="Arial" w:hAnsi="Arial" w:eastAsia="黑体" w:cs="Times New Roman"/>
      <w:sz w:val="24"/>
      <w:szCs w:val="24"/>
    </w:rPr>
  </w:style>
  <w:style w:type="character" w:styleId="991" w:customStyle="1">
    <w:name w:val="标题 9 字符"/>
    <w:link w:val="725"/>
    <w:uiPriority w:val="0"/>
    <w:qFormat/>
    <w:rPr>
      <w:rFonts w:ascii="Arial" w:hAnsi="Arial" w:eastAsia="黑体" w:cs="Times New Roman"/>
      <w:sz w:val="24"/>
      <w:szCs w:val="21"/>
    </w:rPr>
  </w:style>
  <w:style w:type="character" w:styleId="992" w:customStyle="1">
    <w:name w:val="文档结构图 字符"/>
    <w:link w:val="734"/>
    <w:uiPriority w:val="0"/>
    <w:qFormat/>
    <w:rPr>
      <w:szCs w:val="24"/>
      <w:shd w:val="clear" w:color="auto" w:fill="000080"/>
    </w:rPr>
  </w:style>
  <w:style w:type="character" w:styleId="993" w:customStyle="1">
    <w:name w:val="正文文本 3 字符"/>
    <w:link w:val="738"/>
    <w:uiPriority w:val="0"/>
    <w:qFormat/>
    <w:rPr>
      <w:rFonts w:ascii="Times New Roman" w:hAnsi="Times New Roman" w:eastAsia="宋体" w:cs="Times New Roman"/>
      <w:sz w:val="16"/>
      <w:szCs w:val="16"/>
    </w:rPr>
  </w:style>
  <w:style w:type="character" w:styleId="994" w:customStyle="1">
    <w:name w:val="正文文本 字符"/>
    <w:link w:val="739"/>
    <w:uiPriority w:val="0"/>
    <w:qFormat/>
    <w:rPr>
      <w:rFonts w:ascii="仿宋_GB2312" w:hAnsi="Times New Roman" w:eastAsia="仿宋_GB2312" w:cs="Times New Roman"/>
      <w:sz w:val="24"/>
      <w:szCs w:val="20"/>
    </w:rPr>
  </w:style>
  <w:style w:type="character" w:styleId="995" w:customStyle="1">
    <w:name w:val="正文文本缩进 字符"/>
    <w:link w:val="740"/>
    <w:uiPriority w:val="0"/>
    <w:qFormat/>
    <w:rPr>
      <w:rFonts w:ascii="仿宋_GB2312" w:hAnsi="Times New Roman" w:eastAsia="仿宋_GB2312" w:cs="Times New Roman"/>
      <w:sz w:val="28"/>
      <w:szCs w:val="20"/>
    </w:rPr>
  </w:style>
  <w:style w:type="character" w:styleId="996" w:customStyle="1">
    <w:name w:val="纯文本 字符"/>
    <w:link w:val="747"/>
    <w:uiPriority w:val="0"/>
    <w:qFormat/>
    <w:rPr>
      <w:rFonts w:ascii="宋体" w:hAnsi="Courier New" w:eastAsia="宋体" w:cs="Courier New"/>
      <w:szCs w:val="21"/>
    </w:rPr>
  </w:style>
  <w:style w:type="character" w:styleId="997" w:customStyle="1">
    <w:name w:val="日期 字符"/>
    <w:link w:val="750"/>
    <w:uiPriority w:val="0"/>
    <w:qFormat/>
    <w:rPr>
      <w:rFonts w:ascii="Times New Roman" w:hAnsi="Times New Roman" w:eastAsia="宋体" w:cs="Times New Roman"/>
      <w:sz w:val="24"/>
      <w:szCs w:val="20"/>
    </w:rPr>
  </w:style>
  <w:style w:type="character" w:styleId="998" w:customStyle="1">
    <w:name w:val="正文文本缩进 2 字符"/>
    <w:link w:val="751"/>
    <w:uiPriority w:val="0"/>
    <w:qFormat/>
    <w:rPr>
      <w:rFonts w:ascii="Times New Roman" w:hAnsi="Times New Roman" w:eastAsia="仿宋_GB2312" w:cs="Times New Roman"/>
      <w:sz w:val="28"/>
      <w:szCs w:val="20"/>
    </w:rPr>
  </w:style>
  <w:style w:type="character" w:styleId="999" w:customStyle="1">
    <w:name w:val="批注框文本 字符"/>
    <w:link w:val="753"/>
    <w:uiPriority w:val="0"/>
    <w:qFormat/>
    <w:rPr>
      <w:sz w:val="18"/>
      <w:szCs w:val="18"/>
    </w:rPr>
  </w:style>
  <w:style w:type="character" w:styleId="1000" w:customStyle="1">
    <w:name w:val="页脚 字符"/>
    <w:link w:val="754"/>
    <w:uiPriority w:val="99"/>
    <w:qFormat/>
    <w:rPr>
      <w:rFonts w:ascii="Times New Roman" w:hAnsi="Times New Roman" w:eastAsia="宋体" w:cs="Times New Roman"/>
      <w:sz w:val="18"/>
      <w:szCs w:val="20"/>
    </w:rPr>
  </w:style>
  <w:style w:type="character" w:styleId="1001" w:customStyle="1">
    <w:name w:val="页眉 字符"/>
    <w:link w:val="755"/>
    <w:uiPriority w:val="99"/>
    <w:qFormat/>
    <w:rPr>
      <w:rFonts w:ascii="Times New Roman" w:hAnsi="Times New Roman" w:eastAsia="宋体" w:cs="Times New Roman"/>
      <w:sz w:val="18"/>
      <w:szCs w:val="18"/>
    </w:rPr>
  </w:style>
  <w:style w:type="paragraph" w:styleId="1002" w:customStyle="1">
    <w:name w:val="目录 11"/>
    <w:basedOn w:val="716"/>
    <w:next w:val="716"/>
    <w:uiPriority w:val="0"/>
    <w:qFormat/>
    <w:rPr>
      <w:sz w:val="24"/>
    </w:rPr>
  </w:style>
  <w:style w:type="character" w:styleId="1003" w:customStyle="1">
    <w:name w:val="正文文本缩进 3 字符"/>
    <w:link w:val="765"/>
    <w:uiPriority w:val="0"/>
    <w:qFormat/>
    <w:rPr>
      <w:rFonts w:ascii="Times New Roman" w:hAnsi="Times New Roman" w:eastAsia="宋体" w:cs="Times New Roman"/>
      <w:sz w:val="16"/>
      <w:szCs w:val="16"/>
    </w:rPr>
  </w:style>
  <w:style w:type="character" w:styleId="1004" w:customStyle="1">
    <w:name w:val="正文文本 2 字符"/>
    <w:link w:val="771"/>
    <w:uiPriority w:val="0"/>
    <w:qFormat/>
    <w:rPr>
      <w:rFonts w:ascii="Times New Roman" w:hAnsi="Times New Roman" w:eastAsia="宋体" w:cs="Times New Roman"/>
      <w:b/>
      <w:bCs/>
      <w:sz w:val="18"/>
      <w:szCs w:val="24"/>
    </w:rPr>
  </w:style>
  <w:style w:type="character" w:styleId="1005" w:customStyle="1">
    <w:name w:val="HTML 预设格式 字符"/>
    <w:link w:val="772"/>
    <w:uiPriority w:val="0"/>
    <w:qFormat/>
    <w:rPr>
      <w:rFonts w:ascii="等线 Light" w:hAnsi="等线 Light" w:eastAsia="幼圆" w:cs="等线 Light"/>
      <w:sz w:val="24"/>
      <w:szCs w:val="22"/>
    </w:rPr>
  </w:style>
  <w:style w:type="paragraph" w:styleId="1006" w:customStyle="1">
    <w:name w:val="正文首行缩进1"/>
    <w:basedOn w:val="739"/>
    <w:link w:val="1007"/>
    <w:uiPriority w:val="0"/>
    <w:qFormat/>
  </w:style>
  <w:style w:type="character" w:styleId="1007" w:customStyle="1">
    <w:name w:val="正文文本首行缩进 字符"/>
    <w:link w:val="1006"/>
    <w:uiPriority w:val="0"/>
    <w:qFormat/>
    <w:rPr>
      <w:rFonts w:ascii="Times New Roman" w:hAnsi="Times New Roman" w:eastAsia="宋体" w:cs="Times New Roman"/>
      <w:sz w:val="24"/>
      <w:szCs w:val="24"/>
    </w:rPr>
  </w:style>
  <w:style w:type="character" w:styleId="1008" w:customStyle="1">
    <w:name w:val="已访问的超链接1"/>
    <w:uiPriority w:val="99"/>
    <w:qFormat/>
    <w:rPr>
      <w:color w:val="800080"/>
      <w:u w:val="single"/>
    </w:rPr>
  </w:style>
  <w:style w:type="character" w:styleId="1009" w:customStyle="1">
    <w:name w:val="列表段落 字符1"/>
    <w:link w:val="861"/>
    <w:uiPriority w:val="99"/>
    <w:qFormat/>
  </w:style>
  <w:style w:type="character" w:styleId="1010" w:customStyle="1">
    <w:name w:val="文档结构图 Char1"/>
    <w:uiPriority w:val="99"/>
    <w:semiHidden/>
    <w:qFormat/>
    <w:rPr>
      <w:rFonts w:ascii="宋体" w:hAnsi="Times New Roman" w:eastAsia="宋体" w:cs="Times New Roman"/>
      <w:sz w:val="18"/>
      <w:szCs w:val="18"/>
    </w:rPr>
  </w:style>
  <w:style w:type="character" w:styleId="1011" w:customStyle="1">
    <w:name w:val="普通正文 Char"/>
    <w:link w:val="1012"/>
    <w:uiPriority w:val="0"/>
    <w:qFormat/>
    <w:rPr>
      <w:rFonts w:ascii="Arial" w:hAnsi="Arial"/>
      <w:sz w:val="24"/>
      <w:szCs w:val="24"/>
    </w:rPr>
  </w:style>
  <w:style w:type="paragraph" w:styleId="1012" w:customStyle="1">
    <w:name w:val="普通正文"/>
    <w:basedOn w:val="716"/>
    <w:link w:val="1011"/>
    <w:uiPriority w:val="99"/>
    <w:qFormat/>
    <w:pPr>
      <w:ind w:left="-2" w:right="120" w:firstLine="480"/>
      <w:jc w:val="center"/>
      <w:spacing w:before="120" w:after="120" w:line="360" w:lineRule="auto"/>
    </w:pPr>
    <w:rPr>
      <w:rFonts w:ascii="Arial" w:hAnsi="Arial"/>
      <w:sz w:val="24"/>
    </w:rPr>
  </w:style>
  <w:style w:type="character" w:styleId="1013" w:customStyle="1">
    <w:name w:val="FA正文 Char"/>
    <w:link w:val="1014"/>
    <w:uiPriority w:val="0"/>
    <w:qFormat/>
    <w:rPr>
      <w:rFonts w:ascii="宋体" w:hAnsi="宋体" w:eastAsia="宋体" w:cs="Times New Roman"/>
      <w:sz w:val="28"/>
      <w:szCs w:val="28"/>
    </w:rPr>
  </w:style>
  <w:style w:type="paragraph" w:styleId="1014" w:customStyle="1">
    <w:name w:val="FA正文"/>
    <w:basedOn w:val="716"/>
    <w:link w:val="1013"/>
    <w:uiPriority w:val="0"/>
    <w:qFormat/>
    <w:pPr>
      <w:ind w:firstLine="538"/>
      <w:spacing w:line="440" w:lineRule="atLeast"/>
      <w:tabs>
        <w:tab w:val="left" w:pos="3375" w:leader="none"/>
      </w:tabs>
    </w:pPr>
    <w:rPr>
      <w:rFonts w:ascii="宋体" w:hAnsi="宋体"/>
      <w:sz w:val="28"/>
      <w:szCs w:val="28"/>
    </w:rPr>
  </w:style>
  <w:style w:type="character" w:styleId="1015" w:customStyle="1">
    <w:name w:val="正文缩进2格 Char"/>
    <w:link w:val="1016"/>
    <w:uiPriority w:val="0"/>
    <w:qFormat/>
    <w:rPr>
      <w:rFonts w:ascii="仿宋_GB2312" w:hAnsi="宋体" w:eastAsia="仿宋_GB2312" w:cs="Times New Roman"/>
      <w:sz w:val="31"/>
      <w:szCs w:val="28"/>
    </w:rPr>
  </w:style>
  <w:style w:type="paragraph" w:styleId="1016" w:customStyle="1">
    <w:name w:val="正文缩进2格"/>
    <w:basedOn w:val="716"/>
    <w:link w:val="1015"/>
    <w:uiPriority w:val="0"/>
    <w:qFormat/>
    <w:pPr>
      <w:ind w:firstLine="639"/>
      <w:spacing w:line="600" w:lineRule="exact"/>
    </w:pPr>
    <w:rPr>
      <w:rFonts w:ascii="仿宋_GB2312" w:hAnsi="宋体" w:eastAsia="仿宋_GB2312"/>
      <w:sz w:val="31"/>
      <w:szCs w:val="28"/>
    </w:rPr>
  </w:style>
  <w:style w:type="character" w:styleId="1017" w:customStyle="1">
    <w:name w:val="cn_text1"/>
    <w:uiPriority w:val="0"/>
    <w:qFormat/>
    <w:rPr>
      <w:rFonts w:ascii="仿宋" w:hAnsi="仿宋"/>
      <w:color w:val="003399"/>
      <w:spacing w:val="15"/>
      <w:sz w:val="18"/>
      <w:szCs w:val="18"/>
    </w:rPr>
  </w:style>
  <w:style w:type="character" w:styleId="1018" w:customStyle="1">
    <w:name w:val="ssss Char"/>
    <w:uiPriority w:val="0"/>
    <w:qFormat/>
    <w:rPr>
      <w:rFonts w:eastAsia="宋体"/>
      <w:sz w:val="24"/>
      <w:szCs w:val="24"/>
      <w:lang w:val="en-US" w:eastAsia="zh-CN" w:bidi="ar-SA"/>
    </w:rPr>
  </w:style>
  <w:style w:type="character" w:styleId="1019" w:customStyle="1">
    <w:name w:val="ssss Char1"/>
    <w:link w:val="1020"/>
    <w:uiPriority w:val="0"/>
    <w:qFormat/>
    <w:rPr>
      <w:rFonts w:ascii="Times New Roman" w:hAnsi="Times New Roman" w:eastAsia="宋体" w:cs="Times New Roman"/>
      <w:sz w:val="24"/>
      <w:szCs w:val="24"/>
    </w:rPr>
  </w:style>
  <w:style w:type="paragraph" w:styleId="1020" w:customStyle="1">
    <w:name w:val="ssss"/>
    <w:basedOn w:val="716"/>
    <w:link w:val="1019"/>
    <w:uiPriority w:val="0"/>
    <w:qFormat/>
    <w:pPr>
      <w:ind w:firstLine="480"/>
      <w:spacing w:line="360" w:lineRule="auto"/>
    </w:pPr>
    <w:rPr>
      <w:sz w:val="24"/>
    </w:rPr>
  </w:style>
  <w:style w:type="character" w:styleId="1021" w:customStyle="1">
    <w:name w:val="标题 4 Char1"/>
    <w:uiPriority w:val="0"/>
    <w:qFormat/>
    <w:rPr>
      <w:rFonts w:ascii="Arial" w:hAnsi="Arial" w:eastAsia="黑体"/>
      <w:b/>
      <w:bCs/>
      <w:sz w:val="28"/>
      <w:szCs w:val="28"/>
      <w:lang w:val="en-US" w:eastAsia="zh-CN" w:bidi="ar-SA"/>
    </w:rPr>
  </w:style>
  <w:style w:type="character" w:styleId="1022" w:customStyle="1">
    <w:name w:val="列表段落 字符"/>
    <w:uiPriority w:val="34"/>
    <w:qFormat/>
    <w:rPr>
      <w:rFonts w:ascii="Calibri" w:hAnsi="Calibri"/>
      <w:sz w:val="21"/>
      <w:szCs w:val="22"/>
    </w:rPr>
  </w:style>
  <w:style w:type="character" w:styleId="1023" w:customStyle="1">
    <w:name w:val="批注框文本 Char1"/>
    <w:uiPriority w:val="99"/>
    <w:semiHidden/>
    <w:qFormat/>
    <w:rPr>
      <w:rFonts w:ascii="Times New Roman" w:hAnsi="Times New Roman" w:eastAsia="宋体" w:cs="Times New Roman"/>
      <w:sz w:val="18"/>
      <w:szCs w:val="18"/>
    </w:rPr>
  </w:style>
  <w:style w:type="character" w:styleId="1024" w:customStyle="1">
    <w:name w:val="样式 ssss + 宋体 五号1 Char"/>
    <w:link w:val="1025"/>
    <w:uiPriority w:val="0"/>
    <w:qFormat/>
    <w:rPr>
      <w:rFonts w:ascii="宋体" w:hAnsi="宋体" w:eastAsia="宋体" w:cs="Times New Roman"/>
      <w:sz w:val="24"/>
      <w:szCs w:val="24"/>
    </w:rPr>
  </w:style>
  <w:style w:type="paragraph" w:styleId="1025" w:customStyle="1">
    <w:name w:val="样式 ssss + 宋体 五号1"/>
    <w:basedOn w:val="1020"/>
    <w:link w:val="1024"/>
    <w:uiPriority w:val="0"/>
    <w:qFormat/>
    <w:rPr>
      <w:rFonts w:ascii="宋体" w:hAnsi="宋体"/>
    </w:rPr>
  </w:style>
  <w:style w:type="character" w:styleId="1026" w:customStyle="1">
    <w:name w:val="point_normal1"/>
    <w:uiPriority w:val="0"/>
    <w:qFormat/>
    <w:rPr>
      <w:rFonts w:ascii="Arial" w:hAnsi="Arial" w:cs="Arial"/>
      <w:sz w:val="16"/>
      <w:szCs w:val="16"/>
    </w:rPr>
  </w:style>
  <w:style w:type="paragraph" w:styleId="1027" w:customStyle="1">
    <w:name w:val="样式 正文文本缩进 3 + 四号"/>
    <w:basedOn w:val="765"/>
    <w:uiPriority w:val="0"/>
    <w:qFormat/>
    <w:pPr>
      <w:ind w:left="0" w:firstLine="437"/>
      <w:spacing w:after="0" w:line="360" w:lineRule="auto"/>
    </w:pPr>
    <w:rPr>
      <w:sz w:val="24"/>
      <w:szCs w:val="21"/>
    </w:rPr>
  </w:style>
  <w:style w:type="paragraph" w:styleId="1028" w:customStyle="1">
    <w:name w:val="2cxsplast"/>
    <w:basedOn w:val="716"/>
    <w:uiPriority w:val="0"/>
    <w:qFormat/>
    <w:pPr>
      <w:jc w:val="left"/>
      <w:spacing w:before="100" w:beforeAutospacing="1" w:after="100" w:afterAutospacing="1"/>
      <w:widowControl/>
    </w:pPr>
    <w:rPr>
      <w:rFonts w:ascii="宋体" w:hAnsi="宋体" w:cs="宋体"/>
      <w:sz w:val="24"/>
    </w:rPr>
  </w:style>
  <w:style w:type="paragraph" w:styleId="1029" w:customStyle="1">
    <w:name w:val="ec_msonormal"/>
    <w:basedOn w:val="716"/>
    <w:uiPriority w:val="0"/>
    <w:qFormat/>
    <w:pPr>
      <w:jc w:val="left"/>
      <w:spacing w:before="100" w:beforeAutospacing="1" w:after="100" w:afterAutospacing="1"/>
      <w:widowControl/>
    </w:pPr>
    <w:rPr>
      <w:rFonts w:ascii="宋体" w:hAnsi="宋体"/>
      <w:sz w:val="24"/>
    </w:rPr>
  </w:style>
  <w:style w:type="paragraph" w:styleId="1030" w:customStyle="1">
    <w:name w:val="Char Char Char Char"/>
    <w:basedOn w:val="716"/>
    <w:uiPriority w:val="0"/>
    <w:qFormat/>
    <w:rPr>
      <w:rFonts w:ascii="Tahoma" w:hAnsi="Tahoma"/>
      <w:sz w:val="24"/>
      <w:szCs w:val="20"/>
    </w:rPr>
  </w:style>
  <w:style w:type="paragraph" w:styleId="1031" w:customStyle="1">
    <w:name w:val="Char Char Char Char Char Char Char Char Char Char Char Char Char"/>
    <w:basedOn w:val="716"/>
    <w:uiPriority w:val="0"/>
    <w:qFormat/>
  </w:style>
  <w:style w:type="paragraph" w:styleId="1032" w:customStyle="1">
    <w:name w:val="表格正文"/>
    <w:basedOn w:val="716"/>
    <w:uiPriority w:val="0"/>
    <w:qFormat/>
    <w:pPr>
      <w:jc w:val="left"/>
      <w:spacing w:line="360" w:lineRule="auto"/>
    </w:pPr>
    <w:rPr>
      <w:rFonts w:ascii="Calibri" w:hAnsi="Calibri"/>
      <w:color w:val="000000"/>
      <w:szCs w:val="28"/>
    </w:rPr>
  </w:style>
  <w:style w:type="paragraph" w:styleId="1033" w:customStyle="1">
    <w:name w:val="Normal1"/>
    <w:uiPriority w:val="0"/>
    <w:qFormat/>
    <w:pPr>
      <w:jc w:val="both"/>
      <w:spacing w:line="315" w:lineRule="atLeast"/>
      <w:widowControl w:val="off"/>
    </w:pPr>
    <w:rPr>
      <w:rFonts w:hint="default" w:ascii="宋体" w:hAnsi="Times New Roman" w:eastAsia="宋体" w:cs="Times New Roman"/>
      <w:sz w:val="24"/>
    </w:rPr>
  </w:style>
  <w:style w:type="paragraph" w:styleId="1034" w:customStyle="1">
    <w:name w:val="Char Char Char Char1"/>
    <w:basedOn w:val="716"/>
    <w:uiPriority w:val="0"/>
    <w:qFormat/>
    <w:rPr>
      <w:rFonts w:ascii="Tahoma" w:hAnsi="Tahoma"/>
      <w:sz w:val="24"/>
      <w:szCs w:val="20"/>
    </w:rPr>
  </w:style>
  <w:style w:type="paragraph" w:styleId="1035" w:customStyle="1">
    <w:name w:val="Char Char Char"/>
    <w:basedOn w:val="716"/>
    <w:uiPriority w:val="0"/>
    <w:qFormat/>
    <w:rPr>
      <w:rFonts w:ascii="Tahoma" w:hAnsi="Tahoma"/>
      <w:sz w:val="24"/>
      <w:szCs w:val="20"/>
    </w:rPr>
  </w:style>
  <w:style w:type="paragraph" w:styleId="1036" w:customStyle="1">
    <w:name w:val="标题-----3"/>
    <w:basedOn w:val="719"/>
    <w:uiPriority w:val="0"/>
    <w:qFormat/>
    <w:pPr>
      <w:spacing w:after="0" w:line="240" w:lineRule="auto"/>
      <w:outlineLvl w:val="0"/>
    </w:pPr>
    <w:rPr>
      <w:rFonts w:ascii="宋体" w:hAnsi="宋体"/>
      <w:b w:val="0"/>
      <w:sz w:val="28"/>
      <w:szCs w:val="28"/>
    </w:rPr>
  </w:style>
  <w:style w:type="paragraph" w:styleId="1037" w:customStyle="1">
    <w:name w:val="样式 ssss + 居中"/>
    <w:basedOn w:val="1020"/>
    <w:uiPriority w:val="0"/>
    <w:qFormat/>
    <w:pPr>
      <w:jc w:val="center"/>
    </w:pPr>
    <w:rPr>
      <w:rFonts w:cs="宋体"/>
      <w:szCs w:val="20"/>
    </w:rPr>
  </w:style>
  <w:style w:type="paragraph" w:styleId="1038" w:customStyle="1">
    <w:name w:val="样式 宋体 四号 黑色 左侧:  0.74 厘米 首行缩进:  0.74 厘米 行距: 1.5 倍行距"/>
    <w:basedOn w:val="716"/>
    <w:uiPriority w:val="0"/>
    <w:qFormat/>
    <w:pPr>
      <w:ind w:firstLine="420"/>
      <w:spacing w:line="360" w:lineRule="auto"/>
    </w:pPr>
    <w:rPr>
      <w:rFonts w:ascii="宋体"/>
      <w:color w:val="000000"/>
      <w:sz w:val="24"/>
      <w:szCs w:val="21"/>
    </w:rPr>
  </w:style>
  <w:style w:type="paragraph" w:styleId="1039" w:customStyle="1">
    <w:name w:val="样式 样式 ssss + 宋体 五号 + 首行缩进:  2 字符"/>
    <w:basedOn w:val="1040"/>
    <w:uiPriority w:val="0"/>
    <w:qFormat/>
    <w:pPr>
      <w:ind w:firstLine="480"/>
    </w:pPr>
  </w:style>
  <w:style w:type="paragraph" w:styleId="1040" w:customStyle="1">
    <w:name w:val="样式 ssss + 宋体 五号"/>
    <w:basedOn w:val="1020"/>
    <w:uiPriority w:val="0"/>
    <w:qFormat/>
    <w:pPr>
      <w:ind w:firstLine="420"/>
    </w:pPr>
    <w:rPr>
      <w:rFonts w:ascii="宋体" w:hAnsi="宋体" w:cs="宋体"/>
      <w:szCs w:val="20"/>
    </w:rPr>
  </w:style>
  <w:style w:type="paragraph" w:styleId="1041" w:customStyle="1">
    <w:name w:val="msonormalcxsplast"/>
    <w:basedOn w:val="716"/>
    <w:uiPriority w:val="0"/>
    <w:qFormat/>
    <w:pPr>
      <w:jc w:val="left"/>
      <w:spacing w:before="100" w:beforeAutospacing="1" w:after="100" w:afterAutospacing="1"/>
      <w:widowControl/>
    </w:pPr>
    <w:rPr>
      <w:rFonts w:ascii="宋体" w:hAnsi="宋体" w:cs="宋体"/>
      <w:sz w:val="24"/>
    </w:rPr>
  </w:style>
  <w:style w:type="paragraph" w:styleId="1042" w:customStyle="1">
    <w:name w:val="Char"/>
    <w:basedOn w:val="716"/>
    <w:uiPriority w:val="0"/>
    <w:qFormat/>
    <w:rPr>
      <w:rFonts w:ascii="Tahoma" w:hAnsi="Tahoma"/>
      <w:sz w:val="24"/>
      <w:szCs w:val="20"/>
    </w:rPr>
  </w:style>
  <w:style w:type="paragraph" w:styleId="1043" w:customStyle="1">
    <w:name w:val="xl25"/>
    <w:basedOn w:val="716"/>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44" w:customStyle="1">
    <w:name w:val="标题------4"/>
    <w:basedOn w:val="720"/>
    <w:uiPriority w:val="0"/>
    <w:qFormat/>
    <w:pPr>
      <w:ind w:left="960" w:hanging="420"/>
      <w:jc w:val="both"/>
      <w:keepLines/>
    </w:pPr>
    <w:rPr>
      <w:rFonts w:ascii="仿宋_GB2312" w:hAnsi="宋体" w:eastAsia="仿宋_GB2312" w:cs="仿宋_GB2312"/>
      <w:b/>
      <w:sz w:val="28"/>
      <w:szCs w:val="28"/>
      <w:lang w:val="zh-CN"/>
    </w:rPr>
  </w:style>
  <w:style w:type="paragraph" w:styleId="1045" w:customStyle="1">
    <w:name w:val="msonormalcxspmiddle"/>
    <w:basedOn w:val="716"/>
    <w:uiPriority w:val="0"/>
    <w:qFormat/>
    <w:pPr>
      <w:jc w:val="left"/>
      <w:spacing w:before="100" w:beforeAutospacing="1" w:after="100" w:afterAutospacing="1"/>
      <w:widowControl/>
    </w:pPr>
    <w:rPr>
      <w:rFonts w:ascii="宋体" w:hAnsi="宋体" w:cs="宋体"/>
      <w:sz w:val="24"/>
    </w:rPr>
  </w:style>
  <w:style w:type="paragraph" w:styleId="1046" w:customStyle="1">
    <w:name w:val="Char Char Char Char Char Char Char Char Char Char Char Char Char1"/>
    <w:basedOn w:val="716"/>
    <w:uiPriority w:val="0"/>
    <w:qFormat/>
    <w:rPr>
      <w:sz w:val="24"/>
    </w:rPr>
  </w:style>
  <w:style w:type="paragraph" w:styleId="1047" w:customStyle="1">
    <w:name w:val="表格"/>
    <w:basedOn w:val="716"/>
    <w:uiPriority w:val="0"/>
    <w:qFormat/>
    <w:rPr>
      <w:rFonts w:ascii="Arial" w:hAnsi="Arial"/>
      <w:sz w:val="24"/>
    </w:rPr>
  </w:style>
  <w:style w:type="paragraph" w:styleId="1048" w:customStyle="1">
    <w:name w:val="正文样式1"/>
    <w:basedOn w:val="716"/>
    <w:uiPriority w:val="0"/>
    <w:qFormat/>
    <w:pPr>
      <w:ind w:firstLine="480"/>
      <w:spacing w:before="120" w:after="120" w:line="360" w:lineRule="auto"/>
    </w:pPr>
    <w:rPr>
      <w:sz w:val="24"/>
      <w:szCs w:val="20"/>
    </w:rPr>
  </w:style>
  <w:style w:type="paragraph" w:styleId="1049" w:customStyle="1">
    <w:name w:val="Char Char1 Char Char Char Char Char Char"/>
    <w:basedOn w:val="716"/>
    <w:uiPriority w:val="0"/>
    <w:qFormat/>
    <w:pPr>
      <w:jc w:val="left"/>
      <w:spacing w:after="160" w:line="240" w:lineRule="exact"/>
      <w:widowControl/>
    </w:pPr>
    <w:rPr>
      <w:rFonts w:ascii="Verdana" w:hAnsi="Verdana" w:eastAsia="仿宋_GB2312"/>
      <w:sz w:val="24"/>
      <w:szCs w:val="20"/>
      <w:lang w:eastAsia="en-US"/>
    </w:rPr>
  </w:style>
  <w:style w:type="paragraph" w:styleId="1050" w:customStyle="1">
    <w:name w:val="Char Char Char Char Char Char Char Char Char Char"/>
    <w:basedOn w:val="716"/>
    <w:uiPriority w:val="0"/>
    <w:qFormat/>
    <w:rPr>
      <w:rFonts w:ascii="Tahoma" w:hAnsi="Tahoma"/>
      <w:sz w:val="24"/>
      <w:szCs w:val="20"/>
    </w:rPr>
  </w:style>
  <w:style w:type="paragraph" w:styleId="1051" w:customStyle="1">
    <w:name w:val="Char1"/>
    <w:basedOn w:val="716"/>
    <w:uiPriority w:val="0"/>
    <w:qFormat/>
    <w:pPr>
      <w:tabs>
        <w:tab w:val="left" w:pos="360" w:leader="none"/>
      </w:tabs>
    </w:pPr>
    <w:rPr>
      <w:sz w:val="24"/>
    </w:rPr>
  </w:style>
  <w:style w:type="paragraph" w:styleId="1052" w:customStyle="1">
    <w:name w:val="标题1"/>
    <w:basedOn w:val="716"/>
    <w:next w:val="71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3" w:customStyle="1">
    <w:name w:val="Header2"/>
    <w:basedOn w:val="716"/>
    <w:uiPriority w:val="0"/>
    <w:qFormat/>
    <w:pPr>
      <w:numPr>
        <w:ilvl w:val="0"/>
        <w:numId w:val="1"/>
      </w:numPr>
    </w:pPr>
  </w:style>
  <w:style w:type="paragraph" w:styleId="1054" w:customStyle="1">
    <w:name w:val="Char Char 字元 字元 字元 Char Char Char Char"/>
    <w:basedOn w:val="716"/>
    <w:uiPriority w:val="0"/>
    <w:qFormat/>
    <w:pPr>
      <w:spacing w:line="360" w:lineRule="auto"/>
    </w:pPr>
    <w:rPr>
      <w:sz w:val="24"/>
      <w:szCs w:val="20"/>
    </w:rPr>
  </w:style>
  <w:style w:type="paragraph" w:styleId="1055" w:customStyle="1">
    <w:name w:val="2cxspmiddle"/>
    <w:basedOn w:val="716"/>
    <w:uiPriority w:val="0"/>
    <w:qFormat/>
    <w:pPr>
      <w:jc w:val="left"/>
      <w:spacing w:before="100" w:beforeAutospacing="1" w:after="100" w:afterAutospacing="1"/>
      <w:widowControl/>
    </w:pPr>
    <w:rPr>
      <w:rFonts w:ascii="宋体" w:hAnsi="宋体" w:cs="宋体"/>
      <w:sz w:val="24"/>
    </w:rPr>
  </w:style>
  <w:style w:type="paragraph" w:styleId="1056" w:customStyle="1">
    <w:name w:val="正文_0_0"/>
    <w:uiPriority w:val="0"/>
    <w:qFormat/>
    <w:pPr>
      <w:jc w:val="both"/>
      <w:widowControl w:val="off"/>
    </w:pPr>
    <w:rPr>
      <w:rFonts w:hint="default" w:ascii="Times New Roman" w:hAnsi="Times New Roman" w:eastAsia="宋体" w:cs="Times New Roman"/>
      <w:sz w:val="21"/>
      <w:szCs w:val="24"/>
    </w:rPr>
  </w:style>
  <w:style w:type="paragraph" w:styleId="1057" w:customStyle="1">
    <w:name w:val="正文_1_0"/>
    <w:uiPriority w:val="0"/>
    <w:qFormat/>
    <w:pPr>
      <w:jc w:val="both"/>
      <w:widowControl w:val="off"/>
    </w:pPr>
    <w:rPr>
      <w:rFonts w:hint="default" w:ascii="Times New Roman" w:hAnsi="Times New Roman" w:eastAsia="宋体" w:cs="Times New Roman"/>
      <w:sz w:val="21"/>
      <w:szCs w:val="24"/>
    </w:rPr>
  </w:style>
  <w:style w:type="table" w:styleId="1058" w:customStyle="1">
    <w:name w:val="网格型1"/>
    <w:basedOn w:val="727"/>
    <w:uiPriority w:val="0"/>
    <w:qFormat/>
    <w:rPr>
      <w:rFonts w:ascii="等线" w:hAnsi="等线" w:eastAsia="等线"/>
      <w:sz w:val="21"/>
      <w:szCs w:val="22"/>
    </w:rPr>
    <w:tblPr/>
  </w:style>
  <w:style w:type="paragraph" w:styleId="1059" w:customStyle="1">
    <w:name w:val="正文_3"/>
    <w:uiPriority w:val="0"/>
    <w:qFormat/>
    <w:pPr>
      <w:jc w:val="both"/>
      <w:widowControl w:val="off"/>
    </w:pPr>
    <w:rPr>
      <w:rFonts w:hint="default" w:ascii="Times New Roman" w:hAnsi="Times New Roman" w:eastAsia="宋体" w:cs="Times New Roman"/>
      <w:sz w:val="21"/>
      <w:szCs w:val="24"/>
    </w:rPr>
  </w:style>
  <w:style w:type="paragraph" w:styleId="1060" w:customStyle="1">
    <w:name w:val="修订1"/>
    <w:uiPriority w:val="99"/>
    <w:unhideWhenUsed/>
    <w:qFormat/>
    <w:rPr>
      <w:rFonts w:hint="default" w:ascii="Times New Roman" w:hAnsi="Times New Roman" w:eastAsia="宋体" w:cs="Times New Roman"/>
      <w:sz w:val="21"/>
      <w:szCs w:val="24"/>
    </w:rPr>
  </w:style>
  <w:style w:type="paragraph" w:styleId="1061" w:customStyle="1">
    <w:name w:val="列出段落1"/>
    <w:basedOn w:val="716"/>
    <w:link w:val="1090"/>
    <w:uiPriority w:val="0"/>
    <w:qFormat/>
    <w:pPr>
      <w:ind w:firstLine="200"/>
    </w:pPr>
    <w:rPr>
      <w:rFonts w:ascii="Wingdings" w:hAnsi="Wingdings" w:eastAsia="幼圆" w:cs="Miss Sweetie"/>
      <w:szCs w:val="22"/>
    </w:rPr>
  </w:style>
  <w:style w:type="paragraph" w:styleId="1062" w:customStyle="1">
    <w:name w:val="Char1 Char Char Char"/>
    <w:basedOn w:val="716"/>
    <w:uiPriority w:val="0"/>
    <w:qFormat/>
    <w:pPr>
      <w:jc w:val="left"/>
      <w:spacing w:after="160" w:line="240" w:lineRule="exact"/>
      <w:widowControl/>
    </w:pPr>
    <w:rPr>
      <w:szCs w:val="20"/>
    </w:rPr>
  </w:style>
  <w:style w:type="paragraph" w:styleId="1063" w:customStyle="1">
    <w:name w:val="正文_2"/>
    <w:uiPriority w:val="0"/>
    <w:qFormat/>
    <w:pPr>
      <w:jc w:val="both"/>
      <w:widowControl w:val="off"/>
    </w:pPr>
    <w:rPr>
      <w:rFonts w:hint="default" w:ascii="等线" w:hAnsi="等线" w:eastAsia="等线" w:cs="等线"/>
      <w:sz w:val="21"/>
    </w:rPr>
  </w:style>
  <w:style w:type="paragraph" w:styleId="1064" w:customStyle="1">
    <w:name w:val="列表段落4"/>
    <w:basedOn w:val="716"/>
    <w:uiPriority w:val="34"/>
    <w:qFormat/>
    <w:pPr>
      <w:ind w:firstLine="420"/>
    </w:pPr>
    <w:rPr>
      <w:szCs w:val="22"/>
    </w:rPr>
  </w:style>
  <w:style w:type="character" w:styleId="1065" w:customStyle="1">
    <w:name w:val="font51"/>
    <w:basedOn w:val="726"/>
    <w:uiPriority w:val="99"/>
    <w:qFormat/>
    <w:rPr>
      <w:rFonts w:hint="eastAsia" w:ascii="宋体" w:hAnsi="宋体" w:eastAsia="宋体" w:cs="宋体"/>
      <w:color w:val="000000"/>
      <w:sz w:val="24"/>
      <w:szCs w:val="24"/>
      <w:u w:val="none"/>
    </w:rPr>
  </w:style>
  <w:style w:type="character" w:styleId="1066" w:customStyle="1">
    <w:name w:val="font71"/>
    <w:basedOn w:val="726"/>
    <w:uiPriority w:val="0"/>
    <w:qFormat/>
    <w:rPr>
      <w:rFonts w:hint="eastAsia" w:ascii="宋体" w:hAnsi="宋体" w:eastAsia="宋体" w:cs="宋体"/>
      <w:color w:val="000000"/>
      <w:sz w:val="24"/>
      <w:szCs w:val="24"/>
      <w:u w:val="none"/>
    </w:rPr>
  </w:style>
  <w:style w:type="character" w:styleId="1067" w:customStyle="1">
    <w:name w:val="font61"/>
    <w:basedOn w:val="726"/>
    <w:uiPriority w:val="0"/>
    <w:qFormat/>
    <w:rPr>
      <w:rFonts w:hint="eastAsia" w:ascii="宋体" w:hAnsi="宋体" w:eastAsia="宋体" w:cs="宋体"/>
      <w:color w:val="000000"/>
      <w:sz w:val="24"/>
      <w:szCs w:val="24"/>
      <w:u w:val="none"/>
    </w:rPr>
  </w:style>
  <w:style w:type="character" w:styleId="1068" w:customStyle="1">
    <w:name w:val="font81"/>
    <w:basedOn w:val="726"/>
    <w:uiPriority w:val="0"/>
    <w:qFormat/>
    <w:rPr>
      <w:rFonts w:hint="eastAsia" w:ascii="宋体" w:hAnsi="宋体" w:eastAsia="宋体" w:cs="宋体"/>
      <w:color w:val="000000"/>
      <w:sz w:val="24"/>
      <w:szCs w:val="24"/>
      <w:u w:val="none"/>
    </w:rPr>
  </w:style>
  <w:style w:type="character" w:styleId="1069" w:customStyle="1">
    <w:name w:val="批注文字 字符"/>
    <w:basedOn w:val="726"/>
    <w:link w:val="736"/>
    <w:uiPriority w:val="0"/>
    <w:qFormat/>
    <w:rPr>
      <w:rFonts w:ascii="Calibri" w:hAnsi="Calibri"/>
      <w:sz w:val="21"/>
      <w:szCs w:val="22"/>
    </w:rPr>
  </w:style>
  <w:style w:type="character" w:styleId="1070" w:customStyle="1">
    <w:name w:val="签名 字符"/>
    <w:basedOn w:val="726"/>
    <w:link w:val="756"/>
    <w:uiPriority w:val="0"/>
    <w:qFormat/>
    <w:rPr>
      <w:rFonts w:ascii="Calibri" w:hAnsi="Calibri" w:eastAsia="仿宋_GB2312"/>
      <w:sz w:val="24"/>
    </w:rPr>
  </w:style>
  <w:style w:type="character" w:styleId="1071" w:customStyle="1">
    <w:name w:val="批注主题 字符"/>
    <w:basedOn w:val="1069"/>
    <w:link w:val="776"/>
    <w:uiPriority w:val="99"/>
    <w:qFormat/>
    <w:rPr>
      <w:rFonts w:ascii="Calibri" w:hAnsi="Calibri"/>
      <w:b/>
      <w:bCs/>
      <w:sz w:val="21"/>
      <w:szCs w:val="21"/>
    </w:rPr>
  </w:style>
  <w:style w:type="paragraph" w:styleId="1072" w:customStyle="1">
    <w:name w:val="目录 711"/>
    <w:basedOn w:val="716"/>
    <w:next w:val="716"/>
    <w:uiPriority w:val="0"/>
    <w:semiHidden/>
    <w:qFormat/>
    <w:pPr>
      <w:ind w:left="1260"/>
      <w:jc w:val="left"/>
    </w:pPr>
    <w:rPr>
      <w:szCs w:val="21"/>
    </w:rPr>
  </w:style>
  <w:style w:type="paragraph" w:styleId="1073" w:customStyle="1">
    <w:name w:val="目录 511"/>
    <w:basedOn w:val="716"/>
    <w:next w:val="716"/>
    <w:uiPriority w:val="0"/>
    <w:semiHidden/>
    <w:qFormat/>
    <w:pPr>
      <w:ind w:left="840"/>
      <w:jc w:val="left"/>
    </w:pPr>
    <w:rPr>
      <w:szCs w:val="21"/>
    </w:rPr>
  </w:style>
  <w:style w:type="paragraph" w:styleId="1074" w:customStyle="1">
    <w:name w:val="目录 311"/>
    <w:basedOn w:val="716"/>
    <w:next w:val="716"/>
    <w:uiPriority w:val="0"/>
    <w:semiHidden/>
    <w:qFormat/>
    <w:pPr>
      <w:ind w:left="420"/>
      <w:jc w:val="left"/>
    </w:pPr>
    <w:rPr>
      <w:i/>
      <w:iCs/>
    </w:rPr>
  </w:style>
  <w:style w:type="paragraph" w:styleId="1075" w:customStyle="1">
    <w:name w:val="目录 811"/>
    <w:basedOn w:val="716"/>
    <w:next w:val="716"/>
    <w:uiPriority w:val="0"/>
    <w:semiHidden/>
    <w:qFormat/>
    <w:pPr>
      <w:ind w:left="1470"/>
      <w:jc w:val="left"/>
    </w:pPr>
    <w:rPr>
      <w:szCs w:val="21"/>
    </w:rPr>
  </w:style>
  <w:style w:type="paragraph" w:styleId="1076" w:customStyle="1">
    <w:name w:val="目录 111"/>
    <w:basedOn w:val="716"/>
    <w:next w:val="716"/>
    <w:uiPriority w:val="0"/>
    <w:semiHidden/>
    <w:qFormat/>
    <w:pPr>
      <w:jc w:val="left"/>
      <w:spacing w:before="120" w:after="120" w:line="400" w:lineRule="exact"/>
      <w:tabs>
        <w:tab w:val="right" w:pos="8720" w:leader="dot"/>
      </w:tabs>
    </w:pPr>
    <w:rPr>
      <w:rFonts w:ascii="宋体" w:hAnsi="宋体"/>
      <w:caps/>
      <w:sz w:val="24"/>
    </w:rPr>
  </w:style>
  <w:style w:type="paragraph" w:styleId="1077" w:customStyle="1">
    <w:name w:val="目录 411"/>
    <w:basedOn w:val="716"/>
    <w:next w:val="716"/>
    <w:uiPriority w:val="0"/>
    <w:semiHidden/>
    <w:qFormat/>
    <w:pPr>
      <w:ind w:left="630"/>
      <w:jc w:val="left"/>
    </w:pPr>
    <w:rPr>
      <w:szCs w:val="21"/>
    </w:rPr>
  </w:style>
  <w:style w:type="paragraph" w:styleId="1078" w:customStyle="1">
    <w:name w:val="目录 611"/>
    <w:basedOn w:val="716"/>
    <w:next w:val="716"/>
    <w:uiPriority w:val="0"/>
    <w:semiHidden/>
    <w:qFormat/>
    <w:pPr>
      <w:ind w:left="1050"/>
      <w:jc w:val="left"/>
    </w:pPr>
    <w:rPr>
      <w:szCs w:val="21"/>
    </w:rPr>
  </w:style>
  <w:style w:type="paragraph" w:styleId="1079" w:customStyle="1">
    <w:name w:val="目录 211"/>
    <w:basedOn w:val="716"/>
    <w:next w:val="716"/>
    <w:uiPriority w:val="0"/>
    <w:semiHidden/>
    <w:qFormat/>
    <w:pPr>
      <w:ind w:left="210"/>
      <w:jc w:val="left"/>
    </w:pPr>
    <w:rPr>
      <w:smallCaps/>
    </w:rPr>
  </w:style>
  <w:style w:type="paragraph" w:styleId="1080" w:customStyle="1">
    <w:name w:val="目录 911"/>
    <w:basedOn w:val="716"/>
    <w:next w:val="716"/>
    <w:uiPriority w:val="0"/>
    <w:semiHidden/>
    <w:qFormat/>
    <w:pPr>
      <w:ind w:left="1680"/>
      <w:jc w:val="left"/>
    </w:pPr>
    <w:rPr>
      <w:szCs w:val="21"/>
    </w:rPr>
  </w:style>
  <w:style w:type="paragraph" w:styleId="1081" w:customStyle="1">
    <w:name w:val="正文首行缩进11"/>
    <w:basedOn w:val="739"/>
    <w:link w:val="1082"/>
    <w:uiPriority w:val="0"/>
    <w:qFormat/>
    <w:pPr>
      <w:ind w:firstLine="200"/>
    </w:pPr>
    <w:rPr>
      <w:sz w:val="30"/>
      <w:szCs w:val="30"/>
    </w:rPr>
  </w:style>
  <w:style w:type="character" w:styleId="1082" w:customStyle="1">
    <w:name w:val="正文首行缩进 Char"/>
    <w:link w:val="1081"/>
    <w:uiPriority w:val="0"/>
    <w:qFormat/>
    <w:rPr>
      <w:rFonts w:ascii="仿宋_GB2312" w:eastAsia="仿宋_GB2312"/>
      <w:sz w:val="30"/>
      <w:szCs w:val="30"/>
    </w:rPr>
  </w:style>
  <w:style w:type="paragraph" w:styleId="1083" w:customStyle="1">
    <w:name w:val="正文首行缩进 21112"/>
    <w:basedOn w:val="740"/>
    <w:link w:val="1084"/>
    <w:uiPriority w:val="0"/>
    <w:qFormat/>
    <w:pPr>
      <w:ind w:left="0" w:firstLine="420"/>
      <w:spacing w:line="360" w:lineRule="auto"/>
    </w:pPr>
    <w:rPr>
      <w:rFonts w:ascii="宋体" w:hAnsi="宋体" w:eastAsia="宋体"/>
      <w:sz w:val="20"/>
    </w:rPr>
  </w:style>
  <w:style w:type="character" w:styleId="1084" w:customStyle="1">
    <w:name w:val="正文首行缩进 2 Char"/>
    <w:link w:val="1083"/>
    <w:uiPriority w:val="0"/>
    <w:qFormat/>
    <w:rPr>
      <w:rFonts w:ascii="宋体" w:hAnsi="宋体"/>
    </w:rPr>
  </w:style>
  <w:style w:type="character" w:styleId="1085" w:customStyle="1">
    <w:name w:val="已访问的超链接11"/>
    <w:uiPriority w:val="0"/>
    <w:qFormat/>
    <w:rPr>
      <w:color w:val="800080"/>
      <w:u w:val="single"/>
    </w:rPr>
  </w:style>
  <w:style w:type="paragraph" w:styleId="1086" w:customStyle="1">
    <w:name w:val="列出段落"/>
    <w:basedOn w:val="716"/>
    <w:uiPriority w:val="0"/>
    <w:qFormat/>
    <w:pPr>
      <w:contextualSpacing/>
      <w:ind w:left="720"/>
      <w:jc w:val="left"/>
      <w:widowControl/>
    </w:pPr>
    <w:rPr>
      <w:rFonts w:ascii="Calibri" w:hAnsi="Calibri"/>
      <w:sz w:val="24"/>
      <w:lang w:eastAsia="en-US" w:bidi="en-US"/>
    </w:rPr>
  </w:style>
  <w:style w:type="character" w:styleId="1087" w:customStyle="1">
    <w:name w:val="font5 Char"/>
    <w:uiPriority w:val="0"/>
    <w:qFormat/>
    <w:rPr>
      <w:rFonts w:ascii="宋体" w:hAnsi="宋体" w:eastAsia="宋体"/>
      <w:sz w:val="28"/>
      <w:szCs w:val="28"/>
      <w:lang w:val="en-US" w:eastAsia="zh-CN" w:bidi="ar-SA"/>
    </w:rPr>
  </w:style>
  <w:style w:type="character" w:styleId="1088" w:customStyle="1">
    <w:name w:val="二级目录 Char"/>
    <w:link w:val="1089"/>
    <w:uiPriority w:val="0"/>
    <w:qFormat/>
    <w:rPr>
      <w:rFonts w:ascii="Calibri" w:hAnsi="Calibri"/>
      <w:b/>
      <w:sz w:val="30"/>
      <w:szCs w:val="28"/>
    </w:rPr>
  </w:style>
  <w:style w:type="paragraph" w:styleId="1089" w:customStyle="1">
    <w:name w:val="二级目录"/>
    <w:next w:val="716"/>
    <w:link w:val="1088"/>
    <w:uiPriority w:val="0"/>
    <w:qFormat/>
    <w:pPr>
      <w:numPr>
        <w:ilvl w:val="0"/>
        <w:numId w:val="2"/>
      </w:numPr>
      <w:tabs>
        <w:tab w:val="left" w:pos="1145" w:leader="none"/>
      </w:tabs>
      <w:outlineLvl w:val="1"/>
    </w:pPr>
    <w:rPr>
      <w:rFonts w:hint="default" w:ascii="Calibri" w:hAnsi="Calibri" w:eastAsia="宋体" w:cs="Times New Roman"/>
      <w:b/>
      <w:sz w:val="30"/>
      <w:szCs w:val="28"/>
    </w:rPr>
  </w:style>
  <w:style w:type="character" w:styleId="1090" w:customStyle="1">
    <w:name w:val="列出段落 Char"/>
    <w:link w:val="1061"/>
    <w:uiPriority w:val="0"/>
    <w:qFormat/>
    <w:rPr>
      <w:rFonts w:ascii="Wingdings" w:hAnsi="Wingdings" w:eastAsia="幼圆" w:cs="Miss Sweetie"/>
      <w:sz w:val="21"/>
      <w:szCs w:val="22"/>
    </w:rPr>
  </w:style>
  <w:style w:type="paragraph" w:styleId="1091" w:customStyle="1">
    <w:name w:val="Body Text(ch)"/>
    <w:basedOn w:val="716"/>
    <w:next w:val="739"/>
    <w:uiPriority w:val="0"/>
    <w:qFormat/>
    <w:pPr>
      <w:spacing w:after="120"/>
    </w:pPr>
    <w:rPr>
      <w:rFonts w:ascii="宋体" w:hAnsi="Arial"/>
      <w:bCs/>
      <w:iCs/>
    </w:rPr>
  </w:style>
  <w:style w:type="paragraph" w:styleId="1092" w:customStyle="1">
    <w:name w:val="xl27"/>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93" w:customStyle="1">
    <w:name w:val="xl26"/>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94" w:customStyle="1">
    <w:name w:val="table_lines"/>
    <w:basedOn w:val="716"/>
    <w:uiPriority w:val="0"/>
    <w:qFormat/>
    <w:pPr>
      <w:jc w:val="left"/>
      <w:widowControl/>
    </w:pPr>
    <w:rPr>
      <w:sz w:val="20"/>
      <w:szCs w:val="20"/>
      <w:lang w:val="de-DE" w:eastAsia="de-DE"/>
    </w:rPr>
  </w:style>
  <w:style w:type="paragraph" w:styleId="1095"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1096" w:customStyle="1">
    <w:name w:val="font7"/>
    <w:basedOn w:val="716"/>
    <w:uiPriority w:val="0"/>
    <w:qFormat/>
    <w:pPr>
      <w:jc w:val="left"/>
      <w:spacing w:before="100" w:beforeAutospacing="1" w:after="100" w:afterAutospacing="1"/>
      <w:widowControl/>
    </w:pPr>
    <w:rPr>
      <w:rFonts w:hint="eastAsia" w:ascii="宋体" w:hAnsi="宋体"/>
      <w:sz w:val="18"/>
      <w:szCs w:val="18"/>
    </w:rPr>
  </w:style>
  <w:style w:type="paragraph" w:styleId="1097" w:customStyle="1">
    <w:name w:val="4"/>
    <w:basedOn w:val="716"/>
    <w:next w:val="765"/>
    <w:uiPriority w:val="0"/>
    <w:qFormat/>
    <w:pPr>
      <w:ind w:firstLine="420"/>
      <w:spacing w:line="360" w:lineRule="auto"/>
    </w:pPr>
    <w:rPr>
      <w:color w:val="ff0000"/>
      <w:sz w:val="24"/>
    </w:rPr>
  </w:style>
  <w:style w:type="paragraph" w:styleId="1098" w:customStyle="1">
    <w:name w:val="普通 (Web)"/>
    <w:basedOn w:val="716"/>
    <w:uiPriority w:val="0"/>
    <w:qFormat/>
    <w:pPr>
      <w:jc w:val="left"/>
      <w:spacing w:before="100" w:beforeAutospacing="1" w:after="100" w:afterAutospacing="1"/>
      <w:widowControl/>
    </w:pPr>
    <w:rPr>
      <w:rFonts w:ascii="宋体" w:hAnsi="宋体"/>
      <w:sz w:val="24"/>
    </w:rPr>
  </w:style>
  <w:style w:type="paragraph" w:styleId="1099" w:customStyle="1">
    <w:name w:val="样式1"/>
    <w:basedOn w:val="716"/>
    <w:uiPriority w:val="0"/>
    <w:qFormat/>
    <w:pPr>
      <w:numPr>
        <w:ilvl w:val="0"/>
        <w:numId w:val="3"/>
      </w:numPr>
    </w:pPr>
    <w:rPr>
      <w:rFonts w:ascii="宋体" w:hAnsi="宋体"/>
      <w:szCs w:val="21"/>
    </w:rPr>
  </w:style>
  <w:style w:type="paragraph" w:styleId="1100" w:customStyle="1">
    <w:name w:val="font6"/>
    <w:basedOn w:val="716"/>
    <w:uiPriority w:val="0"/>
    <w:qFormat/>
    <w:pPr>
      <w:jc w:val="left"/>
      <w:spacing w:before="100" w:beforeAutospacing="1" w:after="100" w:afterAutospacing="1"/>
      <w:widowControl/>
    </w:pPr>
    <w:rPr>
      <w:rFonts w:hint="eastAsia" w:ascii="宋体" w:hAnsi="宋体"/>
      <w:sz w:val="28"/>
      <w:szCs w:val="28"/>
      <w:u w:val="single"/>
    </w:rPr>
  </w:style>
  <w:style w:type="paragraph" w:styleId="1101" w:customStyle="1">
    <w:name w:val="图标"/>
    <w:basedOn w:val="716"/>
    <w:next w:val="71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02" w:customStyle="1">
    <w:name w:val="标题3"/>
    <w:basedOn w:val="716"/>
    <w:next w:val="716"/>
    <w:uiPriority w:val="0"/>
    <w:qFormat/>
    <w:pPr>
      <w:ind w:firstLine="624"/>
      <w:spacing w:line="590" w:lineRule="atLeast"/>
    </w:pPr>
    <w:rPr>
      <w:rFonts w:ascii="方正黑体_GBK" w:eastAsia="方正黑体_GBK"/>
      <w:sz w:val="32"/>
      <w:szCs w:val="32"/>
    </w:rPr>
  </w:style>
  <w:style w:type="paragraph" w:styleId="1103" w:customStyle="1">
    <w:name w:val="xl24"/>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04" w:customStyle="1">
    <w:name w:val="xl29"/>
    <w:basedOn w:val="71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105" w:customStyle="1">
    <w:name w:val="Char Char Char Char Char Char Char Char"/>
    <w:basedOn w:val="716"/>
    <w:uiPriority w:val="0"/>
    <w:qFormat/>
    <w:pPr>
      <w:jc w:val="left"/>
      <w:spacing w:after="160" w:line="240" w:lineRule="exact"/>
      <w:widowControl/>
    </w:pPr>
    <w:rPr>
      <w:rFonts w:ascii="Verdana" w:hAnsi="Verdana"/>
      <w:sz w:val="20"/>
      <w:szCs w:val="20"/>
      <w:lang w:eastAsia="en-US"/>
    </w:rPr>
  </w:style>
  <w:style w:type="paragraph" w:styleId="1106" w:customStyle="1">
    <w:name w:val="xl28"/>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107" w:customStyle="1">
    <w:name w:val="Char Char Char Char Char Char Char Char1"/>
    <w:basedOn w:val="716"/>
    <w:uiPriority w:val="0"/>
    <w:qFormat/>
    <w:pPr>
      <w:jc w:val="left"/>
      <w:spacing w:after="160" w:line="240" w:lineRule="exact"/>
      <w:widowControl/>
    </w:pPr>
    <w:rPr>
      <w:rFonts w:ascii="Verdana" w:hAnsi="Verdana"/>
      <w:sz w:val="20"/>
      <w:szCs w:val="20"/>
      <w:lang w:eastAsia="en-US"/>
    </w:rPr>
  </w:style>
  <w:style w:type="paragraph" w:styleId="1108" w:customStyle="1">
    <w:name w:val="xl30"/>
    <w:basedOn w:val="716"/>
    <w:uiPriority w:val="0"/>
    <w:qFormat/>
    <w:pPr>
      <w:jc w:val="center"/>
      <w:spacing w:before="100" w:beforeAutospacing="1" w:after="100" w:afterAutospacing="1"/>
      <w:widowControl/>
    </w:pPr>
    <w:rPr>
      <w:rFonts w:ascii="宋体" w:hAnsi="宋体"/>
      <w:b/>
      <w:bCs/>
      <w:sz w:val="36"/>
      <w:szCs w:val="36"/>
    </w:rPr>
  </w:style>
  <w:style w:type="paragraph" w:styleId="1109" w:customStyle="1">
    <w:name w:val="table_1stline"/>
    <w:basedOn w:val="716"/>
    <w:uiPriority w:val="0"/>
    <w:qFormat/>
    <w:pPr>
      <w:jc w:val="left"/>
      <w:spacing w:before="120"/>
      <w:widowControl/>
    </w:pPr>
    <w:rPr>
      <w:bCs/>
      <w:sz w:val="20"/>
      <w:szCs w:val="20"/>
      <w:lang w:val="de-DE" w:eastAsia="de-DE"/>
    </w:rPr>
  </w:style>
  <w:style w:type="paragraph" w:styleId="1110" w:customStyle="1">
    <w:name w:val="font5"/>
    <w:basedOn w:val="716"/>
    <w:uiPriority w:val="0"/>
    <w:qFormat/>
    <w:pPr>
      <w:jc w:val="left"/>
      <w:spacing w:before="100" w:beforeAutospacing="1" w:after="100" w:afterAutospacing="1"/>
      <w:widowControl/>
    </w:pPr>
    <w:rPr>
      <w:rFonts w:hint="eastAsia" w:ascii="宋体" w:hAnsi="宋体"/>
      <w:sz w:val="28"/>
      <w:szCs w:val="28"/>
    </w:rPr>
  </w:style>
  <w:style w:type="paragraph" w:styleId="1111" w:customStyle="1">
    <w:name w:val="p1"/>
    <w:basedOn w:val="716"/>
    <w:uiPriority w:val="0"/>
    <w:qFormat/>
    <w:pPr>
      <w:widowControl/>
    </w:pPr>
    <w:rPr>
      <w:rFonts w:ascii="Helvetica Neue" w:hAnsi="Helvetica Neue"/>
      <w:color w:val="454545"/>
      <w:sz w:val="18"/>
      <w:szCs w:val="18"/>
    </w:rPr>
  </w:style>
  <w:style w:type="paragraph" w:styleId="1112" w:customStyle="1">
    <w:name w:val="修订2"/>
    <w:uiPriority w:val="99"/>
    <w:unhideWhenUsed/>
    <w:qFormat/>
    <w:rPr>
      <w:rFonts w:hint="default" w:ascii="Calibri" w:hAnsi="Calibri" w:eastAsia="宋体" w:cs="Times New Roman"/>
      <w:sz w:val="21"/>
      <w:szCs w:val="22"/>
    </w:rPr>
  </w:style>
  <w:style w:type="paragraph" w:styleId="1113" w:customStyle="1">
    <w:name w:val="Table Paragraph"/>
    <w:basedOn w:val="716"/>
    <w:uiPriority w:val="1"/>
    <w:qFormat/>
    <w:pPr>
      <w:jc w:val="left"/>
    </w:pPr>
    <w:rPr>
      <w:rFonts w:ascii="宋体" w:hAnsi="宋体" w:cs="宋体"/>
      <w:sz w:val="22"/>
      <w:szCs w:val="22"/>
      <w:lang w:eastAsia="en-US"/>
    </w:rPr>
  </w:style>
  <w:style w:type="paragraph" w:styleId="1114" w:customStyle="1">
    <w:name w:val="段"/>
    <w:next w:val="716"/>
    <w:uiPriority w:val="0"/>
    <w:qFormat/>
    <w:pPr>
      <w:ind w:firstLine="200"/>
      <w:jc w:val="both"/>
    </w:pPr>
    <w:rPr>
      <w:rFonts w:hint="default" w:ascii="宋体" w:hAnsi="Times New Roman" w:eastAsia="宋体" w:cs="Times New Roman"/>
      <w:sz w:val="21"/>
    </w:rPr>
  </w:style>
  <w:style w:type="paragraph" w:styleId="1115" w:customStyle="1">
    <w:name w:val="BodyText1I21"/>
    <w:basedOn w:val="1116"/>
    <w:uiPriority w:val="0"/>
    <w:qFormat/>
    <w:pPr>
      <w:ind w:firstLine="420"/>
    </w:pPr>
  </w:style>
  <w:style w:type="paragraph" w:styleId="1116" w:customStyle="1">
    <w:name w:val="BodyTextIndent1"/>
    <w:basedOn w:val="716"/>
    <w:next w:val="1117"/>
    <w:uiPriority w:val="0"/>
    <w:qFormat/>
    <w:pPr>
      <w:ind w:left="570"/>
      <w:spacing w:line="520" w:lineRule="exact"/>
    </w:pPr>
    <w:rPr>
      <w:rFonts w:ascii="楷体_GB2312" w:hAnsi="Calibri"/>
      <w:szCs w:val="22"/>
    </w:rPr>
  </w:style>
  <w:style w:type="paragraph" w:styleId="1117" w:customStyle="1">
    <w:name w:val="EnvelopeReturn1"/>
    <w:basedOn w:val="716"/>
    <w:uiPriority w:val="0"/>
    <w:qFormat/>
    <w:rPr>
      <w:rFonts w:ascii="Arial" w:hAnsi="Arial"/>
      <w:szCs w:val="22"/>
    </w:rPr>
  </w:style>
  <w:style w:type="paragraph" w:styleId="1118" w:customStyle="1">
    <w:name w:val="题注1"/>
    <w:basedOn w:val="716"/>
    <w:next w:val="716"/>
    <w:uiPriority w:val="35"/>
    <w:semiHidden/>
    <w:unhideWhenUsed/>
    <w:qFormat/>
    <w:pPr>
      <w:spacing w:line="276" w:lineRule="auto"/>
    </w:pPr>
    <w:rPr>
      <w:rFonts w:ascii="Calibri" w:hAnsi="Calibri"/>
      <w:b/>
      <w:bCs/>
      <w:color w:val="4f81bd"/>
      <w:sz w:val="18"/>
      <w:szCs w:val="18"/>
    </w:rPr>
  </w:style>
  <w:style w:type="paragraph" w:styleId="1119" w:customStyle="1">
    <w:name w:val="正文首行缩进 21"/>
    <w:basedOn w:val="740"/>
    <w:uiPriority w:val="0"/>
    <w:unhideWhenUsed/>
    <w:qFormat/>
    <w:pPr>
      <w:ind w:left="420" w:firstLine="420"/>
      <w:spacing w:after="120"/>
    </w:pPr>
    <w:rPr>
      <w:rFonts w:ascii="Times New Roman" w:eastAsia="宋体"/>
      <w:sz w:val="21"/>
      <w:szCs w:val="22"/>
    </w:rPr>
  </w:style>
  <w:style w:type="character" w:styleId="1120" w:customStyle="1">
    <w:name w:val="标题 1 字符1"/>
    <w:uiPriority w:val="0"/>
    <w:qFormat/>
    <w:rPr>
      <w:rFonts w:ascii="Calibri" w:hAnsi="Calibri" w:eastAsia="楷体_GB2312"/>
      <w:b/>
      <w:sz w:val="44"/>
      <w:lang w:eastAsia="en-US"/>
    </w:rPr>
  </w:style>
  <w:style w:type="character" w:styleId="1121" w:customStyle="1">
    <w:name w:val="标题 2 字符1"/>
    <w:uiPriority w:val="0"/>
    <w:qFormat/>
    <w:rPr>
      <w:rFonts w:ascii="Cambria" w:hAnsi="Cambria"/>
      <w:b/>
      <w:bCs/>
      <w:sz w:val="32"/>
      <w:szCs w:val="32"/>
      <w:lang w:eastAsia="en-US"/>
    </w:rPr>
  </w:style>
  <w:style w:type="character" w:styleId="1122" w:customStyle="1">
    <w:name w:val="标题 4 字符1"/>
    <w:uiPriority w:val="0"/>
    <w:qFormat/>
    <w:rPr>
      <w:rFonts w:ascii="Arial" w:hAnsi="Arial" w:eastAsia="黑体"/>
      <w:b/>
      <w:bCs/>
      <w:sz w:val="28"/>
      <w:szCs w:val="28"/>
      <w:lang w:eastAsia="en-US"/>
    </w:rPr>
  </w:style>
  <w:style w:type="character" w:styleId="1123" w:customStyle="1">
    <w:name w:val="标题 3 字符1"/>
    <w:uiPriority w:val="99"/>
    <w:qFormat/>
    <w:rPr>
      <w:rFonts w:ascii="宋体" w:hAnsi="宋体"/>
      <w:b/>
      <w:bCs/>
      <w:sz w:val="27"/>
      <w:szCs w:val="27"/>
      <w:lang w:eastAsia="en-US"/>
    </w:rPr>
  </w:style>
  <w:style w:type="character" w:styleId="1124" w:customStyle="1">
    <w:name w:val="标题 5 字符1"/>
    <w:uiPriority w:val="0"/>
    <w:qFormat/>
    <w:rPr>
      <w:rFonts w:ascii="宋体" w:hAnsi="Calibri"/>
      <w:b/>
      <w:spacing w:val="-2"/>
      <w:position w:val="-6"/>
      <w:sz w:val="28"/>
      <w:lang w:eastAsia="en-US"/>
    </w:rPr>
  </w:style>
  <w:style w:type="character" w:styleId="1125" w:customStyle="1">
    <w:name w:val="标题 6 字符1"/>
    <w:uiPriority w:val="0"/>
    <w:qFormat/>
    <w:rPr>
      <w:rFonts w:ascii="Arial" w:hAnsi="Arial" w:eastAsia="黑体"/>
      <w:b/>
      <w:spacing w:val="-2"/>
      <w:position w:val="-6"/>
      <w:sz w:val="24"/>
      <w:lang w:eastAsia="en-US"/>
    </w:rPr>
  </w:style>
  <w:style w:type="character" w:styleId="1126" w:customStyle="1">
    <w:name w:val="标题 7 字符1"/>
    <w:uiPriority w:val="0"/>
    <w:qFormat/>
    <w:rPr>
      <w:rFonts w:ascii="宋体" w:hAnsi="Calibri"/>
      <w:b/>
      <w:spacing w:val="-2"/>
      <w:position w:val="-6"/>
      <w:sz w:val="24"/>
      <w:lang w:eastAsia="en-US"/>
    </w:rPr>
  </w:style>
  <w:style w:type="character" w:styleId="1127" w:customStyle="1">
    <w:name w:val="标题 8 字符1"/>
    <w:uiPriority w:val="0"/>
    <w:qFormat/>
    <w:rPr>
      <w:rFonts w:ascii="Arial" w:hAnsi="Arial" w:eastAsia="黑体"/>
      <w:spacing w:val="-2"/>
      <w:position w:val="-6"/>
      <w:sz w:val="24"/>
      <w:lang w:eastAsia="en-US"/>
    </w:rPr>
  </w:style>
  <w:style w:type="character" w:styleId="1128" w:customStyle="1">
    <w:name w:val="标题 9 字符1"/>
    <w:uiPriority w:val="0"/>
    <w:qFormat/>
    <w:rPr>
      <w:rFonts w:ascii="Arial" w:hAnsi="Arial" w:eastAsia="黑体"/>
      <w:spacing w:val="-2"/>
      <w:position w:val="-6"/>
      <w:sz w:val="28"/>
      <w:lang w:eastAsia="en-US"/>
    </w:rPr>
  </w:style>
  <w:style w:type="paragraph" w:styleId="1129" w:customStyle="1">
    <w:name w:val="列表段落1"/>
    <w:basedOn w:val="716"/>
    <w:uiPriority w:val="34"/>
    <w:qFormat/>
    <w:pPr>
      <w:contextualSpacing/>
      <w:ind w:left="720"/>
    </w:pPr>
    <w:rPr>
      <w:rFonts w:ascii="Calibri" w:hAnsi="Calibri"/>
      <w:szCs w:val="22"/>
    </w:rPr>
  </w:style>
  <w:style w:type="table" w:styleId="1130" w:customStyle="1">
    <w:name w:val="Table Grid Light1"/>
    <w:uiPriority w:val="59"/>
    <w:qFormat/>
    <w:tblPr>
      <w:tblCellMar>
        <w:left w:w="0" w:type="dxa"/>
        <w:top w:w="0" w:type="dxa"/>
        <w:right w:w="0" w:type="dxa"/>
        <w:bottom w:w="0" w:type="dxa"/>
      </w:tblCellMar>
    </w:tblPr>
  </w:style>
  <w:style w:type="table" w:styleId="1131" w:customStyle="1">
    <w:name w:val="无格式表格 111"/>
    <w:uiPriority w:val="59"/>
    <w:qFormat/>
    <w:tblPr>
      <w:tblCellMar>
        <w:left w:w="0" w:type="dxa"/>
        <w:top w:w="0" w:type="dxa"/>
        <w:right w:w="0" w:type="dxa"/>
        <w:bottom w:w="0" w:type="dxa"/>
      </w:tblCellMar>
    </w:tblPr>
  </w:style>
  <w:style w:type="table" w:styleId="1132" w:customStyle="1">
    <w:name w:val="无格式表格 211"/>
    <w:uiPriority w:val="59"/>
    <w:qFormat/>
    <w:tblPr>
      <w:tblCellMar>
        <w:left w:w="0" w:type="dxa"/>
        <w:top w:w="0" w:type="dxa"/>
        <w:right w:w="0" w:type="dxa"/>
        <w:bottom w:w="0" w:type="dxa"/>
      </w:tblCellMar>
    </w:tblPr>
  </w:style>
  <w:style w:type="table" w:styleId="1133" w:customStyle="1">
    <w:name w:val="无格式表格 311"/>
    <w:uiPriority w:val="99"/>
    <w:qFormat/>
    <w:tblPr>
      <w:tblCellMar>
        <w:left w:w="0" w:type="dxa"/>
        <w:top w:w="0" w:type="dxa"/>
        <w:right w:w="0" w:type="dxa"/>
        <w:bottom w:w="0" w:type="dxa"/>
      </w:tblCellMar>
    </w:tblPr>
  </w:style>
  <w:style w:type="table" w:styleId="1134" w:customStyle="1">
    <w:name w:val="无格式表格 411"/>
    <w:uiPriority w:val="99"/>
    <w:qFormat/>
    <w:tblPr>
      <w:tblCellMar>
        <w:left w:w="0" w:type="dxa"/>
        <w:top w:w="0" w:type="dxa"/>
        <w:right w:w="0" w:type="dxa"/>
        <w:bottom w:w="0" w:type="dxa"/>
      </w:tblCellMar>
    </w:tblPr>
  </w:style>
  <w:style w:type="table" w:styleId="1135" w:customStyle="1">
    <w:name w:val="无格式表格 511"/>
    <w:uiPriority w:val="99"/>
    <w:qFormat/>
    <w:tblPr>
      <w:tblCellMar>
        <w:left w:w="0" w:type="dxa"/>
        <w:top w:w="0" w:type="dxa"/>
        <w:right w:w="0" w:type="dxa"/>
        <w:bottom w:w="0" w:type="dxa"/>
      </w:tblCellMar>
    </w:tblPr>
  </w:style>
  <w:style w:type="table" w:styleId="1136" w:customStyle="1">
    <w:name w:val="网格表 1 浅色11"/>
    <w:uiPriority w:val="99"/>
    <w:qFormat/>
    <w:tblPr>
      <w:tblCellMar>
        <w:left w:w="0" w:type="dxa"/>
        <w:top w:w="0" w:type="dxa"/>
        <w:right w:w="0" w:type="dxa"/>
        <w:bottom w:w="0" w:type="dxa"/>
      </w:tblCellMar>
    </w:tblPr>
  </w:style>
  <w:style w:type="table" w:styleId="1137" w:customStyle="1">
    <w:name w:val="Grid Table 1 Light - Accent 11"/>
    <w:uiPriority w:val="99"/>
    <w:qFormat/>
    <w:tblPr>
      <w:tblCellMar>
        <w:left w:w="0" w:type="dxa"/>
        <w:top w:w="0" w:type="dxa"/>
        <w:right w:w="0" w:type="dxa"/>
        <w:bottom w:w="0" w:type="dxa"/>
      </w:tblCellMar>
    </w:tblPr>
  </w:style>
  <w:style w:type="table" w:styleId="1138" w:customStyle="1">
    <w:name w:val="Grid Table 1 Light - Accent 21"/>
    <w:uiPriority w:val="99"/>
    <w:qFormat/>
    <w:tblPr>
      <w:tblCellMar>
        <w:left w:w="0" w:type="dxa"/>
        <w:top w:w="0" w:type="dxa"/>
        <w:right w:w="0" w:type="dxa"/>
        <w:bottom w:w="0" w:type="dxa"/>
      </w:tblCellMar>
    </w:tblPr>
  </w:style>
  <w:style w:type="table" w:styleId="1139" w:customStyle="1">
    <w:name w:val="Grid Table 1 Light - Accent 31"/>
    <w:uiPriority w:val="99"/>
    <w:qFormat/>
    <w:tblPr>
      <w:tblCellMar>
        <w:left w:w="0" w:type="dxa"/>
        <w:top w:w="0" w:type="dxa"/>
        <w:right w:w="0" w:type="dxa"/>
        <w:bottom w:w="0" w:type="dxa"/>
      </w:tblCellMar>
    </w:tblPr>
  </w:style>
  <w:style w:type="table" w:styleId="1140" w:customStyle="1">
    <w:name w:val="Grid Table 1 Light - Accent 41"/>
    <w:uiPriority w:val="99"/>
    <w:qFormat/>
    <w:tblPr>
      <w:tblCellMar>
        <w:left w:w="0" w:type="dxa"/>
        <w:top w:w="0" w:type="dxa"/>
        <w:right w:w="0" w:type="dxa"/>
        <w:bottom w:w="0" w:type="dxa"/>
      </w:tblCellMar>
    </w:tblPr>
  </w:style>
  <w:style w:type="table" w:styleId="1141" w:customStyle="1">
    <w:name w:val="Grid Table 1 Light - Accent 51"/>
    <w:uiPriority w:val="99"/>
    <w:qFormat/>
    <w:tblPr>
      <w:tblCellMar>
        <w:left w:w="0" w:type="dxa"/>
        <w:top w:w="0" w:type="dxa"/>
        <w:right w:w="0" w:type="dxa"/>
        <w:bottom w:w="0" w:type="dxa"/>
      </w:tblCellMar>
    </w:tblPr>
  </w:style>
  <w:style w:type="table" w:styleId="1142" w:customStyle="1">
    <w:name w:val="Grid Table 1 Light - Accent 61"/>
    <w:uiPriority w:val="99"/>
    <w:qFormat/>
    <w:tblPr>
      <w:tblCellMar>
        <w:left w:w="0" w:type="dxa"/>
        <w:top w:w="0" w:type="dxa"/>
        <w:right w:w="0" w:type="dxa"/>
        <w:bottom w:w="0" w:type="dxa"/>
      </w:tblCellMar>
    </w:tblPr>
  </w:style>
  <w:style w:type="table" w:styleId="1143" w:customStyle="1">
    <w:name w:val="网格表 211"/>
    <w:uiPriority w:val="99"/>
    <w:qFormat/>
    <w:tblPr>
      <w:tblCellMar>
        <w:left w:w="0" w:type="dxa"/>
        <w:top w:w="0" w:type="dxa"/>
        <w:right w:w="0" w:type="dxa"/>
        <w:bottom w:w="0" w:type="dxa"/>
      </w:tblCellMar>
    </w:tblPr>
  </w:style>
  <w:style w:type="table" w:styleId="1144" w:customStyle="1">
    <w:name w:val="Grid Table 2 - Accent 11"/>
    <w:uiPriority w:val="99"/>
    <w:qFormat/>
    <w:tblPr>
      <w:tblCellMar>
        <w:left w:w="0" w:type="dxa"/>
        <w:top w:w="0" w:type="dxa"/>
        <w:right w:w="0" w:type="dxa"/>
        <w:bottom w:w="0" w:type="dxa"/>
      </w:tblCellMar>
    </w:tblPr>
  </w:style>
  <w:style w:type="table" w:styleId="1145" w:customStyle="1">
    <w:name w:val="Grid Table 2 - Accent 21"/>
    <w:uiPriority w:val="99"/>
    <w:qFormat/>
    <w:tblPr>
      <w:tblCellMar>
        <w:left w:w="0" w:type="dxa"/>
        <w:top w:w="0" w:type="dxa"/>
        <w:right w:w="0" w:type="dxa"/>
        <w:bottom w:w="0" w:type="dxa"/>
      </w:tblCellMar>
    </w:tblPr>
  </w:style>
  <w:style w:type="table" w:styleId="1146" w:customStyle="1">
    <w:name w:val="Grid Table 2 - Accent 31"/>
    <w:uiPriority w:val="99"/>
    <w:qFormat/>
    <w:tblPr>
      <w:tblCellMar>
        <w:left w:w="0" w:type="dxa"/>
        <w:top w:w="0" w:type="dxa"/>
        <w:right w:w="0" w:type="dxa"/>
        <w:bottom w:w="0" w:type="dxa"/>
      </w:tblCellMar>
    </w:tblPr>
  </w:style>
  <w:style w:type="table" w:styleId="1147" w:customStyle="1">
    <w:name w:val="Grid Table 2 - Accent 41"/>
    <w:uiPriority w:val="99"/>
    <w:qFormat/>
    <w:tblPr>
      <w:tblCellMar>
        <w:left w:w="0" w:type="dxa"/>
        <w:top w:w="0" w:type="dxa"/>
        <w:right w:w="0" w:type="dxa"/>
        <w:bottom w:w="0" w:type="dxa"/>
      </w:tblCellMar>
    </w:tblPr>
  </w:style>
  <w:style w:type="table" w:styleId="1148" w:customStyle="1">
    <w:name w:val="Grid Table 2 - Accent 51"/>
    <w:uiPriority w:val="99"/>
    <w:qFormat/>
    <w:tblPr>
      <w:tblCellMar>
        <w:left w:w="0" w:type="dxa"/>
        <w:top w:w="0" w:type="dxa"/>
        <w:right w:w="0" w:type="dxa"/>
        <w:bottom w:w="0" w:type="dxa"/>
      </w:tblCellMar>
    </w:tblPr>
  </w:style>
  <w:style w:type="table" w:styleId="1149" w:customStyle="1">
    <w:name w:val="Grid Table 2 - Accent 61"/>
    <w:uiPriority w:val="99"/>
    <w:qFormat/>
    <w:tblPr>
      <w:tblCellMar>
        <w:left w:w="0" w:type="dxa"/>
        <w:top w:w="0" w:type="dxa"/>
        <w:right w:w="0" w:type="dxa"/>
        <w:bottom w:w="0" w:type="dxa"/>
      </w:tblCellMar>
    </w:tblPr>
  </w:style>
  <w:style w:type="table" w:styleId="1150" w:customStyle="1">
    <w:name w:val="网格表 311"/>
    <w:uiPriority w:val="99"/>
    <w:qFormat/>
    <w:tblPr>
      <w:tblCellMar>
        <w:left w:w="0" w:type="dxa"/>
        <w:top w:w="0" w:type="dxa"/>
        <w:right w:w="0" w:type="dxa"/>
        <w:bottom w:w="0" w:type="dxa"/>
      </w:tblCellMar>
    </w:tblPr>
  </w:style>
  <w:style w:type="table" w:styleId="1151" w:customStyle="1">
    <w:name w:val="Grid Table 3 - Accent 11"/>
    <w:uiPriority w:val="99"/>
    <w:qFormat/>
    <w:tblPr>
      <w:tblCellMar>
        <w:left w:w="0" w:type="dxa"/>
        <w:top w:w="0" w:type="dxa"/>
        <w:right w:w="0" w:type="dxa"/>
        <w:bottom w:w="0" w:type="dxa"/>
      </w:tblCellMar>
    </w:tblPr>
  </w:style>
  <w:style w:type="table" w:styleId="1152" w:customStyle="1">
    <w:name w:val="Grid Table 3 - Accent 21"/>
    <w:uiPriority w:val="99"/>
    <w:qFormat/>
    <w:tblPr>
      <w:tblCellMar>
        <w:left w:w="0" w:type="dxa"/>
        <w:top w:w="0" w:type="dxa"/>
        <w:right w:w="0" w:type="dxa"/>
        <w:bottom w:w="0" w:type="dxa"/>
      </w:tblCellMar>
    </w:tblPr>
  </w:style>
  <w:style w:type="table" w:styleId="1153" w:customStyle="1">
    <w:name w:val="Grid Table 3 - Accent 31"/>
    <w:uiPriority w:val="99"/>
    <w:qFormat/>
    <w:tblPr>
      <w:tblCellMar>
        <w:left w:w="0" w:type="dxa"/>
        <w:top w:w="0" w:type="dxa"/>
        <w:right w:w="0" w:type="dxa"/>
        <w:bottom w:w="0" w:type="dxa"/>
      </w:tblCellMar>
    </w:tblPr>
  </w:style>
  <w:style w:type="table" w:styleId="1154" w:customStyle="1">
    <w:name w:val="Grid Table 3 - Accent 41"/>
    <w:uiPriority w:val="99"/>
    <w:qFormat/>
    <w:tblPr>
      <w:tblCellMar>
        <w:left w:w="0" w:type="dxa"/>
        <w:top w:w="0" w:type="dxa"/>
        <w:right w:w="0" w:type="dxa"/>
        <w:bottom w:w="0" w:type="dxa"/>
      </w:tblCellMar>
    </w:tblPr>
  </w:style>
  <w:style w:type="table" w:styleId="1155" w:customStyle="1">
    <w:name w:val="Grid Table 3 - Accent 51"/>
    <w:uiPriority w:val="99"/>
    <w:qFormat/>
    <w:tblPr>
      <w:tblCellMar>
        <w:left w:w="0" w:type="dxa"/>
        <w:top w:w="0" w:type="dxa"/>
        <w:right w:w="0" w:type="dxa"/>
        <w:bottom w:w="0" w:type="dxa"/>
      </w:tblCellMar>
    </w:tblPr>
  </w:style>
  <w:style w:type="table" w:styleId="1156" w:customStyle="1">
    <w:name w:val="Grid Table 3 - Accent 61"/>
    <w:uiPriority w:val="99"/>
    <w:qFormat/>
    <w:tblPr>
      <w:tblCellMar>
        <w:left w:w="0" w:type="dxa"/>
        <w:top w:w="0" w:type="dxa"/>
        <w:right w:w="0" w:type="dxa"/>
        <w:bottom w:w="0" w:type="dxa"/>
      </w:tblCellMar>
    </w:tblPr>
  </w:style>
  <w:style w:type="table" w:styleId="1157" w:customStyle="1">
    <w:name w:val="网格表 411"/>
    <w:uiPriority w:val="59"/>
    <w:qFormat/>
    <w:tblPr>
      <w:tblCellMar>
        <w:left w:w="0" w:type="dxa"/>
        <w:top w:w="0" w:type="dxa"/>
        <w:right w:w="0" w:type="dxa"/>
        <w:bottom w:w="0" w:type="dxa"/>
      </w:tblCellMar>
    </w:tblPr>
  </w:style>
  <w:style w:type="table" w:styleId="1158" w:customStyle="1">
    <w:name w:val="Grid Table 4 - Accent 11"/>
    <w:uiPriority w:val="59"/>
    <w:qFormat/>
    <w:tblPr>
      <w:tblCellMar>
        <w:left w:w="0" w:type="dxa"/>
        <w:top w:w="0" w:type="dxa"/>
        <w:right w:w="0" w:type="dxa"/>
        <w:bottom w:w="0" w:type="dxa"/>
      </w:tblCellMar>
    </w:tblPr>
  </w:style>
  <w:style w:type="table" w:styleId="1159" w:customStyle="1">
    <w:name w:val="Grid Table 4 - Accent 21"/>
    <w:uiPriority w:val="59"/>
    <w:qFormat/>
    <w:tblPr>
      <w:tblCellMar>
        <w:left w:w="0" w:type="dxa"/>
        <w:top w:w="0" w:type="dxa"/>
        <w:right w:w="0" w:type="dxa"/>
        <w:bottom w:w="0" w:type="dxa"/>
      </w:tblCellMar>
    </w:tblPr>
  </w:style>
  <w:style w:type="table" w:styleId="1160" w:customStyle="1">
    <w:name w:val="Grid Table 4 - Accent 31"/>
    <w:uiPriority w:val="59"/>
    <w:qFormat/>
    <w:tblPr>
      <w:tblCellMar>
        <w:left w:w="0" w:type="dxa"/>
        <w:top w:w="0" w:type="dxa"/>
        <w:right w:w="0" w:type="dxa"/>
        <w:bottom w:w="0" w:type="dxa"/>
      </w:tblCellMar>
    </w:tblPr>
  </w:style>
  <w:style w:type="table" w:styleId="1161" w:customStyle="1">
    <w:name w:val="Grid Table 4 - Accent 41"/>
    <w:uiPriority w:val="59"/>
    <w:qFormat/>
    <w:tblPr>
      <w:tblCellMar>
        <w:left w:w="0" w:type="dxa"/>
        <w:top w:w="0" w:type="dxa"/>
        <w:right w:w="0" w:type="dxa"/>
        <w:bottom w:w="0" w:type="dxa"/>
      </w:tblCellMar>
    </w:tblPr>
  </w:style>
  <w:style w:type="table" w:styleId="1162" w:customStyle="1">
    <w:name w:val="Grid Table 4 - Accent 51"/>
    <w:uiPriority w:val="59"/>
    <w:qFormat/>
    <w:tblPr>
      <w:tblCellMar>
        <w:left w:w="0" w:type="dxa"/>
        <w:top w:w="0" w:type="dxa"/>
        <w:right w:w="0" w:type="dxa"/>
        <w:bottom w:w="0" w:type="dxa"/>
      </w:tblCellMar>
    </w:tblPr>
  </w:style>
  <w:style w:type="table" w:styleId="1163" w:customStyle="1">
    <w:name w:val="Grid Table 4 - Accent 61"/>
    <w:uiPriority w:val="59"/>
    <w:qFormat/>
    <w:tblPr>
      <w:tblCellMar>
        <w:left w:w="0" w:type="dxa"/>
        <w:top w:w="0" w:type="dxa"/>
        <w:right w:w="0" w:type="dxa"/>
        <w:bottom w:w="0" w:type="dxa"/>
      </w:tblCellMar>
    </w:tblPr>
  </w:style>
  <w:style w:type="table" w:styleId="1164" w:customStyle="1">
    <w:name w:val="网格表 5 深色11"/>
    <w:uiPriority w:val="99"/>
    <w:qFormat/>
    <w:tblPr>
      <w:tblCellMar>
        <w:left w:w="0" w:type="dxa"/>
        <w:top w:w="0" w:type="dxa"/>
        <w:right w:w="0" w:type="dxa"/>
        <w:bottom w:w="0" w:type="dxa"/>
      </w:tblCellMar>
    </w:tblPr>
  </w:style>
  <w:style w:type="table" w:styleId="1165" w:customStyle="1">
    <w:name w:val="Grid Table 5 Dark- Accent 11"/>
    <w:uiPriority w:val="99"/>
    <w:qFormat/>
    <w:tblPr>
      <w:tblCellMar>
        <w:left w:w="0" w:type="dxa"/>
        <w:top w:w="0" w:type="dxa"/>
        <w:right w:w="0" w:type="dxa"/>
        <w:bottom w:w="0" w:type="dxa"/>
      </w:tblCellMar>
    </w:tblPr>
  </w:style>
  <w:style w:type="table" w:styleId="1166" w:customStyle="1">
    <w:name w:val="Grid Table 5 Dark - Accent 21"/>
    <w:uiPriority w:val="99"/>
    <w:qFormat/>
    <w:tblPr>
      <w:tblCellMar>
        <w:left w:w="0" w:type="dxa"/>
        <w:top w:w="0" w:type="dxa"/>
        <w:right w:w="0" w:type="dxa"/>
        <w:bottom w:w="0" w:type="dxa"/>
      </w:tblCellMar>
    </w:tblPr>
  </w:style>
  <w:style w:type="table" w:styleId="1167" w:customStyle="1">
    <w:name w:val="Grid Table 5 Dark - Accent 31"/>
    <w:uiPriority w:val="99"/>
    <w:qFormat/>
    <w:tblPr>
      <w:tblCellMar>
        <w:left w:w="0" w:type="dxa"/>
        <w:top w:w="0" w:type="dxa"/>
        <w:right w:w="0" w:type="dxa"/>
        <w:bottom w:w="0" w:type="dxa"/>
      </w:tblCellMar>
    </w:tblPr>
  </w:style>
  <w:style w:type="table" w:styleId="1168" w:customStyle="1">
    <w:name w:val="Grid Table 5 Dark- Accent 41"/>
    <w:uiPriority w:val="99"/>
    <w:qFormat/>
    <w:tblPr>
      <w:tblCellMar>
        <w:left w:w="0" w:type="dxa"/>
        <w:top w:w="0" w:type="dxa"/>
        <w:right w:w="0" w:type="dxa"/>
        <w:bottom w:w="0" w:type="dxa"/>
      </w:tblCellMar>
    </w:tblPr>
  </w:style>
  <w:style w:type="table" w:styleId="1169" w:customStyle="1">
    <w:name w:val="Grid Table 5 Dark - Accent 51"/>
    <w:uiPriority w:val="99"/>
    <w:qFormat/>
    <w:tblPr>
      <w:tblCellMar>
        <w:left w:w="0" w:type="dxa"/>
        <w:top w:w="0" w:type="dxa"/>
        <w:right w:w="0" w:type="dxa"/>
        <w:bottom w:w="0" w:type="dxa"/>
      </w:tblCellMar>
    </w:tblPr>
  </w:style>
  <w:style w:type="table" w:styleId="1170" w:customStyle="1">
    <w:name w:val="Grid Table 5 Dark - Accent 61"/>
    <w:uiPriority w:val="99"/>
    <w:qFormat/>
    <w:tblPr>
      <w:tblCellMar>
        <w:left w:w="0" w:type="dxa"/>
        <w:top w:w="0" w:type="dxa"/>
        <w:right w:w="0" w:type="dxa"/>
        <w:bottom w:w="0" w:type="dxa"/>
      </w:tblCellMar>
    </w:tblPr>
  </w:style>
  <w:style w:type="table" w:styleId="1171" w:customStyle="1">
    <w:name w:val="网格表 6 彩色11"/>
    <w:uiPriority w:val="99"/>
    <w:qFormat/>
    <w:tblPr>
      <w:tblCellMar>
        <w:left w:w="0" w:type="dxa"/>
        <w:top w:w="0" w:type="dxa"/>
        <w:right w:w="0" w:type="dxa"/>
        <w:bottom w:w="0" w:type="dxa"/>
      </w:tblCellMar>
    </w:tblPr>
  </w:style>
  <w:style w:type="table" w:styleId="1172" w:customStyle="1">
    <w:name w:val="Grid Table 6 Colorful - Accent 11"/>
    <w:uiPriority w:val="99"/>
    <w:qFormat/>
    <w:tblPr>
      <w:tblCellMar>
        <w:left w:w="0" w:type="dxa"/>
        <w:top w:w="0" w:type="dxa"/>
        <w:right w:w="0" w:type="dxa"/>
        <w:bottom w:w="0" w:type="dxa"/>
      </w:tblCellMar>
    </w:tblPr>
  </w:style>
  <w:style w:type="table" w:styleId="1173" w:customStyle="1">
    <w:name w:val="Grid Table 6 Colorful - Accent 21"/>
    <w:uiPriority w:val="99"/>
    <w:qFormat/>
    <w:tblPr>
      <w:tblCellMar>
        <w:left w:w="0" w:type="dxa"/>
        <w:top w:w="0" w:type="dxa"/>
        <w:right w:w="0" w:type="dxa"/>
        <w:bottom w:w="0" w:type="dxa"/>
      </w:tblCellMar>
    </w:tblPr>
  </w:style>
  <w:style w:type="table" w:styleId="1174" w:customStyle="1">
    <w:name w:val="Grid Table 6 Colorful - Accent 31"/>
    <w:uiPriority w:val="99"/>
    <w:qFormat/>
    <w:tblPr>
      <w:tblCellMar>
        <w:left w:w="0" w:type="dxa"/>
        <w:top w:w="0" w:type="dxa"/>
        <w:right w:w="0" w:type="dxa"/>
        <w:bottom w:w="0" w:type="dxa"/>
      </w:tblCellMar>
    </w:tblPr>
  </w:style>
  <w:style w:type="table" w:styleId="1175" w:customStyle="1">
    <w:name w:val="Grid Table 6 Colorful - Accent 41"/>
    <w:uiPriority w:val="99"/>
    <w:qFormat/>
    <w:tblPr>
      <w:tblCellMar>
        <w:left w:w="0" w:type="dxa"/>
        <w:top w:w="0" w:type="dxa"/>
        <w:right w:w="0" w:type="dxa"/>
        <w:bottom w:w="0" w:type="dxa"/>
      </w:tblCellMar>
    </w:tblPr>
  </w:style>
  <w:style w:type="table" w:styleId="1176" w:customStyle="1">
    <w:name w:val="Grid Table 6 Colorful - Accent 51"/>
    <w:uiPriority w:val="99"/>
    <w:qFormat/>
    <w:tblPr>
      <w:tblCellMar>
        <w:left w:w="0" w:type="dxa"/>
        <w:top w:w="0" w:type="dxa"/>
        <w:right w:w="0" w:type="dxa"/>
        <w:bottom w:w="0" w:type="dxa"/>
      </w:tblCellMar>
    </w:tblPr>
  </w:style>
  <w:style w:type="table" w:styleId="1177" w:customStyle="1">
    <w:name w:val="Grid Table 6 Colorful - Accent 61"/>
    <w:uiPriority w:val="99"/>
    <w:qFormat/>
    <w:tblPr>
      <w:tblCellMar>
        <w:left w:w="0" w:type="dxa"/>
        <w:top w:w="0" w:type="dxa"/>
        <w:right w:w="0" w:type="dxa"/>
        <w:bottom w:w="0" w:type="dxa"/>
      </w:tblCellMar>
    </w:tblPr>
  </w:style>
  <w:style w:type="table" w:styleId="1178" w:customStyle="1">
    <w:name w:val="网格表 7 彩色11"/>
    <w:uiPriority w:val="99"/>
    <w:qFormat/>
    <w:tblPr>
      <w:tblCellMar>
        <w:left w:w="0" w:type="dxa"/>
        <w:top w:w="0" w:type="dxa"/>
        <w:right w:w="0" w:type="dxa"/>
        <w:bottom w:w="0" w:type="dxa"/>
      </w:tblCellMar>
    </w:tblPr>
  </w:style>
  <w:style w:type="table" w:styleId="1179" w:customStyle="1">
    <w:name w:val="Grid Table 7 Colorful - Accent 11"/>
    <w:uiPriority w:val="99"/>
    <w:qFormat/>
    <w:tblPr>
      <w:tblCellMar>
        <w:left w:w="0" w:type="dxa"/>
        <w:top w:w="0" w:type="dxa"/>
        <w:right w:w="0" w:type="dxa"/>
        <w:bottom w:w="0" w:type="dxa"/>
      </w:tblCellMar>
    </w:tblPr>
  </w:style>
  <w:style w:type="table" w:styleId="1180" w:customStyle="1">
    <w:name w:val="Grid Table 7 Colorful - Accent 21"/>
    <w:uiPriority w:val="99"/>
    <w:qFormat/>
    <w:tblPr>
      <w:tblCellMar>
        <w:left w:w="0" w:type="dxa"/>
        <w:top w:w="0" w:type="dxa"/>
        <w:right w:w="0" w:type="dxa"/>
        <w:bottom w:w="0" w:type="dxa"/>
      </w:tblCellMar>
    </w:tblPr>
  </w:style>
  <w:style w:type="table" w:styleId="1181" w:customStyle="1">
    <w:name w:val="Grid Table 7 Colorful - Accent 31"/>
    <w:uiPriority w:val="99"/>
    <w:qFormat/>
    <w:tblPr>
      <w:tblCellMar>
        <w:left w:w="0" w:type="dxa"/>
        <w:top w:w="0" w:type="dxa"/>
        <w:right w:w="0" w:type="dxa"/>
        <w:bottom w:w="0" w:type="dxa"/>
      </w:tblCellMar>
    </w:tblPr>
  </w:style>
  <w:style w:type="table" w:styleId="1182" w:customStyle="1">
    <w:name w:val="Grid Table 7 Colorful - Accent 41"/>
    <w:uiPriority w:val="99"/>
    <w:qFormat/>
    <w:tblPr>
      <w:tblCellMar>
        <w:left w:w="0" w:type="dxa"/>
        <w:top w:w="0" w:type="dxa"/>
        <w:right w:w="0" w:type="dxa"/>
        <w:bottom w:w="0" w:type="dxa"/>
      </w:tblCellMar>
    </w:tblPr>
  </w:style>
  <w:style w:type="table" w:styleId="1183" w:customStyle="1">
    <w:name w:val="Grid Table 7 Colorful - Accent 51"/>
    <w:uiPriority w:val="99"/>
    <w:qFormat/>
    <w:tblPr>
      <w:tblCellMar>
        <w:left w:w="0" w:type="dxa"/>
        <w:top w:w="0" w:type="dxa"/>
        <w:right w:w="0" w:type="dxa"/>
        <w:bottom w:w="0" w:type="dxa"/>
      </w:tblCellMar>
    </w:tblPr>
  </w:style>
  <w:style w:type="table" w:styleId="1184" w:customStyle="1">
    <w:name w:val="Grid Table 7 Colorful - Accent 61"/>
    <w:uiPriority w:val="99"/>
    <w:qFormat/>
    <w:tblPr>
      <w:tblCellMar>
        <w:left w:w="0" w:type="dxa"/>
        <w:top w:w="0" w:type="dxa"/>
        <w:right w:w="0" w:type="dxa"/>
        <w:bottom w:w="0" w:type="dxa"/>
      </w:tblCellMar>
    </w:tblPr>
  </w:style>
  <w:style w:type="table" w:styleId="1185" w:customStyle="1">
    <w:name w:val="清单表 1 浅色11"/>
    <w:uiPriority w:val="99"/>
    <w:qFormat/>
    <w:tblPr>
      <w:tblCellMar>
        <w:left w:w="0" w:type="dxa"/>
        <w:top w:w="0" w:type="dxa"/>
        <w:right w:w="0" w:type="dxa"/>
        <w:bottom w:w="0" w:type="dxa"/>
      </w:tblCellMar>
    </w:tblPr>
  </w:style>
  <w:style w:type="table" w:styleId="1186" w:customStyle="1">
    <w:name w:val="List Table 1 Light - Accent 11"/>
    <w:uiPriority w:val="99"/>
    <w:qFormat/>
    <w:tblPr>
      <w:tblCellMar>
        <w:left w:w="0" w:type="dxa"/>
        <w:top w:w="0" w:type="dxa"/>
        <w:right w:w="0" w:type="dxa"/>
        <w:bottom w:w="0" w:type="dxa"/>
      </w:tblCellMar>
    </w:tblPr>
  </w:style>
  <w:style w:type="table" w:styleId="1187" w:customStyle="1">
    <w:name w:val="List Table 1 Light - Accent 21"/>
    <w:uiPriority w:val="99"/>
    <w:qFormat/>
    <w:tblPr>
      <w:tblCellMar>
        <w:left w:w="0" w:type="dxa"/>
        <w:top w:w="0" w:type="dxa"/>
        <w:right w:w="0" w:type="dxa"/>
        <w:bottom w:w="0" w:type="dxa"/>
      </w:tblCellMar>
    </w:tblPr>
  </w:style>
  <w:style w:type="table" w:styleId="1188" w:customStyle="1">
    <w:name w:val="List Table 1 Light - Accent 31"/>
    <w:uiPriority w:val="99"/>
    <w:qFormat/>
    <w:tblPr>
      <w:tblCellMar>
        <w:left w:w="0" w:type="dxa"/>
        <w:top w:w="0" w:type="dxa"/>
        <w:right w:w="0" w:type="dxa"/>
        <w:bottom w:w="0" w:type="dxa"/>
      </w:tblCellMar>
    </w:tblPr>
  </w:style>
  <w:style w:type="table" w:styleId="1189" w:customStyle="1">
    <w:name w:val="List Table 1 Light - Accent 41"/>
    <w:uiPriority w:val="99"/>
    <w:qFormat/>
    <w:tblPr>
      <w:tblCellMar>
        <w:left w:w="0" w:type="dxa"/>
        <w:top w:w="0" w:type="dxa"/>
        <w:right w:w="0" w:type="dxa"/>
        <w:bottom w:w="0" w:type="dxa"/>
      </w:tblCellMar>
    </w:tblPr>
  </w:style>
  <w:style w:type="table" w:styleId="1190" w:customStyle="1">
    <w:name w:val="List Table 1 Light - Accent 51"/>
    <w:uiPriority w:val="99"/>
    <w:qFormat/>
    <w:tblPr>
      <w:tblCellMar>
        <w:left w:w="0" w:type="dxa"/>
        <w:top w:w="0" w:type="dxa"/>
        <w:right w:w="0" w:type="dxa"/>
        <w:bottom w:w="0" w:type="dxa"/>
      </w:tblCellMar>
    </w:tblPr>
  </w:style>
  <w:style w:type="table" w:styleId="1191" w:customStyle="1">
    <w:name w:val="List Table 1 Light - Accent 61"/>
    <w:uiPriority w:val="99"/>
    <w:qFormat/>
    <w:tblPr>
      <w:tblCellMar>
        <w:left w:w="0" w:type="dxa"/>
        <w:top w:w="0" w:type="dxa"/>
        <w:right w:w="0" w:type="dxa"/>
        <w:bottom w:w="0" w:type="dxa"/>
      </w:tblCellMar>
    </w:tblPr>
  </w:style>
  <w:style w:type="table" w:styleId="1192" w:customStyle="1">
    <w:name w:val="清单表 211"/>
    <w:uiPriority w:val="99"/>
    <w:qFormat/>
    <w:tblPr>
      <w:tblCellMar>
        <w:left w:w="0" w:type="dxa"/>
        <w:top w:w="0" w:type="dxa"/>
        <w:right w:w="0" w:type="dxa"/>
        <w:bottom w:w="0" w:type="dxa"/>
      </w:tblCellMar>
    </w:tblPr>
  </w:style>
  <w:style w:type="table" w:styleId="1193" w:customStyle="1">
    <w:name w:val="List Table 2 - Accent 11"/>
    <w:uiPriority w:val="99"/>
    <w:qFormat/>
    <w:tblPr>
      <w:tblCellMar>
        <w:left w:w="0" w:type="dxa"/>
        <w:top w:w="0" w:type="dxa"/>
        <w:right w:w="0" w:type="dxa"/>
        <w:bottom w:w="0" w:type="dxa"/>
      </w:tblCellMar>
    </w:tblPr>
  </w:style>
  <w:style w:type="table" w:styleId="1194" w:customStyle="1">
    <w:name w:val="List Table 2 - Accent 21"/>
    <w:uiPriority w:val="99"/>
    <w:qFormat/>
    <w:tblPr>
      <w:tblCellMar>
        <w:left w:w="0" w:type="dxa"/>
        <w:top w:w="0" w:type="dxa"/>
        <w:right w:w="0" w:type="dxa"/>
        <w:bottom w:w="0" w:type="dxa"/>
      </w:tblCellMar>
    </w:tblPr>
  </w:style>
  <w:style w:type="table" w:styleId="1195" w:customStyle="1">
    <w:name w:val="List Table 2 - Accent 31"/>
    <w:uiPriority w:val="99"/>
    <w:qFormat/>
    <w:tblPr>
      <w:tblCellMar>
        <w:left w:w="0" w:type="dxa"/>
        <w:top w:w="0" w:type="dxa"/>
        <w:right w:w="0" w:type="dxa"/>
        <w:bottom w:w="0" w:type="dxa"/>
      </w:tblCellMar>
    </w:tblPr>
  </w:style>
  <w:style w:type="table" w:styleId="1196" w:customStyle="1">
    <w:name w:val="List Table 2 - Accent 41"/>
    <w:uiPriority w:val="99"/>
    <w:qFormat/>
    <w:tblPr>
      <w:tblCellMar>
        <w:left w:w="0" w:type="dxa"/>
        <w:top w:w="0" w:type="dxa"/>
        <w:right w:w="0" w:type="dxa"/>
        <w:bottom w:w="0" w:type="dxa"/>
      </w:tblCellMar>
    </w:tblPr>
  </w:style>
  <w:style w:type="table" w:styleId="1197" w:customStyle="1">
    <w:name w:val="List Table 2 - Accent 51"/>
    <w:uiPriority w:val="99"/>
    <w:qFormat/>
    <w:tblPr>
      <w:tblCellMar>
        <w:left w:w="0" w:type="dxa"/>
        <w:top w:w="0" w:type="dxa"/>
        <w:right w:w="0" w:type="dxa"/>
        <w:bottom w:w="0" w:type="dxa"/>
      </w:tblCellMar>
    </w:tblPr>
  </w:style>
  <w:style w:type="table" w:styleId="1198" w:customStyle="1">
    <w:name w:val="List Table 2 - Accent 61"/>
    <w:uiPriority w:val="99"/>
    <w:qFormat/>
    <w:tblPr>
      <w:tblCellMar>
        <w:left w:w="0" w:type="dxa"/>
        <w:top w:w="0" w:type="dxa"/>
        <w:right w:w="0" w:type="dxa"/>
        <w:bottom w:w="0" w:type="dxa"/>
      </w:tblCellMar>
    </w:tblPr>
  </w:style>
  <w:style w:type="table" w:styleId="1199" w:customStyle="1">
    <w:name w:val="清单表 311"/>
    <w:uiPriority w:val="99"/>
    <w:qFormat/>
    <w:tblPr>
      <w:tblCellMar>
        <w:left w:w="0" w:type="dxa"/>
        <w:top w:w="0" w:type="dxa"/>
        <w:right w:w="0" w:type="dxa"/>
        <w:bottom w:w="0" w:type="dxa"/>
      </w:tblCellMar>
    </w:tblPr>
  </w:style>
  <w:style w:type="table" w:styleId="1200" w:customStyle="1">
    <w:name w:val="List Table 3 - Accent 11"/>
    <w:uiPriority w:val="99"/>
    <w:qFormat/>
    <w:tblPr>
      <w:tblCellMar>
        <w:left w:w="0" w:type="dxa"/>
        <w:top w:w="0" w:type="dxa"/>
        <w:right w:w="0" w:type="dxa"/>
        <w:bottom w:w="0" w:type="dxa"/>
      </w:tblCellMar>
    </w:tblPr>
  </w:style>
  <w:style w:type="table" w:styleId="1201" w:customStyle="1">
    <w:name w:val="List Table 3 - Accent 21"/>
    <w:uiPriority w:val="99"/>
    <w:qFormat/>
    <w:tblPr>
      <w:tblCellMar>
        <w:left w:w="0" w:type="dxa"/>
        <w:top w:w="0" w:type="dxa"/>
        <w:right w:w="0" w:type="dxa"/>
        <w:bottom w:w="0" w:type="dxa"/>
      </w:tblCellMar>
    </w:tblPr>
  </w:style>
  <w:style w:type="table" w:styleId="1202" w:customStyle="1">
    <w:name w:val="List Table 3 - Accent 31"/>
    <w:uiPriority w:val="99"/>
    <w:qFormat/>
    <w:tblPr>
      <w:tblCellMar>
        <w:left w:w="0" w:type="dxa"/>
        <w:top w:w="0" w:type="dxa"/>
        <w:right w:w="0" w:type="dxa"/>
        <w:bottom w:w="0" w:type="dxa"/>
      </w:tblCellMar>
    </w:tblPr>
  </w:style>
  <w:style w:type="table" w:styleId="1203" w:customStyle="1">
    <w:name w:val="List Table 3 - Accent 41"/>
    <w:uiPriority w:val="99"/>
    <w:qFormat/>
    <w:tblPr>
      <w:tblCellMar>
        <w:left w:w="0" w:type="dxa"/>
        <w:top w:w="0" w:type="dxa"/>
        <w:right w:w="0" w:type="dxa"/>
        <w:bottom w:w="0" w:type="dxa"/>
      </w:tblCellMar>
    </w:tblPr>
  </w:style>
  <w:style w:type="table" w:styleId="1204" w:customStyle="1">
    <w:name w:val="List Table 3 - Accent 51"/>
    <w:uiPriority w:val="99"/>
    <w:qFormat/>
    <w:tblPr>
      <w:tblCellMar>
        <w:left w:w="0" w:type="dxa"/>
        <w:top w:w="0" w:type="dxa"/>
        <w:right w:w="0" w:type="dxa"/>
        <w:bottom w:w="0" w:type="dxa"/>
      </w:tblCellMar>
    </w:tblPr>
  </w:style>
  <w:style w:type="table" w:styleId="1205" w:customStyle="1">
    <w:name w:val="List Table 3 - Accent 61"/>
    <w:uiPriority w:val="99"/>
    <w:qFormat/>
    <w:tblPr>
      <w:tblCellMar>
        <w:left w:w="0" w:type="dxa"/>
        <w:top w:w="0" w:type="dxa"/>
        <w:right w:w="0" w:type="dxa"/>
        <w:bottom w:w="0" w:type="dxa"/>
      </w:tblCellMar>
    </w:tblPr>
  </w:style>
  <w:style w:type="table" w:styleId="1206" w:customStyle="1">
    <w:name w:val="清单表 411"/>
    <w:uiPriority w:val="99"/>
    <w:qFormat/>
    <w:tblPr>
      <w:tblCellMar>
        <w:left w:w="0" w:type="dxa"/>
        <w:top w:w="0" w:type="dxa"/>
        <w:right w:w="0" w:type="dxa"/>
        <w:bottom w:w="0" w:type="dxa"/>
      </w:tblCellMar>
    </w:tblPr>
  </w:style>
  <w:style w:type="table" w:styleId="1207" w:customStyle="1">
    <w:name w:val="List Table 4 - Accent 11"/>
    <w:uiPriority w:val="99"/>
    <w:qFormat/>
    <w:tblPr>
      <w:tblCellMar>
        <w:left w:w="0" w:type="dxa"/>
        <w:top w:w="0" w:type="dxa"/>
        <w:right w:w="0" w:type="dxa"/>
        <w:bottom w:w="0" w:type="dxa"/>
      </w:tblCellMar>
    </w:tblPr>
  </w:style>
  <w:style w:type="table" w:styleId="1208" w:customStyle="1">
    <w:name w:val="List Table 4 - Accent 21"/>
    <w:uiPriority w:val="99"/>
    <w:qFormat/>
    <w:tblPr>
      <w:tblCellMar>
        <w:left w:w="0" w:type="dxa"/>
        <w:top w:w="0" w:type="dxa"/>
        <w:right w:w="0" w:type="dxa"/>
        <w:bottom w:w="0" w:type="dxa"/>
      </w:tblCellMar>
    </w:tblPr>
  </w:style>
  <w:style w:type="table" w:styleId="1209" w:customStyle="1">
    <w:name w:val="List Table 4 - Accent 31"/>
    <w:uiPriority w:val="99"/>
    <w:qFormat/>
    <w:tblPr>
      <w:tblCellMar>
        <w:left w:w="0" w:type="dxa"/>
        <w:top w:w="0" w:type="dxa"/>
        <w:right w:w="0" w:type="dxa"/>
        <w:bottom w:w="0" w:type="dxa"/>
      </w:tblCellMar>
    </w:tblPr>
  </w:style>
  <w:style w:type="table" w:styleId="1210" w:customStyle="1">
    <w:name w:val="List Table 4 - Accent 41"/>
    <w:uiPriority w:val="99"/>
    <w:qFormat/>
    <w:tblPr>
      <w:tblCellMar>
        <w:left w:w="0" w:type="dxa"/>
        <w:top w:w="0" w:type="dxa"/>
        <w:right w:w="0" w:type="dxa"/>
        <w:bottom w:w="0" w:type="dxa"/>
      </w:tblCellMar>
    </w:tblPr>
  </w:style>
  <w:style w:type="table" w:styleId="1211" w:customStyle="1">
    <w:name w:val="List Table 4 - Accent 51"/>
    <w:uiPriority w:val="99"/>
    <w:qFormat/>
    <w:tblPr>
      <w:tblCellMar>
        <w:left w:w="0" w:type="dxa"/>
        <w:top w:w="0" w:type="dxa"/>
        <w:right w:w="0" w:type="dxa"/>
        <w:bottom w:w="0" w:type="dxa"/>
      </w:tblCellMar>
    </w:tblPr>
  </w:style>
  <w:style w:type="table" w:styleId="1212" w:customStyle="1">
    <w:name w:val="List Table 4 - Accent 61"/>
    <w:uiPriority w:val="99"/>
    <w:qFormat/>
    <w:tblPr>
      <w:tblCellMar>
        <w:left w:w="0" w:type="dxa"/>
        <w:top w:w="0" w:type="dxa"/>
        <w:right w:w="0" w:type="dxa"/>
        <w:bottom w:w="0" w:type="dxa"/>
      </w:tblCellMar>
    </w:tblPr>
  </w:style>
  <w:style w:type="table" w:styleId="1213" w:customStyle="1">
    <w:name w:val="清单表 5 深色11"/>
    <w:uiPriority w:val="99"/>
    <w:qFormat/>
    <w:tblPr>
      <w:tblCellMar>
        <w:left w:w="0" w:type="dxa"/>
        <w:top w:w="0" w:type="dxa"/>
        <w:right w:w="0" w:type="dxa"/>
        <w:bottom w:w="0" w:type="dxa"/>
      </w:tblCellMar>
    </w:tblPr>
  </w:style>
  <w:style w:type="table" w:styleId="1214" w:customStyle="1">
    <w:name w:val="List Table 5 Dark - Accent 11"/>
    <w:uiPriority w:val="99"/>
    <w:qFormat/>
    <w:tblPr>
      <w:tblCellMar>
        <w:left w:w="0" w:type="dxa"/>
        <w:top w:w="0" w:type="dxa"/>
        <w:right w:w="0" w:type="dxa"/>
        <w:bottom w:w="0" w:type="dxa"/>
      </w:tblCellMar>
    </w:tblPr>
  </w:style>
  <w:style w:type="table" w:styleId="1215" w:customStyle="1">
    <w:name w:val="List Table 5 Dark - Accent 21"/>
    <w:uiPriority w:val="99"/>
    <w:qFormat/>
    <w:tblPr>
      <w:tblCellMar>
        <w:left w:w="0" w:type="dxa"/>
        <w:top w:w="0" w:type="dxa"/>
        <w:right w:w="0" w:type="dxa"/>
        <w:bottom w:w="0" w:type="dxa"/>
      </w:tblCellMar>
    </w:tblPr>
  </w:style>
  <w:style w:type="table" w:styleId="1216" w:customStyle="1">
    <w:name w:val="List Table 5 Dark - Accent 31"/>
    <w:uiPriority w:val="99"/>
    <w:qFormat/>
    <w:tblPr>
      <w:tblCellMar>
        <w:left w:w="0" w:type="dxa"/>
        <w:top w:w="0" w:type="dxa"/>
        <w:right w:w="0" w:type="dxa"/>
        <w:bottom w:w="0" w:type="dxa"/>
      </w:tblCellMar>
    </w:tblPr>
  </w:style>
  <w:style w:type="table" w:styleId="1217" w:customStyle="1">
    <w:name w:val="List Table 5 Dark - Accent 41"/>
    <w:uiPriority w:val="99"/>
    <w:qFormat/>
    <w:tblPr>
      <w:tblCellMar>
        <w:left w:w="0" w:type="dxa"/>
        <w:top w:w="0" w:type="dxa"/>
        <w:right w:w="0" w:type="dxa"/>
        <w:bottom w:w="0" w:type="dxa"/>
      </w:tblCellMar>
    </w:tblPr>
  </w:style>
  <w:style w:type="table" w:styleId="1218" w:customStyle="1">
    <w:name w:val="List Table 5 Dark - Accent 51"/>
    <w:uiPriority w:val="99"/>
    <w:qFormat/>
    <w:tblPr>
      <w:tblCellMar>
        <w:left w:w="0" w:type="dxa"/>
        <w:top w:w="0" w:type="dxa"/>
        <w:right w:w="0" w:type="dxa"/>
        <w:bottom w:w="0" w:type="dxa"/>
      </w:tblCellMar>
    </w:tblPr>
  </w:style>
  <w:style w:type="table" w:styleId="1219" w:customStyle="1">
    <w:name w:val="List Table 5 Dark - Accent 61"/>
    <w:uiPriority w:val="99"/>
    <w:qFormat/>
    <w:tblPr>
      <w:tblCellMar>
        <w:left w:w="0" w:type="dxa"/>
        <w:top w:w="0" w:type="dxa"/>
        <w:right w:w="0" w:type="dxa"/>
        <w:bottom w:w="0" w:type="dxa"/>
      </w:tblCellMar>
    </w:tblPr>
  </w:style>
  <w:style w:type="table" w:styleId="1220" w:customStyle="1">
    <w:name w:val="清单表 6 彩色11"/>
    <w:uiPriority w:val="99"/>
    <w:qFormat/>
    <w:tblPr>
      <w:tblCellMar>
        <w:left w:w="0" w:type="dxa"/>
        <w:top w:w="0" w:type="dxa"/>
        <w:right w:w="0" w:type="dxa"/>
        <w:bottom w:w="0" w:type="dxa"/>
      </w:tblCellMar>
    </w:tblPr>
  </w:style>
  <w:style w:type="table" w:styleId="1221" w:customStyle="1">
    <w:name w:val="List Table 6 Colorful - Accent 11"/>
    <w:uiPriority w:val="99"/>
    <w:qFormat/>
    <w:tblPr>
      <w:tblCellMar>
        <w:left w:w="0" w:type="dxa"/>
        <w:top w:w="0" w:type="dxa"/>
        <w:right w:w="0" w:type="dxa"/>
        <w:bottom w:w="0" w:type="dxa"/>
      </w:tblCellMar>
    </w:tblPr>
  </w:style>
  <w:style w:type="table" w:styleId="1222" w:customStyle="1">
    <w:name w:val="List Table 6 Colorful - Accent 21"/>
    <w:uiPriority w:val="99"/>
    <w:qFormat/>
    <w:tblPr>
      <w:tblCellMar>
        <w:left w:w="0" w:type="dxa"/>
        <w:top w:w="0" w:type="dxa"/>
        <w:right w:w="0" w:type="dxa"/>
        <w:bottom w:w="0" w:type="dxa"/>
      </w:tblCellMar>
    </w:tblPr>
  </w:style>
  <w:style w:type="table" w:styleId="1223" w:customStyle="1">
    <w:name w:val="List Table 6 Colorful - Accent 31"/>
    <w:uiPriority w:val="99"/>
    <w:qFormat/>
    <w:tblPr>
      <w:tblCellMar>
        <w:left w:w="0" w:type="dxa"/>
        <w:top w:w="0" w:type="dxa"/>
        <w:right w:w="0" w:type="dxa"/>
        <w:bottom w:w="0" w:type="dxa"/>
      </w:tblCellMar>
    </w:tblPr>
  </w:style>
  <w:style w:type="table" w:styleId="1224" w:customStyle="1">
    <w:name w:val="List Table 6 Colorful - Accent 41"/>
    <w:uiPriority w:val="99"/>
    <w:qFormat/>
    <w:tblPr>
      <w:tblCellMar>
        <w:left w:w="0" w:type="dxa"/>
        <w:top w:w="0" w:type="dxa"/>
        <w:right w:w="0" w:type="dxa"/>
        <w:bottom w:w="0" w:type="dxa"/>
      </w:tblCellMar>
    </w:tblPr>
  </w:style>
  <w:style w:type="table" w:styleId="1225" w:customStyle="1">
    <w:name w:val="List Table 6 Colorful - Accent 51"/>
    <w:uiPriority w:val="99"/>
    <w:qFormat/>
    <w:tblPr>
      <w:tblCellMar>
        <w:left w:w="0" w:type="dxa"/>
        <w:top w:w="0" w:type="dxa"/>
        <w:right w:w="0" w:type="dxa"/>
        <w:bottom w:w="0" w:type="dxa"/>
      </w:tblCellMar>
    </w:tblPr>
  </w:style>
  <w:style w:type="table" w:styleId="1226" w:customStyle="1">
    <w:name w:val="List Table 6 Colorful - Accent 61"/>
    <w:uiPriority w:val="99"/>
    <w:qFormat/>
    <w:tblPr>
      <w:tblCellMar>
        <w:left w:w="0" w:type="dxa"/>
        <w:top w:w="0" w:type="dxa"/>
        <w:right w:w="0" w:type="dxa"/>
        <w:bottom w:w="0" w:type="dxa"/>
      </w:tblCellMar>
    </w:tblPr>
  </w:style>
  <w:style w:type="table" w:styleId="1227" w:customStyle="1">
    <w:name w:val="清单表 7 彩色11"/>
    <w:uiPriority w:val="99"/>
    <w:qFormat/>
    <w:tblPr>
      <w:tblCellMar>
        <w:left w:w="0" w:type="dxa"/>
        <w:top w:w="0" w:type="dxa"/>
        <w:right w:w="0" w:type="dxa"/>
        <w:bottom w:w="0" w:type="dxa"/>
      </w:tblCellMar>
    </w:tblPr>
  </w:style>
  <w:style w:type="table" w:styleId="1228" w:customStyle="1">
    <w:name w:val="List Table 7 Colorful - Accent 11"/>
    <w:uiPriority w:val="99"/>
    <w:qFormat/>
    <w:tblPr>
      <w:tblCellMar>
        <w:left w:w="0" w:type="dxa"/>
        <w:top w:w="0" w:type="dxa"/>
        <w:right w:w="0" w:type="dxa"/>
        <w:bottom w:w="0" w:type="dxa"/>
      </w:tblCellMar>
    </w:tblPr>
  </w:style>
  <w:style w:type="table" w:styleId="1229" w:customStyle="1">
    <w:name w:val="List Table 7 Colorful - Accent 21"/>
    <w:uiPriority w:val="99"/>
    <w:qFormat/>
    <w:tblPr>
      <w:tblCellMar>
        <w:left w:w="0" w:type="dxa"/>
        <w:top w:w="0" w:type="dxa"/>
        <w:right w:w="0" w:type="dxa"/>
        <w:bottom w:w="0" w:type="dxa"/>
      </w:tblCellMar>
    </w:tblPr>
  </w:style>
  <w:style w:type="table" w:styleId="1230" w:customStyle="1">
    <w:name w:val="List Table 7 Colorful - Accent 31"/>
    <w:uiPriority w:val="99"/>
    <w:qFormat/>
    <w:tblPr>
      <w:tblCellMar>
        <w:left w:w="0" w:type="dxa"/>
        <w:top w:w="0" w:type="dxa"/>
        <w:right w:w="0" w:type="dxa"/>
        <w:bottom w:w="0" w:type="dxa"/>
      </w:tblCellMar>
    </w:tblPr>
  </w:style>
  <w:style w:type="table" w:styleId="1231" w:customStyle="1">
    <w:name w:val="List Table 7 Colorful - Accent 41"/>
    <w:uiPriority w:val="99"/>
    <w:qFormat/>
    <w:tblPr>
      <w:tblCellMar>
        <w:left w:w="0" w:type="dxa"/>
        <w:top w:w="0" w:type="dxa"/>
        <w:right w:w="0" w:type="dxa"/>
        <w:bottom w:w="0" w:type="dxa"/>
      </w:tblCellMar>
    </w:tblPr>
  </w:style>
  <w:style w:type="table" w:styleId="1232" w:customStyle="1">
    <w:name w:val="List Table 7 Colorful - Accent 51"/>
    <w:uiPriority w:val="99"/>
    <w:qFormat/>
    <w:tblPr>
      <w:tblCellMar>
        <w:left w:w="0" w:type="dxa"/>
        <w:top w:w="0" w:type="dxa"/>
        <w:right w:w="0" w:type="dxa"/>
        <w:bottom w:w="0" w:type="dxa"/>
      </w:tblCellMar>
    </w:tblPr>
  </w:style>
  <w:style w:type="table" w:styleId="1233" w:customStyle="1">
    <w:name w:val="List Table 7 Colorful - Accent 61"/>
    <w:uiPriority w:val="99"/>
    <w:qFormat/>
    <w:tblPr>
      <w:tblCellMar>
        <w:left w:w="0" w:type="dxa"/>
        <w:top w:w="0" w:type="dxa"/>
        <w:right w:w="0" w:type="dxa"/>
        <w:bottom w:w="0" w:type="dxa"/>
      </w:tblCellMar>
    </w:tblPr>
  </w:style>
  <w:style w:type="table" w:styleId="1234" w:customStyle="1">
    <w:name w:val="Lined - Accent 11"/>
    <w:uiPriority w:val="99"/>
    <w:qFormat/>
    <w:rPr>
      <w:color w:val="404040"/>
    </w:rPr>
    <w:tblPr>
      <w:tblCellMar>
        <w:left w:w="0" w:type="dxa"/>
        <w:top w:w="0" w:type="dxa"/>
        <w:right w:w="0" w:type="dxa"/>
        <w:bottom w:w="0" w:type="dxa"/>
      </w:tblCellMar>
    </w:tblPr>
  </w:style>
  <w:style w:type="table" w:styleId="1235" w:customStyle="1">
    <w:name w:val="Lined - Accent 21"/>
    <w:uiPriority w:val="99"/>
    <w:qFormat/>
    <w:rPr>
      <w:color w:val="404040"/>
    </w:rPr>
    <w:tblPr>
      <w:tblCellMar>
        <w:left w:w="0" w:type="dxa"/>
        <w:top w:w="0" w:type="dxa"/>
        <w:right w:w="0" w:type="dxa"/>
        <w:bottom w:w="0" w:type="dxa"/>
      </w:tblCellMar>
    </w:tblPr>
  </w:style>
  <w:style w:type="table" w:styleId="1236" w:customStyle="1">
    <w:name w:val="Lined - Accent 31"/>
    <w:uiPriority w:val="99"/>
    <w:qFormat/>
    <w:rPr>
      <w:color w:val="404040"/>
    </w:rPr>
    <w:tblPr>
      <w:tblCellMar>
        <w:left w:w="0" w:type="dxa"/>
        <w:top w:w="0" w:type="dxa"/>
        <w:right w:w="0" w:type="dxa"/>
        <w:bottom w:w="0" w:type="dxa"/>
      </w:tblCellMar>
    </w:tblPr>
  </w:style>
  <w:style w:type="table" w:styleId="1237" w:customStyle="1">
    <w:name w:val="Lined - Accent 41"/>
    <w:uiPriority w:val="99"/>
    <w:qFormat/>
    <w:rPr>
      <w:color w:val="404040"/>
    </w:rPr>
    <w:tblPr>
      <w:tblCellMar>
        <w:left w:w="0" w:type="dxa"/>
        <w:top w:w="0" w:type="dxa"/>
        <w:right w:w="0" w:type="dxa"/>
        <w:bottom w:w="0" w:type="dxa"/>
      </w:tblCellMar>
    </w:tblPr>
  </w:style>
  <w:style w:type="table" w:styleId="1238" w:customStyle="1">
    <w:name w:val="Lined - Accent 51"/>
    <w:uiPriority w:val="99"/>
    <w:qFormat/>
    <w:rPr>
      <w:color w:val="404040"/>
    </w:rPr>
    <w:tblPr>
      <w:tblCellMar>
        <w:left w:w="0" w:type="dxa"/>
        <w:top w:w="0" w:type="dxa"/>
        <w:right w:w="0" w:type="dxa"/>
        <w:bottom w:w="0" w:type="dxa"/>
      </w:tblCellMar>
    </w:tblPr>
  </w:style>
  <w:style w:type="table" w:styleId="1239" w:customStyle="1">
    <w:name w:val="Lined - Accent 61"/>
    <w:uiPriority w:val="99"/>
    <w:qFormat/>
    <w:rPr>
      <w:color w:val="404040"/>
    </w:rPr>
    <w:tblPr>
      <w:tblCellMar>
        <w:left w:w="0" w:type="dxa"/>
        <w:top w:w="0" w:type="dxa"/>
        <w:right w:w="0" w:type="dxa"/>
        <w:bottom w:w="0" w:type="dxa"/>
      </w:tblCellMar>
    </w:tblPr>
  </w:style>
  <w:style w:type="table" w:styleId="1240" w:customStyle="1">
    <w:name w:val="Bordered &amp; Lined - Accent 11"/>
    <w:uiPriority w:val="99"/>
    <w:qFormat/>
    <w:rPr>
      <w:color w:val="404040"/>
    </w:rPr>
    <w:tblPr>
      <w:tblCellMar>
        <w:left w:w="0" w:type="dxa"/>
        <w:top w:w="0" w:type="dxa"/>
        <w:right w:w="0" w:type="dxa"/>
        <w:bottom w:w="0" w:type="dxa"/>
      </w:tblCellMar>
    </w:tblPr>
  </w:style>
  <w:style w:type="table" w:styleId="1241" w:customStyle="1">
    <w:name w:val="Bordered &amp; Lined - Accent 21"/>
    <w:uiPriority w:val="99"/>
    <w:qFormat/>
    <w:rPr>
      <w:color w:val="404040"/>
    </w:rPr>
    <w:tblPr>
      <w:tblCellMar>
        <w:left w:w="0" w:type="dxa"/>
        <w:top w:w="0" w:type="dxa"/>
        <w:right w:w="0" w:type="dxa"/>
        <w:bottom w:w="0" w:type="dxa"/>
      </w:tblCellMar>
    </w:tblPr>
  </w:style>
  <w:style w:type="table" w:styleId="1242" w:customStyle="1">
    <w:name w:val="Bordered &amp; Lined - Accent 31"/>
    <w:uiPriority w:val="99"/>
    <w:qFormat/>
    <w:rPr>
      <w:color w:val="404040"/>
    </w:rPr>
    <w:tblPr>
      <w:tblCellMar>
        <w:left w:w="0" w:type="dxa"/>
        <w:top w:w="0" w:type="dxa"/>
        <w:right w:w="0" w:type="dxa"/>
        <w:bottom w:w="0" w:type="dxa"/>
      </w:tblCellMar>
    </w:tblPr>
  </w:style>
  <w:style w:type="table" w:styleId="1243" w:customStyle="1">
    <w:name w:val="Bordered &amp; Lined - Accent 41"/>
    <w:uiPriority w:val="99"/>
    <w:qFormat/>
    <w:rPr>
      <w:color w:val="404040"/>
    </w:rPr>
    <w:tblPr>
      <w:tblCellMar>
        <w:left w:w="0" w:type="dxa"/>
        <w:top w:w="0" w:type="dxa"/>
        <w:right w:w="0" w:type="dxa"/>
        <w:bottom w:w="0" w:type="dxa"/>
      </w:tblCellMar>
    </w:tblPr>
  </w:style>
  <w:style w:type="table" w:styleId="1244" w:customStyle="1">
    <w:name w:val="Bordered &amp; Lined - Accent 51"/>
    <w:uiPriority w:val="99"/>
    <w:qFormat/>
    <w:rPr>
      <w:color w:val="404040"/>
    </w:rPr>
    <w:tblPr>
      <w:tblCellMar>
        <w:left w:w="0" w:type="dxa"/>
        <w:top w:w="0" w:type="dxa"/>
        <w:right w:w="0" w:type="dxa"/>
        <w:bottom w:w="0" w:type="dxa"/>
      </w:tblCellMar>
    </w:tblPr>
  </w:style>
  <w:style w:type="table" w:styleId="1245" w:customStyle="1">
    <w:name w:val="Bordered &amp; Lined - Accent 61"/>
    <w:uiPriority w:val="99"/>
    <w:qFormat/>
    <w:rPr>
      <w:color w:val="404040"/>
    </w:rPr>
    <w:tblPr>
      <w:tblCellMar>
        <w:left w:w="0" w:type="dxa"/>
        <w:top w:w="0" w:type="dxa"/>
        <w:right w:w="0" w:type="dxa"/>
        <w:bottom w:w="0" w:type="dxa"/>
      </w:tblCellMar>
    </w:tblPr>
  </w:style>
  <w:style w:type="table" w:styleId="1246" w:customStyle="1">
    <w:name w:val="Bordered1"/>
    <w:uiPriority w:val="99"/>
    <w:qFormat/>
    <w:tblPr>
      <w:tblCellMar>
        <w:left w:w="0" w:type="dxa"/>
        <w:top w:w="0" w:type="dxa"/>
        <w:right w:w="0" w:type="dxa"/>
        <w:bottom w:w="0" w:type="dxa"/>
      </w:tblCellMar>
    </w:tblPr>
  </w:style>
  <w:style w:type="table" w:styleId="1247" w:customStyle="1">
    <w:name w:val="Bordered - Accent 11"/>
    <w:uiPriority w:val="99"/>
    <w:qFormat/>
    <w:tblPr>
      <w:tblCellMar>
        <w:left w:w="0" w:type="dxa"/>
        <w:top w:w="0" w:type="dxa"/>
        <w:right w:w="0" w:type="dxa"/>
        <w:bottom w:w="0" w:type="dxa"/>
      </w:tblCellMar>
    </w:tblPr>
  </w:style>
  <w:style w:type="table" w:styleId="1248" w:customStyle="1">
    <w:name w:val="Bordered - Accent 21"/>
    <w:uiPriority w:val="99"/>
    <w:qFormat/>
    <w:tblPr>
      <w:tblCellMar>
        <w:left w:w="0" w:type="dxa"/>
        <w:top w:w="0" w:type="dxa"/>
        <w:right w:w="0" w:type="dxa"/>
        <w:bottom w:w="0" w:type="dxa"/>
      </w:tblCellMar>
    </w:tblPr>
  </w:style>
  <w:style w:type="table" w:styleId="1249" w:customStyle="1">
    <w:name w:val="Bordered - Accent 31"/>
    <w:uiPriority w:val="99"/>
    <w:qFormat/>
    <w:tblPr>
      <w:tblCellMar>
        <w:left w:w="0" w:type="dxa"/>
        <w:top w:w="0" w:type="dxa"/>
        <w:right w:w="0" w:type="dxa"/>
        <w:bottom w:w="0" w:type="dxa"/>
      </w:tblCellMar>
    </w:tblPr>
  </w:style>
  <w:style w:type="table" w:styleId="1250" w:customStyle="1">
    <w:name w:val="Bordered - Accent 41"/>
    <w:uiPriority w:val="99"/>
    <w:qFormat/>
    <w:tblPr>
      <w:tblCellMar>
        <w:left w:w="0" w:type="dxa"/>
        <w:top w:w="0" w:type="dxa"/>
        <w:right w:w="0" w:type="dxa"/>
        <w:bottom w:w="0" w:type="dxa"/>
      </w:tblCellMar>
    </w:tblPr>
  </w:style>
  <w:style w:type="table" w:styleId="1251" w:customStyle="1">
    <w:name w:val="Bordered - Accent 51"/>
    <w:uiPriority w:val="99"/>
    <w:qFormat/>
    <w:tblPr>
      <w:tblCellMar>
        <w:left w:w="0" w:type="dxa"/>
        <w:top w:w="0" w:type="dxa"/>
        <w:right w:w="0" w:type="dxa"/>
        <w:bottom w:w="0" w:type="dxa"/>
      </w:tblCellMar>
    </w:tblPr>
  </w:style>
  <w:style w:type="table" w:styleId="1252" w:customStyle="1">
    <w:name w:val="Bordered - Accent 61"/>
    <w:uiPriority w:val="99"/>
    <w:qFormat/>
    <w:tblPr>
      <w:tblCellMar>
        <w:left w:w="0" w:type="dxa"/>
        <w:top w:w="0" w:type="dxa"/>
        <w:right w:w="0" w:type="dxa"/>
        <w:bottom w:w="0" w:type="dxa"/>
      </w:tblCellMar>
    </w:tblPr>
  </w:style>
  <w:style w:type="paragraph" w:styleId="1253" w:customStyle="1">
    <w:name w:val="目录 71"/>
    <w:basedOn w:val="716"/>
    <w:next w:val="716"/>
    <w:uiPriority w:val="0"/>
    <w:qFormat/>
    <w:pPr>
      <w:ind w:left="2520"/>
    </w:pPr>
    <w:rPr>
      <w:rFonts w:ascii="Calibri" w:hAnsi="Calibri" w:eastAsia="楷体_GB2312"/>
      <w:sz w:val="26"/>
      <w:szCs w:val="20"/>
    </w:rPr>
  </w:style>
  <w:style w:type="character" w:styleId="1254" w:customStyle="1">
    <w:name w:val="正文文本 字符2"/>
    <w:uiPriority w:val="0"/>
    <w:qFormat/>
    <w:rPr>
      <w:rFonts w:ascii="Times New Roman" w:hAnsi="Times New Roman" w:eastAsia="宋体" w:cs="Times New Roman"/>
      <w:sz w:val="21"/>
      <w:szCs w:val="22"/>
    </w:rPr>
  </w:style>
  <w:style w:type="paragraph" w:styleId="1255" w:customStyle="1">
    <w:name w:val="目录 51"/>
    <w:basedOn w:val="716"/>
    <w:next w:val="716"/>
    <w:uiPriority w:val="0"/>
    <w:qFormat/>
    <w:pPr>
      <w:ind w:left="1680"/>
    </w:pPr>
    <w:rPr>
      <w:rFonts w:ascii="Calibri" w:hAnsi="Calibri" w:eastAsia="楷体_GB2312"/>
      <w:sz w:val="26"/>
      <w:szCs w:val="20"/>
    </w:rPr>
  </w:style>
  <w:style w:type="paragraph" w:styleId="1256" w:customStyle="1">
    <w:name w:val="目录 31"/>
    <w:basedOn w:val="716"/>
    <w:next w:val="716"/>
    <w:link w:val="1257"/>
    <w:uiPriority w:val="0"/>
    <w:qFormat/>
    <w:pPr>
      <w:ind w:left="840"/>
    </w:pPr>
    <w:rPr>
      <w:rFonts w:ascii="Calibri" w:hAnsi="Calibri"/>
      <w:szCs w:val="20"/>
    </w:rPr>
  </w:style>
  <w:style w:type="character" w:styleId="1257" w:customStyle="1">
    <w:name w:val="目录 3 Char"/>
    <w:link w:val="1256"/>
    <w:uiPriority w:val="0"/>
    <w:qFormat/>
    <w:rPr>
      <w:rFonts w:ascii="Calibri" w:hAnsi="Calibri"/>
      <w:sz w:val="21"/>
    </w:rPr>
  </w:style>
  <w:style w:type="character" w:styleId="1258" w:customStyle="1">
    <w:name w:val="纯文本 字符1"/>
    <w:uiPriority w:val="0"/>
    <w:qFormat/>
    <w:rPr>
      <w:rFonts w:ascii="宋体" w:hAnsi="Courier New" w:eastAsia="宋体" w:cs="Times New Roman"/>
      <w:sz w:val="21"/>
    </w:rPr>
  </w:style>
  <w:style w:type="paragraph" w:styleId="1259" w:customStyle="1">
    <w:name w:val="目录 81"/>
    <w:basedOn w:val="716"/>
    <w:next w:val="716"/>
    <w:uiPriority w:val="0"/>
    <w:qFormat/>
    <w:pPr>
      <w:ind w:left="2940"/>
    </w:pPr>
    <w:rPr>
      <w:rFonts w:ascii="Calibri" w:hAnsi="Calibri" w:eastAsia="楷体_GB2312"/>
      <w:sz w:val="26"/>
      <w:szCs w:val="20"/>
    </w:rPr>
  </w:style>
  <w:style w:type="paragraph" w:styleId="1260" w:customStyle="1">
    <w:name w:val="目录 41"/>
    <w:basedOn w:val="716"/>
    <w:next w:val="716"/>
    <w:uiPriority w:val="0"/>
    <w:qFormat/>
    <w:pPr>
      <w:ind w:left="1260"/>
    </w:pPr>
    <w:rPr>
      <w:rFonts w:ascii="Calibri" w:hAnsi="Calibri" w:eastAsia="楷体_GB2312"/>
      <w:sz w:val="26"/>
      <w:szCs w:val="20"/>
    </w:rPr>
  </w:style>
  <w:style w:type="paragraph" w:styleId="1261" w:customStyle="1">
    <w:name w:val="目录 61"/>
    <w:basedOn w:val="716"/>
    <w:next w:val="716"/>
    <w:uiPriority w:val="0"/>
    <w:qFormat/>
    <w:pPr>
      <w:ind w:left="2100"/>
    </w:pPr>
    <w:rPr>
      <w:rFonts w:ascii="Calibri" w:hAnsi="Calibri" w:eastAsia="楷体_GB2312"/>
      <w:sz w:val="26"/>
      <w:szCs w:val="20"/>
    </w:rPr>
  </w:style>
  <w:style w:type="paragraph" w:styleId="1262" w:customStyle="1">
    <w:name w:val="目录 21"/>
    <w:basedOn w:val="716"/>
    <w:next w:val="716"/>
    <w:uiPriority w:val="0"/>
    <w:qFormat/>
    <w:pPr>
      <w:ind w:left="420"/>
    </w:pPr>
    <w:rPr>
      <w:rFonts w:ascii="Calibri" w:hAnsi="Calibri" w:eastAsia="楷体_GB2312"/>
      <w:sz w:val="26"/>
      <w:szCs w:val="20"/>
    </w:rPr>
  </w:style>
  <w:style w:type="paragraph" w:styleId="1263" w:customStyle="1">
    <w:name w:val="目录 91"/>
    <w:basedOn w:val="716"/>
    <w:next w:val="716"/>
    <w:uiPriority w:val="0"/>
    <w:qFormat/>
    <w:pPr>
      <w:ind w:left="3360"/>
    </w:pPr>
    <w:rPr>
      <w:rFonts w:ascii="Calibri" w:hAnsi="Calibri" w:eastAsia="楷体_GB2312"/>
      <w:sz w:val="26"/>
      <w:szCs w:val="20"/>
    </w:rPr>
  </w:style>
  <w:style w:type="character" w:styleId="1264" w:customStyle="1">
    <w:name w:val="普通(网站) 字符"/>
    <w:link w:val="773"/>
    <w:uiPriority w:val="0"/>
    <w:qFormat/>
    <w:rPr>
      <w:rFonts w:ascii="宋体" w:hAnsi="宋体"/>
      <w:color w:val="000000"/>
      <w:sz w:val="24"/>
      <w:szCs w:val="24"/>
    </w:rPr>
  </w:style>
  <w:style w:type="paragraph" w:styleId="1265" w:customStyle="1">
    <w:name w:val="正文首行缩进 21111"/>
    <w:basedOn w:val="1266"/>
    <w:next w:val="716"/>
    <w:uiPriority w:val="0"/>
    <w:unhideWhenUsed/>
    <w:qFormat/>
    <w:pPr>
      <w:ind w:firstLine="420"/>
    </w:pPr>
  </w:style>
  <w:style w:type="paragraph" w:styleId="1266" w:customStyle="1">
    <w:name w:val="正文文本缩进1"/>
    <w:basedOn w:val="716"/>
    <w:next w:val="1267"/>
    <w:uiPriority w:val="0"/>
    <w:unhideWhenUsed/>
    <w:qFormat/>
    <w:pPr>
      <w:ind w:left="420"/>
      <w:spacing w:after="120"/>
    </w:pPr>
    <w:rPr>
      <w:szCs w:val="22"/>
      <w:lang w:eastAsia="en-US"/>
    </w:rPr>
  </w:style>
  <w:style w:type="paragraph" w:styleId="1267" w:customStyle="1">
    <w:name w:val="寄信人地址1"/>
    <w:basedOn w:val="716"/>
    <w:uiPriority w:val="99"/>
    <w:unhideWhenUsed/>
    <w:qFormat/>
    <w:rPr>
      <w:rFonts w:ascii="Arial" w:hAnsi="Arial" w:eastAsia="楷体_GB2312"/>
      <w:sz w:val="26"/>
      <w:szCs w:val="20"/>
    </w:rPr>
  </w:style>
  <w:style w:type="paragraph" w:styleId="1268" w:customStyle="1">
    <w:name w:val="正文缩进1"/>
    <w:basedOn w:val="716"/>
    <w:uiPriority w:val="0"/>
    <w:qFormat/>
    <w:pPr>
      <w:ind w:firstLine="420"/>
      <w:jc w:val="left"/>
      <w:widowControl/>
    </w:pPr>
    <w:rPr>
      <w:rFonts w:ascii="Calibri" w:hAnsi="Calibri"/>
      <w:szCs w:val="22"/>
    </w:rPr>
  </w:style>
  <w:style w:type="character" w:styleId="1269" w:customStyle="1">
    <w:name w:val="NormalCharacter1"/>
    <w:uiPriority w:val="0"/>
    <w:qFormat/>
    <w:rPr>
      <w:rFonts w:ascii="Times New Roman" w:hAnsi="Times New Roman" w:eastAsia="宋体" w:cs="Times New Roman"/>
    </w:rPr>
  </w:style>
  <w:style w:type="paragraph" w:styleId="1270" w:customStyle="1">
    <w:name w:val="Default"/>
    <w:uiPriority w:val="0"/>
    <w:qFormat/>
    <w:pPr>
      <w:widowControl w:val="off"/>
    </w:pPr>
    <w:rPr>
      <w:rFonts w:hint="default" w:ascii="微软雅黑" w:hAnsi="Times New Roman" w:eastAsia="微软雅黑" w:cs="微软雅黑"/>
      <w:color w:val="000000"/>
      <w:sz w:val="24"/>
      <w:szCs w:val="24"/>
    </w:rPr>
  </w:style>
  <w:style w:type="table" w:styleId="1271" w:customStyle="1">
    <w:name w:val="网格型11"/>
    <w:basedOn w:val="727"/>
    <w:uiPriority w:val="0"/>
    <w:qFormat/>
    <w:pPr>
      <w:jc w:val="both"/>
      <w:widowControl w:val="off"/>
    </w:pPr>
    <w:tblPr/>
  </w:style>
  <w:style w:type="table" w:styleId="1272" w:customStyle="1">
    <w:name w:val="网格型2"/>
    <w:basedOn w:val="727"/>
    <w:uiPriority w:val="0"/>
    <w:qFormat/>
    <w:pPr>
      <w:jc w:val="both"/>
      <w:widowControl w:val="off"/>
    </w:pPr>
    <w:tblPr/>
  </w:style>
  <w:style w:type="character" w:styleId="1273" w:customStyle="1">
    <w:name w:val="正文文本 Char"/>
    <w:uiPriority w:val="0"/>
    <w:qFormat/>
    <w:rPr>
      <w:rFonts w:ascii="楷体_GB2312" w:eastAsia="楷体_GB2312"/>
      <w:sz w:val="28"/>
    </w:rPr>
  </w:style>
  <w:style w:type="paragraph" w:styleId="1274" w:customStyle="1">
    <w:name w:val="style4"/>
    <w:basedOn w:val="716"/>
    <w:next w:val="1275"/>
    <w:uiPriority w:val="99"/>
    <w:qFormat/>
    <w:pPr>
      <w:spacing w:before="280" w:after="280"/>
      <w:widowControl/>
    </w:pPr>
    <w:rPr>
      <w:rFonts w:ascii="宋体" w:hAnsi="Calibri" w:eastAsia="楷体_GB2312"/>
      <w:sz w:val="18"/>
      <w:szCs w:val="20"/>
    </w:rPr>
  </w:style>
  <w:style w:type="paragraph" w:styleId="1275" w:customStyle="1">
    <w:name w:val="2"/>
    <w:next w:val="716"/>
    <w:uiPriority w:val="99"/>
    <w:qFormat/>
    <w:pPr>
      <w:jc w:val="both"/>
      <w:widowControl w:val="off"/>
    </w:pPr>
    <w:rPr>
      <w:rFonts w:hint="default" w:ascii="Times New Roman" w:hAnsi="Times New Roman" w:eastAsia="宋体" w:cs="Times New Roman"/>
      <w:sz w:val="21"/>
      <w:szCs w:val="22"/>
    </w:rPr>
  </w:style>
  <w:style w:type="table" w:styleId="1276" w:customStyle="1">
    <w:name w:val="网格型3"/>
    <w:basedOn w:val="727"/>
    <w:uiPriority w:val="0"/>
    <w:qFormat/>
    <w:pPr>
      <w:jc w:val="both"/>
      <w:widowControl w:val="off"/>
    </w:pPr>
    <w:rPr>
      <w:sz w:val="21"/>
      <w:szCs w:val="22"/>
    </w:rPr>
    <w:tblPr/>
  </w:style>
  <w:style w:type="character" w:styleId="1277" w:customStyle="1">
    <w:name w:val="Char Char4"/>
    <w:uiPriority w:val="0"/>
    <w:qFormat/>
    <w:rPr>
      <w:rFonts w:ascii="方正仿宋简体" w:hAnsi="汉仪雅酷黑简" w:eastAsia="方正仿宋简体"/>
      <w:sz w:val="24"/>
      <w:lang w:val="en-US" w:eastAsia="zh-CN" w:bidi="ar-SA"/>
    </w:rPr>
  </w:style>
  <w:style w:type="character" w:styleId="1278" w:customStyle="1">
    <w:name w:val="state"/>
    <w:uiPriority w:val="0"/>
    <w:qFormat/>
    <w:rPr>
      <w:b/>
      <w:color w:val="ffffff"/>
      <w:sz w:val="19"/>
      <w:szCs w:val="19"/>
    </w:rPr>
  </w:style>
  <w:style w:type="character" w:styleId="1279" w:customStyle="1">
    <w:name w:val="bds_more6"/>
    <w:uiPriority w:val="0"/>
    <w:qFormat/>
  </w:style>
  <w:style w:type="character" w:styleId="1280" w:customStyle="1">
    <w:name w:val="hilite"/>
    <w:uiPriority w:val="0"/>
    <w:qFormat/>
    <w:rPr>
      <w:color w:val="ffffff"/>
      <w:shd w:val="clear" w:color="auto" w:fill="776666"/>
    </w:rPr>
  </w:style>
  <w:style w:type="character" w:styleId="1281" w:customStyle="1">
    <w:name w:val="bds_nopic"/>
    <w:uiPriority w:val="0"/>
    <w:qFormat/>
  </w:style>
  <w:style w:type="character" w:styleId="1282" w:customStyle="1">
    <w:name w:val="Char Char2"/>
    <w:uiPriority w:val="0"/>
    <w:qFormat/>
    <w:rPr>
      <w:rFonts w:ascii="宋体" w:hAnsi="宋体" w:eastAsia="楷体_GB2312"/>
      <w:b/>
      <w:sz w:val="26"/>
      <w:lang w:val="en-US" w:eastAsia="zh-CN" w:bidi="ar-SA"/>
    </w:rPr>
  </w:style>
  <w:style w:type="character" w:styleId="1283" w:customStyle="1">
    <w:name w:val="hover61"/>
    <w:uiPriority w:val="0"/>
    <w:qFormat/>
    <w:rPr>
      <w:shd w:val="clear" w:color="auto" w:fill="ff0000"/>
    </w:rPr>
  </w:style>
  <w:style w:type="character" w:styleId="1284" w:customStyle="1">
    <w:name w:val="grid"/>
    <w:uiPriority w:val="0"/>
    <w:qFormat/>
  </w:style>
  <w:style w:type="character" w:styleId="1285" w:customStyle="1">
    <w:name w:val="bds_more7"/>
    <w:uiPriority w:val="0"/>
    <w:qFormat/>
  </w:style>
  <w:style w:type="character" w:styleId="1286" w:customStyle="1">
    <w:name w:val="bds_more8"/>
    <w:uiPriority w:val="0"/>
    <w:qFormat/>
    <w:rPr>
      <w:rFonts w:hint="eastAsia" w:ascii="宋体" w:hAnsi="宋体" w:eastAsia="宋体" w:cs="宋体"/>
    </w:rPr>
  </w:style>
  <w:style w:type="character" w:styleId="1287" w:customStyle="1">
    <w:name w:val="bds_more4"/>
    <w:uiPriority w:val="0"/>
    <w:qFormat/>
    <w:rPr>
      <w:rFonts w:hint="eastAsia" w:ascii="宋体" w:hAnsi="宋体" w:eastAsia="宋体" w:cs="宋体"/>
    </w:rPr>
  </w:style>
  <w:style w:type="character" w:styleId="1288" w:customStyle="1">
    <w:name w:val="bds_nopic1"/>
    <w:uiPriority w:val="0"/>
    <w:qFormat/>
  </w:style>
  <w:style w:type="character" w:styleId="1289" w:customStyle="1">
    <w:name w:val="hilite6"/>
    <w:uiPriority w:val="0"/>
    <w:qFormat/>
    <w:rPr>
      <w:color w:val="ffffff"/>
      <w:shd w:val="clear" w:color="auto" w:fill="776666"/>
    </w:rPr>
  </w:style>
  <w:style w:type="character" w:styleId="1290" w:customStyle="1">
    <w:name w:val="正文缩进2格 Char Char"/>
    <w:uiPriority w:val="0"/>
    <w:qFormat/>
    <w:rPr>
      <w:rFonts w:ascii="仿宋_GB2312" w:hAnsi="宋体" w:eastAsia="仿宋_GB2312"/>
      <w:sz w:val="31"/>
      <w:szCs w:val="28"/>
    </w:rPr>
  </w:style>
  <w:style w:type="character" w:styleId="1291" w:customStyle="1">
    <w:name w:val="grid2"/>
    <w:uiPriority w:val="0"/>
    <w:qFormat/>
  </w:style>
  <w:style w:type="character" w:styleId="1292" w:customStyle="1">
    <w:name w:val="other"/>
    <w:uiPriority w:val="0"/>
    <w:qFormat/>
  </w:style>
  <w:style w:type="character" w:styleId="1293" w:customStyle="1">
    <w:name w:val="font01"/>
    <w:uiPriority w:val="0"/>
    <w:qFormat/>
    <w:rPr>
      <w:rFonts w:hint="eastAsia" w:ascii="宋体" w:hAnsi="宋体" w:eastAsia="宋体" w:cs="宋体"/>
      <w:b/>
      <w:color w:val="000000"/>
      <w:sz w:val="20"/>
      <w:szCs w:val="20"/>
      <w:u w:val="none"/>
    </w:rPr>
  </w:style>
  <w:style w:type="character" w:styleId="1294" w:customStyle="1">
    <w:name w:val="noused"/>
    <w:uiPriority w:val="0"/>
    <w:qFormat/>
    <w:rPr>
      <w:b/>
      <w:color w:val="ffffff"/>
      <w:sz w:val="21"/>
      <w:szCs w:val="21"/>
    </w:rPr>
  </w:style>
  <w:style w:type="character" w:styleId="1295" w:customStyle="1">
    <w:name w:val="active8"/>
    <w:uiPriority w:val="0"/>
    <w:qFormat/>
    <w:rPr>
      <w:color w:val="00ff00"/>
      <w:shd w:val="clear" w:color="auto" w:fill="000000"/>
    </w:rPr>
  </w:style>
  <w:style w:type="character" w:styleId="1296" w:customStyle="1">
    <w:name w:val="bds_more5"/>
    <w:uiPriority w:val="0"/>
    <w:qFormat/>
  </w:style>
  <w:style w:type="character" w:styleId="1297" w:customStyle="1">
    <w:name w:val="bds_nopic2"/>
    <w:uiPriority w:val="0"/>
    <w:qFormat/>
  </w:style>
  <w:style w:type="character" w:styleId="1298" w:customStyle="1">
    <w:name w:val="active"/>
    <w:uiPriority w:val="0"/>
    <w:qFormat/>
    <w:rPr>
      <w:color w:val="00ff00"/>
      <w:shd w:val="clear" w:color="auto" w:fill="000000"/>
    </w:rPr>
  </w:style>
  <w:style w:type="paragraph" w:styleId="1299" w:customStyle="1">
    <w:name w:val="列出段落2"/>
    <w:basedOn w:val="716"/>
    <w:uiPriority w:val="0"/>
    <w:qFormat/>
    <w:pPr>
      <w:ind w:firstLine="420"/>
    </w:pPr>
  </w:style>
  <w:style w:type="character" w:styleId="1300" w:customStyle="1">
    <w:name w:val="font41"/>
    <w:uiPriority w:val="0"/>
    <w:qFormat/>
    <w:rPr>
      <w:rFonts w:hint="eastAsia" w:ascii="宋体" w:hAnsi="宋体" w:eastAsia="宋体" w:cs="宋体"/>
      <w:color w:val="000000"/>
      <w:sz w:val="20"/>
      <w:szCs w:val="20"/>
      <w:u w:val="none"/>
    </w:rPr>
  </w:style>
  <w:style w:type="character" w:styleId="1301" w:customStyle="1">
    <w:name w:val="font11"/>
    <w:uiPriority w:val="0"/>
    <w:qFormat/>
    <w:rPr>
      <w:rFonts w:ascii="宋体" w:hAnsi="宋体" w:eastAsia="宋体"/>
      <w:color w:val="000000"/>
      <w:sz w:val="28"/>
      <w:u w:val="none"/>
    </w:rPr>
  </w:style>
  <w:style w:type="character" w:styleId="1302" w:customStyle="1">
    <w:name w:val="正文文本缩进 Char1"/>
    <w:uiPriority w:val="0"/>
    <w:qFormat/>
    <w:rPr>
      <w:rFonts w:eastAsia="楷体_GB2312"/>
      <w:sz w:val="26"/>
    </w:rPr>
  </w:style>
  <w:style w:type="character" w:styleId="1303" w:customStyle="1">
    <w:name w:val="font101"/>
    <w:uiPriority w:val="0"/>
    <w:qFormat/>
    <w:rPr>
      <w:rFonts w:hint="eastAsia" w:ascii="微软雅黑" w:hAnsi="微软雅黑" w:eastAsia="微软雅黑" w:cs="微软雅黑"/>
      <w:color w:val="000000"/>
      <w:sz w:val="20"/>
      <w:szCs w:val="20"/>
      <w:u w:val="none"/>
      <w:vertAlign w:val="superscript"/>
    </w:rPr>
  </w:style>
  <w:style w:type="character" w:styleId="1304" w:customStyle="1">
    <w:name w:val="日期 Char1"/>
    <w:uiPriority w:val="0"/>
    <w:qFormat/>
    <w:rPr>
      <w:rFonts w:eastAsia="楷体_GB2312"/>
      <w:sz w:val="26"/>
      <w:szCs w:val="26"/>
    </w:rPr>
  </w:style>
  <w:style w:type="character" w:styleId="1305" w:customStyle="1">
    <w:name w:val="Balloon Text Char"/>
    <w:uiPriority w:val="0"/>
    <w:semiHidden/>
    <w:qFormat/>
    <w:rPr>
      <w:rFonts w:eastAsia="宋体"/>
      <w:sz w:val="18"/>
      <w:lang w:val="en-US" w:eastAsia="zh-CN"/>
    </w:rPr>
  </w:style>
  <w:style w:type="character" w:styleId="1306" w:customStyle="1">
    <w:name w:val="font21"/>
    <w:basedOn w:val="726"/>
    <w:uiPriority w:val="0"/>
    <w:qFormat/>
    <w:rPr>
      <w:rFonts w:hint="eastAsia" w:ascii="宋体" w:hAnsi="宋体" w:eastAsia="宋体" w:cs="宋体"/>
      <w:b/>
      <w:color w:val="000000"/>
      <w:sz w:val="20"/>
      <w:szCs w:val="20"/>
      <w:u w:val="none"/>
    </w:rPr>
  </w:style>
  <w:style w:type="character" w:styleId="1307" w:customStyle="1">
    <w:name w:val="font31"/>
    <w:uiPriority w:val="0"/>
    <w:qFormat/>
    <w:rPr>
      <w:rFonts w:ascii="宋体" w:hAnsi="宋体" w:eastAsia="宋体"/>
      <w:color w:val="000000"/>
      <w:sz w:val="20"/>
      <w:u w:val="none"/>
    </w:rPr>
  </w:style>
  <w:style w:type="character" w:styleId="1308" w:customStyle="1">
    <w:name w:val="Body Text Indent Char"/>
    <w:uiPriority w:val="0"/>
    <w:qFormat/>
    <w:rPr>
      <w:rFonts w:ascii="方正仿宋简体" w:hAnsi="汉仪雅酷黑简" w:eastAsia="方正仿宋简体"/>
      <w:sz w:val="24"/>
    </w:rPr>
  </w:style>
  <w:style w:type="character" w:styleId="1309" w:customStyle="1">
    <w:name w:val="Header Char1"/>
    <w:uiPriority w:val="0"/>
    <w:qFormat/>
    <w:rPr>
      <w:rFonts w:eastAsia="楷体_GB2312"/>
      <w:sz w:val="18"/>
    </w:rPr>
  </w:style>
  <w:style w:type="character" w:styleId="1310" w:customStyle="1">
    <w:name w:val="正文文本缩进 Char2"/>
    <w:uiPriority w:val="0"/>
    <w:qFormat/>
    <w:rPr>
      <w:rFonts w:eastAsia="楷体_GB2312"/>
      <w:sz w:val="26"/>
      <w:szCs w:val="26"/>
    </w:rPr>
  </w:style>
  <w:style w:type="paragraph" w:styleId="1311" w:customStyle="1">
    <w:name w:val="p0"/>
    <w:basedOn w:val="716"/>
    <w:uiPriority w:val="0"/>
    <w:qFormat/>
    <w:pPr>
      <w:widowControl/>
    </w:pPr>
    <w:rPr>
      <w:rFonts w:ascii="Calibri" w:hAnsi="Calibri"/>
      <w:szCs w:val="21"/>
    </w:rPr>
  </w:style>
  <w:style w:type="paragraph" w:styleId="1312" w:customStyle="1">
    <w:name w:val="纯文本1"/>
    <w:basedOn w:val="716"/>
    <w:uiPriority w:val="0"/>
    <w:qFormat/>
    <w:rPr>
      <w:rFonts w:ascii="宋体" w:hAnsi="Courier New" w:eastAsia="楷体_GB2312"/>
      <w:sz w:val="28"/>
      <w:szCs w:val="20"/>
    </w:rPr>
  </w:style>
  <w:style w:type="paragraph" w:styleId="1313" w:customStyle="1">
    <w:name w:val="Char Char1 Char Char Char Char"/>
    <w:basedOn w:val="734"/>
    <w:uiPriority w:val="0"/>
    <w:qFormat/>
    <w:pPr>
      <w:spacing w:line="360" w:lineRule="auto"/>
    </w:pPr>
    <w:rPr>
      <w:rFonts w:ascii="Tahoma" w:hAnsi="Tahoma"/>
      <w:sz w:val="24"/>
    </w:rPr>
  </w:style>
  <w:style w:type="paragraph" w:styleId="1314" w:customStyle="1">
    <w:name w:val="Char Char1 Char Char Char Char Char Char Char"/>
    <w:basedOn w:val="716"/>
    <w:uiPriority w:val="0"/>
    <w:qFormat/>
    <w:rPr>
      <w:rFonts w:ascii="Tahoma" w:hAnsi="Tahoma" w:eastAsia="楷体_GB2312"/>
      <w:sz w:val="24"/>
      <w:szCs w:val="20"/>
    </w:rPr>
  </w:style>
  <w:style w:type="paragraph" w:styleId="1315" w:customStyle="1">
    <w:name w:val="图"/>
    <w:basedOn w:val="716"/>
    <w:uiPriority w:val="0"/>
    <w:qFormat/>
    <w:pPr>
      <w:jc w:val="center"/>
      <w:keepNext/>
      <w:spacing w:before="60" w:after="60" w:line="300" w:lineRule="auto"/>
    </w:pPr>
    <w:rPr>
      <w:rFonts w:ascii="Calibri" w:hAnsi="Calibri"/>
      <w:spacing w:val="20"/>
      <w:sz w:val="24"/>
      <w:szCs w:val="20"/>
    </w:rPr>
  </w:style>
  <w:style w:type="paragraph" w:styleId="1316" w:customStyle="1">
    <w:name w:val="纯文本2"/>
    <w:basedOn w:val="716"/>
    <w:uiPriority w:val="0"/>
    <w:qFormat/>
    <w:rPr>
      <w:rFonts w:ascii="宋体" w:hAnsi="Courier New" w:eastAsia="楷体_GB2312"/>
      <w:sz w:val="26"/>
      <w:szCs w:val="20"/>
    </w:rPr>
  </w:style>
  <w:style w:type="paragraph" w:styleId="1317" w:customStyle="1">
    <w:name w:val="xl107"/>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18" w:customStyle="1">
    <w:name w:val="font10"/>
    <w:basedOn w:val="716"/>
    <w:uiPriority w:val="0"/>
    <w:qFormat/>
    <w:pPr>
      <w:jc w:val="left"/>
      <w:spacing w:before="100" w:beforeAutospacing="1" w:after="100" w:afterAutospacing="1"/>
      <w:widowControl/>
    </w:pPr>
    <w:rPr>
      <w:rFonts w:ascii="宋体" w:hAnsi="宋体" w:cs="宋体"/>
      <w:sz w:val="18"/>
      <w:szCs w:val="18"/>
    </w:rPr>
  </w:style>
  <w:style w:type="paragraph" w:styleId="1319" w:customStyle="1">
    <w:name w:val="xl108"/>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20" w:customStyle="1">
    <w:name w:val="xl127"/>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21" w:customStyle="1">
    <w:name w:val="xl124"/>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22" w:customStyle="1">
    <w:name w:val="xl162"/>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323" w:customStyle="1">
    <w:name w:val="xl123"/>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24" w:customStyle="1">
    <w:name w:val="xl113"/>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325" w:customStyle="1">
    <w:name w:val="font12"/>
    <w:basedOn w:val="716"/>
    <w:uiPriority w:val="0"/>
    <w:qFormat/>
    <w:pPr>
      <w:jc w:val="left"/>
      <w:spacing w:before="100" w:beforeAutospacing="1" w:after="100" w:afterAutospacing="1"/>
      <w:widowControl/>
    </w:pPr>
    <w:rPr>
      <w:rFonts w:ascii="宋体" w:hAnsi="宋体" w:cs="宋体"/>
      <w:sz w:val="18"/>
      <w:szCs w:val="18"/>
    </w:rPr>
  </w:style>
  <w:style w:type="paragraph" w:styleId="1326" w:customStyle="1">
    <w:name w:val="xl145"/>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327" w:customStyle="1">
    <w:name w:val="font22"/>
    <w:basedOn w:val="716"/>
    <w:uiPriority w:val="0"/>
    <w:qFormat/>
    <w:pPr>
      <w:jc w:val="left"/>
      <w:spacing w:before="100" w:beforeAutospacing="1" w:after="100" w:afterAutospacing="1"/>
      <w:widowControl/>
    </w:pPr>
    <w:rPr>
      <w:rFonts w:ascii="宋体" w:hAnsi="宋体" w:cs="宋体"/>
      <w:sz w:val="18"/>
      <w:szCs w:val="18"/>
    </w:rPr>
  </w:style>
  <w:style w:type="paragraph" w:styleId="1328" w:customStyle="1">
    <w:name w:val="xl157"/>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329" w:customStyle="1">
    <w:name w:val="xl156"/>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330" w:customStyle="1">
    <w:name w:val="xl111"/>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31" w:customStyle="1">
    <w:name w:val="xl143"/>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32" w:customStyle="1">
    <w:name w:val="xl128"/>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33" w:customStyle="1">
    <w:name w:val="xl138"/>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34" w:customStyle="1">
    <w:name w:val="xl152"/>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35" w:customStyle="1">
    <w:name w:val="xl117"/>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36" w:customStyle="1">
    <w:name w:val="xl149"/>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37" w:customStyle="1">
    <w:name w:val="xl154"/>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38" w:customStyle="1">
    <w:name w:val="xl146"/>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39" w:customStyle="1">
    <w:name w:val="xl122"/>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40" w:customStyle="1">
    <w:name w:val="font8"/>
    <w:basedOn w:val="716"/>
    <w:uiPriority w:val="0"/>
    <w:qFormat/>
    <w:pPr>
      <w:jc w:val="left"/>
      <w:spacing w:before="100" w:beforeAutospacing="1" w:after="100" w:afterAutospacing="1"/>
      <w:widowControl/>
    </w:pPr>
    <w:rPr>
      <w:rFonts w:ascii="宋体" w:hAnsi="宋体" w:cs="宋体"/>
      <w:sz w:val="18"/>
      <w:szCs w:val="18"/>
    </w:rPr>
  </w:style>
  <w:style w:type="paragraph" w:styleId="1341" w:customStyle="1">
    <w:name w:val="xl142"/>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42" w:customStyle="1">
    <w:name w:val="xl125"/>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43" w:customStyle="1">
    <w:name w:val="xl126"/>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44" w:customStyle="1">
    <w:name w:val="xl105"/>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45" w:customStyle="1">
    <w:name w:val="xl109"/>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46" w:customStyle="1">
    <w:name w:val="xl136"/>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47" w:customStyle="1">
    <w:name w:val="xl101"/>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348" w:customStyle="1">
    <w:name w:val="列出段落11"/>
    <w:basedOn w:val="716"/>
    <w:uiPriority w:val="34"/>
    <w:qFormat/>
    <w:pPr>
      <w:ind w:firstLine="420"/>
    </w:pPr>
    <w:rPr>
      <w:rFonts w:ascii="Calibri" w:hAnsi="Calibri"/>
      <w:sz w:val="26"/>
      <w:szCs w:val="26"/>
    </w:rPr>
  </w:style>
  <w:style w:type="paragraph" w:styleId="1349" w:customStyle="1">
    <w:name w:val="font15"/>
    <w:basedOn w:val="716"/>
    <w:uiPriority w:val="0"/>
    <w:qFormat/>
    <w:pPr>
      <w:jc w:val="left"/>
      <w:spacing w:before="100" w:beforeAutospacing="1" w:after="100" w:afterAutospacing="1"/>
      <w:widowControl/>
    </w:pPr>
    <w:rPr>
      <w:rFonts w:ascii="宋体" w:hAnsi="宋体" w:cs="宋体"/>
      <w:sz w:val="18"/>
      <w:szCs w:val="18"/>
    </w:rPr>
  </w:style>
  <w:style w:type="paragraph" w:styleId="1350" w:customStyle="1">
    <w:name w:val="xl161"/>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351" w:customStyle="1">
    <w:name w:val="xl141"/>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52" w:customStyle="1">
    <w:name w:val="xl118"/>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353" w:customStyle="1">
    <w:name w:val="xl153"/>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354" w:customStyle="1">
    <w:name w:val="xl133"/>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55" w:customStyle="1">
    <w:name w:val="font17"/>
    <w:basedOn w:val="716"/>
    <w:uiPriority w:val="0"/>
    <w:qFormat/>
    <w:pPr>
      <w:jc w:val="left"/>
      <w:spacing w:before="100" w:beforeAutospacing="1" w:after="100" w:afterAutospacing="1"/>
      <w:widowControl/>
    </w:pPr>
    <w:rPr>
      <w:rFonts w:ascii="宋体" w:hAnsi="宋体" w:cs="宋体"/>
      <w:sz w:val="18"/>
      <w:szCs w:val="18"/>
    </w:rPr>
  </w:style>
  <w:style w:type="paragraph" w:styleId="1356" w:customStyle="1">
    <w:name w:val="xl140"/>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57" w:customStyle="1">
    <w:name w:val="xl159"/>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58" w:customStyle="1">
    <w:name w:val="xl103"/>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59" w:customStyle="1">
    <w:name w:val="xl120"/>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60" w:customStyle="1">
    <w:name w:val="xl148"/>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61" w:customStyle="1">
    <w:name w:val="xl150"/>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362" w:customStyle="1">
    <w:name w:val="xl110"/>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63" w:customStyle="1">
    <w:name w:val="正文1"/>
    <w:uiPriority w:val="0"/>
    <w:qFormat/>
    <w:pPr>
      <w:ind w:firstLine="200"/>
      <w:jc w:val="both"/>
      <w:spacing w:line="240" w:lineRule="atLeast"/>
    </w:pPr>
    <w:rPr>
      <w:rFonts w:hint="default" w:ascii="Calibri" w:hAnsi="Calibri" w:eastAsia="宋体" w:cs="Times New Roman"/>
      <w:sz w:val="21"/>
      <w:szCs w:val="21"/>
    </w:rPr>
  </w:style>
  <w:style w:type="paragraph" w:styleId="1364" w:customStyle="1">
    <w:name w:val="xl132"/>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65" w:customStyle="1">
    <w:name w:val="font16"/>
    <w:basedOn w:val="716"/>
    <w:uiPriority w:val="0"/>
    <w:qFormat/>
    <w:pPr>
      <w:jc w:val="left"/>
      <w:spacing w:before="100" w:beforeAutospacing="1" w:after="100" w:afterAutospacing="1"/>
      <w:widowControl/>
    </w:pPr>
    <w:rPr>
      <w:rFonts w:ascii="宋体" w:hAnsi="宋体" w:cs="宋体"/>
      <w:sz w:val="18"/>
      <w:szCs w:val="18"/>
    </w:rPr>
  </w:style>
  <w:style w:type="paragraph" w:styleId="1366" w:customStyle="1">
    <w:name w:val="Normal_20"/>
    <w:uiPriority w:val="0"/>
    <w:qFormat/>
    <w:pPr>
      <w:jc w:val="both"/>
      <w:spacing w:before="120" w:after="240"/>
    </w:pPr>
    <w:rPr>
      <w:rFonts w:hint="default" w:ascii="Calibri" w:hAnsi="Calibri" w:eastAsia="Calibri" w:cs="Times New Roman"/>
      <w:sz w:val="22"/>
      <w:szCs w:val="22"/>
      <w:lang w:val="ru-RU" w:eastAsia="en-US"/>
    </w:rPr>
  </w:style>
  <w:style w:type="paragraph" w:styleId="1367" w:customStyle="1">
    <w:name w:val="xl114"/>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368" w:customStyle="1">
    <w:name w:val="xl131"/>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69" w:customStyle="1">
    <w:name w:val="_Style 7"/>
    <w:basedOn w:val="716"/>
    <w:uiPriority w:val="0"/>
    <w:qFormat/>
    <w:pPr>
      <w:ind w:firstLine="420"/>
    </w:pPr>
    <w:rPr>
      <w:rFonts w:ascii="Calibri" w:hAnsi="Calibri"/>
      <w:sz w:val="26"/>
      <w:szCs w:val="26"/>
    </w:rPr>
  </w:style>
  <w:style w:type="paragraph" w:styleId="1370" w:customStyle="1">
    <w:name w:val="xl106"/>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71" w:customStyle="1">
    <w:name w:val="xl137"/>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72" w:customStyle="1">
    <w:name w:val="font14"/>
    <w:basedOn w:val="716"/>
    <w:uiPriority w:val="0"/>
    <w:qFormat/>
    <w:pPr>
      <w:jc w:val="left"/>
      <w:spacing w:before="100" w:beforeAutospacing="1" w:after="100" w:afterAutospacing="1"/>
      <w:widowControl/>
    </w:pPr>
    <w:rPr>
      <w:rFonts w:ascii="宋体" w:hAnsi="宋体" w:cs="宋体"/>
      <w:sz w:val="18"/>
      <w:szCs w:val="18"/>
    </w:rPr>
  </w:style>
  <w:style w:type="paragraph" w:styleId="1373" w:customStyle="1">
    <w:name w:val="xl100"/>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color w:val="000000"/>
      <w:sz w:val="20"/>
      <w:szCs w:val="20"/>
    </w:rPr>
  </w:style>
  <w:style w:type="paragraph" w:styleId="1374" w:customStyle="1">
    <w:name w:val="xl99"/>
    <w:basedOn w:val="716"/>
    <w:uiPriority w:val="0"/>
    <w:qFormat/>
    <w:pPr>
      <w:jc w:val="center"/>
      <w:spacing w:before="100" w:beforeAutospacing="1" w:after="100" w:afterAutospacing="1"/>
      <w:widowControl/>
    </w:pPr>
    <w:rPr>
      <w:rFonts w:ascii="Courier New" w:hAnsi="Courier New" w:cs="Courier New"/>
      <w:color w:val="000000"/>
      <w:sz w:val="20"/>
      <w:szCs w:val="20"/>
    </w:rPr>
  </w:style>
  <w:style w:type="paragraph" w:styleId="1375" w:customStyle="1">
    <w:name w:val="xl151"/>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76" w:customStyle="1">
    <w:name w:val="_Style 26"/>
    <w:next w:val="716"/>
    <w:uiPriority w:val="99"/>
    <w:qFormat/>
    <w:pPr>
      <w:jc w:val="both"/>
      <w:widowControl w:val="off"/>
    </w:pPr>
    <w:rPr>
      <w:rFonts w:hint="default" w:ascii="Calibri" w:hAnsi="Calibri" w:eastAsia="楷体_GB2312" w:cs="Times New Roman"/>
      <w:sz w:val="26"/>
      <w:szCs w:val="26"/>
    </w:rPr>
  </w:style>
  <w:style w:type="paragraph" w:styleId="1377" w:customStyle="1">
    <w:name w:val="样式 标题 1 + 宋体 段前: 0 磅 段后: 0 磅 行距: 单倍行距"/>
    <w:basedOn w:val="844"/>
    <w:next w:val="716"/>
    <w:uiPriority w:val="0"/>
    <w:qFormat/>
    <w:pPr>
      <w:jc w:val="center"/>
      <w:spacing w:before="340" w:after="330"/>
    </w:pPr>
    <w:rPr>
      <w:rFonts w:ascii="仿宋_GB2312" w:hAnsi="宋体" w:eastAsia="仿宋_GB2312" w:cs="宋体"/>
      <w:b/>
      <w:bCs/>
      <w:sz w:val="44"/>
      <w:szCs w:val="44"/>
    </w:rPr>
  </w:style>
  <w:style w:type="paragraph" w:styleId="1378" w:customStyle="1">
    <w:name w:val="font9"/>
    <w:basedOn w:val="716"/>
    <w:uiPriority w:val="0"/>
    <w:qFormat/>
    <w:pPr>
      <w:jc w:val="left"/>
      <w:spacing w:before="100" w:beforeAutospacing="1" w:after="100" w:afterAutospacing="1"/>
      <w:widowControl/>
    </w:pPr>
    <w:rPr>
      <w:rFonts w:ascii="宋体" w:hAnsi="宋体" w:cs="宋体"/>
      <w:sz w:val="18"/>
      <w:szCs w:val="18"/>
    </w:rPr>
  </w:style>
  <w:style w:type="paragraph" w:styleId="1379" w:customStyle="1">
    <w:name w:val="font20"/>
    <w:basedOn w:val="716"/>
    <w:uiPriority w:val="0"/>
    <w:qFormat/>
    <w:pPr>
      <w:jc w:val="left"/>
      <w:spacing w:before="100" w:beforeAutospacing="1" w:after="100" w:afterAutospacing="1"/>
      <w:widowControl/>
    </w:pPr>
    <w:rPr>
      <w:rFonts w:ascii="Courier New" w:hAnsi="Courier New" w:cs="Courier New"/>
      <w:color w:val="000000"/>
      <w:sz w:val="20"/>
      <w:szCs w:val="20"/>
    </w:rPr>
  </w:style>
  <w:style w:type="paragraph" w:styleId="1380" w:customStyle="1">
    <w:name w:val="font13"/>
    <w:basedOn w:val="716"/>
    <w:uiPriority w:val="0"/>
    <w:qFormat/>
    <w:pPr>
      <w:jc w:val="left"/>
      <w:spacing w:before="100" w:beforeAutospacing="1" w:after="100" w:afterAutospacing="1"/>
      <w:widowControl/>
    </w:pPr>
    <w:rPr>
      <w:rFonts w:ascii="宋体" w:hAnsi="宋体" w:cs="宋体"/>
      <w:sz w:val="18"/>
      <w:szCs w:val="18"/>
    </w:rPr>
  </w:style>
  <w:style w:type="paragraph" w:styleId="1381" w:customStyle="1">
    <w:name w:val="xl102"/>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382" w:customStyle="1">
    <w:name w:val="xl116"/>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83" w:customStyle="1">
    <w:name w:val="xl134"/>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84" w:customStyle="1">
    <w:name w:val="font18"/>
    <w:basedOn w:val="716"/>
    <w:uiPriority w:val="0"/>
    <w:qFormat/>
    <w:pPr>
      <w:jc w:val="left"/>
      <w:spacing w:before="100" w:beforeAutospacing="1" w:after="100" w:afterAutospacing="1"/>
      <w:widowControl/>
    </w:pPr>
    <w:rPr>
      <w:rFonts w:ascii="宋体" w:hAnsi="宋体" w:cs="宋体"/>
      <w:sz w:val="18"/>
      <w:szCs w:val="18"/>
    </w:rPr>
  </w:style>
  <w:style w:type="paragraph" w:styleId="1385" w:customStyle="1">
    <w:name w:val="xl121"/>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86" w:customStyle="1">
    <w:name w:val="xl158"/>
    <w:basedOn w:val="716"/>
    <w:uiPriority w:val="0"/>
    <w:qFormat/>
    <w:pPr>
      <w:jc w:val="left"/>
      <w:spacing w:before="100" w:beforeAutospacing="1" w:after="100" w:afterAutospacing="1"/>
      <w:widowControl/>
    </w:pPr>
    <w:rPr>
      <w:rFonts w:ascii="Courier New" w:hAnsi="Courier New" w:cs="Courier New"/>
      <w:color w:val="000000"/>
      <w:sz w:val="20"/>
      <w:szCs w:val="20"/>
    </w:rPr>
  </w:style>
  <w:style w:type="paragraph" w:styleId="1387" w:customStyle="1">
    <w:name w:val="xl119"/>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88" w:customStyle="1">
    <w:name w:val="xl135"/>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89" w:customStyle="1">
    <w:name w:val="xl155"/>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90" w:customStyle="1">
    <w:name w:val="font19"/>
    <w:basedOn w:val="716"/>
    <w:uiPriority w:val="0"/>
    <w:qFormat/>
    <w:pPr>
      <w:jc w:val="left"/>
      <w:spacing w:before="100" w:beforeAutospacing="1" w:after="100" w:afterAutospacing="1"/>
      <w:widowControl/>
    </w:pPr>
    <w:rPr>
      <w:rFonts w:ascii="宋体" w:hAnsi="宋体" w:cs="宋体"/>
      <w:sz w:val="18"/>
      <w:szCs w:val="18"/>
    </w:rPr>
  </w:style>
  <w:style w:type="paragraph" w:styleId="1391" w:customStyle="1">
    <w:name w:val="xl160"/>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392" w:customStyle="1">
    <w:name w:val="xl112"/>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93" w:customStyle="1">
    <w:name w:val="xl104"/>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94" w:customStyle="1">
    <w:name w:val="xl139"/>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395" w:customStyle="1">
    <w:name w:val="xl130"/>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96" w:customStyle="1">
    <w:name w:val="xl129"/>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97" w:customStyle="1">
    <w:name w:val="xl115"/>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98" w:customStyle="1">
    <w:name w:val="xl147"/>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99" w:customStyle="1">
    <w:name w:val="xl144"/>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table" w:styleId="1400" w:customStyle="1">
    <w:name w:val="网格型111"/>
    <w:basedOn w:val="727"/>
    <w:uiPriority w:val="0"/>
    <w:qFormat/>
    <w:pPr>
      <w:jc w:val="both"/>
      <w:widowControl w:val="off"/>
    </w:pPr>
    <w:rPr>
      <w:sz w:val="21"/>
      <w:szCs w:val="22"/>
    </w:rPr>
    <w:tblPr/>
  </w:style>
  <w:style w:type="paragraph" w:styleId="1401" w:customStyle="1">
    <w:name w:val="_Style 225"/>
    <w:uiPriority w:val="0"/>
    <w:qFormat/>
    <w:pPr>
      <w:ind w:firstLine="420"/>
      <w:jc w:val="both"/>
      <w:spacing w:after="120"/>
      <w:widowControl w:val="off"/>
    </w:pPr>
    <w:rPr>
      <w:rFonts w:hint="default" w:ascii="Calibri" w:hAnsi="Calibri" w:eastAsia="楷体_GB2312" w:cs="Times New Roman"/>
      <w:sz w:val="26"/>
    </w:rPr>
  </w:style>
  <w:style w:type="character" w:styleId="1402" w:customStyle="1">
    <w:name w:val="正文文本 字符1"/>
    <w:uiPriority w:val="0"/>
    <w:qFormat/>
    <w:rPr>
      <w:rFonts w:ascii="楷体_GB2312" w:eastAsia="楷体_GB2312"/>
      <w:sz w:val="28"/>
    </w:rPr>
  </w:style>
  <w:style w:type="table" w:styleId="1403"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404" w:customStyle="1">
    <w:name w:val="Table Normal1"/>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405" w:customStyle="1">
    <w:name w:val="Table Normal2"/>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406" w:customStyle="1">
    <w:name w:val="Table Normal3"/>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407" w:customStyle="1">
    <w:name w:val="样式 行距: 1.5 倍行距 左  3.42 字符"/>
    <w:basedOn w:val="716"/>
    <w:uiPriority w:val="0"/>
    <w:qFormat/>
    <w:pPr>
      <w:ind w:left="200" w:firstLine="200"/>
      <w:spacing w:line="360" w:lineRule="auto"/>
    </w:pPr>
    <w:rPr>
      <w:szCs w:val="20"/>
    </w:rPr>
  </w:style>
  <w:style w:type="paragraph" w:styleId="1408" w:customStyle="1">
    <w:name w:val="表格文字"/>
    <w:basedOn w:val="1409"/>
    <w:next w:val="739"/>
    <w:uiPriority w:val="0"/>
    <w:qFormat/>
  </w:style>
  <w:style w:type="paragraph" w:styleId="1409" w:customStyle="1">
    <w:name w:val="表格文字（两侧对齐）"/>
    <w:basedOn w:val="716"/>
    <w:uiPriority w:val="0"/>
    <w:qFormat/>
    <w:rPr>
      <w:rFonts w:ascii="Calibri" w:hAnsi="Calibri"/>
      <w:sz w:val="20"/>
      <w:szCs w:val="22"/>
    </w:rPr>
  </w:style>
  <w:style w:type="paragraph" w:styleId="1410" w:customStyle="1">
    <w:name w:val="无间隔1"/>
    <w:uiPriority w:val="0"/>
    <w:qFormat/>
    <w:pPr>
      <w:spacing w:line="300" w:lineRule="auto"/>
      <w:widowControl w:val="off"/>
    </w:pPr>
    <w:rPr>
      <w:rFonts w:hint="default" w:ascii="Times New Roman" w:hAnsi="Times New Roman" w:eastAsia="华文仿宋" w:cs="Times New Roman"/>
      <w:sz w:val="24"/>
      <w:szCs w:val="21"/>
    </w:rPr>
  </w:style>
  <w:style w:type="paragraph" w:styleId="1411" w:customStyle="1">
    <w:name w:val="正文首行缩进 211"/>
    <w:basedOn w:val="1412"/>
    <w:uiPriority w:val="0"/>
    <w:unhideWhenUsed/>
    <w:qFormat/>
    <w:pPr>
      <w:ind w:firstLine="420"/>
    </w:pPr>
  </w:style>
  <w:style w:type="paragraph" w:styleId="1412" w:customStyle="1">
    <w:name w:val="正文文本缩进11"/>
    <w:basedOn w:val="716"/>
    <w:next w:val="1413"/>
    <w:uiPriority w:val="0"/>
    <w:unhideWhenUsed/>
    <w:qFormat/>
    <w:pPr>
      <w:ind w:left="420"/>
      <w:spacing w:after="120"/>
    </w:pPr>
    <w:rPr>
      <w:szCs w:val="22"/>
      <w:lang w:eastAsia="en-US"/>
    </w:rPr>
  </w:style>
  <w:style w:type="paragraph" w:styleId="1413" w:customStyle="1">
    <w:name w:val="寄信人地址11"/>
    <w:basedOn w:val="716"/>
    <w:uiPriority w:val="99"/>
    <w:unhideWhenUsed/>
    <w:qFormat/>
    <w:rPr>
      <w:rFonts w:ascii="Arial" w:hAnsi="Arial" w:eastAsia="楷体_GB2312"/>
      <w:sz w:val="26"/>
      <w:szCs w:val="20"/>
    </w:rPr>
  </w:style>
  <w:style w:type="character" w:styleId="1414" w:customStyle="1">
    <w:name w:val="页眉 字符1"/>
    <w:uiPriority w:val="99"/>
    <w:qFormat/>
    <w:rPr>
      <w:rFonts w:ascii="Calibri" w:hAnsi="Calibri"/>
      <w:sz w:val="18"/>
      <w:szCs w:val="18"/>
    </w:rPr>
  </w:style>
  <w:style w:type="character" w:styleId="1415" w:customStyle="1">
    <w:name w:val="页脚 字符1"/>
    <w:uiPriority w:val="99"/>
    <w:qFormat/>
    <w:rPr>
      <w:rFonts w:ascii="Calibri" w:hAnsi="Calibri"/>
      <w:sz w:val="18"/>
      <w:szCs w:val="18"/>
    </w:rPr>
  </w:style>
  <w:style w:type="paragraph" w:styleId="1416" w:customStyle="1">
    <w:name w:val="正文首行缩进 2111"/>
    <w:basedOn w:val="740"/>
    <w:uiPriority w:val="0"/>
    <w:unhideWhenUsed/>
    <w:qFormat/>
    <w:pPr>
      <w:ind w:left="420" w:firstLine="420"/>
      <w:spacing w:after="120"/>
    </w:pPr>
    <w:rPr>
      <w:rFonts w:ascii="Times New Roman" w:eastAsia="宋体"/>
      <w:sz w:val="21"/>
      <w:szCs w:val="22"/>
      <w:lang w:eastAsia="en-US"/>
    </w:rPr>
  </w:style>
  <w:style w:type="table" w:styleId="1417" w:customStyle="1">
    <w:name w:val="网格型4"/>
    <w:basedOn w:val="727"/>
    <w:uiPriority w:val="59"/>
    <w:unhideWhenUsed/>
    <w:qFormat/>
    <w:tblPr/>
  </w:style>
  <w:style w:type="table" w:styleId="1418" w:customStyle="1">
    <w:name w:val="Plain Table 31"/>
    <w:uiPriority w:val="99"/>
    <w:qFormat/>
    <w:tblPr>
      <w:tblCellMar>
        <w:left w:w="0" w:type="dxa"/>
        <w:top w:w="0" w:type="dxa"/>
        <w:right w:w="0" w:type="dxa"/>
        <w:bottom w:w="0" w:type="dxa"/>
      </w:tblCellMar>
    </w:tblPr>
  </w:style>
  <w:style w:type="table" w:styleId="1419" w:customStyle="1">
    <w:name w:val="Plain Table 41"/>
    <w:uiPriority w:val="99"/>
    <w:qFormat/>
    <w:tblPr>
      <w:tblCellMar>
        <w:left w:w="0" w:type="dxa"/>
        <w:top w:w="0" w:type="dxa"/>
        <w:right w:w="0" w:type="dxa"/>
        <w:bottom w:w="0" w:type="dxa"/>
      </w:tblCellMar>
    </w:tblPr>
  </w:style>
  <w:style w:type="table" w:styleId="1420" w:customStyle="1">
    <w:name w:val="Plain Table 51"/>
    <w:uiPriority w:val="99"/>
    <w:qFormat/>
    <w:tblPr>
      <w:tblCellMar>
        <w:left w:w="0" w:type="dxa"/>
        <w:top w:w="0" w:type="dxa"/>
        <w:right w:w="0" w:type="dxa"/>
        <w:bottom w:w="0" w:type="dxa"/>
      </w:tblCellMar>
    </w:tblPr>
  </w:style>
  <w:style w:type="table" w:styleId="1421" w:customStyle="1">
    <w:name w:val="Grid Table 1 Light1"/>
    <w:uiPriority w:val="99"/>
    <w:qFormat/>
    <w:tblPr>
      <w:tblCellMar>
        <w:left w:w="0" w:type="dxa"/>
        <w:top w:w="0" w:type="dxa"/>
        <w:right w:w="0" w:type="dxa"/>
        <w:bottom w:w="0" w:type="dxa"/>
      </w:tblCellMar>
    </w:tblPr>
  </w:style>
  <w:style w:type="table" w:styleId="1422" w:customStyle="1">
    <w:name w:val="Grid Table 21"/>
    <w:uiPriority w:val="99"/>
    <w:qFormat/>
    <w:tblPr>
      <w:tblCellMar>
        <w:left w:w="0" w:type="dxa"/>
        <w:top w:w="0" w:type="dxa"/>
        <w:right w:w="0" w:type="dxa"/>
        <w:bottom w:w="0" w:type="dxa"/>
      </w:tblCellMar>
    </w:tblPr>
  </w:style>
  <w:style w:type="table" w:styleId="1423" w:customStyle="1">
    <w:name w:val="Grid Table 31"/>
    <w:uiPriority w:val="99"/>
    <w:qFormat/>
    <w:tblPr>
      <w:tblCellMar>
        <w:left w:w="0" w:type="dxa"/>
        <w:top w:w="0" w:type="dxa"/>
        <w:right w:w="0" w:type="dxa"/>
        <w:bottom w:w="0" w:type="dxa"/>
      </w:tblCellMar>
    </w:tblPr>
  </w:style>
  <w:style w:type="table" w:styleId="1424" w:customStyle="1">
    <w:name w:val="Grid Table 41"/>
    <w:uiPriority w:val="59"/>
    <w:qFormat/>
    <w:tblPr>
      <w:tblCellMar>
        <w:left w:w="0" w:type="dxa"/>
        <w:top w:w="0" w:type="dxa"/>
        <w:right w:w="0" w:type="dxa"/>
        <w:bottom w:w="0" w:type="dxa"/>
      </w:tblCellMar>
    </w:tblPr>
  </w:style>
  <w:style w:type="table" w:styleId="1425" w:customStyle="1">
    <w:name w:val="Grid Table 5 Dark1"/>
    <w:uiPriority w:val="99"/>
    <w:qFormat/>
    <w:tblPr>
      <w:tblCellMar>
        <w:left w:w="0" w:type="dxa"/>
        <w:top w:w="0" w:type="dxa"/>
        <w:right w:w="0" w:type="dxa"/>
        <w:bottom w:w="0" w:type="dxa"/>
      </w:tblCellMar>
    </w:tblPr>
  </w:style>
  <w:style w:type="table" w:styleId="1426" w:customStyle="1">
    <w:name w:val="Grid Table 6 Colorful1"/>
    <w:uiPriority w:val="99"/>
    <w:qFormat/>
    <w:tblPr>
      <w:tblCellMar>
        <w:left w:w="0" w:type="dxa"/>
        <w:top w:w="0" w:type="dxa"/>
        <w:right w:w="0" w:type="dxa"/>
        <w:bottom w:w="0" w:type="dxa"/>
      </w:tblCellMar>
    </w:tblPr>
  </w:style>
  <w:style w:type="table" w:styleId="1427" w:customStyle="1">
    <w:name w:val="Grid Table 7 Colorful1"/>
    <w:uiPriority w:val="99"/>
    <w:qFormat/>
    <w:tblPr>
      <w:tblCellMar>
        <w:left w:w="0" w:type="dxa"/>
        <w:top w:w="0" w:type="dxa"/>
        <w:right w:w="0" w:type="dxa"/>
        <w:bottom w:w="0" w:type="dxa"/>
      </w:tblCellMar>
    </w:tblPr>
  </w:style>
  <w:style w:type="table" w:styleId="1428" w:customStyle="1">
    <w:name w:val="List Table 1 Light1"/>
    <w:uiPriority w:val="99"/>
    <w:qFormat/>
    <w:tblPr>
      <w:tblCellMar>
        <w:left w:w="0" w:type="dxa"/>
        <w:top w:w="0" w:type="dxa"/>
        <w:right w:w="0" w:type="dxa"/>
        <w:bottom w:w="0" w:type="dxa"/>
      </w:tblCellMar>
    </w:tblPr>
  </w:style>
  <w:style w:type="table" w:styleId="1429" w:customStyle="1">
    <w:name w:val="List Table 21"/>
    <w:uiPriority w:val="99"/>
    <w:qFormat/>
    <w:tblPr>
      <w:tblCellMar>
        <w:left w:w="0" w:type="dxa"/>
        <w:top w:w="0" w:type="dxa"/>
        <w:right w:w="0" w:type="dxa"/>
        <w:bottom w:w="0" w:type="dxa"/>
      </w:tblCellMar>
    </w:tblPr>
  </w:style>
  <w:style w:type="table" w:styleId="1430" w:customStyle="1">
    <w:name w:val="List Table 31"/>
    <w:uiPriority w:val="99"/>
    <w:qFormat/>
    <w:tblPr>
      <w:tblCellMar>
        <w:left w:w="0" w:type="dxa"/>
        <w:top w:w="0" w:type="dxa"/>
        <w:right w:w="0" w:type="dxa"/>
        <w:bottom w:w="0" w:type="dxa"/>
      </w:tblCellMar>
    </w:tblPr>
  </w:style>
  <w:style w:type="table" w:styleId="1431" w:customStyle="1">
    <w:name w:val="List Table 41"/>
    <w:uiPriority w:val="99"/>
    <w:qFormat/>
    <w:tblPr>
      <w:tblCellMar>
        <w:left w:w="0" w:type="dxa"/>
        <w:top w:w="0" w:type="dxa"/>
        <w:right w:w="0" w:type="dxa"/>
        <w:bottom w:w="0" w:type="dxa"/>
      </w:tblCellMar>
    </w:tblPr>
  </w:style>
  <w:style w:type="table" w:styleId="1432" w:customStyle="1">
    <w:name w:val="List Table 5 Dark1"/>
    <w:uiPriority w:val="99"/>
    <w:qFormat/>
    <w:tblPr>
      <w:tblCellMar>
        <w:left w:w="0" w:type="dxa"/>
        <w:top w:w="0" w:type="dxa"/>
        <w:right w:w="0" w:type="dxa"/>
        <w:bottom w:w="0" w:type="dxa"/>
      </w:tblCellMar>
    </w:tblPr>
  </w:style>
  <w:style w:type="table" w:styleId="1433" w:customStyle="1">
    <w:name w:val="List Table 6 Colorful1"/>
    <w:uiPriority w:val="99"/>
    <w:qFormat/>
    <w:tblPr>
      <w:tblCellMar>
        <w:left w:w="0" w:type="dxa"/>
        <w:top w:w="0" w:type="dxa"/>
        <w:right w:w="0" w:type="dxa"/>
        <w:bottom w:w="0" w:type="dxa"/>
      </w:tblCellMar>
    </w:tblPr>
  </w:style>
  <w:style w:type="table" w:styleId="1434" w:customStyle="1">
    <w:name w:val="List Table 7 Colorful1"/>
    <w:uiPriority w:val="99"/>
    <w:qFormat/>
    <w:tblPr>
      <w:tblCellMar>
        <w:left w:w="0" w:type="dxa"/>
        <w:top w:w="0" w:type="dxa"/>
        <w:right w:w="0" w:type="dxa"/>
        <w:bottom w:w="0" w:type="dxa"/>
      </w:tblCellMar>
    </w:tblPr>
  </w:style>
  <w:style w:type="table" w:styleId="1435" w:customStyle="1">
    <w:name w:val="Lined - Accent 12"/>
    <w:uiPriority w:val="99"/>
    <w:qFormat/>
    <w:rPr>
      <w:color w:val="404040"/>
    </w:rPr>
    <w:tblPr>
      <w:tblCellMar>
        <w:left w:w="0" w:type="dxa"/>
        <w:top w:w="0" w:type="dxa"/>
        <w:right w:w="0" w:type="dxa"/>
        <w:bottom w:w="0" w:type="dxa"/>
      </w:tblCellMar>
    </w:tblPr>
  </w:style>
  <w:style w:type="table" w:styleId="1436" w:customStyle="1">
    <w:name w:val="Bordered &amp; Lined - Accent 12"/>
    <w:uiPriority w:val="99"/>
    <w:qFormat/>
    <w:rPr>
      <w:color w:val="404040"/>
    </w:rPr>
    <w:tblPr>
      <w:tblCellMar>
        <w:left w:w="0" w:type="dxa"/>
        <w:top w:w="0" w:type="dxa"/>
        <w:right w:w="0" w:type="dxa"/>
        <w:bottom w:w="0" w:type="dxa"/>
      </w:tblCellMar>
    </w:tblPr>
  </w:style>
  <w:style w:type="character" w:styleId="1437" w:customStyle="1">
    <w:name w:val="未处理的提及1"/>
    <w:basedOn w:val="726"/>
    <w:uiPriority w:val="99"/>
    <w:semiHidden/>
    <w:unhideWhenUsed/>
    <w:qFormat/>
    <w:rPr>
      <w:color w:val="605e5c"/>
      <w:shd w:val="clear" w:color="auto" w:fill="e1dfdd"/>
    </w:rPr>
  </w:style>
  <w:style w:type="paragraph" w:styleId="1438" w:customStyle="1">
    <w:name w:val="附录标题"/>
    <w:next w:val="716"/>
    <w:uiPriority w:val="0"/>
    <w:qFormat/>
    <w:pPr>
      <w:spacing w:after="240"/>
      <w:widowControl w:val="off"/>
      <w:outlineLvl w:val="0"/>
    </w:pPr>
    <w:rPr>
      <w:rFonts w:hint="default" w:ascii="Times New Roman" w:hAnsi="Times New Roman" w:eastAsia="宋体" w:cs="Times New Roman"/>
      <w:b/>
      <w:sz w:val="24"/>
    </w:rPr>
  </w:style>
  <w:style w:type="paragraph" w:styleId="1439" w:customStyle="1">
    <w:name w:val="章前标题"/>
    <w:next w:val="716"/>
    <w:uiPriority w:val="0"/>
    <w:qFormat/>
    <w:pPr>
      <w:jc w:val="center"/>
      <w:spacing w:before="240" w:after="240"/>
      <w:widowControl w:val="off"/>
    </w:pPr>
    <w:rPr>
      <w:rFonts w:hint="default" w:ascii="黑体" w:hAnsi="黑体" w:eastAsia="黑体" w:cs="黑体"/>
      <w:sz w:val="32"/>
      <w:szCs w:val="36"/>
    </w:rPr>
  </w:style>
  <w:style w:type="paragraph" w:styleId="1440" w:customStyle="1">
    <w:name w:val="章节标题"/>
    <w:next w:val="716"/>
    <w:uiPriority w:val="0"/>
    <w:qFormat/>
    <w:pPr>
      <w:jc w:val="center"/>
      <w:spacing w:before="240" w:after="240"/>
      <w:widowControl w:val="off"/>
      <w:outlineLvl w:val="0"/>
    </w:pPr>
    <w:rPr>
      <w:rFonts w:hint="default" w:ascii="Times New Roman" w:hAnsi="Times New Roman" w:eastAsia="黑体" w:cs="Times New Roman"/>
      <w:sz w:val="32"/>
      <w:szCs w:val="36"/>
    </w:rPr>
  </w:style>
  <w:style w:type="paragraph" w:styleId="1441" w:customStyle="1">
    <w:name w:val="内嵌文档标题1"/>
    <w:next w:val="716"/>
    <w:uiPriority w:val="0"/>
    <w:qFormat/>
    <w:pPr>
      <w:jc w:val="center"/>
      <w:spacing w:before="240" w:after="240" w:line="360" w:lineRule="auto"/>
      <w:widowControl w:val="off"/>
      <w:outlineLvl w:val="0"/>
    </w:pPr>
    <w:rPr>
      <w:rFonts w:hint="default" w:ascii="Times New Roman" w:hAnsi="Times New Roman" w:eastAsia="宋体" w:cs="Times New Roman"/>
      <w:b/>
      <w:sz w:val="24"/>
    </w:rPr>
  </w:style>
  <w:style w:type="paragraph" w:styleId="1442" w:customStyle="1">
    <w:name w:val="强调标题"/>
    <w:next w:val="716"/>
    <w:uiPriority w:val="0"/>
    <w:qFormat/>
    <w:pPr>
      <w:ind w:firstLine="420"/>
      <w:spacing w:after="120" w:line="360" w:lineRule="auto"/>
      <w:outlineLvl w:val="0"/>
    </w:pPr>
    <w:rPr>
      <w:rFonts w:hint="default" w:ascii="Calibri" w:hAnsi="Calibri" w:eastAsia="宋体" w:cs="Times New Roman"/>
      <w:b/>
      <w:sz w:val="24"/>
    </w:rPr>
  </w:style>
  <w:style w:type="paragraph" w:styleId="1443" w:customStyle="1">
    <w:name w:val="表格标题"/>
    <w:next w:val="716"/>
    <w:uiPriority w:val="0"/>
    <w:qFormat/>
    <w:pPr>
      <w:jc w:val="center"/>
      <w:spacing w:before="240" w:after="240"/>
      <w:widowControl w:val="off"/>
    </w:pPr>
    <w:rPr>
      <w:rFonts w:hint="default" w:ascii="宋体" w:hAnsi="宋体" w:eastAsia="宋体" w:cs="宋体"/>
      <w:b/>
      <w:sz w:val="24"/>
      <w:szCs w:val="22"/>
    </w:rPr>
  </w:style>
  <w:style w:type="paragraph" w:styleId="1444" w:customStyle="1">
    <w:name w:val="内嵌文档标题2"/>
    <w:next w:val="716"/>
    <w:uiPriority w:val="0"/>
    <w:qFormat/>
    <w:pPr>
      <w:jc w:val="center"/>
      <w:spacing w:before="240" w:after="240" w:line="360" w:lineRule="auto"/>
      <w:shd w:val="clear" w:color="auto" w:fill="ffffff"/>
      <w:widowControl w:val="off"/>
      <w:outlineLvl w:val="0"/>
    </w:pPr>
    <w:rPr>
      <w:rFonts w:hint="default" w:ascii="宋体" w:hAnsi="宋体" w:eastAsia="宋体" w:cs="宋体"/>
      <w:b/>
      <w:bCs/>
      <w:sz w:val="24"/>
      <w:szCs w:val="30"/>
    </w:rPr>
  </w:style>
  <w:style w:type="numbering" w:styleId="143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3781b6a3-2bdd-405a-900d-6ae7cd2b24ef</errorID>
      <errorWord>(</errorWord>
      <group>L1_Format</group>
      <groupName>格式问题</groupName>
      <ability>L2_HalfPunc_CN</ability>
      <abilityName>全半角问题</abilityName>
      <candidateList>
        <item>（</item>
      </candidateList>
      <explain>文本全半角错误。</explain>
      <paraID>6D8F4225</paraID>
      <start>74</start>
      <end>75</end>
      <status>modified</status>
      <modifiedWord>（</modifiedWord>
      <trackRevisions>false</trackRevisions>
    </reviewItem>
    <reviewItem>
      <errorID>10380c9e-6382-47a5-acca-af898c578785</errorID>
      <errorWord>)</errorWord>
      <group>L1_Format</group>
      <groupName>格式问题</groupName>
      <ability>L2_HalfPunc_CN</ability>
      <abilityName>全半角问题</abilityName>
      <candidateList>
        <item>）</item>
      </candidateList>
      <explain>文本全半角错误。</explain>
      <paraID>6D8F4225</paraID>
      <start>87</start>
      <end>88</end>
      <status>modified</status>
      <modifiedWord>）</modifiedWord>
      <trackRevisions>false</trackRevisions>
    </reviewItem>
    <reviewItem>
      <errorID>6adc8a44-994d-40fd-b22a-219e068ee779</errorID>
      <errorWord>[2002]1980号</errorWord>
      <group>L1_Knowledge</group>
      <groupName>知识性问题</groupName>
      <ability>L2_Knowledge</ability>
      <abilityName>其他知识</abilityName>
      <candidateList>
        <item>〔2002〕1980号</item>
      </candidateList>
      <explain>发文字号格式错误。</explain>
      <paraID>22E4AAEF</paraID>
      <start>43</start>
      <end>54</end>
      <status>modified</status>
      <modifiedWord>〔2002〕1980号</modifiedWord>
      <trackRevisions>false</trackRevisions>
    </reviewItem>
    <reviewItem>
      <errorID>203a6e42-0aaf-4333-8d0b-6e26cc5c19a6</errorID>
      <errorWord>间</errorWord>
      <group>L1_Word</group>
      <groupName>字词问题</groupName>
      <ability>L2_Typo</ability>
      <abilityName>字词错误</abilityName>
      <candidateList>
        <item>间之</item>
      </candidateList>
      <explain/>
      <paraID>6FAC7903</paraID>
      <start>6</start>
      <end>8</end>
      <status>modified</status>
      <modifiedWord>间之</modifiedWord>
      <trackRevisions>false</trackRevisions>
    </reviewItem>
    <reviewItem>
      <errorID>884b369e-9cc5-4c46-b845-ffdccc4fd82c</errorID>
      <errorWord>构</errorWord>
      <group>L1_Word</group>
      <groupName>字词问题</groupName>
      <ability>L2_Typo</ability>
      <abilityName>字词错误</abilityName>
      <candidateList>
        <item>构以</item>
      </candidateList>
      <explain/>
      <paraID>441A3222</paraID>
      <start>96</start>
      <end>98</end>
      <status>modified</status>
      <modifiedWord>构以</modifiedWord>
      <trackRevisions>false</trackRevisions>
    </reviewItem>
    <reviewItem>
      <errorID>5002ae1d-55c2-4301-a8a3-8f68701538bb</errorID>
      <errorWord>，</errorWord>
      <group>L1_Word</group>
      <groupName>字词问题</groupName>
      <ability>L2_Typo</ability>
      <abilityName>字词错误</abilityName>
      <candidateList>
        <item>，在</item>
      </candidateList>
      <explain/>
      <paraID> A5F6C8B</paraID>
      <start>10</start>
      <end>12</end>
      <status>modified</status>
      <modifiedWord>，在</modifiedWord>
      <trackRevisions>false</trackRevisions>
    </reviewItem>
    <reviewItem>
      <errorID>f7ae8d2b-4232-45b0-b5f2-eeafa49b8ba6</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68CF11ED</paraID>
      <start>6</start>
      <end>9</end>
      <status>modified</status>
      <modifiedWord>有助于</modifiedWord>
      <trackRevisions>false</trackRevisions>
    </reviewItem>
    <reviewItem>
      <errorID>6b815a1e-8813-4b9f-8beb-5b8f6c9282a6</errorID>
      <errorWord>(</errorWord>
      <group>L1_Format</group>
      <groupName>格式问题</groupName>
      <ability>L2_HalfPunc_CN</ability>
      <abilityName>全半角问题</abilityName>
      <candidateList>
        <item>（</item>
      </candidateList>
      <explain>文本全半角错误。</explain>
      <paraID>74D09CAA</paraID>
      <start>15</start>
      <end>16</end>
      <status>modified</status>
      <modifiedWord>（</modifiedWord>
      <trackRevisions>false</trackRevisions>
    </reviewItem>
    <reviewItem>
      <errorID>20e7a587-11c3-4684-851d-c308cb87972a</errorID>
      <errorWord>)</errorWord>
      <group>L1_Format</group>
      <groupName>格式问题</groupName>
      <ability>L2_HalfPunc_CN</ability>
      <abilityName>全半角问题</abilityName>
      <candidateList>
        <item>）</item>
      </candidateList>
      <explain>文本全半角错误。</explain>
      <paraID>74D09CAA</paraID>
      <start>20</start>
      <end>21</end>
      <status>modified</status>
      <modifiedWord>）</modifiedWord>
      <trackRevisions>false</trackRevisions>
    </reviewItem>
    <reviewItem>
      <errorID>a0d13730-dc51-4b08-a401-d1b78207ccaf</errorID>
      <errorWord>,</errorWord>
      <group>L1_Format</group>
      <groupName>格式问题</groupName>
      <ability>L2_HalfPunc_CN</ability>
      <abilityName>全半角问题</abilityName>
      <candidateList>
        <item>，</item>
      </candidateList>
      <explain>文本全半角错误。</explain>
      <paraID>64A6601B</paraID>
      <start>21</start>
      <end>22</end>
      <status>modified</status>
      <modifiedWord>，</modifiedWord>
      <trackRevisions>false</trackRevisions>
    </reviewItem>
    <reviewItem>
      <errorID>1ccfe16c-37db-4e61-9009-c65b55e7a404</errorID>
      <errorWord>Band</errorWord>
      <group>L1_English</group>
      <groupName>英文问题</groupName>
      <ability>L2_Other_Grammar</ability>
      <abilityName>其他语法问题</abilityName>
      <candidateList>
        <item>Bandwidth</item>
      </candidateList>
      <explain>名词使用不当, 建议将Band修改为Bandwidth</explain>
      <paraID>202DD5DA</paraID>
      <start>26</start>
      <end>30</end>
      <status>unmodified</status>
      <modifiedWord/>
      <trackRevisions>false</trackRevisions>
    </reviewItem>
    <reviewItem>
      <errorID>006990ea-2d88-4cd5-8011-08a42534dc44</errorID>
      <errorWord>)</errorWord>
      <group>L1_Format</group>
      <groupName>格式问题</groupName>
      <ability>L2_HalfPunc_CN</ability>
      <abilityName>全半角问题</abilityName>
      <candidateList>
        <item>）</item>
      </candidateList>
      <explain>文本全半角错误。</explain>
      <paraID>73C02B52</paraID>
      <start>47</start>
      <end>48</end>
      <status>modified</status>
      <modifiedWord>）</modifiedWord>
      <trackRevisions>false</trackRevisions>
    </reviewItem>
    <reviewItem>
      <errorID>f3ed2b2b-ebf5-4105-b499-c73ad0ba62a7</errorID>
      <errorWord>)</errorWord>
      <group>L1_Format</group>
      <groupName>格式问题</groupName>
      <ability>L2_HalfPunc_CN</ability>
      <abilityName>全半角问题</abilityName>
      <candidateList>
        <item>）</item>
      </candidateList>
      <explain>文本全半角错误。</explain>
      <paraID>22958E3F</paraID>
      <start>131</start>
      <end>132</end>
      <status>modified</status>
      <modifiedWord>）</modifiedWord>
      <trackRevisions>false</trackRevisions>
    </reviewItem>
    <reviewItem>
      <errorID>f084239d-a6aa-4621-ab33-9f0b47a01db8</errorID>
      <errorWord>程</errorWord>
      <group>L1_Word</group>
      <groupName>字词问题</groupName>
      <ability>L2_Typo</ability>
      <abilityName>字词错误</abilityName>
      <candidateList>
        <item>程中</item>
      </candidateList>
      <explain/>
      <paraID>402133BC</paraID>
      <start>13</start>
      <end>15</end>
      <status>modified</status>
      <modifiedWord>程中</modifiedWord>
      <trackRevisions>false</trackRevisions>
    </reviewItem>
    <reviewItem>
      <errorID>de879cd8-6d96-4165-836e-8b6c21c13636</errorID>
      <errorWord>的</errorWord>
      <group>L1_Word</group>
      <groupName>字词问题</groupName>
      <ability>L2_DDD</ability>
      <abilityName>的地得用法</abilityName>
      <candidateList>
        <item>地</item>
      </candidateList>
      <explain/>
      <paraID>3B721859</paraID>
      <start>53</start>
      <end>54</end>
      <status>modified</status>
      <modifiedWord>地</modifiedWord>
      <trackRevisions>false</trackRevisions>
    </reviewItem>
    <reviewItem>
      <errorID>651bf92a-7425-4819-899b-e0fa7e8b3201</errorID>
      <errorWord>,</errorWord>
      <group>L1_Format</group>
      <groupName>格式问题</groupName>
      <ability>L2_HalfPunc_CN</ability>
      <abilityName>全半角问题</abilityName>
      <candidateList>
        <item>，</item>
      </candidateList>
      <explain>文本全半角错误。</explain>
      <paraID>3DBA5EB3</paraID>
      <start>6</start>
      <end>7</end>
      <status>modified</status>
      <modifiedWord>，</modifiedWord>
      <trackRevisions>false</trackRevisions>
    </reviewItem>
    <reviewItem>
      <errorID>d6a80617-0133-442b-9e3d-17151e1e7bec</errorID>
      <errorWord>,</errorWord>
      <group>L1_Format</group>
      <groupName>格式问题</groupName>
      <ability>L2_HalfPunc_CN</ability>
      <abilityName>全半角问题</abilityName>
      <candidateList>
        <item>，</item>
      </candidateList>
      <explain>文本全半角错误。</explain>
      <paraID>3DBA5EB3</paraID>
      <start>23</start>
      <end>24</end>
      <status>modified</status>
      <modifiedWord>，</modifiedWord>
      <trackRevisions>false</trackRevisions>
    </reviewItem>
    <reviewItem>
      <errorID>6a1eebea-da8a-443a-b6aa-4fd4e69ef2f1</errorID>
      <errorWord>)</errorWord>
      <group>L1_Format</group>
      <groupName>格式问题</groupName>
      <ability>L2_HalfPunc_CN</ability>
      <abilityName>全半角问题</abilityName>
      <candidateList>
        <item>）</item>
      </candidateList>
      <explain>文本全半角错误。</explain>
      <paraID>3F62132C</paraID>
      <start>20</start>
      <end>21</end>
      <status>modified</status>
      <modifiedWord>）</modifiedWord>
      <trackRevisions>false</trackRevisions>
    </reviewItem>
    <reviewItem>
      <errorID>3ee83b42-51b1-466d-9aa5-b53c5b03beae</errorID>
      <errorWord>支持按</errorWord>
      <group>L1_Word</group>
      <groupName>字词问题</groupName>
      <ability>L2_Typo</ability>
      <abilityName>字词错误</abilityName>
      <candidateList>
        <item>支持</item>
      </candidateList>
      <explain/>
      <paraID>732DCDA7</paraID>
      <start>62</start>
      <end>65</end>
      <status>unmodified</status>
      <modifiedWord/>
      <trackRevisions>false</trackRevisions>
    </reviewItem>
    <reviewItem>
      <errorID>c0f2005a-8553-4b0d-b1e9-8d69c2c09497</errorID>
      <errorWord>,</errorWord>
      <group>L1_Format</group>
      <groupName>格式问题</groupName>
      <ability>L2_HalfPunc_CN</ability>
      <abilityName>全半角问题</abilityName>
      <candidateList>
        <item>，</item>
      </candidateList>
      <explain>文本全半角错误。</explain>
      <paraID>4B491505</paraID>
      <start>16</start>
      <end>17</end>
      <status>modified</status>
      <modifiedWord>，</modifiedWord>
      <trackRevisions>false</trackRevisions>
    </reviewItem>
    <reviewItem>
      <errorID>59b8d9f8-0f97-491c-a908-65b90fc4f3d0</errorID>
      <errorWord>用</errorWord>
      <group>L1_Word</group>
      <groupName>字词问题</groupName>
      <ability>L2_Typo</ability>
      <abilityName>字词错误</abilityName>
      <candidateList>
        <item>用和</item>
      </candidateList>
      <explain/>
      <paraID>612E89A9</paraID>
      <start>32</start>
      <end>34</end>
      <status>modified</status>
      <modifiedWord>用和</modifiedWord>
      <trackRevisions>false</trackRevisions>
    </reviewItem>
    <reviewItem>
      <errorID>aaf9cdcf-79dd-4023-9bbd-fd622cc13475</errorID>
      <errorWord>(</errorWord>
      <group>L1_Format</group>
      <groupName>格式问题</groupName>
      <ability>L2_HalfPunc_CN</ability>
      <abilityName>全半角问题</abilityName>
      <candidateList>
        <item>（</item>
      </candidateList>
      <explain>文本全半角错误。</explain>
      <paraID>51C8B445</paraID>
      <start>76</start>
      <end>77</end>
      <status>modified</status>
      <modifiedWord>（</modifiedWord>
      <trackRevisions>false</trackRevisions>
    </reviewItem>
    <reviewItem>
      <errorID>fe5c61ae-62ee-4f6d-a996-a1582f80b6f0</errorID>
      <errorWord>(</errorWord>
      <group>L1_Format</group>
      <groupName>格式问题</groupName>
      <ability>L2_HalfPunc_CN</ability>
      <abilityName>全半角问题</abilityName>
      <candidateList>
        <item>（</item>
      </candidateList>
      <explain>文本全半角错误。</explain>
      <paraID>35654B49</paraID>
      <start>78</start>
      <end>79</end>
      <status>modified</status>
      <modifiedWord>（</modifiedWord>
      <trackRevisions>false</trackRevisions>
    </reviewItem>
    <reviewItem>
      <errorID>baa4572f-4576-44ed-a70e-3cbef034d555</errorID>
      <errorWord>(</errorWord>
      <group>L1_Format</group>
      <groupName>格式问题</groupName>
      <ability>L2_HalfPunc_CN</ability>
      <abilityName>全半角问题</abilityName>
      <candidateList>
        <item>（</item>
      </candidateList>
      <explain>文本全半角错误。</explain>
      <paraID>7379296D</paraID>
      <start>70</start>
      <end>71</end>
      <status>modified</status>
      <modifiedWord>（</modifiedWord>
      <trackRevisions>false</trackRevisions>
    </reviewItem>
    <reviewItem>
      <errorID>fafacaa9-ff07-4382-9665-65219fe53f2b</errorID>
      <errorWord>，</errorWord>
      <group>L1_Word</group>
      <groupName>字词问题</groupName>
      <ability>L2_Typo</ability>
      <abilityName>字词错误</abilityName>
      <candidateList>
        <item>，由</item>
      </candidateList>
      <explain/>
      <paraID>343457DD</paraID>
      <start>167</start>
      <end>168</end>
      <status>unmodified</status>
      <modifiedWord/>
      <trackRevisions>false</trackRevisions>
    </reviewItem>
    <reviewItem>
      <errorID>d18b6f21-57eb-4baa-adf2-4ecf82267c12</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343457DD</paraID>
      <start>174</start>
      <end>190</end>
      <status>modified</status>
      <modifiedWord>中华人民共和国政府采购法实施条例</modifiedWord>
      <trackRevisions>false</trackRevisions>
    </reviewItem>
    <reviewItem>
      <errorID>9f4a7088-f814-4e0e-96b8-e35d8475a699</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343457DD</paraID>
      <start>262</start>
      <end>274</end>
      <status>modified</status>
      <modifiedWord>中华人民共和国政府采购法</modifiedWord>
      <trackRevisions>false</trackRevisions>
    </reviewItem>
    <reviewItem>
      <errorID>673083c6-8470-4fd9-b3c7-9565e536219d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6C70F433</paraID>
      <start>109</start>
      <end>111</end>
      <status>modified</status>
      <modifiedWord>”“</modifiedWord>
      <trackRevisions>false</trackRevisions>
    </reviewItem>
    <reviewItem>
      <errorID>68095a01-82e5-4d79-96dd-85d652aa69af</errorID>
      <errorWord>未有</errorWord>
      <group>L1_Word</group>
      <groupName>字词问题</groupName>
      <ability>L2_Typo</ability>
      <abilityName>字词错误</abilityName>
      <candidateList>
        <item>未</item>
      </candidateList>
      <explain/>
      <paraID>20C0CD43</paraID>
      <start>90</start>
      <end>92</end>
      <status>unmodified</status>
      <modifiedWord/>
      <trackRevisions>false</trackRevisions>
    </reviewItem>
    <reviewItem>
      <errorID>034ed46c-880a-4741-8d64-e8acb587bf27</errorID>
      <errorWord>、</errorWord>
      <group>L1_Punc</group>
      <groupName>标点问题</groupName>
      <ability>L2_Punc_CN</ability>
      <abilityName>标点符号问题</abilityName>
      <candidateList>
        <item>.</item>
      </candidateList>
      <explain/>
      <paraID> 7D2575D</paraID>
      <start>1</start>
      <end>2</end>
      <status>modified</status>
      <modifiedWord>.</modifiedWord>
      <trackRevisions>false</trackRevisions>
    </reviewItem>
    <reviewItem>
      <errorID>03dc66e8-e965-4d9e-8df6-213f4793f431</errorID>
      <errorWord>(</errorWord>
      <group>L1_Format</group>
      <groupName>格式问题</groupName>
      <ability>L2_HalfPunc_CN</ability>
      <abilityName>全半角问题</abilityName>
      <candidateList>
        <item>（</item>
      </candidateList>
      <explain>文本全半角错误。</explain>
      <paraID>76D37D61</paraID>
      <start>212</start>
      <end>213</end>
      <status>modified</status>
      <modifiedWord>（</modifiedWord>
      <trackRevisions>false</trackRevisions>
    </reviewItem>
    <reviewItem>
      <errorID>71a0faca-bf92-41a9-b5a9-f83880f86e8f</errorID>
      <errorWord>)</errorWord>
      <group>L1_Format</group>
      <groupName>格式问题</groupName>
      <ability>L2_HalfPunc_CN</ability>
      <abilityName>全半角问题</abilityName>
      <candidateList>
        <item>）</item>
      </candidateList>
      <explain>文本全半角错误。</explain>
      <paraID>76D37D61</paraID>
      <start>217</start>
      <end>218</end>
      <status>modified</status>
      <modifiedWord>）</modifiedWord>
      <trackRevisions>false</trackRevisions>
    </reviewItem>
    <reviewItem>
      <errorID>6165d9dd-f4ec-402d-a7c5-c0e38c7eb4fb</errorID>
      <errorWord>(</errorWord>
      <group>L1_Format</group>
      <groupName>格式问题</groupName>
      <ability>L2_HalfPunc_CN</ability>
      <abilityName>全半角问题</abilityName>
      <candidateList>
        <item>（</item>
      </candidateList>
      <explain>文本全半角错误。</explain>
      <paraID>145AE1C6</paraID>
      <start>84</start>
      <end>85</end>
      <status>modified</status>
      <modifiedWord>（</modifiedWord>
      <trackRevisions>false</trackRevisions>
    </reviewItem>
    <reviewItem>
      <errorID>48fdb872-72e0-4404-90c7-c1836d886a41</errorID>
      <errorWord>)</errorWord>
      <group>L1_Format</group>
      <groupName>格式问题</groupName>
      <ability>L2_HalfPunc_CN</ability>
      <abilityName>全半角问题</abilityName>
      <candidateList>
        <item>）</item>
      </candidateList>
      <explain>文本全半角错误。</explain>
      <paraID>145AE1C6</paraID>
      <start>89</start>
      <end>90</end>
      <status>modified</status>
      <modifiedWord>）</modifiedWord>
      <trackRevisions>false</trackRevisions>
    </reviewItem>
    <reviewItem>
      <errorID>5571ac18-b3e5-4615-b133-6863d0132cd7</errorID>
      <errorWord>(</errorWord>
      <group>L1_Format</group>
      <groupName>格式问题</groupName>
      <ability>L2_HalfPunc_CN</ability>
      <abilityName>全半角问题</abilityName>
      <candidateList>
        <item>（</item>
      </candidateList>
      <explain>文本全半角错误。</explain>
      <paraID>145AE1C6</paraID>
      <start>197</start>
      <end>198</end>
      <status>modified</status>
      <modifiedWord>（</modifiedWord>
      <trackRevisions>false</trackRevisions>
    </reviewItem>
    <reviewItem>
      <errorID>6cba1f05-3056-4541-9c31-98d04b05f34f</errorID>
      <errorWord>)</errorWord>
      <group>L1_Format</group>
      <groupName>格式问题</groupName>
      <ability>L2_HalfPunc_CN</ability>
      <abilityName>全半角问题</abilityName>
      <candidateList>
        <item>）</item>
      </candidateList>
      <explain>文本全半角错误。</explain>
      <paraID>145AE1C6</paraID>
      <start>202</start>
      <end>203</end>
      <status>modified</status>
      <modifiedWord>）</modifiedWord>
      <trackRevisions>false</trackRevisions>
    </reviewItem>
    <reviewItem>
      <errorID>d582c6c1-8947-4e6a-ad67-1615e45dd199</errorID>
      <errorWord>胶粘剂</errorWord>
      <group>L1_Word</group>
      <groupName>字词问题</groupName>
      <ability>L2_Typo</ability>
      <abilityName>字词错误</abilityName>
      <candidateList>
        <item>胶黏剂</item>
      </candidateList>
      <explain/>
      <paraID>145AE1C6</paraID>
      <start>419</start>
      <end>422</end>
      <status>modified</status>
      <modifiedWord>胶黏剂</modifiedWord>
      <trackRevisions>false</trackRevisions>
    </reviewItem>
    <reviewItem>
      <errorID>f6bf3d64-8c40-4e55-bc24-fb67c4cb57a1</errorID>
      <errorWord>准</errorWord>
      <group>L1_Word</group>
      <groupName>字词问题</groupName>
      <ability>L2_Typo</ability>
      <abilityName>字词错误</abilityName>
      <candidateList>
        <item>准和</item>
      </candidateList>
      <explain/>
      <paraID>145AE1C6</paraID>
      <start>515</start>
      <end>517</end>
      <status>modified</status>
      <modifiedWord>准和</modifiedWord>
      <trackRevisions>false</trackRevisions>
    </reviewItem>
    <reviewItem>
      <errorID>fcc8e66b-f53f-446a-9032-78ab45464c62</errorID>
      <errorWord>件件</errorWord>
      <group>L1_Word</group>
      <groupName>字词问题</groupName>
      <ability>L2_Typo</ability>
      <abilityName>字词错误</abilityName>
      <candidateList>
        <item>件</item>
      </candidateList>
      <explain/>
      <paraID>2223CAB5</paraID>
      <start>55</start>
      <end>56</end>
      <status>modified</status>
      <modifiedWord>件</modifiedWord>
      <trackRevisions>false</trackRevisions>
    </reviewItem>
    <reviewItem>
      <errorID>0df5fc4a-01d1-40e1-a2ff-1b0face13240</errorID>
      <errorWord>(</errorWord>
      <group>L1_Format</group>
      <groupName>格式问题</groupName>
      <ability>L2_HalfPunc_CN</ability>
      <abilityName>全半角问题</abilityName>
      <candidateList>
        <item>（</item>
      </candidateList>
      <explain>文本全半角错误。</explain>
      <paraID>5378C6EF</paraID>
      <start>17</start>
      <end>18</end>
      <status>modified</status>
      <modifiedWord>（</modifiedWord>
      <trackRevisions>false</trackRevisions>
    </reviewItem>
    <reviewItem>
      <errorID>1fb37ced-eae4-45eb-9d2f-41abdf728afb</errorID>
      <errorWord>)</errorWord>
      <group>L1_Format</group>
      <groupName>格式问题</groupName>
      <ability>L2_HalfPunc_CN</ability>
      <abilityName>全半角问题</abilityName>
      <candidateList>
        <item>）</item>
      </candidateList>
      <explain>文本全半角错误。</explain>
      <paraID>5378C6EF</paraID>
      <start>19</start>
      <end>20</end>
      <status>modified</status>
      <modifiedWord>）</modifiedWord>
      <trackRevisions>false</trackRevisions>
    </reviewItem>
    <reviewItem>
      <errorID>fea6c4d5-ad23-48f4-b7d6-085bd3a946b0</errorID>
      <errorWord>(</errorWord>
      <group>L1_Format</group>
      <groupName>格式问题</groupName>
      <ability>L2_HalfPunc_CN</ability>
      <abilityName>全半角问题</abilityName>
      <candidateList>
        <item>（</item>
      </candidateList>
      <explain>文本全半角错误。</explain>
      <paraID>5378C6EF</paraID>
      <start>22</start>
      <end>23</end>
      <status>modified</status>
      <modifiedWord>（</modifiedWord>
      <trackRevisions>false</trackRevisions>
    </reviewItem>
    <reviewItem>
      <errorID>eee3814b-a96b-48a9-8985-24e8ddc7cc85</errorID>
      <errorWord>)</errorWord>
      <group>L1_Format</group>
      <groupName>格式问题</groupName>
      <ability>L2_HalfPunc_CN</ability>
      <abilityName>全半角问题</abilityName>
      <candidateList>
        <item>）</item>
      </candidateList>
      <explain>文本全半角错误。</explain>
      <paraID>5378C6EF</paraID>
      <start>28</start>
      <end>29</end>
      <status>modified</status>
      <modifiedWord>）</modifiedWord>
      <trackRevisions>false</trackRevisions>
    </reviewItem>
    <reviewItem>
      <errorID>4ba514c0-2d1c-4e85-abc6-550d64830dc8</errorID>
      <errorWord>(</errorWord>
      <group>L1_Format</group>
      <groupName>格式问题</groupName>
      <ability>L2_HalfPunc_CN</ability>
      <abilityName>全半角问题</abilityName>
      <candidateList>
        <item>（</item>
      </candidateList>
      <explain>文本全半角错误。</explain>
      <paraID>2E65DABB</paraID>
      <start>15</start>
      <end>16</end>
      <status>modified</status>
      <modifiedWord>（</modifiedWord>
      <trackRevisions>false</trackRevisions>
    </reviewItem>
    <reviewItem>
      <errorID>d220e6d8-c134-4783-b171-0548ab3f0dc8</errorID>
      <errorWord>)</errorWord>
      <group>L1_Format</group>
      <groupName>格式问题</groupName>
      <ability>L2_HalfPunc_CN</ability>
      <abilityName>全半角问题</abilityName>
      <candidateList>
        <item>）</item>
      </candidateList>
      <explain>文本全半角错误。</explain>
      <paraID>2E65DABB</paraID>
      <start>20</start>
      <end>21</end>
      <status>modified</status>
      <modifiedWord>）</modifiedWord>
      <trackRevisions>false</trackRevisions>
    </reviewItem>
    <reviewItem>
      <errorID>e98c8e72-d135-4a5f-afe2-ac1acf1ddb11</errorID>
      <errorWord>&lt;</errorWord>
      <group>L1_Format</group>
      <groupName>格式问题</groupName>
      <ability>L2_HalfPunc_CN</ability>
      <abilityName>全半角问题</abilityName>
      <candidateList>
        <item>〈</item>
      </candidateList>
      <explain>文本全半角错误。</explain>
      <paraID>47968E9D</paraID>
      <start>37</start>
      <end>38</end>
      <status>unmodified</status>
      <modifiedWord/>
      <trackRevisions>false</trackRevisions>
    </reviewItem>
    <reviewItem>
      <errorID>14e51300-5cce-4485-bd9b-7259945a5ba4</errorID>
      <errorWord>&lt;</errorWord>
      <group>L1_Format</group>
      <groupName>格式问题</groupName>
      <ability>L2_HalfPunc_CN</ability>
      <abilityName>全半角问题</abilityName>
      <candidateList>
        <item>〈</item>
      </candidateList>
      <explain>文本全半角错误。</explain>
      <paraID> 4EAFBAA</paraID>
      <start>37</start>
      <end>38</end>
      <status>unmodified</status>
      <modifiedWord/>
      <trackRevisions>false</trackRevisions>
    </reviewItem>
    <reviewItem>
      <errorID>8d10385b-e8d2-4c56-bff3-7d0522850933</errorID>
      <errorWord>&lt;</errorWord>
      <group>L1_Format</group>
      <groupName>格式问题</groupName>
      <ability>L2_HalfPunc_CN</ability>
      <abilityName>全半角问题</abilityName>
      <candidateList>
        <item>〈</item>
      </candidateList>
      <explain>文本全半角错误。</explain>
      <paraID>7CD1E4A7</paraID>
      <start>26</start>
      <end>27</end>
      <status>unmodified</status>
      <modifiedWord/>
      <trackRevisions>false</trackRevisions>
    </reviewItem>
    <reviewItem>
      <errorID>e4f23992-b498-4612-8c4b-5eff2152aebf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462F843E</paraID>
      <start>0</start>
      <end>2</end>
      <status>unmodified</status>
      <modifiedWord/>
      <trackRevisions>false</trackRevisions>
    </reviewItem>
    <reviewItem>
      <errorID>be04f2ec-0ab0-49e9-a1ca-d4529f0f785b</errorID>
      <errorWord>(</errorWord>
      <group>L1_Format</group>
      <groupName>格式问题</groupName>
      <ability>L2_HalfPunc_CN</ability>
      <abilityName>全半角问题</abilityName>
      <candidateList>
        <item>（</item>
      </candidateList>
      <explain>文本全半角错误。</explain>
      <paraID>45DE3C32</paraID>
      <start>50</start>
      <end>51</end>
      <status>modified</status>
      <modifiedWord>（</modifiedWord>
      <trackRevisions>false</trackRevisions>
    </reviewItem>
    <reviewItem>
      <errorID>98718945-a762-4b6a-b60c-6651b3912769</errorID>
      <errorWord>【2020】46号</errorWord>
      <group>L1_Knowledge</group>
      <groupName>知识性问题</groupName>
      <ability>L2_Knowledge</ability>
      <abilityName>其他知识</abilityName>
      <candidateList>
        <item>〔2020〕46号</item>
      </candidateList>
      <explain>发文字号格式错误。</explain>
      <paraID>45DE3C32</paraID>
      <start>83</start>
      <end>92</end>
      <status>modified</status>
      <modifiedWord>〔2020〕46号</modifiedWord>
      <trackRevisions>false</trackRevisions>
    </reviewItem>
    <reviewItem>
      <errorID>7d075898-87ef-4f34-b661-0678cfd66072</errorID>
      <errorWord>【2011】300号</errorWord>
      <group>L1_Knowledge</group>
      <groupName>知识性问题</groupName>
      <ability>L2_Knowledge</ability>
      <abilityName>其他知识</abilityName>
      <candidateList>
        <item>〔2011〕300号</item>
      </candidateList>
      <explain>发文字号格式错误。</explain>
      <paraID>45DE3C32</paraID>
      <start>126</start>
      <end>136</end>
      <status>modified</status>
      <modifiedWord>〔2011〕300号</modifiedWord>
      <trackRevisions>false</trackRevisions>
    </reviewItem>
    <reviewItem>
      <errorID>cfc6c06a-0160-4566-a8c3-86f010991b8e</errorID>
      <errorWord>,</errorWord>
      <group>L1_Format</group>
      <groupName>格式问题</groupName>
      <ability>L2_HalfPunc_CN</ability>
      <abilityName>全半角问题</abilityName>
      <candidateList>
        <item>，</item>
      </candidateList>
      <explain>文本全半角错误。</explain>
      <paraID>45DE3C32</paraID>
      <start>166</start>
      <end>167</end>
      <status>modified</status>
      <modifiedWord>，</modifiedWord>
      <trackRevisions>false</trackRevisions>
    </reviewItem>
    <reviewItem>
      <errorID>5c787962-8460-42fa-836f-5f97d0b1acc5</errorID>
      <errorWord>[2014]68号</errorWord>
      <group>L1_Knowledge</group>
      <groupName>知识性问题</groupName>
      <ability>L2_Knowledge</ability>
      <abilityName>其他知识</abilityName>
      <candidateList>
        <item>〔2014〕68号</item>
      </candidateList>
      <explain>发文字号格式错误。</explain>
      <paraID>1B572F5A</paraID>
      <start>31</start>
      <end>40</end>
      <status>modified</status>
      <modifiedWord>〔2014〕68号</modifiedWord>
      <trackRevisions>false</trackRevisions>
    </reviewItem>
    <reviewItem>
      <errorID>5f04dfc9-da0b-40d9-b14b-0f4063d66104</errorID>
      <errorWord>(</errorWord>
      <group>L1_Format</group>
      <groupName>格式问题</groupName>
      <ability>L2_HalfPunc_CN</ability>
      <abilityName>全半角问题</abilityName>
      <candidateList>
        <item>（</item>
      </candidateList>
      <explain>文本全半角错误。</explain>
      <paraID>1B572F5A</paraID>
      <start>86</start>
      <end>87</end>
      <status>modified</status>
      <modifiedWord>（</modifiedWord>
      <trackRevisions>false</trackRevisions>
    </reviewItem>
    <reviewItem>
      <errorID>21461e19-4ffc-414e-866a-1d292627947b</errorID>
      <errorWord>)</errorWord>
      <group>L1_Format</group>
      <groupName>格式问题</groupName>
      <ability>L2_HalfPunc_CN</ability>
      <abilityName>全半角问题</abilityName>
      <candidateList>
        <item>）</item>
      </candidateList>
      <explain>文本全半角错误。</explain>
      <paraID>1B572F5A</paraID>
      <start>96</start>
      <end>97</end>
      <status>modified</status>
      <modifiedWord>）</modifiedWord>
      <trackRevisions>false</trackRevisions>
    </reviewItem>
    <reviewItem>
      <errorID>a598d555-ff64-44e4-8fa2-6688e7142639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6616D275</paraID>
      <start>0</start>
      <end>2</end>
      <status>unmodified</status>
      <modifiedWord/>
      <trackRevisions>false</trackRevisions>
    </reviewItem>
    <reviewItem>
      <errorID>17a8e97f-3ab4-4c84-9d5b-132012da8d13</errorID>
      <errorWord>，</errorWord>
      <group>L1_Word</group>
      <groupName>字词问题</groupName>
      <ability>L2_Typo</ability>
      <abilityName>字词错误</abilityName>
      <candidateList>
        <item>，在</item>
      </candidateList>
      <explain/>
      <paraID> 14F029F</paraID>
      <start>88</start>
      <end>89</end>
      <status>unmodified</status>
      <modifiedWord/>
      <trackRevisions>false</trackRevisions>
    </reviewItem>
    <reviewItem>
      <errorID>0daf99de-4f25-40b3-9054-eb84e32b12df</errorID>
      <errorWord>进行实施</errorWord>
      <group>L1_Word</group>
      <groupName>字词问题</groupName>
      <ability>L2_Typo</ability>
      <abilityName>字词错误</abilityName>
      <candidateList>
        <item>实施</item>
      </candidateList>
      <explain/>
      <paraID>4A827756</paraID>
      <start>23</start>
      <end>25</end>
      <status>modified</status>
      <modifiedWord>实施</modifiedWord>
      <trackRevisions>false</trackRevisions>
    </reviewItem>
    <reviewItem>
      <errorID>68747e58-8a48-4b3a-8c49-3b2d945c0580</errorID>
      <errorWord>(</errorWord>
      <group>L1_Format</group>
      <groupName>格式问题</groupName>
      <ability>L2_HalfPunc_CN</ability>
      <abilityName>全半角问题</abilityName>
      <candidateList>
        <item>（</item>
      </candidateList>
      <explain>文本全半角错误。</explain>
      <paraID> 8E4E2AC</paraID>
      <start>129</start>
      <end>130</end>
      <status>modified</status>
      <modifiedWord>（</modifiedWord>
      <trackRevisions>false</trackRevisions>
    </reviewItem>
    <reviewItem>
      <errorID>670a6fe7-1b63-42b4-97d0-2d7246e298cc</errorID>
      <errorWord>)</errorWord>
      <group>L1_Format</group>
      <groupName>格式问题</groupName>
      <ability>L2_HalfPunc_CN</ability>
      <abilityName>全半角问题</abilityName>
      <candidateList>
        <item>）</item>
      </candidateList>
      <explain>文本全半角错误。</explain>
      <paraID> 8E4E2AC</paraID>
      <start>132</start>
      <end>133</end>
      <status>modified</status>
      <modifiedWord>）</modifiedWord>
      <trackRevisions>false</trackRevisions>
    </reviewItem>
    <reviewItem>
      <errorID>e3e579a7-9097-4feb-8d1f-0806733c52ab</errorID>
      <errorWord>(</errorWord>
      <group>L1_Format</group>
      <groupName>格式问题</groupName>
      <ability>L2_HalfPunc_CN</ability>
      <abilityName>全半角问题</abilityName>
      <candidateList>
        <item>（</item>
      </candidateList>
      <explain>文本全半角错误。</explain>
      <paraID>36159953</paraID>
      <start>81</start>
      <end>82</end>
      <status>modified</status>
      <modifiedWord>（</modifiedWord>
      <trackRevisions>false</trackRevisions>
    </reviewItem>
    <reviewItem>
      <errorID>c0e2af4a-9f06-4bc0-b5dc-5d3438b08420</errorID>
      <errorWord>)</errorWord>
      <group>L1_Format</group>
      <groupName>格式问题</groupName>
      <ability>L2_HalfPunc_CN</ability>
      <abilityName>全半角问题</abilityName>
      <candidateList>
        <item>）</item>
      </candidateList>
      <explain>文本全半角错误。</explain>
      <paraID>36159953</paraID>
      <start>124</start>
      <end>125</end>
      <status>modified</status>
      <modifiedWord>）</modifiedWord>
      <trackRevisions>false</trackRevisions>
    </reviewItem>
    <reviewItem>
      <errorID>4989dbd7-14ec-422c-89bf-ce049c63729f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3E37FB24</paraID>
      <start>21</start>
      <end>24</end>
      <status>unmodified</status>
      <modifiedWord/>
      <trackRevisions>false</trackRevisions>
    </reviewItem>
    <reviewItem>
      <errorID>01695a69-d06c-42d0-b6dc-def2c1fb1bc4</errorID>
      <errorWord>存有疑义</errorWord>
      <group>L1_Word</group>
      <groupName>字词问题</groupName>
      <ability>L2_Typo</ability>
      <abilityName>字词错误</abilityName>
      <candidateList>
        <item>存有异议</item>
      </candidateList>
      <explain/>
      <paraID>3E37FB24</paraID>
      <start>80</start>
      <end>84</end>
      <status>unmodified</status>
      <modifiedWord/>
      <trackRevisions>false</trackRevisions>
    </reviewItem>
    <reviewItem>
      <errorID>37fb8b89-2579-4069-833c-ee86f4e02048</errorID>
      <errorWord>须</errorWord>
      <group>L1_Word</group>
      <groupName>字词问题</groupName>
      <ability>L2_Typo</ability>
      <abilityName>字词错误</abilityName>
      <candidateList>
        <item>需</item>
      </candidateList>
      <explain>存在发音相同字词的误用。</explain>
      <paraID>234CF22A</paraID>
      <start>10</start>
      <end>11</end>
      <status>modified</status>
      <modifiedWord>需</modifiedWord>
      <trackRevisions>false</trackRevisions>
    </reviewItem>
    <reviewItem>
      <errorID>af316452-98f8-4be4-a306-94fc0e301186</errorID>
      <errorWord>须</errorWord>
      <group>L1_Word</group>
      <groupName>字词问题</groupName>
      <ability>L2_Typo</ability>
      <abilityName>字词错误</abilityName>
      <candidateList>
        <item>需</item>
      </candidateList>
      <explain>存在发音相同字词的误用。</explain>
      <paraID>35C6068F</paraID>
      <start>10</start>
      <end>11</end>
      <status>modified</status>
      <modifiedWord>需</modifiedWord>
      <trackRevisions>false</trackRevisions>
    </reviewItem>
    <reviewItem>
      <errorID>2c4fc68c-648c-41ad-a23e-94f87491424a</errorID>
      <errorWord>标</errorWord>
      <group>L1_Word</group>
      <groupName>字词问题</groupName>
      <ability>L2_Typo</ability>
      <abilityName>字词错误</abilityName>
      <candidateList>
        <item>标准</item>
      </candidateList>
      <explain/>
      <paraID>394F76D9</paraID>
      <start>2</start>
      <end>3</end>
      <status>unmodified</status>
      <modifiedWord/>
      <trackRevisions>false</trackRevisions>
    </reviewItem>
    <reviewItem>
      <errorID>f4305190-b487-48e4-ab20-22d396a33503</errorID>
      <errorWord>方的</errorWord>
      <group>L1_Word</group>
      <groupName>字词问题</groupName>
      <ability>L2_Typo</ability>
      <abilityName>字词错误</abilityName>
      <candidateList>
        <item>方</item>
      </candidateList>
      <explain/>
      <paraID>24F3038F</paraID>
      <start>5</start>
      <end>7</end>
      <status>unmodified</status>
      <modifiedWord/>
      <trackRevisions>false</trackRevisions>
    </reviewItem>
    <reviewItem>
      <errorID>2d04927f-7607-4eb0-8dd5-e3f49d5d77cf</errorID>
      <errorWord>慎重</errorWord>
      <group>L1_Word</group>
      <groupName>字词问题</groupName>
      <ability>L2_Typo</ability>
      <abilityName>字词错误</abilityName>
      <candidateList>
        <item>郑重</item>
      </candidateList>
      <explain/>
      <paraID>24F3038F</paraID>
      <start>23</start>
      <end>25</end>
      <status>unmodified</status>
      <modifiedWord/>
      <trackRevisions>false</trackRevisions>
    </reviewItem>
    <reviewItem>
      <errorID>5cb4dcb8-0fb8-4e84-97a1-7f3b674638b7</errorID>
      <errorWord>件</errorWord>
      <group>L1_Word</group>
      <groupName>字词问题</groupName>
      <ability>L2_Typo</ability>
      <abilityName>字词错误</abilityName>
      <candidateList>
        <item>件加</item>
      </candidateList>
      <explain/>
      <paraID> D57C138</paraID>
      <start>15</start>
      <end>17</end>
      <status>modified</status>
      <modifiedWord>件加</modifiedWord>
      <trackRevisions>false</trackRevisions>
    </reviewItem>
    <reviewItem>
      <errorID>9b248250-8a5b-482a-bb53-26b49fd00868</errorID>
      <errorWord>:</errorWord>
      <group>L1_Format</group>
      <groupName>格式问题</groupName>
      <ability>L2_HalfPunc_CN</ability>
      <abilityName>全半角问题</abilityName>
      <candidateList>
        <item>：</item>
      </candidateList>
      <explain>文本全半角错误。</explain>
      <paraID>4FAE340E</paraID>
      <start>24</start>
      <end>25</end>
      <status>unmodified</status>
      <modifiedWord/>
      <trackRevisions>false</trackRevisions>
    </reviewItem>
    <reviewItem>
      <errorID>6d26a380-4f0d-4acf-a269-8e26b1ac435e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74162B60</paraID>
      <start>25</start>
      <end>26</end>
      <status>unmodified</status>
      <modifiedWord/>
      <trackRevisions>false</trackRevisions>
    </reviewItem>
    <reviewItem>
      <errorID>681a069d-2398-4758-b062-4bbdb8cfac8c</errorID>
      <errorWord>(</errorWord>
      <group>L1_Format</group>
      <groupName>格式问题</groupName>
      <ability>L2_HalfPunc_CN</ability>
      <abilityName>全半角问题</abilityName>
      <candidateList>
        <item>（</item>
      </candidateList>
      <explain>文本全半角错误。</explain>
      <paraID> 9BC58FF</paraID>
      <start>3</start>
      <end>4</end>
      <status>modified</status>
      <modifiedWord>（</modifiedWord>
      <trackRevisions>false</trackRevisions>
    </reviewItem>
    <reviewItem>
      <errorID>6a58b071-bd97-41f2-85c4-b92a77d11a6a</errorID>
      <errorWord>)</errorWord>
      <group>L1_Format</group>
      <groupName>格式问题</groupName>
      <ability>L2_HalfPunc_CN</ability>
      <abilityName>全半角问题</abilityName>
      <candidateList>
        <item>）</item>
      </candidateList>
      <explain>文本全半角错误。</explain>
      <paraID> 9BC58FF</paraID>
      <start>8</start>
      <end>9</end>
      <status>modified</status>
      <modifiedWord>）</modifiedWord>
      <trackRevisions>false</trackRevisions>
    </reviewItem>
    <reviewItem>
      <errorID>eef95a13-38fc-4014-9fa6-1175aba5bf70</errorID>
      <errorWord>件</errorWord>
      <group>L1_Word</group>
      <groupName>字词问题</groupName>
      <ability>L2_Typo</ability>
      <abilityName>字词错误</abilityName>
      <candidateList>
        <item>件加</item>
      </candidateList>
      <explain/>
      <paraID>29D4201C</paraID>
      <start>15</start>
      <end>17</end>
      <status>modified</status>
      <modifiedWord>件加</modifiedWord>
      <trackRevisions>false</trackRevisions>
    </reviewItem>
    <reviewItem>
      <errorID>276f9eff-91a1-4df5-847c-31d7aeece9e9</errorID>
      <errorWord>：）</errorWord>
      <group>L1_Punc</group>
      <groupName>标点问题</groupName>
      <ability>L2_Punc_CN</ability>
      <abilityName>标点符号问题</abilityName>
      <candidateList>
        <item>）</item>
      </candidateList>
      <explain/>
      <paraID>6E7E97FE</paraID>
      <start>9</start>
      <end>11</end>
      <status>unmodified</status>
      <modifiedWord/>
      <trackRevisions>false</trackRevisions>
    </reviewItem>
    <reviewItem>
      <errorID>59a06e6a-4bd7-4f6b-bf69-752c196d3b6a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4FBC1E46</paraID>
      <start>0</start>
      <end>2</end>
      <status>unmodified</status>
      <modifiedWord/>
      <trackRevisions>false</trackRevisions>
    </reviewItem>
    <reviewItem>
      <errorID>448f7e2c-6ec3-4fb0-bc74-7cc6c2865ea9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634183B4</paraID>
      <start>0</start>
      <end>2</end>
      <status>unmodified</status>
      <modifiedWord/>
      <trackRevisions>false</trackRevisions>
    </reviewItem>
    <reviewItem>
      <errorID>4b5a9743-88c3-47a4-ae63-03ef69815ef7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1667A8CB</paraID>
      <start>0</start>
      <end>2</end>
      <status>unmodified</status>
      <modifiedWord/>
      <trackRevisions>false</trackRevisions>
    </reviewItem>
    <reviewItem>
      <errorID>e1118902-9dd0-471f-bb01-a328e02a653b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44CC928F</paraID>
      <start>0</start>
      <end>2</end>
      <status>unmodified</status>
      <modifiedWord/>
      <trackRevisions>false</trackRevisions>
    </reviewItem>
    <reviewItem>
      <errorID>de6e686c-519d-453f-bee3-c216ac1d8254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620B4C8</paraID>
      <start>0</start>
      <end>2</end>
      <status>unmodified</status>
      <modifiedWord/>
      <trackRevisions>false</trackRevisions>
    </reviewItem>
    <reviewItem>
      <errorID>af1396ce-2645-449c-a439-3217ffd42052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6F3AD97B</paraID>
      <start>0</start>
      <end>2</end>
      <status>unmodified</status>
      <modifiedWord/>
      <trackRevisions>false</trackRevisions>
    </reviewItem>
    <reviewItem>
      <errorID>8de660b1-2911-4e33-b409-fda5dbe95752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39FE3DDB</paraID>
      <start>0</start>
      <end>2</end>
      <status>unmodified</status>
      <modifiedWord/>
      <trackRevisions>false</trackRevisions>
    </reviewItem>
    <reviewItem>
      <errorID>08c6967c-61c5-4c03-b907-4d2a5f676c49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2E67EB4E</paraID>
      <start>0</start>
      <end>2</end>
      <status>unmodified</status>
      <modifiedWord/>
      <trackRevisions>false</trackRevisions>
    </reviewItem>
    <reviewItem>
      <errorID>9789bed3-5d5a-4f9c-b016-5ba463e95614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752E3A3C</paraID>
      <start>0</start>
      <end>2</end>
      <status>unmodified</status>
      <modifiedWord/>
      <trackRevisions>false</trackRevisions>
    </reviewItem>
    <reviewItem>
      <errorID>75417ad1-4085-4d28-90a7-94bc09d5129f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1D4121E0</paraID>
      <start>0</start>
      <end>3</end>
      <status>unmodified</status>
      <modifiedWord/>
      <trackRevisions>false</trackRevisions>
    </reviewItem>
    <reviewItem>
      <errorID>e40b2d95-b362-4cc7-915f-6b76f9648c87</errorID>
      <errorWord>方</errorWord>
      <group>L1_Word</group>
      <groupName>字词问题</groupName>
      <ability>L2_Typo</ability>
      <abilityName>字词错误</abilityName>
      <candidateList>
        <item>方将</item>
      </candidateList>
      <explain/>
      <paraID>1D4121E0</paraID>
      <start>24</start>
      <end>26</end>
      <status>modified</status>
      <modifiedWord>方将</modifiedWord>
      <trackRevisions>false</trackRevisions>
    </reviewItem>
    <reviewItem>
      <errorID>9ecc1dc8-593f-41dc-a463-169acfd8c18c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487A7DF7</paraID>
      <start>0</start>
      <end>3</end>
      <status>unmodified</status>
      <modifiedWord/>
      <trackRevisions>false</trackRevisions>
    </reviewItem>
    <reviewItem>
      <errorID>d3c0b1d9-5625-43ff-b24c-21f385e2cddf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4C99D543</paraID>
      <start>0</start>
      <end>3</end>
      <status>unmodified</status>
      <modifiedWord/>
      <trackRevisions>false</trackRevisions>
    </reviewItem>
    <reviewItem>
      <errorID>46bc5476-e353-4116-885e-ea7d4e58a27c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6B3DFCAF</paraID>
      <start>0</start>
      <end>3</end>
      <status>unmodified</status>
      <modifiedWord/>
      <trackRevisions>false</trackRevisions>
    </reviewItem>
    <reviewItem>
      <errorID>dd37bf1b-d566-4e41-a0b9-970371f6335a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116E96CC</paraID>
      <start>0</start>
      <end>3</end>
      <status>unmodified</status>
      <modifiedWord/>
      <trackRevisions>false</trackRevisions>
    </reviewItem>
    <reviewItem>
      <errorID>b0fd85d2-72f1-4e85-b011-d8cc7e73bc90</errorID>
      <errorWord>(</errorWord>
      <group>L1_Format</group>
      <groupName>格式问题</groupName>
      <ability>L2_HalfPunc_CN</ability>
      <abilityName>全半角问题</abilityName>
      <candidateList>
        <item>（</item>
      </candidateList>
      <explain>文本全半角错误。</explain>
      <paraID> 2DA4847</paraID>
      <start>10</start>
      <end>11</end>
      <status>modified</status>
      <modifiedWord>（</modifiedWord>
      <trackRevisions>false</trackRevisions>
    </reviewItem>
    <reviewItem>
      <errorID>c7e0538f-3e78-4914-b105-3292f2916f45</errorID>
      <errorWord>)</errorWord>
      <group>L1_Format</group>
      <groupName>格式问题</groupName>
      <ability>L2_HalfPunc_CN</ability>
      <abilityName>全半角问题</abilityName>
      <candidateList>
        <item>）</item>
      </candidateList>
      <explain>文本全半角错误。</explain>
      <paraID> 2DA4847</paraID>
      <start>13</start>
      <end>14</end>
      <status>modified</status>
      <modifiedWord>）</modifiedWord>
      <trackRevisions>false</trackRevisions>
    </reviewItem>
    <reviewItem>
      <errorID>80067021-fb63-433b-8d8a-42cc40911ff7</errorID>
      <errorWord>:</errorWord>
      <group>L1_Format</group>
      <groupName>格式问题</groupName>
      <ability>L2_HalfPunc_CN</ability>
      <abilityName>全半角问题</abilityName>
      <candidateList>
        <item>：</item>
      </candidateList>
      <explain>文本全半角错误。</explain>
      <paraID>2C965AAF</paraID>
      <start>8</start>
      <end>9</end>
      <status>unmodified</status>
      <modifiedWord/>
      <trackRevisions>false</trackRevisions>
    </reviewItem>
    <reviewItem>
      <errorID>1a61b1a0-9244-498e-af65-28fa405e0f5f</errorID>
      <errorWord>!</errorWord>
      <group>L1_Format</group>
      <groupName>格式问题</groupName>
      <ability>L2_HalfPunc_CN</ability>
      <abilityName>全半角问题</abilityName>
      <candidateList>
        <item>！</item>
      </candidateList>
      <explain>文本全半角错误。</explain>
      <paraID>13C79914</paraID>
      <start>16</start>
      <end>17</end>
      <status>unmodified</status>
      <modifiedWord/>
      <trackRevisions>false</trackRevisions>
    </reviewItem>
    <reviewItem>
      <errorID>5d92d1b2-91fb-49b0-85bb-ca18e7a2c523</errorID>
      <errorWord>(</errorWord>
      <group>L1_Format</group>
      <groupName>格式问题</groupName>
      <ability>L2_HalfPunc_CN</ability>
      <abilityName>全半角问题</abilityName>
      <candidateList>
        <item>（</item>
      </candidateList>
      <explain>文本全半角错误。</explain>
      <paraID>5D55D98B</paraID>
      <start>17</start>
      <end>18</end>
      <status>modified</status>
      <modifiedWord>（</modifiedWord>
      <trackRevisions>false</trackRevisions>
    </reviewItem>
    <reviewItem>
      <errorID>ece3531c-e601-4ffc-9f65-60a0cdf9487c</errorID>
      <errorWord>)</errorWord>
      <group>L1_Format</group>
      <groupName>格式问题</groupName>
      <ability>L2_HalfPunc_CN</ability>
      <abilityName>全半角问题</abilityName>
      <candidateList>
        <item>）</item>
      </candidateList>
      <explain>文本全半角错误。</explain>
      <paraID>5D55D98B</paraID>
      <start>20</start>
      <end>21</end>
      <status>modified</status>
      <modifiedWord>）</modifiedWord>
      <trackRevisions>false</trackRevisions>
    </reviewItem>
    <reviewItem>
      <errorID>5129c54f-4e41-43b2-9431-990e250561b8</errorID>
      <errorWord>(</errorWord>
      <group>L1_Format</group>
      <groupName>格式问题</groupName>
      <ability>L2_HalfPunc_CN</ability>
      <abilityName>全半角问题</abilityName>
      <candidateList>
        <item>（</item>
      </candidateList>
      <explain>文本全半角错误。</explain>
      <paraID>2C52ED06</paraID>
      <start>17</start>
      <end>18</end>
      <status>modified</status>
      <modifiedWord>（</modifiedWord>
      <trackRevisions>false</trackRevisions>
    </reviewItem>
    <reviewItem>
      <errorID>483dbbdf-b4fa-4e27-916b-ab13b15c92ef</errorID>
      <errorWord>)</errorWord>
      <group>L1_Format</group>
      <groupName>格式问题</groupName>
      <ability>L2_HalfPunc_CN</ability>
      <abilityName>全半角问题</abilityName>
      <candidateList>
        <item>）</item>
      </candidateList>
      <explain>文本全半角错误。</explain>
      <paraID>2C52ED06</paraID>
      <start>20</start>
      <end>21</end>
      <status>modified</status>
      <modifiedWord>）</modifiedWord>
      <trackRevisions>false</trackRevisions>
    </reviewItem>
    <reviewItem>
      <errorID>6ffd4f0e-7fbc-4256-8147-556dba6fdedd</errorID>
      <errorWord>(</errorWord>
      <group>L1_Format</group>
      <groupName>格式问题</groupName>
      <ability>L2_HalfPunc_CN</ability>
      <abilityName>全半角问题</abilityName>
      <candidateList>
        <item>（</item>
      </candidateList>
      <explain>文本全半角错误。</explain>
      <paraID>2C52ED06</paraID>
      <start>34</start>
      <end>35</end>
      <status>modified</status>
      <modifiedWord>（</modifiedWord>
      <trackRevisions>false</trackRevisions>
    </reviewItem>
    <reviewItem>
      <errorID>1e2749fc-867f-497e-989d-5530f0cd1ae8</errorID>
      <errorWord>)</errorWord>
      <group>L1_Format</group>
      <groupName>格式问题</groupName>
      <ability>L2_HalfPunc_CN</ability>
      <abilityName>全半角问题</abilityName>
      <candidateList>
        <item>）</item>
      </candidateList>
      <explain>文本全半角错误。</explain>
      <paraID>2C52ED06</paraID>
      <start>37</start>
      <end>38</end>
      <status>modified</status>
      <modifiedWord>）</modifiedWord>
      <trackRevisions>false</trackRevisions>
    </reviewItem>
    <reviewItem>
      <errorID>13621c8c-8579-4ed4-a193-73b4ad5f6cd5</errorID>
      <errorWord>(</errorWord>
      <group>L1_Format</group>
      <groupName>格式问题</groupName>
      <ability>L2_HalfPunc_CN</ability>
      <abilityName>全半角问题</abilityName>
      <candidateList>
        <item>（</item>
      </candidateList>
      <explain>文本全半角错误。</explain>
      <paraID>2C52ED06</paraID>
      <start>105</start>
      <end>106</end>
      <status>modified</status>
      <modifiedWord>（</modifiedWord>
      <trackRevisions>false</trackRevisions>
    </reviewItem>
    <reviewItem>
      <errorID>6b89eb57-4105-4a46-8650-87a3a55b8b76</errorID>
      <errorWord>)</errorWord>
      <group>L1_Format</group>
      <groupName>格式问题</groupName>
      <ability>L2_HalfPunc_CN</ability>
      <abilityName>全半角问题</abilityName>
      <candidateList>
        <item>）</item>
      </candidateList>
      <explain>文本全半角错误。</explain>
      <paraID>2C52ED06</paraID>
      <start>108</start>
      <end>109</end>
      <status>modified</status>
      <modifiedWord>）</modifiedWord>
      <trackRevisions>false</trackRevisions>
    </reviewItem>
    <reviewItem>
      <errorID>b788524a-8a07-4b94-9b66-488678857438</errorID>
      <errorWord>(</errorWord>
      <group>L1_Format</group>
      <groupName>格式问题</groupName>
      <ability>L2_HalfPunc_CN</ability>
      <abilityName>全半角问题</abilityName>
      <candidateList>
        <item>（</item>
      </candidateList>
      <explain>文本全半角错误。</explain>
      <paraID>2C52ED06</paraID>
      <start>113</start>
      <end>114</end>
      <status>modified</status>
      <modifiedWord>（</modifiedWord>
      <trackRevisions>false</trackRevisions>
    </reviewItem>
    <reviewItem>
      <errorID>ace42b9d-5c5f-4269-8914-7e7c494039c8</errorID>
      <errorWord>)</errorWord>
      <group>L1_Format</group>
      <groupName>格式问题</groupName>
      <ability>L2_HalfPunc_CN</ability>
      <abilityName>全半角问题</abilityName>
      <candidateList>
        <item>）</item>
      </candidateList>
      <explain>文本全半角错误。</explain>
      <paraID>2C52ED06</paraID>
      <start>126</start>
      <end>127</end>
      <status>modified</status>
      <modifiedWord>）</modifiedWord>
      <trackRevisions>false</trackRevisions>
    </reviewItem>
    <reviewItem>
      <errorID>96e27a25-6c9a-4883-833e-4900c0208a30</errorID>
      <errorWord>(</errorWord>
      <group>L1_Format</group>
      <groupName>格式问题</groupName>
      <ability>L2_HalfPunc_CN</ability>
      <abilityName>全半角问题</abilityName>
      <candidateList>
        <item>（</item>
      </candidateList>
      <explain>文本全半角错误。</explain>
      <paraID>2C52ED06</paraID>
      <start>156</start>
      <end>157</end>
      <status>modified</status>
      <modifiedWord>（</modifiedWord>
      <trackRevisions>false</trackRevisions>
    </reviewItem>
    <reviewItem>
      <errorID>f8fb1d7d-55f0-4f29-b5b3-a02e35cca4f8</errorID>
      <errorWord>)</errorWord>
      <group>L1_Format</group>
      <groupName>格式问题</groupName>
      <ability>L2_HalfPunc_CN</ability>
      <abilityName>全半角问题</abilityName>
      <candidateList>
        <item>）</item>
      </candidateList>
      <explain>文本全半角错误。</explain>
      <paraID>2C52ED06</paraID>
      <start>169</start>
      <end>170</end>
      <status>modified</status>
      <modifiedWord>）</modifiedWord>
      <trackRevisions>false</trackRevisions>
    </reviewItem>
  </reviewItems>
  <config/>
</contractReview>
</file>

<file path=customXml/itemProps1.xml><?xml version="1.0" encoding="utf-8"?>
<ds:datastoreItem xmlns:ds="http://schemas.openxmlformats.org/officeDocument/2006/customXml" ds:itemID="{D6A430ED-08BB-4BF7-90DD-531CD0AC4782}"/>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丁昕</cp:lastModifiedBy>
  <cp:revision>46</cp:revision>
  <dcterms:created xsi:type="dcterms:W3CDTF">2024-09-03T02:08:00Z</dcterms:created>
  <dcterms:modified xsi:type="dcterms:W3CDTF">2026-10-28T02:48:29Z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0645B9638E75409489712EDD65A955F4_13</vt:lpwstr>
  </property>
  <property fmtid="{D5CDD505-2E9C-101B-9397-08002B2CF9AE}" pid="4" name="KSOTemplateDocerSaveRecord">
    <vt:lpwstr>eyJoZGlkIjoiMGZjYjM3YmRlN2NlYTJlZGM3MDljMzEyYzE1ZGY5NWQiLCJ1c2VySWQiOiIzNzU0NjAwNDgifQ==</vt:lpwstr>
  </property>
</Properties>
</file>