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1"/>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rPr>
      </w:pPr>
      <w:r>
        <w:rPr>
          <w:rFonts w:ascii="宋体" w:hAnsi="宋体" w:eastAsia="宋体"/>
        </w:rPr>
      </w:r>
      <w:r/>
    </w:p>
    <w:p>
      <w:pPr>
        <w:pStyle w:val="654"/>
        <w:rPr>
          <w:rFonts w:hint="eastAsia"/>
        </w:rPr>
      </w:pPr>
      <w:r>
        <w:rPr>
          <w:rFonts w:hint="eastAsia"/>
        </w:rPr>
      </w:r>
      <w:r/>
    </w:p>
    <w:p>
      <w:pPr>
        <w:pStyle w:val="641"/>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1"/>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1"/>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rPr>
      </w:pPr>
      <w:r>
        <w:rPr>
          <w:rFonts w:ascii="宋体" w:hAnsi="宋体" w:eastAsia="宋体"/>
        </w:rPr>
      </w:r>
      <w:r/>
    </w:p>
    <w:p>
      <w:pPr>
        <w:pStyle w:val="641"/>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JSZC-320500-SZHX-C2026-0038</w:t>
      </w:r>
      <w:r>
        <w:rPr>
          <w:rFonts w:hint="eastAsia" w:ascii="宋体" w:hAnsi="宋体" w:eastAsia="宋体"/>
          <w:b/>
          <w:spacing w:val="-6"/>
          <w:sz w:val="32"/>
        </w:rPr>
      </w:r>
      <w:r/>
    </w:p>
    <w:p>
      <w:pPr>
        <w:pStyle w:val="641"/>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采购单位：苏州市医疗保障局</w:t>
      </w:r>
      <w:r/>
    </w:p>
    <w:p>
      <w:pPr>
        <w:pStyle w:val="641"/>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2026年度全国创新药高质量发展大会活动策划执行和会务服务项目</w:t>
      </w:r>
      <w:r>
        <w:rPr>
          <w:rFonts w:ascii="宋体" w:hAnsi="宋体" w:eastAsia="宋体"/>
          <w:b/>
          <w:spacing w:val="-6"/>
          <w:sz w:val="32"/>
        </w:rPr>
      </w:r>
      <w:r/>
    </w:p>
    <w:p>
      <w:pPr>
        <w:pStyle w:val="641"/>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87"/>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b/>
        </w:rPr>
      </w:pPr>
      <w:r>
        <w:rPr>
          <w:rFonts w:ascii="宋体" w:hAnsi="宋体" w:eastAsia="宋体"/>
          <w:b/>
        </w:rPr>
      </w:r>
      <w:r/>
    </w:p>
    <w:p>
      <w:pPr>
        <w:pStyle w:val="641"/>
        <w:jc w:val="center"/>
        <w:spacing w:line="360" w:lineRule="auto"/>
        <w:rPr>
          <w:rFonts w:ascii="宋体" w:hAnsi="宋体" w:eastAsia="宋体"/>
        </w:rPr>
      </w:pPr>
      <w:r>
        <w:rPr>
          <w:rFonts w:ascii="宋体" w:hAnsi="宋体" w:eastAsia="宋体"/>
        </w:rPr>
      </w:r>
      <w:r/>
    </w:p>
    <w:p>
      <w:pPr>
        <w:pStyle w:val="654"/>
      </w:pPr>
      <w:r/>
      <w:r/>
    </w:p>
    <w:p>
      <w:pPr>
        <w:pStyle w:val="654"/>
      </w:pPr>
      <w:r/>
      <w:r/>
    </w:p>
    <w:p>
      <w:pPr>
        <w:pStyle w:val="654"/>
      </w:pPr>
      <w:r/>
      <w:r/>
    </w:p>
    <w:p>
      <w:pPr>
        <w:pStyle w:val="641"/>
        <w:jc w:val="center"/>
        <w:spacing w:line="360" w:lineRule="auto"/>
        <w:rPr>
          <w:rFonts w:ascii="宋体" w:hAnsi="宋体" w:eastAsia="宋体"/>
          <w:b/>
        </w:rPr>
      </w:pPr>
      <w:r>
        <w:rPr>
          <w:rFonts w:ascii="宋体" w:hAnsi="宋体" w:eastAsia="宋体"/>
          <w:b/>
        </w:rPr>
      </w:r>
      <w:r/>
    </w:p>
    <w:p>
      <w:pPr>
        <w:pStyle w:val="641"/>
        <w:jc w:val="center"/>
        <w:spacing w:line="360" w:lineRule="auto"/>
        <w:rPr>
          <w:rFonts w:ascii="宋体" w:hAnsi="宋体" w:eastAsia="宋体"/>
          <w:b/>
          <w:sz w:val="32"/>
        </w:rPr>
      </w:pPr>
      <w:r>
        <w:rPr>
          <w:rFonts w:ascii="宋体" w:hAnsi="宋体" w:eastAsia="宋体"/>
          <w:b/>
          <w:sz w:val="32"/>
        </w:rPr>
      </w:r>
      <w:r/>
    </w:p>
    <w:p>
      <w:pPr>
        <w:pStyle w:val="641"/>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1"/>
        <w:jc w:val="center"/>
        <w:spacing w:line="360" w:lineRule="auto"/>
        <w:rPr>
          <w:rFonts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rPr>
        <w:t xml:space="preserve">九</w:t>
      </w:r>
      <w:r>
        <w:rPr>
          <w:rFonts w:hint="eastAsia" w:ascii="宋体" w:hAnsi="宋体" w:eastAsia="宋体"/>
          <w:b/>
          <w:sz w:val="32"/>
        </w:rPr>
        <w:t xml:space="preserve">月</w:t>
      </w:r>
      <w:r>
        <w:rPr>
          <w:rFonts w:ascii="宋体" w:hAnsi="宋体" w:eastAsia="宋体"/>
          <w:b/>
          <w:sz w:val="32"/>
        </w:rPr>
      </w:r>
      <w:r/>
    </w:p>
    <w:p>
      <w:pPr>
        <w:pStyle w:val="641"/>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1"/>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1"/>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1"/>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1"/>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2026年度全国创新药高质量发展大会活动策划执行和会务服务项目</w:t>
            </w:r>
            <w:r>
              <w:rPr>
                <w:rFonts w:hint="eastAsia"/>
                <w:sz w:val="24"/>
                <w:szCs w:val="24"/>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1"/>
              <w:rPr>
                <w:rFonts w:hint="eastAsia" w:ascii="宋体" w:hAnsi="宋体" w:eastAsia="宋体"/>
                <w:sz w:val="21"/>
                <w:szCs w:val="21"/>
              </w:rPr>
            </w:pPr>
            <w:r>
              <w:rPr>
                <w:rFonts w:hint="eastAsia" w:ascii="宋体" w:hAnsi="宋体" w:eastAsia="宋体"/>
                <w:sz w:val="21"/>
                <w:szCs w:val="21"/>
              </w:rPr>
              <w:t xml:space="preserve">磋商响应文件份数：本项目采用</w:t>
            </w:r>
            <w:r>
              <w:rPr>
                <w:rFonts w:hint="eastAsia" w:ascii="宋体" w:hAnsi="宋体" w:eastAsia="宋体"/>
                <w:sz w:val="21"/>
                <w:szCs w:val="21"/>
              </w:rPr>
              <w:t xml:space="preserve">电子响应文件，供应商按照采购文件要求制作上传电子响应文件，不接受纸质响应文件。成交后，成交单位提供三份纸质响应文件。</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10</w:t>
            </w:r>
            <w:r>
              <w:rPr>
                <w:rFonts w:hint="eastAsia" w:ascii="宋体" w:hAnsi="宋体" w:eastAsia="宋体"/>
                <w:sz w:val="21"/>
                <w:szCs w:val="21"/>
              </w:rPr>
              <w:t xml:space="preserve">月</w:t>
            </w:r>
            <w:r>
              <w:rPr>
                <w:rFonts w:hint="eastAsia" w:ascii="宋体" w:hAnsi="宋体" w:eastAsia="宋体"/>
                <w:sz w:val="21"/>
                <w:szCs w:val="21"/>
              </w:rPr>
              <w:t xml:space="preserve">13</w:t>
            </w:r>
            <w:r>
              <w:rPr>
                <w:rFonts w:hint="eastAsia" w:ascii="宋体" w:hAnsi="宋体" w:eastAsia="宋体"/>
                <w:sz w:val="21"/>
                <w:szCs w:val="21"/>
              </w:rPr>
              <w:t xml:space="preserve">日</w:t>
            </w:r>
            <w:r>
              <w:rPr>
                <w:rFonts w:hint="eastAsia" w:ascii="宋体" w:hAnsi="宋体" w:eastAsia="宋体"/>
                <w:sz w:val="21"/>
                <w:szCs w:val="21"/>
              </w:rPr>
              <w:t xml:space="preserve">13</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1"/>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6年10月13日</w:t>
            </w:r>
            <w:r>
              <w:rPr>
                <w:rFonts w:hint="eastAsia" w:ascii="宋体" w:hAnsi="宋体" w:eastAsia="宋体"/>
                <w:sz w:val="21"/>
                <w:szCs w:val="21"/>
              </w:rPr>
              <w:t xml:space="preserve">13</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1"/>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w:t>
            </w:r>
            <w:r>
              <w:rPr>
                <w:rFonts w:hint="eastAsia" w:ascii="宋体" w:hAnsi="宋体" w:eastAsia="宋体"/>
                <w:b/>
                <w:bCs/>
                <w:sz w:val="21"/>
                <w:szCs w:val="21"/>
              </w:rPr>
              <w:t xml:space="preserve">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6年10月13日</w:t>
            </w:r>
            <w:r>
              <w:rPr>
                <w:rFonts w:hint="eastAsia" w:ascii="宋体" w:hAnsi="宋体" w:eastAsia="宋体"/>
                <w:sz w:val="21"/>
                <w:szCs w:val="21"/>
              </w:rPr>
              <w:t xml:space="preserve">13</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1"/>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代理服务费按苏财购告【2017】26号规定的收费标准收取。</w:t>
            </w:r>
            <w:r>
              <w:rPr>
                <w:rFonts w:ascii="宋体" w:hAnsi="宋体" w:eastAsia="宋体"/>
                <w:sz w:val="21"/>
                <w:szCs w:val="21"/>
              </w:rPr>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1"/>
              <w:rPr>
                <w:rFonts w:ascii="宋体" w:hAnsi="宋体" w:eastAsia="宋体"/>
                <w:sz w:val="21"/>
                <w:szCs w:val="21"/>
              </w:rPr>
            </w:pPr>
            <w:r>
              <w:rPr>
                <w:rFonts w:hint="eastAsia" w:ascii="宋体" w:hAnsi="宋体" w:eastAsia="宋体"/>
                <w:sz w:val="21"/>
                <w:szCs w:val="21"/>
              </w:rPr>
              <w:t xml:space="preserve">本项目代理服务费：</w:t>
            </w:r>
            <w:r>
              <w:rPr>
                <w:rFonts w:hint="eastAsia" w:ascii="宋体" w:hAnsi="宋体" w:eastAsia="宋体"/>
                <w:sz w:val="21"/>
                <w:szCs w:val="21"/>
              </w:rPr>
              <w:t xml:space="preserve">26000</w:t>
            </w:r>
            <w:r>
              <w:rPr>
                <w:rFonts w:hint="eastAsia" w:ascii="宋体" w:hAnsi="宋体" w:eastAsia="宋体"/>
                <w:sz w:val="21"/>
                <w:szCs w:val="21"/>
              </w:rPr>
              <w:t xml:space="preserve">元</w:t>
            </w:r>
            <w:r>
              <w:rPr>
                <w:rFonts w:hint="eastAsia" w:ascii="宋体" w:hAnsi="宋体" w:eastAsia="宋体"/>
                <w:sz w:val="21"/>
                <w:szCs w:val="21"/>
              </w:rPr>
              <w:t xml:space="preserve">。由采购人支付。</w:t>
            </w:r>
            <w:r>
              <w:rPr>
                <w:rFonts w:ascii="宋体" w:hAnsi="宋体" w:eastAsia="宋体"/>
                <w:sz w:val="21"/>
                <w:szCs w:val="21"/>
              </w:rPr>
            </w:r>
            <w:r/>
          </w:p>
          <w:p>
            <w:pPr>
              <w:pStyle w:val="641"/>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1"/>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1"/>
              <w:rPr>
                <w:rFonts w:hint="eastAsia" w:ascii="宋体" w:hAnsi="宋体" w:eastAsia="宋体"/>
                <w:sz w:val="21"/>
                <w:szCs w:val="21"/>
              </w:rPr>
            </w:pPr>
            <w:r>
              <w:rPr>
                <w:rFonts w:hint="eastAsia" w:ascii="宋体" w:hAnsi="宋体" w:eastAsia="宋体"/>
                <w:sz w:val="21"/>
                <w:szCs w:val="21"/>
              </w:rPr>
              <w:t xml:space="preserve">银行账号：7066601071120143007269</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1"/>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60"/>
        <w:ind w:firstLine="0"/>
        <w:jc w:val="center"/>
        <w:spacing w:line="360" w:lineRule="auto"/>
        <w:rPr>
          <w:rFonts w:ascii="宋体" w:hAnsi="宋体" w:eastAsia="宋体"/>
          <w:sz w:val="44"/>
          <w:szCs w:val="44"/>
        </w:rPr>
      </w:pPr>
      <w:r>
        <w:rPr>
          <w:rFonts w:ascii="宋体" w:hAnsi="宋体" w:eastAsia="宋体"/>
          <w:sz w:val="44"/>
          <w:szCs w:val="44"/>
        </w:rPr>
      </w:r>
      <w:r/>
    </w:p>
    <w:p>
      <w:pPr>
        <w:pStyle w:val="687"/>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687"/>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r/>
    </w:p>
    <w:p>
      <w:pPr>
        <w:pStyle w:val="687"/>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23</w:t>
      </w:r>
      <w:r>
        <w:fldChar w:fldCharType="end"/>
      </w:r>
      <w:r/>
      <w:r/>
    </w:p>
    <w:p>
      <w:pPr>
        <w:pStyle w:val="687"/>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35</w:t>
      </w:r>
      <w:r>
        <w:fldChar w:fldCharType="end"/>
      </w:r>
      <w:r/>
      <w:r/>
    </w:p>
    <w:p>
      <w:pPr>
        <w:pStyle w:val="687"/>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41</w:t>
      </w:r>
      <w:r>
        <w:fldChar w:fldCharType="end"/>
      </w:r>
      <w:r/>
      <w:r/>
    </w:p>
    <w:p>
      <w:pPr>
        <w:pStyle w:val="660"/>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1"/>
        <w:jc w:val="left"/>
        <w:spacing w:line="360" w:lineRule="auto"/>
        <w:widowControl/>
        <w:rPr>
          <w:rFonts w:ascii="宋体" w:hAnsi="宋体" w:eastAsia="宋体"/>
        </w:rPr>
      </w:pPr>
      <w:r>
        <w:rPr>
          <w:rFonts w:ascii="宋体" w:hAnsi="宋体" w:eastAsia="宋体"/>
        </w:rPr>
        <w:br w:type="page" w:clear="all"/>
      </w:r>
      <w:r/>
    </w:p>
    <w:p>
      <w:pPr>
        <w:pStyle w:val="641"/>
        <w:jc w:val="left"/>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2"/>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1"/>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1"/>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798"/>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641"/>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2026年度全国创新药高质量发展大会活动策划执行和会务服务项目</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w:t>
      </w:r>
      <w:r>
        <w:rPr>
          <w:rFonts w:hint="eastAsia" w:ascii="宋体" w:hAnsi="宋体" w:eastAsia="宋体"/>
          <w:sz w:val="21"/>
          <w:szCs w:val="21"/>
          <w:u w:val="single"/>
        </w:rPr>
        <w:t xml:space="preserve">http://jszfcg.jsczt.cn/）获取采购文件，并于</w:t>
      </w:r>
      <w:r>
        <w:rPr>
          <w:rFonts w:hint="eastAsia" w:ascii="宋体" w:hAnsi="宋体" w:eastAsia="宋体"/>
          <w:bCs/>
          <w:sz w:val="21"/>
          <w:szCs w:val="21"/>
          <w:u w:val="single"/>
        </w:rPr>
        <w:t xml:space="preserve">2026年10月13日</w:t>
      </w:r>
      <w:r>
        <w:rPr>
          <w:rFonts w:hint="eastAsia" w:ascii="宋体" w:hAnsi="宋体" w:eastAsia="宋体"/>
          <w:bCs/>
          <w:sz w:val="21"/>
          <w:szCs w:val="21"/>
          <w:u w:val="single"/>
        </w:rPr>
        <w:t xml:space="preserve">13</w:t>
      </w:r>
      <w:r>
        <w:rPr>
          <w:rFonts w:hint="eastAsia" w:ascii="宋体" w:hAnsi="宋体" w:eastAsia="宋体"/>
          <w:bCs/>
          <w:sz w:val="21"/>
          <w:szCs w:val="21"/>
          <w:u w:val="single"/>
        </w:rPr>
        <w:t xml:space="preserve">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JSZC-320500-SZHX-C2026-0038</w:t>
      </w:r>
      <w:r>
        <w:rPr>
          <w:rFonts w:ascii="宋体" w:hAnsi="宋体" w:eastAsia="宋体"/>
          <w:sz w:val="21"/>
          <w:szCs w:val="21"/>
        </w:rPr>
      </w:r>
      <w:r/>
    </w:p>
    <w:p>
      <w:pPr>
        <w:pStyle w:val="641"/>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2026年度全国创新药高质量发展大会活动策划执行和会务服务</w:t>
      </w:r>
      <w:r>
        <w:rPr>
          <w:rFonts w:hint="eastAsia" w:ascii="宋体" w:hAnsi="宋体" w:eastAsia="宋体"/>
          <w:sz w:val="21"/>
          <w:szCs w:val="21"/>
        </w:rPr>
        <w:t xml:space="preserve">项目</w:t>
      </w:r>
      <w:r>
        <w:rPr>
          <w:rFonts w:ascii="宋体" w:hAnsi="宋体" w:eastAsia="宋体"/>
          <w:sz w:val="21"/>
          <w:szCs w:val="21"/>
          <w:u w:val="single"/>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4.预算金额：</w:t>
      </w:r>
      <w:r>
        <w:rPr>
          <w:rFonts w:hint="eastAsia" w:ascii="宋体" w:hAnsi="宋体" w:eastAsia="宋体"/>
          <w:sz w:val="21"/>
          <w:szCs w:val="21"/>
        </w:rPr>
        <w:t xml:space="preserve">人民币</w:t>
      </w:r>
      <w:r>
        <w:rPr>
          <w:rFonts w:hint="eastAsia" w:ascii="宋体" w:hAnsi="宋体" w:eastAsia="宋体"/>
          <w:sz w:val="21"/>
          <w:szCs w:val="21"/>
        </w:rPr>
        <w:t xml:space="preserve">贰佰万</w:t>
      </w:r>
      <w:r>
        <w:rPr>
          <w:rFonts w:hint="eastAsia" w:ascii="宋体" w:hAnsi="宋体" w:eastAsia="宋体"/>
          <w:sz w:val="21"/>
          <w:szCs w:val="21"/>
        </w:rPr>
        <w:t xml:space="preserve">元整（￥：</w:t>
      </w:r>
      <w:r>
        <w:rPr>
          <w:rFonts w:hint="eastAsia" w:ascii="宋体" w:hAnsi="宋体" w:eastAsia="宋体"/>
          <w:sz w:val="21"/>
          <w:szCs w:val="21"/>
        </w:rPr>
        <w:t xml:space="preserve">2000000</w:t>
      </w:r>
      <w:r>
        <w:rPr>
          <w:rFonts w:hint="eastAsia" w:ascii="宋体" w:hAnsi="宋体" w:eastAsia="宋体"/>
          <w:sz w:val="21"/>
          <w:szCs w:val="21"/>
        </w:rPr>
        <w:t xml:space="preserve">.00，含采购代理费）</w:t>
      </w:r>
      <w:bookmarkStart w:id="5" w:name="_Toc28359013"/>
      <w:r/>
      <w:bookmarkStart w:id="6" w:name="_Toc35393799"/>
      <w:r/>
      <w:bookmarkStart w:id="7" w:name="_Toc28359090"/>
      <w:r/>
      <w:bookmarkStart w:id="8" w:name="_Toc35393630"/>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5.最高限价：</w:t>
      </w:r>
      <w:r>
        <w:rPr>
          <w:rFonts w:hint="eastAsia" w:ascii="宋体" w:hAnsi="宋体" w:eastAsia="宋体"/>
          <w:sz w:val="21"/>
          <w:szCs w:val="21"/>
        </w:rPr>
        <w:t xml:space="preserve">人民币</w:t>
      </w:r>
      <w:r>
        <w:rPr>
          <w:rFonts w:hint="eastAsia" w:ascii="宋体" w:hAnsi="宋体" w:eastAsia="宋体"/>
          <w:sz w:val="21"/>
          <w:szCs w:val="21"/>
        </w:rPr>
        <w:t xml:space="preserve">壹佰玖拾柒万肆仟</w:t>
      </w:r>
      <w:r>
        <w:rPr>
          <w:rFonts w:hint="eastAsia" w:ascii="宋体" w:hAnsi="宋体" w:eastAsia="宋体"/>
          <w:sz w:val="21"/>
          <w:szCs w:val="21"/>
        </w:rPr>
        <w:t xml:space="preserve">元整（￥：</w:t>
      </w:r>
      <w:r>
        <w:rPr>
          <w:rFonts w:hint="eastAsia" w:ascii="宋体" w:hAnsi="宋体" w:eastAsia="宋体"/>
          <w:sz w:val="21"/>
          <w:szCs w:val="21"/>
        </w:rPr>
        <w:t xml:space="preserve">1974000</w:t>
      </w:r>
      <w:r>
        <w:rPr>
          <w:rFonts w:hint="eastAsia" w:ascii="宋体" w:hAnsi="宋体" w:eastAsia="宋体"/>
          <w:sz w:val="21"/>
          <w:szCs w:val="21"/>
        </w:rPr>
        <w:t xml:space="preserve">.00）</w:t>
      </w:r>
      <w:r>
        <w:rPr>
          <w:rFonts w:ascii="宋体" w:hAnsi="宋体" w:eastAsia="宋体"/>
          <w:sz w:val="21"/>
          <w:szCs w:val="21"/>
        </w:rPr>
      </w:r>
      <w:r/>
    </w:p>
    <w:p>
      <w:pPr>
        <w:pStyle w:val="641"/>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rPr>
          <w:rFonts w:hint="eastAsia" w:ascii="宋体" w:hAnsi="宋体" w:eastAsia="宋体"/>
          <w:sz w:val="21"/>
          <w:szCs w:val="21"/>
        </w:rPr>
        <w:t xml:space="preserve">2026年度全国创新药高质量发展大会活动策划执行和会务服务项目，详见采购文件第三章。</w:t>
      </w:r>
      <w:r>
        <w:rPr>
          <w:rFonts w:hint="eastAsia"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w:t>
      </w:r>
      <w:r>
        <w:rPr>
          <w:rFonts w:hint="eastAsia" w:ascii="宋体" w:hAnsi="宋体" w:eastAsia="宋体"/>
          <w:sz w:val="21"/>
          <w:szCs w:val="21"/>
        </w:rPr>
        <w:t xml:space="preserve">自合同签订之日起至2026年度全国创新药高质量发展大会项目服务全部完成（具体时间以采购单位通知为准）。</w:t>
      </w:r>
      <w:r>
        <w:rPr>
          <w:rFonts w:hint="eastAsia"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1"/>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w:t>
      </w:r>
      <w:r>
        <w:rPr>
          <w:rFonts w:hint="eastAsia" w:ascii="宋体" w:hAnsi="宋体" w:eastAsia="宋体"/>
          <w:sz w:val="21"/>
          <w:szCs w:val="21"/>
        </w:rPr>
        <w:t xml:space="preserve">事责任的能力；</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w:t>
      </w:r>
      <w:r>
        <w:rPr>
          <w:rFonts w:hint="eastAsia" w:ascii="宋体" w:hAnsi="宋体" w:eastAsia="宋体"/>
          <w:sz w:val="21"/>
          <w:szCs w:val="21"/>
        </w:rPr>
        <w:t xml:space="preserve">本项目专门面向中小企业采购，所属行业为</w:t>
      </w:r>
      <w:r>
        <w:rPr>
          <w:rFonts w:hint="eastAsia" w:ascii="宋体" w:hAnsi="宋体" w:eastAsia="宋体"/>
          <w:sz w:val="21"/>
          <w:szCs w:val="21"/>
        </w:rPr>
        <w:t xml:space="preserve">租赁和商务服务业</w:t>
      </w:r>
      <w:r>
        <w:rPr>
          <w:rFonts w:hint="eastAsia" w:ascii="宋体" w:hAnsi="宋体" w:eastAsia="宋体"/>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3.本项目的特定资格要求：</w:t>
      </w:r>
      <w:bookmarkEnd w:id="9"/>
      <w:r/>
      <w:bookmarkEnd w:id="10"/>
      <w:r/>
      <w:bookmarkStart w:id="11" w:name="_Toc35393789"/>
      <w:r/>
      <w:bookmarkStart w:id="12" w:name="_Toc28359001"/>
      <w:r/>
      <w:bookmarkStart w:id="13" w:name="_Toc28359015"/>
      <w:r/>
      <w:bookmarkStart w:id="14" w:name="_Toc35393801"/>
      <w:r/>
      <w:bookmarkStart w:id="15" w:name="_Toc35393632"/>
      <w:r/>
      <w:bookmarkStart w:id="16" w:name="_Toc28359092"/>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641"/>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60"/>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w:t>
      </w:r>
      <w:r>
        <w:rPr>
          <w:rFonts w:hint="eastAsia" w:ascii="宋体" w:hAnsi="宋体" w:eastAsia="宋体" w:cs="宋体"/>
          <w:bCs/>
          <w:sz w:val="21"/>
          <w:szCs w:val="21"/>
        </w:rPr>
        <w:t xml:space="preserve">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w:t>
      </w:r>
      <w:r>
        <w:rPr>
          <w:rFonts w:hint="eastAsia" w:ascii="宋体" w:hAnsi="宋体" w:eastAsia="宋体"/>
          <w:sz w:val="21"/>
          <w:szCs w:val="21"/>
        </w:rPr>
        <w:t xml:space="preserve">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w:t>
      </w:r>
      <w:r>
        <w:rPr>
          <w:rFonts w:hint="eastAsia" w:ascii="宋体" w:hAnsi="宋体" w:eastAsia="宋体"/>
          <w:sz w:val="21"/>
          <w:szCs w:val="21"/>
        </w:rPr>
        <w:t xml:space="preserve">统右下方智能客服图标进行咨询。</w:t>
      </w:r>
      <w:r>
        <w:rPr>
          <w:rFonts w:ascii="宋体" w:hAnsi="宋体" w:eastAsia="宋体"/>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60"/>
        <w:spacing w:line="360" w:lineRule="auto"/>
        <w:rPr>
          <w:rFonts w:ascii="宋体" w:hAnsi="宋体" w:eastAsia="宋体" w:cs="宋体"/>
          <w:bCs/>
          <w:sz w:val="21"/>
          <w:szCs w:val="21"/>
        </w:rPr>
      </w:pPr>
      <w:r/>
      <w:bookmarkStart w:id="17" w:name="_Toc28359016"/>
      <w:r/>
      <w:bookmarkStart w:id="18" w:name="_Toc35393802"/>
      <w:r/>
      <w:bookmarkStart w:id="19" w:name="_Toc28359093"/>
      <w:r/>
      <w:bookmarkStart w:id="20" w:name="_Toc3539363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2026年10月13日</w:t>
      </w:r>
      <w:r>
        <w:rPr>
          <w:rFonts w:hint="eastAsia" w:ascii="宋体" w:hAnsi="宋体" w:eastAsia="宋体" w:cs="宋体"/>
          <w:bCs/>
          <w:sz w:val="21"/>
          <w:szCs w:val="21"/>
          <w:u w:val="single"/>
        </w:rPr>
        <w:t xml:space="preserve">13</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60"/>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w:t>
      </w:r>
      <w:r>
        <w:rPr>
          <w:rFonts w:hint="eastAsia" w:ascii="宋体" w:hAnsi="宋体" w:eastAsia="宋体" w:cs="宋体"/>
          <w:b/>
          <w:bCs/>
          <w:sz w:val="21"/>
          <w:szCs w:val="21"/>
        </w:rPr>
        <w:t xml:space="preserve">素，如因供应商自身原因造成的电子响应文件上传不成功由供应商自行承担全部责任。</w:t>
      </w:r>
      <w:r>
        <w:rPr>
          <w:rFonts w:ascii="宋体" w:hAnsi="宋体" w:eastAsia="宋体" w:cs="宋体"/>
          <w:b/>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60"/>
        <w:spacing w:line="360" w:lineRule="auto"/>
        <w:rPr>
          <w:rFonts w:ascii="宋体" w:hAnsi="宋体" w:eastAsia="宋体" w:cs="宋体"/>
          <w:bCs/>
          <w:sz w:val="21"/>
          <w:szCs w:val="21"/>
        </w:rPr>
      </w:pPr>
      <w:r/>
      <w:bookmarkStart w:id="21" w:name="_Toc35393803"/>
      <w:r/>
      <w:bookmarkStart w:id="22" w:name="_Toc35393634"/>
      <w:r/>
      <w:bookmarkStart w:id="23" w:name="_Toc28359017"/>
      <w:r/>
      <w:bookmarkStart w:id="24" w:name="_Toc2835909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2026年10月13日</w:t>
      </w:r>
      <w:r>
        <w:rPr>
          <w:rFonts w:hint="eastAsia" w:ascii="宋体" w:hAnsi="宋体" w:eastAsia="宋体" w:cs="宋体"/>
          <w:bCs/>
          <w:sz w:val="21"/>
          <w:szCs w:val="21"/>
          <w:u w:val="single"/>
        </w:rPr>
        <w:t xml:space="preserve">13</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60"/>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w:t>
      </w:r>
      <w:r>
        <w:rPr>
          <w:rFonts w:hint="eastAsia" w:ascii="宋体" w:hAnsi="宋体" w:eastAsia="宋体"/>
          <w:b/>
          <w:sz w:val="21"/>
          <w:szCs w:val="21"/>
        </w:rPr>
        <w:t xml:space="preserve">子响应文件，如在系统规定的解密时间(响应文件提交截止时间后30分钟)内未能完成解密的视为放弃参与本项目。</w:t>
      </w:r>
      <w:r>
        <w:rPr>
          <w:rFonts w:ascii="宋体" w:hAnsi="宋体" w:eastAsia="宋体"/>
          <w:b/>
          <w:sz w:val="21"/>
          <w:szCs w:val="21"/>
        </w:rPr>
      </w:r>
      <w:r/>
    </w:p>
    <w:p>
      <w:pPr>
        <w:pStyle w:val="66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1"/>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1"/>
        <w:ind w:firstLine="420"/>
        <w:spacing w:line="360" w:lineRule="auto"/>
        <w:rPr>
          <w:rFonts w:ascii="宋体" w:hAnsi="宋体" w:eastAsia="宋体" w:cs="宋体"/>
          <w:sz w:val="21"/>
          <w:szCs w:val="21"/>
        </w:rPr>
      </w:pPr>
      <w:r/>
      <w:bookmarkStart w:id="27" w:name="_Toc28359095"/>
      <w:r/>
      <w:bookmarkStart w:id="28" w:name="_Toc35393636"/>
      <w:r/>
      <w:bookmarkStart w:id="29" w:name="_Toc35393805"/>
      <w:r/>
      <w:bookmarkStart w:id="30" w:name="_Toc28359018"/>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w:t>
      </w:r>
      <w:r>
        <w:rPr>
          <w:rFonts w:hint="eastAsia" w:ascii="宋体" w:hAnsi="宋体" w:eastAsia="宋体" w:cs="宋体"/>
          <w:sz w:val="21"/>
          <w:szCs w:val="21"/>
        </w:rPr>
        <w:t xml:space="preserve">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1"/>
        <w:ind w:firstLine="420"/>
        <w:jc w:val="left"/>
        <w:spacing w:line="360" w:lineRule="auto"/>
        <w:widowControl/>
        <w:rPr>
          <w:rFonts w:ascii="宋体" w:hAnsi="宋体" w:eastAsia="宋体" w:cs="宋体"/>
          <w:sz w:val="21"/>
          <w:szCs w:val="21"/>
        </w:rPr>
      </w:pPr>
      <w:r/>
      <w:bookmarkStart w:id="31" w:name="_Toc35393617"/>
      <w:r/>
      <w:bookmarkStart w:id="32" w:name="_Toc35393786"/>
      <w:r/>
      <w:bookmarkStart w:id="33" w:name="_Toc28359075"/>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称：苏州市医疗保障局</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苏州市姑苏区平泷路</w:t>
      </w:r>
      <w:r>
        <w:rPr>
          <w:rFonts w:ascii="宋体" w:hAnsi="宋体" w:eastAsia="宋体"/>
          <w:sz w:val="21"/>
          <w:szCs w:val="21"/>
        </w:rPr>
        <w:t xml:space="preserve">188</w:t>
      </w:r>
      <w:r>
        <w:rPr>
          <w:rFonts w:hint="eastAsia" w:ascii="宋体" w:hAnsi="宋体" w:eastAsia="宋体"/>
          <w:sz w:val="21"/>
          <w:szCs w:val="21"/>
        </w:rPr>
        <w:t xml:space="preserve">号</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t xml:space="preserve">王志瑾</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28359077"/>
      <w:r/>
      <w:bookmarkStart w:id="37" w:name="_Toc28359000"/>
      <w:r/>
      <w:bookmarkStart w:id="38" w:name="_Toc35393788"/>
      <w:r>
        <w:rPr>
          <w:rFonts w:ascii="宋体" w:hAnsi="宋体" w:eastAsia="宋体"/>
          <w:sz w:val="21"/>
          <w:szCs w:val="21"/>
        </w:rPr>
        <w:t xml:space="preserve">0512-</w:t>
      </w:r>
      <w:r>
        <w:rPr>
          <w:rFonts w:ascii="宋体" w:hAnsi="宋体" w:eastAsia="宋体"/>
          <w:sz w:val="21"/>
          <w:szCs w:val="21"/>
        </w:rPr>
        <w:t xml:space="preserve">68358065</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1"/>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w:t>
      </w:r>
      <w:r>
        <w:rPr>
          <w:rFonts w:hint="eastAsia" w:ascii="宋体" w:hAnsi="宋体" w:eastAsia="宋体"/>
          <w:color w:val="000000"/>
          <w:sz w:val="21"/>
          <w:szCs w:val="21"/>
        </w:rPr>
        <w:t xml:space="preserve">赵雷、</w:t>
      </w:r>
      <w:r>
        <w:rPr>
          <w:rFonts w:hint="eastAsia" w:ascii="宋体" w:hAnsi="宋体" w:eastAsia="宋体"/>
          <w:color w:val="000000"/>
          <w:sz w:val="21"/>
          <w:szCs w:val="21"/>
        </w:rPr>
        <w:t xml:space="preserve">于民峰</w:t>
      </w:r>
      <w:r>
        <w:rPr>
          <w:rFonts w:hint="eastAsia" w:ascii="宋体" w:hAnsi="宋体" w:eastAsia="宋体"/>
          <w:color w:val="000000"/>
          <w:sz w:val="21"/>
          <w:szCs w:val="21"/>
        </w:rPr>
        <w:t xml:space="preserve">、黄建伟</w:t>
      </w:r>
      <w:r>
        <w:rPr>
          <w:rFonts w:ascii="宋体" w:hAnsi="宋体" w:eastAsia="宋体"/>
          <w:sz w:val="21"/>
          <w:szCs w:val="21"/>
          <w:u w:val="single"/>
        </w:rPr>
      </w:r>
      <w:r/>
    </w:p>
    <w:p>
      <w:pPr>
        <w:pStyle w:val="641"/>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w:t>
      </w:r>
      <w:r>
        <w:rPr>
          <w:rFonts w:hint="eastAsia" w:ascii="宋体" w:hAnsi="宋体" w:eastAsia="宋体"/>
          <w:color w:val="000000"/>
          <w:sz w:val="21"/>
          <w:szCs w:val="21"/>
        </w:rPr>
        <w:t xml:space="preserve">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2"/>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60"/>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60"/>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60"/>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1"/>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3"/>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3"/>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58"/>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w:t>
      </w:r>
      <w:r>
        <w:rPr>
          <w:rFonts w:hint="eastAsia" w:hAnsi="宋体" w:eastAsia="宋体"/>
          <w:sz w:val="24"/>
          <w:szCs w:val="24"/>
        </w:rPr>
        <w:t xml:space="preserve">完成本项目所有服务内容、成本、人工、餐费、管理、保险、利润、税金、政策性文件规定及合同包含的所有风险、责任等各项应有费用。</w:t>
      </w:r>
      <w:r>
        <w:rPr>
          <w:rFonts w:hAnsi="宋体" w:eastAsia="宋体"/>
          <w:sz w:val="24"/>
          <w:szCs w:val="24"/>
        </w:rPr>
      </w:r>
      <w:r/>
    </w:p>
    <w:p>
      <w:pPr>
        <w:pStyle w:val="758"/>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58"/>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w:t>
      </w:r>
      <w:r>
        <w:rPr>
          <w:rFonts w:hint="eastAsia" w:hAnsi="宋体" w:eastAsia="宋体"/>
          <w:sz w:val="24"/>
          <w:szCs w:val="24"/>
        </w:rPr>
        <w:t xml:space="preserve">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58"/>
        <w:ind w:firstLine="480"/>
        <w:spacing w:line="276"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0、综合说明：</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w:t>
      </w:r>
      <w:r>
        <w:rPr>
          <w:rFonts w:hint="eastAsia" w:hAnsi="宋体" w:eastAsia="宋体"/>
          <w:sz w:val="24"/>
          <w:szCs w:val="24"/>
        </w:rPr>
        <w:t xml:space="preserve">方提供的配合；</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r>
      <w:r/>
    </w:p>
    <w:p>
      <w:pPr>
        <w:pStyle w:val="758"/>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0"/>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673"/>
        <w:jc w:val="center"/>
        <w:spacing w:line="360" w:lineRule="auto"/>
        <w:rPr>
          <w:rFonts w:hAnsi="宋体" w:eastAsia="宋体"/>
          <w:b/>
          <w:sz w:val="24"/>
          <w:szCs w:val="24"/>
        </w:rPr>
      </w:pPr>
      <w:r>
        <w:rPr>
          <w:rFonts w:hAnsi="宋体" w:eastAsia="宋体"/>
          <w:b/>
          <w:sz w:val="24"/>
          <w:szCs w:val="24"/>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项目</w:t>
      </w:r>
      <w:r>
        <w:rPr>
          <w:rFonts w:hint="eastAsia" w:ascii="宋体" w:hAnsi="宋体" w:eastAsia="宋体"/>
          <w:sz w:val="24"/>
          <w:szCs w:val="24"/>
        </w:rPr>
        <w:t xml:space="preserve">编号：</w:t>
      </w:r>
      <w:r>
        <w:rPr>
          <w:rFonts w:ascii="宋体" w:hAnsi="宋体" w:eastAsia="宋体"/>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1"/>
        <w:jc w:val="center"/>
        <w:spacing w:line="360" w:lineRule="auto"/>
        <w:rPr>
          <w:rFonts w:ascii="宋体" w:hAnsi="宋体" w:eastAsia="宋体"/>
          <w:b/>
          <w:sz w:val="24"/>
          <w:szCs w:val="24"/>
        </w:rPr>
      </w:pPr>
      <w:r>
        <w:rPr>
          <w:rFonts w:ascii="宋体" w:hAnsi="宋体" w:eastAsia="宋体"/>
          <w:b/>
          <w:sz w:val="24"/>
          <w:szCs w:val="24"/>
        </w:rPr>
      </w:r>
      <w:r/>
    </w:p>
    <w:p>
      <w:pPr>
        <w:pStyle w:val="641"/>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1"/>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1"/>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41"/>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654"/>
        <w:rPr>
          <w:rFonts w:hint="eastAsia"/>
        </w:rPr>
      </w:pPr>
      <w:r>
        <w:rPr>
          <w:rFonts w:hint="eastAsia"/>
        </w:rPr>
      </w:r>
      <w:r/>
    </w:p>
    <w:p>
      <w:pPr>
        <w:pStyle w:val="660"/>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2"/>
        <w:ind w:firstLine="0"/>
        <w:jc w:val="center"/>
        <w:rPr>
          <w:b/>
          <w:lang w:val="zh-CN"/>
        </w:rPr>
      </w:pPr>
      <w:r>
        <w:rPr>
          <w:rFonts w:hint="eastAsia"/>
          <w:b/>
        </w:rPr>
        <w:t xml:space="preserve">磋商报价分析表</w:t>
      </w:r>
      <w:r>
        <w:rPr>
          <w:b/>
          <w:lang w:val="zh-CN"/>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序号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t xml:space="preserve">/</w:t>
            </w: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单价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641"/>
              <w:spacing w:line="400" w:lineRule="exact"/>
              <w:rPr>
                <w:rFonts w:hint="eastAsia" w:ascii="宋体" w:hAnsi="宋体" w:eastAsia="宋体"/>
                <w:sz w:val="24"/>
                <w:szCs w:val="24"/>
              </w:rPr>
            </w:pPr>
            <w:r>
              <w:rPr>
                <w:rFonts w:hint="eastAsia" w:ascii="宋体" w:hAnsi="宋体" w:eastAsia="宋体"/>
                <w:sz w:val="24"/>
                <w:szCs w:val="24"/>
              </w:rPr>
              <w:t xml:space="preserve">人民币（</w:t>
            </w:r>
            <w:r>
              <w:rPr>
                <w:rFonts w:hint="eastAsia" w:ascii="宋体" w:hAnsi="宋体" w:eastAsia="宋体"/>
                <w:sz w:val="24"/>
                <w:szCs w:val="24"/>
              </w:rPr>
              <w:t xml:space="preserve">小写） </w:t>
            </w:r>
            <w:r>
              <w:rPr>
                <w:rFonts w:ascii="宋体" w:hAnsi="宋体" w:eastAsia="宋体"/>
                <w:sz w:val="24"/>
                <w:szCs w:val="24"/>
              </w:rPr>
              <w:t xml:space="preserve">      </w:t>
            </w:r>
            <w:r>
              <w:rPr>
                <w:rFonts w:hint="eastAsia" w:ascii="宋体" w:hAnsi="宋体" w:eastAsia="宋体"/>
                <w:sz w:val="24"/>
                <w:szCs w:val="24"/>
              </w:rPr>
              <w:t xml:space="preserve">元</w:t>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641"/>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641"/>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1"/>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注：磋商响应报价明细表包含响应单位各项成本核算和投入的成本明细，合计金额应与开标一览表金额一致；否则，以开标一览表为准。</w:t>
      </w:r>
      <w:r/>
    </w:p>
    <w:p>
      <w:pPr>
        <w:pStyle w:val="747"/>
        <w:rPr>
          <w:rFonts w:ascii="宋体" w:hAnsi="宋体"/>
        </w:rPr>
      </w:pPr>
      <w:r>
        <w:rPr>
          <w:rFonts w:ascii="宋体" w:hAnsi="宋体"/>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708"/>
        <w:ind w:left="0" w:firstLine="482"/>
        <w:spacing w:line="240" w:lineRule="auto"/>
        <w:rPr>
          <w:rFonts w:ascii="宋体" w:hAnsi="宋体" w:eastAsia="宋体" w:cs="宋体"/>
          <w:b/>
          <w:bCs/>
        </w:rPr>
      </w:pPr>
      <w:r>
        <w:rPr>
          <w:rFonts w:ascii="宋体" w:hAnsi="宋体" w:eastAsia="宋体" w:cs="宋体"/>
          <w:b/>
          <w:bCs/>
        </w:rPr>
      </w:r>
      <w:r/>
    </w:p>
    <w:p>
      <w:pPr>
        <w:pStyle w:val="641"/>
        <w:spacing w:line="360" w:lineRule="auto"/>
        <w:rPr>
          <w:rFonts w:ascii="宋体" w:hAnsi="宋体" w:eastAsia="宋体"/>
          <w:sz w:val="24"/>
          <w:szCs w:val="24"/>
        </w:rPr>
      </w:pPr>
      <w:r>
        <w:rPr>
          <w:rFonts w:ascii="宋体" w:hAnsi="宋体" w:eastAsia="宋体"/>
          <w:sz w:val="24"/>
          <w:szCs w:val="24"/>
        </w:rPr>
      </w:r>
      <w:r/>
    </w:p>
    <w:p>
      <w:pPr>
        <w:pStyle w:val="660"/>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660"/>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1"/>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bl>
    <w:p>
      <w:pPr>
        <w:pStyle w:val="641"/>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w:t>
      </w:r>
      <w:r>
        <w:rPr>
          <w:rFonts w:hint="eastAsia" w:ascii="宋体" w:hAnsi="宋体" w:eastAsia="宋体"/>
          <w:bCs/>
          <w:sz w:val="24"/>
          <w:szCs w:val="24"/>
        </w:rPr>
        <w:t xml:space="preserve">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60"/>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60"/>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bl>
    <w:p>
      <w:pPr>
        <w:pStyle w:val="747"/>
        <w:rPr>
          <w:rFonts w:ascii="宋体" w:hAnsi="宋体"/>
        </w:rPr>
      </w:pPr>
      <w:r>
        <w:rPr>
          <w:rFonts w:hint="eastAsia" w:ascii="宋体" w:hAnsi="宋体"/>
        </w:rPr>
        <w:t xml:space="preserve">注：1、响应人应对照采购文件服务要求等要求，所投</w:t>
      </w:r>
      <w:r>
        <w:rPr>
          <w:rFonts w:hint="eastAsia" w:ascii="宋体" w:hAnsi="宋体"/>
        </w:rPr>
        <w:t xml:space="preserve">标的物与采购文件的规定有偏离的，应在此表中申明与设计要求条文的偏差和例外。</w:t>
      </w:r>
      <w:r>
        <w:rPr>
          <w:rFonts w:ascii="宋体" w:hAnsi="宋体"/>
        </w:rPr>
      </w:r>
      <w:r/>
    </w:p>
    <w:p>
      <w:pPr>
        <w:pStyle w:val="747"/>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1"/>
        <w:spacing w:line="360" w:lineRule="auto"/>
        <w:rPr>
          <w:rFonts w:ascii="宋体" w:hAnsi="宋体" w:eastAsia="宋体"/>
          <w:sz w:val="24"/>
          <w:szCs w:val="24"/>
        </w:rPr>
      </w:pPr>
      <w:r>
        <w:rPr>
          <w:rFonts w:ascii="宋体"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60"/>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3"/>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8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pStyle w:val="64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641"/>
        <w:ind w:firstLine="480"/>
        <w:spacing w:line="360" w:lineRule="auto"/>
        <w:rPr>
          <w:rFonts w:ascii="宋体" w:hAnsi="宋体" w:eastAsia="宋体"/>
          <w:sz w:val="24"/>
          <w:szCs w:val="24"/>
        </w:rPr>
      </w:pPr>
      <w:r>
        <w:rPr>
          <w:rFonts w:ascii="宋体"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4"/>
        <w:rPr>
          <w:rFonts w:hint="eastAsia"/>
        </w:rPr>
      </w:pPr>
      <w:r>
        <w:rPr>
          <w:rFonts w:hint="eastAsia"/>
        </w:rPr>
      </w:r>
      <w:r/>
    </w:p>
    <w:p>
      <w:pPr>
        <w:pStyle w:val="643"/>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91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41"/>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1"/>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注：响应单位应提供合同复印件在表后。</w:t>
      </w:r>
      <w:r/>
    </w:p>
    <w:p>
      <w:pPr>
        <w:pStyle w:val="641"/>
        <w:spacing w:before="120" w:line="360" w:lineRule="auto"/>
        <w:rPr>
          <w:rFonts w:ascii="宋体" w:hAnsi="宋体" w:eastAsia="宋体"/>
          <w:sz w:val="24"/>
          <w:szCs w:val="24"/>
        </w:rPr>
      </w:pPr>
      <w:r>
        <w:rPr>
          <w:rFonts w:ascii="宋体"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3"/>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660"/>
        <w:ind w:firstLine="0"/>
        <w:jc w:val="both"/>
        <w:spacing w:line="360" w:lineRule="auto"/>
        <w:rPr>
          <w:rFonts w:ascii="宋体" w:hAnsi="宋体" w:eastAsia="宋体"/>
          <w:b/>
          <w:szCs w:val="24"/>
        </w:rPr>
      </w:pPr>
      <w:r>
        <w:rPr>
          <w:rFonts w:ascii="宋体" w:hAnsi="宋体" w:eastAsia="宋体"/>
          <w:b/>
          <w:szCs w:val="24"/>
        </w:rPr>
      </w:r>
      <w:r/>
    </w:p>
    <w:p>
      <w:pPr>
        <w:pStyle w:val="660"/>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60"/>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660"/>
        <w:spacing w:line="360" w:lineRule="auto"/>
        <w:rPr>
          <w:rFonts w:ascii="宋体" w:hAnsi="宋体" w:eastAsia="宋体"/>
          <w:szCs w:val="24"/>
        </w:rPr>
      </w:pPr>
      <w:r>
        <w:rPr>
          <w:rFonts w:ascii="宋体" w:hAnsi="宋体" w:eastAsia="宋体"/>
          <w:szCs w:val="24"/>
        </w:rPr>
      </w:r>
      <w:r/>
    </w:p>
    <w:p>
      <w:pPr>
        <w:pStyle w:val="660"/>
        <w:spacing w:line="360" w:lineRule="auto"/>
        <w:rPr>
          <w:rFonts w:ascii="宋体" w:hAnsi="宋体" w:eastAsia="宋体"/>
          <w:szCs w:val="24"/>
        </w:rPr>
      </w:pPr>
      <w:r>
        <w:rPr>
          <w:rFonts w:ascii="宋体" w:hAnsi="宋体" w:eastAsia="宋体"/>
          <w:szCs w:val="24"/>
        </w:rPr>
      </w:r>
      <w:r/>
    </w:p>
    <w:p>
      <w:pPr>
        <w:pStyle w:val="758"/>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0"/>
        <w:ind w:left="3507" w:firstLine="1145"/>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60"/>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60"/>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营业面积（含厂房面</w:t>
            </w:r>
            <w:r>
              <w:rPr>
                <w:rFonts w:hint="eastAsia" w:ascii="宋体" w:hAnsi="宋体" w:eastAsia="宋体"/>
                <w:szCs w:val="24"/>
              </w:rPr>
              <w:t xml:space="preserve">积）</w:t>
            </w:r>
            <w:r>
              <w:rPr>
                <w:rFonts w:ascii="宋体" w:hAnsi="宋体" w:eastAsia="宋体"/>
                <w:szCs w:val="24"/>
              </w:rPr>
            </w:r>
            <w:r/>
          </w:p>
        </w:tc>
        <w:tc>
          <w:tcPr>
            <w:tcW w:w="2005"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6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6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bl>
    <w:p>
      <w:pPr>
        <w:pStyle w:val="660"/>
        <w:ind w:firstLine="0"/>
        <w:spacing w:line="360" w:lineRule="auto"/>
        <w:rPr>
          <w:rFonts w:ascii="宋体" w:hAnsi="宋体" w:eastAsia="宋体"/>
          <w:szCs w:val="24"/>
        </w:rPr>
      </w:pP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1"/>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1"/>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1"/>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0"/>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80"/>
        <w:spacing w:line="360" w:lineRule="auto"/>
        <w:rPr>
          <w:rFonts w:hAnsi="宋体" w:eastAsia="宋体" w:cs="宋体"/>
          <w:sz w:val="24"/>
          <w:szCs w:val="24"/>
          <w:lang w:val="zh-CN"/>
        </w:rPr>
      </w:pP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租赁和商务服务业</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租赁和商务服务业</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0"/>
        <w:spacing w:line="360" w:lineRule="auto"/>
        <w:rPr>
          <w:rFonts w:hAnsi="宋体" w:eastAsia="宋体"/>
          <w:sz w:val="24"/>
          <w:szCs w:val="24"/>
        </w:rPr>
      </w:pPr>
      <w:r>
        <w:rPr>
          <w:rFonts w:hAnsi="宋体" w:eastAsia="宋体"/>
          <w:sz w:val="24"/>
          <w:szCs w:val="24"/>
        </w:rPr>
        <w:t xml:space="preserve">法定代表人或代理人：（签字或盖章）</w:t>
      </w:r>
      <w:r/>
    </w:p>
    <w:p>
      <w:pPr>
        <w:pStyle w:val="641"/>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4"/>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w:t>
      </w:r>
      <w:r>
        <w:rPr>
          <w:rFonts w:hint="eastAsia" w:ascii="宋体" w:hAnsi="宋体" w:eastAsia="宋体"/>
          <w:sz w:val="24"/>
          <w:szCs w:val="24"/>
        </w:rPr>
        <w:t xml:space="preserve">声明函</w:t>
      </w:r>
      <w:r/>
    </w:p>
    <w:p>
      <w:pPr>
        <w:pStyle w:val="641"/>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2"/>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t xml:space="preserve">单位名称（盖章）：</w:t>
      </w:r>
      <w:r/>
    </w:p>
    <w:p>
      <w:pPr>
        <w:pStyle w:val="702"/>
        <w:ind w:firstLine="480"/>
        <w:spacing w:before="0" w:beforeAutospacing="0" w:after="0" w:afterAutospacing="0" w:line="360" w:lineRule="auto"/>
        <w:rPr>
          <w:rFonts w:hint="eastAsia"/>
        </w:rPr>
      </w:pPr>
      <w:r>
        <w:rPr>
          <w:rFonts w:hint="eastAsia"/>
        </w:rPr>
        <w:t xml:space="preserve">日期：</w:t>
      </w:r>
      <w:r/>
    </w:p>
    <w:p>
      <w:pPr>
        <w:pStyle w:val="702"/>
        <w:ind w:firstLine="480"/>
        <w:spacing w:before="0" w:beforeAutospacing="0" w:after="0" w:afterAutospacing="0" w:line="360" w:lineRule="auto"/>
        <w:rPr>
          <w:rFonts w:hint="eastAsia"/>
        </w:rPr>
      </w:pPr>
      <w:r>
        <w:rPr>
          <w:rFonts w:hint="eastAsia"/>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3"/>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1"/>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1"/>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1"/>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1"/>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1"/>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1"/>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1"/>
        <w:ind w:firstLine="422"/>
        <w:spacing w:line="360" w:lineRule="auto"/>
        <w:rPr>
          <w:rFonts w:hint="eastAsia" w:ascii="宋体" w:hAnsi="宋体" w:eastAsia="宋体"/>
          <w:b/>
          <w:color w:val="000000"/>
          <w:sz w:val="24"/>
          <w:szCs w:val="24"/>
        </w:rPr>
      </w:pPr>
      <w:r/>
      <w:bookmarkStart w:id="44" w:name="OLE_LINK23"/>
      <w:r/>
      <w:bookmarkStart w:id="45" w:name="OLE_LINK24"/>
      <w:r/>
      <w:bookmarkStart w:id="46" w:name="OLE_LINK26"/>
      <w:r/>
      <w:bookmarkStart w:id="47" w:name="OLE_LINK21"/>
      <w:r/>
      <w:bookmarkStart w:id="48" w:name="OLE_LINK30"/>
      <w:r/>
      <w:bookmarkStart w:id="49" w:name="OLE_LINK29"/>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根据采购文件第三章要求，当政府采购评审中出现供应商“响应报价低于全部通过符合性审查供应商响应报价平均值50%的”或者“响应报价低于通过符合性审查的次低报价供应商响应报价50%的”或者</w:t>
      </w:r>
      <w:r>
        <w:rPr>
          <w:rFonts w:hint="eastAsia" w:ascii="宋体" w:hAnsi="宋体" w:eastAsia="宋体"/>
          <w:b/>
          <w:color w:val="000000"/>
          <w:sz w:val="24"/>
          <w:szCs w:val="24"/>
          <w:lang w:val="zh-CN"/>
        </w:rPr>
        <w:t xml:space="preserve">“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1"/>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1"/>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8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0"/>
        <w:spacing w:line="360" w:lineRule="auto"/>
        <w:rPr>
          <w:rFonts w:hAnsi="宋体" w:eastAsia="宋体"/>
          <w:sz w:val="24"/>
          <w:szCs w:val="24"/>
        </w:rPr>
      </w:pPr>
      <w:r>
        <w:rPr>
          <w:rFonts w:hAnsi="宋体" w:eastAsia="宋体"/>
          <w:sz w:val="24"/>
          <w:szCs w:val="24"/>
        </w:rPr>
        <w:t xml:space="preserve">法定代表人或代理人：（签字或盖章）</w:t>
      </w:r>
      <w:r/>
    </w:p>
    <w:p>
      <w:pPr>
        <w:pStyle w:val="641"/>
        <w:spacing w:line="360" w:lineRule="auto"/>
        <w:rPr>
          <w:rFonts w:ascii="宋体" w:hAnsi="宋体" w:eastAsia="宋体"/>
          <w:sz w:val="24"/>
          <w:szCs w:val="24"/>
        </w:rPr>
      </w:pPr>
      <w:r>
        <w:rPr>
          <w:rFonts w:ascii="宋体" w:hAnsi="宋体" w:eastAsia="宋体"/>
          <w:sz w:val="24"/>
          <w:szCs w:val="24"/>
        </w:rPr>
        <w:t xml:space="preserve">日期：      年</w:t>
      </w:r>
      <w:r>
        <w:rPr>
          <w:rFonts w:ascii="宋体" w:hAnsi="宋体" w:eastAsia="宋体"/>
          <w:sz w:val="24"/>
          <w:szCs w:val="24"/>
        </w:rPr>
        <w:t xml:space="preserve">    月    日</w:t>
      </w:r>
      <w:r/>
    </w:p>
    <w:p>
      <w:pPr>
        <w:pStyle w:val="641"/>
        <w:ind w:right="-200"/>
        <w:jc w:val="center"/>
        <w:spacing w:line="360" w:lineRule="auto"/>
        <w:rPr>
          <w:rFonts w:ascii="宋体" w:hAnsi="宋体" w:eastAsia="宋体"/>
          <w:sz w:val="24"/>
          <w:szCs w:val="24"/>
        </w:rPr>
      </w:pPr>
      <w:r>
        <w:rPr>
          <w:rFonts w:ascii="宋体" w:hAnsi="宋体" w:eastAsia="宋体"/>
          <w:sz w:val="24"/>
          <w:szCs w:val="24"/>
        </w:rPr>
      </w:r>
      <w:r/>
    </w:p>
    <w:p>
      <w:pPr>
        <w:pStyle w:val="643"/>
        <w:rPr>
          <w:rFonts w:hint="eastAsia" w:eastAsia="宋体" w:cs="宋体"/>
          <w:sz w:val="24"/>
          <w:shd w:val="clear" w:color="auto" w:fill="ffffff"/>
        </w:rPr>
      </w:pPr>
      <w:r>
        <w:rPr>
          <w:rFonts w:hint="eastAsia" w:eastAsia="宋体"/>
          <w:sz w:val="24"/>
          <w:szCs w:val="24"/>
        </w:rPr>
        <w:br w:type="page" w:clear="all"/>
      </w:r>
      <w:r>
        <w:rPr>
          <w:rFonts w:hint="eastAsia" w:eastAsia="宋体" w:cs="宋体"/>
          <w:b w:val="0"/>
          <w:sz w:val="24"/>
          <w:shd w:val="clear" w:color="auto" w:fill="ffffff"/>
        </w:rPr>
        <w:t xml:space="preserve">11、</w:t>
      </w:r>
      <w:r>
        <w:rPr>
          <w:rFonts w:hint="eastAsia" w:eastAsia="宋体" w:cs="宋体"/>
          <w:sz w:val="24"/>
          <w:shd w:val="clear" w:color="auto" w:fill="ffffff"/>
        </w:rPr>
        <w:t xml:space="preserve">关于符合本国产品标准的声明函</w:t>
      </w:r>
      <w:r/>
    </w:p>
    <w:p>
      <w:pPr>
        <w:pStyle w:val="641"/>
        <w:ind w:firstLine="200"/>
        <w:spacing w:line="360" w:lineRule="auto"/>
        <w:rPr>
          <w:rFonts w:hint="eastAsia" w:ascii="宋体" w:hAnsi="宋体" w:eastAsia="宋体" w:cs="宋体"/>
          <w:sz w:val="24"/>
          <w:szCs w:val="24"/>
        </w:rPr>
      </w:pPr>
      <w:r/>
      <w:bookmarkStart w:id="50" w:name="OLE_LINK5"/>
      <w:r/>
      <w:bookmarkStart w:id="51" w:name="OLE_LINK6"/>
      <w:r>
        <w:rPr>
          <w:rFonts w:hint="eastAsia" w:ascii="宋体" w:hAnsi="宋体" w:eastAsia="宋体" w:cs="宋体"/>
          <w:sz w:val="24"/>
          <w:szCs w:val="24"/>
        </w:rPr>
      </w:r>
      <w:r/>
    </w:p>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50"/>
      <w:r/>
      <w:bookmarkEnd w:id="51"/>
      <w:r>
        <w:rPr>
          <w:rFonts w:hint="eastAsia" w:ascii="宋体" w:hAnsi="宋体" w:eastAsia="宋体" w:cs="宋体"/>
          <w:sz w:val="24"/>
          <w:szCs w:val="24"/>
        </w:rPr>
      </w:r>
      <w:r/>
    </w:p>
    <w:p>
      <w:pPr>
        <w:pStyle w:val="641"/>
        <w:rPr>
          <w:rFonts w:hint="eastAsia" w:ascii="宋体" w:hAnsi="宋体" w:eastAsia="宋体" w:cs="宋体"/>
          <w:sz w:val="24"/>
          <w:szCs w:val="24"/>
        </w:rPr>
      </w:pPr>
      <w:r>
        <w:rPr>
          <w:rFonts w:hint="eastAsia" w:ascii="宋体" w:hAnsi="宋体" w:eastAsia="宋体" w:cs="宋体"/>
          <w:sz w:val="24"/>
          <w:szCs w:val="24"/>
        </w:rPr>
      </w:r>
      <w:r/>
    </w:p>
    <w:p>
      <w:pPr>
        <w:pStyle w:val="702"/>
        <w:ind w:firstLine="480"/>
        <w:jc w:val="both"/>
        <w:spacing w:beforeAutospacing="0" w:afterAutospacing="0" w:line="360" w:lineRule="auto"/>
        <w:rPr>
          <w:rFonts w:hint="eastAsia"/>
          <w:color w:val="000000"/>
        </w:rPr>
      </w:pPr>
      <w:r/>
      <w:bookmarkStart w:id="52" w:name="OLE_LINK12"/>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2"/>
        <w:ind w:firstLine="480"/>
        <w:jc w:val="both"/>
        <w:spacing w:beforeAutospacing="0" w:afterAutospacing="0" w:line="360" w:lineRule="auto"/>
        <w:rPr>
          <w:rFonts w:hint="eastAsia"/>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1181735</wp:posOffset>
                </wp:positionH>
                <wp:positionV relativeFrom="paragraph">
                  <wp:posOffset>628650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93.0pt;mso-position-horizontal:absolute;mso-position-vertical-relative:text;margin-top:49.5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126365</wp:posOffset>
                </wp:positionH>
                <wp:positionV relativeFrom="paragraph">
                  <wp:posOffset>626745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pt;mso-position-horizontal:absolute;mso-position-vertical-relative:text;margin-top:49.3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4161790</wp:posOffset>
                </wp:positionH>
                <wp:positionV relativeFrom="paragraph">
                  <wp:posOffset>358140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27.7pt;mso-position-horizontal:absolute;mso-position-vertical-relative:text;margin-top:2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3112770</wp:posOffset>
                </wp:positionH>
                <wp:positionV relativeFrom="paragraph">
                  <wp:posOffset>358140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45.1pt;mso-position-horizontal:absolute;mso-position-vertical-relative:text;margin-top:28.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1887220</wp:posOffset>
                </wp:positionH>
                <wp:positionV relativeFrom="paragraph">
                  <wp:posOffset>396240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48.6pt;mso-position-horizontal:absolute;mso-position-vertical-relative:text;margin-top:31.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92.0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712"/>
          <w:rFonts w:hint="eastAsia"/>
          <w:color w:val="000000"/>
          <w:u w:val="single"/>
          <w:shd w:val="clear" w:color="auto" w:fill="ffffff"/>
        </w:rPr>
        <w:t xml:space="preserve">（产品名称1）</w:t>
      </w:r>
      <w:r>
        <w:rPr>
          <w:rStyle w:val="712"/>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712"/>
          <w:rFonts w:hint="eastAsia"/>
          <w:color w:val="000000"/>
          <w:u w:val="single"/>
          <w:shd w:val="clear" w:color="auto" w:fill="ffffff"/>
        </w:rPr>
        <w:t xml:space="preserve">（厂名）</w:t>
      </w:r>
      <w:r>
        <w:rPr>
          <w:rStyle w:val="712"/>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712"/>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712"/>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712"/>
          <w:rFonts w:hint="eastAsia"/>
          <w:color w:val="000000"/>
          <w:u w:val="single"/>
          <w:shd w:val="clear" w:color="auto" w:fill="ffffff"/>
        </w:rPr>
        <w:t xml:space="preserve">（规定比例）</w:t>
      </w:r>
      <w:r>
        <w:rPr>
          <w:rStyle w:val="712"/>
          <w:rFonts w:hint="eastAsia"/>
          <w:color w:val="000000"/>
          <w:shd w:val="clear" w:color="auto" w:fill="ffffff"/>
          <w:vertAlign w:val="superscript"/>
        </w:rPr>
        <w:t xml:space="preserve">3</w:t>
      </w:r>
      <w:r>
        <w:rPr>
          <w:rFonts w:hint="eastAsia"/>
          <w:color w:val="000000"/>
          <w:shd w:val="clear" w:color="auto" w:fill="ffffff"/>
        </w:rPr>
        <w:t xml:space="preserve">。</w:t>
      </w:r>
      <w:r>
        <w:rPr>
          <w:rStyle w:val="712"/>
          <w:rFonts w:hint="eastAsia"/>
          <w:color w:val="000000"/>
          <w:u w:val="single"/>
          <w:shd w:val="clear" w:color="auto" w:fill="ffffff"/>
        </w:rPr>
        <w:t xml:space="preserve">（产品名称1）</w:t>
      </w:r>
      <w:r>
        <w:rPr>
          <w:rFonts w:hint="eastAsia"/>
          <w:color w:val="000000"/>
          <w:shd w:val="clear" w:color="auto" w:fill="ffffff"/>
        </w:rPr>
        <w:t xml:space="preserve">的</w:t>
      </w:r>
      <w:r>
        <w:rPr>
          <w:rStyle w:val="712"/>
          <w:rFonts w:hint="eastAsia"/>
          <w:color w:val="000000"/>
          <w:u w:val="single"/>
          <w:shd w:val="clear" w:color="auto" w:fill="ffffff"/>
        </w:rPr>
        <w:t xml:space="preserve">（关键组件）</w:t>
      </w:r>
      <w:r>
        <w:rPr>
          <w:rStyle w:val="712"/>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712"/>
          <w:rFonts w:hint="eastAsia"/>
          <w:color w:val="000000"/>
          <w:u w:val="single"/>
          <w:shd w:val="clear" w:color="auto" w:fill="ffffff"/>
        </w:rPr>
        <w:t xml:space="preserve">（产品名称1）</w:t>
      </w:r>
      <w:r>
        <w:rPr>
          <w:rFonts w:hint="eastAsia"/>
          <w:color w:val="000000"/>
          <w:shd w:val="clear" w:color="auto" w:fill="ffffff"/>
        </w:rPr>
        <w:t xml:space="preserve">的</w:t>
      </w:r>
      <w:r>
        <w:rPr>
          <w:rStyle w:val="712"/>
          <w:rFonts w:hint="eastAsia"/>
          <w:color w:val="000000"/>
          <w:u w:val="single"/>
          <w:shd w:val="clear" w:color="auto" w:fill="ffffff"/>
        </w:rPr>
        <w:t xml:space="preserve">（关键工序）</w:t>
      </w:r>
      <w:r>
        <w:rPr>
          <w:rStyle w:val="712"/>
          <w:rFonts w:hint="eastAsia"/>
          <w:color w:val="000000"/>
          <w:shd w:val="clear" w:color="auto" w:fill="ffffff"/>
          <w:vertAlign w:val="superscript"/>
        </w:rPr>
        <w:t xml:space="preserve">5</w:t>
      </w:r>
      <w:r>
        <w:rPr>
          <w:rFonts w:hint="eastAsia"/>
          <w:color w:val="000000"/>
          <w:shd w:val="clear" w:color="auto" w:fill="ffffff"/>
        </w:rPr>
        <w:t xml:space="preserve">在中国</w:t>
      </w:r>
      <w:r>
        <w:rPr>
          <w:rFonts w:hint="eastAsia"/>
          <w:color w:val="000000"/>
          <w:shd w:val="clear" w:color="auto" w:fill="ffffff"/>
        </w:rPr>
        <w:t xml:space="preserve">境内完成。</w:t>
      </w:r>
      <w:r>
        <w:rPr>
          <w:rFonts w:hint="eastAsia"/>
          <w:color w:val="000000"/>
        </w:rPr>
      </w:r>
      <w:r/>
    </w:p>
    <w:p>
      <w:pPr>
        <w:pStyle w:val="702"/>
        <w:ind w:firstLine="480"/>
        <w:jc w:val="both"/>
        <w:spacing w:beforeAutospacing="0" w:afterAutospacing="0" w:line="360" w:lineRule="auto"/>
        <w:rPr>
          <w:rFonts w:hint="eastAsia"/>
          <w:color w:val="000000"/>
          <w:shd w:val="clear" w:color="auto" w:fill="ffffff"/>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723265</wp:posOffset>
                </wp:positionH>
                <wp:positionV relativeFrom="paragraph">
                  <wp:posOffset>639445</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56.9pt;mso-position-horizontal:absolute;mso-position-vertical-relative:text;margin-top:50.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-235584</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5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3778250</wp:posOffset>
                </wp:positionH>
                <wp:positionV relativeFrom="paragraph">
                  <wp:posOffset>330835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97.5pt;mso-position-horizontal:absolute;mso-position-vertical-relative:text;margin-top:26.0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2655570</wp:posOffset>
                </wp:positionH>
                <wp:positionV relativeFrom="paragraph">
                  <wp:posOffset>330835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09.1pt;mso-position-horizontal:absolute;mso-position-vertical-relative:text;margin-top:26.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1567180</wp:posOffset>
                </wp:positionH>
                <wp:positionV relativeFrom="paragraph">
                  <wp:posOffset>330835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123.4pt;mso-position-horizontal:absolute;mso-position-vertical-relative:text;margin-top:26.0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（规定比例）</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3" w:name="OLE_LINK11"/>
      <w:r>
        <w:rPr>
          <w:rFonts w:hint="eastAsia" w:ascii="宋体" w:hAnsi="宋体" w:eastAsia="宋体" w:cs="宋体"/>
          <w:sz w:val="24"/>
          <w:szCs w:val="24"/>
          <w:lang w:val="zh-CN"/>
        </w:rPr>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3"/>
      <w:r>
        <w:rPr>
          <w:rFonts w:hint="eastAsia" w:ascii="宋体" w:hAnsi="宋体" w:eastAsia="宋体" w:cs="宋体"/>
          <w:sz w:val="24"/>
          <w:szCs w:val="24"/>
          <w:lang w:val="zh-CN"/>
        </w:rPr>
        <w:t xml:space="preserve">。</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02"/>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w:t xml:space="preserve">6.用斜线划除的地方无需填写。</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1"/>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pStyle w:val="641"/>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2"/>
      <w:r>
        <w:rPr>
          <w:rFonts w:hint="eastAsia" w:ascii="宋体" w:hAnsi="宋体" w:eastAsia="宋体" w:cs="宋体"/>
          <w:sz w:val="24"/>
          <w:szCs w:val="24"/>
          <w:lang w:val="zh-CN"/>
        </w:rPr>
      </w:r>
      <w:r/>
    </w:p>
    <w:p>
      <w:pPr>
        <w:pStyle w:val="654"/>
        <w:rPr>
          <w:rFonts w:hint="eastAsia" w:ascii="宋体" w:hAnsi="宋体" w:eastAsia="宋体" w:cs="宋体"/>
          <w:b/>
          <w:sz w:val="24"/>
          <w:shd w:val="clear" w:color="auto" w:fill="ffffff"/>
        </w:rPr>
        <w:outlineLvl w:val="1"/>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12、关于本国产品成本占比的声明函（采购项目含有多种产品时适用）</w:t>
      </w:r>
      <w:r/>
    </w:p>
    <w:p>
      <w:pPr>
        <w:pStyle w:val="641"/>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1"/>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pStyle w:val="641"/>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w:t>
      </w:r>
      <w:r>
        <w:rPr>
          <w:rFonts w:hint="eastAsia" w:ascii="宋体" w:hAnsi="宋体" w:eastAsia="宋体" w:cs="宋体"/>
          <w:sz w:val="24"/>
          <w:szCs w:val="24"/>
          <w:lang w:val="zh-CN"/>
        </w:rPr>
        <w:t xml:space="preserve">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pStyle w:val="641"/>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1"/>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pStyle w:val="641"/>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641"/>
        <w:rPr>
          <w:rFonts w:hint="eastAsia" w:ascii="宋体" w:hAnsi="宋体" w:eastAsia="宋体" w:cs="宋体"/>
          <w:sz w:val="24"/>
        </w:rPr>
      </w:pPr>
      <w:r>
        <w:rPr>
          <w:rFonts w:hint="eastAsia" w:ascii="宋体" w:hAnsi="宋体" w:eastAsia="宋体" w:cs="宋体"/>
          <w:sz w:val="24"/>
        </w:rPr>
        <w:t xml:space="preserve">日 期：       年     月     日</w:t>
      </w:r>
      <w:r/>
    </w:p>
    <w:p>
      <w:pPr>
        <w:pStyle w:val="641"/>
        <w:ind w:right="-200"/>
        <w:spacing w:line="360" w:lineRule="auto"/>
        <w:rPr>
          <w:rFonts w:hint="eastAsia" w:ascii="宋体" w:hAnsi="宋体" w:eastAsia="宋体"/>
          <w:sz w:val="24"/>
          <w:szCs w:val="24"/>
        </w:rPr>
      </w:pPr>
      <w:r>
        <w:rPr>
          <w:rFonts w:hint="eastAsia" w:ascii="宋体" w:hAnsi="宋体" w:eastAsia="宋体"/>
          <w:sz w:val="24"/>
          <w:szCs w:val="24"/>
        </w:rPr>
        <w:br w:type="page" w:clear="all"/>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2"/>
        <w:jc w:val="center"/>
        <w:spacing w:line="360" w:lineRule="auto"/>
        <w:rPr>
          <w:rFonts w:ascii="宋体" w:hAnsi="宋体" w:eastAsia="宋体"/>
          <w:sz w:val="52"/>
          <w:szCs w:val="52"/>
        </w:rPr>
      </w:pPr>
      <w:r/>
      <w:bookmarkStart w:id="54" w:name="_Toc13642115"/>
      <w:r/>
      <w:bookmarkStart w:id="55" w:name="_Toc4590"/>
      <w:r>
        <w:rPr>
          <w:rFonts w:hint="eastAsia" w:ascii="宋体" w:hAnsi="宋体" w:eastAsia="宋体"/>
          <w:sz w:val="52"/>
          <w:szCs w:val="52"/>
        </w:rPr>
        <w:t xml:space="preserve">第三章 </w:t>
      </w:r>
      <w:bookmarkEnd w:id="54"/>
      <w:r>
        <w:rPr>
          <w:rFonts w:hint="eastAsia" w:ascii="宋体" w:hAnsi="宋体" w:eastAsia="宋体"/>
          <w:sz w:val="52"/>
          <w:szCs w:val="52"/>
        </w:rPr>
        <w:t xml:space="preserve">采购内容</w:t>
      </w:r>
      <w:bookmarkEnd w:id="55"/>
      <w:r>
        <w:rPr>
          <w:rFonts w:ascii="宋体" w:hAnsi="宋体" w:eastAsia="宋体"/>
          <w:sz w:val="52"/>
          <w:szCs w:val="52"/>
        </w:rPr>
      </w:r>
      <w:r/>
    </w:p>
    <w:p>
      <w:pPr>
        <w:pStyle w:val="641"/>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1"/>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苏州鸿鑫工程咨询有限公司受苏州市医疗保障局的委托，就其所需的</w:t>
      </w:r>
      <w:r>
        <w:rPr>
          <w:rFonts w:hint="eastAsia" w:ascii="宋体" w:hAnsi="宋体" w:eastAsia="宋体" w:cs="宋体"/>
          <w:sz w:val="21"/>
          <w:szCs w:val="21"/>
        </w:rPr>
        <w:t xml:space="preserve">2026年度全国创新药高质量发展大会活动策划执行和会务服务项目</w:t>
      </w:r>
      <w:r>
        <w:rPr>
          <w:rFonts w:hint="eastAsia" w:ascii="宋体" w:hAnsi="宋体" w:eastAsia="宋体" w:cs="宋体"/>
          <w:sz w:val="21"/>
          <w:szCs w:val="21"/>
        </w:rPr>
        <w:t xml:space="preserve">采用竞争性磋商方式进行采购，</w:t>
      </w:r>
      <w:r>
        <w:rPr>
          <w:rFonts w:hint="eastAsia" w:ascii="宋体" w:hAnsi="宋体" w:eastAsia="宋体" w:cs="宋体"/>
          <w:sz w:val="21"/>
          <w:szCs w:val="21"/>
        </w:rPr>
        <w:t xml:space="preserve">欢迎有资格的供应商前来参加本次磋商采购活动。</w:t>
      </w:r>
      <w:r>
        <w:rPr>
          <w:rFonts w:ascii="宋体" w:hAnsi="宋体" w:eastAsia="宋体" w:cs="宋体"/>
          <w:sz w:val="21"/>
          <w:szCs w:val="21"/>
        </w:rPr>
      </w:r>
      <w:r/>
    </w:p>
    <w:p>
      <w:pPr>
        <w:pStyle w:val="641"/>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JSZC-320500-SZHX-C2026-0038</w:t>
      </w:r>
      <w:r>
        <w:rPr>
          <w:rFonts w:hint="eastAsia" w:ascii="宋体" w:hAnsi="宋体" w:eastAsia="宋体"/>
          <w:b/>
          <w:sz w:val="21"/>
          <w:szCs w:val="21"/>
        </w:rPr>
      </w:r>
      <w:r/>
    </w:p>
    <w:p>
      <w:pPr>
        <w:pStyle w:val="641"/>
        <w:ind w:firstLine="422"/>
        <w:spacing w:line="360" w:lineRule="auto"/>
        <w:tabs>
          <w:tab w:val="left" w:pos="753" w:leader="none"/>
        </w:tabs>
        <w:rPr>
          <w:rFonts w:ascii="宋体" w:hAnsi="宋体" w:eastAsia="宋体"/>
          <w:b/>
          <w:sz w:val="21"/>
          <w:szCs w:val="21"/>
        </w:rPr>
        <w:outlineLvl w:val="1"/>
      </w:pPr>
      <w:r/>
      <w:bookmarkStart w:id="56"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2026年度全国创新药高质量发展大会活动策划执行和会务服务项目</w:t>
      </w:r>
      <w:r>
        <w:rPr>
          <w:rFonts w:ascii="宋体" w:hAnsi="宋体" w:eastAsia="宋体"/>
          <w:b/>
          <w:sz w:val="21"/>
          <w:szCs w:val="21"/>
        </w:rPr>
      </w:r>
      <w:r/>
    </w:p>
    <w:p>
      <w:pPr>
        <w:pStyle w:val="641"/>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1"/>
        <w:ind w:firstLine="422"/>
        <w:rPr>
          <w:rFonts w:hint="eastAsia" w:ascii="宋体" w:hAnsi="宋体" w:eastAsia="宋体"/>
          <w:sz w:val="21"/>
          <w:szCs w:val="21"/>
        </w:rPr>
      </w:pPr>
      <w:r>
        <w:rPr>
          <w:rFonts w:hint="eastAsia" w:ascii="宋体" w:hAnsi="宋体" w:eastAsia="宋体"/>
          <w:b/>
          <w:sz w:val="21"/>
          <w:szCs w:val="21"/>
        </w:rPr>
        <w:t xml:space="preserve">（一）项目概况</w:t>
      </w:r>
      <w:r>
        <w:rPr>
          <w:rFonts w:hint="eastAsia"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2026年度全国创新药高质量发展大会将于2026年11月14日在苏州国际博览中心举行，大会围绕创新药高质量发展全产业链条，拟邀请相关政府部门、国际药品采购机构代表；投资、证券、银行、商业健康保险等金融机构；高校和科研院所、医疗机构、国内外医药企业等行业与学术界代表，以及媒</w:t>
      </w:r>
      <w:r>
        <w:rPr>
          <w:rFonts w:hint="eastAsia" w:ascii="宋体" w:hAnsi="宋体" w:eastAsia="宋体"/>
          <w:sz w:val="21"/>
          <w:szCs w:val="21"/>
        </w:rPr>
        <w:t xml:space="preserve">体代表，参会规模约1500人左右。</w:t>
      </w:r>
      <w:r/>
    </w:p>
    <w:p>
      <w:pPr>
        <w:pStyle w:val="641"/>
        <w:ind w:left="420"/>
        <w:spacing w:line="360" w:lineRule="auto"/>
        <w:rPr>
          <w:rFonts w:ascii="宋体" w:hAnsi="宋体" w:eastAsia="宋体"/>
          <w:b/>
          <w:sz w:val="21"/>
          <w:szCs w:val="21"/>
        </w:rPr>
      </w:pPr>
      <w:r>
        <w:rPr>
          <w:rFonts w:ascii="宋体" w:hAnsi="宋体" w:eastAsia="宋体"/>
          <w:b/>
          <w:sz w:val="21"/>
          <w:szCs w:val="21"/>
        </w:rPr>
        <w:t xml:space="preserve">注</w:t>
      </w:r>
      <w:r>
        <w:rPr>
          <w:rFonts w:hint="eastAsia" w:ascii="宋体" w:hAnsi="宋体" w:eastAsia="宋体"/>
          <w:b/>
          <w:sz w:val="21"/>
          <w:szCs w:val="21"/>
        </w:rPr>
        <w:t xml:space="preserve">：会议具体时间、地点，最终根据采购方最新通知为准。</w:t>
      </w:r>
      <w:r>
        <w:rPr>
          <w:rFonts w:ascii="宋体" w:hAnsi="宋体" w:eastAsia="宋体"/>
          <w:b/>
          <w:sz w:val="21"/>
          <w:szCs w:val="21"/>
        </w:rPr>
      </w:r>
      <w:r/>
    </w:p>
    <w:p>
      <w:pPr>
        <w:pStyle w:val="641"/>
        <w:ind w:firstLine="422"/>
        <w:spacing w:line="360" w:lineRule="auto"/>
        <w:rPr>
          <w:rFonts w:ascii="宋体" w:hAnsi="宋体" w:eastAsia="宋体"/>
          <w:b/>
          <w:sz w:val="21"/>
          <w:szCs w:val="21"/>
        </w:rPr>
      </w:pPr>
      <w:r>
        <w:rPr>
          <w:rFonts w:hint="eastAsia" w:ascii="宋体" w:hAnsi="宋体" w:eastAsia="宋体"/>
          <w:b/>
          <w:sz w:val="21"/>
          <w:szCs w:val="21"/>
        </w:rPr>
        <w:t xml:space="preserve">（二）服务内容</w:t>
      </w:r>
      <w:r>
        <w:rPr>
          <w:rFonts w:ascii="宋体" w:hAnsi="宋体" w:eastAsia="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本项目服务内容主要包括：策划整体活动方案、嘉宾接待服务、人员安排、场地租赁、会场内外氛围布置、会务资料制作、现场安保、活动全程摄影、摄像跟拍以及收集报送活动阶段性成果等。</w:t>
      </w:r>
      <w:r>
        <w:rPr>
          <w:rFonts w:ascii="宋体" w:hAnsi="宋体" w:eastAsia="宋体"/>
          <w:sz w:val="21"/>
          <w:szCs w:val="21"/>
        </w:rPr>
      </w:r>
      <w:r/>
    </w:p>
    <w:p>
      <w:pPr>
        <w:pStyle w:val="641"/>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w:t>
      </w:r>
      <w:r>
        <w:rPr>
          <w:rFonts w:ascii="宋体" w:hAnsi="宋体" w:eastAsia="宋体" w:cs="宋体"/>
          <w:color w:val="000000"/>
          <w:sz w:val="21"/>
          <w:szCs w:val="21"/>
        </w:rPr>
      </w:r>
      <w:r/>
    </w:p>
    <w:p>
      <w:pPr>
        <w:pStyle w:val="641"/>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1、其中活动策划组织及布置，包括但不限于进行会场踏勘、场地租赁服务，方案策划、会场效果呈现、活动流程组织，会场搭建物料，印刷会议手册、席卡，会议现场摄影摄像、速记、同声传译等全部服务。</w:t>
      </w:r>
      <w:r>
        <w:rPr>
          <w:rFonts w:ascii="宋体" w:hAnsi="宋体" w:eastAsia="宋体" w:cs="宋体"/>
          <w:color w:val="000000"/>
          <w:sz w:val="21"/>
          <w:szCs w:val="21"/>
        </w:rPr>
      </w:r>
      <w:r/>
    </w:p>
    <w:p>
      <w:pPr>
        <w:pStyle w:val="641"/>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2、下表中的活动及要求均为预计计划，具体根据活动主办方的安排，实施过程中如有调整，成</w:t>
      </w:r>
      <w:r>
        <w:rPr>
          <w:rFonts w:hint="eastAsia" w:ascii="宋体" w:hAnsi="宋体" w:eastAsia="宋体" w:cs="宋体"/>
          <w:color w:val="000000"/>
          <w:sz w:val="21"/>
          <w:szCs w:val="21"/>
        </w:rPr>
        <w:t xml:space="preserve">交单位需配合进行调整。</w:t>
      </w:r>
      <w:r>
        <w:rPr>
          <w:rFonts w:ascii="宋体" w:hAnsi="宋体" w:eastAsia="宋体" w:cs="宋体"/>
          <w:color w:val="000000"/>
          <w:sz w:val="21"/>
          <w:szCs w:val="21"/>
        </w:rPr>
      </w:r>
      <w:r/>
    </w:p>
    <w:p>
      <w:pPr>
        <w:pStyle w:val="641"/>
        <w:ind w:firstLine="422"/>
        <w:spacing w:line="360" w:lineRule="auto"/>
        <w:shd w:val="clear" w:color="auto" w:fill="ffffff"/>
        <w:widowControl/>
        <w:tabs>
          <w:tab w:val="left" w:pos="315" w:leader="none"/>
          <w:tab w:val="center" w:pos="4153" w:leader="none"/>
        </w:tabs>
        <w:rPr>
          <w:rFonts w:ascii="宋体" w:hAnsi="宋体" w:eastAsia="宋体"/>
          <w:b/>
          <w:sz w:val="21"/>
          <w:szCs w:val="21"/>
        </w:rPr>
      </w:pPr>
      <w:r>
        <w:rPr>
          <w:rFonts w:hint="eastAsia" w:ascii="宋体" w:hAnsi="宋体" w:eastAsia="宋体"/>
          <w:b/>
          <w:sz w:val="21"/>
          <w:szCs w:val="21"/>
        </w:rPr>
        <w:t xml:space="preserve">（三）主要制作物及相关工作清单</w:t>
      </w:r>
      <w:r>
        <w:rPr>
          <w:rFonts w:ascii="宋体" w:hAnsi="宋体" w:eastAsia="宋体"/>
          <w:b/>
          <w:sz w:val="21"/>
          <w:szCs w:val="21"/>
        </w:rPr>
      </w:r>
      <w:r/>
    </w:p>
    <w:tbl>
      <w:tblPr>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30"/>
        <w:gridCol w:w="1038"/>
        <w:gridCol w:w="1639"/>
        <w:gridCol w:w="5636"/>
        <w:gridCol w:w="1397"/>
      </w:tblGrid>
      <w:tr>
        <w:trPr>
          <w:trHeight w:val="300"/>
        </w:trPr>
        <w:tc>
          <w:tcPr>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ascii="宋体" w:hAnsi="宋体" w:eastAsia="宋体" w:cs="Arial"/>
                <w:sz w:val="21"/>
                <w:szCs w:val="21"/>
              </w:rPr>
            </w:pPr>
            <w:r>
              <w:rPr>
                <w:rFonts w:hint="eastAsia" w:ascii="宋体" w:hAnsi="宋体" w:eastAsia="宋体" w:cs="Arial"/>
                <w:sz w:val="21"/>
                <w:szCs w:val="21"/>
              </w:rPr>
              <w:t xml:space="preserve">序号</w:t>
            </w:r>
            <w:r>
              <w:rPr>
                <w:rFonts w:ascii="宋体" w:hAnsi="宋体" w:eastAsia="宋体" w:cs="Arial"/>
                <w:sz w:val="21"/>
                <w:szCs w:val="21"/>
              </w:rPr>
            </w:r>
            <w:r/>
          </w:p>
        </w:tc>
        <w:tc>
          <w:tcPr>
            <w:tcBorders>
              <w:top w:val="single" w:color="000000" w:sz="4" w:space="0"/>
              <w:left w:val="none" w:color="000000" w:sz="4" w:space="0"/>
              <w:bottom w:val="single" w:color="000000" w:sz="4" w:space="0"/>
              <w:right w:val="single" w:color="000000" w:sz="4" w:space="0"/>
            </w:tcBorders>
            <w:tcW w:w="512"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项目</w:t>
            </w:r>
            <w:r/>
          </w:p>
        </w:tc>
        <w:tc>
          <w:tcPr>
            <w:tcBorders>
              <w:top w:val="singl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子项目</w:t>
            </w:r>
            <w:r/>
          </w:p>
        </w:tc>
        <w:tc>
          <w:tcPr>
            <w:tcBorders>
              <w:top w:val="singl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内容</w:t>
            </w:r>
            <w:r/>
          </w:p>
        </w:tc>
        <w:tc>
          <w:tcPr>
            <w:tcBorders>
              <w:top w:val="singl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备注</w:t>
            </w:r>
            <w:r/>
          </w:p>
        </w:tc>
      </w:tr>
      <w:tr>
        <w:trPr>
          <w:trHeight w:val="420"/>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（一）大会主会场</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氛围布置</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外场氛围</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left"/>
              <w:widowControl/>
              <w:rPr>
                <w:rFonts w:hint="eastAsia" w:ascii="黑体" w:hAnsi="宋体" w:eastAsia="黑体" w:cs="黑体"/>
                <w:color w:val="000000"/>
                <w:sz w:val="12"/>
                <w:szCs w:val="12"/>
              </w:rPr>
            </w:pPr>
            <w:r>
              <w:rPr>
                <w:rFonts w:hint="eastAsia" w:ascii="宋体" w:hAnsi="宋体" w:eastAsia="宋体" w:cs="Arial"/>
                <w:sz w:val="21"/>
                <w:szCs w:val="21"/>
              </w:rPr>
              <w:t xml:space="preserve">注水旗（旗架高5米，旗面L1*H3.6m*3幅，单透热转印，底座L1.5m*H1m*4块，喷绘）、路口导视（L1*H2，桁架喷绘）、导视（1.8*0.8m）系统等</w:t>
            </w:r>
            <w:r>
              <w:rPr>
                <w:rFonts w:hint="eastAsia" w:ascii="黑体" w:hAnsi="宋体" w:eastAsia="黑体" w:cs="黑体"/>
                <w:color w:val="000000"/>
                <w:sz w:val="12"/>
                <w:szCs w:val="12"/>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定制门头设计制作</w:t>
            </w:r>
            <w:r>
              <w:rPr>
                <w:rFonts w:hint="eastAsia" w:ascii="宋体" w:hAnsi="宋体" w:eastAsia="宋体" w:cs="Arial"/>
                <w:sz w:val="21"/>
                <w:szCs w:val="21"/>
              </w:rPr>
              <w:t xml:space="preserve">（20.4*3.8*1m，木结构）</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A馆门口包柱</w:t>
            </w:r>
            <w:r>
              <w:rPr>
                <w:rFonts w:hint="eastAsia" w:ascii="宋体" w:hAnsi="宋体" w:eastAsia="宋体" w:cs="Arial"/>
                <w:sz w:val="21"/>
                <w:szCs w:val="21"/>
              </w:rPr>
              <w:t xml:space="preserve">（6组，3.16*5m，宣绒布）</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4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A馆玻璃贴</w:t>
            </w:r>
            <w:r>
              <w:rPr>
                <w:rFonts w:hint="eastAsia" w:ascii="宋体" w:hAnsi="宋体" w:eastAsia="宋体" w:cs="Arial"/>
                <w:sz w:val="21"/>
                <w:szCs w:val="21"/>
              </w:rPr>
              <w:t xml:space="preserve">（8张，2.63*1.91m，PET</w:t>
            </w:r>
            <w:r>
              <w:rPr>
                <w:rFonts w:hint="eastAsia" w:ascii="宋体" w:hAnsi="宋体" w:eastAsia="宋体" w:cs="Arial"/>
                <w:sz w:val="21"/>
                <w:szCs w:val="21"/>
              </w:rPr>
              <w:t xml:space="preserve">超透玻璃贴）</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内场氛围</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定制一楼序厅背景墙、咨询台</w:t>
            </w:r>
            <w:r>
              <w:rPr>
                <w:rFonts w:hint="eastAsia" w:ascii="宋体" w:hAnsi="宋体" w:eastAsia="宋体" w:cs="Arial"/>
                <w:sz w:val="21"/>
                <w:szCs w:val="21"/>
              </w:rPr>
              <w:t xml:space="preserve">（整体尺寸24.5*4.8m，木结构）</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6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1-3楼导视系统</w:t>
            </w:r>
            <w:r>
              <w:rPr>
                <w:rFonts w:hint="eastAsia" w:ascii="宋体" w:hAnsi="宋体" w:eastAsia="宋体" w:cs="Arial"/>
                <w:sz w:val="21"/>
                <w:szCs w:val="21"/>
              </w:rPr>
              <w:t xml:space="preserve">（1.8*0.8m，立屏导视）</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3楼座位查询座位图制作</w:t>
            </w:r>
            <w:r>
              <w:rPr>
                <w:rFonts w:hint="eastAsia" w:ascii="宋体" w:hAnsi="宋体" w:eastAsia="宋体" w:cs="Arial"/>
                <w:sz w:val="21"/>
                <w:szCs w:val="21"/>
              </w:rPr>
              <w:t xml:space="preserve">（4*3m）</w:t>
            </w:r>
            <w:r>
              <w:rPr>
                <w:rFonts w:hint="eastAsia" w:ascii="宋体" w:hAnsi="宋体" w:eastAsia="宋体" w:cs="Arial"/>
                <w:sz w:val="21"/>
                <w:szCs w:val="21"/>
              </w:rPr>
              <w:t xml:space="preserve">/电视</w:t>
            </w:r>
            <w:r>
              <w:rPr>
                <w:rFonts w:hint="eastAsia" w:ascii="宋体" w:hAnsi="宋体" w:eastAsia="宋体" w:cs="Arial"/>
                <w:sz w:val="21"/>
                <w:szCs w:val="21"/>
              </w:rPr>
              <w:t xml:space="preserve">（75寸）</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8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三楼平台：苏州角搭建布置</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9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3楼展板设计制作</w:t>
            </w:r>
            <w:r>
              <w:rPr>
                <w:rFonts w:hint="eastAsia" w:ascii="宋体" w:hAnsi="宋体" w:eastAsia="宋体" w:cs="Arial"/>
                <w:sz w:val="21"/>
                <w:szCs w:val="21"/>
              </w:rPr>
              <w:t xml:space="preserve">（10*3m，桁架喷绘）</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10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会议签到</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大会报到处</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报到处背景、桌椅、一米栏</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11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舞台舞美</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舞台区域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造型雷亚舞台、 多层板、舞台地毯、定制舞台台阶</w:t>
            </w:r>
            <w:r>
              <w:rPr>
                <w:rFonts w:hint="eastAsia" w:ascii="宋体" w:hAnsi="宋体" w:eastAsia="宋体" w:cs="Arial"/>
                <w:sz w:val="21"/>
                <w:szCs w:val="21"/>
              </w:rPr>
              <w:t xml:space="preserve">（P3 28*7*0.8mh）</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讲台（升降讲台、主持讲台、致辞讲台）、</w:t>
            </w:r>
            <w:r>
              <w:rPr>
                <w:rFonts w:hint="eastAsia" w:ascii="宋体" w:hAnsi="宋体" w:eastAsia="宋体" w:cs="Arial"/>
                <w:sz w:val="21"/>
                <w:szCs w:val="21"/>
              </w:rPr>
              <w:br w:type="textWrapping" w:clear="all"/>
            </w:r>
            <w:r>
              <w:rPr>
                <w:rFonts w:hint="eastAsia" w:ascii="宋体" w:hAnsi="宋体" w:eastAsia="宋体" w:cs="Arial"/>
                <w:sz w:val="21"/>
                <w:szCs w:val="21"/>
              </w:rPr>
              <w:t xml:space="preserve">斜坡（木工写真背板、主题立体字）</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13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控台围挡/摄像拍摄台/道具备台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14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舞台检测</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电气检测</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16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显示系统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造型主屏幕</w:t>
            </w:r>
            <w:r>
              <w:rPr>
                <w:rFonts w:hint="eastAsia" w:ascii="宋体" w:hAnsi="宋体" w:eastAsia="宋体" w:cs="Arial"/>
                <w:sz w:val="21"/>
                <w:szCs w:val="21"/>
              </w:rPr>
              <w:t xml:space="preserve">（P3 28*6m）</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雷亚架</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w:t>
            </w:r>
            <w:r>
              <w:rPr>
                <w:rFonts w:hint="eastAsia" w:ascii="宋体" w:hAnsi="宋体" w:eastAsia="宋体" w:cs="Arial"/>
                <w:color w:val="000000"/>
                <w:sz w:val="21"/>
                <w:szCs w:val="21"/>
              </w:rPr>
              <w:t xml:space="preserve">8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提词器、翻页笔、播控电脑</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19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视频控制系统、 D3切换台+S3服务器（双备份）</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20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大屏技术师（彩排+正式活动）</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舞美系统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灯光架、大型活动灯光配备、灯光控台、灯光技术师</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音响架、大型活动音响线阵、调音台、话筒、调音师</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23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会务物料</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会议软性物料</w:t>
            </w:r>
            <w:r/>
          </w:p>
        </w:tc>
        <w:tc>
          <w:tcPr>
            <w:tcBorders>
              <w:top w:val="none" w:color="000000" w:sz="4" w:space="0"/>
              <w:left w:val="none" w:color="000000" w:sz="4" w:space="0"/>
              <w:bottom w:val="single" w:color="000000" w:sz="4" w:space="0"/>
              <w:right w:val="single" w:color="000000" w:sz="4" w:space="0"/>
            </w:tcBorders>
            <w:tcW w:w="2777" w:type="pct"/>
            <w:vAlign w:val="top"/>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拎袋、邀请函、席卡、议程单页、椅背贴、通行证</w:t>
            </w:r>
            <w:r>
              <w:rPr>
                <w:rFonts w:hint="eastAsia" w:ascii="宋体" w:hAnsi="宋体" w:eastAsia="宋体" w:cs="Arial"/>
                <w:sz w:val="21"/>
                <w:szCs w:val="21"/>
              </w:rPr>
              <w:t xml:space="preserve">、标识、笔、</w:t>
            </w:r>
            <w:r>
              <w:rPr>
                <w:rFonts w:hint="eastAsia" w:ascii="宋体" w:hAnsi="宋体" w:eastAsia="宋体" w:cs="Arial"/>
                <w:sz w:val="21"/>
                <w:szCs w:val="21"/>
              </w:rPr>
              <w:t xml:space="preserve">站位图、手册、餐券等</w:t>
            </w:r>
            <w:r/>
          </w:p>
        </w:tc>
        <w:tc>
          <w:tcPr>
            <w:tcBorders>
              <w:top w:val="none" w:color="000000" w:sz="4" w:space="0"/>
              <w:left w:val="none" w:color="000000" w:sz="4" w:space="0"/>
              <w:bottom w:val="single" w:color="000000" w:sz="4" w:space="0"/>
              <w:right w:val="single" w:color="000000" w:sz="4" w:space="0"/>
            </w:tcBorders>
            <w:tcW w:w="689" w:type="pct"/>
            <w:vAlign w:val="top"/>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24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会务系统</w:t>
            </w:r>
            <w:r/>
          </w:p>
        </w:tc>
        <w:tc>
          <w:tcPr>
            <w:tcBorders>
              <w:top w:val="none" w:color="000000" w:sz="4" w:space="0"/>
              <w:left w:val="single" w:color="000000" w:sz="4" w:space="0"/>
              <w:bottom w:val="non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电子会务系统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报名、</w:t>
            </w:r>
            <w:r>
              <w:rPr>
                <w:rFonts w:hint="eastAsia" w:ascii="宋体" w:hAnsi="宋体" w:eastAsia="宋体" w:cs="Arial"/>
                <w:sz w:val="21"/>
                <w:szCs w:val="21"/>
              </w:rPr>
              <w:t xml:space="preserve">短信发送、</w:t>
            </w:r>
            <w:r>
              <w:rPr>
                <w:rFonts w:hint="eastAsia" w:ascii="宋体" w:hAnsi="宋体" w:eastAsia="宋体" w:cs="Arial"/>
                <w:sz w:val="21"/>
                <w:szCs w:val="21"/>
              </w:rPr>
              <w:t xml:space="preserve">签到制证、无感闸机、数字座位查询系统</w:t>
            </w:r>
            <w:r>
              <w:rPr>
                <w:rFonts w:hint="eastAsia"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non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数字注册报名系统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26</w:t>
            </w:r>
            <w:r>
              <w:rPr>
                <w:rFonts w:hint="eastAsia" w:ascii="宋体" w:hAnsi="宋体" w:eastAsia="宋体" w:cs="Arial"/>
                <w:color w:val="000000"/>
                <w:sz w:val="21"/>
                <w:szCs w:val="21"/>
              </w:rPr>
              <w:t xml:space="preserve">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环节流程</w:t>
            </w:r>
            <w:r/>
          </w:p>
        </w:tc>
        <w:tc>
          <w:tcPr>
            <w:tcBorders>
              <w:top w:val="single" w:color="000000" w:sz="4" w:space="0"/>
              <w:left w:val="single" w:color="000000" w:sz="4" w:space="0"/>
              <w:bottom w:val="non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流程相关</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政策发布-预估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non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目录发布-发布道具</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28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non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签约仪式-电子签约</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29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视频</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环节视频（案例展示 预估）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30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动态kv、特效视频（预估3个）</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31</w:t>
            </w:r>
            <w:r>
              <w:rPr>
                <w:rFonts w:hint="eastAsia" w:ascii="宋体" w:hAnsi="宋体" w:eastAsia="宋体" w:cs="Arial"/>
                <w:color w:val="000000"/>
                <w:sz w:val="21"/>
                <w:szCs w:val="21"/>
              </w:rPr>
              <w:t xml:space="preserve">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会务人员保障</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大型活动现场导播、摄影、</w:t>
              <w:br w:type="textWrapping" w:clear="all"/>
              <w:t xml:space="preserve">摄像</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专业摄影团队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专业摄像团队（含全程录播、 开窗机位）</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24"/>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33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摇臂</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34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摄像</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专业导播团队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专业导播控台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36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会务服务人员</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道具组人员</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礼仪</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38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速记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w:t>
            </w:r>
            <w:r>
              <w:rPr>
                <w:rFonts w:hint="eastAsia" w:ascii="宋体" w:hAnsi="宋体" w:eastAsia="宋体" w:cs="Arial"/>
                <w:color w:val="000000"/>
                <w:sz w:val="21"/>
                <w:szCs w:val="21"/>
              </w:rPr>
              <w:t xml:space="preserve">9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主持人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40</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同传</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同传间、同传人员、发射器、主机、接收耳机等</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54"/>
              <w:rPr>
                <w:rFonts w:hint="eastAsia"/>
              </w:rPr>
            </w:pPr>
            <w:r>
              <w:rPr>
                <w:rFonts w:hint="eastAsia"/>
              </w:rPr>
            </w:r>
            <w:r/>
          </w:p>
        </w:tc>
      </w:tr>
      <w:tr>
        <w:trPr>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ascii="宋体" w:hAnsi="宋体" w:eastAsia="宋体" w:cs="Arial"/>
                <w:color w:val="000000"/>
                <w:sz w:val="21"/>
                <w:szCs w:val="21"/>
              </w:rPr>
            </w:pPr>
            <w:r>
              <w:rPr>
                <w:rFonts w:hint="eastAsia" w:ascii="宋体" w:hAnsi="宋体" w:eastAsia="宋体" w:cs="Arial"/>
                <w:color w:val="000000"/>
                <w:sz w:val="21"/>
                <w:szCs w:val="21"/>
              </w:rPr>
              <w:t xml:space="preserve">41</w:t>
            </w:r>
            <w:r>
              <w:rPr>
                <w:rFonts w:ascii="宋体" w:hAnsi="宋体" w:eastAsia="宋体" w:cs="Arial"/>
                <w:color w:val="000000"/>
                <w:sz w:val="21"/>
                <w:szCs w:val="21"/>
              </w:rPr>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其他</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人工运输</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搭建、运输、撤场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54"/>
              <w:rPr>
                <w:rFonts w:hint="eastAsia"/>
              </w:rPr>
            </w:pPr>
            <w:r>
              <w:rPr>
                <w:rFonts w:hint="eastAsia"/>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（二）专题活动</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336"/>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专题活动</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3场</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（单场）舞台、 电子屏、音响、技术控台、会务物料及服务人员、环节流程（道具）</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（三）综合保障服务</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 </w:t>
            </w:r>
            <w:r/>
          </w:p>
        </w:tc>
        <w:tc>
          <w:tcPr>
            <w:tcBorders>
              <w:top w:val="none" w:color="000000" w:sz="4" w:space="0"/>
              <w:left w:val="single" w:color="000000" w:sz="4" w:space="0"/>
              <w:right w:val="single" w:color="000000" w:sz="4" w:space="0"/>
            </w:tcBorders>
            <w:tcW w:w="512"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综合保障服务</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安保</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安保、安检人员</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 </w:t>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安检机器设备</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 </w:t>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一米栏、防爆铁马、铁马</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4 </w:t>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right w:val="single" w:color="000000" w:sz="4" w:space="0"/>
            </w:tcBorders>
            <w:tcW w:w="808" w:type="pct"/>
            <w:vAlign w:val="center"/>
            <w:vMerge w:val="restart"/>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交通接驳</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车辆保障：考斯特、大巴、商务车等</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5 </w:t>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接驳物料：手举牌、车身号码贴等</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6</w:t>
            </w:r>
            <w:r>
              <w:rPr>
                <w:rFonts w:hint="eastAsia" w:ascii="宋体" w:hAnsi="宋体" w:eastAsia="宋体" w:cs="Arial"/>
                <w:color w:val="000000"/>
                <w:sz w:val="21"/>
                <w:szCs w:val="21"/>
              </w:rPr>
              <w:t xml:space="preserve"> </w:t>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志愿者服务</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志愿者补贴+定制志愿者服装</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7</w:t>
            </w:r>
            <w:r>
              <w:rPr>
                <w:rFonts w:hint="eastAsia" w:ascii="宋体" w:hAnsi="宋体" w:eastAsia="宋体" w:cs="Arial"/>
                <w:color w:val="000000"/>
                <w:sz w:val="21"/>
                <w:szCs w:val="21"/>
              </w:rPr>
              <w:t xml:space="preserve"> </w:t>
            </w:r>
            <w:r/>
          </w:p>
        </w:tc>
        <w:tc>
          <w:tcPr>
            <w:tcBorders>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集中办公点布置</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大型高速打印机、办公用品保障（耗材）</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8</w:t>
            </w:r>
            <w:r/>
          </w:p>
        </w:tc>
        <w:tc>
          <w:tcPr>
            <w:tcBorders>
              <w:left w:val="single" w:color="000000" w:sz="4" w:space="0"/>
              <w:bottom w:val="single" w:color="000000" w:sz="4" w:space="0"/>
              <w:right w:val="single" w:color="000000" w:sz="4" w:space="0"/>
            </w:tcBorders>
            <w:tcW w:w="512" w:type="pct"/>
            <w:vAlign w:val="center"/>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电费、网络服务</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动力电费、网络（签到、会场直播）</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（四）接待保障服务</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1</w:t>
            </w:r>
            <w:r>
              <w:rPr>
                <w:rFonts w:hint="eastAsia" w:ascii="宋体" w:hAnsi="宋体" w:eastAsia="宋体" w:cs="Arial"/>
                <w:color w:val="000000"/>
                <w:sz w:val="21"/>
                <w:szCs w:val="21"/>
              </w:rPr>
              <w:t xml:space="preserve"> </w:t>
            </w:r>
            <w:r/>
          </w:p>
        </w:tc>
        <w:tc>
          <w:tcPr>
            <w:tcBorders>
              <w:top w:val="none" w:color="000000" w:sz="4" w:space="0"/>
              <w:left w:val="single" w:color="000000" w:sz="4" w:space="0"/>
              <w:right w:val="single" w:color="000000" w:sz="4" w:space="0"/>
            </w:tcBorders>
            <w:tcW w:w="512" w:type="pct"/>
            <w:vAlign w:val="center"/>
            <w:vMerge w:val="restart"/>
            <w:textDirection w:val="lrTb"/>
            <w:noWrap w:val="false"/>
          </w:tcPr>
          <w:p>
            <w:pPr>
              <w:pStyle w:val="641"/>
              <w:jc w:val="left"/>
              <w:widowControl/>
              <w:rPr>
                <w:rFonts w:hint="eastAsia" w:ascii="宋体" w:hAnsi="宋体" w:eastAsia="宋体" w:cs="Arial"/>
                <w:sz w:val="21"/>
                <w:szCs w:val="21"/>
              </w:rPr>
            </w:pPr>
            <w:r>
              <w:rPr>
                <w:rFonts w:hint="eastAsia" w:ascii="宋体" w:hAnsi="宋体" w:eastAsia="宋体" w:cs="Arial"/>
                <w:sz w:val="21"/>
                <w:szCs w:val="21"/>
              </w:rPr>
              <w:t xml:space="preserve">接待保障</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参会人员工作餐</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预估1500人，130元/人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2</w:t>
            </w:r>
            <w:r>
              <w:rPr>
                <w:rFonts w:hint="eastAsia" w:ascii="宋体" w:hAnsi="宋体" w:eastAsia="宋体" w:cs="Arial"/>
                <w:color w:val="000000"/>
                <w:sz w:val="21"/>
                <w:szCs w:val="21"/>
              </w:rPr>
              <w:t xml:space="preserve"> </w:t>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工作及保障人员用餐</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预估 50元/人/餐</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w:t>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嘉宾宴请</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预估600人，餐标200元/人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ascii="宋体" w:hAnsi="宋体" w:eastAsia="宋体" w:cs="Arial"/>
                <w:color w:val="000000"/>
                <w:sz w:val="21"/>
                <w:szCs w:val="21"/>
              </w:rPr>
            </w:pPr>
            <w:r>
              <w:rPr>
                <w:rFonts w:hint="eastAsia" w:ascii="宋体" w:hAnsi="宋体" w:eastAsia="宋体" w:cs="Arial"/>
                <w:color w:val="000000"/>
                <w:sz w:val="21"/>
                <w:szCs w:val="21"/>
              </w:rPr>
              <w:t xml:space="preserve">4</w:t>
            </w:r>
            <w:r>
              <w:rPr>
                <w:rFonts w:ascii="宋体" w:hAnsi="宋体" w:eastAsia="宋体" w:cs="Arial"/>
                <w:color w:val="000000"/>
                <w:sz w:val="21"/>
                <w:szCs w:val="21"/>
              </w:rPr>
            </w:r>
            <w:r/>
          </w:p>
        </w:tc>
        <w:tc>
          <w:tcPr>
            <w:tcBorders>
              <w:left w:val="single" w:color="000000" w:sz="4" w:space="0"/>
              <w:right w:val="single" w:color="000000" w:sz="4" w:space="0"/>
            </w:tcBorders>
            <w:tcW w:w="512" w:type="pct"/>
            <w:vAlign w:val="center"/>
            <w:vMerge w:val="continue"/>
            <w:textDirection w:val="lrTb"/>
            <w:noWrap w:val="false"/>
          </w:tcPr>
          <w:p>
            <w:pPr>
              <w:pStyle w:val="641"/>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茶水</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黑体" w:hAnsi="宋体" w:eastAsia="宋体" w:cs="黑体"/>
                <w:color w:val="000000"/>
                <w:sz w:val="22"/>
                <w:szCs w:val="22"/>
              </w:rPr>
            </w:pPr>
            <w:r>
              <w:rPr>
                <w:rFonts w:hint="eastAsia" w:ascii="宋体" w:hAnsi="宋体" w:eastAsia="宋体" w:cs="Arial"/>
                <w:sz w:val="21"/>
                <w:szCs w:val="21"/>
              </w:rPr>
              <w:t xml:space="preserve">矿泉水、嘉宾茶水（按实结算）</w:t>
            </w:r>
            <w:r>
              <w:rPr>
                <w:rFonts w:hint="eastAsia" w:ascii="黑体" w:hAnsi="宋体" w:eastAsia="宋体" w:cs="黑体"/>
                <w:color w:val="000000"/>
                <w:sz w:val="22"/>
                <w:szCs w:val="22"/>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center"/>
              <w:widowControl/>
              <w:rPr>
                <w:rFonts w:ascii="宋体" w:hAnsi="宋体" w:eastAsia="宋体" w:cs="Arial"/>
                <w:color w:val="000000"/>
                <w:sz w:val="21"/>
                <w:szCs w:val="21"/>
              </w:rPr>
            </w:pPr>
            <w:r>
              <w:rPr>
                <w:rFonts w:hint="eastAsia" w:ascii="宋体" w:hAnsi="宋体" w:eastAsia="宋体" w:cs="Arial"/>
                <w:color w:val="000000"/>
                <w:sz w:val="21"/>
                <w:szCs w:val="21"/>
              </w:rPr>
              <w:t xml:space="preserve">5</w:t>
            </w:r>
            <w:r>
              <w:rPr>
                <w:rFonts w:ascii="宋体" w:hAnsi="宋体" w:eastAsia="宋体" w:cs="Arial"/>
                <w:color w:val="000000"/>
                <w:sz w:val="21"/>
                <w:szCs w:val="21"/>
              </w:rPr>
            </w:r>
            <w:r/>
          </w:p>
        </w:tc>
        <w:tc>
          <w:tcPr>
            <w:tcBorders>
              <w:left w:val="single" w:color="000000" w:sz="4" w:space="0"/>
              <w:bottom w:val="single" w:color="000000" w:sz="4" w:space="0"/>
              <w:right w:val="single" w:color="000000" w:sz="4" w:space="0"/>
            </w:tcBorders>
            <w:tcW w:w="512" w:type="pct"/>
            <w:vAlign w:val="center"/>
            <w:vMerge w:val="continue"/>
            <w:textDirection w:val="lrTb"/>
            <w:noWrap w:val="false"/>
          </w:tcPr>
          <w:p>
            <w:pPr>
              <w:pStyle w:val="641"/>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晚宴背景</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背景布置</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（五）场租</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641"/>
              <w:jc w:val="left"/>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  1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场租</w:t>
            </w:r>
            <w:r/>
          </w:p>
        </w:tc>
        <w:tc>
          <w:tcPr>
            <w:gridSpan w:val="2"/>
            <w:tcBorders>
              <w:top w:val="single" w:color="000000" w:sz="4" w:space="0"/>
              <w:left w:val="none" w:color="000000" w:sz="4" w:space="0"/>
              <w:bottom w:val="single" w:color="000000" w:sz="4" w:space="0"/>
              <w:right w:val="single" w:color="000000" w:sz="4" w:space="0"/>
            </w:tcBorders>
            <w:tcW w:w="3585" w:type="pct"/>
            <w:vAlign w:val="center"/>
            <w:textDirection w:val="lrTb"/>
            <w:noWrap w:val="false"/>
          </w:tcPr>
          <w:p>
            <w:pPr>
              <w:pStyle w:val="641"/>
              <w:jc w:val="center"/>
              <w:widowControl/>
              <w:rPr>
                <w:rFonts w:hint="eastAsia" w:ascii="宋体" w:hAnsi="宋体" w:eastAsia="宋体" w:cs="Arial"/>
                <w:sz w:val="21"/>
                <w:szCs w:val="21"/>
              </w:rPr>
            </w:pPr>
            <w:r>
              <w:rPr>
                <w:rFonts w:hint="eastAsia" w:ascii="宋体" w:hAnsi="宋体" w:eastAsia="宋体" w:cs="Arial"/>
                <w:sz w:val="21"/>
                <w:szCs w:val="21"/>
              </w:rPr>
              <w:t xml:space="preserve">会场场租（主会场+3</w:t>
            </w:r>
            <w:r>
              <w:rPr>
                <w:rFonts w:hint="eastAsia" w:ascii="宋体" w:hAnsi="宋体" w:eastAsia="宋体" w:cs="Arial"/>
                <w:sz w:val="21"/>
                <w:szCs w:val="21"/>
              </w:rPr>
              <w:t xml:space="preserve">个分会场+嘉宾休息室）</w:t>
            </w:r>
            <w:r/>
          </w:p>
        </w:tc>
        <w:tc>
          <w:tcPr>
            <w:tcBorders>
              <w:top w:val="single" w:color="000000" w:sz="4" w:space="0"/>
              <w:left w:val="none" w:color="000000" w:sz="4" w:space="0"/>
              <w:bottom w:val="single" w:color="000000" w:sz="4" w:space="0"/>
              <w:right w:val="single" w:color="000000" w:sz="4" w:space="0"/>
            </w:tcBorders>
            <w:tcW w:w="689" w:type="pct"/>
            <w:vAlign w:val="center"/>
            <w:textDirection w:val="lrTb"/>
            <w:noWrap w:val="false"/>
          </w:tcPr>
          <w:p>
            <w:pPr>
              <w:pStyle w:val="641"/>
              <w:jc w:val="center"/>
              <w:widowControl/>
              <w:rPr>
                <w:rFonts w:ascii="宋体" w:hAnsi="宋体" w:eastAsia="宋体" w:cs="Arial"/>
                <w:sz w:val="21"/>
                <w:szCs w:val="21"/>
              </w:rPr>
            </w:pPr>
            <w:r>
              <w:rPr>
                <w:rFonts w:hint="eastAsia" w:ascii="宋体" w:hAnsi="宋体" w:eastAsia="宋体" w:cs="Arial"/>
                <w:sz w:val="21"/>
                <w:szCs w:val="21"/>
              </w:rPr>
              <w:t xml:space="preserve">含搭建彩排会议</w:t>
            </w:r>
            <w:r>
              <w:rPr>
                <w:rFonts w:ascii="宋体" w:hAnsi="宋体" w:eastAsia="宋体" w:cs="Arial"/>
                <w:sz w:val="21"/>
                <w:szCs w:val="21"/>
              </w:rPr>
            </w:r>
            <w:r/>
          </w:p>
        </w:tc>
      </w:tr>
    </w:tbl>
    <w:p>
      <w:pPr>
        <w:pStyle w:val="641"/>
        <w:ind w:firstLine="422"/>
        <w:spacing w:line="360" w:lineRule="auto"/>
        <w:shd w:val="clear" w:color="auto" w:fill="ffffff"/>
        <w:widowControl/>
        <w:tabs>
          <w:tab w:val="left" w:pos="315" w:leader="none"/>
          <w:tab w:val="center" w:pos="4153" w:leader="none"/>
        </w:tabs>
        <w:rPr>
          <w:rFonts w:hint="eastAsia" w:ascii="宋体" w:hAnsi="宋体" w:eastAsia="宋体"/>
          <w:b/>
          <w:sz w:val="21"/>
          <w:szCs w:val="21"/>
        </w:rPr>
      </w:pPr>
      <w:r>
        <w:rPr>
          <w:rFonts w:hint="eastAsia" w:ascii="宋体" w:hAnsi="宋体" w:eastAsia="宋体"/>
          <w:b/>
          <w:sz w:val="21"/>
          <w:szCs w:val="21"/>
        </w:rPr>
        <w:t xml:space="preserve">（四）</w:t>
      </w:r>
      <w:r>
        <w:rPr>
          <w:rFonts w:hint="eastAsia" w:ascii="宋体" w:hAnsi="宋体" w:eastAsia="宋体"/>
          <w:b/>
          <w:sz w:val="21"/>
          <w:szCs w:val="21"/>
        </w:rPr>
        <w:t xml:space="preserve">服务</w:t>
      </w:r>
      <w:r>
        <w:rPr>
          <w:rFonts w:hint="eastAsia" w:ascii="宋体" w:hAnsi="宋体" w:eastAsia="宋体"/>
          <w:b/>
          <w:sz w:val="21"/>
          <w:szCs w:val="21"/>
        </w:rPr>
        <w:t xml:space="preserve">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1、项目</w:t>
      </w:r>
      <w:r>
        <w:rPr>
          <w:rFonts w:hint="eastAsia" w:ascii="宋体" w:hAnsi="宋体" w:eastAsia="宋体"/>
          <w:bCs/>
          <w:sz w:val="21"/>
          <w:szCs w:val="21"/>
        </w:rPr>
        <w:t xml:space="preserve">策划</w:t>
      </w:r>
      <w:r>
        <w:rPr>
          <w:rFonts w:hint="eastAsia" w:ascii="宋体" w:hAnsi="宋体" w:eastAsia="宋体"/>
          <w:bCs/>
          <w:sz w:val="21"/>
          <w:szCs w:val="21"/>
        </w:rPr>
        <w:t xml:space="preserve">及服务要求：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响应单位需在响应文件中提供制定2026年度全国创新药高质量发展大会活动策划执行和会务服务项目的整体项目组织实施工作方案及上述项目策划方案，要求：方案组成部分应完善，与上述采购清单中的规模要求相符合。</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2、项目服务时间要求：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响应单位需保证在项目活动主办方要求的时间范围内完成项目的策划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项目实施过程中，响应单位应以优良的服务态度，便利、快捷的方式在接到活动主办方通知后1小时内响应到达指定现场并负责解决相关问题。</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3、项目人员配置要求：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响应单位需为该项目配备项目组，并按照不同工作职责分别配置项目负责人及项目组成员。项目总负责人要求具有类似活动组织筹办工作经历，项目组人员需具有相关从业经历资格。响应单位的项目总负责人作为同活动主办方的联络人，必须具体负责项目全部人员的统筹管理，实时了解各个项目的具体进展情况。</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、其他要求：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1</w:t>
      </w:r>
      <w:r>
        <w:rPr>
          <w:rFonts w:hint="eastAsia" w:ascii="宋体" w:hAnsi="宋体" w:eastAsia="宋体"/>
          <w:bCs/>
          <w:sz w:val="21"/>
          <w:szCs w:val="21"/>
        </w:rPr>
        <w:t xml:space="preserve">成交单位在项目进行过程中产生的任何安全、损坏等责任事故一律由成交单位自行承担。如遇突发情况，成交单位需协助活动主办方完成需要成交单位配合的服务。</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2</w:t>
      </w:r>
      <w:r>
        <w:rPr>
          <w:rFonts w:hint="eastAsia" w:ascii="宋体" w:hAnsi="宋体" w:eastAsia="宋体"/>
          <w:bCs/>
          <w:sz w:val="21"/>
          <w:szCs w:val="21"/>
        </w:rPr>
        <w:t xml:space="preserve">成交单位需严格按活动主办方规定的时间完成项目的全部工作内容，如在实施的过程中出现错误，误差，需负责及时更正直至活动主办方</w:t>
      </w:r>
      <w:r>
        <w:rPr>
          <w:rFonts w:hint="eastAsia" w:ascii="宋体" w:hAnsi="宋体" w:eastAsia="宋体"/>
          <w:bCs/>
          <w:sz w:val="21"/>
          <w:szCs w:val="21"/>
        </w:rPr>
        <w:t xml:space="preserve">确认，并经主管部门验收合格。</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3</w:t>
      </w:r>
      <w:r>
        <w:rPr>
          <w:rFonts w:hint="eastAsia" w:ascii="宋体" w:hAnsi="宋体" w:eastAsia="宋体"/>
          <w:bCs/>
          <w:sz w:val="21"/>
          <w:szCs w:val="21"/>
        </w:rPr>
        <w:t xml:space="preserve">成交单位对服务缺陷不予更正，活动主办方有权另请其他单位更正，所发生的费用由成交单位承担。</w:t>
      </w:r>
      <w:r/>
    </w:p>
    <w:p>
      <w:pPr>
        <w:pStyle w:val="641"/>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4</w:t>
      </w:r>
      <w:r>
        <w:rPr>
          <w:rFonts w:hint="eastAsia" w:ascii="宋体" w:hAnsi="宋体" w:eastAsia="宋体"/>
          <w:bCs/>
          <w:sz w:val="21"/>
          <w:szCs w:val="21"/>
        </w:rPr>
        <w:t xml:space="preserve">成交单位应对服务危险性、潜在危险认真考虑周全，对所有项目安全负责，并承担由此可能产生的一切费用，活动主办方不承担任何责任；如需活动主办方配合的工作，双方以书面形式作为唯一联络方式。</w:t>
      </w:r>
      <w:r>
        <w:rPr>
          <w:rFonts w:ascii="宋体" w:hAnsi="宋体" w:eastAsia="宋体"/>
          <w:bCs/>
          <w:sz w:val="21"/>
          <w:szCs w:val="21"/>
        </w:rPr>
      </w:r>
      <w:r/>
    </w:p>
    <w:p>
      <w:pPr>
        <w:pStyle w:val="641"/>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w:t>
      </w:r>
      <w:r>
        <w:rPr>
          <w:rFonts w:hint="eastAsia" w:ascii="宋体" w:hAnsi="宋体" w:eastAsia="宋体" w:cs="宋体"/>
          <w:bCs/>
          <w:sz w:val="21"/>
          <w:szCs w:val="21"/>
        </w:rPr>
        <w:t xml:space="preserve">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w:t>
      </w:r>
      <w:r>
        <w:rPr>
          <w:rFonts w:hint="eastAsia" w:ascii="宋体" w:hAnsi="宋体" w:eastAsia="宋体" w:cs="宋体"/>
          <w:bCs/>
          <w:sz w:val="21"/>
          <w:szCs w:val="21"/>
        </w:rPr>
        <w:t xml:space="preserve">然人的身份证明；</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w:t>
      </w:r>
      <w:r>
        <w:rPr>
          <w:rFonts w:hint="eastAsia" w:ascii="宋体" w:hAnsi="宋体" w:eastAsia="宋体" w:cs="宋体"/>
          <w:b/>
          <w:sz w:val="21"/>
          <w:szCs w:val="21"/>
        </w:rPr>
        <w:t xml:space="preserve">包括但不限于最近一期经审计的财务报告或财务报表或其基本开户银行出具的资信证明</w:t>
      </w:r>
      <w:r>
        <w:rPr>
          <w:rFonts w:hint="eastAsia" w:ascii="宋体" w:hAnsi="宋体" w:eastAsia="宋体" w:cs="宋体"/>
          <w:b/>
          <w:sz w:val="21"/>
          <w:szCs w:val="21"/>
        </w:rPr>
        <w:t xml:space="preserve">）</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60"/>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3.6.6</w:t>
      </w:r>
      <w:r>
        <w:rPr>
          <w:rFonts w:hint="eastAsia" w:ascii="宋体" w:hAnsi="宋体" w:eastAsia="宋体" w:cs="宋体"/>
          <w:b/>
          <w:sz w:val="21"/>
          <w:szCs w:val="21"/>
        </w:rPr>
        <w:t xml:space="preserve">《中小企业声明函》或《残疾人福利性单位声明函》或由省级以上监狱管理局、戒毒管理局（含新疆生产建设兵团）出具的属于监狱企业的证明文件；</w:t>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60"/>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5</w:t>
      </w:r>
      <w:r>
        <w:rPr>
          <w:rFonts w:hint="eastAsia" w:ascii="宋体" w:hAnsi="宋体" w:eastAsia="宋体" w:cs="宋体"/>
          <w:sz w:val="21"/>
          <w:szCs w:val="21"/>
        </w:rPr>
        <w:t xml:space="preserve">其他有关符合性证明的文件；</w:t>
      </w:r>
      <w:r>
        <w:rPr>
          <w:rFonts w:ascii="宋体" w:hAnsi="宋体" w:eastAsia="宋体" w:cs="宋体"/>
          <w:sz w:val="21"/>
          <w:szCs w:val="21"/>
        </w:rPr>
      </w:r>
      <w:r/>
    </w:p>
    <w:p>
      <w:pPr>
        <w:pStyle w:val="66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6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、其他可以证明投标人资质</w:t>
      </w:r>
      <w:r>
        <w:rPr>
          <w:rFonts w:hint="eastAsia" w:ascii="宋体" w:hAnsi="宋体" w:eastAsia="宋体" w:cs="宋体"/>
          <w:b/>
          <w:bCs/>
          <w:sz w:val="21"/>
          <w:szCs w:val="21"/>
        </w:rPr>
        <w:t xml:space="preserve">、服务质量的证书、文件等相关资料。</w:t>
      </w:r>
      <w:r>
        <w:rPr>
          <w:rFonts w:ascii="宋体" w:hAnsi="宋体" w:eastAsia="宋体" w:cs="宋体"/>
          <w:b/>
          <w:bCs/>
          <w:sz w:val="21"/>
          <w:szCs w:val="21"/>
        </w:rPr>
      </w:r>
      <w:r/>
    </w:p>
    <w:p>
      <w:pPr>
        <w:pStyle w:val="660"/>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660"/>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w:t>
      </w:r>
      <w:r>
        <w:rPr>
          <w:rFonts w:hint="eastAsia" w:ascii="宋体" w:hAnsi="宋体" w:eastAsia="宋体" w:cs="宋体"/>
          <w:b/>
          <w:bCs/>
          <w:sz w:val="21"/>
          <w:szCs w:val="21"/>
        </w:rPr>
        <w:t xml:space="preserve">5</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rPr>
          <w:rFonts w:ascii="宋体" w:hAnsi="宋体" w:eastAsia="宋体"/>
          <w:sz w:val="21"/>
          <w:szCs w:val="21"/>
        </w:rPr>
      </w:r>
      <w:r/>
    </w:p>
    <w:p>
      <w:pPr>
        <w:pStyle w:val="660"/>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60"/>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660"/>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1"/>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w:t>
      </w:r>
      <w:r>
        <w:rPr>
          <w:rFonts w:hint="eastAsia" w:ascii="宋体" w:hAnsi="宋体" w:eastAsia="宋体" w:cs="宋体"/>
          <w:sz w:val="21"/>
          <w:szCs w:val="21"/>
        </w:rPr>
        <w:t xml:space="preserve">商采购活动。</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w:t>
      </w:r>
      <w:r>
        <w:rPr>
          <w:rFonts w:hint="eastAsia" w:ascii="宋体" w:hAnsi="宋体" w:eastAsia="宋体" w:cs="宋体"/>
          <w:sz w:val="21"/>
          <w:szCs w:val="21"/>
        </w:rPr>
        <w:t xml:space="preserve">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w:t>
      </w:r>
      <w:r>
        <w:rPr>
          <w:rFonts w:hint="eastAsia" w:ascii="宋体" w:hAnsi="宋体" w:eastAsia="宋体" w:cs="宋体"/>
          <w:sz w:val="21"/>
          <w:szCs w:val="21"/>
        </w:rPr>
        <w:t xml:space="preserve">。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60"/>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6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6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14"/>
        <w:ind w:left="0" w:firstLine="422"/>
        <w:spacing w:line="360" w:lineRule="auto"/>
        <w:rPr>
          <w:rFonts w:hint="eastAsia" w:ascii="宋体" w:hAnsi="宋体" w:cs="宋体"/>
          <w:b/>
          <w:color w:val="000000"/>
          <w:sz w:val="21"/>
          <w:szCs w:val="21"/>
        </w:rPr>
      </w:pPr>
      <w:r/>
      <w:bookmarkStart w:id="57"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4"/>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4"/>
        <w:ind w:left="0" w:firstLine="422"/>
        <w:spacing w:line="360" w:lineRule="auto"/>
        <w:rPr>
          <w:rFonts w:hint="eastAsia" w:ascii="宋体" w:hAnsi="宋体" w:cs="宋体"/>
          <w:b/>
          <w:sz w:val="21"/>
          <w:szCs w:val="21"/>
          <w:lang w:val="en-US"/>
        </w:rPr>
      </w:pPr>
      <w:r/>
      <w:bookmarkEnd w:id="57"/>
      <w:r/>
      <w:bookmarkStart w:id="58" w:name="OLE_LINK3"/>
      <w:r/>
      <w:bookmarkStart w:id="59" w:name="OLE_LINK4"/>
      <w:r>
        <w:rPr>
          <w:rFonts w:hint="eastAsia" w:ascii="宋体" w:hAnsi="宋体" w:cs="宋体"/>
          <w:b/>
          <w:sz w:val="21"/>
          <w:szCs w:val="21"/>
          <w:lang w:val="en-US"/>
        </w:rPr>
        <w:t xml:space="preserve">（1）响应报</w:t>
      </w:r>
      <w:r>
        <w:rPr>
          <w:rFonts w:hint="eastAsia" w:ascii="宋体" w:hAnsi="宋体" w:cs="宋体"/>
          <w:b/>
          <w:sz w:val="21"/>
          <w:szCs w:val="21"/>
          <w:lang w:val="en-US"/>
        </w:rPr>
        <w:t xml:space="preserve">价低于全部通过符合性审查供应商响应报价平均值50%的，即响应报价&lt;全部通过符合性审查供应商响应报价平均值×50%；</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60" w:name="OLE_LINK28"/>
      <w:r/>
      <w:bookmarkStart w:id="61" w:name="OLE_LINK27"/>
      <w:r>
        <w:rPr>
          <w:rFonts w:hint="eastAsia" w:ascii="宋体" w:hAnsi="宋体" w:cs="宋体"/>
          <w:b/>
          <w:sz w:val="21"/>
          <w:szCs w:val="21"/>
          <w:lang w:val="en-US"/>
        </w:rPr>
        <w:t xml:space="preserve">响应报价</w:t>
      </w:r>
      <w:bookmarkEnd w:id="60"/>
      <w:r/>
      <w:bookmarkEnd w:id="61"/>
      <w:r>
        <w:rPr>
          <w:rFonts w:hint="eastAsia" w:ascii="宋体" w:hAnsi="宋体" w:cs="宋体"/>
          <w:b/>
          <w:sz w:val="21"/>
          <w:szCs w:val="21"/>
          <w:lang w:val="en-US"/>
        </w:rPr>
        <w:t xml:space="preserve">低于采购项目最高限价45%的，即响应报价&lt;采购项目最高限价×45%；</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60"/>
        <w:ind w:firstLine="422"/>
        <w:spacing w:line="360" w:lineRule="auto"/>
        <w:rPr>
          <w:rFonts w:ascii="宋体" w:hAnsi="宋体" w:eastAsia="宋体"/>
          <w:b/>
          <w:color w:val="000000"/>
          <w:sz w:val="21"/>
          <w:szCs w:val="21"/>
          <w:lang w:val="zh-CN"/>
        </w:rPr>
      </w:pPr>
      <w:r/>
      <w:bookmarkEnd w:id="58"/>
      <w:r/>
      <w:bookmarkEnd w:id="59"/>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w:t>
      </w:r>
      <w:r>
        <w:rPr>
          <w:rFonts w:hint="eastAsia" w:ascii="宋体" w:hAnsi="宋体" w:eastAsia="宋体"/>
          <w:b/>
          <w:color w:val="000000"/>
          <w:sz w:val="21"/>
          <w:szCs w:val="21"/>
          <w:lang w:val="zh-CN"/>
        </w:rPr>
        <w:t xml:space="preserve">材料不能证明其报价合理性的，磋商小组应当将其作为无效响应处理。</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w:t>
      </w:r>
      <w:r>
        <w:rPr>
          <w:rFonts w:hint="eastAsia" w:ascii="宋体" w:hAnsi="宋体" w:eastAsia="宋体" w:cs="宋体"/>
          <w:sz w:val="21"/>
          <w:szCs w:val="21"/>
        </w:rPr>
        <w:t xml:space="preserve">工作日内作出答复。</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60"/>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60"/>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w:t>
      </w:r>
      <w:r>
        <w:rPr>
          <w:rFonts w:hint="eastAsia" w:ascii="宋体" w:hAnsi="宋体" w:eastAsia="宋体" w:cs="宋体"/>
          <w:sz w:val="21"/>
          <w:szCs w:val="21"/>
        </w:rPr>
        <w:t xml:space="preserve">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1"/>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1"/>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w:t>
      </w:r>
      <w:r>
        <w:rPr>
          <w:rFonts w:hint="eastAsia" w:ascii="宋体" w:hAnsi="宋体" w:eastAsia="宋体"/>
          <w:sz w:val="21"/>
          <w:szCs w:val="21"/>
        </w:rPr>
        <w:t xml:space="preserve">供应商资格要求的响应文件将被认定为无效响应；</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1"/>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4、磋商供应商应对所投项目的全部内容进行报价，只投其中部分内容者，其响应文件将被拒绝。成交单位对服务缺陷不予更正，采购方有权另请其他单位更正，所发生的费用由成交单位承担。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5、磋商供应商必须遵守中华人民共和国《劳动法》的规定，为采购人提供的服务人员如遇到工资纠纷问题由磋商响应单位自行解决。</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6、投报总价包括</w:t>
      </w:r>
      <w:r>
        <w:rPr>
          <w:rFonts w:hint="eastAsia" w:ascii="宋体" w:hAnsi="宋体" w:eastAsia="宋体"/>
          <w:sz w:val="21"/>
          <w:szCs w:val="21"/>
        </w:rPr>
        <w:t xml:space="preserve">完成本项目所有服务内容、成本、人工、餐费、管理、保险、利润、税金、政策性文件规定及合同包含的所有风险、责任等各项应有费用</w:t>
      </w:r>
      <w:r>
        <w:rPr>
          <w:rFonts w:hint="eastAsia" w:ascii="宋体" w:hAnsi="宋体" w:eastAsia="宋体"/>
          <w:sz w:val="21"/>
          <w:szCs w:val="21"/>
        </w:rPr>
        <w:t xml:space="preserve">。</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7、凡涉及采购文件的补充说明和修改，均以苏州政府采购网最后发布的内容为准。</w:t>
      </w:r>
      <w:r/>
    </w:p>
    <w:p>
      <w:pPr>
        <w:pStyle w:val="641"/>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w:t>
      </w:r>
      <w:r>
        <w:rPr>
          <w:rFonts w:hint="eastAsia" w:ascii="宋体" w:hAnsi="宋体" w:eastAsia="宋体"/>
          <w:sz w:val="21"/>
          <w:szCs w:val="21"/>
        </w:rPr>
        <w:t xml:space="preserve">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1"/>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w:t>
      </w:r>
      <w:r>
        <w:rPr>
          <w:rFonts w:hint="eastAsia" w:ascii="宋体" w:hAnsi="宋体" w:eastAsia="宋体"/>
          <w:b/>
          <w:bCs/>
          <w:sz w:val="21"/>
          <w:szCs w:val="21"/>
        </w:rPr>
        <w:t xml:space="preserve">租赁和商务服务业</w:t>
      </w:r>
      <w:r>
        <w:rPr>
          <w:rFonts w:hint="eastAsia" w:ascii="宋体" w:hAnsi="宋体" w:eastAsia="宋体"/>
          <w:b/>
          <w:bCs/>
          <w:sz w:val="21"/>
          <w:szCs w:val="21"/>
        </w:rPr>
        <w:t xml:space="preserve">。</w:t>
      </w:r>
      <w:r>
        <w:rPr>
          <w:rFonts w:ascii="宋体" w:hAnsi="宋体" w:eastAsia="宋体"/>
          <w:b/>
          <w:bCs/>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w:t>
      </w:r>
      <w:r>
        <w:rPr>
          <w:rFonts w:hint="eastAsia" w:ascii="宋体" w:hAnsi="宋体" w:eastAsia="宋体"/>
          <w:sz w:val="21"/>
          <w:szCs w:val="21"/>
        </w:rPr>
        <w:t xml:space="preserve">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1"/>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4、针对中小型企业、残疾人福利企业和监狱企业的评审：</w:t>
      </w:r>
      <w:r>
        <w:rPr>
          <w:rFonts w:ascii="宋体" w:hAnsi="宋体" w:eastAsia="宋体" w:cs="宋体"/>
          <w:sz w:val="21"/>
          <w:szCs w:val="22"/>
        </w:rPr>
      </w:r>
      <w:r/>
    </w:p>
    <w:p>
      <w:pPr>
        <w:pStyle w:val="641"/>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rPr>
      </w:r>
      <w:r/>
    </w:p>
    <w:p>
      <w:pPr>
        <w:pStyle w:val="641"/>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641"/>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641"/>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w:t>
      </w:r>
      <w:r>
        <w:rPr>
          <w:rFonts w:hint="eastAsia" w:ascii="宋体" w:hAnsi="宋体" w:eastAsia="宋体"/>
          <w:sz w:val="21"/>
        </w:rPr>
        <w:t xml:space="preserve">采购法”相关规定处理并报请政府监管部门给予行政处罚。</w:t>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5、绿色采购（本项目不涉及）</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w:t>
      </w:r>
      <w:r>
        <w:rPr>
          <w:rFonts w:hint="eastAsia" w:ascii="宋体" w:hAnsi="宋体" w:eastAsia="宋体"/>
          <w:sz w:val="21"/>
          <w:szCs w:val="21"/>
        </w:rPr>
        <w:t xml:space="preserve">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6、支持本国产品政策（本项目不涉及）</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号）（以下简称</w:t>
      </w:r>
      <w:r>
        <w:rPr>
          <w:rFonts w:hint="cs" w:ascii="宋体" w:hAnsi="宋体" w:eastAsia="宋体"/>
          <w:sz w:val="21"/>
          <w:szCs w:val="21"/>
          <w:cs/>
        </w:rPr>
        <w:t xml:space="preserve">“</w:t>
      </w:r>
      <w:r>
        <w:rPr>
          <w:rFonts w:hint="eastAsia" w:ascii="宋体" w:hAnsi="宋体" w:eastAsia="宋体"/>
          <w:sz w:val="21"/>
          <w:szCs w:val="21"/>
        </w:rPr>
        <w:t xml:space="preserve">本国产品扶持政策</w:t>
      </w:r>
      <w:r>
        <w:rPr>
          <w:rFonts w:hint="cs" w:ascii="宋体" w:hAnsi="宋体" w:eastAsia="宋体"/>
          <w:sz w:val="21"/>
          <w:szCs w:val="21"/>
          <w:cs/>
        </w:rPr>
        <w:t xml:space="preserve">”</w:t>
      </w:r>
      <w:r>
        <w:rPr>
          <w:rFonts w:hint="eastAsia" w:ascii="宋体" w:hAnsi="宋体" w:eastAsia="宋体"/>
          <w:sz w:val="21"/>
          <w:szCs w:val="21"/>
        </w:rPr>
        <w:t xml:space="preserve">）的规定，既有本国产品又有非本国产品参与竞争的，依法对本国产品给予价格评审优惠，对本国产品的报价给予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（2）采购项目或者采购包含有多种产品，供应商为该采购项目或者采购包提供的符合本国产品标准的产品成本之和占该供应商提供的全部产品成本之和的比例达到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以上时，依法对该供应商的全部产品给予价格评审优惠，即对该供应商提供的全部产品的总报价给予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的价格扣除，用扣除后的价格参与评审。供应商应提供《关于本国产品成本占比的声明函》，未填写比例数值，或比例数值未达到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（3）本国产品标准的适用范围</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w:t>
      </w:r>
      <w:r>
        <w:rPr>
          <w:rFonts w:hint="eastAsia" w:ascii="宋体" w:hAnsi="宋体" w:eastAsia="宋体"/>
          <w:sz w:val="21"/>
          <w:szCs w:val="21"/>
        </w:rPr>
        <w:t xml:space="preserve">案，特种动植物，农林牧渔业产品，矿与矿物，电力、城市燃气、蒸汽和热水、水，食品、饮料和烟草原料，无形资产。</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4）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多种产品采购时，还应提供《关于本国产品成本占比的声明函》（格式见第二章）。</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未按上述要求提供的，不享受本国产品扶持政策。</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（5）评标过程中，如发现供应商在《关于符合本国产品标准的声明函》内容含义不明确、同类事项与投标（响应）文件表述不一致</w:t>
      </w:r>
      <w:r>
        <w:rPr>
          <w:rFonts w:hint="eastAsia" w:ascii="宋体" w:hAnsi="宋体" w:eastAsia="宋体"/>
          <w:sz w:val="21"/>
          <w:szCs w:val="21"/>
        </w:rPr>
        <w:t xml:space="preserve">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号）和采购文件规定的，供应商提供的相关产品视为不符合本国产品标准。</w:t>
      </w:r>
      <w:r>
        <w:rPr>
          <w:rFonts w:ascii="宋体" w:hAnsi="宋体" w:eastAsia="宋体"/>
          <w:sz w:val="21"/>
          <w:szCs w:val="21"/>
        </w:rPr>
      </w:r>
      <w:r/>
    </w:p>
    <w:p>
      <w:pPr>
        <w:pStyle w:val="641"/>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（6）若供应商提供虚假《关于符合本国产品标准的声明函》、《关于本国产品成本占比的声明函》、虚假证明文件谋取中标、成交的，依照《中华人民共和国政府采购法》等法律法规规定追究相应责任。</w:t>
      </w:r>
      <w:r>
        <w:rPr>
          <w:rFonts w:ascii="宋体" w:hAnsi="宋体" w:eastAsia="宋体"/>
          <w:sz w:val="21"/>
          <w:szCs w:val="21"/>
        </w:rPr>
      </w:r>
      <w:r/>
    </w:p>
    <w:p>
      <w:pPr>
        <w:pStyle w:val="641"/>
        <w:ind w:firstLine="420"/>
        <w:spacing w:line="360" w:lineRule="auto"/>
        <w:tabs>
          <w:tab w:val="left" w:pos="753" w:leader="none"/>
        </w:tabs>
        <w:rPr>
          <w:rFonts w:hint="eastAsia" w:ascii="宋体" w:hAnsi="宋体" w:eastAsia="宋体"/>
          <w:sz w:val="21"/>
          <w:szCs w:val="21"/>
        </w:rPr>
      </w:pPr>
      <w:r>
        <w:rPr>
          <w:rFonts w:hint="eastAsia" w:ascii="宋体" w:hAnsi="宋体" w:eastAsia="宋体"/>
          <w:sz w:val="21"/>
          <w:szCs w:val="21"/>
        </w:rPr>
        <w:t xml:space="preserve">（7）供应商提供的《关于符合本国产品标准的声明函》，或财政部会同有关部门规定的有关证明文件将随中标（成交）结果同时公告。</w:t>
      </w:r>
      <w:r>
        <w:rPr>
          <w:rFonts w:hint="eastAsia" w:ascii="宋体" w:hAnsi="宋体" w:eastAsia="宋体"/>
          <w:sz w:val="21"/>
          <w:szCs w:val="21"/>
        </w:rPr>
      </w:r>
      <w:r/>
    </w:p>
    <w:p>
      <w:pPr>
        <w:pStyle w:val="641"/>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sz w:val="21"/>
          <w:szCs w:val="21"/>
        </w:rPr>
        <w:t xml:space="preserve">供应商，应当拒绝其参与政府采购活动。</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1"/>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1"/>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2"/>
        <w:jc w:val="center"/>
        <w:spacing w:line="360" w:lineRule="auto"/>
        <w:rPr>
          <w:rFonts w:ascii="宋体" w:hAnsi="宋体" w:eastAsia="宋体"/>
          <w:sz w:val="52"/>
        </w:rPr>
      </w:pPr>
      <w:r/>
      <w:bookmarkStart w:id="62" w:name="_Toc1784"/>
      <w:r>
        <w:rPr>
          <w:rFonts w:hint="eastAsia" w:ascii="宋体" w:hAnsi="宋体" w:eastAsia="宋体"/>
          <w:sz w:val="52"/>
        </w:rPr>
        <w:t xml:space="preserve">第四章 合</w:t>
      </w:r>
      <w:r>
        <w:rPr>
          <w:rFonts w:hint="eastAsia" w:ascii="宋体" w:hAnsi="宋体" w:eastAsia="宋体"/>
          <w:sz w:val="52"/>
        </w:rPr>
        <w:t xml:space="preserve">同主要条款</w:t>
      </w:r>
      <w:bookmarkEnd w:id="56"/>
      <w:r/>
      <w:bookmarkEnd w:id="62"/>
      <w:r>
        <w:rPr>
          <w:rFonts w:ascii="宋体" w:hAnsi="宋体" w:eastAsia="宋体"/>
          <w:sz w:val="52"/>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甲方：苏州市医疗保障局</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地址：苏州市姑苏区平泷路</w:t>
      </w:r>
      <w:r>
        <w:rPr>
          <w:rFonts w:ascii="宋体" w:hAnsi="宋体" w:eastAsia="宋体"/>
          <w:sz w:val="21"/>
          <w:szCs w:val="21"/>
          <w:lang w:eastAsia="en-US"/>
        </w:rPr>
        <w:t xml:space="preserve">188</w:t>
      </w:r>
      <w:r>
        <w:rPr>
          <w:rFonts w:hint="eastAsia" w:ascii="宋体" w:hAnsi="宋体" w:eastAsia="宋体"/>
          <w:sz w:val="21"/>
          <w:szCs w:val="21"/>
          <w:lang w:eastAsia="en-US"/>
        </w:rPr>
        <w:t xml:space="preserve">号</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电话：</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乙方：</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1"/>
        <w:ind w:firstLine="420"/>
        <w:spacing w:line="360" w:lineRule="auto"/>
        <w:rPr>
          <w:rFonts w:hint="eastAsia" w:ascii="宋体" w:hAnsi="宋体" w:eastAsia="宋体"/>
          <w:sz w:val="21"/>
          <w:szCs w:val="21"/>
          <w:highlight w:val="yellow"/>
          <w:lang w:eastAsia="en-US"/>
        </w:rPr>
      </w:pPr>
      <w:r>
        <w:rPr>
          <w:rFonts w:hint="eastAsia" w:ascii="宋体" w:hAnsi="宋体" w:eastAsia="宋体"/>
          <w:sz w:val="21"/>
          <w:szCs w:val="21"/>
          <w:lang w:eastAsia="en-US"/>
        </w:rPr>
        <w:t xml:space="preserve">电话：</w:t>
      </w:r>
      <w:r>
        <w:rPr>
          <w:rFonts w:hint="eastAsia" w:ascii="宋体" w:hAnsi="宋体" w:eastAsia="宋体"/>
          <w:sz w:val="21"/>
          <w:szCs w:val="21"/>
          <w:highlight w:val="yellow"/>
          <w:lang w:eastAsia="en-US"/>
        </w:rPr>
      </w:r>
      <w:r/>
    </w:p>
    <w:p>
      <w:pPr>
        <w:pStyle w:val="641"/>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根据苏州鸿鑫工程咨询有限公司采购编号</w:t>
      </w:r>
      <w:r>
        <w:rPr>
          <w:rFonts w:ascii="宋体" w:hAnsi="宋体" w:eastAsia="宋体"/>
          <w:sz w:val="21"/>
          <w:szCs w:val="21"/>
        </w:rPr>
        <w:t xml:space="preserve">JSZC-320500-SZHX-G202</w:t>
      </w:r>
      <w:r>
        <w:rPr>
          <w:rFonts w:hint="eastAsia" w:ascii="宋体" w:hAnsi="宋体" w:eastAsia="宋体"/>
          <w:sz w:val="21"/>
          <w:szCs w:val="21"/>
        </w:rPr>
        <w:t xml:space="preserve">6</w:t>
      </w:r>
      <w:r>
        <w:rPr>
          <w:rFonts w:ascii="宋体" w:hAnsi="宋体" w:eastAsia="宋体"/>
          <w:sz w:val="21"/>
          <w:szCs w:val="21"/>
        </w:rPr>
        <w:t xml:space="preserve">-00</w:t>
      </w:r>
      <w:r>
        <w:rPr>
          <w:rFonts w:hint="eastAsia" w:ascii="宋体" w:hAnsi="宋体" w:eastAsia="宋体"/>
          <w:sz w:val="21"/>
          <w:szCs w:val="21"/>
        </w:rPr>
        <w:t xml:space="preserve">00</w:t>
      </w:r>
      <w:r>
        <w:rPr>
          <w:rFonts w:hint="eastAsia" w:ascii="宋体" w:hAnsi="宋体" w:eastAsia="宋体"/>
          <w:sz w:val="21"/>
          <w:szCs w:val="21"/>
        </w:rPr>
        <w:t xml:space="preserve">号采购文件及成交单位的响应文件和成交通知书，委托方（简称“甲方”）和受托供应商（简称“乙方”）双方就此次成交的</w:t>
      </w:r>
      <w:r>
        <w:rPr>
          <w:rFonts w:hint="eastAsia" w:ascii="宋体" w:hAnsi="宋体" w:eastAsia="宋体" w:cs="宋体"/>
          <w:sz w:val="21"/>
          <w:szCs w:val="21"/>
        </w:rPr>
        <w:t xml:space="preserve">2026年度全国创新药高质量发展大会活动策划执行和会务服务项目</w:t>
      </w:r>
      <w:r>
        <w:rPr>
          <w:rFonts w:hint="eastAsia" w:ascii="宋体" w:hAnsi="宋体" w:eastAsia="宋体"/>
          <w:sz w:val="21"/>
          <w:szCs w:val="21"/>
        </w:rPr>
        <w:t xml:space="preserve">的成交事宜，经友好协商一致，签订本合同书，以资共同遵守。</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一、项目名称：2026年度全国创新药高质量发展大会活动策划执行和会务服务项目</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二、服务内容：详见采购文件第三章</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三、合同价款及支付方式：</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合同价款为人民币：大写</w:t>
      </w:r>
      <w:r>
        <w:rPr>
          <w:rFonts w:ascii="宋体" w:hAnsi="宋体" w:eastAsia="宋体" w:cs="宋体"/>
          <w:sz w:val="21"/>
          <w:szCs w:val="21"/>
        </w:rPr>
        <w:t xml:space="preserve">(</w:t>
      </w:r>
      <w:r>
        <w:rPr>
          <w:rFonts w:hint="eastAsia" w:ascii="宋体" w:hAnsi="宋体" w:eastAsia="宋体" w:cs="宋体"/>
          <w:sz w:val="21"/>
          <w:szCs w:val="21"/>
        </w:rPr>
        <w:t xml:space="preserve">元整</w:t>
      </w:r>
      <w:r>
        <w:rPr>
          <w:rFonts w:ascii="宋体" w:hAnsi="宋体" w:eastAsia="宋体" w:cs="宋体"/>
          <w:sz w:val="21"/>
          <w:szCs w:val="21"/>
        </w:rPr>
        <w:t xml:space="preserve">)</w:t>
      </w:r>
      <w:r>
        <w:rPr>
          <w:rFonts w:hint="eastAsia" w:ascii="宋体" w:hAnsi="宋体" w:eastAsia="宋体" w:cs="宋体"/>
          <w:sz w:val="21"/>
          <w:szCs w:val="21"/>
        </w:rPr>
        <w:t xml:space="preserve">，小写</w:t>
      </w:r>
      <w:r>
        <w:rPr>
          <w:rFonts w:ascii="宋体" w:hAnsi="宋体" w:eastAsia="宋体" w:cs="宋体"/>
          <w:sz w:val="21"/>
          <w:szCs w:val="21"/>
        </w:rPr>
        <w:t xml:space="preserve">(</w:t>
      </w:r>
      <w:r>
        <w:rPr>
          <w:rFonts w:hint="eastAsia" w:ascii="宋体" w:hAnsi="宋体" w:eastAsia="宋体" w:cs="宋体"/>
          <w:sz w:val="21"/>
          <w:szCs w:val="21"/>
        </w:rPr>
        <w:t xml:space="preserve">元</w:t>
      </w:r>
      <w:r>
        <w:rPr>
          <w:rFonts w:ascii="宋体" w:hAnsi="宋体" w:eastAsia="宋体" w:cs="宋体"/>
          <w:sz w:val="21"/>
          <w:szCs w:val="21"/>
        </w:rPr>
        <w:t xml:space="preserve">)</w:t>
      </w:r>
      <w:r>
        <w:rPr>
          <w:rFonts w:hint="eastAsia" w:ascii="宋体" w:hAnsi="宋体" w:eastAsia="宋体" w:cs="宋体"/>
          <w:sz w:val="21"/>
          <w:szCs w:val="21"/>
        </w:rPr>
        <w:t xml:space="preserve">，包括完成服务内容所需要的一切费用，包括完成本项目所有服务内容、成本、人工、餐费、管理、保险、利润、税金、政策性文件规定及合同包含的所有风险、责任等各项应有费用。除本项目合同约定的价款外，甲方不再需向乙方支付其他任何费用。乙方所报价格在合同实施期间不因市场变化因素而变动。</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付款方式：</w:t>
      </w:r>
      <w:r>
        <w:rPr>
          <w:rFonts w:hint="eastAsia" w:ascii="宋体" w:hAnsi="宋体" w:eastAsia="宋体" w:cs="宋体"/>
          <w:sz w:val="21"/>
          <w:szCs w:val="21"/>
        </w:rPr>
        <w:t xml:space="preserve">合同签订生效后的</w:t>
      </w:r>
      <w:r>
        <w:rPr>
          <w:rFonts w:ascii="宋体" w:hAnsi="宋体" w:eastAsia="宋体" w:cs="宋体"/>
          <w:sz w:val="21"/>
          <w:szCs w:val="21"/>
        </w:rPr>
        <w:t xml:space="preserve">7</w:t>
      </w:r>
      <w:r>
        <w:rPr>
          <w:rFonts w:hint="eastAsia" w:ascii="宋体" w:hAnsi="宋体" w:eastAsia="宋体" w:cs="宋体"/>
          <w:sz w:val="21"/>
          <w:szCs w:val="21"/>
        </w:rPr>
        <w:t xml:space="preserve">个工作日</w:t>
      </w:r>
      <w:r>
        <w:rPr>
          <w:rFonts w:hint="eastAsia" w:ascii="宋体" w:hAnsi="宋体" w:eastAsia="宋体" w:cs="宋体"/>
          <w:sz w:val="21"/>
          <w:szCs w:val="21"/>
        </w:rPr>
        <w:t xml:space="preserve">内，甲方向乙方支付合同总金额的</w:t>
      </w:r>
      <w:r>
        <w:rPr>
          <w:rFonts w:hint="eastAsia" w:ascii="宋体" w:hAnsi="宋体" w:eastAsia="宋体" w:cs="宋体"/>
          <w:sz w:val="21"/>
          <w:szCs w:val="21"/>
        </w:rPr>
        <w:t xml:space="preserve">3</w:t>
      </w:r>
      <w:r>
        <w:rPr>
          <w:rFonts w:hint="eastAsia" w:ascii="宋体" w:hAnsi="宋体" w:eastAsia="宋体" w:cs="宋体"/>
          <w:sz w:val="21"/>
          <w:szCs w:val="21"/>
        </w:rPr>
        <w:t xml:space="preserve">0%；项目全部完成经甲</w:t>
      </w:r>
      <w:r>
        <w:rPr>
          <w:rFonts w:hint="eastAsia" w:ascii="宋体" w:hAnsi="宋体" w:eastAsia="宋体" w:cs="宋体"/>
          <w:sz w:val="21"/>
          <w:szCs w:val="21"/>
        </w:rPr>
        <w:t xml:space="preserve">方验收合格并经审计通过后</w:t>
      </w:r>
      <w:r>
        <w:rPr>
          <w:rFonts w:ascii="宋体" w:hAnsi="宋体" w:eastAsia="宋体" w:cs="宋体"/>
          <w:sz w:val="21"/>
          <w:szCs w:val="21"/>
        </w:rPr>
        <w:t xml:space="preserve">7</w:t>
      </w:r>
      <w:r>
        <w:rPr>
          <w:rFonts w:hint="eastAsia" w:ascii="宋体" w:hAnsi="宋体" w:eastAsia="宋体" w:cs="宋体"/>
          <w:sz w:val="21"/>
          <w:szCs w:val="21"/>
        </w:rPr>
        <w:t xml:space="preserve">个工作日</w:t>
      </w:r>
      <w:r>
        <w:rPr>
          <w:rFonts w:hint="eastAsia" w:ascii="宋体" w:hAnsi="宋体" w:eastAsia="宋体" w:cs="宋体"/>
          <w:sz w:val="21"/>
          <w:szCs w:val="21"/>
        </w:rPr>
        <w:t xml:space="preserve">内按审定金额支付剩余尾款。</w:t>
      </w:r>
      <w:r>
        <w:rPr>
          <w:rFonts w:ascii="宋体" w:hAnsi="宋体" w:eastAsia="宋体" w:cs="宋体"/>
          <w:sz w:val="21"/>
          <w:szCs w:val="21"/>
        </w:rPr>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配合甲方进行审计并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根据现行税法对甲方征收的与本合同有关的一切税费均由甲方承担；根据现行税法对乙方征收的与本合同有关的一切税费均由乙方承担。</w:t>
      </w:r>
      <w:r>
        <w:rPr>
          <w:rFonts w:ascii="宋体" w:hAnsi="宋体" w:eastAsia="宋体" w:cs="宋体"/>
          <w:sz w:val="21"/>
          <w:szCs w:val="21"/>
        </w:rPr>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4.支付方式：银行转账、银行汇票或转账支票，甲方有权根据财务安排自主选择具体支付方式。乙方账户信息如下：</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开户名：</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账  号：</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开户行：</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未经双方书面协商一致，乙方不得擅自变更收款账户信息，也不得转让债权；未经甲方书面同意的债权转让对甲方不发生法律效力，甲方仍有权按照合同约定账户支付费用。</w:t>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甲方付款前，乙方应向甲方提供合法有效且符合甲方要求的发票，乙方未提供上述发票的，甲方有权迟延付款且不承担迟延付款的违约责任。</w:t>
      </w:r>
      <w:r>
        <w:rPr>
          <w:rFonts w:hint="eastAsia"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四、甲方权利和</w:t>
      </w:r>
      <w:r>
        <w:rPr>
          <w:rFonts w:hint="eastAsia" w:ascii="宋体" w:hAnsi="宋体" w:eastAsia="宋体" w:cs="宋体"/>
          <w:sz w:val="21"/>
          <w:szCs w:val="21"/>
        </w:rPr>
        <w:t xml:space="preserve">义务：</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根据甲方采购要求及乙方响应文件中的承诺，对乙方提供的服务及行本合同情况实行验收考核。</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五、乙方权利和义务：</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乙方根据国家标准、行业标准和规范要求及标书规定的服务质量标准和有关要求，积极主动保质保量地完成服务工作。</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接受并主动配合甲方及行业主管部门的检查。</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服务范围之外的突击性、突发性工作，乙方须服从甲方的安排，不得无故拖延。</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因乙方管理不善而损坏的硬件、设施应负责及时修复，或照价赔偿。</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乙方应做好详细的管理台账，建立管理档案，并按双方约定将管理情况汇总报送甲方。</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乙方按采购要求委派专业项目人员至甲方指定地点进行现场办公。</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为确保服务质量，乙方安排管理人员进行监督管理。</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服务过程中，乙方必须采取周密的安全措施，以避免人身和财产损害事件的发生。如因乙方原因而造成人身伤害或财产损失的，由乙方承担。</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对于乙方服务期间由于服务工作不能及时完成，且造成较大影响的，甲方有权扣除服务费，扣除金额由甲方根据情况确定，乙方对此无异议。</w:t>
      </w:r>
      <w:r>
        <w:rPr>
          <w:rFonts w:ascii="宋体" w:hAnsi="宋体" w:eastAsia="宋体" w:cs="宋体"/>
          <w:sz w:val="21"/>
          <w:szCs w:val="21"/>
        </w:rPr>
      </w:r>
      <w:r/>
    </w:p>
    <w:p>
      <w:pPr>
        <w:pStyle w:val="65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10.乙方应确保从事本合同项下服务的工作人员为乙方合法雇员，并办理了相关职业保险。乙方雇员在为甲方提供本合同项下服务过程中的一切行为视为乙方行为，非因甲</w:t>
      </w:r>
      <w:r>
        <w:rPr>
          <w:rFonts w:hint="eastAsia" w:ascii="宋体" w:hAnsi="宋体" w:eastAsia="宋体" w:cs="宋体"/>
          <w:sz w:val="21"/>
          <w:szCs w:val="21"/>
        </w:rPr>
        <w:t xml:space="preserve">方原因而受到的人身伤害由乙方承担全部责任。乙方不得因与雇员之间的纠纷影响为甲方提供服务。对于甲方认为不适合继续从事本合同项下服务的雇员，一经甲方提出，乙方应立即予以更换。</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11.乙方保证其提供的服务未侵犯第三人之著作权、商标权、专利权等知识产权，不会侵犯任何第三人的商业秘密或对任何第三人构成不正当竞争，如因此与第三人发生争议、诉讼或仲裁案件，由乙方承担全部责任，并负责赔偿甲方由此而遭受的全部损失。同时乙方需提供全力支持防止因上述侵权给甲方带来的直接和预期的损失，包括但不限于提供甲方继续使用本合同项下的服务而需取得的第三方授权，并承担因此而产生的所有费用。</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六、验收</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本项目在完成合同全部任务后进行最终验收。甲方应当在</w:t>
      </w:r>
      <w:r>
        <w:rPr>
          <w:rFonts w:ascii="宋体" w:hAnsi="宋体" w:eastAsia="宋体" w:cs="宋体"/>
          <w:sz w:val="21"/>
          <w:szCs w:val="21"/>
        </w:rPr>
        <w:t xml:space="preserve">5</w:t>
      </w:r>
      <w:r>
        <w:rPr>
          <w:rFonts w:hint="eastAsia" w:ascii="宋体" w:hAnsi="宋体" w:eastAsia="宋体" w:cs="宋体"/>
          <w:sz w:val="21"/>
          <w:szCs w:val="21"/>
        </w:rPr>
        <w:t xml:space="preserve">个工作日内启动履约验收工作，并向乙方发出《政府采购约验收通知单》。</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在本合同约定的履行验收条件达到时，乙方可以主动联系采购人启动履约验收工作。</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甲方应当成立验收小组，负责采购项目履约验收具体工作。组成验收小组应符合以下要求：</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①验收小组一般由甲方指定的本单位</w:t>
      </w:r>
      <w:r>
        <w:rPr>
          <w:rFonts w:ascii="宋体" w:hAnsi="宋体" w:eastAsia="宋体" w:cs="宋体"/>
          <w:sz w:val="21"/>
          <w:szCs w:val="21"/>
        </w:rPr>
        <w:t xml:space="preserve">3</w:t>
      </w:r>
      <w:r>
        <w:rPr>
          <w:rFonts w:hint="eastAsia" w:ascii="宋体" w:hAnsi="宋体" w:eastAsia="宋体" w:cs="宋体"/>
          <w:sz w:val="21"/>
          <w:szCs w:val="21"/>
        </w:rPr>
        <w:t xml:space="preserve">名</w:t>
      </w:r>
      <w:r>
        <w:rPr>
          <w:rFonts w:ascii="宋体" w:hAnsi="宋体" w:eastAsia="宋体" w:cs="宋体"/>
          <w:sz w:val="21"/>
          <w:szCs w:val="21"/>
        </w:rPr>
        <w:t xml:space="preserve">(</w:t>
      </w:r>
      <w:r>
        <w:rPr>
          <w:rFonts w:hint="eastAsia" w:ascii="宋体" w:hAnsi="宋体" w:eastAsia="宋体" w:cs="宋体"/>
          <w:sz w:val="21"/>
          <w:szCs w:val="21"/>
        </w:rPr>
        <w:t xml:space="preserve">含</w:t>
      </w:r>
      <w:r>
        <w:rPr>
          <w:rFonts w:ascii="宋体" w:hAnsi="宋体" w:eastAsia="宋体" w:cs="宋体"/>
          <w:sz w:val="21"/>
          <w:szCs w:val="21"/>
        </w:rPr>
        <w:t xml:space="preserve">)</w:t>
      </w:r>
      <w:r>
        <w:rPr>
          <w:rFonts w:hint="eastAsia" w:ascii="宋体" w:hAnsi="宋体" w:eastAsia="宋体" w:cs="宋体"/>
          <w:sz w:val="21"/>
          <w:szCs w:val="21"/>
        </w:rPr>
        <w:t xml:space="preserve">以上单数工作人员组成，并确定一名负责人。参与本项目评审的甲方代表不能作为负责人，分期</w:t>
      </w:r>
      <w:r>
        <w:rPr>
          <w:rFonts w:ascii="宋体" w:hAnsi="宋体" w:eastAsia="宋体" w:cs="宋体"/>
          <w:sz w:val="21"/>
          <w:szCs w:val="21"/>
        </w:rPr>
        <w:t xml:space="preserve">(</w:t>
      </w:r>
      <w:r>
        <w:rPr>
          <w:rFonts w:hint="eastAsia" w:ascii="宋体" w:hAnsi="宋体" w:eastAsia="宋体" w:cs="宋体"/>
          <w:sz w:val="21"/>
          <w:szCs w:val="21"/>
        </w:rPr>
        <w:t xml:space="preserve">分段</w:t>
      </w:r>
      <w:r>
        <w:rPr>
          <w:rFonts w:ascii="宋体" w:hAnsi="宋体" w:eastAsia="宋体" w:cs="宋体"/>
          <w:sz w:val="21"/>
          <w:szCs w:val="21"/>
        </w:rPr>
        <w:t xml:space="preserve">)</w:t>
      </w:r>
      <w:r>
        <w:rPr>
          <w:rFonts w:hint="eastAsia" w:ascii="宋体" w:hAnsi="宋体" w:eastAsia="宋体" w:cs="宋体"/>
          <w:sz w:val="21"/>
          <w:szCs w:val="21"/>
        </w:rPr>
        <w:t xml:space="preserve">验收的负责人原则上应当保持一致，</w:t>
      </w:r>
      <w:r>
        <w:rPr>
          <w:rFonts w:hint="eastAsia" w:ascii="宋体" w:hAnsi="宋体" w:eastAsia="宋体" w:cs="宋体"/>
          <w:sz w:val="21"/>
          <w:szCs w:val="21"/>
        </w:rPr>
        <w:t xml:space="preserve">负责人不得无故更换。</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②根据采购项目特点和实际需要，可以邀请相关领域专业技术人员等作为验收小组成员参与验收。前期参与本采购项目相关采购活动的采购代理机构工作人员、评审专家以及与己方有利害关系的人员，不得作为验收小组成员参与履约验收。</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③财政部门政府采购监管人员不得作为验收小组成员参与履约验收。</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验收地点：甲方指定地点。</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验收标准：须符合我国最新颁布的与之相关的技术规范与标准，并同时满足采购文件要求和乙方所作承诺。</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任一项验收不合格的，乙方应负责在甲方限定的期限内完成整改，因整改而导致的费用和损失由乙方自行承担，若导致项目逾期的，乙方承担逾期违约责任。</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甲方所有验收意见将以书面形式做出并加盖甲方公章，因此除非甲方书面明示通过验收，否则任何其他行为均不代表甲方已验收合格。</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甲方的验收主要是对成果与规范是否基本一致所做，但并不免除乙方应当对成果本身负责。若乙方的成果及成果所依赖的数据错误，则仍应由乙方负责。</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七、违约责任：</w:t>
      </w:r>
      <w:r>
        <w:rPr>
          <w:rFonts w:ascii="宋体" w:hAnsi="宋体" w:eastAsia="宋体" w:cs="宋体"/>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1.合同一方不履行合同义务或者履行合同义务不符合约定的，应当承担继续履行、采取补救措施或赔偿损失等违约责任。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2.甲方违约责任。</w:t>
      </w:r>
      <w:r>
        <w:rPr>
          <w:rFonts w:hint="eastAsia" w:ascii="宋体" w:hAnsi="宋体" w:eastAsia="宋体" w:cs="仿宋_GB2312"/>
          <w:color w:val="000000"/>
          <w:sz w:val="21"/>
          <w:szCs w:val="21"/>
        </w:rPr>
        <w:t xml:space="preserve">甲方逾期付款的应按照逾期付款金额的每天万分之四</w:t>
      </w:r>
      <w:r>
        <w:rPr>
          <w:rFonts w:hint="eastAsia" w:ascii="宋体" w:hAnsi="宋体" w:eastAsia="宋体" w:cs="仿宋_GB2312"/>
          <w:color w:val="000000"/>
          <w:sz w:val="21"/>
          <w:szCs w:val="21"/>
        </w:rPr>
        <w:t xml:space="preserve">支付逾期付款违约金</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但甲方支付此项违约金以合同总金额的</w:t>
      </w:r>
      <w:r>
        <w:rPr>
          <w:rFonts w:ascii="宋体" w:hAnsi="宋体" w:eastAsia="宋体" w:cs="仿宋_GB2312"/>
          <w:color w:val="000000"/>
          <w:sz w:val="21"/>
          <w:szCs w:val="21"/>
          <w:lang w:eastAsia="en-US"/>
        </w:rPr>
        <w:t xml:space="preserve">1%</w:t>
      </w:r>
      <w:r>
        <w:rPr>
          <w:rFonts w:hint="eastAsia" w:ascii="宋体" w:hAnsi="宋体" w:eastAsia="宋体" w:cs="仿宋_GB2312"/>
          <w:color w:val="000000"/>
          <w:sz w:val="21"/>
          <w:szCs w:val="21"/>
          <w:lang w:eastAsia="en-US"/>
        </w:rPr>
        <w:t xml:space="preserve">为限</w:t>
      </w:r>
      <w:r>
        <w:rPr>
          <w:rFonts w:hint="eastAsia" w:ascii="宋体" w:hAnsi="宋体" w:eastAsia="宋体" w:cs="仿宋_GB2312"/>
          <w:color w:val="000000"/>
          <w:sz w:val="21"/>
          <w:szCs w:val="21"/>
        </w:rPr>
        <w:t xml:space="preserve">。</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乙方违约责任：</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.1</w:t>
      </w:r>
      <w:r>
        <w:rPr>
          <w:rFonts w:hint="eastAsia" w:ascii="宋体" w:hAnsi="宋体" w:eastAsia="宋体" w:cs="宋体"/>
          <w:sz w:val="21"/>
          <w:szCs w:val="21"/>
        </w:rPr>
        <w:t xml:space="preserve">乙方不能提供服务的，或服务不合格从而影响甲方工作的，应向甲方偿付合同总价款</w:t>
      </w:r>
      <w:r>
        <w:rPr>
          <w:rFonts w:hint="eastAsia"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w:t>
      </w:r>
      <w:r>
        <w:rPr>
          <w:rFonts w:hint="eastAsia" w:ascii="宋体" w:hAnsi="宋体" w:eastAsia="宋体" w:cs="宋体"/>
          <w:sz w:val="21"/>
          <w:szCs w:val="21"/>
        </w:rPr>
        <w:t xml:space="preserve">的违约金，同时赔偿甲方因此产生的损失。</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.2</w:t>
      </w:r>
      <w:r>
        <w:rPr>
          <w:rFonts w:hint="eastAsia" w:ascii="宋体" w:hAnsi="宋体" w:eastAsia="宋体" w:cs="宋体"/>
          <w:sz w:val="21"/>
          <w:szCs w:val="21"/>
        </w:rPr>
        <w:t xml:space="preserve">乙方逾期提供服务的，应与甲方和政府采购管理部门协商，否则甲方有权解除合同并要求乙方支付合同总金额</w:t>
      </w:r>
      <w:r>
        <w:rPr>
          <w:rFonts w:hint="eastAsia" w:ascii="宋体" w:hAnsi="宋体" w:eastAsia="宋体" w:cs="宋体"/>
          <w:sz w:val="21"/>
          <w:szCs w:val="21"/>
        </w:rPr>
        <w:t xml:space="preserve">1</w:t>
      </w:r>
      <w:r>
        <w:rPr>
          <w:rFonts w:ascii="宋体" w:hAnsi="宋体" w:eastAsia="宋体" w:cs="宋体"/>
          <w:sz w:val="21"/>
          <w:szCs w:val="21"/>
        </w:rPr>
        <w:t xml:space="preserve">0%</w:t>
      </w:r>
      <w:r>
        <w:rPr>
          <w:rFonts w:hint="eastAsia" w:ascii="宋体" w:hAnsi="宋体" w:eastAsia="宋体" w:cs="宋体"/>
          <w:sz w:val="21"/>
          <w:szCs w:val="21"/>
        </w:rPr>
        <w:t xml:space="preserve">的违约金</w:t>
      </w:r>
      <w:r>
        <w:rPr>
          <w:rFonts w:ascii="宋体" w:hAnsi="宋体" w:eastAsia="宋体" w:cs="宋体"/>
          <w:sz w:val="21"/>
          <w:szCs w:val="21"/>
        </w:rPr>
        <w:t xml:space="preserve">;</w:t>
      </w:r>
      <w:r>
        <w:rPr>
          <w:rFonts w:hint="eastAsia" w:ascii="宋体" w:hAnsi="宋体" w:eastAsia="宋体" w:cs="宋体"/>
          <w:sz w:val="21"/>
          <w:szCs w:val="21"/>
        </w:rPr>
        <w:t xml:space="preserve">甲方仍有需求的，乙方应立即提供服务，并以合同总金额为计算基数，按照每天万分之四的标准支付逾期违约金，同时承担甲方因此招致的损失费用。</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八、不可抗力：</w:t>
      </w:r>
      <w:r>
        <w:rPr>
          <w:rFonts w:ascii="宋体" w:hAnsi="宋体" w:eastAsia="宋体" w:cs="宋体"/>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1.因不可抗力不能履行合同的，根据不可抗力的影响，部分或者全部免除责任。但合同一方延迟履行后发生不可抗力的，不能免除责任。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2.合同一方因不可抗力不能履行合同的，应当</w:t>
      </w:r>
      <w:r>
        <w:rPr>
          <w:rFonts w:hint="eastAsia" w:ascii="宋体" w:hAnsi="宋体" w:eastAsia="宋体" w:cs="仿宋_GB2312"/>
          <w:color w:val="000000"/>
          <w:sz w:val="21"/>
          <w:szCs w:val="21"/>
          <w:lang w:eastAsia="en-US"/>
        </w:rPr>
        <w:t xml:space="preserve">在不可抗力发生后</w:t>
      </w:r>
      <w:r>
        <w:rPr>
          <w:rFonts w:ascii="宋体" w:hAnsi="宋体" w:eastAsia="宋体" w:cs="仿宋_GB2312"/>
          <w:color w:val="000000"/>
          <w:sz w:val="21"/>
          <w:szCs w:val="21"/>
          <w:lang w:eastAsia="en-US"/>
        </w:rPr>
        <w:t xml:space="preserve">15</w:t>
      </w:r>
      <w:r>
        <w:rPr>
          <w:rFonts w:hint="eastAsia" w:ascii="宋体" w:hAnsi="宋体" w:eastAsia="宋体" w:cs="仿宋_GB2312"/>
          <w:color w:val="000000"/>
          <w:sz w:val="21"/>
          <w:szCs w:val="21"/>
          <w:lang w:eastAsia="en-US"/>
        </w:rPr>
        <w:t xml:space="preserve">日内</w:t>
      </w:r>
      <w:r>
        <w:rPr>
          <w:rFonts w:hint="eastAsia" w:ascii="宋体" w:hAnsi="宋体" w:eastAsia="宋体" w:cs="仿宋_GB2312"/>
          <w:color w:val="000000"/>
          <w:sz w:val="21"/>
          <w:szCs w:val="21"/>
        </w:rPr>
        <w:t xml:space="preserve">通知对方，以减轻可能给对方造成的损失，并应在</w:t>
      </w:r>
      <w:r>
        <w:rPr>
          <w:rFonts w:hint="eastAsia" w:ascii="宋体" w:hAnsi="宋体" w:eastAsia="宋体" w:cs="仿宋_GB2312"/>
          <w:color w:val="000000"/>
          <w:sz w:val="21"/>
          <w:szCs w:val="21"/>
          <w:lang w:eastAsia="en-US"/>
        </w:rPr>
        <w:t xml:space="preserve">发出</w:t>
      </w:r>
      <w:r>
        <w:rPr>
          <w:rFonts w:hint="eastAsia" w:ascii="宋体" w:hAnsi="宋体" w:eastAsia="宋体" w:cs="仿宋_GB2312"/>
          <w:color w:val="000000"/>
          <w:sz w:val="21"/>
          <w:szCs w:val="21"/>
        </w:rPr>
        <w:t xml:space="preserve">不可抗力</w:t>
      </w:r>
      <w:r>
        <w:rPr>
          <w:rFonts w:hint="eastAsia" w:ascii="宋体" w:hAnsi="宋体" w:eastAsia="宋体" w:cs="仿宋_GB2312"/>
          <w:color w:val="000000"/>
          <w:sz w:val="21"/>
          <w:szCs w:val="21"/>
          <w:lang w:eastAsia="en-US"/>
        </w:rPr>
        <w:t xml:space="preserve">通知</w:t>
      </w:r>
      <w:r>
        <w:rPr>
          <w:rFonts w:hint="eastAsia" w:ascii="宋体" w:hAnsi="宋体" w:eastAsia="宋体" w:cs="仿宋_GB2312"/>
          <w:color w:val="000000"/>
          <w:sz w:val="21"/>
          <w:szCs w:val="21"/>
        </w:rPr>
        <w:t xml:space="preserve">后</w:t>
      </w:r>
      <w:r>
        <w:rPr>
          <w:rFonts w:ascii="宋体" w:hAnsi="宋体" w:eastAsia="宋体" w:cs="仿宋_GB2312"/>
          <w:color w:val="000000"/>
          <w:sz w:val="21"/>
          <w:szCs w:val="21"/>
        </w:rPr>
        <w:t xml:space="preserve">30</w:t>
      </w:r>
      <w:r>
        <w:rPr>
          <w:rFonts w:hint="eastAsia" w:ascii="宋体" w:hAnsi="宋体" w:eastAsia="宋体" w:cs="仿宋_GB2312"/>
          <w:color w:val="000000"/>
          <w:sz w:val="21"/>
          <w:szCs w:val="21"/>
        </w:rPr>
        <w:t xml:space="preserve">日内提供书面证明</w:t>
      </w:r>
      <w:r>
        <w:rPr>
          <w:rFonts w:hint="eastAsia" w:ascii="宋体" w:hAnsi="宋体" w:eastAsia="宋体" w:cs="仿宋_GB2312"/>
          <w:color w:val="000000"/>
          <w:sz w:val="21"/>
          <w:szCs w:val="21"/>
          <w:lang w:eastAsia="en-US"/>
        </w:rPr>
        <w:t xml:space="preserve">材料</w:t>
      </w:r>
      <w:r>
        <w:rPr>
          <w:rFonts w:hint="eastAsia" w:ascii="宋体" w:hAnsi="宋体" w:eastAsia="宋体" w:cs="仿宋_GB2312"/>
          <w:color w:val="000000"/>
          <w:sz w:val="21"/>
          <w:szCs w:val="21"/>
        </w:rPr>
        <w:t xml:space="preserve">。</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3.不可抗力事由消除后，合同继续履行等事项，由双方协商确认。</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九、合同修改：</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甲方和乙方都不得擅自变更本合同，但合同继续行将损害国家和社会公共利益的除外。</w:t>
      </w:r>
      <w:r>
        <w:rPr>
          <w:rFonts w:ascii="宋体" w:hAnsi="宋体" w:eastAsia="宋体" w:cs="宋体"/>
          <w:sz w:val="21"/>
          <w:szCs w:val="21"/>
        </w:rPr>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十、保密条款</w:t>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1.乙方应对在本合同签订、履行过程中知悉的甲方资料和信息，以及关于本合同的相关信息，除甲方作出</w:t>
      </w:r>
      <w:r>
        <w:rPr>
          <w:rFonts w:hint="eastAsia" w:ascii="宋体" w:hAnsi="宋体" w:eastAsia="宋体" w:cs="宋体"/>
          <w:sz w:val="21"/>
          <w:szCs w:val="21"/>
        </w:rPr>
        <w:t xml:space="preserve">相反的书面说明外，均应视为甲方的保密信息，未经甲方书面同意不得向任何第三方披露。</w:t>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3.乙方服务人员等凡是有机会接触到保密信息的主体，均负有前述保密义务，乙方应当采取充足措施保障前述主体履行保密义务，否则视为乙方违反保密义务。</w:t>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对保密信息未经甲方许可进行披露（包括且不限于故意，过失或疏忽）或有其他违反保密义务的行为，甲方有权解除本合同，且乙方应向甲方支付合同总金额20%的违约金，并向甲方及其关联主体赔偿因此受到的全部直接和间接损失。</w:t>
      </w:r>
      <w:r/>
    </w:p>
    <w:p>
      <w:pPr>
        <w:pStyle w:val="64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5.无论本合同是否变更、解除或终止，本合同的保密条款不受其限制而继续有效，乙方应继续承担保密条款约定的保密义务，保密期限为永久。</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一</w:t>
      </w:r>
      <w:r>
        <w:rPr>
          <w:rFonts w:hint="eastAsia" w:ascii="宋体" w:hAnsi="宋体" w:eastAsia="宋体" w:cs="宋体"/>
          <w:sz w:val="21"/>
          <w:szCs w:val="21"/>
        </w:rPr>
        <w:t xml:space="preserve">、转让和分包：</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政府采购合同的部分和全部都不得转让。</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w:t>
      </w:r>
      <w:r>
        <w:rPr>
          <w:rFonts w:hint="eastAsia" w:ascii="宋体" w:hAnsi="宋体" w:eastAsia="宋体" w:cs="宋体"/>
          <w:sz w:val="21"/>
          <w:szCs w:val="21"/>
        </w:rPr>
        <w:t xml:space="preserve">包的人与乙方共同对甲方连带承担合同的责任和义务。</w:t>
      </w:r>
      <w:r>
        <w:rPr>
          <w:rFonts w:ascii="宋体" w:hAnsi="宋体" w:eastAsia="宋体" w:cs="宋体"/>
          <w:sz w:val="21"/>
          <w:szCs w:val="21"/>
        </w:rPr>
      </w:r>
      <w:r/>
    </w:p>
    <w:p>
      <w:pPr>
        <w:pStyle w:val="64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二</w:t>
      </w:r>
      <w:r>
        <w:rPr>
          <w:rFonts w:hint="eastAsia" w:ascii="宋体" w:hAnsi="宋体" w:eastAsia="宋体" w:cs="宋体"/>
          <w:sz w:val="21"/>
          <w:szCs w:val="21"/>
        </w:rPr>
        <w:t xml:space="preserve">、争议解决办法：</w:t>
      </w:r>
      <w:r>
        <w:rPr>
          <w:rFonts w:ascii="宋体" w:hAnsi="宋体" w:eastAsia="宋体" w:cs="宋体"/>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因本合同或与本合同有关的一切事项发生争议的，由双方友好协商解决。协商不成的，任何一方均可以向甲方所在地人民法院提起诉讼。因乙方违约或乙方追究甲方违约但不成立，导致甲方为处理此纠纷产生的费用由乙方承担，该费用包括但不限于诉讼费、保全费、鉴定费、执行费、律师费、差旅费等。</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三</w:t>
      </w:r>
      <w:r>
        <w:rPr>
          <w:rFonts w:hint="eastAsia" w:ascii="宋体" w:hAnsi="宋体" w:eastAsia="宋体" w:cs="宋体"/>
          <w:sz w:val="21"/>
          <w:szCs w:val="21"/>
        </w:rPr>
        <w:t xml:space="preserve">、合同的解除：</w:t>
      </w:r>
      <w:r>
        <w:rPr>
          <w:rFonts w:ascii="宋体" w:hAnsi="宋体" w:eastAsia="宋体" w:cs="宋体"/>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1.甲方和乙方协商一致，可以解除合同。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2.有下列情形之一，合同一方可以解除合同：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2.1因不可抗力致使不能实现合同目的的，未受不可抗力影响的一方有权解除合同；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2.2因合同一方违约导致合同不能履行，另一方有权解除合同；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2.3因乙方在履行合同过程中造成社会不良影响的，甲方有权解除合同。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3.有权解除合同的一方，应当在违约事实或不可抗力发生后15日内书面通知对方以主张解除合同，合同在书面通知到达对方时解除。</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四</w:t>
      </w:r>
      <w:r>
        <w:rPr>
          <w:rFonts w:hint="eastAsia" w:ascii="宋体" w:hAnsi="宋体" w:eastAsia="宋体" w:cs="宋体"/>
          <w:sz w:val="21"/>
          <w:szCs w:val="21"/>
        </w:rPr>
        <w:t xml:space="preserve">、其它约定事项：</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下列文件为本合同不可分割部分：</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1.1</w:t>
      </w:r>
      <w:r>
        <w:rPr>
          <w:rFonts w:hint="eastAsia" w:ascii="宋体" w:hAnsi="宋体" w:eastAsia="宋体" w:cs="宋体"/>
          <w:sz w:val="21"/>
          <w:szCs w:val="21"/>
        </w:rPr>
        <w:t xml:space="preserve">成交通知书；</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1.2</w:t>
      </w:r>
      <w:r>
        <w:rPr>
          <w:rFonts w:hint="eastAsia" w:ascii="宋体" w:hAnsi="宋体" w:eastAsia="宋体" w:cs="宋体"/>
          <w:sz w:val="21"/>
          <w:szCs w:val="21"/>
        </w:rPr>
        <w:t xml:space="preserve">乙方的磋商响应文件；</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1.3</w:t>
      </w:r>
      <w:r>
        <w:rPr>
          <w:rFonts w:hint="eastAsia" w:ascii="宋体" w:hAnsi="宋体" w:eastAsia="宋体" w:cs="宋体"/>
          <w:sz w:val="21"/>
          <w:szCs w:val="21"/>
        </w:rPr>
        <w:t xml:space="preserve">乙方在磋商过程中所作的其它承诺，声明、书面澄清等；</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1.4</w:t>
      </w:r>
      <w:r>
        <w:rPr>
          <w:rFonts w:hint="eastAsia" w:ascii="宋体" w:hAnsi="宋体" w:eastAsia="宋体" w:cs="宋体"/>
          <w:sz w:val="21"/>
          <w:szCs w:val="21"/>
        </w:rPr>
        <w:t xml:space="preserve">竞争性磋商文件及其附件；</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1.5</w:t>
      </w:r>
      <w:r>
        <w:rPr>
          <w:rFonts w:hint="eastAsia" w:ascii="宋体" w:hAnsi="宋体" w:eastAsia="宋体" w:cs="宋体"/>
          <w:sz w:val="21"/>
          <w:szCs w:val="21"/>
        </w:rPr>
        <w:t xml:space="preserve">合同附件；</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以上与本合同具有同等法律效力。</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乙方除应做好服务人员的安全教育外，还应为服务人员提供必要的劳动保护条件，为服务人员办理作业时的人身安全保险和意外伤害险，一切安全责任事故均由乙方负责</w:t>
      </w:r>
      <w:r>
        <w:rPr>
          <w:rFonts w:ascii="宋体" w:hAnsi="宋体" w:eastAsia="宋体" w:cs="宋体"/>
          <w:sz w:val="21"/>
          <w:szCs w:val="21"/>
        </w:rPr>
        <w:t xml:space="preserve">(</w:t>
      </w:r>
      <w:r>
        <w:rPr>
          <w:rFonts w:hint="eastAsia" w:ascii="宋体" w:hAnsi="宋体" w:eastAsia="宋体" w:cs="宋体"/>
          <w:sz w:val="21"/>
          <w:szCs w:val="21"/>
        </w:rPr>
        <w:t xml:space="preserve">保险种类由乙方自行选择</w:t>
      </w:r>
      <w:r>
        <w:rPr>
          <w:rFonts w:ascii="宋体" w:hAnsi="宋体" w:eastAsia="宋体" w:cs="宋体"/>
          <w:sz w:val="21"/>
          <w:szCs w:val="21"/>
        </w:rPr>
        <w:t xml:space="preserve">)</w:t>
      </w:r>
      <w:r>
        <w:rPr>
          <w:rFonts w:hint="eastAsia" w:ascii="宋体" w:hAnsi="宋体" w:eastAsia="宋体" w:cs="宋体"/>
          <w:sz w:val="21"/>
          <w:szCs w:val="21"/>
        </w:rPr>
        <w:t xml:space="preserve">。</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五</w:t>
      </w:r>
      <w:r>
        <w:rPr>
          <w:rFonts w:hint="eastAsia" w:ascii="宋体" w:hAnsi="宋体" w:eastAsia="宋体" w:cs="宋体"/>
          <w:sz w:val="21"/>
          <w:szCs w:val="21"/>
        </w:rPr>
        <w:t xml:space="preserve">、合同的生效：</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合同经甲乙双方代表签字并加盖公章或合同章后即生效。</w:t>
      </w:r>
      <w:r>
        <w:rPr>
          <w:rFonts w:hint="eastAsia" w:ascii="宋体" w:hAnsi="宋体" w:eastAsia="宋体" w:cs="仿宋_GB2312"/>
          <w:color w:val="000000"/>
          <w:sz w:val="21"/>
          <w:szCs w:val="21"/>
        </w:rPr>
        <w:t xml:space="preserve">合同签订后须在苏州市政府采购网上公示。</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六</w:t>
      </w:r>
      <w:r>
        <w:rPr>
          <w:rFonts w:hint="eastAsia" w:ascii="宋体" w:hAnsi="宋体" w:eastAsia="宋体" w:cs="宋体"/>
          <w:sz w:val="21"/>
          <w:szCs w:val="21"/>
        </w:rPr>
        <w:t xml:space="preserve">、附则：</w:t>
      </w:r>
      <w:r>
        <w:rPr>
          <w:rFonts w:ascii="宋体" w:hAnsi="宋体" w:eastAsia="宋体" w:cs="宋体"/>
          <w:sz w:val="21"/>
          <w:szCs w:val="21"/>
        </w:rPr>
      </w:r>
      <w:r/>
    </w:p>
    <w:p>
      <w:pPr>
        <w:pStyle w:val="641"/>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合同份数：本合同一式伍份，甲、乙双方各执贰份，采购代理机构壹份。</w:t>
      </w:r>
      <w:r>
        <w:rPr>
          <w:rFonts w:ascii="宋体" w:hAnsi="宋体" w:eastAsia="宋体" w:cs="宋体"/>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2.本合同文件使用中文书写、解释和说明。</w:t>
      </w:r>
      <w:r/>
    </w:p>
    <w:p>
      <w:pPr>
        <w:pStyle w:val="641"/>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未尽事宜：本合同未尽事宜应按《中华人民共和国民法典》、《中华人民共和国政府采购法》以及其同相关法律、法规之规定解释。</w:t>
      </w:r>
      <w:r>
        <w:rPr>
          <w:rFonts w:ascii="宋体" w:hAnsi="宋体" w:eastAsia="宋体" w:cs="宋体"/>
          <w:sz w:val="21"/>
          <w:szCs w:val="21"/>
        </w:rPr>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4.本合同首部所载明的双方地址为甲乙双方认可的相关文件、法律文书送达地址，任何一方如更换通信地址应于3日内书面通知另一方，未通知的自行承担法院送达不能等不利后果。</w:t>
      </w:r>
      <w:r/>
    </w:p>
    <w:p>
      <w:pPr>
        <w:pStyle w:val="641"/>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（以下无正文）</w:t>
      </w:r>
      <w:r>
        <w:rPr>
          <w:rFonts w:ascii="宋体" w:hAnsi="宋体" w:eastAsia="宋体" w:cs="宋体"/>
          <w:color w:val="000000"/>
          <w:sz w:val="21"/>
          <w:szCs w:val="21"/>
        </w:rPr>
      </w:r>
      <w:r/>
    </w:p>
    <w:p>
      <w:pPr>
        <w:pStyle w:val="641"/>
        <w:spacing w:before="240" w:after="240"/>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甲方（公章或合同专用章）：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乙方（公章或合同专用章）：</w:t>
      </w:r>
      <w:r>
        <w:rPr>
          <w:rFonts w:ascii="宋体" w:hAnsi="宋体" w:eastAsia="宋体" w:cs="宋体"/>
          <w:color w:val="000000"/>
          <w:sz w:val="21"/>
          <w:szCs w:val="21"/>
        </w:rPr>
      </w:r>
      <w:r/>
    </w:p>
    <w:p>
      <w:pPr>
        <w:pStyle w:val="641"/>
        <w:spacing w:before="240" w:after="24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p>
    <w:p>
      <w:pPr>
        <w:pStyle w:val="641"/>
        <w:spacing w:before="240" w:after="24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签约日期：</w:t>
      </w:r>
      <w:r>
        <w:rPr>
          <w:rFonts w:hint="eastAsia" w:ascii="宋体" w:hAnsi="宋体" w:eastAsia="宋体" w:cs="宋体"/>
          <w:color w:val="000000"/>
          <w:sz w:val="21"/>
          <w:szCs w:val="21"/>
        </w:rPr>
      </w:r>
      <w:r/>
    </w:p>
    <w:p>
      <w:pPr>
        <w:pStyle w:val="641"/>
        <w:jc w:val="left"/>
        <w:rPr>
          <w:rFonts w:hint="eastAsia" w:ascii="宋体" w:hAnsi="宋体" w:eastAsia="宋体"/>
          <w:b/>
          <w:bCs/>
          <w:sz w:val="21"/>
          <w:szCs w:val="21"/>
        </w:rPr>
      </w:pPr>
      <w:r>
        <w:rPr>
          <w:rFonts w:hint="eastAsia" w:ascii="宋体" w:hAnsi="宋体" w:eastAsia="宋体" w:cs="宋体"/>
          <w:color w:val="000000"/>
          <w:sz w:val="21"/>
          <w:szCs w:val="21"/>
        </w:rPr>
        <w:br w:type="page" w:clear="all"/>
      </w:r>
      <w:r>
        <w:rPr>
          <w:rFonts w:hint="eastAsia" w:ascii="宋体" w:hAnsi="宋体" w:eastAsia="宋体"/>
          <w:b/>
          <w:bCs/>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2"/>
        <w:jc w:val="center"/>
        <w:spacing w:line="360" w:lineRule="auto"/>
        <w:rPr>
          <w:rFonts w:ascii="宋体" w:hAnsi="宋体" w:eastAsia="宋体"/>
          <w:sz w:val="52"/>
        </w:rPr>
      </w:pPr>
      <w:r/>
      <w:bookmarkStart w:id="63" w:name="_Toc7356"/>
      <w:r>
        <w:rPr>
          <w:rFonts w:hint="eastAsia" w:ascii="宋体" w:hAnsi="宋体" w:eastAsia="宋体"/>
          <w:sz w:val="52"/>
        </w:rPr>
        <w:t xml:space="preserve">第五章 评审办法</w:t>
      </w:r>
      <w:bookmarkEnd w:id="63"/>
      <w:r>
        <w:rPr>
          <w:rFonts w:ascii="宋体" w:hAnsi="宋体" w:eastAsia="宋体"/>
          <w:sz w:val="52"/>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sz w:val="21"/>
          <w:szCs w:val="21"/>
        </w:rPr>
      </w:pPr>
      <w:r>
        <w:rPr>
          <w:rFonts w:ascii="宋体" w:hAnsi="宋体" w:eastAsia="宋体"/>
          <w:sz w:val="21"/>
          <w:szCs w:val="21"/>
        </w:rPr>
      </w:r>
      <w:r/>
    </w:p>
    <w:p>
      <w:pPr>
        <w:pStyle w:val="641"/>
        <w:spacing w:line="360" w:lineRule="auto"/>
        <w:rPr>
          <w:rFonts w:ascii="宋体" w:hAnsi="宋体" w:eastAsia="宋体"/>
          <w:sz w:val="21"/>
          <w:szCs w:val="21"/>
        </w:rPr>
      </w:pPr>
      <w:r>
        <w:rPr>
          <w:rFonts w:ascii="宋体" w:hAnsi="宋体" w:eastAsia="宋体"/>
          <w:sz w:val="21"/>
          <w:szCs w:val="21"/>
        </w:rPr>
      </w:r>
      <w:r/>
    </w:p>
    <w:p>
      <w:pPr>
        <w:pStyle w:val="641"/>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1"/>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1"/>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w:t>
      </w:r>
      <w:r>
        <w:rPr>
          <w:rFonts w:hint="eastAsia" w:ascii="宋体" w:hAnsi="宋体" w:eastAsia="宋体"/>
          <w:b/>
          <w:sz w:val="21"/>
          <w:szCs w:val="21"/>
        </w:rPr>
        <w:t xml:space="preserve">1</w:t>
      </w:r>
      <w:r>
        <w:rPr>
          <w:rFonts w:ascii="宋体" w:hAnsi="宋体" w:eastAsia="宋体"/>
          <w:b/>
          <w:sz w:val="21"/>
          <w:szCs w:val="21"/>
        </w:rPr>
        <w:t xml:space="preserve">0分</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ascii="宋体" w:hAnsi="宋体" w:eastAsia="宋体"/>
          <w:sz w:val="21"/>
          <w:szCs w:val="21"/>
        </w:rPr>
        <w:t xml:space="preserve">0分。其他供应商的价格分统一按照下列公式计算：</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w:t>
      </w:r>
      <w:r>
        <w:rPr>
          <w:rFonts w:ascii="宋体" w:hAnsi="宋体" w:eastAsia="宋体"/>
          <w:sz w:val="21"/>
          <w:szCs w:val="21"/>
        </w:rPr>
        <w:t xml:space="preserve">保留两位（价格权值为</w:t>
      </w:r>
      <w:r>
        <w:rPr>
          <w:rFonts w:hint="eastAsia" w:ascii="宋体" w:hAnsi="宋体" w:eastAsia="宋体"/>
          <w:sz w:val="21"/>
          <w:szCs w:val="21"/>
        </w:rPr>
        <w:t xml:space="preserve">1</w:t>
      </w:r>
      <w:r>
        <w:rPr>
          <w:rFonts w:ascii="宋体" w:hAnsi="宋体" w:eastAsia="宋体"/>
          <w:sz w:val="21"/>
          <w:szCs w:val="21"/>
        </w:rPr>
        <w:t xml:space="preserve">0%）。</w:t>
      </w:r>
      <w:r/>
    </w:p>
    <w:p>
      <w:pPr>
        <w:pStyle w:val="641"/>
        <w:ind w:left="520" w:right="174"/>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（二）项目服务方案（最高为72分）</w:t>
      </w:r>
      <w:r>
        <w:rPr>
          <w:rFonts w:hint="eastAsia" w:ascii="宋体" w:hAnsi="宋体" w:eastAsia="宋体" w:cs="宋体"/>
          <w:b/>
          <w:bCs/>
          <w:color w:val="000000"/>
          <w:szCs w:val="21"/>
        </w:rPr>
      </w:r>
      <w:r/>
    </w:p>
    <w:p>
      <w:pPr>
        <w:pStyle w:val="641"/>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1.响应单位针对本项目整体实施方案，最高分为12分。</w:t>
      </w:r>
      <w:r>
        <w:rPr>
          <w:rFonts w:hint="eastAsia" w:ascii="宋体" w:hAnsi="宋体" w:eastAsia="宋体" w:cs="宋体"/>
          <w:b/>
          <w:bCs/>
          <w:color w:val="000000"/>
          <w:szCs w:val="21"/>
        </w:rPr>
      </w:r>
      <w:r/>
    </w:p>
    <w:p>
      <w:pPr>
        <w:pStyle w:val="641"/>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项目现场实施方案详实、具体、可实施性高的得12分；项目现场实施方案基本详细可实施性较好的得9分；项目现场实施方案不够详细不够具体可实施性一般的为6分；项目现场实施方案较差可实施性较差的为3分；未提供的不得分。</w:t>
      </w:r>
      <w:r>
        <w:rPr>
          <w:rFonts w:hint="eastAsia" w:ascii="宋体" w:hAnsi="宋体" w:eastAsia="宋体" w:cs="宋体"/>
          <w:color w:val="000000"/>
          <w:szCs w:val="21"/>
        </w:rPr>
      </w:r>
      <w:r/>
    </w:p>
    <w:p>
      <w:pPr>
        <w:pStyle w:val="641"/>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2.响应单位针对本项目的进度安排，最高为12分。</w:t>
      </w:r>
      <w:r>
        <w:rPr>
          <w:rFonts w:hint="eastAsia" w:ascii="宋体" w:hAnsi="宋体" w:eastAsia="宋体" w:cs="宋体"/>
          <w:b/>
          <w:bCs/>
          <w:color w:val="000000"/>
          <w:szCs w:val="21"/>
        </w:rPr>
      </w:r>
      <w:r/>
    </w:p>
    <w:p>
      <w:pPr>
        <w:pStyle w:val="641"/>
        <w:ind w:right="174" w:firstLine="420"/>
        <w:spacing w:line="360" w:lineRule="auto"/>
        <w:tabs>
          <w:tab w:val="left" w:pos="8931" w:leader="none"/>
        </w:tabs>
        <w:rPr>
          <w:rFonts w:hint="eastAsia" w:ascii="宋体" w:hAnsi="宋体" w:eastAsia="宋体" w:cs="宋体"/>
          <w:color w:val="000000"/>
          <w:szCs w:val="21"/>
        </w:rPr>
      </w:pPr>
      <w:r>
        <w:rPr>
          <w:rFonts w:ascii="宋体" w:hAnsi="宋体" w:eastAsia="宋体" w:cs="宋体"/>
          <w:color w:val="000000"/>
          <w:sz w:val="21"/>
          <w:szCs w:val="21"/>
        </w:rPr>
        <w:t xml:space="preserve">项目进度安排可靠、合理、可行性高的得</w:t>
      </w:r>
      <w:r>
        <w:rPr>
          <w:rFonts w:hint="eastAsia" w:ascii="宋体" w:hAnsi="宋体" w:eastAsia="宋体" w:cs="宋体"/>
          <w:color w:val="000000"/>
          <w:sz w:val="21"/>
          <w:szCs w:val="21"/>
        </w:rPr>
        <w:t xml:space="preserve">12</w:t>
      </w:r>
      <w:r>
        <w:rPr>
          <w:rFonts w:ascii="宋体" w:hAnsi="宋体" w:eastAsia="宋体" w:cs="宋体"/>
          <w:color w:val="000000"/>
          <w:sz w:val="21"/>
          <w:szCs w:val="21"/>
        </w:rPr>
        <w:t xml:space="preserve">分；项目进度安排可行性较好的得</w:t>
      </w:r>
      <w:r>
        <w:rPr>
          <w:rFonts w:hint="eastAsia" w:ascii="宋体" w:hAnsi="宋体" w:eastAsia="宋体" w:cs="宋体"/>
          <w:color w:val="000000"/>
          <w:sz w:val="21"/>
          <w:szCs w:val="21"/>
        </w:rPr>
        <w:t xml:space="preserve">9</w:t>
      </w:r>
      <w:r>
        <w:rPr>
          <w:rFonts w:ascii="宋体" w:hAnsi="宋体" w:eastAsia="宋体" w:cs="宋体"/>
          <w:color w:val="000000"/>
          <w:sz w:val="21"/>
          <w:szCs w:val="21"/>
        </w:rPr>
        <w:t xml:space="preserve">分；项目进度安排一般的得</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分；项目进度安排较差的得3分；未提供的不得</w:t>
      </w:r>
      <w:r>
        <w:rPr>
          <w:rFonts w:hint="eastAsia" w:ascii="宋体" w:hAnsi="宋体" w:eastAsia="宋体" w:cs="宋体"/>
          <w:color w:val="000000"/>
          <w:sz w:val="21"/>
          <w:szCs w:val="21"/>
        </w:rPr>
        <w:t xml:space="preserve">分。</w:t>
      </w:r>
      <w:r>
        <w:rPr>
          <w:rFonts w:hint="eastAsia" w:ascii="宋体" w:hAnsi="宋体" w:eastAsia="宋体" w:cs="宋体"/>
          <w:color w:val="000000"/>
          <w:szCs w:val="21"/>
        </w:rPr>
      </w:r>
      <w:r/>
    </w:p>
    <w:p>
      <w:pPr>
        <w:pStyle w:val="641"/>
        <w:ind w:right="174" w:firstLine="422"/>
        <w:spacing w:line="360" w:lineRule="auto"/>
        <w:tabs>
          <w:tab w:val="left" w:pos="8931" w:leader="none"/>
        </w:tabs>
        <w:rPr>
          <w:rFonts w:hint="eastAsia" w:ascii="宋体" w:hAnsi="宋体" w:eastAsia="宋体" w:cs="宋体"/>
          <w:b/>
          <w:bCs/>
          <w:color w:val="000000"/>
          <w:szCs w:val="21"/>
        </w:rPr>
      </w:pPr>
      <w:r>
        <w:rPr>
          <w:rFonts w:ascii="宋体" w:hAnsi="宋体" w:eastAsia="宋体" w:cs="宋体"/>
          <w:b/>
          <w:bCs/>
          <w:color w:val="000000"/>
          <w:sz w:val="21"/>
          <w:szCs w:val="21"/>
        </w:rPr>
        <w:t xml:space="preserve">3.服务质量保证保障承诺以及保障措施的合理性</w:t>
      </w:r>
      <w:r>
        <w:rPr>
          <w:rFonts w:hint="eastAsia" w:ascii="宋体" w:hAnsi="宋体" w:eastAsia="宋体" w:cs="宋体"/>
          <w:b/>
          <w:bCs/>
          <w:color w:val="000000"/>
          <w:sz w:val="21"/>
          <w:szCs w:val="21"/>
        </w:rPr>
        <w:t xml:space="preserve">，最高分为</w:t>
      </w:r>
      <w:r>
        <w:rPr>
          <w:rFonts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641"/>
        <w:ind w:right="174" w:firstLine="420"/>
        <w:spacing w:line="360" w:lineRule="auto"/>
        <w:tabs>
          <w:tab w:val="left" w:pos="8931" w:leader="none"/>
        </w:tabs>
        <w:rPr>
          <w:rFonts w:hint="eastAsia" w:ascii="宋体" w:hAnsi="宋体" w:eastAsia="宋体" w:cs="宋体"/>
          <w:color w:val="000000"/>
          <w:szCs w:val="21"/>
        </w:rPr>
      </w:pPr>
      <w:r>
        <w:rPr>
          <w:rFonts w:ascii="宋体" w:hAnsi="宋体" w:eastAsia="宋体" w:cs="宋体"/>
          <w:color w:val="000000"/>
          <w:sz w:val="21"/>
          <w:szCs w:val="21"/>
        </w:rPr>
        <w:t xml:space="preserve">服务质量保证保障承诺符合相关政策、质量管理目标明确并有相应的质量保证保障措施的得1</w:t>
      </w: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分；服务质量保证保障承诺符合相关政策、有质量管理目标的得</w:t>
      </w:r>
      <w:r>
        <w:rPr>
          <w:rFonts w:hint="eastAsia" w:ascii="宋体" w:hAnsi="宋体" w:eastAsia="宋体" w:cs="宋体"/>
          <w:color w:val="000000"/>
          <w:sz w:val="21"/>
          <w:szCs w:val="21"/>
        </w:rPr>
        <w:t xml:space="preserve">9</w:t>
      </w:r>
      <w:r>
        <w:rPr>
          <w:rFonts w:ascii="宋体" w:hAnsi="宋体" w:eastAsia="宋体" w:cs="宋体"/>
          <w:color w:val="000000"/>
          <w:sz w:val="21"/>
          <w:szCs w:val="21"/>
        </w:rPr>
        <w:t xml:space="preserve">分；服务质量保证保障承诺符合相关政策的得</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分；</w:t>
      </w:r>
      <w:r>
        <w:rPr>
          <w:rFonts w:hint="eastAsia" w:ascii="宋体" w:hAnsi="宋体" w:eastAsia="宋体" w:cs="宋体"/>
          <w:color w:val="000000"/>
          <w:sz w:val="21"/>
          <w:szCs w:val="21"/>
        </w:rPr>
        <w:t xml:space="preserve">服务质量保证承诺符合相关政策缺失少的得3分；</w:t>
      </w:r>
      <w:r>
        <w:rPr>
          <w:rFonts w:ascii="宋体" w:hAnsi="宋体" w:eastAsia="宋体" w:cs="宋体"/>
          <w:color w:val="000000"/>
          <w:sz w:val="21"/>
          <w:szCs w:val="21"/>
        </w:rPr>
        <w:t xml:space="preserve">未提供的不得分。</w:t>
      </w:r>
      <w:r>
        <w:rPr>
          <w:rFonts w:hint="eastAsia" w:ascii="宋体" w:hAnsi="宋体" w:eastAsia="宋体" w:cs="宋体"/>
          <w:color w:val="000000"/>
          <w:szCs w:val="21"/>
        </w:rPr>
      </w:r>
      <w:r/>
    </w:p>
    <w:p>
      <w:pPr>
        <w:pStyle w:val="641"/>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4.针对本项目服务的应急预案及应对措施，最高分为</w:t>
      </w:r>
      <w:r>
        <w:rPr>
          <w:rFonts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641"/>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应急预案及应对措施全面覆盖各类突发情况，响应流程清晰、责任分工明确、资源调配高效为12分；预案内容较完整，关键环节有对应措施</w:t>
      </w:r>
      <w:r>
        <w:rPr>
          <w:rFonts w:hint="eastAsia" w:ascii="宋体" w:hAnsi="宋体" w:eastAsia="宋体" w:cs="宋体"/>
          <w:color w:val="000000"/>
          <w:sz w:val="21"/>
          <w:szCs w:val="21"/>
        </w:rPr>
        <w:t xml:space="preserve">但细节略显不足为9分；预案框架基本具备，但缺乏实操性或部分场景覆盖不全为6分；仅列出简单条目、无具体执行路径或时效性差的为3分；</w:t>
      </w:r>
      <w:r>
        <w:rPr>
          <w:rFonts w:ascii="宋体" w:hAnsi="宋体" w:eastAsia="宋体" w:cs="宋体"/>
          <w:color w:val="000000"/>
          <w:sz w:val="21"/>
          <w:szCs w:val="21"/>
        </w:rPr>
        <w:t xml:space="preserve">未提供的不得</w:t>
      </w:r>
      <w:r>
        <w:rPr>
          <w:rFonts w:hint="eastAsia" w:ascii="宋体" w:hAnsi="宋体" w:eastAsia="宋体" w:cs="宋体"/>
          <w:color w:val="000000"/>
          <w:sz w:val="21"/>
          <w:szCs w:val="21"/>
        </w:rPr>
        <w:t xml:space="preserve">分。</w:t>
      </w:r>
      <w:r>
        <w:rPr>
          <w:rFonts w:hint="eastAsia" w:ascii="宋体" w:hAnsi="宋体" w:eastAsia="宋体" w:cs="宋体"/>
          <w:color w:val="000000"/>
          <w:szCs w:val="21"/>
        </w:rPr>
      </w:r>
      <w:r/>
    </w:p>
    <w:p>
      <w:pPr>
        <w:pStyle w:val="641"/>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5.针对本项目服务的内部管理制度，最高分为12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641"/>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针对本项目的内部管理制度完善、规范性强、内容详实具体、完整全面的得12分；针对本项目的内部管理制度较为完善、规范性较好、内容较为详细的得9分；针对本项目的内部管理制度内缺失较少的得6分；针对本项目的内部管理制度内容不够完善、规范性有所欠缺的得3分；</w:t>
      </w:r>
      <w:r>
        <w:rPr>
          <w:rFonts w:ascii="宋体" w:hAnsi="宋体" w:eastAsia="宋体" w:cs="宋体"/>
          <w:color w:val="000000"/>
          <w:sz w:val="21"/>
          <w:szCs w:val="21"/>
        </w:rPr>
        <w:t xml:space="preserve">未提供的不得</w:t>
      </w:r>
      <w:r>
        <w:rPr>
          <w:rFonts w:hint="eastAsia" w:ascii="宋体" w:hAnsi="宋体" w:eastAsia="宋体" w:cs="宋体"/>
          <w:color w:val="000000"/>
          <w:sz w:val="21"/>
          <w:szCs w:val="21"/>
        </w:rPr>
        <w:t xml:space="preserve">分。</w:t>
      </w:r>
      <w:r>
        <w:rPr>
          <w:rFonts w:hint="eastAsia" w:ascii="宋体" w:hAnsi="宋体" w:eastAsia="宋体" w:cs="宋体"/>
          <w:color w:val="000000"/>
          <w:szCs w:val="21"/>
        </w:rPr>
      </w:r>
      <w:r/>
    </w:p>
    <w:p>
      <w:pPr>
        <w:pStyle w:val="641"/>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6.针对本项人员配置情况比较，最高分为</w:t>
      </w:r>
      <w:r>
        <w:rPr>
          <w:rFonts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641"/>
        <w:ind w:right="174" w:firstLine="420"/>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color w:val="000000"/>
          <w:sz w:val="21"/>
          <w:szCs w:val="21"/>
        </w:rPr>
        <w:t xml:space="preserve">实施期间现场人员配置具体明确程度可靠、合理、可实施性高的得12分；实施期间现场人员配置具体明确程度可靠、合理、可实施性较好的得9分；实施期间现场人员配置具体明确程度可靠、合理、可实施性一般的得6分；实施期间现场人员配置具体明确程度可靠、合理、可实施性较差的得3分；</w:t>
      </w:r>
      <w:r>
        <w:rPr>
          <w:rFonts w:ascii="宋体" w:hAnsi="宋体" w:eastAsia="宋体" w:cs="宋体"/>
          <w:color w:val="000000"/>
          <w:sz w:val="21"/>
          <w:szCs w:val="21"/>
        </w:rPr>
        <w:t xml:space="preserve">未提供的不得</w:t>
      </w:r>
      <w:r>
        <w:rPr>
          <w:rFonts w:hint="eastAsia" w:ascii="宋体" w:hAnsi="宋体" w:eastAsia="宋体" w:cs="宋体"/>
          <w:color w:val="000000"/>
          <w:sz w:val="21"/>
          <w:szCs w:val="21"/>
        </w:rPr>
        <w:t xml:space="preserve">分。</w:t>
      </w:r>
      <w:r>
        <w:rPr>
          <w:rFonts w:hint="eastAsia" w:ascii="宋体" w:hAnsi="宋体" w:eastAsia="宋体" w:cs="宋体"/>
          <w:b/>
          <w:bCs/>
          <w:color w:val="000000"/>
          <w:szCs w:val="21"/>
        </w:rPr>
      </w:r>
      <w:r/>
    </w:p>
    <w:p>
      <w:pPr>
        <w:pStyle w:val="641"/>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（三）</w:t>
      </w:r>
      <w:r>
        <w:rPr>
          <w:rFonts w:hint="eastAsia" w:ascii="宋体" w:hAnsi="宋体" w:eastAsia="宋体" w:cs="宋体"/>
          <w:b/>
          <w:bCs/>
          <w:color w:val="000000"/>
          <w:sz w:val="21"/>
          <w:szCs w:val="21"/>
        </w:rPr>
        <w:t xml:space="preserve">响应单位</w:t>
      </w:r>
      <w:r>
        <w:rPr>
          <w:rFonts w:hint="eastAsia" w:ascii="宋体" w:hAnsi="宋体" w:eastAsia="宋体" w:cs="宋体"/>
          <w:b/>
          <w:bCs/>
          <w:color w:val="000000"/>
          <w:sz w:val="21"/>
          <w:szCs w:val="21"/>
        </w:rPr>
        <w:t xml:space="preserve">综合实力（</w:t>
      </w: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8分）</w:t>
      </w:r>
      <w:r>
        <w:rPr>
          <w:rFonts w:hint="eastAsia" w:ascii="宋体" w:hAnsi="宋体" w:eastAsia="宋体" w:cs="宋体"/>
          <w:b/>
          <w:bCs/>
          <w:color w:val="000000"/>
          <w:szCs w:val="21"/>
        </w:rPr>
      </w:r>
      <w:r/>
    </w:p>
    <w:p>
      <w:pPr>
        <w:pStyle w:val="641"/>
        <w:ind w:right="174" w:firstLine="420"/>
        <w:spacing w:line="360" w:lineRule="auto"/>
        <w:tabs>
          <w:tab w:val="left" w:pos="8931"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响应单位具有有效期内的质量管理体系认证证书、环境管理体系认证证书、职业健康安全管理体系认证证书的，有一项得2分，最高得6分。（提供相关证书复印件及证书在全国认证认可信息公共服务平台上查询到的清</w:t>
      </w:r>
      <w:r>
        <w:rPr>
          <w:rFonts w:hint="eastAsia" w:ascii="宋体" w:hAnsi="宋体" w:eastAsia="宋体" w:cs="宋体"/>
          <w:color w:val="000000"/>
          <w:sz w:val="21"/>
          <w:szCs w:val="21"/>
        </w:rPr>
        <w:t xml:space="preserve">晰页面截图，否则不得分。）   </w:t>
      </w:r>
      <w:r>
        <w:rPr>
          <w:rFonts w:hint="eastAsia" w:ascii="宋体" w:hAnsi="宋体" w:eastAsia="宋体" w:cs="宋体"/>
          <w:color w:val="000000"/>
          <w:sz w:val="21"/>
          <w:szCs w:val="21"/>
        </w:rPr>
      </w:r>
      <w:r/>
    </w:p>
    <w:p>
      <w:pPr>
        <w:pStyle w:val="641"/>
        <w:ind w:right="174" w:firstLine="420"/>
        <w:spacing w:line="360" w:lineRule="auto"/>
        <w:tabs>
          <w:tab w:val="left" w:pos="8931"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响应单位策划的类似活动项目获得</w:t>
      </w:r>
      <w:r>
        <w:rPr>
          <w:rFonts w:hint="eastAsia" w:ascii="宋体" w:hAnsi="宋体" w:eastAsia="宋体" w:cs="宋体"/>
          <w:color w:val="000000"/>
          <w:sz w:val="21"/>
          <w:szCs w:val="21"/>
        </w:rPr>
        <w:t xml:space="preserve">过</w:t>
      </w:r>
      <w:r>
        <w:rPr>
          <w:rFonts w:hint="eastAsia" w:ascii="宋体" w:hAnsi="宋体" w:eastAsia="宋体" w:cs="宋体"/>
          <w:sz w:val="21"/>
          <w:szCs w:val="21"/>
        </w:rPr>
        <w:t xml:space="preserve">政府部门授予</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奖项</w:t>
      </w:r>
      <w:r>
        <w:rPr>
          <w:rFonts w:hint="eastAsia" w:ascii="宋体" w:hAnsi="宋体" w:eastAsia="宋体" w:cs="宋体"/>
          <w:color w:val="000000"/>
          <w:sz w:val="21"/>
          <w:szCs w:val="21"/>
        </w:rPr>
        <w:t xml:space="preserve">或荣誉</w:t>
      </w:r>
      <w:r>
        <w:rPr>
          <w:rFonts w:hint="eastAsia" w:ascii="宋体" w:hAnsi="宋体" w:eastAsia="宋体" w:cs="宋体"/>
          <w:color w:val="000000"/>
          <w:sz w:val="21"/>
          <w:szCs w:val="21"/>
        </w:rPr>
        <w:t xml:space="preserve">或表扬</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提供奖项证书或证明文件复印件，否则不得分。）</w:t>
      </w:r>
      <w:r>
        <w:rPr>
          <w:rFonts w:hint="eastAsia" w:ascii="宋体" w:hAnsi="宋体" w:eastAsia="宋体" w:cs="宋体"/>
          <w:color w:val="000000"/>
          <w:sz w:val="21"/>
          <w:szCs w:val="21"/>
        </w:rPr>
      </w:r>
      <w:r/>
    </w:p>
    <w:p>
      <w:pPr>
        <w:pStyle w:val="641"/>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响应单位</w:t>
      </w:r>
      <w:r>
        <w:rPr>
          <w:rFonts w:ascii="宋体" w:hAnsi="宋体" w:eastAsia="宋体" w:cs="宋体"/>
          <w:color w:val="000000"/>
          <w:sz w:val="21"/>
          <w:szCs w:val="21"/>
        </w:rPr>
        <w:t xml:space="preserve">202</w:t>
      </w: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年1月1日至今（以合同签订日期为准）具有类似项目业绩情况，每具备一项得2分，最高得</w:t>
      </w:r>
      <w:r>
        <w:rPr>
          <w:rFonts w:hint="eastAsia" w:ascii="宋体" w:hAnsi="宋体" w:eastAsia="宋体" w:cs="宋体"/>
          <w:color w:val="000000"/>
          <w:sz w:val="21"/>
          <w:szCs w:val="21"/>
        </w:rPr>
        <w:t xml:space="preserve">10</w:t>
      </w:r>
      <w:r>
        <w:rPr>
          <w:rFonts w:ascii="宋体" w:hAnsi="宋体" w:eastAsia="宋体" w:cs="宋体"/>
          <w:color w:val="000000"/>
          <w:sz w:val="21"/>
          <w:szCs w:val="21"/>
        </w:rPr>
        <w:t xml:space="preserve">分；需提供签订的合同（或协议）等证明文件【须至少提供合同（或协议）等证明文件首页、关键页（能反映服务内容）、盖章页】复印件，资料未提供或所提供资料无法证明是否符合评分标准最终无法被</w:t>
      </w:r>
      <w:r>
        <w:rPr>
          <w:rFonts w:hint="eastAsia" w:ascii="宋体" w:hAnsi="宋体" w:eastAsia="宋体" w:cs="宋体"/>
          <w:color w:val="000000"/>
          <w:sz w:val="21"/>
          <w:szCs w:val="21"/>
        </w:rPr>
        <w:t xml:space="preserve">评审小组</w:t>
      </w:r>
      <w:r>
        <w:rPr>
          <w:rFonts w:ascii="宋体" w:hAnsi="宋体" w:eastAsia="宋体" w:cs="宋体"/>
          <w:color w:val="000000"/>
          <w:sz w:val="21"/>
          <w:szCs w:val="21"/>
        </w:rPr>
        <w:t xml:space="preserve">认可的对应项不得分。</w:t>
      </w:r>
      <w:r>
        <w:rPr>
          <w:rFonts w:hint="eastAsia" w:ascii="宋体" w:hAnsi="宋体" w:eastAsia="宋体" w:cs="宋体"/>
          <w:color w:val="000000"/>
          <w:szCs w:val="21"/>
        </w:rPr>
      </w:r>
      <w:r/>
    </w:p>
    <w:p>
      <w:pPr>
        <w:pStyle w:val="641"/>
        <w:ind w:firstLine="420"/>
        <w:spacing w:line="360" w:lineRule="auto"/>
        <w:tabs>
          <w:tab w:val="left" w:pos="420" w:leader="none"/>
          <w:tab w:val="left" w:pos="540" w:leader="none"/>
        </w:tabs>
        <w:rPr>
          <w:rFonts w:ascii="宋体" w:hAnsi="宋体" w:eastAsia="宋体"/>
          <w:sz w:val="21"/>
        </w:rPr>
      </w:pPr>
      <w:r>
        <w:rPr>
          <w:rFonts w:ascii="宋体" w:hAnsi="宋体" w:eastAsia="宋体"/>
          <w:sz w:val="21"/>
        </w:rPr>
      </w:r>
      <w:r/>
    </w:p>
    <w:p>
      <w:pPr>
        <w:pStyle w:val="641"/>
        <w:ind w:firstLine="420"/>
        <w:spacing w:line="360" w:lineRule="auto"/>
        <w:tabs>
          <w:tab w:val="left" w:pos="420" w:leader="none"/>
          <w:tab w:val="left" w:pos="540" w:leader="none"/>
        </w:tabs>
        <w:rPr>
          <w:rFonts w:hint="eastAsia" w:ascii="宋体" w:hAnsi="宋体" w:eastAsia="宋体"/>
          <w:sz w:val="21"/>
        </w:rPr>
      </w:pPr>
      <w:r>
        <w:rPr>
          <w:rFonts w:hint="eastAsia" w:ascii="宋体" w:hAnsi="宋体" w:eastAsia="宋体"/>
          <w:sz w:val="21"/>
        </w:rPr>
      </w:r>
      <w:r/>
    </w:p>
    <w:p>
      <w:pPr>
        <w:pStyle w:val="64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备注：</w:t>
      </w:r>
      <w:r/>
    </w:p>
    <w:p>
      <w:pPr>
        <w:pStyle w:val="641"/>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1</w:t>
      </w:r>
      <w:r>
        <w:rPr>
          <w:rFonts w:hint="eastAsia" w:ascii="宋体" w:hAnsi="宋体" w:eastAsia="宋体" w:cs="宋体"/>
          <w:b/>
          <w:sz w:val="21"/>
          <w:szCs w:val="21"/>
        </w:rPr>
        <w:t xml:space="preserve">.针对评分标准中评分的每一条，供应商均应提供相关资料并作出相应说明供评委评判，不提供相关资料的视为不具备该项得分的条件。</w:t>
      </w:r>
      <w:r/>
    </w:p>
    <w:p>
      <w:pPr>
        <w:pStyle w:val="641"/>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2</w:t>
      </w:r>
      <w:r>
        <w:rPr>
          <w:rFonts w:hint="eastAsia" w:ascii="宋体" w:hAnsi="宋体" w:eastAsia="宋体" w:cs="宋体"/>
          <w:b/>
          <w:sz w:val="21"/>
          <w:szCs w:val="21"/>
        </w:rPr>
        <w:t xml:space="preserve">.响应文件中如出现前后不一致时，评委有权请供应商澄清说明，澄清说明事项涉及评分时，评委有权酌情扣分。</w:t>
      </w:r>
      <w:r/>
    </w:p>
    <w:p>
      <w:pPr>
        <w:pStyle w:val="641"/>
        <w:ind w:firstLine="422"/>
        <w:spacing w:line="360" w:lineRule="auto"/>
        <w:rPr>
          <w:rFonts w:hint="eastAsia" w:ascii="宋体" w:hAnsi="宋体" w:eastAsia="宋体"/>
          <w:b/>
          <w:sz w:val="44"/>
          <w:szCs w:val="44"/>
        </w:rPr>
      </w:pPr>
      <w:r>
        <w:rPr>
          <w:rFonts w:ascii="宋体" w:hAnsi="宋体" w:eastAsia="宋体" w:cs="宋体"/>
          <w:b/>
          <w:sz w:val="21"/>
          <w:szCs w:val="21"/>
        </w:rPr>
        <w:t xml:space="preserve">3</w:t>
      </w:r>
      <w:r>
        <w:rPr>
          <w:rFonts w:hint="eastAsia" w:ascii="宋体" w:hAnsi="宋体" w:eastAsia="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b/>
          <w:sz w:val="44"/>
          <w:szCs w:val="44"/>
        </w:rPr>
      </w:r>
      <w:r/>
    </w:p>
    <w:p>
      <w:pPr>
        <w:pStyle w:val="641"/>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JSZC-320500-SZHX-C2026-0038</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7"/>
      <w:isLgl w:val="false"/>
      <w:suff w:val="space"/>
      <w:lvlText w:val="%1"/>
      <w:lvlJc w:val="left"/>
      <w:pPr>
        <w:pStyle w:val="641"/>
        <w:ind w:left="0" w:firstLine="0"/>
      </w:pPr>
      <w:rPr>
        <w:rFonts w:hint="eastAsia" w:ascii="宋体" w:hAnsi="宋体" w:eastAsia="宋体"/>
        <w:b/>
      </w:rPr>
    </w:lvl>
    <w:lvl w:ilvl="1">
      <w:start w:val="1"/>
      <w:numFmt w:val="decimal"/>
      <w:pStyle w:val="793"/>
      <w:isLgl w:val="false"/>
      <w:suff w:val="space"/>
      <w:lvlText w:val="%1.%2"/>
      <w:lvlJc w:val="left"/>
      <w:pPr>
        <w:pStyle w:val="641"/>
        <w:ind w:left="0" w:firstLine="510"/>
      </w:pPr>
      <w:rPr>
        <w:rFonts w:hint="eastAsia" w:ascii="宋体" w:hAnsi="宋体" w:eastAsia="宋体"/>
      </w:rPr>
    </w:lvl>
    <w:lvl w:ilvl="2">
      <w:start w:val="1"/>
      <w:numFmt w:val="decimal"/>
      <w:pStyle w:val="727"/>
      <w:isLgl w:val="false"/>
      <w:suff w:val="tab"/>
      <w:lvlText w:val="%1.%2.%3"/>
      <w:lvlJc w:val="left"/>
      <w:pPr>
        <w:pStyle w:val="641"/>
        <w:ind w:left="0" w:firstLine="510"/>
      </w:pPr>
      <w:rPr>
        <w:rFonts w:hint="eastAsia"/>
      </w:rPr>
    </w:lvl>
    <w:lvl w:ilvl="3">
      <w:start w:val="1"/>
      <w:numFmt w:val="decimal"/>
      <w:pStyle w:val="794"/>
      <w:isLgl w:val="false"/>
      <w:suff w:val="tab"/>
      <w:lvlText w:val="%1.%2.%3.%4"/>
      <w:lvlJc w:val="left"/>
      <w:pPr>
        <w:pStyle w:val="641"/>
        <w:ind w:left="0" w:firstLine="425"/>
      </w:pPr>
      <w:rPr>
        <w:rFonts w:hint="eastAsia" w:ascii="宋体" w:hAnsi="宋体" w:eastAsia="宋体"/>
      </w:rPr>
    </w:lvl>
    <w:lvl w:ilvl="4">
      <w:start w:val="1"/>
      <w:numFmt w:val="decimal"/>
      <w:isLgl w:val="false"/>
      <w:suff w:val="tab"/>
      <w:lvlText w:val="%1.%2.%3.%4.%5"/>
      <w:lvlJc w:val="left"/>
      <w:pPr>
        <w:pStyle w:val="641"/>
        <w:ind w:left="2551" w:hanging="850"/>
      </w:pPr>
      <w:rPr>
        <w:rFonts w:hint="eastAsia"/>
      </w:rPr>
    </w:lvl>
    <w:lvl w:ilvl="5">
      <w:start w:val="1"/>
      <w:numFmt w:val="decimal"/>
      <w:isLgl w:val="false"/>
      <w:suff w:val="tab"/>
      <w:lvlText w:val="%1.%2.%3.%4.%5.%6"/>
      <w:lvlJc w:val="left"/>
      <w:pPr>
        <w:pStyle w:val="641"/>
        <w:ind w:left="3260" w:hanging="1134"/>
      </w:pPr>
      <w:rPr>
        <w:rFonts w:hint="eastAsia"/>
      </w:rPr>
    </w:lvl>
    <w:lvl w:ilvl="6">
      <w:start w:val="1"/>
      <w:numFmt w:val="decimal"/>
      <w:isLgl w:val="false"/>
      <w:suff w:val="tab"/>
      <w:lvlText w:val="%1.%2.%3.%4.%5.%6.%7"/>
      <w:lvlJc w:val="left"/>
      <w:pPr>
        <w:pStyle w:val="641"/>
        <w:ind w:left="3827" w:hanging="1276"/>
      </w:pPr>
      <w:rPr>
        <w:rFonts w:hint="eastAsia"/>
      </w:rPr>
    </w:lvl>
    <w:lvl w:ilvl="7">
      <w:start w:val="1"/>
      <w:numFmt w:val="decimal"/>
      <w:isLgl w:val="false"/>
      <w:suff w:val="tab"/>
      <w:lvlText w:val="%1.%2.%3.%4.%5.%6.%7.%8"/>
      <w:lvlJc w:val="left"/>
      <w:pPr>
        <w:pStyle w:val="641"/>
        <w:ind w:left="4394" w:hanging="1418"/>
      </w:pPr>
      <w:rPr>
        <w:rFonts w:hint="eastAsia"/>
      </w:rPr>
    </w:lvl>
    <w:lvl w:ilvl="8">
      <w:start w:val="1"/>
      <w:numFmt w:val="decimal"/>
      <w:isLgl w:val="false"/>
      <w:suff w:val="tab"/>
      <w:lvlText w:val="%1.%2.%3.%4.%5.%6.%7.%8.%9"/>
      <w:lvlJc w:val="left"/>
      <w:pPr>
        <w:pStyle w:val="641"/>
        <w:ind w:left="5102" w:hanging="1700"/>
      </w:pPr>
      <w:rPr>
        <w:rFonts w:hint="eastAsia"/>
      </w:rPr>
    </w:lvl>
  </w:abstractNum>
  <w:abstractNum w:abstractNumId="1">
    <w:multiLevelType w:val="hybridMultilevel"/>
    <w:lvl w:ilvl="0">
      <w:start w:val="1"/>
      <w:numFmt w:val="bullet"/>
      <w:pStyle w:val="762"/>
      <w:isLgl w:val="false"/>
      <w:suff w:val="tab"/>
      <w:lvlText w:val=""/>
      <w:lvlJc w:val="left"/>
      <w:pPr>
        <w:pStyle w:val="641"/>
        <w:ind w:left="840" w:hanging="420"/>
        <w:tabs>
          <w:tab w:val="num" w:pos="840" w:leader="none"/>
        </w:tabs>
      </w:pPr>
      <w:rPr>
        <w:rFonts w:ascii="Wingdings" w:hAnsi="Wingdings"/>
      </w:rPr>
    </w:lvl>
    <w:lvl w:ilvl="1">
      <w:start w:val="1"/>
      <w:numFmt w:val="decimal"/>
      <w:isLgl w:val="false"/>
      <w:suff w:val="tab"/>
      <w:lvlText w:val="%2."/>
      <w:lvlJc w:val="left"/>
      <w:pPr>
        <w:pStyle w:val="641"/>
        <w:ind w:left="1440" w:hanging="360"/>
        <w:tabs>
          <w:tab w:val="num" w:pos="1440" w:leader="none"/>
        </w:tabs>
      </w:pPr>
    </w:lvl>
    <w:lvl w:ilvl="2">
      <w:start w:val="1"/>
      <w:numFmt w:val="decimal"/>
      <w:isLgl w:val="false"/>
      <w:suff w:val="tab"/>
      <w:lvlText w:val="%3."/>
      <w:lvlJc w:val="left"/>
      <w:pPr>
        <w:pStyle w:val="641"/>
        <w:ind w:left="2160" w:hanging="360"/>
        <w:tabs>
          <w:tab w:val="num" w:pos="2160" w:leader="none"/>
        </w:tabs>
      </w:pPr>
    </w:lvl>
    <w:lvl w:ilvl="3">
      <w:start w:val="1"/>
      <w:numFmt w:val="decimal"/>
      <w:isLgl w:val="false"/>
      <w:suff w:val="tab"/>
      <w:lvlText w:val="%4."/>
      <w:lvlJc w:val="left"/>
      <w:pPr>
        <w:pStyle w:val="641"/>
        <w:ind w:left="2880" w:hanging="360"/>
        <w:tabs>
          <w:tab w:val="num" w:pos="2880" w:leader="none"/>
        </w:tabs>
      </w:pPr>
    </w:lvl>
    <w:lvl w:ilvl="4">
      <w:start w:val="1"/>
      <w:numFmt w:val="decimal"/>
      <w:isLgl w:val="false"/>
      <w:suff w:val="tab"/>
      <w:lvlText w:val="%5."/>
      <w:lvlJc w:val="left"/>
      <w:pPr>
        <w:pStyle w:val="641"/>
        <w:ind w:left="3600" w:hanging="360"/>
        <w:tabs>
          <w:tab w:val="num" w:pos="3600" w:leader="none"/>
        </w:tabs>
      </w:pPr>
    </w:lvl>
    <w:lvl w:ilvl="5">
      <w:start w:val="1"/>
      <w:numFmt w:val="decimal"/>
      <w:isLgl w:val="false"/>
      <w:suff w:val="tab"/>
      <w:lvlText w:val="%6."/>
      <w:lvlJc w:val="left"/>
      <w:pPr>
        <w:pStyle w:val="641"/>
        <w:ind w:left="4320" w:hanging="360"/>
        <w:tabs>
          <w:tab w:val="num" w:pos="4320" w:leader="none"/>
        </w:tabs>
      </w:pPr>
    </w:lvl>
    <w:lvl w:ilvl="6">
      <w:start w:val="1"/>
      <w:numFmt w:val="decimal"/>
      <w:isLgl w:val="false"/>
      <w:suff w:val="tab"/>
      <w:lvlText w:val="%7."/>
      <w:lvlJc w:val="left"/>
      <w:pPr>
        <w:pStyle w:val="641"/>
        <w:ind w:left="5040" w:hanging="360"/>
        <w:tabs>
          <w:tab w:val="num" w:pos="5040" w:leader="none"/>
        </w:tabs>
      </w:pPr>
    </w:lvl>
    <w:lvl w:ilvl="7">
      <w:start w:val="1"/>
      <w:numFmt w:val="decimal"/>
      <w:isLgl w:val="false"/>
      <w:suff w:val="tab"/>
      <w:lvlText w:val="%8."/>
      <w:lvlJc w:val="left"/>
      <w:pPr>
        <w:pStyle w:val="641"/>
        <w:ind w:left="5760" w:hanging="360"/>
        <w:tabs>
          <w:tab w:val="num" w:pos="5760" w:leader="none"/>
        </w:tabs>
      </w:pPr>
    </w:lvl>
    <w:lvl w:ilvl="8">
      <w:start w:val="1"/>
      <w:numFmt w:val="decimal"/>
      <w:isLgl w:val="false"/>
      <w:suff w:val="tab"/>
      <w:lvlText w:val="%9."/>
      <w:lvlJc w:val="left"/>
      <w:pPr>
        <w:pStyle w:val="641"/>
        <w:ind w:left="6480" w:hanging="360"/>
        <w:tabs>
          <w:tab w:val="num" w:pos="6480" w:leader="none"/>
        </w:tabs>
      </w:pPr>
    </w:lvl>
  </w:abstractNum>
  <w:abstractNum w:abstractNumId="2">
    <w:multiLevelType w:val="hybridMultilevel"/>
    <w:lvl w:ilvl="0">
      <w:start w:val="1"/>
      <w:numFmt w:val="bullet"/>
      <w:isLgl w:val="false"/>
      <w:suff w:val="tab"/>
      <w:lvlText w:val=""/>
      <w:lvlJc w:val="left"/>
      <w:pPr>
        <w:pStyle w:val="641"/>
        <w:ind w:left="840" w:hanging="420"/>
      </w:pPr>
      <w:rPr>
        <w:rFonts w:ascii="Wingdings" w:hAnsi="Wingdings"/>
      </w:rPr>
    </w:lvl>
    <w:lvl w:ilvl="1">
      <w:start w:val="1"/>
      <w:numFmt w:val="bullet"/>
      <w:isLgl w:val="false"/>
      <w:suff w:val="tab"/>
      <w:lvlText w:val=""/>
      <w:lvlJc w:val="left"/>
      <w:pPr>
        <w:pStyle w:val="641"/>
        <w:ind w:left="1260" w:hanging="420"/>
      </w:pPr>
      <w:rPr>
        <w:rFonts w:ascii="Wingdings" w:hAnsi="Wingdings"/>
      </w:rPr>
    </w:lvl>
    <w:lvl w:ilvl="2">
      <w:start w:val="1"/>
      <w:numFmt w:val="bullet"/>
      <w:isLgl w:val="false"/>
      <w:suff w:val="tab"/>
      <w:lvlText w:val=""/>
      <w:lvlJc w:val="left"/>
      <w:pPr>
        <w:pStyle w:val="641"/>
        <w:ind w:left="1680" w:hanging="420"/>
      </w:pPr>
      <w:rPr>
        <w:rFonts w:ascii="Wingdings" w:hAnsi="Wingdings"/>
      </w:rPr>
    </w:lvl>
    <w:lvl w:ilvl="3">
      <w:start w:val="1"/>
      <w:numFmt w:val="bullet"/>
      <w:isLgl w:val="false"/>
      <w:suff w:val="tab"/>
      <w:lvlText w:val=""/>
      <w:lvlJc w:val="left"/>
      <w:pPr>
        <w:pStyle w:val="641"/>
        <w:ind w:left="2100" w:hanging="420"/>
      </w:pPr>
      <w:rPr>
        <w:rFonts w:ascii="Wingdings" w:hAnsi="Wingdings"/>
      </w:rPr>
    </w:lvl>
    <w:lvl w:ilvl="4">
      <w:start w:val="1"/>
      <w:numFmt w:val="bullet"/>
      <w:isLgl w:val="false"/>
      <w:suff w:val="tab"/>
      <w:lvlText w:val=""/>
      <w:lvlJc w:val="left"/>
      <w:pPr>
        <w:pStyle w:val="641"/>
        <w:ind w:left="2520" w:hanging="420"/>
      </w:pPr>
      <w:rPr>
        <w:rFonts w:ascii="Wingdings" w:hAnsi="Wingdings"/>
      </w:rPr>
    </w:lvl>
    <w:lvl w:ilvl="5">
      <w:start w:val="1"/>
      <w:numFmt w:val="bullet"/>
      <w:isLgl w:val="false"/>
      <w:suff w:val="tab"/>
      <w:lvlText w:val=""/>
      <w:lvlJc w:val="left"/>
      <w:pPr>
        <w:pStyle w:val="641"/>
        <w:ind w:left="2940" w:hanging="420"/>
      </w:pPr>
      <w:rPr>
        <w:rFonts w:ascii="Wingdings" w:hAnsi="Wingdings"/>
      </w:rPr>
    </w:lvl>
    <w:lvl w:ilvl="6">
      <w:start w:val="1"/>
      <w:numFmt w:val="bullet"/>
      <w:isLgl w:val="false"/>
      <w:suff w:val="tab"/>
      <w:lvlText w:val=""/>
      <w:lvlJc w:val="left"/>
      <w:pPr>
        <w:pStyle w:val="641"/>
        <w:ind w:left="3360" w:hanging="420"/>
      </w:pPr>
      <w:rPr>
        <w:rFonts w:ascii="Wingdings" w:hAnsi="Wingdings"/>
      </w:rPr>
    </w:lvl>
    <w:lvl w:ilvl="7">
      <w:start w:val="1"/>
      <w:numFmt w:val="bullet"/>
      <w:isLgl w:val="false"/>
      <w:suff w:val="tab"/>
      <w:lvlText w:val=""/>
      <w:lvlJc w:val="left"/>
      <w:pPr>
        <w:pStyle w:val="641"/>
        <w:ind w:left="3780" w:hanging="420"/>
      </w:pPr>
      <w:rPr>
        <w:rFonts w:ascii="Wingdings" w:hAnsi="Wingdings"/>
      </w:rPr>
    </w:lvl>
    <w:lvl w:ilvl="8">
      <w:start w:val="1"/>
      <w:numFmt w:val="bullet"/>
      <w:isLgl w:val="false"/>
      <w:suff w:val="tab"/>
      <w:lvlText w:val=""/>
      <w:lvlJc w:val="left"/>
      <w:pPr>
        <w:pStyle w:val="641"/>
        <w:ind w:left="4200" w:hanging="420"/>
      </w:pPr>
      <w:rPr>
        <w:rFonts w:ascii="Wingdings" w:hAnsi="Wingdings"/>
      </w:r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812"/>
    <w:uiPriority w:val="9"/>
    <w:qFormat/>
    <w:pPr>
      <w:keepLines/>
      <w:keepNext/>
      <w:spacing w:before="480" w:after="200"/>
      <w:outlineLvl w:val="0"/>
    </w:pPr>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54"/>
    <w:link w:val="641"/>
    <w:qFormat/>
    <w:pPr>
      <w:jc w:val="both"/>
      <w:widowControl w:val="off"/>
    </w:pPr>
    <w:rPr>
      <w:rFonts w:eastAsia="楷体_GB2312"/>
      <w:sz w:val="26"/>
      <w:lang w:val="en-US" w:eastAsia="zh-CN" w:bidi="ar-SA"/>
    </w:rPr>
  </w:style>
  <w:style w:type="paragraph" w:styleId="642">
    <w:name w:val="标题 1"/>
    <w:basedOn w:val="641"/>
    <w:next w:val="641"/>
    <w:link w:val="641"/>
    <w:uiPriority w:val="1"/>
    <w:qFormat/>
    <w:pPr>
      <w:keepLines/>
      <w:keepNext/>
      <w:spacing w:before="340" w:after="330" w:line="578" w:lineRule="auto"/>
      <w:outlineLvl w:val="0"/>
    </w:pPr>
    <w:rPr>
      <w:b/>
      <w:sz w:val="44"/>
    </w:rPr>
  </w:style>
  <w:style w:type="paragraph" w:styleId="643">
    <w:name w:val="标题 2"/>
    <w:basedOn w:val="641"/>
    <w:next w:val="641"/>
    <w:link w:val="656"/>
    <w:qFormat/>
    <w:pPr>
      <w:jc w:val="left"/>
      <w:keepLines/>
      <w:keepNext/>
      <w:outlineLvl w:val="1"/>
    </w:pPr>
    <w:rPr>
      <w:rFonts w:ascii="宋体" w:hAnsi="宋体"/>
      <w:b/>
    </w:rPr>
  </w:style>
  <w:style w:type="paragraph" w:styleId="644">
    <w:name w:val="标题 3"/>
    <w:basedOn w:val="641"/>
    <w:next w:val="641"/>
    <w:link w:val="641"/>
    <w:uiPriority w:val="1"/>
    <w:qFormat/>
    <w:pPr>
      <w:jc w:val="left"/>
      <w:keepLines/>
      <w:keepNext/>
      <w:outlineLvl w:val="2"/>
    </w:pPr>
    <w:rPr>
      <w:b/>
    </w:rPr>
  </w:style>
  <w:style w:type="paragraph" w:styleId="645">
    <w:name w:val="标题 4"/>
    <w:basedOn w:val="641"/>
    <w:next w:val="641"/>
    <w:link w:val="641"/>
    <w:uiPriority w:val="1"/>
    <w:qFormat/>
    <w:pPr>
      <w:keepLines/>
      <w:keepNext/>
      <w:spacing w:before="280" w:after="290" w:line="376" w:lineRule="auto"/>
      <w:outlineLvl w:val="3"/>
    </w:pPr>
    <w:rPr>
      <w:rFonts w:ascii="Arial" w:hAnsi="Arial" w:eastAsia="黑体"/>
      <w:b/>
      <w:bCs/>
      <w:sz w:val="28"/>
      <w:szCs w:val="28"/>
    </w:rPr>
  </w:style>
  <w:style w:type="paragraph" w:styleId="646">
    <w:name w:val="标题 5"/>
    <w:basedOn w:val="641"/>
    <w:next w:val="641"/>
    <w:link w:val="641"/>
    <w:qFormat/>
    <w:pPr>
      <w:jc w:val="left"/>
      <w:keepLines/>
      <w:keepNext/>
      <w:spacing w:before="280" w:after="290" w:line="376" w:lineRule="atLeast"/>
      <w:outlineLvl w:val="4"/>
    </w:pPr>
    <w:rPr>
      <w:rFonts w:ascii="宋体" w:hAnsi="Tms Rmn" w:eastAsia="宋体"/>
      <w:b/>
      <w:sz w:val="28"/>
    </w:rPr>
  </w:style>
  <w:style w:type="paragraph" w:styleId="647">
    <w:name w:val="标题 6"/>
    <w:basedOn w:val="641"/>
    <w:next w:val="641"/>
    <w:link w:val="641"/>
    <w:qFormat/>
    <w:pPr>
      <w:jc w:val="left"/>
      <w:keepLines/>
      <w:keepNext/>
      <w:spacing w:before="240" w:after="64" w:line="320" w:lineRule="atLeast"/>
      <w:outlineLvl w:val="5"/>
    </w:pPr>
    <w:rPr>
      <w:rFonts w:ascii="黑体" w:hAnsi="Tms Rmn" w:eastAsia="黑体"/>
      <w:b/>
      <w:sz w:val="24"/>
    </w:rPr>
  </w:style>
  <w:style w:type="paragraph" w:styleId="648">
    <w:name w:val="标题 7"/>
    <w:basedOn w:val="641"/>
    <w:next w:val="641"/>
    <w:link w:val="641"/>
    <w:qFormat/>
    <w:pPr>
      <w:jc w:val="left"/>
      <w:keepLines/>
      <w:keepNext/>
      <w:spacing w:before="240" w:after="64" w:line="320" w:lineRule="atLeast"/>
      <w:outlineLvl w:val="6"/>
    </w:pPr>
    <w:rPr>
      <w:rFonts w:ascii="宋体" w:hAnsi="Tms Rmn" w:eastAsia="宋体"/>
      <w:b/>
      <w:sz w:val="24"/>
    </w:rPr>
  </w:style>
  <w:style w:type="paragraph" w:styleId="649">
    <w:name w:val="标题 8"/>
    <w:basedOn w:val="641"/>
    <w:next w:val="641"/>
    <w:link w:val="641"/>
    <w:qFormat/>
    <w:pPr>
      <w:keepLines/>
      <w:keepNext/>
      <w:spacing w:before="240" w:after="64" w:line="320" w:lineRule="auto"/>
      <w:outlineLvl w:val="7"/>
    </w:pPr>
    <w:rPr>
      <w:rFonts w:ascii="Arial" w:hAnsi="Arial" w:eastAsia="黑体"/>
      <w:sz w:val="24"/>
      <w:szCs w:val="24"/>
    </w:rPr>
  </w:style>
  <w:style w:type="paragraph" w:styleId="650">
    <w:name w:val="标题 9"/>
    <w:basedOn w:val="641"/>
    <w:next w:val="641"/>
    <w:link w:val="641"/>
    <w:qFormat/>
    <w:pPr>
      <w:keepLines/>
      <w:keepNext/>
      <w:spacing w:before="240" w:after="64" w:line="320" w:lineRule="auto"/>
      <w:outlineLvl w:val="8"/>
    </w:pPr>
    <w:rPr>
      <w:rFonts w:ascii="Arial" w:hAnsi="Arial" w:eastAsia="黑体"/>
      <w:sz w:val="21"/>
      <w:szCs w:val="21"/>
    </w:rPr>
  </w:style>
  <w:style w:type="character" w:styleId="651">
    <w:name w:val="默认段落字体"/>
    <w:next w:val="651"/>
    <w:link w:val="641"/>
    <w:uiPriority w:val="1"/>
    <w:unhideWhenUsed/>
  </w:style>
  <w:style w:type="table" w:styleId="652">
    <w:name w:val="普通表格"/>
    <w:next w:val="652"/>
    <w:link w:val="641"/>
    <w:uiPriority w:val="99"/>
    <w:unhideWhenUsed/>
    <w:tblPr/>
  </w:style>
  <w:style w:type="numbering" w:styleId="653">
    <w:name w:val="无列表"/>
    <w:next w:val="653"/>
    <w:link w:val="641"/>
    <w:uiPriority w:val="99"/>
    <w:semiHidden/>
    <w:unhideWhenUsed/>
  </w:style>
  <w:style w:type="paragraph" w:styleId="654">
    <w:name w:val="正文文本"/>
    <w:basedOn w:val="641"/>
    <w:next w:val="654"/>
    <w:link w:val="655"/>
    <w:qFormat/>
    <w:pPr>
      <w:spacing w:line="400" w:lineRule="exact"/>
    </w:pPr>
    <w:rPr>
      <w:rFonts w:ascii="楷体_GB2312"/>
      <w:sz w:val="28"/>
    </w:rPr>
  </w:style>
  <w:style w:type="character" w:styleId="655">
    <w:name w:val="正文文本 字符"/>
    <w:next w:val="655"/>
    <w:link w:val="654"/>
    <w:qFormat/>
    <w:rPr>
      <w:rFonts w:ascii="楷体_GB2312" w:eastAsia="楷体_GB2312"/>
      <w:sz w:val="28"/>
      <w:lang w:val="en-US" w:eastAsia="zh-CN" w:bidi="ar-SA"/>
    </w:rPr>
  </w:style>
  <w:style w:type="character" w:styleId="656">
    <w:name w:val="标题 2 字符"/>
    <w:next w:val="656"/>
    <w:link w:val="643"/>
    <w:rPr>
      <w:rFonts w:ascii="宋体" w:hAnsi="宋体" w:eastAsia="楷体_GB2312"/>
      <w:b/>
      <w:sz w:val="26"/>
    </w:rPr>
  </w:style>
  <w:style w:type="paragraph" w:styleId="657">
    <w:name w:val="toc 7"/>
    <w:basedOn w:val="641"/>
    <w:next w:val="641"/>
    <w:link w:val="641"/>
    <w:semiHidden/>
    <w:qFormat/>
    <w:pPr>
      <w:ind w:left="2520"/>
    </w:pPr>
  </w:style>
  <w:style w:type="paragraph" w:styleId="658">
    <w:name w:val="索引 8"/>
    <w:basedOn w:val="641"/>
    <w:next w:val="641"/>
    <w:link w:val="641"/>
    <w:semiHidden/>
    <w:qFormat/>
    <w:pPr>
      <w:ind w:left="2940"/>
    </w:pPr>
  </w:style>
  <w:style w:type="paragraph" w:styleId="659">
    <w:name w:val="列表编号"/>
    <w:basedOn w:val="641"/>
    <w:next w:val="659"/>
    <w:link w:val="641"/>
    <w:qFormat/>
    <w:pPr>
      <w:ind w:left="1125" w:hanging="555"/>
      <w:tabs>
        <w:tab w:val="left" w:pos="1125" w:leader="none"/>
      </w:tabs>
    </w:pPr>
    <w:rPr>
      <w:rFonts w:eastAsia="宋体"/>
      <w:sz w:val="21"/>
      <w:szCs w:val="24"/>
    </w:rPr>
  </w:style>
  <w:style w:type="paragraph" w:styleId="660">
    <w:name w:val="正文缩进"/>
    <w:basedOn w:val="641"/>
    <w:next w:val="660"/>
    <w:link w:val="661"/>
    <w:qFormat/>
    <w:pPr>
      <w:ind w:firstLine="420"/>
      <w:jc w:val="left"/>
    </w:pPr>
    <w:rPr>
      <w:sz w:val="24"/>
    </w:rPr>
  </w:style>
  <w:style w:type="character" w:styleId="661">
    <w:name w:val="正文缩进 字符"/>
    <w:next w:val="661"/>
    <w:link w:val="660"/>
    <w:qFormat/>
    <w:rPr>
      <w:rFonts w:eastAsia="楷体_GB2312"/>
      <w:sz w:val="24"/>
      <w:lang w:val="en-US" w:eastAsia="zh-CN" w:bidi="ar-SA"/>
    </w:rPr>
  </w:style>
  <w:style w:type="paragraph" w:styleId="662">
    <w:name w:val="索引 5"/>
    <w:basedOn w:val="641"/>
    <w:next w:val="641"/>
    <w:link w:val="641"/>
    <w:semiHidden/>
    <w:qFormat/>
    <w:pPr>
      <w:ind w:left="1680"/>
    </w:pPr>
  </w:style>
  <w:style w:type="paragraph" w:styleId="663">
    <w:name w:val="文档结构图"/>
    <w:basedOn w:val="641"/>
    <w:next w:val="663"/>
    <w:link w:val="641"/>
    <w:semiHidden/>
    <w:qFormat/>
    <w:pPr>
      <w:shd w:val="clear" w:color="auto" w:fill="000080"/>
    </w:pPr>
    <w:rPr>
      <w:rFonts w:eastAsia="宋体"/>
      <w:sz w:val="21"/>
    </w:rPr>
  </w:style>
  <w:style w:type="paragraph" w:styleId="664">
    <w:name w:val="批注文字"/>
    <w:basedOn w:val="641"/>
    <w:next w:val="664"/>
    <w:link w:val="665"/>
    <w:uiPriority w:val="99"/>
    <w:semiHidden/>
    <w:qFormat/>
    <w:pPr>
      <w:jc w:val="left"/>
    </w:pPr>
  </w:style>
  <w:style w:type="character" w:styleId="665">
    <w:name w:val="批注文字 字符"/>
    <w:next w:val="665"/>
    <w:link w:val="664"/>
    <w:uiPriority w:val="99"/>
    <w:semiHidden/>
    <w:qFormat/>
    <w:rPr>
      <w:rFonts w:eastAsia="楷体_GB2312"/>
      <w:sz w:val="26"/>
    </w:rPr>
  </w:style>
  <w:style w:type="paragraph" w:styleId="666">
    <w:name w:val="索引 6"/>
    <w:basedOn w:val="641"/>
    <w:next w:val="641"/>
    <w:link w:val="641"/>
    <w:semiHidden/>
    <w:qFormat/>
    <w:pPr>
      <w:ind w:left="2100"/>
    </w:pPr>
  </w:style>
  <w:style w:type="paragraph" w:styleId="667">
    <w:name w:val="正文文本缩进"/>
    <w:basedOn w:val="641"/>
    <w:next w:val="667"/>
    <w:link w:val="641"/>
    <w:qFormat/>
    <w:pPr>
      <w:ind w:left="570"/>
      <w:spacing w:line="520" w:lineRule="exact"/>
    </w:pPr>
    <w:rPr>
      <w:rFonts w:ascii="方正仿宋简体" w:hAnsi="创艺简仿宋" w:eastAsia="方正仿宋简体"/>
      <w:sz w:val="24"/>
    </w:rPr>
  </w:style>
  <w:style w:type="paragraph" w:styleId="668">
    <w:name w:val="列表 2"/>
    <w:basedOn w:val="641"/>
    <w:next w:val="668"/>
    <w:link w:val="641"/>
    <w:qFormat/>
    <w:pPr>
      <w:ind w:left="840" w:hanging="420"/>
    </w:pPr>
    <w:rPr>
      <w:rFonts w:eastAsia="宋体"/>
      <w:sz w:val="21"/>
      <w:szCs w:val="24"/>
    </w:rPr>
  </w:style>
  <w:style w:type="paragraph" w:styleId="669">
    <w:name w:val="文本块"/>
    <w:basedOn w:val="641"/>
    <w:next w:val="669"/>
    <w:link w:val="641"/>
    <w:qFormat/>
    <w:pPr>
      <w:ind w:left="630" w:right="-609" w:firstLine="420"/>
      <w:spacing w:line="360" w:lineRule="auto"/>
    </w:pPr>
    <w:rPr>
      <w:rFonts w:hint="eastAsia" w:ascii="仿宋_GB2312" w:eastAsia="仿宋_GB2312"/>
      <w:sz w:val="21"/>
    </w:rPr>
  </w:style>
  <w:style w:type="paragraph" w:styleId="670">
    <w:name w:val="索引 4"/>
    <w:basedOn w:val="641"/>
    <w:next w:val="641"/>
    <w:link w:val="641"/>
    <w:semiHidden/>
    <w:qFormat/>
    <w:pPr>
      <w:ind w:left="1260"/>
    </w:pPr>
  </w:style>
  <w:style w:type="paragraph" w:styleId="671">
    <w:name w:val="toc 5"/>
    <w:basedOn w:val="641"/>
    <w:next w:val="641"/>
    <w:link w:val="641"/>
    <w:semiHidden/>
    <w:qFormat/>
    <w:pPr>
      <w:ind w:left="1680"/>
    </w:pPr>
  </w:style>
  <w:style w:type="paragraph" w:styleId="672">
    <w:name w:val="toc 3"/>
    <w:basedOn w:val="641"/>
    <w:next w:val="641"/>
    <w:link w:val="641"/>
    <w:uiPriority w:val="1"/>
    <w:qFormat/>
    <w:pPr>
      <w:ind w:left="840"/>
    </w:pPr>
  </w:style>
  <w:style w:type="paragraph" w:styleId="673">
    <w:name w:val="纯文本"/>
    <w:basedOn w:val="641"/>
    <w:next w:val="673"/>
    <w:link w:val="674"/>
    <w:qFormat/>
    <w:rPr>
      <w:rFonts w:ascii="宋体" w:hAnsi="Courier New"/>
    </w:rPr>
  </w:style>
  <w:style w:type="character" w:styleId="674">
    <w:name w:val="纯文本 字符"/>
    <w:next w:val="674"/>
    <w:link w:val="673"/>
    <w:qFormat/>
    <w:rPr>
      <w:rFonts w:ascii="宋体" w:hAnsi="Courier New" w:eastAsia="楷体_GB2312"/>
      <w:sz w:val="26"/>
      <w:lang w:val="en-US" w:eastAsia="zh-CN" w:bidi="ar-SA"/>
    </w:rPr>
  </w:style>
  <w:style w:type="paragraph" w:styleId="675">
    <w:name w:val="toc 8"/>
    <w:basedOn w:val="641"/>
    <w:next w:val="641"/>
    <w:link w:val="641"/>
    <w:semiHidden/>
    <w:qFormat/>
    <w:pPr>
      <w:ind w:left="2940"/>
    </w:pPr>
  </w:style>
  <w:style w:type="paragraph" w:styleId="676">
    <w:name w:val="索引 3"/>
    <w:basedOn w:val="641"/>
    <w:next w:val="641"/>
    <w:link w:val="641"/>
    <w:semiHidden/>
    <w:qFormat/>
    <w:pPr>
      <w:ind w:left="840"/>
    </w:pPr>
  </w:style>
  <w:style w:type="paragraph" w:styleId="677">
    <w:name w:val="日期"/>
    <w:basedOn w:val="641"/>
    <w:next w:val="641"/>
    <w:link w:val="678"/>
    <w:qFormat/>
    <w:rPr>
      <w:rFonts w:ascii="宋体" w:hAnsi="宋体"/>
      <w:sz w:val="24"/>
    </w:rPr>
  </w:style>
  <w:style w:type="character" w:styleId="678">
    <w:name w:val="日期 字符"/>
    <w:next w:val="678"/>
    <w:link w:val="677"/>
    <w:qFormat/>
    <w:rPr>
      <w:rFonts w:ascii="宋体" w:hAnsi="宋体" w:eastAsia="楷体_GB2312"/>
      <w:sz w:val="24"/>
    </w:rPr>
  </w:style>
  <w:style w:type="paragraph" w:styleId="679">
    <w:name w:val="正文文本缩进 2"/>
    <w:basedOn w:val="641"/>
    <w:next w:val="679"/>
    <w:link w:val="680"/>
    <w:qFormat/>
    <w:pPr>
      <w:ind w:firstLine="502"/>
      <w:spacing w:line="360" w:lineRule="auto"/>
      <w:tabs>
        <w:tab w:val="left" w:pos="0" w:leader="none"/>
      </w:tabs>
    </w:pPr>
    <w:rPr>
      <w:rFonts w:ascii="宋体" w:eastAsia="宋体"/>
      <w:b/>
      <w:bCs/>
      <w:sz w:val="24"/>
    </w:rPr>
  </w:style>
  <w:style w:type="character" w:styleId="680">
    <w:name w:val="正文文本缩进 2 字符"/>
    <w:next w:val="680"/>
    <w:link w:val="679"/>
    <w:qFormat/>
    <w:rPr>
      <w:rFonts w:ascii="宋体"/>
      <w:b/>
      <w:bCs/>
      <w:sz w:val="24"/>
    </w:rPr>
  </w:style>
  <w:style w:type="paragraph" w:styleId="681">
    <w:name w:val="批注框文本"/>
    <w:basedOn w:val="641"/>
    <w:next w:val="681"/>
    <w:link w:val="682"/>
    <w:uiPriority w:val="99"/>
    <w:semiHidden/>
    <w:qFormat/>
    <w:rPr>
      <w:sz w:val="18"/>
      <w:szCs w:val="18"/>
    </w:rPr>
  </w:style>
  <w:style w:type="character" w:styleId="682">
    <w:name w:val="批注框文本 字符"/>
    <w:next w:val="682"/>
    <w:link w:val="681"/>
    <w:uiPriority w:val="99"/>
    <w:semiHidden/>
    <w:qFormat/>
    <w:rPr>
      <w:rFonts w:eastAsia="楷体_GB2312"/>
      <w:sz w:val="18"/>
      <w:szCs w:val="18"/>
    </w:rPr>
  </w:style>
  <w:style w:type="paragraph" w:styleId="683">
    <w:name w:val="页脚"/>
    <w:basedOn w:val="641"/>
    <w:next w:val="683"/>
    <w:link w:val="684"/>
    <w:uiPriority w:val="99"/>
    <w:qFormat/>
    <w:pPr>
      <w:jc w:val="left"/>
      <w:tabs>
        <w:tab w:val="center" w:pos="4153" w:leader="none"/>
        <w:tab w:val="right" w:pos="8306" w:leader="none"/>
      </w:tabs>
    </w:pPr>
    <w:rPr>
      <w:sz w:val="18"/>
    </w:rPr>
  </w:style>
  <w:style w:type="character" w:styleId="684">
    <w:name w:val="页脚 字符"/>
    <w:next w:val="684"/>
    <w:link w:val="683"/>
    <w:uiPriority w:val="99"/>
    <w:qFormat/>
    <w:rPr>
      <w:rFonts w:eastAsia="楷体_GB2312"/>
      <w:sz w:val="18"/>
    </w:rPr>
  </w:style>
  <w:style w:type="paragraph" w:styleId="685">
    <w:name w:val="页眉"/>
    <w:basedOn w:val="641"/>
    <w:next w:val="685"/>
    <w:link w:val="686"/>
    <w:uiPriority w:val="99"/>
    <w:qFormat/>
    <w:pPr>
      <w:jc w:val="center"/>
      <w:tabs>
        <w:tab w:val="center" w:pos="4153" w:leader="none"/>
        <w:tab w:val="right" w:pos="8306" w:leader="none"/>
      </w:tabs>
      <w:pBdr>
        <w:bottom w:val="single" w:color="000000" w:sz="6" w:space="1"/>
      </w:pBdr>
    </w:pPr>
    <w:rPr>
      <w:sz w:val="18"/>
    </w:rPr>
  </w:style>
  <w:style w:type="character" w:styleId="686">
    <w:name w:val="页眉 字符"/>
    <w:next w:val="686"/>
    <w:link w:val="685"/>
    <w:uiPriority w:val="99"/>
    <w:qFormat/>
    <w:rPr>
      <w:rFonts w:eastAsia="楷体_GB2312"/>
      <w:sz w:val="18"/>
    </w:rPr>
  </w:style>
  <w:style w:type="paragraph" w:styleId="687">
    <w:name w:val="toc 1"/>
    <w:basedOn w:val="641"/>
    <w:next w:val="641"/>
    <w:link w:val="641"/>
    <w:uiPriority w:val="39"/>
    <w:qFormat/>
    <w:pPr>
      <w:jc w:val="left"/>
    </w:pPr>
    <w:rPr>
      <w:sz w:val="24"/>
    </w:rPr>
  </w:style>
  <w:style w:type="paragraph" w:styleId="688">
    <w:name w:val="toc 4"/>
    <w:basedOn w:val="641"/>
    <w:next w:val="641"/>
    <w:link w:val="641"/>
    <w:semiHidden/>
    <w:qFormat/>
    <w:pPr>
      <w:ind w:left="1260"/>
    </w:pPr>
  </w:style>
  <w:style w:type="paragraph" w:styleId="689">
    <w:name w:val="索引标题"/>
    <w:basedOn w:val="641"/>
    <w:next w:val="690"/>
    <w:link w:val="641"/>
    <w:semiHidden/>
    <w:qFormat/>
  </w:style>
  <w:style w:type="paragraph" w:styleId="690">
    <w:name w:val="索引 1"/>
    <w:basedOn w:val="641"/>
    <w:next w:val="641"/>
    <w:link w:val="641"/>
    <w:semiHidden/>
    <w:qFormat/>
  </w:style>
  <w:style w:type="paragraph" w:styleId="691">
    <w:name w:val="列表"/>
    <w:basedOn w:val="641"/>
    <w:next w:val="691"/>
    <w:link w:val="641"/>
    <w:qFormat/>
    <w:pPr>
      <w:ind w:left="420" w:hanging="420"/>
    </w:pPr>
    <w:rPr>
      <w:rFonts w:eastAsia="宋体"/>
      <w:sz w:val="21"/>
      <w:szCs w:val="24"/>
    </w:rPr>
  </w:style>
  <w:style w:type="paragraph" w:styleId="692">
    <w:name w:val="脚注文本"/>
    <w:basedOn w:val="641"/>
    <w:next w:val="692"/>
    <w:link w:val="641"/>
    <w:semiHidden/>
    <w:qFormat/>
    <w:pPr>
      <w:jc w:val="left"/>
    </w:pPr>
    <w:rPr>
      <w:sz w:val="18"/>
    </w:rPr>
  </w:style>
  <w:style w:type="paragraph" w:styleId="693">
    <w:name w:val="toc 6"/>
    <w:basedOn w:val="641"/>
    <w:next w:val="641"/>
    <w:link w:val="641"/>
    <w:semiHidden/>
    <w:qFormat/>
    <w:pPr>
      <w:ind w:left="2100"/>
    </w:pPr>
  </w:style>
  <w:style w:type="paragraph" w:styleId="694">
    <w:name w:val="正文文本缩进 3"/>
    <w:basedOn w:val="641"/>
    <w:next w:val="694"/>
    <w:link w:val="641"/>
    <w:qFormat/>
    <w:pPr>
      <w:ind w:firstLine="617"/>
      <w:spacing w:line="360" w:lineRule="auto"/>
    </w:pPr>
    <w:rPr>
      <w:rFonts w:eastAsia="宋体"/>
      <w:sz w:val="24"/>
      <w:szCs w:val="24"/>
    </w:rPr>
  </w:style>
  <w:style w:type="paragraph" w:styleId="695">
    <w:name w:val="索引 7"/>
    <w:basedOn w:val="641"/>
    <w:next w:val="641"/>
    <w:link w:val="641"/>
    <w:semiHidden/>
    <w:qFormat/>
    <w:pPr>
      <w:ind w:left="2520"/>
    </w:pPr>
  </w:style>
  <w:style w:type="paragraph" w:styleId="696">
    <w:name w:val="索引 9"/>
    <w:basedOn w:val="641"/>
    <w:next w:val="641"/>
    <w:link w:val="641"/>
    <w:semiHidden/>
    <w:qFormat/>
    <w:pPr>
      <w:ind w:left="3360"/>
    </w:pPr>
  </w:style>
  <w:style w:type="paragraph" w:styleId="697">
    <w:name w:val="图表目录"/>
    <w:basedOn w:val="641"/>
    <w:next w:val="641"/>
    <w:link w:val="641"/>
    <w:semiHidden/>
    <w:qFormat/>
    <w:pPr>
      <w:ind w:left="420" w:hanging="420"/>
      <w:jc w:val="left"/>
    </w:pPr>
    <w:rPr>
      <w:smallCaps/>
      <w:sz w:val="24"/>
    </w:rPr>
  </w:style>
  <w:style w:type="paragraph" w:styleId="698">
    <w:name w:val="toc 2"/>
    <w:basedOn w:val="641"/>
    <w:next w:val="641"/>
    <w:link w:val="641"/>
    <w:uiPriority w:val="1"/>
    <w:qFormat/>
    <w:pPr>
      <w:ind w:left="420"/>
    </w:pPr>
  </w:style>
  <w:style w:type="paragraph" w:styleId="699">
    <w:name w:val="toc 9"/>
    <w:basedOn w:val="641"/>
    <w:next w:val="641"/>
    <w:link w:val="641"/>
    <w:semiHidden/>
    <w:qFormat/>
    <w:pPr>
      <w:ind w:left="3360"/>
    </w:pPr>
  </w:style>
  <w:style w:type="paragraph" w:styleId="700">
    <w:name w:val="正文文本 2"/>
    <w:basedOn w:val="641"/>
    <w:next w:val="700"/>
    <w:link w:val="641"/>
    <w:qFormat/>
    <w:pPr>
      <w:spacing w:after="120" w:line="480" w:lineRule="auto"/>
    </w:pPr>
  </w:style>
  <w:style w:type="paragraph" w:styleId="701">
    <w:name w:val="HTML 预设格式"/>
    <w:basedOn w:val="641"/>
    <w:next w:val="701"/>
    <w:link w:val="6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2">
    <w:name w:val="普通(网站)"/>
    <w:basedOn w:val="641"/>
    <w:next w:val="702"/>
    <w:link w:val="641"/>
    <w:uiPriority w:val="99"/>
    <w:qFormat/>
    <w:pPr>
      <w:jc w:val="left"/>
      <w:spacing w:before="100" w:beforeAutospacing="1" w:after="100" w:afterAutospacing="1"/>
      <w:widowControl/>
    </w:pPr>
    <w:rPr>
      <w:rFonts w:ascii="宋体" w:hAnsi="宋体" w:eastAsia="宋体" w:cs="宋体"/>
      <w:sz w:val="24"/>
      <w:szCs w:val="24"/>
    </w:rPr>
  </w:style>
  <w:style w:type="paragraph" w:styleId="703">
    <w:name w:val="索引 2"/>
    <w:basedOn w:val="641"/>
    <w:next w:val="641"/>
    <w:link w:val="641"/>
    <w:semiHidden/>
    <w:qFormat/>
    <w:pPr>
      <w:ind w:left="420"/>
    </w:pPr>
  </w:style>
  <w:style w:type="paragraph" w:styleId="704">
    <w:name w:val="标题"/>
    <w:basedOn w:val="641"/>
    <w:next w:val="641"/>
    <w:link w:val="705"/>
    <w:uiPriority w:val="10"/>
    <w:qFormat/>
    <w:pPr>
      <w:jc w:val="center"/>
      <w:spacing w:before="240" w:after="60"/>
      <w:widowControl/>
      <w:outlineLvl w:val="0"/>
    </w:pPr>
    <w:rPr>
      <w:rFonts w:ascii="Calibri Light" w:hAnsi="Calibri Light" w:eastAsia="宋体"/>
      <w:b/>
      <w:bCs/>
      <w:sz w:val="32"/>
      <w:szCs w:val="32"/>
    </w:rPr>
  </w:style>
  <w:style w:type="character" w:styleId="705">
    <w:name w:val="标题 字符"/>
    <w:next w:val="705"/>
    <w:link w:val="704"/>
    <w:uiPriority w:val="10"/>
    <w:qFormat/>
    <w:rPr>
      <w:rFonts w:ascii="Calibri Light" w:hAnsi="Calibri Light"/>
      <w:b/>
      <w:bCs/>
      <w:sz w:val="32"/>
      <w:szCs w:val="32"/>
    </w:rPr>
  </w:style>
  <w:style w:type="paragraph" w:styleId="706">
    <w:name w:val="批注主题"/>
    <w:basedOn w:val="664"/>
    <w:next w:val="664"/>
    <w:link w:val="641"/>
    <w:semiHidden/>
    <w:qFormat/>
    <w:rPr>
      <w:b/>
      <w:bCs/>
    </w:rPr>
  </w:style>
  <w:style w:type="paragraph" w:styleId="707">
    <w:name w:val="正文文本首行缩进"/>
    <w:basedOn w:val="654"/>
    <w:next w:val="707"/>
    <w:link w:val="641"/>
    <w:qFormat/>
    <w:pPr>
      <w:ind w:firstLine="420"/>
      <w:spacing w:after="120" w:line="240" w:lineRule="auto"/>
    </w:pPr>
    <w:rPr>
      <w:rFonts w:ascii="Times New Roman"/>
      <w:sz w:val="26"/>
    </w:rPr>
  </w:style>
  <w:style w:type="paragraph" w:styleId="708">
    <w:name w:val="正文文本首行缩进 2"/>
    <w:basedOn w:val="667"/>
    <w:next w:val="708"/>
    <w:link w:val="641"/>
    <w:uiPriority w:val="99"/>
    <w:unhideWhenUsed/>
    <w:qFormat/>
    <w:pPr>
      <w:ind w:firstLine="420"/>
    </w:pPr>
  </w:style>
  <w:style w:type="table" w:styleId="709">
    <w:name w:val="网格型"/>
    <w:basedOn w:val="652"/>
    <w:next w:val="709"/>
    <w:link w:val="641"/>
    <w:qFormat/>
    <w:rPr>
      <w:rFonts w:ascii="Calibri" w:hAnsi="Calibri"/>
      <w:sz w:val="22"/>
      <w:szCs w:val="22"/>
    </w:rPr>
    <w:tblPr/>
  </w:style>
  <w:style w:type="character" w:styleId="710">
    <w:name w:val="页码"/>
    <w:next w:val="710"/>
    <w:link w:val="641"/>
    <w:qFormat/>
  </w:style>
  <w:style w:type="character" w:styleId="711">
    <w:name w:val="访问过的超链接"/>
    <w:next w:val="711"/>
    <w:link w:val="641"/>
    <w:qFormat/>
    <w:rPr>
      <w:color w:val="800080"/>
      <w:u w:val="single"/>
    </w:rPr>
  </w:style>
  <w:style w:type="character" w:styleId="712">
    <w:name w:val="强调"/>
    <w:next w:val="712"/>
    <w:link w:val="641"/>
    <w:uiPriority w:val="20"/>
    <w:qFormat/>
    <w:rPr>
      <w:color w:val="cc0000"/>
    </w:rPr>
  </w:style>
  <w:style w:type="character" w:styleId="713">
    <w:name w:val="超链接"/>
    <w:next w:val="713"/>
    <w:link w:val="641"/>
    <w:uiPriority w:val="99"/>
    <w:qFormat/>
    <w:rPr>
      <w:color w:val="0000ff"/>
      <w:u w:val="single"/>
    </w:rPr>
  </w:style>
  <w:style w:type="character" w:styleId="714">
    <w:name w:val="批注引用"/>
    <w:next w:val="714"/>
    <w:link w:val="641"/>
    <w:qFormat/>
    <w:rPr>
      <w:sz w:val="21"/>
      <w:szCs w:val="21"/>
    </w:rPr>
  </w:style>
  <w:style w:type="character" w:styleId="715">
    <w:name w:val="脚注引用"/>
    <w:next w:val="715"/>
    <w:link w:val="641"/>
    <w:semiHidden/>
    <w:qFormat/>
    <w:rPr>
      <w:vertAlign w:val="superscript"/>
    </w:rPr>
  </w:style>
  <w:style w:type="character" w:styleId="716">
    <w:name w:val="列出段落 Char"/>
    <w:next w:val="716"/>
    <w:link w:val="717"/>
    <w:rPr>
      <w:rFonts w:ascii="Times" w:hAnsi="Times"/>
      <w:sz w:val="24"/>
      <w:szCs w:val="24"/>
    </w:rPr>
  </w:style>
  <w:style w:type="paragraph" w:styleId="717">
    <w:name w:val="列出段落2"/>
    <w:basedOn w:val="641"/>
    <w:next w:val="717"/>
    <w:link w:val="716"/>
    <w:qFormat/>
    <w:pPr>
      <w:ind w:firstLine="420"/>
      <w:jc w:val="left"/>
      <w:spacing w:line="360" w:lineRule="auto"/>
      <w:widowControl/>
    </w:pPr>
    <w:rPr>
      <w:rFonts w:ascii="Times" w:hAnsi="Times" w:eastAsia="宋体"/>
      <w:sz w:val="24"/>
      <w:szCs w:val="24"/>
    </w:rPr>
  </w:style>
  <w:style w:type="character" w:styleId="718">
    <w:name w:val="A5 Char"/>
    <w:next w:val="718"/>
    <w:link w:val="719"/>
    <w:qFormat/>
    <w:rPr>
      <w:b/>
      <w:bCs/>
      <w:sz w:val="28"/>
      <w:szCs w:val="28"/>
    </w:rPr>
  </w:style>
  <w:style w:type="paragraph" w:styleId="719">
    <w:name w:val="A5"/>
    <w:basedOn w:val="646"/>
    <w:next w:val="719"/>
    <w:link w:val="718"/>
    <w:qFormat/>
    <w:pPr>
      <w:ind w:left="1008" w:hanging="1008"/>
      <w:jc w:val="both"/>
      <w:spacing w:line="376" w:lineRule="auto"/>
    </w:pPr>
    <w:rPr>
      <w:rFonts w:ascii="Times New Roman" w:hAnsi="Times New Roman"/>
      <w:bCs/>
      <w:szCs w:val="28"/>
    </w:rPr>
  </w:style>
  <w:style w:type="character" w:styleId="720">
    <w:name w:val="1招标书_正文 Char"/>
    <w:next w:val="720"/>
    <w:link w:val="721"/>
    <w:qFormat/>
    <w:rPr>
      <w:rFonts w:ascii="宋体" w:hAnsi="宋体" w:cs="宋体"/>
      <w:sz w:val="24"/>
    </w:rPr>
  </w:style>
  <w:style w:type="paragraph" w:styleId="721">
    <w:name w:val="1招标书_正文"/>
    <w:basedOn w:val="641"/>
    <w:next w:val="721"/>
    <w:link w:val="720"/>
    <w:qFormat/>
    <w:pPr>
      <w:ind w:firstLine="480"/>
      <w:jc w:val="left"/>
      <w:spacing w:line="360" w:lineRule="auto"/>
      <w:widowControl/>
    </w:pPr>
    <w:rPr>
      <w:rFonts w:ascii="宋体" w:hAnsi="宋体" w:eastAsia="宋体"/>
      <w:sz w:val="24"/>
    </w:rPr>
  </w:style>
  <w:style w:type="character" w:styleId="722">
    <w:name w:val="正文2 Char"/>
    <w:next w:val="722"/>
    <w:link w:val="723"/>
    <w:qFormat/>
    <w:rPr>
      <w:sz w:val="24"/>
      <w:szCs w:val="24"/>
    </w:rPr>
  </w:style>
  <w:style w:type="paragraph" w:styleId="723">
    <w:name w:val="正文2"/>
    <w:basedOn w:val="641"/>
    <w:next w:val="723"/>
    <w:link w:val="722"/>
    <w:qFormat/>
    <w:pPr>
      <w:ind w:firstLine="420"/>
      <w:spacing w:line="360" w:lineRule="auto"/>
    </w:pPr>
    <w:rPr>
      <w:rFonts w:eastAsia="宋体"/>
      <w:sz w:val="24"/>
      <w:szCs w:val="24"/>
    </w:rPr>
  </w:style>
  <w:style w:type="character" w:styleId="724">
    <w:name w:val="CL 正文1.5 Char"/>
    <w:next w:val="724"/>
    <w:link w:val="725"/>
    <w:qFormat/>
    <w:rPr>
      <w:rFonts w:ascii="Cambria" w:hAnsi="Cambria"/>
      <w:spacing w:val="4"/>
      <w:sz w:val="24"/>
      <w:szCs w:val="21"/>
    </w:rPr>
  </w:style>
  <w:style w:type="paragraph" w:styleId="725">
    <w:name w:val="CL 正文1.5"/>
    <w:basedOn w:val="641"/>
    <w:next w:val="725"/>
    <w:link w:val="724"/>
    <w:qFormat/>
    <w:pPr>
      <w:ind w:firstLine="200"/>
      <w:spacing w:line="360" w:lineRule="auto"/>
    </w:pPr>
    <w:rPr>
      <w:rFonts w:ascii="Cambria" w:hAnsi="Cambria" w:eastAsia="宋体"/>
      <w:spacing w:val="4"/>
      <w:sz w:val="24"/>
      <w:szCs w:val="21"/>
    </w:rPr>
  </w:style>
  <w:style w:type="character" w:styleId="726">
    <w:name w:val="Andy_3级 Char"/>
    <w:next w:val="726"/>
    <w:link w:val="727"/>
    <w:qFormat/>
    <w:rPr>
      <w:rFonts w:ascii="Calibri" w:hAnsi="Calibri"/>
      <w:sz w:val="24"/>
    </w:rPr>
  </w:style>
  <w:style w:type="paragraph" w:styleId="727">
    <w:name w:val="Andy_3级"/>
    <w:basedOn w:val="641"/>
    <w:next w:val="727"/>
    <w:link w:val="726"/>
    <w:qFormat/>
    <w:pPr>
      <w:numPr>
        <w:ilvl w:val="2"/>
        <w:numId w:val="1"/>
      </w:numPr>
      <w:spacing w:line="360" w:lineRule="auto"/>
    </w:pPr>
    <w:rPr>
      <w:rFonts w:ascii="Calibri" w:hAnsi="Calibri" w:eastAsia="宋体"/>
      <w:sz w:val="24"/>
    </w:rPr>
  </w:style>
  <w:style w:type="character" w:styleId="728">
    <w:name w:val="A3 Char"/>
    <w:next w:val="728"/>
    <w:link w:val="729"/>
    <w:qFormat/>
    <w:rPr>
      <w:b/>
      <w:bCs/>
      <w:sz w:val="24"/>
      <w:szCs w:val="32"/>
    </w:rPr>
  </w:style>
  <w:style w:type="paragraph" w:styleId="729">
    <w:name w:val="A3"/>
    <w:basedOn w:val="644"/>
    <w:next w:val="729"/>
    <w:link w:val="728"/>
    <w:qFormat/>
    <w:pPr>
      <w:ind w:left="720" w:hanging="720"/>
      <w:jc w:val="both"/>
      <w:spacing w:before="260" w:after="260" w:line="416" w:lineRule="auto"/>
    </w:pPr>
    <w:rPr>
      <w:rFonts w:eastAsia="宋体"/>
      <w:bCs/>
      <w:sz w:val="24"/>
      <w:szCs w:val="32"/>
    </w:rPr>
  </w:style>
  <w:style w:type="character" w:styleId="730">
    <w:name w:val="A2 Char"/>
    <w:next w:val="730"/>
    <w:link w:val="731"/>
    <w:qFormat/>
    <w:rPr>
      <w:rFonts w:ascii="Cambria" w:hAnsi="Cambria"/>
      <w:b/>
      <w:bCs/>
      <w:sz w:val="32"/>
      <w:szCs w:val="32"/>
    </w:rPr>
  </w:style>
  <w:style w:type="paragraph" w:styleId="731">
    <w:name w:val="A2"/>
    <w:basedOn w:val="643"/>
    <w:next w:val="731"/>
    <w:link w:val="730"/>
    <w:qFormat/>
    <w:pPr>
      <w:ind w:left="576" w:hanging="576"/>
      <w:jc w:val="both"/>
      <w:spacing w:before="260" w:after="260" w:line="416" w:lineRule="auto"/>
    </w:pPr>
    <w:rPr>
      <w:rFonts w:ascii="Cambria" w:hAnsi="Cambria" w:eastAsia="宋体"/>
      <w:bCs/>
      <w:sz w:val="32"/>
      <w:szCs w:val="32"/>
    </w:rPr>
  </w:style>
  <w:style w:type="character" w:styleId="732">
    <w:name w:val="封面：幼圆"/>
    <w:next w:val="732"/>
    <w:link w:val="641"/>
    <w:qFormat/>
    <w:rPr>
      <w:rFonts w:ascii="幼圆" w:hAnsi="幼圆" w:eastAsia="幼圆"/>
    </w:rPr>
  </w:style>
  <w:style w:type="character" w:styleId="733">
    <w:name w:val="图例 Char"/>
    <w:next w:val="733"/>
    <w:link w:val="734"/>
    <w:qFormat/>
    <w:rPr>
      <w:rFonts w:ascii="仿宋" w:hAnsi="仿宋" w:eastAsia="仿宋"/>
      <w:b/>
    </w:rPr>
  </w:style>
  <w:style w:type="paragraph" w:styleId="734">
    <w:name w:val="图例"/>
    <w:basedOn w:val="641"/>
    <w:next w:val="734"/>
    <w:link w:val="733"/>
    <w:qFormat/>
    <w:pPr>
      <w:ind w:right="74"/>
      <w:jc w:val="center"/>
      <w:spacing w:before="150" w:after="150" w:line="360" w:lineRule="auto"/>
    </w:pPr>
    <w:rPr>
      <w:rFonts w:ascii="仿宋" w:hAnsi="仿宋" w:eastAsia="仿宋"/>
      <w:b/>
      <w:sz w:val="20"/>
    </w:rPr>
  </w:style>
  <w:style w:type="character" w:styleId="735">
    <w:name w:val="A1 Char"/>
    <w:next w:val="735"/>
    <w:link w:val="736"/>
    <w:qFormat/>
    <w:rPr>
      <w:b/>
      <w:bCs/>
      <w:sz w:val="44"/>
      <w:szCs w:val="44"/>
    </w:rPr>
  </w:style>
  <w:style w:type="paragraph" w:styleId="736">
    <w:name w:val="A1"/>
    <w:basedOn w:val="642"/>
    <w:next w:val="736"/>
    <w:link w:val="735"/>
    <w:qFormat/>
    <w:pPr>
      <w:spacing w:line="360" w:lineRule="auto"/>
    </w:pPr>
    <w:rPr>
      <w:rFonts w:eastAsia="宋体"/>
      <w:bCs/>
      <w:szCs w:val="44"/>
    </w:rPr>
  </w:style>
  <w:style w:type="character" w:styleId="737">
    <w:name w:val="样式 首行缩进:  2 字符 Char"/>
    <w:next w:val="737"/>
    <w:link w:val="738"/>
    <w:qFormat/>
    <w:rPr>
      <w:rFonts w:eastAsia="仿宋_GB2312"/>
      <w:sz w:val="24"/>
      <w:lang w:bidi="ar-SA"/>
    </w:rPr>
  </w:style>
  <w:style w:type="paragraph" w:styleId="738">
    <w:name w:val="样式 首行缩进:  2 字符"/>
    <w:basedOn w:val="641"/>
    <w:next w:val="738"/>
    <w:link w:val="737"/>
    <w:qFormat/>
    <w:pPr>
      <w:ind w:firstLine="560"/>
      <w:spacing w:line="360" w:lineRule="auto"/>
    </w:pPr>
    <w:rPr>
      <w:rFonts w:eastAsia="仿宋_GB2312"/>
      <w:sz w:val="24"/>
    </w:rPr>
  </w:style>
  <w:style w:type="character" w:styleId="739">
    <w:name w:val="功能标题 Char"/>
    <w:next w:val="739"/>
    <w:link w:val="740"/>
    <w:qFormat/>
    <w:rPr>
      <w:rFonts w:ascii="黑体" w:eastAsia="黑体"/>
      <w:sz w:val="24"/>
    </w:rPr>
  </w:style>
  <w:style w:type="paragraph" w:styleId="740">
    <w:name w:val="功能标题"/>
    <w:basedOn w:val="641"/>
    <w:next w:val="740"/>
    <w:link w:val="739"/>
    <w:qFormat/>
    <w:pPr>
      <w:jc w:val="left"/>
      <w:spacing w:before="200" w:after="60"/>
    </w:pPr>
    <w:rPr>
      <w:rFonts w:ascii="黑体" w:eastAsia="黑体"/>
      <w:sz w:val="24"/>
    </w:rPr>
  </w:style>
  <w:style w:type="character" w:styleId="741">
    <w:name w:val="_正文段落 Char"/>
    <w:next w:val="741"/>
    <w:link w:val="742"/>
    <w:qFormat/>
    <w:rPr>
      <w:rFonts w:ascii="宋体" w:hAnsi="宋体"/>
      <w:sz w:val="24"/>
      <w:szCs w:val="24"/>
    </w:rPr>
  </w:style>
  <w:style w:type="paragraph" w:styleId="742">
    <w:name w:val="_正文段落"/>
    <w:basedOn w:val="641"/>
    <w:next w:val="742"/>
    <w:link w:val="741"/>
    <w:qFormat/>
    <w:pPr>
      <w:ind w:firstLine="480"/>
      <w:spacing w:line="360" w:lineRule="auto"/>
    </w:pPr>
    <w:rPr>
      <w:rFonts w:ascii="宋体" w:hAnsi="宋体" w:eastAsia="宋体"/>
      <w:sz w:val="24"/>
      <w:szCs w:val="24"/>
    </w:rPr>
  </w:style>
  <w:style w:type="character" w:styleId="743">
    <w:name w:val="ca-221"/>
    <w:next w:val="743"/>
    <w:link w:val="641"/>
    <w:qFormat/>
    <w:rPr>
      <w:rFonts w:hint="eastAsia" w:ascii="宋体" w:hAnsi="宋体" w:eastAsia="宋体"/>
      <w:color w:val="ff0000"/>
      <w:sz w:val="24"/>
      <w:szCs w:val="24"/>
    </w:rPr>
  </w:style>
  <w:style w:type="character" w:styleId="744">
    <w:name w:val="正文首行缩进 Char Char"/>
    <w:next w:val="744"/>
    <w:link w:val="745"/>
    <w:qFormat/>
    <w:rPr>
      <w:szCs w:val="24"/>
      <w:lang w:bidi="ar-SA"/>
    </w:rPr>
  </w:style>
  <w:style w:type="paragraph" w:styleId="745">
    <w:name w:val="正文首行缩进1"/>
    <w:basedOn w:val="654"/>
    <w:next w:val="745"/>
    <w:link w:val="744"/>
    <w:qFormat/>
    <w:pPr>
      <w:ind w:firstLine="420"/>
      <w:spacing w:after="120" w:line="240" w:lineRule="auto"/>
    </w:pPr>
    <w:rPr>
      <w:rFonts w:ascii="Times New Roman" w:eastAsia="宋体"/>
      <w:sz w:val="20"/>
      <w:szCs w:val="24"/>
    </w:rPr>
  </w:style>
  <w:style w:type="character" w:styleId="746">
    <w:name w:val="Andy_正文 Char"/>
    <w:next w:val="746"/>
    <w:link w:val="747"/>
    <w:qFormat/>
    <w:rPr>
      <w:rFonts w:ascii="Calibri" w:hAnsi="Calibri" w:cs="Calibri"/>
      <w:sz w:val="24"/>
      <w:szCs w:val="24"/>
    </w:rPr>
  </w:style>
  <w:style w:type="paragraph" w:styleId="747">
    <w:name w:val="Andy_正文"/>
    <w:basedOn w:val="641"/>
    <w:next w:val="747"/>
    <w:link w:val="746"/>
    <w:qFormat/>
    <w:pPr>
      <w:ind w:firstLine="480"/>
      <w:spacing w:line="360" w:lineRule="auto"/>
    </w:pPr>
    <w:rPr>
      <w:rFonts w:ascii="Calibri" w:hAnsi="Calibri" w:eastAsia="宋体"/>
      <w:sz w:val="24"/>
      <w:szCs w:val="24"/>
    </w:rPr>
  </w:style>
  <w:style w:type="character" w:styleId="748">
    <w:name w:val="普通文字 Char Char"/>
    <w:next w:val="748"/>
    <w:link w:val="641"/>
    <w:qFormat/>
    <w:rPr>
      <w:rFonts w:ascii="宋体" w:hAnsi="Courier New" w:eastAsia="楷体_GB2312"/>
      <w:sz w:val="26"/>
      <w:lang w:val="en-US" w:eastAsia="zh-CN" w:bidi="ar-SA"/>
    </w:rPr>
  </w:style>
  <w:style w:type="character" w:styleId="749">
    <w:name w:val="标准正文 Char"/>
    <w:next w:val="749"/>
    <w:link w:val="750"/>
    <w:qFormat/>
    <w:rPr>
      <w:rFonts w:cs="宋体"/>
      <w:sz w:val="24"/>
    </w:rPr>
  </w:style>
  <w:style w:type="paragraph" w:styleId="750">
    <w:name w:val="标准正文"/>
    <w:basedOn w:val="641"/>
    <w:next w:val="750"/>
    <w:link w:val="749"/>
    <w:qFormat/>
    <w:pPr>
      <w:ind w:left="840" w:firstLine="480"/>
      <w:spacing w:line="360" w:lineRule="auto"/>
    </w:pPr>
    <w:rPr>
      <w:rFonts w:eastAsia="宋体"/>
      <w:sz w:val="24"/>
    </w:rPr>
  </w:style>
  <w:style w:type="character" w:styleId="751">
    <w:name w:val="未处理的提及"/>
    <w:next w:val="751"/>
    <w:link w:val="641"/>
    <w:uiPriority w:val="99"/>
    <w:unhideWhenUsed/>
    <w:rPr>
      <w:color w:val="605e5c"/>
      <w:shd w:val="clear" w:color="auto" w:fill="e1dfdd"/>
    </w:rPr>
  </w:style>
  <w:style w:type="character" w:styleId="752">
    <w:name w:val="A4 Char"/>
    <w:next w:val="752"/>
    <w:link w:val="753"/>
    <w:qFormat/>
    <w:rPr>
      <w:rFonts w:ascii="Cambria" w:hAnsi="Cambria"/>
      <w:b/>
      <w:bCs/>
      <w:sz w:val="24"/>
      <w:szCs w:val="28"/>
    </w:rPr>
  </w:style>
  <w:style w:type="paragraph" w:styleId="753">
    <w:name w:val="A4"/>
    <w:basedOn w:val="645"/>
    <w:next w:val="753"/>
    <w:link w:val="752"/>
    <w:qFormat/>
    <w:pPr>
      <w:ind w:left="1148" w:hanging="864"/>
    </w:pPr>
    <w:rPr>
      <w:rFonts w:ascii="Cambria" w:hAnsi="Cambria" w:eastAsia="宋体"/>
      <w:sz w:val="24"/>
    </w:rPr>
  </w:style>
  <w:style w:type="paragraph" w:styleId="754">
    <w:name w:val="xl59"/>
    <w:basedOn w:val="641"/>
    <w:next w:val="754"/>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5">
    <w:name w:val="xl53"/>
    <w:basedOn w:val="641"/>
    <w:next w:val="755"/>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6">
    <w:name w:val="Plain Text"/>
    <w:basedOn w:val="641"/>
    <w:next w:val="756"/>
    <w:link w:val="641"/>
    <w:qFormat/>
    <w:rPr>
      <w:rFonts w:ascii="宋体" w:hAnsi="Courier New"/>
    </w:rPr>
  </w:style>
  <w:style w:type="paragraph" w:styleId="757">
    <w:name w:val="列出段落1"/>
    <w:basedOn w:val="641"/>
    <w:next w:val="757"/>
    <w:link w:val="641"/>
    <w:qFormat/>
    <w:pPr>
      <w:ind w:firstLine="420"/>
      <w:jc w:val="left"/>
      <w:spacing w:line="360" w:lineRule="auto"/>
    </w:pPr>
    <w:rPr>
      <w:rFonts w:eastAsia="宋体"/>
      <w:sz w:val="21"/>
      <w:szCs w:val="24"/>
    </w:rPr>
  </w:style>
  <w:style w:type="paragraph" w:styleId="758">
    <w:name w:val="Plain Text1"/>
    <w:basedOn w:val="641"/>
    <w:next w:val="758"/>
    <w:link w:val="641"/>
    <w:qFormat/>
    <w:rPr>
      <w:rFonts w:ascii="宋体" w:hAnsi="Courier New"/>
    </w:rPr>
  </w:style>
  <w:style w:type="paragraph" w:styleId="759">
    <w:name w:val="大标题"/>
    <w:basedOn w:val="641"/>
    <w:next w:val="759"/>
    <w:link w:val="641"/>
    <w:qFormat/>
    <w:pPr>
      <w:jc w:val="center"/>
    </w:pPr>
    <w:rPr>
      <w:rFonts w:eastAsia="黑体" w:cs="宋体"/>
      <w:sz w:val="44"/>
    </w:rPr>
  </w:style>
  <w:style w:type="paragraph" w:styleId="760">
    <w:name w:val="xl66"/>
    <w:basedOn w:val="641"/>
    <w:next w:val="760"/>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1">
    <w:name w:val="xl64"/>
    <w:basedOn w:val="641"/>
    <w:next w:val="761"/>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2">
    <w:name w:val="列表内容"/>
    <w:basedOn w:val="641"/>
    <w:next w:val="641"/>
    <w:link w:val="641"/>
    <w:qFormat/>
    <w:pPr>
      <w:numPr>
        <w:ilvl w:val="0"/>
        <w:numId w:val="2"/>
      </w:numPr>
      <w:jc w:val="left"/>
      <w:widowControl/>
      <w:tabs>
        <w:tab w:val="left" w:pos="840" w:leader="none"/>
      </w:tabs>
    </w:pPr>
    <w:rPr>
      <w:rFonts w:eastAsia="宋体"/>
      <w:sz w:val="18"/>
      <w:szCs w:val="24"/>
    </w:rPr>
  </w:style>
  <w:style w:type="paragraph" w:styleId="763">
    <w:name w:val="Char Char Char"/>
    <w:basedOn w:val="641"/>
    <w:next w:val="763"/>
    <w:link w:val="641"/>
    <w:qFormat/>
    <w:rPr>
      <w:rFonts w:ascii="Tahoma" w:hAnsi="Tahoma" w:eastAsia="宋体"/>
      <w:sz w:val="24"/>
    </w:rPr>
  </w:style>
  <w:style w:type="paragraph" w:styleId="764">
    <w:name w:val="xl50"/>
    <w:basedOn w:val="641"/>
    <w:next w:val="764"/>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5">
    <w:name w:val="xl65"/>
    <w:basedOn w:val="641"/>
    <w:next w:val="765"/>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6">
    <w:name w:val="xl47"/>
    <w:basedOn w:val="641"/>
    <w:next w:val="766"/>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7">
    <w:name w:val="xl62"/>
    <w:basedOn w:val="641"/>
    <w:next w:val="76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8">
    <w:name w:val="小四 段落 宋体 Char Char Char Char Char Char"/>
    <w:basedOn w:val="769"/>
    <w:next w:val="768"/>
    <w:link w:val="641"/>
    <w:qFormat/>
    <w:pPr>
      <w:ind w:firstLine="480"/>
    </w:pPr>
    <w:rPr>
      <w:rFonts w:ascii="宋体" w:hAnsi="宋体"/>
    </w:rPr>
  </w:style>
  <w:style w:type="paragraph" w:styleId="769">
    <w:name w:val="小四 段落 宋体 Char Char Char Char Char Char Char"/>
    <w:basedOn w:val="659"/>
    <w:next w:val="769"/>
    <w:link w:val="641"/>
    <w:semiHidden/>
    <w:qFormat/>
    <w:pPr>
      <w:ind w:left="0" w:right="-33" w:firstLine="545"/>
      <w:jc w:val="left"/>
      <w:spacing w:line="360" w:lineRule="auto"/>
      <w:tabs>
        <w:tab w:val="clear" w:pos="1125" w:leader="none"/>
      </w:tabs>
    </w:pPr>
    <w:rPr>
      <w:sz w:val="24"/>
    </w:rPr>
  </w:style>
  <w:style w:type="paragraph" w:styleId="770">
    <w:name w:val="font7"/>
    <w:basedOn w:val="641"/>
    <w:next w:val="770"/>
    <w:link w:val="641"/>
    <w:qFormat/>
    <w:pPr>
      <w:jc w:val="left"/>
      <w:spacing w:before="100" w:beforeAutospacing="1" w:after="100" w:afterAutospacing="1"/>
      <w:widowControl/>
    </w:pPr>
    <w:rPr>
      <w:rFonts w:eastAsia="宋体"/>
      <w:sz w:val="20"/>
    </w:rPr>
  </w:style>
  <w:style w:type="paragraph" w:styleId="771">
    <w:name w:val="纯文本4"/>
    <w:basedOn w:val="641"/>
    <w:next w:val="771"/>
    <w:link w:val="641"/>
    <w:qFormat/>
    <w:rPr>
      <w:rFonts w:ascii="宋体" w:hAnsi="Courier New"/>
    </w:rPr>
  </w:style>
  <w:style w:type="paragraph" w:styleId="772">
    <w:name w:val="Default"/>
    <w:next w:val="772"/>
    <w:link w:val="641"/>
    <w:qFormat/>
    <w:pPr>
      <w:widowControl w:val="off"/>
    </w:pPr>
    <w:rPr>
      <w:rFonts w:ascii="宋体" w:cs="宋体"/>
      <w:color w:val="000000"/>
      <w:sz w:val="24"/>
      <w:szCs w:val="24"/>
      <w:lang w:val="en-US" w:eastAsia="zh-CN" w:bidi="ar-SA"/>
    </w:rPr>
  </w:style>
  <w:style w:type="paragraph" w:styleId="773">
    <w:name w:val="xl55"/>
    <w:basedOn w:val="641"/>
    <w:next w:val="773"/>
    <w:link w:val="64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4">
    <w:name w:val="Table Paragraph"/>
    <w:basedOn w:val="641"/>
    <w:next w:val="774"/>
    <w:link w:val="641"/>
    <w:uiPriority w:val="1"/>
    <w:qFormat/>
    <w:pPr>
      <w:jc w:val="left"/>
    </w:pPr>
    <w:rPr>
      <w:rFonts w:ascii="Calibri" w:hAnsi="Calibri" w:eastAsia="宋体"/>
      <w:sz w:val="22"/>
      <w:szCs w:val="22"/>
      <w:lang w:eastAsia="en-US"/>
    </w:rPr>
  </w:style>
  <w:style w:type="paragraph" w:styleId="775">
    <w:name w:val="Default Paragraph Font Para Char"/>
    <w:basedOn w:val="641"/>
    <w:next w:val="775"/>
    <w:link w:val="641"/>
    <w:semiHidden/>
    <w:qFormat/>
    <w:pPr>
      <w:jc w:val="left"/>
      <w:spacing w:after="160" w:line="240" w:lineRule="exact"/>
      <w:widowControl/>
    </w:pPr>
    <w:rPr>
      <w:rFonts w:ascii="Verdana" w:hAnsi="Verdana" w:eastAsia="宋体"/>
      <w:sz w:val="20"/>
      <w:lang w:eastAsia="en-US"/>
    </w:rPr>
  </w:style>
  <w:style w:type="paragraph" w:styleId="776">
    <w:name w:val="xl58"/>
    <w:basedOn w:val="641"/>
    <w:next w:val="776"/>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60"/>
    <w:basedOn w:val="641"/>
    <w:next w:val="77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46"/>
    <w:basedOn w:val="641"/>
    <w:next w:val="778"/>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xl54"/>
    <w:basedOn w:val="641"/>
    <w:next w:val="779"/>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0">
    <w:name w:val="纯文本2"/>
    <w:basedOn w:val="641"/>
    <w:next w:val="780"/>
    <w:link w:val="641"/>
    <w:qFormat/>
    <w:rPr>
      <w:rFonts w:ascii="宋体" w:hAnsi="Courier New"/>
    </w:rPr>
  </w:style>
  <w:style w:type="paragraph" w:styleId="781">
    <w:name w:val="Char"/>
    <w:basedOn w:val="641"/>
    <w:next w:val="781"/>
    <w:link w:val="641"/>
    <w:qFormat/>
    <w:pPr>
      <w:jc w:val="left"/>
      <w:spacing w:after="160" w:line="240" w:lineRule="exact"/>
      <w:widowControl/>
    </w:pPr>
    <w:rPr>
      <w:rFonts w:ascii="Verdana" w:hAnsi="Verdana" w:eastAsia="仿宋_GB2312"/>
      <w:sz w:val="24"/>
      <w:lang w:eastAsia="en-US"/>
    </w:rPr>
  </w:style>
  <w:style w:type="paragraph" w:styleId="782">
    <w:name w:val="Char1"/>
    <w:basedOn w:val="641"/>
    <w:next w:val="782"/>
    <w:link w:val="641"/>
    <w:qFormat/>
    <w:rPr>
      <w:rFonts w:ascii="Tahoma" w:hAnsi="Tahoma" w:eastAsia="宋体"/>
      <w:sz w:val="24"/>
    </w:rPr>
  </w:style>
  <w:style w:type="paragraph" w:styleId="783">
    <w:name w:val="列出段落3"/>
    <w:basedOn w:val="641"/>
    <w:next w:val="783"/>
    <w:link w:val="641"/>
    <w:uiPriority w:val="99"/>
    <w:unhideWhenUsed/>
    <w:qFormat/>
    <w:pPr>
      <w:ind w:firstLine="420"/>
    </w:pPr>
  </w:style>
  <w:style w:type="paragraph" w:styleId="784">
    <w:name w:val="Char Char3 Char Char Char Char Char Char Char Char Char Char Char Char Char Char Char Char"/>
    <w:basedOn w:val="641"/>
    <w:next w:val="784"/>
    <w:link w:val="641"/>
    <w:qFormat/>
    <w:pPr>
      <w:ind w:firstLine="200"/>
      <w:jc w:val="left"/>
      <w:spacing w:after="160" w:line="360" w:lineRule="auto"/>
      <w:widowControl/>
    </w:pPr>
    <w:rPr>
      <w:rFonts w:ascii="宋体" w:hAnsi="宋体" w:eastAsia="宋体"/>
      <w:sz w:val="24"/>
    </w:rPr>
  </w:style>
  <w:style w:type="paragraph" w:styleId="785">
    <w:name w:val="xl56"/>
    <w:basedOn w:val="641"/>
    <w:next w:val="785"/>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6">
    <w:name w:val="tytytyty"/>
    <w:basedOn w:val="641"/>
    <w:next w:val="786"/>
    <w:link w:val="641"/>
    <w:pPr>
      <w:ind w:left="359" w:firstLine="480"/>
      <w:spacing w:line="360" w:lineRule="auto"/>
    </w:pPr>
    <w:rPr>
      <w:rFonts w:eastAsia="宋体"/>
      <w:sz w:val="24"/>
      <w:szCs w:val="24"/>
    </w:rPr>
  </w:style>
  <w:style w:type="paragraph" w:styleId="787">
    <w:name w:val="Andy_一级"/>
    <w:basedOn w:val="783"/>
    <w:next w:val="787"/>
    <w:link w:val="641"/>
    <w:qFormat/>
    <w:pPr>
      <w:numPr>
        <w:ilvl w:val="0"/>
        <w:numId w:val="1"/>
      </w:numPr>
      <w:ind w:firstLine="0"/>
      <w:keepNext/>
      <w:spacing w:line="360" w:lineRule="auto"/>
    </w:pPr>
    <w:rPr>
      <w:rFonts w:ascii="Calibri" w:hAnsi="Calibri" w:eastAsia="宋体"/>
      <w:b/>
      <w:sz w:val="24"/>
      <w:szCs w:val="22"/>
    </w:rPr>
  </w:style>
  <w:style w:type="paragraph" w:styleId="788">
    <w:name w:val="xl52"/>
    <w:basedOn w:val="641"/>
    <w:next w:val="788"/>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9">
    <w:name w:val="xl51"/>
    <w:basedOn w:val="641"/>
    <w:next w:val="789"/>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0">
    <w:name w:val="Char Char"/>
    <w:basedOn w:val="641"/>
    <w:next w:val="790"/>
    <w:link w:val="641"/>
    <w:qFormat/>
    <w:rPr>
      <w:rFonts w:eastAsia="宋体"/>
      <w:sz w:val="21"/>
      <w:szCs w:val="24"/>
    </w:rPr>
  </w:style>
  <w:style w:type="paragraph" w:styleId="791">
    <w:name w:val="xl63"/>
    <w:basedOn w:val="641"/>
    <w:next w:val="791"/>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2">
    <w:name w:val="cardlist-value"/>
    <w:basedOn w:val="641"/>
    <w:next w:val="792"/>
    <w:link w:val="641"/>
    <w:qFormat/>
    <w:pPr>
      <w:jc w:val="left"/>
      <w:spacing w:before="100" w:beforeAutospacing="1" w:after="100" w:afterAutospacing="1"/>
      <w:widowControl/>
    </w:pPr>
    <w:rPr>
      <w:rFonts w:ascii="宋体" w:hAnsi="宋体" w:eastAsia="宋体" w:cs="宋体"/>
      <w:sz w:val="24"/>
      <w:szCs w:val="24"/>
    </w:rPr>
  </w:style>
  <w:style w:type="paragraph" w:styleId="793">
    <w:name w:val="Andy_二级"/>
    <w:basedOn w:val="783"/>
    <w:next w:val="793"/>
    <w:link w:val="641"/>
    <w:qFormat/>
    <w:pPr>
      <w:numPr>
        <w:ilvl w:val="1"/>
        <w:numId w:val="1"/>
      </w:numPr>
      <w:ind w:firstLine="0"/>
      <w:spacing w:line="360" w:lineRule="auto"/>
    </w:pPr>
    <w:rPr>
      <w:rFonts w:ascii="Calibri" w:hAnsi="Calibri" w:eastAsia="宋体"/>
      <w:sz w:val="24"/>
      <w:szCs w:val="22"/>
    </w:rPr>
  </w:style>
  <w:style w:type="paragraph" w:styleId="794">
    <w:name w:val="Andy_4级"/>
    <w:basedOn w:val="783"/>
    <w:next w:val="794"/>
    <w:link w:val="641"/>
    <w:qFormat/>
    <w:pPr>
      <w:numPr>
        <w:ilvl w:val="3"/>
        <w:numId w:val="1"/>
      </w:numPr>
      <w:ind w:firstLine="510"/>
      <w:spacing w:line="360" w:lineRule="auto"/>
    </w:pPr>
    <w:rPr>
      <w:rFonts w:ascii="Calibri" w:hAnsi="Calibri" w:eastAsia="宋体"/>
      <w:sz w:val="24"/>
    </w:rPr>
  </w:style>
  <w:style w:type="paragraph" w:styleId="795">
    <w:name w:val="xl61"/>
    <w:basedOn w:val="641"/>
    <w:next w:val="795"/>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6">
    <w:name w:val="段"/>
    <w:next w:val="641"/>
    <w:link w:val="641"/>
    <w:qFormat/>
    <w:pPr>
      <w:ind w:firstLine="200"/>
      <w:jc w:val="both"/>
    </w:pPr>
    <w:rPr>
      <w:rFonts w:ascii="宋体" w:hAnsi="Calibri"/>
      <w:sz w:val="21"/>
      <w:lang w:val="en-US" w:eastAsia="zh-CN" w:bidi="ar-SA"/>
    </w:rPr>
  </w:style>
  <w:style w:type="paragraph" w:styleId="797">
    <w:name w:val="font6"/>
    <w:basedOn w:val="641"/>
    <w:next w:val="797"/>
    <w:link w:val="641"/>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98">
    <w:name w:val="正文首行缩进2"/>
    <w:basedOn w:val="641"/>
    <w:next w:val="798"/>
    <w:link w:val="641"/>
    <w:qFormat/>
    <w:pPr>
      <w:ind w:firstLine="200"/>
      <w:spacing w:line="360" w:lineRule="auto"/>
    </w:pPr>
    <w:rPr>
      <w:rFonts w:ascii="Arial" w:hAnsi="Arial" w:eastAsia="宋体" w:cs="宋体"/>
      <w:sz w:val="24"/>
    </w:rPr>
  </w:style>
  <w:style w:type="paragraph" w:styleId="799">
    <w:name w:val="纯文本1"/>
    <w:basedOn w:val="641"/>
    <w:next w:val="799"/>
    <w:link w:val="800"/>
    <w:qFormat/>
    <w:rPr>
      <w:rFonts w:ascii="宋体" w:hAnsi="Courier New"/>
    </w:rPr>
  </w:style>
  <w:style w:type="character" w:styleId="800">
    <w:name w:val="Plain Text Char"/>
    <w:next w:val="800"/>
    <w:link w:val="799"/>
    <w:qFormat/>
    <w:rPr>
      <w:rFonts w:ascii="宋体" w:hAnsi="Courier New" w:eastAsia="楷体_GB2312"/>
      <w:sz w:val="26"/>
    </w:rPr>
  </w:style>
  <w:style w:type="paragraph" w:styleId="801">
    <w:name w:val="小四 段落 宋体 Char"/>
    <w:basedOn w:val="659"/>
    <w:next w:val="801"/>
    <w:link w:val="641"/>
    <w:qFormat/>
    <w:pPr>
      <w:ind w:left="0" w:right="-33" w:firstLine="480"/>
      <w:jc w:val="left"/>
      <w:spacing w:line="360" w:lineRule="auto"/>
      <w:tabs>
        <w:tab w:val="clear" w:pos="1125" w:leader="none"/>
      </w:tabs>
    </w:pPr>
    <w:rPr>
      <w:sz w:val="24"/>
    </w:rPr>
  </w:style>
  <w:style w:type="paragraph" w:styleId="802">
    <w:name w:val="p0"/>
    <w:basedOn w:val="641"/>
    <w:next w:val="802"/>
    <w:link w:val="641"/>
    <w:qFormat/>
    <w:pPr>
      <w:jc w:val="left"/>
      <w:spacing w:before="100" w:beforeAutospacing="1" w:after="100" w:afterAutospacing="1"/>
      <w:widowControl/>
    </w:pPr>
    <w:rPr>
      <w:rFonts w:ascii="宋体" w:hAnsi="宋体" w:eastAsia="宋体" w:cs="宋体"/>
      <w:sz w:val="24"/>
      <w:szCs w:val="24"/>
    </w:rPr>
  </w:style>
  <w:style w:type="paragraph" w:styleId="803">
    <w:name w:val="font5"/>
    <w:basedOn w:val="641"/>
    <w:next w:val="803"/>
    <w:link w:val="641"/>
    <w:qFormat/>
    <w:pPr>
      <w:jc w:val="left"/>
      <w:spacing w:before="100" w:beforeAutospacing="1" w:after="100" w:afterAutospacing="1"/>
      <w:widowControl/>
    </w:pPr>
    <w:rPr>
      <w:rFonts w:hint="eastAsia" w:ascii="宋体" w:hAnsi="宋体" w:eastAsia="宋体"/>
      <w:sz w:val="18"/>
      <w:szCs w:val="18"/>
    </w:rPr>
  </w:style>
  <w:style w:type="paragraph" w:styleId="804">
    <w:name w:val="xl57"/>
    <w:basedOn w:val="641"/>
    <w:next w:val="804"/>
    <w:link w:val="6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5">
    <w:name w:val="列表段落"/>
    <w:basedOn w:val="641"/>
    <w:next w:val="805"/>
    <w:link w:val="641"/>
    <w:uiPriority w:val="99"/>
    <w:qFormat/>
    <w:pPr>
      <w:ind w:firstLine="420"/>
    </w:pPr>
  </w:style>
  <w:style w:type="paragraph" w:styleId="806">
    <w:name w:val="Char Char Char1 Char Char Char Char"/>
    <w:basedOn w:val="641"/>
    <w:next w:val="806"/>
    <w:link w:val="641"/>
    <w:qFormat/>
    <w:pPr>
      <w:jc w:val="left"/>
      <w:spacing w:after="160" w:line="240" w:lineRule="exact"/>
      <w:widowControl/>
    </w:pPr>
    <w:rPr>
      <w:rFonts w:eastAsia="宋体"/>
      <w:sz w:val="24"/>
      <w:szCs w:val="24"/>
    </w:rPr>
  </w:style>
  <w:style w:type="paragraph" w:styleId="807">
    <w:name w:val="xl48"/>
    <w:basedOn w:val="641"/>
    <w:next w:val="80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8">
    <w:name w:val="xl45"/>
    <w:basedOn w:val="641"/>
    <w:next w:val="808"/>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9">
    <w:name w:val="xl49"/>
    <w:basedOn w:val="641"/>
    <w:next w:val="809"/>
    <w:link w:val="641"/>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10">
    <w:name w:val="网格型1"/>
    <w:basedOn w:val="652"/>
    <w:next w:val="810"/>
    <w:link w:val="641"/>
    <w:uiPriority w:val="59"/>
    <w:qFormat/>
    <w:rPr>
      <w:rFonts w:ascii="Calibri" w:hAnsi="Calibri" w:eastAsia="宋体" w:cs="Times New Roman"/>
    </w:rPr>
    <w:tblPr/>
  </w:style>
  <w:style w:type="paragraph" w:styleId="811">
    <w:name w:val="纯文本3"/>
    <w:basedOn w:val="641"/>
    <w:next w:val="811"/>
    <w:link w:val="641"/>
    <w:qFormat/>
    <w:pPr>
      <w:jc w:val="left"/>
      <w:widowControl/>
    </w:pPr>
    <w:rPr>
      <w:rFonts w:ascii="宋体" w:hAnsi="Courier New"/>
    </w:rPr>
  </w:style>
  <w:style w:type="character" w:styleId="812">
    <w:name w:val="Heading 1 Char"/>
    <w:next w:val="812"/>
    <w:link w:val="641"/>
    <w:uiPriority w:val="9"/>
    <w:rPr>
      <w:rFonts w:ascii="Arial" w:hAnsi="Arial" w:eastAsia="Arial" w:cs="Arial"/>
      <w:sz w:val="40"/>
      <w:szCs w:val="40"/>
    </w:rPr>
  </w:style>
  <w:style w:type="paragraph" w:styleId="813">
    <w:name w:val="样式 标题 2 + Times New Roman 四号 非加粗 段前: 5 磅 段后: 0 磅 行距: 固定值 20..."/>
    <w:basedOn w:val="643"/>
    <w:next w:val="813"/>
    <w:link w:val="641"/>
    <w:pPr>
      <w:jc w:val="both"/>
      <w:spacing w:before="100" w:line="400" w:lineRule="exact"/>
    </w:pPr>
    <w:rPr>
      <w:rFonts w:ascii="Times New Roman" w:hAnsi="Times New Roman" w:eastAsia="黑体" w:cs="宋体"/>
      <w:b w:val="0"/>
      <w:sz w:val="28"/>
    </w:rPr>
  </w:style>
  <w:style w:type="paragraph" w:styleId="814">
    <w:name w:val="首行缩进"/>
    <w:basedOn w:val="641"/>
    <w:next w:val="814"/>
    <w:link w:val="641"/>
    <w:qFormat/>
    <w:pPr>
      <w:ind w:left="1024" w:firstLine="480"/>
      <w:widowControl/>
    </w:pPr>
    <w:rPr>
      <w:rFonts w:ascii="Calibri" w:hAnsi="Calibri" w:eastAsia="宋体"/>
      <w:sz w:val="20"/>
      <w:lang w:val="zh-CN"/>
    </w:rPr>
  </w:style>
  <w:style w:type="paragraph" w:styleId="815">
    <w:name w:val="列表段落11"/>
    <w:basedOn w:val="641"/>
    <w:next w:val="815"/>
    <w:link w:val="641"/>
    <w:pPr>
      <w:ind w:firstLine="420"/>
    </w:pPr>
    <w:rPr>
      <w:rFonts w:ascii="Calibri" w:hAnsi="Calibri" w:eastAsia="宋体"/>
      <w:sz w:val="21"/>
      <w:szCs w:val="22"/>
    </w:rPr>
  </w:style>
  <w:style w:type="paragraph" w:styleId="816">
    <w:name w:val="纯文本5"/>
    <w:basedOn w:val="641"/>
    <w:next w:val="816"/>
    <w:link w:val="641"/>
    <w:qFormat/>
    <w:rPr>
      <w:rFonts w:ascii="宋体" w:hAnsi="Courier New" w:eastAsia="宋体"/>
      <w:sz w:val="21"/>
      <w:szCs w:val="24"/>
    </w:rPr>
  </w:style>
  <w:style w:type="paragraph" w:styleId="817">
    <w:name w:val="修订"/>
    <w:next w:val="817"/>
    <w:link w:val="641"/>
    <w:uiPriority w:val="99"/>
    <w:unhideWhenUsed/>
    <w:rPr>
      <w:rFonts w:eastAsia="楷体_GB2312"/>
      <w:sz w:val="26"/>
      <w:lang w:val="en-US" w:eastAsia="zh-CN" w:bidi="ar-SA"/>
    </w:rPr>
  </w:style>
  <w:style w:type="paragraph" w:styleId="818">
    <w:name w:val="正文文本1"/>
    <w:basedOn w:val="641"/>
    <w:next w:val="818"/>
    <w:link w:val="641"/>
    <w:qFormat/>
    <w:pPr>
      <w:spacing w:line="400" w:lineRule="exact"/>
    </w:pPr>
    <w:rPr>
      <w:rFonts w:ascii="楷体_GB2312" w:hAnsi="Calibri"/>
      <w:sz w:val="28"/>
    </w:rPr>
  </w:style>
  <w:style w:type="character" w:styleId="12191" w:default="1">
    <w:name w:val="Default Paragraph Font"/>
    <w:uiPriority w:val="1"/>
    <w:semiHidden/>
    <w:unhideWhenUsed/>
  </w:style>
  <w:style w:type="numbering" w:styleId="12192" w:default="1">
    <w:name w:val="No List"/>
    <w:uiPriority w:val="99"/>
    <w:semiHidden/>
    <w:unhideWhenUsed/>
  </w:style>
  <w:style w:type="table" w:styleId="121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170</cp:revision>
  <dcterms:created xsi:type="dcterms:W3CDTF">2025-05-13T06:56:00Z</dcterms:created>
  <dcterms:modified xsi:type="dcterms:W3CDTF">2026-09-29T14:31:50Z</dcterms:modified>
  <cp:version>1048576</cp:version>
</cp:coreProperties>
</file>