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ascii="Arial" w:hAnsi="Arial" w:eastAsia="黑体"/>
          <w:b/>
          <w:bCs/>
          <w:color w:val="000000"/>
          <w:sz w:val="84"/>
          <w:szCs w:val="24"/>
          <w:highlight w:val="none"/>
        </w:rPr>
      </w:r>
      <w:r/>
    </w:p>
    <w:p>
      <w:pPr>
        <w:pStyle w:val="952"/>
        <w:rPr>
          <w:rFonts w:hint="eastAsia"/>
          <w:highlight w:val="none"/>
        </w:rPr>
      </w:pPr>
      <w:r>
        <w:rPr>
          <w:rFonts w:hint="eastAsia"/>
          <w:highlight w:val="none"/>
        </w:rPr>
      </w:r>
      <w:r/>
    </w:p>
    <w:p>
      <w:pPr>
        <w:pStyle w:val="969"/>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3"/>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南京鼓楼医院基于AI的一站式MDT服务平台 </w:t>
      </w:r>
      <w:r>
        <w:rPr>
          <w:rFonts w:eastAsia="宋体" w:cs="Times New Roman"/>
          <w:b/>
          <w:color w:val="000000"/>
          <w:sz w:val="30"/>
          <w:szCs w:val="30"/>
          <w:highlight w:val="none"/>
          <w:u w:val="single"/>
          <w:lang w:val="en-US" w:eastAsia="zh-CN"/>
        </w:rPr>
      </w:r>
      <w:r/>
    </w:p>
    <w:p>
      <w:pPr>
        <w:pStyle w:val="873"/>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JSZC-320100-JZCG-G2026-0322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5"/>
        <w:rPr>
          <w:rFonts w:hint="eastAsia"/>
        </w:rPr>
      </w:pPr>
      <w:r>
        <w:rPr>
          <w:rFonts w:hint="eastAsia"/>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ind w:firstLine="0"/>
        <w:jc w:val="center"/>
        <w:rPr>
          <w:rFonts w:hint="eastAsia"/>
          <w:b/>
          <w:bCs/>
          <w:sz w:val="32"/>
          <w:highlight w:val="none"/>
          <w:lang w:eastAsia="zh-CN"/>
        </w:rPr>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87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5"/>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885"/>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885"/>
        <w:rPr>
          <w:rFonts w:hint="eastAsia" w:ascii="Arial" w:hAnsi="Arial"/>
          <w:color w:val="000000"/>
          <w:sz w:val="24"/>
          <w:szCs w:val="24"/>
          <w:highlight w:val="none"/>
        </w:rPr>
      </w:pPr>
      <w:r>
        <w:rPr>
          <w:rFonts w:hint="eastAsia" w:ascii="Arial" w:hAnsi="Arial"/>
          <w:color w:val="000000"/>
          <w:sz w:val="24"/>
          <w:szCs w:val="24"/>
          <w:highlight w:val="none"/>
        </w:rPr>
      </w:r>
      <w:r/>
    </w:p>
    <w:p>
      <w:pPr>
        <w:pStyle w:val="873"/>
        <w:rPr>
          <w:rFonts w:hint="eastAsia"/>
        </w:rPr>
      </w:pPr>
      <w:r>
        <w:rPr>
          <w:rFonts w:hint="eastAsia"/>
        </w:rPr>
      </w:r>
      <w:r/>
    </w:p>
    <w:p>
      <w:pPr>
        <w:pStyle w:val="952"/>
        <w:rPr>
          <w:rFonts w:hint="eastAsia"/>
          <w:highlight w:val="none"/>
        </w:rPr>
      </w:pPr>
      <w:r>
        <w:rPr>
          <w:rFonts w:hint="eastAsia"/>
          <w:highlight w:val="none"/>
        </w:rPr>
      </w:r>
      <w:r/>
    </w:p>
    <w:p>
      <w:pPr>
        <w:pStyle w:val="873"/>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38</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42</w:t>
      </w:r>
      <w:r>
        <w:rPr>
          <w:rFonts w:hint="eastAsia" w:ascii="黑体" w:hAnsi="宋体" w:eastAsia="黑体" w:cs="Times New Roman"/>
          <w:color w:val="000000"/>
          <w:sz w:val="36"/>
          <w:szCs w:val="21"/>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8985263"/>
      <w:r/>
      <w:bookmarkStart w:id="7" w:name="_Toc35393790"/>
      <w:r/>
      <w:bookmarkStart w:id="8" w:name="_Toc35393621"/>
      <w:r/>
      <w:bookmarkStart w:id="9" w:name="_Toc28359002"/>
      <w:r/>
      <w:bookmarkStart w:id="10" w:name="_Toc28359079"/>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JSZC-320100-JZCG-G2026-0322</w:t>
      </w:r>
      <w:r>
        <w:rPr>
          <w:rFonts w:ascii="宋体" w:hAnsi="宋体"/>
          <w:color w:val="000000"/>
          <w:sz w:val="24"/>
          <w:szCs w:val="24"/>
          <w:highlight w:val="none"/>
        </w:rPr>
      </w:r>
      <w:r/>
    </w:p>
    <w:p>
      <w:pPr>
        <w:pStyle w:val="873"/>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南京鼓楼医院基于AI的一站式MDT服务平台</w:t>
      </w:r>
      <w:r>
        <w:rPr>
          <w:rFonts w:hint="eastAsia" w:ascii="宋体" w:hAnsi="宋体" w:eastAsia="宋体"/>
          <w:color w:val="000000"/>
          <w:sz w:val="24"/>
          <w:szCs w:val="24"/>
          <w:highlight w:val="none"/>
          <w:lang w:eastAsia="zh-CN"/>
        </w:rPr>
      </w:r>
      <w:r/>
    </w:p>
    <w:p>
      <w:pPr>
        <w:pStyle w:val="873"/>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150万元</w:t>
      </w:r>
      <w:r>
        <w:rPr>
          <w:rFonts w:ascii="宋体" w:hAnsi="宋体"/>
          <w:color w:val="000000"/>
          <w:sz w:val="24"/>
          <w:szCs w:val="24"/>
          <w:highlight w:val="none"/>
        </w:rPr>
      </w:r>
      <w:r/>
    </w:p>
    <w:p>
      <w:pPr>
        <w:pStyle w:val="873"/>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138万元</w:t>
      </w:r>
      <w:r>
        <w:rPr>
          <w:rFonts w:hint="eastAsia" w:ascii="宋体" w:hAnsi="宋体" w:eastAsia="宋体" w:cs="宋体"/>
          <w:color w:val="000000"/>
          <w:sz w:val="24"/>
          <w:szCs w:val="24"/>
          <w:highlight w:val="none"/>
        </w:rPr>
      </w:r>
      <w:r/>
    </w:p>
    <w:p>
      <w:pPr>
        <w:pStyle w:val="873"/>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建设基于AI的一站式MDT服务平台，是以患者为中心，通过全院级通用平台为横向支撑，以病种为纵向主线。医院院内已完成私有化大模型底座部署，本平台需适配院内现有AI能力，综合运用NLP、知识库、RAG等AI技术，提供覆盖MDT诊前、诊中、诊后全流程服务及质控管理，提升复杂疾病患者诊疗质量和改善就医体验，推进医院MDT工作高质量发展。</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73"/>
        <w:ind w:firstLine="48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45天（系统开发及验收时间为合同签订后45天内）</w:t>
      </w:r>
      <w:r>
        <w:rPr>
          <w:rFonts w:hint="eastAsia" w:ascii="宋体" w:hAnsi="宋体" w:cs="宋体"/>
          <w:color w:val="000000"/>
          <w:sz w:val="24"/>
          <w:szCs w:val="24"/>
          <w:highlight w:val="none"/>
          <w:lang w:eastAsia="zh-CN"/>
        </w:rPr>
      </w:r>
      <w:r/>
    </w:p>
    <w:p>
      <w:pPr>
        <w:pStyle w:val="873"/>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Times New Roman"/>
          <w:color w:val="000000"/>
          <w:sz w:val="24"/>
          <w:szCs w:val="24"/>
          <w:highlight w:val="none"/>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791"/>
      <w:r/>
      <w:bookmarkStart w:id="13" w:name="_Toc28359003"/>
      <w:r/>
      <w:bookmarkStart w:id="14" w:name="_Toc35393622"/>
      <w:r/>
      <w:bookmarkStart w:id="15" w:name="_Toc28359080"/>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5393623"/>
      <w:r/>
      <w:bookmarkStart w:id="19" w:name="_Toc38985265"/>
      <w:r/>
      <w:bookmarkStart w:id="20" w:name="_Toc28359004"/>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ascii="宋体" w:hAnsi="宋体" w:cs="宋体"/>
          <w:sz w:val="24"/>
          <w:szCs w:val="24"/>
          <w:highlight w:val="none"/>
        </w:rPr>
      </w:pPr>
      <w:r/>
      <w:bookmarkStart w:id="22" w:name="_Toc28359005"/>
      <w:r/>
      <w:bookmarkStart w:id="23" w:name="_Toc35393624"/>
      <w:r/>
      <w:bookmarkStart w:id="24" w:name="_Toc38985266"/>
      <w:r/>
      <w:bookmarkStart w:id="25" w:name="_Toc35393793"/>
      <w:r/>
      <w:bookmarkStart w:id="26" w:name="_Toc28359082"/>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3"/>
        <w:ind w:firstLine="480"/>
        <w:pageBreakBefore w:val="0"/>
        <w:spacing w:line="240"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eastAsia="宋体"/>
          <w:bCs/>
          <w:sz w:val="24"/>
          <w:szCs w:val="24"/>
          <w:highlight w:val="none"/>
          <w:u w:val="single"/>
          <w:lang w:val="en-US" w:eastAsia="zh-CN"/>
        </w:rPr>
      </w:pPr>
      <w:r/>
      <w:bookmarkStart w:id="27" w:name="_Toc35393794"/>
      <w:r/>
      <w:bookmarkStart w:id="28" w:name="_Toc38985267"/>
      <w:r/>
      <w:bookmarkStart w:id="29" w:name="_Toc35393625"/>
      <w:r/>
      <w:bookmarkStart w:id="30" w:name="_Toc28359084"/>
      <w:r/>
      <w:bookmarkStart w:id="31" w:name="_Toc2835900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9</w:t>
      </w:r>
      <w:r>
        <w:rPr>
          <w:rFonts w:hint="eastAsia" w:ascii="宋体" w:hAnsi="宋体"/>
          <w:bCs/>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分</w:t>
      </w:r>
      <w:r>
        <w:rPr>
          <w:rFonts w:hint="eastAsia" w:ascii="宋体" w:hAnsi="宋体"/>
          <w:bCs/>
          <w:color w:val="000000" w:themeColor="text1"/>
          <w:sz w:val="24"/>
          <w:szCs w:val="24"/>
          <w:highlight w:val="none"/>
        </w:rPr>
        <w:t xml:space="preserve">（</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3"/>
        <w:ind w:firstLine="480"/>
        <w:pageBreakBefore w:val="0"/>
        <w:spacing w:line="240"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cs="宋体"/>
          <w:sz w:val="24"/>
          <w:szCs w:val="24"/>
          <w:highlight w:val="none"/>
        </w:rPr>
      </w:pPr>
      <w:r/>
      <w:bookmarkStart w:id="32" w:name="_Toc35393795"/>
      <w:r/>
      <w:bookmarkStart w:id="33" w:name="_Toc35393626"/>
      <w:r/>
      <w:bookmarkStart w:id="34" w:name="_Toc38985268"/>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8985269"/>
      <w:r/>
      <w:bookmarkStart w:id="36" w:name="_Toc28359085"/>
      <w:r/>
      <w:bookmarkStart w:id="37" w:name="_Toc28359008"/>
      <w:r/>
      <w:bookmarkStart w:id="38" w:name="_Toc35393796"/>
      <w:r/>
      <w:bookmarkStart w:id="39" w:name="_Toc35393627"/>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73"/>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3"/>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3"/>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3"/>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采购人《质疑函》收件人：张老师，收件地址：</w:t>
      </w:r>
      <w:r>
        <w:rPr>
          <w:rFonts w:hint="eastAsia" w:ascii="宋体" w:hAnsi="宋体" w:eastAsia="宋体" w:cs="Times New Roman"/>
          <w:color w:val="000000"/>
          <w:sz w:val="24"/>
          <w:szCs w:val="21"/>
          <w:highlight w:val="none"/>
          <w:u w:val="none"/>
          <w:lang w:val="en-US" w:eastAsia="zh-CN"/>
        </w:rPr>
        <w:t xml:space="preserve">南京市玄武区双龙巷5号4楼410，</w:t>
      </w:r>
      <w:r>
        <w:rPr>
          <w:rFonts w:hint="eastAsia" w:ascii="宋体" w:hAnsi="宋体" w:eastAsia="宋体" w:cs="Times New Roman"/>
          <w:b w:val="0"/>
          <w:bCs w:val="0"/>
          <w:color w:val="000000"/>
          <w:sz w:val="24"/>
          <w:highlight w:val="none"/>
          <w:lang w:val="en-US" w:eastAsia="zh-CN"/>
        </w:rPr>
        <w:t xml:space="preserve">联系电话：025-83105006。</w:t>
      </w:r>
      <w:r>
        <w:rPr>
          <w:rFonts w:hint="eastAsia" w:ascii="宋体" w:hAnsi="宋体" w:eastAsia="宋体" w:cs="Times New Roman"/>
          <w:b w:val="0"/>
          <w:bCs w:val="0"/>
          <w:color w:val="000000"/>
          <w:sz w:val="24"/>
          <w:highlight w:val="none"/>
          <w:lang w:val="en-US" w:eastAsia="zh-CN"/>
        </w:rPr>
      </w:r>
      <w:r/>
    </w:p>
    <w:p>
      <w:pPr>
        <w:pStyle w:val="873"/>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6"/>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称：南京鼓楼医院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南京市鼓楼区中山路321号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张老师</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025-83105006 </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王女士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3"/>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联系电话：025-68505967</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5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120614244"/>
      <w:r/>
      <w:bookmarkStart w:id="43" w:name="_Toc479757211"/>
      <w:r/>
      <w:bookmarkStart w:id="44" w:name="_Toc462564139"/>
      <w:r/>
      <w:bookmarkStart w:id="45" w:name="_Hlt16619350"/>
      <w:r/>
      <w:bookmarkStart w:id="46" w:name="_Toc16938590"/>
      <w:r/>
      <w:bookmarkStart w:id="47" w:name="_Toc20823346"/>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3"/>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7"/>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3"/>
        <w:ind w:firstLine="492"/>
        <w:keepLines w:val="0"/>
        <w:keepNext w:val="0"/>
        <w:rPr>
          <w:rFonts w:hint="eastAsia" w:ascii="方正楷体_GBK" w:hAnsi="方正楷体_GBK" w:eastAsia="方正楷体_GBK" w:cs="方正楷体_GBK"/>
          <w:b/>
          <w:bCs/>
          <w:sz w:val="28"/>
          <w:szCs w:val="28"/>
          <w:highlight w:val="none"/>
          <w:lang w:val="zh-CN" w:eastAsia="zh-CN" w:bidi="ar-SA"/>
        </w:rPr>
      </w:pPr>
      <w:r>
        <w:rPr>
          <w:rFonts w:hint="eastAsia" w:ascii="方正楷体_GBK" w:hAnsi="方正楷体_GBK" w:eastAsia="方正楷体_GBK" w:cs="方正楷体_GBK"/>
          <w:b/>
          <w:bCs/>
          <w:sz w:val="28"/>
          <w:szCs w:val="28"/>
          <w:highlight w:val="none"/>
          <w:lang w:val="zh-CN" w:eastAsia="zh-CN" w:bidi="ar-SA"/>
        </w:rPr>
        <w:t xml:space="preserve">18.评标</w:t>
      </w:r>
      <w:r>
        <w:rPr>
          <w:rFonts w:hint="eastAsia" w:ascii="方正楷体_GBK" w:hAnsi="方正楷体_GBK" w:eastAsia="方正楷体_GBK" w:cs="方正楷体_GBK"/>
          <w:b/>
          <w:bCs/>
          <w:sz w:val="28"/>
          <w:szCs w:val="28"/>
          <w:highlight w:val="none"/>
          <w:lang w:val="zh-CN" w:eastAsia="zh-CN" w:bidi="ar-SA"/>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w:t>
      </w:r>
      <w:r>
        <w:rPr>
          <w:rFonts w:hint="eastAsia" w:ascii="宋体" w:hAnsi="宋体" w:eastAsia="宋体" w:cs="Times New Roman"/>
          <w:color w:val="000000"/>
          <w:sz w:val="24"/>
          <w:szCs w:val="22"/>
          <w:highlight w:val="none"/>
          <w:lang w:val="zh-CN"/>
        </w:rPr>
        <w:t xml:space="preserve">的其他情形。</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3"/>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3"/>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7"/>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3"/>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7"/>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7"/>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7"/>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3"/>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7"/>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7"/>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3"/>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3"/>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3"/>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3"/>
        <w:ind w:firstLine="420"/>
        <w:rPr>
          <w:highlight w:val="none"/>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20614221"/>
      <w:r/>
      <w:bookmarkStart w:id="50" w:name="_Toc479757207"/>
      <w:r/>
      <w:bookmarkStart w:id="51" w:name="_Toc513029242"/>
      <w:r/>
      <w:bookmarkStart w:id="52" w:name="_Toc16938558"/>
      <w:r/>
      <w:bookmarkStart w:id="53" w:name="_Toc20823314"/>
      <w:r>
        <w:rPr>
          <w:highlight w:val="none"/>
        </w:rPr>
      </w:r>
      <w:r/>
    </w:p>
    <w:p>
      <w:pPr>
        <w:pStyle w:val="878"/>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sz w:val="28"/>
          <w:highlight w:val="none"/>
          <w:lang w:val="zh-CN" w:eastAsia="zh-CN"/>
        </w:rPr>
        <w:t xml:space="preserve">4</w:t>
      </w:r>
      <w:r>
        <w:rPr>
          <w:rFonts w:hint="eastAsia" w:ascii="方正楷体_GBK" w:hAnsi="方正楷体_GBK" w:eastAsia="方正楷体_GBK" w:cs="方正楷体_GBK"/>
          <w:b/>
          <w:bCs/>
          <w:sz w:val="28"/>
          <w:highlight w:val="none"/>
          <w:lang w:val="en-US" w:eastAsia="zh-CN"/>
        </w:rPr>
        <w:t xml:space="preserve">1</w:t>
      </w:r>
      <w:r>
        <w:rPr>
          <w:rFonts w:hint="eastAsia" w:ascii="方正楷体_GBK" w:hAnsi="方正楷体_GBK" w:eastAsia="方正楷体_GBK" w:cs="方正楷体_GBK"/>
          <w:b/>
          <w:bCs/>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52"/>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3"/>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16938559"/>
      <w:r/>
      <w:bookmarkStart w:id="55" w:name="_Toc513029243"/>
      <w:r/>
      <w:bookmarkStart w:id="56"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2"/>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87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3"/>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3"/>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spacing w:line="240" w:lineRule="auto"/>
        <w:rPr>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w:t>
      </w:r>
      <w:r>
        <w:rPr>
          <w:rFonts w:ascii="宋体" w:hAnsi="宋体" w:eastAsia="宋体" w:cs="宋体"/>
          <w:sz w:val="24"/>
          <w:szCs w:val="24"/>
          <w:highlight w:val="none"/>
        </w:rPr>
        <w:t xml:space="preserve">（如有）是本合同的组成部分，本合同未约定的，双方应当按照上述文件履行，如上述文件存在冲突的，以甲方选择的解释顺序为准。</w:t>
      </w:r>
      <w:r>
        <w:rPr>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4"/>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b w:val="0"/>
          <w:bCs w:val="0"/>
          <w:color w:val="0000ff"/>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宋体" w:hAnsi="宋体" w:eastAsia="宋体" w:cs="Courier New"/>
          <w:b w:val="0"/>
          <w:bCs w:val="0"/>
          <w:color w:val="0000ff"/>
          <w:sz w:val="24"/>
          <w:szCs w:val="24"/>
          <w:highlight w:val="none"/>
          <w:lang w:val="en-US" w:eastAsia="zh-CN"/>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3"/>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合同签订且服务团队人员到位后，甲方支付合同总价款的60%作为预付款。</w:t>
      </w:r>
      <w:r>
        <w:rPr>
          <w:rFonts w:hint="eastAsia" w:ascii="宋体" w:hAnsi="宋体" w:eastAsia="宋体" w:cs="Courier New"/>
          <w:color w:val="000000"/>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系统开发完成并验收合格后，甲方支付合同总价款的40%。</w:t>
      </w:r>
      <w:r>
        <w:rPr>
          <w:rFonts w:hint="eastAsia" w:ascii="宋体" w:hAnsi="宋体" w:eastAsia="宋体" w:cs="Courier New"/>
          <w:color w:val="000000"/>
          <w:sz w:val="24"/>
          <w:szCs w:val="24"/>
          <w:highlight w:val="none"/>
          <w:lang w:val="en-US" w:eastAsia="zh-CN"/>
        </w:rPr>
      </w:r>
      <w:r/>
    </w:p>
    <w:p>
      <w:pPr>
        <w:pStyle w:val="914"/>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color w:val="000000"/>
          <w:highlight w:val="none"/>
          <w:lang w:val="en-US" w:eastAsia="zh-CN"/>
        </w:rPr>
      </w:r>
      <w:r/>
    </w:p>
    <w:p>
      <w:pPr>
        <w:pStyle w:val="914"/>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w:t>
      </w:r>
      <w:r>
        <w:rPr>
          <w:rFonts w:hint="eastAsia" w:ascii="宋体" w:hAnsi="宋体" w:eastAsia="宋体" w:cs="Courier New"/>
          <w:sz w:val="24"/>
          <w:szCs w:val="24"/>
          <w:highlight w:val="none"/>
        </w:rPr>
        <w:t xml:space="preserve">关部门投诉。</w:t>
      </w:r>
      <w:r>
        <w:rPr>
          <w:rFonts w:hint="eastAsia" w:ascii="宋体" w:hAnsi="宋体" w:eastAsia="宋体" w:cs="Courier New"/>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color w:val="0000ff"/>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0.1</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4"/>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4"/>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bookmarkEnd w:id="54"/>
      <w:r/>
      <w:bookmarkEnd w:id="55"/>
      <w:r/>
      <w:bookmarkEnd w:id="5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4"/>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14"/>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4"/>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4"/>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4"/>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914"/>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4"/>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5"/>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2"/>
      <w:r/>
      <w:bookmarkEnd w:id="46"/>
      <w:r/>
      <w:bookmarkEnd w:id="47"/>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近年来，国家卫健委持续推动多学科诊疗（MDT,Multi-Disciplinary Team）模式建设，将其作为提升疑难重症诊疗能力、优化医疗资源配置、改善患者就医体验的重要举措。《“健康中国2030”规划纲要》《公立医院高质量发展促进行动（2021—2025年）》等文件均明确提出，鼓励三级医院建立规范化的MDT运行机制，推动以患者为中心的整合型医疗服务体系建设。</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建设基于AI的一站式MDT服务平台，是以患者为中心，通过全院级通用平台为横向支撑，以病种为纵向主线。医院院内已完成私有化大模型底座部署，本平台需适配院内现有AI能力，综合运用 NLP、知识库、RAG等AI技术，提供覆盖MDT诊前、诊中、诊后全流程服务及质控管理，提升复杂疾病患者诊疗质量和改善就医体验，推进医院MDT工作高质量发展。</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复用优先，避免烟囱式建设：宜坚持“复用优先、按需建设”的思路，充分复用院内平台/中台能力，与医院信息化整体架构保持一致。对于院内已有能力（如患者主索引、病历质控、随访管理、慢病管理等），宜优先调用复用，尽可能减少重复建设。</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架构开放，标准易扩展：应采用松耦合、模块化的架构设计，接口标准化，采用医疗行业标准协议与通用技术标准，保证兼容性和可扩展性，具备良好的扩展能力，能够快速对接院内平台/中台能力（如患者管理平台、慢病随</w:t>
      </w:r>
      <w:r>
        <w:rPr>
          <w:rFonts w:hint="eastAsia" w:ascii="宋体" w:hAnsi="宋体" w:eastAsia="宋体" w:cs="宋体"/>
          <w:bCs/>
          <w:color w:val="000000"/>
          <w:sz w:val="24"/>
          <w:szCs w:val="24"/>
          <w:highlight w:val="none"/>
          <w:lang w:val="en-US" w:eastAsia="zh-CN"/>
        </w:rPr>
        <w:t xml:space="preserve">访平台、患者360视图等），降低后续集成改造成本，避免形成信息孤岛和功能孤岛。接口设计宜遵循医院集成平台统一规范。在满足开放架构和标准接口要求的基础上，平台应具备基于AI的一站式MDT服务平台整体软件产品交付能力，相关业务模块应基于统一的软件产品体系进行建设，具备统一的软件架构、统一用户管理、统一权限管理、统一数据管理和统一接口管理能力。投标人应作为项目整体建设责任主体，负责平台部署实施、接口集成、系统联调、运行维护及售后服务，确保平台界面统一、用户体验一致、业务流程连续、数据互联互通，并支持后续升级扩展。</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AI能力平台化，沉淀全院资产：涉及的AI能力须依托院内AI模型平台调用大模型服务，不宜独立部署私有化大模型；建设过程中沉淀的医学知识库、Prompt模板、AI审核规则、RAG语料等资产，宜以标准化、可复用的形式建设，使其成为全院可共享的AI知识资产，供后续其他业务系统调用。</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安全合规，保障数据安全：平台建设须符合网络安全等级保护及医疗卫生行业相关要求，接口传输加密，网络访问遵循院内安全分区隔离策略，操作全程留痕审计；患者敏感信息在存储、传输、使用中采取脱敏和访问控制措施，符合《个人信息保护法》《数据安全法》等法规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6"/>
        <w:tblW w:w="513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71"/>
        <w:gridCol w:w="2741"/>
        <w:gridCol w:w="903"/>
        <w:gridCol w:w="895"/>
        <w:gridCol w:w="1270"/>
        <w:gridCol w:w="2065"/>
        <w:gridCol w:w="1383"/>
      </w:tblGrid>
      <w:tr>
        <w:trPr>
          <w:trHeight w:val="90"/>
        </w:trPr>
        <w:tc>
          <w:tcPr>
            <w:tcW w:w="38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序号</w:t>
            </w:r>
            <w:r>
              <w:rPr>
                <w:rFonts w:hint="eastAsia" w:ascii="宋体" w:hAnsi="宋体" w:eastAsia="宋体" w:cs="宋体"/>
                <w:bCs/>
                <w:color w:val="000000"/>
                <w:sz w:val="24"/>
                <w:szCs w:val="24"/>
                <w:highlight w:val="none"/>
                <w:lang w:val="zh-CN" w:eastAsia="zh-CN"/>
              </w:rPr>
            </w:r>
            <w:r/>
          </w:p>
        </w:tc>
        <w:tc>
          <w:tcPr>
            <w:tcW w:w="1366"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分项名称</w:t>
            </w:r>
            <w:r>
              <w:rPr>
                <w:rFonts w:hint="eastAsia" w:ascii="宋体" w:hAnsi="宋体" w:eastAsia="宋体" w:cs="宋体"/>
                <w:bCs/>
                <w:color w:val="000000"/>
                <w:sz w:val="24"/>
                <w:szCs w:val="24"/>
                <w:highlight w:val="none"/>
                <w:lang w:val="zh-CN" w:eastAsia="zh-CN"/>
              </w:rPr>
            </w:r>
            <w:r/>
          </w:p>
        </w:tc>
        <w:tc>
          <w:tcPr>
            <w:tcW w:w="450"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数量</w:t>
            </w:r>
            <w:r>
              <w:rPr>
                <w:rFonts w:hint="eastAsia" w:ascii="宋体" w:hAnsi="宋体" w:eastAsia="宋体" w:cs="宋体"/>
                <w:bCs/>
                <w:color w:val="000000"/>
                <w:sz w:val="24"/>
                <w:szCs w:val="24"/>
                <w:highlight w:val="none"/>
                <w:lang w:val="zh-CN" w:eastAsia="zh-CN"/>
              </w:rPr>
            </w:r>
            <w:r/>
          </w:p>
        </w:tc>
        <w:tc>
          <w:tcPr>
            <w:tcW w:w="446"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单位</w:t>
            </w:r>
            <w:r>
              <w:rPr>
                <w:rFonts w:hint="eastAsia" w:ascii="宋体" w:hAnsi="宋体" w:eastAsia="宋体" w:cs="宋体"/>
                <w:bCs/>
                <w:color w:val="000000"/>
                <w:sz w:val="24"/>
                <w:szCs w:val="24"/>
                <w:highlight w:val="none"/>
                <w:lang w:val="zh-CN" w:eastAsia="zh-CN"/>
              </w:rPr>
            </w:r>
            <w:r/>
          </w:p>
        </w:tc>
        <w:tc>
          <w:tcPr>
            <w:tcW w:w="633"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产品类型</w:t>
            </w:r>
            <w:r>
              <w:rPr>
                <w:rFonts w:hint="eastAsia" w:ascii="宋体" w:hAnsi="宋体" w:eastAsia="宋体" w:cs="宋体"/>
                <w:bCs/>
                <w:color w:val="000000"/>
                <w:sz w:val="24"/>
                <w:szCs w:val="24"/>
                <w:highlight w:val="none"/>
                <w:lang w:val="zh-CN" w:eastAsia="zh-CN"/>
              </w:rPr>
            </w:r>
            <w:r/>
          </w:p>
        </w:tc>
        <w:tc>
          <w:tcPr>
            <w:tcW w:w="1029"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中小企业划分标准所属行业</w:t>
            </w:r>
            <w:r>
              <w:rPr>
                <w:rFonts w:hint="eastAsia" w:ascii="宋体" w:hAnsi="宋体" w:eastAsia="宋体" w:cs="宋体"/>
                <w:bCs/>
                <w:color w:val="000000"/>
                <w:sz w:val="24"/>
                <w:szCs w:val="24"/>
                <w:highlight w:val="none"/>
                <w:lang w:val="zh-CN" w:eastAsia="zh-CN"/>
              </w:rPr>
            </w:r>
            <w:r/>
          </w:p>
        </w:tc>
        <w:tc>
          <w:tcPr>
            <w:tcW w:w="689"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属性</w:t>
            </w:r>
            <w:r>
              <w:rPr>
                <w:rFonts w:hint="eastAsia" w:ascii="宋体" w:hAnsi="宋体" w:eastAsia="宋体" w:cs="宋体"/>
                <w:bCs/>
                <w:color w:val="000000"/>
                <w:sz w:val="24"/>
                <w:szCs w:val="24"/>
                <w:highlight w:val="none"/>
                <w:lang w:val="zh-CN" w:eastAsia="zh-CN"/>
              </w:rPr>
            </w:r>
            <w:r/>
          </w:p>
        </w:tc>
      </w:tr>
      <w:tr>
        <w:trPr>
          <w:trHeight w:val="597"/>
        </w:trPr>
        <w:tc>
          <w:tcPr>
            <w:tcW w:w="38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1</w:t>
            </w:r>
            <w:r>
              <w:rPr>
                <w:rFonts w:hint="eastAsia" w:ascii="宋体" w:hAnsi="宋体" w:eastAsia="宋体" w:cs="宋体"/>
                <w:bCs/>
                <w:color w:val="000000"/>
                <w:sz w:val="24"/>
                <w:szCs w:val="24"/>
                <w:highlight w:val="none"/>
                <w:lang w:val="zh-CN" w:eastAsia="zh-CN"/>
              </w:rPr>
            </w:r>
            <w:r/>
          </w:p>
        </w:tc>
        <w:tc>
          <w:tcPr>
            <w:tcW w:w="1366"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基于AI的一站式MDT服务平台</w:t>
            </w:r>
            <w:r>
              <w:rPr>
                <w:rFonts w:hint="eastAsia" w:ascii="宋体" w:hAnsi="宋体" w:eastAsia="宋体" w:cs="宋体"/>
                <w:bCs/>
                <w:color w:val="000000"/>
                <w:sz w:val="24"/>
                <w:szCs w:val="24"/>
                <w:highlight w:val="none"/>
                <w:lang w:val="zh-CN" w:eastAsia="zh-CN"/>
              </w:rPr>
            </w:r>
            <w:r/>
          </w:p>
        </w:tc>
        <w:tc>
          <w:tcPr>
            <w:tcW w:w="450"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1</w:t>
            </w:r>
            <w:r>
              <w:rPr>
                <w:rFonts w:hint="eastAsia" w:ascii="宋体" w:hAnsi="宋体" w:eastAsia="宋体" w:cs="宋体"/>
                <w:bCs/>
                <w:color w:val="000000"/>
                <w:sz w:val="24"/>
                <w:szCs w:val="24"/>
                <w:highlight w:val="none"/>
                <w:lang w:val="zh-CN" w:eastAsia="zh-CN"/>
              </w:rPr>
            </w:r>
            <w:r/>
          </w:p>
        </w:tc>
        <w:tc>
          <w:tcPr>
            <w:tcW w:w="446"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项</w:t>
            </w:r>
            <w:r>
              <w:rPr>
                <w:rFonts w:hint="eastAsia" w:ascii="宋体" w:hAnsi="宋体" w:eastAsia="宋体" w:cs="宋体"/>
                <w:bCs/>
                <w:color w:val="000000"/>
                <w:sz w:val="24"/>
                <w:szCs w:val="24"/>
                <w:highlight w:val="none"/>
                <w:lang w:val="zh-CN" w:eastAsia="zh-CN"/>
              </w:rPr>
            </w:r>
            <w:r/>
          </w:p>
        </w:tc>
        <w:tc>
          <w:tcPr>
            <w:tcW w:w="633"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主要产品</w:t>
            </w:r>
            <w:r>
              <w:rPr>
                <w:rFonts w:hint="eastAsia" w:ascii="宋体" w:hAnsi="宋体" w:eastAsia="宋体" w:cs="宋体"/>
                <w:bCs/>
                <w:color w:val="000000"/>
                <w:sz w:val="24"/>
                <w:szCs w:val="24"/>
                <w:highlight w:val="none"/>
                <w:lang w:val="zh-CN" w:eastAsia="zh-CN"/>
              </w:rPr>
            </w:r>
            <w:r/>
          </w:p>
        </w:tc>
        <w:tc>
          <w:tcPr>
            <w:tcW w:w="1029"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软件和信息技术服务业</w:t>
            </w:r>
            <w:r>
              <w:rPr>
                <w:rFonts w:hint="eastAsia" w:ascii="宋体" w:hAnsi="宋体" w:eastAsia="宋体" w:cs="宋体"/>
                <w:bCs/>
                <w:color w:val="000000"/>
                <w:sz w:val="24"/>
                <w:szCs w:val="24"/>
                <w:highlight w:val="none"/>
                <w:lang w:val="zh-CN" w:eastAsia="zh-CN"/>
              </w:rPr>
            </w:r>
            <w:r/>
          </w:p>
        </w:tc>
        <w:tc>
          <w:tcPr>
            <w:tcW w:w="689"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服务</w:t>
            </w:r>
            <w:r>
              <w:rPr>
                <w:rFonts w:hint="eastAsia" w:ascii="宋体" w:hAnsi="宋体" w:eastAsia="宋体" w:cs="宋体"/>
                <w:bCs/>
                <w:color w:val="000000"/>
                <w:sz w:val="24"/>
                <w:szCs w:val="24"/>
                <w:highlight w:val="none"/>
                <w:lang w:val="zh-CN" w:eastAsia="zh-CN"/>
              </w:rPr>
            </w:r>
            <w:r/>
          </w:p>
        </w:tc>
      </w:tr>
    </w:tbl>
    <w:p>
      <w:pPr>
        <w:pStyle w:val="873"/>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r>
      <w:r/>
    </w:p>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1、系统要求</w:t>
      </w:r>
      <w:r>
        <w:rPr>
          <w:rFonts w:hint="eastAsia" w:ascii="宋体" w:hAnsi="宋体" w:eastAsia="宋体" w:cs="Times New Roman"/>
          <w:color w:val="000000"/>
          <w:sz w:val="24"/>
          <w:szCs w:val="24"/>
          <w:highlight w:val="none"/>
          <w:lang w:val="en-US" w:eastAsia="zh-CN"/>
        </w:rPr>
      </w:r>
      <w:r/>
    </w:p>
    <w:tbl>
      <w:tblPr>
        <w:tblW w:w="9918"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991"/>
        <w:gridCol w:w="762"/>
        <w:gridCol w:w="1160"/>
        <w:gridCol w:w="1634"/>
        <w:gridCol w:w="5371"/>
      </w:tblGrid>
      <w:tr>
        <w:trPr>
          <w:trHeight w:val="20"/>
          <w:tblHeader/>
        </w:trPr>
        <w:tc>
          <w:tcPr>
            <w:tcW w:w="99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软件</w:t>
            </w:r>
            <w:r>
              <w:rPr>
                <w:rFonts w:hint="eastAsia" w:ascii="宋体" w:hAnsi="宋体" w:eastAsia="宋体" w:cs="Times New Roman"/>
                <w:color w:val="000000"/>
                <w:sz w:val="24"/>
                <w:szCs w:val="24"/>
                <w:highlight w:val="none"/>
                <w:lang w:val="en-US" w:eastAsia="zh-CN"/>
              </w:rPr>
            </w:r>
            <w:r/>
          </w:p>
        </w:tc>
        <w:tc>
          <w:tcPr>
            <w:tcW w:w="76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软件模块</w:t>
            </w: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功能模块</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功能名称</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功能描述</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基于AI的一站式MDT服务平台</w:t>
            </w: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MDT预问诊</w:t>
            </w: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AI问卷式预问诊管理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预问诊模板管理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用户按照病种建立预问诊模板，支持为预问诊模板添加预问诊问题，支持设置预问诊问题是否必填，支持以拖动的形式调整预问诊问题的顺序。支持根据病种由AI大模型自动生成预问诊问卷问题（AI支持生成的问题类型需要包括但不限于选择题、填空题），并自动填充到预问诊问卷，支持医生对AI生成的问卷进行审核与编辑。系统界面或运行日志需要能够显示Al大模型调用及思考处理过程。</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预问诊记录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支持所有发送给患者的预问诊问卷，支持查看预问诊详细信息。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预问诊报告AI生成</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采用AI大模型，结合知识库，对患者填写的预问诊结果自动提炼关键临床表征，生成重点突出的预问诊分析报告，供医生查看。</w:t>
            </w:r>
            <w:r>
              <w:rPr>
                <w:rFonts w:hint="eastAsia" w:ascii="宋体" w:hAnsi="宋体" w:eastAsia="宋体" w:cs="Times New Roman"/>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支持医生对AI生成的报告进行审核与编辑。系统界面或运行日志需要能够显示Al大模型调用及思考处理过程。</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MDT会诊关联</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支持预问诊记录自动关联到MDT会诊记录，方便会诊医生查看，患者通过预问诊问卷资料上传题提交的文件，自动归集到关联MDT会诊记录的会诊资料。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MDT平台</w:t>
            </w: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身份鉴别</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用户登录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MDT会诊应用软件按授权用户登录；支持根据使用用户分配查询、检索、调阅权限。支持与医生工作站的SSO集成。</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MDT意见库管理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意见库维护</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按病种划分对科室常用MDT意见进行管理；全院共享的系统意见库及医生个人维护的常用意见库；意见库中添加MDT意见的内容主要包括,后台可实现常用意见库的预览、修改、编辑，快速完成常用意见库的维护，全院可见。</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质控管理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MDT质控配置</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支持对MDT会诊开展所必需的病例资料类型和资料数量进行配置管理。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诊前系统质控</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支持MDT会诊前对病例资料类型和资料数量进行质控管理。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诊后系统质控</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支持对MDT会诊专家意见、诊疗报告填写情况进行质控。</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科主任质控</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支持科室主任对本科室开展的MDT会诊情况进行质控。</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职能部门质控</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支持职能部门对全院开展的MDT会诊情况进行质控。</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专家组长质控</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支持专家组组长对自己所在专家组的成员表现情况进行质控。</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质控因素自动采集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系统自动采集MDT会诊专家组成员是否签到、专家组成员提前查看资料的数量、专家组成员在会诊中的发言等信息。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初诊病例占比</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支持统计MDT初诊病例与全部MDT病例的比例。</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分期占比</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支持统计MDT病例不同分期情况比例。</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治疗方案执行评估、治疗效果达标比例</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支持统计MDT病例治疗方案不同执行情况比例。支持统计MDT病例治疗效果达标情况比例。</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病例接受多种治疗手段比例</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支持统计接受多种治疗手段病例与全部MDT病例比例。</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病例资料整理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患者资料上传</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支持上传患者病例资料作为会诊资料。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图文资料编辑</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支持使用图文的方式编辑患者的病例信息。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影像截图</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支持复制影像标注截图作为会诊资料。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同步资料及资料导入</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支持同步患者的历史MDT资料作为本次会诊资料。支持使用患者上传的院外资料作为会诊资料。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MDT会诊</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出诊时间管理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支持设置MDT专家组出诊时间。</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患者登记</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支持为患者登记MDT会诊申请。</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患者预约审核</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支持审核人员通过查看AI整合的MDT病历PPT对患者自主申请的MDT进行审核。</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时间预约及预约时间调整</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支持为已登记的MDT会诊患者预约专家组和会诊时间。支持调整已预约MDT会诊记录的会诊时间。</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患者资料审核</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支持MDT秘书审核查看患者病例资料是否符合会诊要求。</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选择会诊专家</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支持选择需要参诊的专家。</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专家确认患者资料提醒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支持向需要参诊的专家发送消息，提醒专家查阅确认患者病例资料是否需要修改补充。</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会诊专家通知</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支持向需要参诊的专家发送会诊通知消息。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参诊确认</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支持MDT专家查看MDT会诊通知，可选择参与或拒绝会诊。</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签到</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支持参诊会诊专家在线签到功能；支持MDT秘书可为参诊专家进行在线签到。支持医院已有CA系统对接，专家可进行CA签到。</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患者资料查看</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支持在线调阅查看MDT会诊病例的资料。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影像查看</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支持在线调阅查看MDT会诊病例的dicom影像文件，以及窗宽窗位调整、缩放、移动等图像处理。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多端同屏影像标注(移动端、web两端同时对同一影像进行标注)</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参诊专家通过web端和移动端同时对同一影像进行交互标注，标注方式包括但不限于：箭头、直线、圆圈、矩形、自由线等标注方式，支持对标注操作进行删除操作，移动端和电脑WEB端同时在同一帧影像画面上实时汇总展示不同专家的标注结果，支持在移动端上使用不同的颜色区分显示不同参诊专家在同一影像上的标注结果，WEB端和移动端的标注内容需要在两端显示交互标注结果。</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多色显示不同专家同屏标注内容</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支持使用不同的颜色区分显示不同参诊专家在同一影像上的标注结果。</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影像标注结果存储</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支持影像标注后对标注结果进行存储。</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专家意见录入</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支持录入参诊专家会诊意见。</w:t>
            </w:r>
            <w:r>
              <w:rPr>
                <w:rFonts w:hint="eastAsia" w:ascii="宋体" w:hAnsi="宋体" w:eastAsia="宋体" w:cs="Times New Roman"/>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支持专家书写MDT意见时快速引用意见库中的内容。</w:t>
            </w:r>
            <w:r>
              <w:rPr>
                <w:rFonts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语音录入</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支持录入语音作为会诊意见备忘内容。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语音转文字</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支持语音识别功能，系统自动将语音录入内容转化为文字。</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专家意见AI整合报告</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基于ASR技术转录的专家发言，利用AI大模型进行智能总结和要点提炼，自动生成合规、标准的MDT发言讨论报告。支持医生对AI生成的内容进行审核与编辑。</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结论录入</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支持录入MDT会诊诊疗结论。</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专家组长审核</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支持专家组组长审核MDT会诊诊疗结论。审核确认后将MDT会诊报告回写EMR电子病历。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出具报告</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支持导出MDT会诊诊疗报告。</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患者反馈</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支持查看患者对MDT会诊的反馈评价。</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AI疗效评估</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以MDT方案为蓝本，用AI自动完成「计划解析 →执行采集→偏差分析→量化评分」全链路，让治疗履约从主观判断走向可量化、可复核、可追溯的智能化管理。支持医生对AI生成的内容进行审核与编辑。系统界面或运行日志需要能够显示Al大模型调用及思考处理过程。</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视频会诊</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视频诊疗</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支持参诊专家通过视频远程参加MDT会诊交流讨论。</w:t>
            </w:r>
            <w:r>
              <w:rPr>
                <w:rFonts w:hint="eastAsia" w:ascii="宋体" w:hAnsi="宋体" w:eastAsia="宋体" w:cs="Times New Roman"/>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支持屏幕共享，开关摄像头、麦克风等常见功能。</w:t>
            </w:r>
            <w:r>
              <w:rPr>
                <w:rFonts w:hint="eastAsia" w:ascii="宋体" w:hAnsi="宋体" w:eastAsia="宋体" w:cs="Times New Roman"/>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可实现医院内网、外网等不同网络环境下的终端进行视频会议。</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允许/禁止患者入会</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视频会诊时，支持设置邀请他人进入视频会诊房间或禁止他人进入视频会诊房间。</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专家讨论组</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文字、图片交互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支持MDT专家组成员在病例讨论组中发送文字、图片消息进行交互讨论。</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语音交互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支持录制语音消息并发送到讨论组中进行交互沟通。</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语音转文字</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支持将已发送的语音消息识别为文字。</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信息撤回</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支持对已发送的消息进行撤回操作。</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信息实时推送</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支持将专家讨论组中的新消息实时推送给其他成员。</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自定义模板配置</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自定义会诊报告模板配置</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医院、科室、病种自定义可视化配置会诊报告模板，包括并不限于会诊报告标题、副标题名称，有无边框，填写项名称（包括并不限于主诉、现病史、门诊诊断、推荐治疗方案、会诊结论等），填写项是否必填等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考核管理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MDT考核</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支持对各科室MDT会诊开展情况评价考核。</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医生考核</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支持对MDT医生会诊表现情况评价考核。</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统计分析</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管理驾驶舱</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统计各科室MDT会诊次数，支持统计使用MDT产品的科室排名、医生排名，支持统计各科室主任对MDT会诊质量评分情况，支持统计职能部门对MDT会诊质量评分情况，支持统计患者对MDT会诊质量反馈评价情况，支持统计各科室MDT患者诊后随访量；支持按病种统计MDT会诊次数；支持患者就诊情况统计，如年龄层、性别等。</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科主任园地</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支持统计各专家组开展MDT次数，支持统计职能部门、科主任、患者对MDT会诊的评分次数，支持统计MDT患者诊后随访量。</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护士站统计</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支持按照时间段统计各科室MDT会诊数量，按照年份统计展示各MDT专家组会诊数量折线图。</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支持统计数据导出</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支持统计信息导出为Excel文件。</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人员管理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患者管理、专家管理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支持查询、维护平台中的患者信息。支持查询、维护MDT会诊专家信息。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专家组管理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支持按科室、病种、MDT类型建立专家组，并对专家组成员进行入组、出组管理；支持查看所属团队成员信息，可编辑团队成员名称、工号、职称、联系方式等；支持团队成员身份管理功能。</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系统设置</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单病种管理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支持创建MDT病种，编辑病种名称及病种编码。</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AI整合MDT病历</w:t>
            </w: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PPT模板管理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PPT模板管理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支持新建、编辑、删除患者病历PPT模板，支持配置PPT的模板内容，包含标题、背景、内容项、字体、字号、颜色等。</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病历整合</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OCR识别</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支持通过OCR技术识别图片、PDF格式文档资料中的文字信息。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病历资料预览</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支持在线预览病历资料。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图文病历AI整合</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AI在2分钟内自动整合分析后的病历信息，按照PPT模板配置的内容项生成主诉、现病史、既往史、病理检查、医学图像检查等诊疗信息，以时间轴的形式展示患者的现病史、病理检查、医学图像检查信息，以折线图的形式展示实验室指标信息，支持展示图片格式的影像文件。支持AI信息提取的精准溯源，医生点击生成的文本可查看原始门诊病历、影像报告或PDF。支持医生对AI生成的内容进行审核与编辑。系统界面或运行日志需要能够显示Al大模型调用及思考处理过程。</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PPT报告</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支持自动将整合后的信息生成为PPT报告。</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▲实验室指标可视化</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支持以折线图的形式可视化展示各类实验室检查指标。</w:t>
            </w:r>
            <w:r>
              <w:rPr>
                <w:rFonts w:hint="eastAsia" w:ascii="宋体" w:hAnsi="宋体" w:eastAsia="宋体" w:cs="Times New Roman"/>
                <w:b/>
                <w:bCs/>
                <w:color w:val="000000"/>
                <w:sz w:val="24"/>
                <w:szCs w:val="24"/>
                <w:highlight w:val="none"/>
                <w:lang w:val="en-US" w:eastAsia="zh-CN"/>
              </w:rPr>
              <w:t xml:space="preserve">（签订合同时提供技术资料：投标人提供此基于AI的一站式MDT服务平台的AI整合MDT病历软件模块的实验室指标可视化功能界面截图，须完全满足功能描述的内容）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MDT交互式随访</w:t>
            </w: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随访组管理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支持按照科室、治疗组、手术类型、病种建立随访组。</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患者随访AI智能分组</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基于患者的病案首页、出院记录、门诊病历、手术记录等文书资料，利用AI大模型对入池患者自动进行风险层级评估，给出初始随访分组建议（如高/中/低风险）及AI置信度。系统支持展示AI判断的文书依据，医生可对分组建议进行一键确认、手动调整或填写原因驳回。支持设置自动确认的置信度阈值，实现随访患者的智能化、自动化分层入组。系统界面或运行日志需要能够显示Al大模型调用及思考处理过程。</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随访计划管理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支持按照科室、治疗组、随访类型制定随访计划。</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▲随访多任务配置</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支持在同一个随访计划下配置多项随访任务。</w:t>
            </w:r>
            <w:r>
              <w:rPr>
                <w:rFonts w:hint="eastAsia" w:ascii="宋体" w:hAnsi="宋体" w:eastAsia="宋体" w:cs="Times New Roman"/>
                <w:b/>
                <w:bCs/>
                <w:color w:val="000000"/>
                <w:sz w:val="24"/>
                <w:szCs w:val="24"/>
                <w:highlight w:val="none"/>
                <w:lang w:val="en-US" w:eastAsia="zh-CN"/>
              </w:rPr>
              <w:t xml:space="preserve">（签订合同时提供技术资料：投标人提供此基于AI的一站式MDT服务平台的交互式随访软件模块的随访多任务配置功能界面截图，须完全满足功能描述的内容）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动态提醒方式配置</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支持阶梯式配置、短信提醒消息发送时间。</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随访问卷管理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支持添加、维护通用专病、满意度、PRO等随访问卷信息。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随访问卷及策略</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支持基于“病种+随访分组（风险等级）”等条件，匹配相应的随访策略。AI自动生成的问卷需包含单选、多选、填空等多种题型。系统界面或运行日志需要能够显示Al大模型调用及思考处理过程。</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随访结果AI动态分析与高危预警</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在患者提交随访问卷后，系统利用AI大模型以及知识库自动对比该患者的历史随访记录，提炼病情变化点与潜在风险点。AI自动生成“医生版（包含专业临床判断）”与“患者版（通俗易懂）”双版本随访总结报告。支持AI根据本次问卷评估结果给出再分组建议（保持、下调或上调风险等级），当AI判断病情可能恶化或指标异常时，自动触发高危预警并推送到医生工作台待办，辅助医生及时介入并调整后续随访计划。支持医生对AI生成的内容进行审核与编辑。系统界面或运行日志需要能够显示Al大模型调用及思考处理过程。</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通用专病随访记录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支持查询、浏览通用专病随访中历次随访内容。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满意度随访记录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支持查询、浏览满意度随访中历次随访内容。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PRO记录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支持查询、浏览患者主动填写的患者报告结局内容。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院外检查记录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支持查询、浏览患者院外检查提醒记录及患者外院检查完成情况。</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复诊提醒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支持为患者设定复诊时间，在患者离院后自动向患者发送复诊提醒信息。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随访建议反馈</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支持医生根据患者随访问卷填写情况，填写建议信息反馈给患者。</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随访留言管理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留言板</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支持治疗组医生与患者通过留言板交互沟通。</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留言板随访记录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支持查询、浏览留言板随访中历次留言信息量表填写情况。</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文字、图片交互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支持治疗组医护成员在留言板中发送文字、图片消息回复患者的咨询。</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语音交互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支持录制语音消息并发送到留言板中进行交互沟通。</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语音识别</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支持将已发送的语音消息识别为文字。</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信息撤回</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支持对已发送的消息进行撤回操作。</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支持发送宣教信息</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支持治疗组医护成员在留言板中向患者推送宣教知识。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视频随访预约</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支持向患者发出视频随访预约。</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视频随访审批</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支持审批患者提交的视频随访预约申请。</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视频随访时间安排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支持配置视频随访可预约的时间段。</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待办事务管理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待办事务</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展示医生当前待办任务列表。</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待办事务快捷跳转</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支持医生点击具体待办事务后，直接跳转到具体事项处理界面，方便快速查找处理事务。</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统计分析</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随访问卷统计</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支持按随访组、随访计划统计随访问卷发出量、填写完成量。</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满意度情况统计</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支持按科室、时间段统计满意度随访次数、完成次数。</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通用专病随访统计</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支持按科室、时间段统计通用专病随访次数、完成次数。</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视频随访统计</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支持按科室、时间段统计视频随访次数、完成次数。</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PRO数据统计</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支持按科室、时间段统计患者PRO随访问卷完成次数。</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留言数据统计</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支持按照科室、治疗组、问题类型（分为医疗/护理问题）统计留言板使用情况。</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人员管理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患者院外资料查询</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支持查阅患者自主上传的院外资料信息。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患者院内资料查询</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支持查阅患者的院内就诊资料，如门诊记录、入院记录、出院记录等信息。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治疗组管理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支持按照科室、病种建立治疗组，支持对治疗组的医生、患者成员进行入组、出组管理。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宣传教育</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科普文章的编辑、推荐</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支持编辑或新建宣教科普文章，支持编辑图文内容，支持上传视频、PDF/WORD文件作为宣教内容，支持向患者推荐科普文章。</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宣教模板</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支持选用系统内置模板帮助用户快速新建宣教知识文章。</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宣教知识推送</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支持向选择的患者推送宣教知识。支持与医院已有随访系统的消息推送功能进行数据对接。</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常见问题AI回复</w:t>
            </w: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医学知识库</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常见问题管理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支持用户基于病种对患者常见问题库内容进行新增、删除管理。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病种知识管理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支持用户基于病种对知识内容进行新增、删除管理。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AI引擎</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AI知识引擎</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基于医学知识库，AI大模型自动分析患者咨询的问题，生成答案。</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MDT交互式康复</w:t>
            </w: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访视管理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病区访视记录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支持查询、浏览历次病区访视信息，支持查看具体访视内容。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出院回访记录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展示历次病区访视信息，支持查看具体访视内容。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康复评估记录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记录患者历史康复评估信息，支持查看具体内容。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疼痛访视记录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记录患者历史疼痛访视信息，支持查看具体内容。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静脉通路护理记录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支持查询、浏览患者静脉通路护理提醒记录及患者静脉通路护理完成情况。</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生活指导</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生活指导知识维护</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支持编辑或新建生活指导科普文章，支持编辑图文内容，支持上传视频、PDF/WORD文件作为知识内容。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生活指导知识推送</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支持向选择的患者推送生活指导知识。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体征信息</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体征信息</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支持查阅患者上传的血压心率、血糖、身高体重、体温等体征信息。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体征信息曲线图</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支持以曲线图的形式展示患者一段时间内的体征信息。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体征异常提醒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支持红色字体显示患者体征信息中的异常记录进行提醒。</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康复干预</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康复运动管理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支持维护康复运动事项的基本信息，支持上传视频文件用于指导患者康复训练。</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康复干预计划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支持维护患者的康复干预事项信息，包括康复干预周期、频率、康复干预事项等信息，支持启用、暂停康复干预计划；支持设置干预提醒时间点，到时自动向患者发送提醒消息。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AI智能生成康复干预计划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结合知识库，利用AI大模型自动推理并生成个性化的康复干预计划建议（包含干预周期、频率、每日具体干预事项等）。支持医生对AI生成的计划进行审核、修改和一键应用。</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康复干预记录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支持以日历的形式展示患者历史康复干预事项完成情况，支持查看患者康复干预事项完成时上传的资料。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康复干预记录统计</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支持统计患者康复干预事项完成情况。</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统计分析</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病区护理访视统计</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支持按科室、时间段统计病区访视次数、完成次数。</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MDT医生移动端</w:t>
            </w: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MDT预问诊</w:t>
            </w: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预问诊</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预问诊列表</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支持医生在移动端上查看患者待填写的预问诊问卷。</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▲预问诊记录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支持医生在移动端上查看患者已提交或已过期的预问诊问卷，支持查看预问诊详细信息以及AI生成的报告内容。系统界面或运行日志需要能够显示Al大模型调用及思考处理过程。</w:t>
            </w:r>
            <w:r>
              <w:rPr>
                <w:rFonts w:hint="eastAsia" w:ascii="宋体" w:hAnsi="宋体" w:eastAsia="宋体" w:cs="Times New Roman"/>
                <w:b/>
                <w:bCs/>
                <w:color w:val="000000"/>
                <w:sz w:val="24"/>
                <w:szCs w:val="24"/>
                <w:highlight w:val="none"/>
                <w:lang w:val="en-US" w:eastAsia="zh-CN"/>
              </w:rPr>
              <w:t xml:space="preserve">（签订合同时提供技术资料：投标人提供此MDT医生移动端的预问诊软件模块的预问诊记录功能界面截图，须完全满足功能描述的内容）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MDT会诊关联</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支持在移动端上预问诊记录自动关联到MDT会诊通知，方便会诊医生查看，患者通过预问诊问卷资料上传题提交的文件，自动归集到关联MDT会诊通知的会诊资料。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MDT会诊</w:t>
            </w: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用户注册</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医生注册登录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支持医生通过移动端填写身份信息注册账户。</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个人中心</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个人信息查询</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支持医生用户查询自己的基本信息。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患者列表</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支持查询、浏览患者信息。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患者院外资料查看</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支持查阅患者自主上传的院外资料。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MDT诊疗</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会诊通知</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支持参诊专家查看待开始MDT会诊信息及病例资料。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会诊资料上传</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医生上传资料作为MDT会诊资料。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参会确认</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医生可以选择是否参加本次MDT会诊。</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签到</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支持参诊专家进行签到操作。</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患者会诊资料查看</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支持在线调阅查看MDT会诊患者的病例资料。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专家意见录入</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支持参诊专家录入自己的会诊意见。</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语音录入</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医生可以录入语音消息，作为发言备忘内容。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语音识别</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系统可以识别已录入的语音信息。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语音转文字</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支持将录入的语音消息转化为文字。</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专家意见AI整合报告</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基于ASR技术转录的专家发言，利用AI大模型进行智能总结和要点提炼，自动生成合规、标准的MDT发言讨论报告。支持医生对AI生成的内容进行审核与编辑。系统界面或运行日志需要能够显示Al大模型调用及思考处理过程。</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影像查看</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支持会诊专家在医生端上调阅查看MDT会诊病例的dicom影像文件，并支持进行窗宽窗位调整、缩放、移动、旋转、翻转、复位等图像处理。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▲多端同屏影像标注（移动端、web两端同时对同一影像进行标注 ）</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参诊专家多端同时对同一影像进行交互标注，标注方式包括但不限于：箭头、直线、圆圈、矩形、自由线等标注方式，支持对标注操作进行删除操作，移动端和电脑WEB端同时在同一帧影像画面上实时汇总展示不同专家的标注结果，支持在移动端上使用不同的颜色区分显示不同参诊专家在同一影像上的标注结果，WEB端和移动端的标注内容需要在两端显示交互标注结果。</w:t>
            </w:r>
            <w:r>
              <w:rPr>
                <w:rFonts w:hint="eastAsia" w:ascii="宋体" w:hAnsi="宋体" w:eastAsia="宋体" w:cs="Times New Roman"/>
                <w:b/>
                <w:bCs/>
                <w:color w:val="000000"/>
                <w:sz w:val="24"/>
                <w:szCs w:val="24"/>
                <w:highlight w:val="none"/>
                <w:lang w:val="en-US" w:eastAsia="zh-CN"/>
              </w:rPr>
              <w:t xml:space="preserve">（签订合同时提供技术资料：投标人提供此MDT医生移动端的MDT会诊软件模块的多端同屏影像标注（移动端、web两端同时对同一影像进行标注）功能界面截图，须完全满足功能描述的内容）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▲多色显示不同专家同屏标注内容</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支持使用不同的颜色区分显示不同参诊专家在同一影像上的标注结果。</w:t>
            </w:r>
            <w:r>
              <w:rPr>
                <w:rFonts w:hint="eastAsia" w:ascii="宋体" w:hAnsi="宋体" w:eastAsia="宋体" w:cs="Times New Roman"/>
                <w:b/>
                <w:bCs/>
                <w:color w:val="000000"/>
                <w:sz w:val="24"/>
                <w:szCs w:val="24"/>
                <w:highlight w:val="none"/>
                <w:lang w:val="en-US" w:eastAsia="zh-CN"/>
              </w:rPr>
              <w:t xml:space="preserve">（签订合同时提供技术资料：投标人提供此MDT医生移动端的MDT会诊软件模块的多色显示不同专家同屏标注内容功能界面截图，须完全满足功能描述的内容）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视频会诊</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支持参诊专家在移动端上通过视频远程参加MDT会诊进行交流讨论。</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结论录入</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支持参诊专家在移动端上录入MDT会诊诊疗结论，包括并不限于主诉、现病史、门诊诊断、推荐治疗方案、会诊结论等信息。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会诊结论审核</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支持专家组组长审核MDT会诊诊疗结论。审核确认后将MDT会诊报告回写EMR电子病历。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会诊报告</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医生可以查看为会诊患者出具的会诊报告。</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专家讨论组</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专家讨论组</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支持会诊专家通过病例讨论组即时交互。</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语音交互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支持录制语音消息并进行发送到讨论组中进行交互沟通。</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语音转文字</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支持将已发送的语音消息识别为文字。</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文字、图片交互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支持会诊专家在病例讨论群中发送文字、图片消息进行交互。</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信息撤回</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支持对已发送的消息进行撤回操作。</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MDT交互式随访</w:t>
            </w: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个人中心</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治疗组管理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支持对治疗组的患者成员进行入组、出组管理。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随访计划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支持查看即将执行的随访计划信息。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支持在移动端上按照随访类型、随访状态、随访时间段、患者姓名查询随访记录，支持浏览随访记录具体内容，随访问卷题型包括但不限于单选题、多选题、填空题等。支持查看AI自动生成的随访总结报告。</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随访建议反馈</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支持医生根据患者随访问卷填写情况，填写建议信息反馈给患者。</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PRO记录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支持查询、浏览患者主动填写的患者报告结局内容。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院外检查</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支持查询、浏览患者院外检查提醒记录及患者外院检查完成情况。</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随访留言管理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留言板</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支持治疗组医生与患者通过留言板交互沟通。</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文字、图片交互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支持在留言板中发送文字、图片消息回复患者的咨询。</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语音交互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支持录制语音消息并发送到留言板中进行交互沟通。</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语音识别</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支持将已发送的语音消息识别为文字。</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支持发送宣教信息</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支持在留言板中向患者推送宣教知识。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信息撤回</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支持对已发送的消息进行撤回操作。</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视频随访预约</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支持向患者发出视频随访预约。</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视频随访审批</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支持审批患者提交的视频随访预约申请。</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视频随访聊天室</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支持医生与患者进入视频随访聊天室进行视频通话。</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▲视频随访问卷填写</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支持在移动端上在视频随访的界面中提醒视频随访问卷，支持问卷题型包括但不限于单选题、多选题、填空题等。</w:t>
            </w:r>
            <w:r>
              <w:rPr>
                <w:rFonts w:hint="eastAsia" w:ascii="宋体" w:hAnsi="宋体" w:eastAsia="宋体" w:cs="Times New Roman"/>
                <w:b/>
                <w:bCs/>
                <w:color w:val="000000"/>
                <w:sz w:val="24"/>
                <w:szCs w:val="24"/>
                <w:highlight w:val="none"/>
                <w:lang w:val="en-US" w:eastAsia="zh-CN"/>
              </w:rPr>
              <w:t xml:space="preserve">（签订合同时提供技术资料：投标人提供此MDT医生移动端的交互式随访软件模块的视频随访问卷填写功能界面截图，须完全满足功能描述的内容）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支持查询、浏览视频随访中历次随访内容。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待办事务管理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待办事务</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展示医生当前待办任务事项。支持与医院已有随访系统进行数据对接。</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待办事务快捷跳转</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支持点击具体待办事务后，直接跳转到具体事项处理界面，方便快速查找处理事务。</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宣传教育</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宣传教育</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支持浏览已发布的宣教知识。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MDT交互式康复</w:t>
            </w: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健康档案</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静脉护理记录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支持查询、浏览患者静脉通路护理提醒记录及患者静脉通路护理完成情况。</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患者病史信息</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支持查看患者的病史信息，如现病史、既往史、家族史等信息。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患者就诊记录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支持查阅患者院内历次就诊记录信息，如门诊记录、住院记录、出院记录、手术记录等信息。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体征信息</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体征信息</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支持查阅患者上传的血压心率、血糖、身高体重、体温等体征信息。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体征信息曲线图</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支持以曲线图的形式展示患者一段时间内的体征信息。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体征异常提醒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支持红色字体显示患者体征信息中的异常记录进行提醒。</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访视管理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疼痛访视记录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记录患者历史疼痛访视信息，支持查看具体内容。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静脉通路护理记录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支持查询、浏览患者静脉通路护理提醒记录及患者静脉通路护理完成情况。</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康复干预</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康复评估记录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记录患者历史康复评估信息，支持查看具体内容。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▲康复干预计划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支持维护患者的康复干预事项信息，包括康复干预周期、频率、康复干预事项等信息，支持启用、暂停康复干预计划；支持设置干预提醒时间点，到时自动向患者发送提醒消息。</w:t>
            </w:r>
            <w:r>
              <w:rPr>
                <w:rFonts w:hint="eastAsia" w:ascii="宋体" w:hAnsi="宋体" w:eastAsia="宋体" w:cs="Times New Roman"/>
                <w:b/>
                <w:bCs/>
                <w:color w:val="000000"/>
                <w:sz w:val="24"/>
                <w:szCs w:val="24"/>
                <w:highlight w:val="none"/>
                <w:lang w:val="en-US" w:eastAsia="zh-CN"/>
              </w:rPr>
              <w:t xml:space="preserve">（签订合同时提供技术资料：投标人提供此MDT医生移动端的交互式康复软件模块的康复干预计划功能界面截图，须完全满足功能描述的内容）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康复干预记录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支持以日历的形式展示患者历史康复干预事项完成情况，支持查看患者康复干预事项完成时上传的资料。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生活指导</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生活指导</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支持浏览已发布的生活指导知识。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MDT患者小程序</w:t>
            </w: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MDT预问诊</w:t>
            </w: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预问诊</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预问诊列表</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支持患者在小程序上查看待填写的预问诊问卷。</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资料上传</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支持患者在小程序上填写预问诊问卷时上传资料，包括但不限于pdf、视频、图片、dicom等类型的文件。</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预问诊记录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支持患者在小程序上查看已提交或已过期的预问诊问卷，支持查看预问诊详细信息。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MDT会诊关联</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支持预问诊记录自动关联到MDT会诊记录，方便会诊医生查看，患者通过预问诊问卷资料上传题提交的文件，自动归集到关联MDT会诊记录的会诊资料。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MDT会诊</w:t>
            </w: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个人中心</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用户注册</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支持患者通过小程序填写身份信息注册患者用户。支持对接互联网医院 SSO/身份透传，避免重复建档登录。</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患者绑定</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支持填写患者姓名、身份证号、亲属姓名、亲属手机等信息后绑定家属成员到自己的账户，方便接收通知信息。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患者院外资料上传</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支持患者上传外院资料，支持上传图片、文档、视频、DCM等类型的资料。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MDT诊疗</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会诊申请</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支持患者自主进行MDT会诊申请。</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申请记录查询</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支持患者查询MDT会诊自主申请记录。</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添加会诊资料</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支持患者上传资料作为MDT会诊资料。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会诊目的提交</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支持患者填写MDT会诊目的并提交。</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会诊通知</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支持患者查看待开始MDT会诊信息。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会诊记录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支持患者查看MDT会诊记录信息。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会诊报告</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支持患者查看医院出具的MDT诊疗报告。</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视频会诊</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支持患者通过视频远程参加MDT会诊。</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会诊反馈评价</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患者可以对MDT会诊进行评分，反馈建议。</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MDT交互式随访</w:t>
            </w: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个人中心</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拒绝随访</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支持患者填写拒绝随访原因后，提交拒绝随访信息，拒绝随访后患者将不再接收到随访问卷信息。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随访列表</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支持展示待填写的随访问卷列表。</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填写随访问卷</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支持患者填写并提交随访问卷。</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展示已提交或已过期的历史随访信息，支持查看随访问卷填写内容。支持查看AI自动生成“患者版（通俗易懂）”的随访总结报告。</w:t>
            </w:r>
            <w:r>
              <w:rPr>
                <w:rFonts w:hint="eastAsia" w:ascii="宋体" w:hAnsi="宋体" w:eastAsia="宋体" w:cs="Times New Roman"/>
                <w:b/>
                <w:bCs/>
                <w:color w:val="000000"/>
                <w:sz w:val="24"/>
                <w:szCs w:val="24"/>
                <w:highlight w:val="none"/>
                <w:lang w:val="en-US" w:eastAsia="zh-CN"/>
              </w:rPr>
              <w:t xml:space="preserve">（签订合同时提供技术资料：投标人提供此MDT患者小程序的交互式随访软件模块的视频随访记录功能界面截图，须完全满足功能描述的内容）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随访建议反馈</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支持患者查看医生发送给自己的建议反馈内容。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PRO提交</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支持患者自主填写PRO随访问卷并提交。</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院外检查</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支持查看院外检查提醒记录，支持患者填写院外检查信息并上传检查资料。</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视频随访预约</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支持患者选择科室、治疗组发起视频随访预约申请。</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视频随访聊天室</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支持患者进入视频随访聊天室与随访医生进行视频通话。</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视频随访记录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支持查询、浏览历次视频随访的记录内容。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随访留言管理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留言板</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支持患者与治疗组医生通过留言板交互沟通。</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文字、图片交互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支持患者在留言板中发送文字、图片消息与治疗组医护交互沟通。</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语音交互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支持录制语音消息并发送到留言板中进行交互沟通。</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语音识别</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支持将已发送的语音消息识别为文字。</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信息撤回</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支持对已发送的消息进行撤回操作。</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待办事务管理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待办事务</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支持展示患者当前待办任务事项。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待办事务快捷跳转</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支持点击具体待办事务后，直接跳转到具体事项处理界面，方便快速查找处理事务。</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宣传教育</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宣传教育</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支持浏览已发布的宣教知识。</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常见问题AI回复</w:t>
            </w: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常见问题自动回复</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常见问题自动回复</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在留言板中系统针对患者提出的文字问题，根据常见问题库进行匹配后，在小程序上自动回复患者，若患者提出的问题超出了常见问题库的范围则系统向留言板中的医护人员发送消息提示，需要医护人员处理，并生成待办事项。系统界面或运行日志需要能够显示Al大模型调用及思考处理过程。</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MDT交互式康复</w:t>
            </w: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健康档案</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患者病史信息</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支持患者查看自己的病史信息，如现病史、既往史、家族史等信息。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静脉护理记录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支持患者查阅静脉通路护理提醒记录及静脉通路护理完成情况。</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患者就诊记录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支持患者查阅自己在院内历次就诊记录信息，如门诊记录、住院记录、出院记录、手术记录等信息。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体征信息</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体征信息</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支持患者上传自己的血压心率、血糖、身高体重、体温等体征信息。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体征信息曲线图</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支持以曲线图的形式展示患者一段时间内的体征信息。</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体征异常提醒</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支持红色字体显示患者体征信息中的异常记录进行提醒。</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访视管理</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康复评估</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记录患者填写医护人员发送给自己的康复评估量表/问卷。</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疼痛管理</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提供疼痛自测量表工具，支持患者填写医护发送给自己的疼痛访视问卷。</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静脉通路护理记录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支持患者浏览静脉通路护理提醒，填写静脉通路护理完成情况。</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访视建议反馈</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支持患者查看医生发送给自己的建议反馈内容。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restart"/>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康复干预</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康复干预事项</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支持患者查看自己当日需要完成的康复事项。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康复事项打卡</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支持患者填写康复事项完成情况并上传附件。</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▲康复干预记录</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支持以日历的形式展示患者历史康复干预事项完成情况，支持查看具体内容。</w:t>
            </w:r>
            <w:r>
              <w:rPr>
                <w:rFonts w:hint="eastAsia" w:ascii="宋体" w:hAnsi="宋体" w:eastAsia="宋体" w:cs="Times New Roman"/>
                <w:b/>
                <w:bCs/>
                <w:color w:val="000000"/>
                <w:sz w:val="24"/>
                <w:szCs w:val="24"/>
                <w:highlight w:val="none"/>
                <w:lang w:val="en-US" w:eastAsia="zh-CN"/>
              </w:rPr>
              <w:t xml:space="preserve">（签订合同时提供技术资料：投标人提供此MDT患者小程序的交互式康复软件模块的康复干预记录功能界面截图，须完全满足功能描述的内容）</w:t>
            </w:r>
            <w:r>
              <w:rPr>
                <w:rFonts w:hint="eastAsia" w:ascii="宋体" w:hAnsi="宋体" w:eastAsia="宋体" w:cs="Times New Roman"/>
                <w:color w:val="000000"/>
                <w:sz w:val="24"/>
                <w:szCs w:val="24"/>
                <w:highlight w:val="none"/>
                <w:lang w:val="en-US" w:eastAsia="zh-CN"/>
              </w:rPr>
            </w:r>
            <w:r/>
          </w:p>
        </w:tc>
      </w:tr>
      <w:tr>
        <w:trPr>
          <w:trHeight w:val="20"/>
        </w:trPr>
        <w:tc>
          <w:tcPr>
            <w:tcW w:w="991"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762" w:type="dxa"/>
            <w:vAlign w:val="center"/>
            <w:vMerge w:val="continue"/>
            <w:textDirection w:val="lrTb"/>
            <w:noWrap w:val="false"/>
          </w:tcPr>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160"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生活指导</w:t>
            </w:r>
            <w:r>
              <w:rPr>
                <w:rFonts w:hint="eastAsia" w:ascii="宋体" w:hAnsi="宋体" w:eastAsia="宋体" w:cs="Times New Roman"/>
                <w:color w:val="000000"/>
                <w:sz w:val="24"/>
                <w:szCs w:val="24"/>
                <w:highlight w:val="none"/>
                <w:lang w:val="en-US" w:eastAsia="zh-CN"/>
              </w:rPr>
            </w:r>
            <w:r/>
          </w:p>
        </w:tc>
        <w:tc>
          <w:tcPr>
            <w:tcW w:w="16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生活指导</w:t>
            </w:r>
            <w:r>
              <w:rPr>
                <w:rFonts w:hint="eastAsia" w:ascii="宋体" w:hAnsi="宋体" w:eastAsia="宋体" w:cs="Times New Roman"/>
                <w:color w:val="000000"/>
                <w:sz w:val="24"/>
                <w:szCs w:val="24"/>
                <w:highlight w:val="none"/>
                <w:lang w:val="en-US" w:eastAsia="zh-CN"/>
              </w:rPr>
            </w:r>
            <w:r/>
          </w:p>
        </w:tc>
        <w:tc>
          <w:tcPr>
            <w:tcW w:w="537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支持浏览已发布的生活指导知识。</w:t>
            </w:r>
            <w:r>
              <w:rPr>
                <w:rFonts w:hint="eastAsia" w:ascii="宋体" w:hAnsi="宋体" w:eastAsia="宋体" w:cs="Times New Roman"/>
                <w:color w:val="000000"/>
                <w:sz w:val="24"/>
                <w:szCs w:val="24"/>
                <w:highlight w:val="none"/>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2、系统接口服务</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（1）基础信息</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①同步医院组织架构数据，包括科室（含临床、医技、行政科室）、病区、诊疗单元等层级结构。</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②获取参与MDT服务的在职医师、护士等临床人员基础信息，用于MDT专家身份识别与排班调度。</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③获取患者唯一身份标识及基础人口学信息，支撑跨系统患者身份统一，包含患者ID（院内唯一标识）、姓名、性别、出生日期、年龄、身份证号、联系电话、紧急联系人及电话、医保类型等信息。</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④MDT专家库名单（可选），对接医院MDT专家资质管理模块，动态获取具备MDT会诊资格的专家名单。</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⑤同步医院标准诊断字典ICD码，确保MDT诊断记录与病案首页、临床路径等系统术语一致。</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（2）患者就诊信息</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①患者挂号信息，获取患者通过门诊/互联网医院预约MDT号源的挂号记录。挂号流水号、患者ID、预约科室、预约时间、挂号状态、接诊医生（如有）、挂号来源（窗口/APP/公众号）等。</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②集成医院多业务系统，支持调阅患者住院/门诊期间的关键临床文书和报告。</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③MDT会诊报告回写接口。将会诊结论、多学科建议、诊疗计划等结构化报告回传至EMR系统，纳入患者正式病历。</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④住院流程事件推送接口。实时捕获患者住院关键节点事件，驱动MDT平台自动任务触发。就诊节点事件接口。获取患者在院内关键诊疗节点（如手术、化疗、放疗、检查预约等），用于精准推送健康宣教内容。</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（3）平台运行支持</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①支持调用短信服务接口。支持向患者及医务人员发送验证码、MDT预约提醒、会诊通知、随访提醒等。</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②微信服务号消息推送接口。通过医院官方服务号向用户推送MDT相关服务消息（如会诊安排、报告可查通知）。</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③互联网医院和MDT小程序集成接口。支持患者在互联网医院端发起MDT预约，并自动触发初筛审核流程；调用挂号系统接口完成号源锁定与退号操作；实现单点登录（SSO），用户从互联网医院跳转至MDT小程序时自动登录，无需重复认证。</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④前端入口集成。要求在互联网医院门户及医生工作站界面嵌入MDT服务入口。</w:t>
      </w:r>
      <w:r>
        <w:rPr>
          <w:rFonts w:hint="eastAsia" w:ascii="宋体" w:hAnsi="宋体" w:eastAsia="宋体" w:cs="Times New Roman"/>
          <w:color w:val="000000"/>
          <w:sz w:val="24"/>
          <w:szCs w:val="24"/>
          <w:highlight w:val="none"/>
          <w:lang w:val="en-US" w:eastAsia="zh-CN"/>
        </w:rPr>
        <w:tab/>
      </w:r>
      <w:r>
        <w:rPr>
          <w:rFonts w:hint="eastAsia" w:ascii="宋体" w:hAnsi="宋体" w:eastAsia="宋体" w:cs="Times New Roman"/>
          <w:color w:val="000000"/>
          <w:sz w:val="24"/>
          <w:szCs w:val="24"/>
          <w:highlight w:val="none"/>
          <w:lang w:val="en-US" w:eastAsia="zh-CN"/>
        </w:rPr>
        <w:t xml:space="preserve">互联网医院首页/服务页提供“MDT会诊”跳转按钮。医生工作站菜单栏集成“MDT管理”入口，支持一键发起或查看会诊。实现单点登录（SSO），实现用户从医生APP跳转至MDT小程序时自动登录，无需重复认证。</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⑤CA签名接口。为MDT专家提供会诊签到及报告签署的数字身份认证服务。</w:t>
      </w:r>
      <w:r>
        <w:rPr>
          <w:rFonts w:hint="eastAsia" w:ascii="宋体" w:hAnsi="宋体" w:eastAsia="宋体" w:cs="Times New Roman"/>
          <w:color w:val="000000"/>
          <w:sz w:val="24"/>
          <w:szCs w:val="24"/>
          <w:highlight w:val="none"/>
          <w:lang w:val="en-US" w:eastAsia="zh-CN"/>
        </w:rPr>
        <w:tab/>
      </w:r>
      <w:r>
        <w:rPr>
          <w:rFonts w:hint="eastAsia" w:ascii="宋体" w:hAnsi="宋体" w:eastAsia="宋体" w:cs="Times New Roman"/>
          <w:color w:val="000000"/>
          <w:sz w:val="24"/>
          <w:szCs w:val="24"/>
          <w:highlight w:val="none"/>
          <w:lang w:val="en-US" w:eastAsia="zh-CN"/>
        </w:rPr>
        <w:t xml:space="preserve">会诊开始前专家CA签到（记录时间戳与身份）；会诊报告生成时</w:t>
      </w:r>
      <w:bookmarkStart w:id="59" w:name="二跨院省级平台对接清单"/>
      <w:r>
        <w:rPr>
          <w:rFonts w:hint="eastAsia" w:ascii="宋体" w:hAnsi="宋体" w:eastAsia="宋体" w:cs="Times New Roman"/>
          <w:color w:val="000000"/>
          <w:sz w:val="24"/>
          <w:szCs w:val="24"/>
          <w:highlight w:val="none"/>
          <w:lang w:val="en-US" w:eastAsia="zh-CN"/>
        </w:rPr>
        <w:t xml:space="preserve">进行可靠电子签名，符合《电子签名法》第十四条要求，具备法律效力</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（4）跨院/省级平台对接清单</w:t>
      </w:r>
      <w:r>
        <w:rPr>
          <w:rFonts w:hint="eastAsia" w:ascii="宋体" w:hAnsi="宋体" w:eastAsia="宋体" w:cs="Times New Roman"/>
          <w:color w:val="000000"/>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834"/>
        <w:gridCol w:w="2441"/>
        <w:gridCol w:w="4861"/>
      </w:tblGrid>
      <w:tr>
        <w:trPr>
          <w:tblHeader/>
        </w:trPr>
        <w:tc>
          <w:tcPr>
            <w:tcW w:w="82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序号</w:t>
            </w:r>
            <w:r>
              <w:rPr>
                <w:rFonts w:hint="eastAsia" w:ascii="宋体" w:hAnsi="宋体" w:eastAsia="宋体" w:cs="Times New Roman"/>
                <w:color w:val="000000"/>
                <w:sz w:val="24"/>
                <w:szCs w:val="24"/>
                <w:highlight w:val="none"/>
                <w:lang w:val="en-US" w:eastAsia="zh-CN"/>
              </w:rPr>
            </w:r>
            <w:r/>
          </w:p>
        </w:tc>
        <w:tc>
          <w:tcPr>
            <w:tcW w:w="183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平台/系统</w:t>
            </w:r>
            <w:r>
              <w:rPr>
                <w:rFonts w:hint="eastAsia" w:ascii="宋体" w:hAnsi="宋体" w:eastAsia="宋体" w:cs="Times New Roman"/>
                <w:color w:val="000000"/>
                <w:sz w:val="24"/>
                <w:szCs w:val="24"/>
                <w:highlight w:val="none"/>
                <w:lang w:val="en-US" w:eastAsia="zh-CN"/>
              </w:rPr>
            </w:r>
            <w:r/>
          </w:p>
        </w:tc>
        <w:tc>
          <w:tcPr>
            <w:tcW w:w="244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对接内容</w:t>
            </w:r>
            <w:r>
              <w:rPr>
                <w:rFonts w:hint="eastAsia" w:ascii="宋体" w:hAnsi="宋体" w:eastAsia="宋体" w:cs="Times New Roman"/>
                <w:color w:val="000000"/>
                <w:sz w:val="24"/>
                <w:szCs w:val="24"/>
                <w:highlight w:val="none"/>
                <w:lang w:val="en-US" w:eastAsia="zh-CN"/>
              </w:rPr>
            </w:r>
            <w:r/>
          </w:p>
        </w:tc>
        <w:tc>
          <w:tcPr>
            <w:tcW w:w="486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接口说明</w:t>
            </w:r>
            <w:r>
              <w:rPr>
                <w:rFonts w:hint="eastAsia" w:ascii="宋体" w:hAnsi="宋体" w:eastAsia="宋体" w:cs="Times New Roman"/>
                <w:color w:val="000000"/>
                <w:sz w:val="24"/>
                <w:szCs w:val="24"/>
                <w:highlight w:val="none"/>
                <w:lang w:val="en-US" w:eastAsia="zh-CN"/>
              </w:rPr>
            </w:r>
            <w:r/>
          </w:p>
        </w:tc>
      </w:tr>
      <w:tr>
        <w:trPr/>
        <w:tc>
          <w:tcPr>
            <w:tcW w:w="82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r>
            <w:r/>
          </w:p>
        </w:tc>
        <w:tc>
          <w:tcPr>
            <w:tcW w:w="18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江苏省卫健委云影像平台</w:t>
            </w:r>
            <w:r>
              <w:rPr>
                <w:rFonts w:hint="eastAsia" w:ascii="宋体" w:hAnsi="宋体" w:eastAsia="宋体" w:cs="Times New Roman"/>
                <w:color w:val="000000"/>
                <w:sz w:val="24"/>
                <w:szCs w:val="24"/>
                <w:highlight w:val="none"/>
                <w:lang w:val="en-US" w:eastAsia="zh-CN"/>
              </w:rPr>
            </w:r>
            <w:r/>
          </w:p>
        </w:tc>
        <w:tc>
          <w:tcPr>
            <w:tcW w:w="244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跨院DICOM影像调阅、检查报告共享</w:t>
            </w:r>
            <w:r>
              <w:rPr>
                <w:rFonts w:hint="eastAsia" w:ascii="宋体" w:hAnsi="宋体" w:eastAsia="宋体" w:cs="Times New Roman"/>
                <w:color w:val="000000"/>
                <w:sz w:val="24"/>
                <w:szCs w:val="24"/>
                <w:highlight w:val="none"/>
                <w:lang w:val="en-US" w:eastAsia="zh-CN"/>
              </w:rPr>
            </w:r>
            <w:r/>
          </w:p>
        </w:tc>
        <w:tc>
          <w:tcPr>
            <w:tcW w:w="486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支持调阅患者在省内其他医院的影像检查资料，满足跨院MDT会诊需求</w:t>
            </w:r>
            <w:r>
              <w:rPr>
                <w:rFonts w:hint="eastAsia" w:ascii="宋体" w:hAnsi="宋体" w:eastAsia="宋体" w:cs="Times New Roman"/>
                <w:color w:val="000000"/>
                <w:sz w:val="24"/>
                <w:szCs w:val="24"/>
                <w:highlight w:val="none"/>
                <w:lang w:val="en-US" w:eastAsia="zh-CN"/>
              </w:rPr>
            </w:r>
            <w:r/>
          </w:p>
        </w:tc>
      </w:tr>
      <w:tr>
        <w:trPr/>
        <w:tc>
          <w:tcPr>
            <w:tcW w:w="82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r>
            <w:r/>
          </w:p>
        </w:tc>
        <w:tc>
          <w:tcPr>
            <w:tcW w:w="18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江苏省健康档案平台</w:t>
            </w:r>
            <w:r>
              <w:rPr>
                <w:rFonts w:hint="eastAsia" w:ascii="宋体" w:hAnsi="宋体" w:eastAsia="宋体" w:cs="Times New Roman"/>
                <w:color w:val="000000"/>
                <w:sz w:val="24"/>
                <w:szCs w:val="24"/>
                <w:highlight w:val="none"/>
                <w:lang w:val="en-US" w:eastAsia="zh-CN"/>
              </w:rPr>
            </w:r>
            <w:r/>
          </w:p>
        </w:tc>
        <w:tc>
          <w:tcPr>
            <w:tcW w:w="244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患者健康档案调阅</w:t>
            </w:r>
            <w:r>
              <w:rPr>
                <w:rFonts w:hint="eastAsia" w:ascii="宋体" w:hAnsi="宋体" w:eastAsia="宋体" w:cs="Times New Roman"/>
                <w:color w:val="000000"/>
                <w:sz w:val="24"/>
                <w:szCs w:val="24"/>
                <w:highlight w:val="none"/>
                <w:lang w:val="en-US" w:eastAsia="zh-CN"/>
              </w:rPr>
            </w:r>
            <w:r/>
          </w:p>
        </w:tc>
        <w:tc>
          <w:tcPr>
            <w:tcW w:w="486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支持调阅患者全省范围内的就诊记录、检查检验结果，支撑患者360全息视图</w:t>
            </w:r>
            <w:r>
              <w:rPr>
                <w:rFonts w:hint="eastAsia" w:ascii="宋体" w:hAnsi="宋体" w:eastAsia="宋体" w:cs="Times New Roman"/>
                <w:color w:val="000000"/>
                <w:sz w:val="24"/>
                <w:szCs w:val="24"/>
                <w:highlight w:val="none"/>
                <w:lang w:val="en-US" w:eastAsia="zh-CN"/>
              </w:rPr>
            </w:r>
            <w:r/>
          </w:p>
        </w:tc>
      </w:tr>
      <w:tr>
        <w:trPr/>
        <w:tc>
          <w:tcPr>
            <w:tcW w:w="82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r>
            <w:r/>
          </w:p>
        </w:tc>
        <w:tc>
          <w:tcPr>
            <w:tcW w:w="1834"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患者360全息视图</w:t>
            </w:r>
            <w:r>
              <w:rPr>
                <w:rFonts w:hint="eastAsia" w:ascii="宋体" w:hAnsi="宋体" w:eastAsia="宋体" w:cs="Times New Roman"/>
                <w:color w:val="000000"/>
                <w:sz w:val="24"/>
                <w:szCs w:val="24"/>
                <w:highlight w:val="none"/>
                <w:lang w:val="en-US" w:eastAsia="zh-CN"/>
              </w:rPr>
            </w:r>
            <w:r/>
          </w:p>
        </w:tc>
        <w:tc>
          <w:tcPr>
            <w:tcW w:w="244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患者全景健康档案整合展示</w:t>
            </w:r>
            <w:r>
              <w:rPr>
                <w:rFonts w:hint="eastAsia" w:ascii="宋体" w:hAnsi="宋体" w:eastAsia="宋体" w:cs="Times New Roman"/>
                <w:color w:val="000000"/>
                <w:sz w:val="24"/>
                <w:szCs w:val="24"/>
                <w:highlight w:val="none"/>
                <w:lang w:val="en-US" w:eastAsia="zh-CN"/>
              </w:rPr>
            </w:r>
            <w:r/>
          </w:p>
        </w:tc>
        <w:tc>
          <w:tcPr>
            <w:tcW w:w="4861"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整合院内+跨院数据，提供患者完整诊疗视图</w:t>
            </w:r>
            <w:r>
              <w:rPr>
                <w:rFonts w:hint="eastAsia" w:ascii="宋体" w:hAnsi="宋体" w:eastAsia="宋体" w:cs="Times New Roman"/>
                <w:color w:val="000000"/>
                <w:sz w:val="24"/>
                <w:szCs w:val="24"/>
                <w:highlight w:val="none"/>
                <w:lang w:val="en-US" w:eastAsia="zh-CN"/>
              </w:rPr>
            </w:r>
            <w:r/>
          </w:p>
        </w:tc>
      </w:tr>
    </w:tbl>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bookmarkEnd w:id="59"/>
      <w:r>
        <w:rPr>
          <w:rFonts w:hint="eastAsia" w:ascii="黑体" w:hAnsi="黑体" w:eastAsia="黑体" w:cs="黑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认为需要的其他费用等。</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服务要求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①供应商提供的系统能够根据采购人实际需求与医院各院区所有信息系统、集成</w:t>
      </w:r>
      <w:r>
        <w:rPr>
          <w:rFonts w:hint="eastAsia" w:ascii="宋体" w:hAnsi="宋体" w:eastAsia="宋体" w:cs="Times New Roman"/>
          <w:color w:val="000000"/>
          <w:sz w:val="24"/>
          <w:szCs w:val="24"/>
          <w:highlight w:val="none"/>
          <w:lang w:val="en-US" w:eastAsia="zh-CN"/>
        </w:rPr>
        <w:t xml:space="preserve">平台做对接及集成（对接人：孙工 ；联系电话：025-83106666转60627）。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②本章中所列技术要求为医院项目初步需求，具体需求以国家最新政策标准为准。</w:t>
      </w:r>
      <w:r>
        <w:rPr>
          <w:rFonts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①软件完成部署和调试后，采购人将组织履约验收，以采购人或实际使用人（最终用户）的验收报告为最终验收结果。验收时发现未完成安装部署的、未进行调试的，采购人有权要求投标人立即进行补充。</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软件安装、调试达到技术规范书规定的指标后，可进行验收测试。验收规范（包括计划、项目、指标、方式和测试仪器等）应由投标人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highlight w:val="none"/>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投标人进行修复，终验顺延一个月，在全部达到要求时，双方签署最终验收文件；投标人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（4）运维要求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运维期：供应商应确保本次采购所有项目的安全稳定运行，提供3年运维服务（自验收报告签字确认日起，开始进入运维期，相关费用包含在本次报价中）。运维期内，本合同项目所有技术和服务发生任何非人为故障，由供应商负责系统恢复。</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运维期内，对采购人提出的合理服务要求，供应商必须即时进行电话、邮件及远程网络支持，并在2小时内到场服务，小型故障4小时内恢复，严重故障24小时内恢复，并及时有效提供解决方案。如不到场，采购人有权自行处理，相关费用由供应商负责。</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③供应商须提供定期回访服务，对采购人提出的合理优化建议应提供升级服务。</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④所有的服务方式均为供应商上门保修，即由供应商派员到系统使用现场进行故障恢复，由此产生的一切费用均由供应商承担。</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⑤本采购项目出保后每年的维护费不超过合同总金额的5%。</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⑥运维期内供应商提供的系统软件升级，保证采购人使用最新版本软件。运维期满后软件版本内终身升级。</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①项目经理：1人。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②技术负责人1人。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③开发实施人员：不少于5人，具有信息化工作经验，项目开发期间须2人驻场服务。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④项目组所有人员必须为供应商正式工作人员，不得兼任其他项目工作，未经采购人同意，人员不得更换。 </w:t>
      </w:r>
      <w:r>
        <w:rPr>
          <w:rFonts w:hint="eastAsia" w:ascii="宋体" w:hAnsi="宋体" w:eastAsia="宋体" w:cs="Times New Roman"/>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①采购人拥有本系统包括永久使用权和修改权在内的一切权利；拥有本系统产生的所有数据的所有权。供应商应当在验收后10日内，将本项目产生的需求定制开发的源代码交付采购人。</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④采购人与供应商都拥有本项目定制开发部分的知识产权。交付项应包括但不限于如下内容：</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满足采购人需求的、完整的、可最终良好运行的系统。</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提供项目的最终版本部署包及产品永久授权。</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（7）建设成果要求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①项目启动阶段：项目实施方案。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⑥运行维护阶段：系统维护方案、系统维护手册、系统运行维护记录。</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（8）信创适配要求</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项目涉及的软件、硬件产品满足信创要求。</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（9）网络安全等级保护测评要求</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供应商配合采购人，做好系统通过等保测评相关准备工作。</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（10）网络安全和数据安全要求，外包网络安全管理要求</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符合网络安全和密码应用要求，符合国家安全可靠应用政策规定。</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（11）系统培训要求</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应负责对采购人相关人员（包括但不限于信息科室、项目主管科室等至少5人）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三年内每年上门培训不低于两次，提供软件终身升级服务，费用包含在投标报价中。</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（12）其他要求</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人有权要求中标人在项目实施前现场演示或部署测试环境，验证测试报告中的功能是否真实、可用、达到业务指标。若中标人无法兑现或提供的产品功能与投标文件承诺存在重大不一致，采购人有权依据招标文件相关约定进行处理；如涉嫌提供虚假材料或虚假响应，将依法向有关监管部门报告。</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宋体"/>
          <w:bCs/>
          <w:color w:val="000000"/>
          <w:sz w:val="24"/>
          <w:szCs w:val="24"/>
          <w:highlight w:val="none"/>
        </w:rPr>
        <w:t xml:space="preserve">合同签订后45天内完成系统开发及整体交付验收工作</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rPr>
          <w:rFonts w:hint="eastAsia"/>
          <w:highlight w:val="none"/>
        </w:rPr>
      </w:pPr>
      <w:r>
        <w:rPr>
          <w:rFonts w:hint="eastAsia"/>
          <w:highlight w:val="none"/>
        </w:rPr>
      </w:r>
      <w:r/>
    </w:p>
    <w:p>
      <w:pPr>
        <w:pStyle w:val="95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highlight w:val="none"/>
        </w:rPr>
        <w:br w:type="page" w:clear="all"/>
      </w:r>
      <w:bookmarkStart w:id="60"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u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采用综合评分法，评标结果按评审后得分由高到低顺序排列。得分相同的，按投标报价</w:t>
      </w:r>
      <w:r>
        <w:rPr>
          <w:rFonts w:hint="eastAsia" w:ascii="宋体" w:hAnsi="宋体" w:eastAsia="宋体" w:cs="宋体"/>
          <w:color w:val="000000"/>
          <w:sz w:val="24"/>
          <w:szCs w:val="24"/>
          <w:highlight w:val="none"/>
        </w:rPr>
        <w:t xml:space="preserve">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Times New Roman"/>
          <w:b w:val="0"/>
          <w:bCs w:val="0"/>
          <w:color w:val="000000"/>
          <w:sz w:val="24"/>
          <w:szCs w:val="24"/>
          <w:highlight w:val="none"/>
          <w:u w:val="none"/>
          <w:lang w:val="en-US"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zh-CN"/>
        </w:rPr>
        <w:t xml:space="preserve">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951"/>
              <w:ind w:left="0"/>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color w:val="000000"/>
                <w:sz w:val="21"/>
                <w:szCs w:val="21"/>
                <w:highlight w:val="none"/>
              </w:rPr>
            </w:pPr>
            <w:r>
              <w:rPr>
                <w:rFonts w:hint="eastAsia" w:ascii="宋体" w:hAnsi="宋体" w:eastAsia="宋体" w:cs="宋体"/>
                <w:color w:val="000000"/>
                <w:sz w:val="21"/>
                <w:szCs w:val="21"/>
                <w:highlight w:val="none"/>
                <w:lang w:val="en-US" w:eastAsia="zh-CN"/>
              </w:rPr>
              <w:t xml:space="preserve">产品技术参数全部满足招标要求的得满分，打★指标为必须满足项，如有负偏离将作为无效投标，打▲指标（9项）为重要指标，有1项负偏离扣1.5分，其余指标有1项负偏离扣0.05分。</w:t>
            </w:r>
            <w:r>
              <w:rPr>
                <w:color w:val="000000"/>
                <w:sz w:val="21"/>
                <w:szCs w:val="21"/>
                <w:highlight w:val="none"/>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2.2</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AI功能视频演示</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评委根据投标人提供的演示视频（总演示时间不超</w:t>
            </w:r>
            <w:r>
              <w:rPr>
                <w:rFonts w:hint="eastAsia" w:ascii="宋体" w:hAnsi="宋体" w:eastAsia="宋体" w:cs="宋体"/>
                <w:color w:val="000000"/>
                <w:sz w:val="21"/>
                <w:szCs w:val="21"/>
                <w:highlight w:val="none"/>
                <w:lang w:val="en-US" w:eastAsia="zh-CN"/>
              </w:rPr>
              <w:t xml:space="preserve">过15分</w:t>
            </w:r>
            <w:r>
              <w:rPr>
                <w:rFonts w:hint="eastAsia" w:ascii="Times New Roman" w:hAnsi="Times New Roman" w:eastAsia="宋体" w:cs="Times New Roman"/>
                <w:color w:val="000000"/>
                <w:sz w:val="21"/>
                <w:szCs w:val="21"/>
                <w:highlight w:val="none"/>
                <w:lang w:val="en-US" w:eastAsia="zh-CN"/>
              </w:rPr>
              <w:t xml:space="preserve">钟）综合评分。演示视频包括以下内容： </w:t>
            </w:r>
            <w:r>
              <w:rPr>
                <w:rFonts w:hint="eastAsia" w:ascii="Times New Roman" w:hAnsi="Times New Roman" w:eastAsia="宋体" w:cs="Times New Roman"/>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预问诊模板管理：支持用户按照病种建立预问诊模板，支持为预问诊模板添加预问诊问题，支持设置预问诊问题是否必填，支持以拖动的形式调整预问诊问题的顺序。支持根据病种由AI大模型自动生成预问诊问卷问题（AI支持生成的问题类型需要包括但不限于选择题、填空题），并自动填充到预问诊问卷，支持医生对AI生成的问卷进行审核与编辑。系统界面或运行日志需要能够显示Al大模型调用及思考处理过程。</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图文病历AI整合：支持AI在2分钟内自动整合分析病历信息，按照PPT模板配置的内容项生成主诉、现病史、既往史、病理检查、医学图像检查等诊疗信息，以时间轴的形式展示患者的现病史、病理检查、医学图像检查信息，以折线图的形式展示实验室指标信息，支持展示图片格式的影像文件。支持AI信息提取的精准溯源，医生点击生成的文本可查看原始门诊病历、影像报告或PDF。支持医生对AI生成的内容进行审核与编辑。系统界面或运行日志需要能够显示Al大模型调用及思考处理过程。</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专家意见AI整合报告：基于ASR技术转录的专家发言，利用AI大模型进行智能总结和要点提炼，自动生成合规、标准的MDT发言讨论报告。支持医生对AI生成的内容进行审核与编辑。系统界面或运行日志需要能够显示Al大模型调用及思考处理过程。</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4.AI疗效评估：以 MDT 方案为蓝本，用 AI 自动完成「计划解析 → 执行采集 → 偏差分析 → 量化评分」全链路，让治疗履约从主观判断走向可量化、可复核、可追溯的智能化管理。支持医生对AI生成的内容进行审核与编辑。系统界面或运行日志需要能够显示Al大模型调用及思考处理过程。</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患者随访AI智能分组：支持基于患者的病案首页、出院记录、门诊病历、手术记录等文书资料，利用AI大模型对入池患者自动进行风险层级评估，给出初始随访分组建议（如高/中/低风险）及AI置信度。系统支持展示AI判断的文书依据，医生可对分组建议进行一键确认、手动调整或填写原因驳回。支持设置自动确认的置信度阈值，实现随访患者的智能化、自动化分层入组。系统界面或运行日志需要能够显示Al大模型调用及思考处理过程。</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随访问卷及策略：支持基于“病种+随访分组（风险等级）”等条件，匹配相应的随访策略。AI自动生成的问卷需包含单选、多选、填空等多种题型。系统界面或运行日志需要能够显示Al大模型调用及思考处理过程。</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7.随</w:t>
            </w:r>
            <w:r>
              <w:rPr>
                <w:rFonts w:hint="eastAsia" w:ascii="宋体" w:hAnsi="宋体" w:eastAsia="宋体" w:cs="宋体"/>
                <w:color w:val="000000"/>
                <w:sz w:val="21"/>
                <w:szCs w:val="21"/>
                <w:highlight w:val="none"/>
                <w:lang w:val="en-US" w:eastAsia="zh-CN"/>
              </w:rPr>
              <w:t xml:space="preserve">访结果AI动态分析与高危预警：支持在患者提交随访问卷后，系统利用AI大模型以及知识库自动对比该患者的历史随访记录，提炼病情变化点与潜在风险点。AI自动生成“医生版（包含专业临床判断）”与“患者版（通俗易懂）”双版本随访总结报告。支持AI根据本次问卷评估结果给出再分组建议（保持、下调或上调风险等级），当AI判断病情可能恶化或指标异常时，自动触发高危预警并推送到医生工作台待办，辅助医生及时介入并调整后续随访计划。支持医生对AI生成的内容进行审核与编辑。系统界面或运行日志需要能够显示Al大模型调用及思考处理过程。</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常见问题自动回复：在留言板中系统针对患者提出的文字问题，根据常见问题库进行匹配后，在小程序上自动回复患者，若患者提出的问题超出了常见问题库的范围则系统向留言板中的医护人员发送消息提示，需要医护人员处理，并生成待办事项。系统界面或运行日志需要能够显示Al大模型调用及思考处理过程。 </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采用类似真实系统演示，每小项功能完整准确演示</w:t>
            </w:r>
            <w:r>
              <w:rPr>
                <w:rFonts w:hint="eastAsia" w:ascii="宋体" w:hAnsi="宋体" w:eastAsia="宋体" w:cs="宋体"/>
                <w:color w:val="000000"/>
                <w:sz w:val="21"/>
                <w:szCs w:val="21"/>
                <w:highlight w:val="none"/>
                <w:lang w:val="en-US" w:eastAsia="zh-CN"/>
              </w:rPr>
              <w:t xml:space="preserve">得1.5分</w:t>
            </w:r>
            <w:r>
              <w:rPr>
                <w:rFonts w:hint="eastAsia" w:ascii="Times New Roman" w:hAnsi="Times New Roman" w:eastAsia="宋体" w:cs="Times New Roman"/>
                <w:color w:val="000000"/>
                <w:sz w:val="21"/>
                <w:szCs w:val="21"/>
                <w:highlight w:val="none"/>
                <w:lang w:val="en-US" w:eastAsia="zh-CN"/>
              </w:rPr>
              <w:t xml:space="preserve">，最多</w:t>
            </w:r>
            <w:r>
              <w:rPr>
                <w:rFonts w:hint="eastAsia" w:ascii="宋体" w:hAnsi="宋体" w:eastAsia="宋体" w:cs="宋体"/>
                <w:color w:val="000000"/>
                <w:sz w:val="21"/>
                <w:szCs w:val="21"/>
                <w:highlight w:val="none"/>
                <w:lang w:val="en-US" w:eastAsia="zh-CN"/>
              </w:rPr>
              <w:t xml:space="preserve">得12分</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采用系统原型（</w:t>
            </w:r>
            <w:r>
              <w:rPr>
                <w:rFonts w:ascii="Times New Roman" w:hAnsi="Times New Roman" w:eastAsia="宋体" w:cs="Times New Roman"/>
                <w:color w:val="000000"/>
                <w:sz w:val="21"/>
                <w:szCs w:val="21"/>
                <w:highlight w:val="none"/>
                <w:lang w:val="en-US" w:eastAsia="zh-CN"/>
              </w:rPr>
              <w:t xml:space="preserve">DEMO</w:t>
            </w:r>
            <w:r>
              <w:rPr>
                <w:rFonts w:hint="eastAsia" w:ascii="Times New Roman" w:hAnsi="Times New Roman" w:eastAsia="宋体" w:cs="Times New Roman"/>
                <w:color w:val="000000"/>
                <w:sz w:val="21"/>
                <w:szCs w:val="21"/>
                <w:highlight w:val="none"/>
                <w:lang w:val="en-US" w:eastAsia="zh-CN"/>
              </w:rPr>
              <w:t xml:space="preserve">）演示，每小项功能完整准确演示</w:t>
            </w:r>
            <w:r>
              <w:rPr>
                <w:rFonts w:hint="eastAsia" w:ascii="宋体" w:hAnsi="宋体" w:eastAsia="宋体" w:cs="宋体"/>
                <w:color w:val="000000"/>
                <w:sz w:val="21"/>
                <w:szCs w:val="21"/>
                <w:highlight w:val="none"/>
                <w:lang w:val="en-US" w:eastAsia="zh-CN"/>
              </w:rPr>
              <w:t xml:space="preserve">得1分</w:t>
            </w:r>
            <w:r>
              <w:rPr>
                <w:rFonts w:hint="eastAsia" w:ascii="Times New Roman" w:hAnsi="Times New Roman" w:eastAsia="宋体" w:cs="Times New Roman"/>
                <w:color w:val="000000"/>
                <w:sz w:val="21"/>
                <w:szCs w:val="21"/>
                <w:highlight w:val="none"/>
                <w:lang w:val="en-US" w:eastAsia="zh-CN"/>
              </w:rPr>
              <w:t xml:space="preserve">，最多</w:t>
            </w:r>
            <w:r>
              <w:rPr>
                <w:rFonts w:hint="eastAsia" w:ascii="宋体" w:hAnsi="宋体" w:eastAsia="宋体" w:cs="宋体"/>
                <w:color w:val="000000"/>
                <w:sz w:val="21"/>
                <w:szCs w:val="21"/>
                <w:highlight w:val="none"/>
                <w:lang w:val="en-US" w:eastAsia="zh-CN"/>
              </w:rPr>
              <w:t xml:space="preserve">得8分</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采用PPT等方式演示，每小项功能完整准确演示得0.5分，最多得4分。 </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color w:val="000000"/>
                <w:sz w:val="21"/>
                <w:szCs w:val="21"/>
                <w:highlight w:val="none"/>
                <w:lang w:val="zh-CN" w:eastAsia="zh-CN"/>
              </w:rPr>
            </w:pPr>
            <w:r>
              <w:rPr>
                <w:rFonts w:hint="eastAsia" w:ascii="Times New Roman" w:hAnsi="Times New Roman" w:eastAsia="宋体" w:cs="Times New Roman"/>
                <w:color w:val="000000"/>
                <w:sz w:val="21"/>
                <w:szCs w:val="21"/>
                <w:highlight w:val="none"/>
                <w:lang w:val="en-US" w:eastAsia="zh-CN"/>
              </w:rPr>
              <w:t xml:space="preserve">（未提供视频文件或因投标人自身原因视频文件无法打开或视频画面不清晰无法辨认的不得分。）</w:t>
            </w:r>
            <w:r>
              <w:rPr>
                <w:color w:val="000000"/>
                <w:sz w:val="21"/>
                <w:szCs w:val="21"/>
                <w:highlight w:val="none"/>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889"/>
        </w:trPr>
        <w:tc>
          <w:tcPr>
            <w:tcW w:w="519" w:type="dxa"/>
            <w:vAlign w:val="center"/>
            <w:textDirection w:val="lrTb"/>
            <w:noWrap w:val="false"/>
          </w:tcPr>
          <w:p>
            <w:pPr>
              <w:pStyle w:val="873"/>
              <w:jc w:val="center"/>
              <w:spacing w:before="68" w:line="264" w:lineRule="auto"/>
              <w:rPr>
                <w:rFonts w:hint="eastAsia" w:ascii="宋体" w:hAnsi="宋体" w:cs="宋体"/>
                <w:color w:val="000000"/>
                <w:spacing w:val="-2"/>
                <w:sz w:val="21"/>
                <w:szCs w:val="21"/>
                <w:lang w:val="en-US" w:eastAsia="zh-CN" w:bidi="ar-SA"/>
              </w:rPr>
            </w:pPr>
            <w:r>
              <w:rPr>
                <w:rFonts w:hint="eastAsia" w:ascii="宋体" w:hAnsi="宋体" w:cs="宋体"/>
                <w:color w:val="000000"/>
                <w:spacing w:val="-2"/>
              </w:rPr>
              <w:t xml:space="preserve">2</w:t>
            </w:r>
            <w:r>
              <w:rPr>
                <w:rFonts w:ascii="宋体" w:hAnsi="宋体" w:cs="宋体"/>
                <w:color w:val="000000"/>
                <w:spacing w:val="-2"/>
              </w:rPr>
              <w:t xml:space="preserve">.3</w:t>
            </w:r>
            <w:r>
              <w:rPr>
                <w:rFonts w:hint="eastAsia" w:ascii="宋体" w:hAnsi="宋体" w:cs="宋体"/>
                <w:color w:val="000000"/>
                <w:spacing w:val="-2"/>
                <w:sz w:val="21"/>
                <w:szCs w:val="21"/>
                <w:lang w:val="en-US" w:eastAsia="zh-CN" w:bidi="ar-SA"/>
              </w:rPr>
            </w:r>
            <w:r/>
          </w:p>
        </w:tc>
        <w:tc>
          <w:tcPr>
            <w:tcW w:w="1179" w:type="dxa"/>
            <w:vAlign w:val="center"/>
            <w:textDirection w:val="lrTb"/>
            <w:noWrap w:val="false"/>
          </w:tcPr>
          <w:p>
            <w:pPr>
              <w:pStyle w:val="873"/>
              <w:spacing w:line="264" w:lineRule="auto"/>
              <w:rPr>
                <w:rFonts w:hint="eastAsia" w:ascii="Times New Roman" w:hAnsi="Times New Roman"/>
                <w:color w:val="000000"/>
                <w:sz w:val="21"/>
                <w:szCs w:val="21"/>
                <w:lang w:val="en-US" w:eastAsia="zh-CN" w:bidi="ar-SA"/>
              </w:rPr>
            </w:pPr>
            <w:r>
              <w:rPr>
                <w:rFonts w:hint="eastAsia"/>
                <w:color w:val="000000"/>
              </w:rPr>
              <w:t xml:space="preserve">平台一体化架构能力</w:t>
            </w:r>
            <w:r>
              <w:rPr>
                <w:rFonts w:hint="eastAsia" w:ascii="Times New Roman" w:hAnsi="Times New Roman"/>
                <w:color w:val="000000"/>
                <w:sz w:val="21"/>
                <w:szCs w:val="21"/>
                <w:lang w:val="en-US" w:eastAsia="zh-CN" w:bidi="ar-SA"/>
              </w:rPr>
            </w:r>
            <w:r/>
          </w:p>
        </w:tc>
        <w:tc>
          <w:tcPr>
            <w:tcW w:w="6330" w:type="dxa"/>
            <w:vAlign w:val="center"/>
            <w:textDirection w:val="lrTb"/>
            <w:noWrap w:val="false"/>
          </w:tcPr>
          <w:p>
            <w:pPr>
              <w:pStyle w:val="952"/>
              <w:ind w:left="0"/>
              <w:spacing w:line="264" w:lineRule="auto"/>
              <w:rPr>
                <w:rFonts w:hint="eastAsia"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根据本项目采购需求及相关要求编制方案，内容包含：</w:t>
            </w:r>
            <w:r>
              <w:rPr>
                <w:rFonts w:hint="eastAsia" w:cs="宋体"/>
                <w:color w:val="000000"/>
                <w:sz w:val="21"/>
                <w:szCs w:val="21"/>
                <w:highlight w:val="none"/>
                <w:lang w:val="en-US" w:eastAsia="zh-CN" w:bidi="ar-SA"/>
              </w:rPr>
            </w:r>
            <w:r/>
          </w:p>
          <w:p>
            <w:pPr>
              <w:pStyle w:val="952"/>
              <w:numPr>
                <w:ilvl w:val="0"/>
                <w:numId w:val="5"/>
              </w:numPr>
              <w:ind w:left="0"/>
              <w:spacing w:line="264" w:lineRule="auto"/>
              <w:tabs>
                <w:tab w:val="left" w:pos="312" w:leader="none"/>
              </w:tabs>
              <w:rPr>
                <w:rFonts w:hint="eastAsia"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平台一体化架构能力（提供平台一体化架构能力说明，体现平台采用统一软件架构，相关业务模块基于统一平台建设，具备统一用户体系、统一数据标准、统一业务流程、统一访问入口、统一权限管理等能力）；</w:t>
            </w:r>
            <w:r>
              <w:rPr>
                <w:rFonts w:hint="eastAsia" w:cs="宋体"/>
                <w:color w:val="000000"/>
                <w:sz w:val="21"/>
                <w:szCs w:val="21"/>
                <w:highlight w:val="none"/>
                <w:lang w:val="en-US" w:eastAsia="zh-CN" w:bidi="ar-SA"/>
              </w:rPr>
            </w:r>
            <w:r/>
          </w:p>
          <w:p>
            <w:pPr>
              <w:pStyle w:val="952"/>
              <w:numPr>
                <w:ilvl w:val="0"/>
                <w:numId w:val="5"/>
              </w:numPr>
              <w:ind w:left="0"/>
              <w:spacing w:line="264" w:lineRule="auto"/>
              <w:tabs>
                <w:tab w:val="left" w:pos="312" w:leader="none"/>
              </w:tabs>
              <w:rPr>
                <w:rFonts w:hint="eastAsia"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平台业务协同及数据贯通能力（提供平台业务协同能力说明，体现平台核心业务模块之间的数据关联和流程协同能力，支持MDT预问诊、MDT会诊管理、AI病历整合、随访管理、康复管理等业务应用）。以上每项内容逐项评分：</w:t>
            </w:r>
            <w:r>
              <w:rPr>
                <w:rFonts w:hint="eastAsia" w:cs="宋体"/>
                <w:color w:val="000000"/>
                <w:sz w:val="21"/>
                <w:szCs w:val="21"/>
                <w:highlight w:val="none"/>
                <w:lang w:val="en-US" w:eastAsia="zh-CN" w:bidi="ar-SA"/>
              </w:rPr>
            </w:r>
            <w:r/>
          </w:p>
          <w:p>
            <w:pPr>
              <w:pStyle w:val="952"/>
              <w:ind w:left="0"/>
              <w:spacing w:line="264" w:lineRule="auto"/>
              <w:rPr>
                <w:rFonts w:hint="eastAsia" w:cs="宋体"/>
                <w:color w:val="000000"/>
                <w:sz w:val="21"/>
                <w:szCs w:val="21"/>
                <w:highlight w:val="none"/>
                <w:lang w:val="en-US" w:eastAsia="zh-CN" w:bidi="ar-SA"/>
              </w:rPr>
            </w:pPr>
            <w:r/>
            <w:bookmarkStart w:id="61" w:name="OLE_LINK1"/>
            <w:r>
              <w:rPr>
                <w:rFonts w:hint="eastAsia" w:cs="宋体"/>
                <w:color w:val="000000"/>
                <w:sz w:val="21"/>
                <w:szCs w:val="21"/>
                <w:highlight w:val="none"/>
                <w:lang w:val="en-US" w:eastAsia="zh-CN" w:bidi="ar-SA"/>
              </w:rPr>
              <w:t xml:space="preserve">方案内容完整、</w:t>
            </w:r>
            <w:bookmarkEnd w:id="61"/>
            <w:r>
              <w:rPr>
                <w:rFonts w:hint="eastAsia" w:cs="宋体"/>
                <w:color w:val="000000"/>
                <w:sz w:val="21"/>
                <w:szCs w:val="21"/>
                <w:highlight w:val="none"/>
                <w:lang w:val="en-US" w:eastAsia="zh-CN" w:bidi="ar-SA"/>
              </w:rPr>
              <w:t xml:space="preserve">专门针对本项目，契合采购需求视为符合；方案内容属于通用类，非专门针对本项目，部分契合采购需求视为部分符合；方案内容非专门针对本项目，脱离采购需求视为不符合。</w:t>
            </w:r>
            <w:r>
              <w:rPr>
                <w:rFonts w:hint="eastAsia" w:cs="宋体"/>
                <w:color w:val="000000"/>
                <w:sz w:val="21"/>
                <w:szCs w:val="21"/>
                <w:highlight w:val="none"/>
                <w:lang w:val="en-US" w:eastAsia="zh-CN" w:bidi="ar-SA"/>
              </w:rPr>
            </w:r>
            <w:r/>
          </w:p>
          <w:p>
            <w:pPr>
              <w:pStyle w:val="952"/>
              <w:ind w:left="0"/>
              <w:spacing w:line="264" w:lineRule="auto"/>
              <w:rPr>
                <w:rFonts w:hint="eastAsia"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上述每项内容符合得4分；部分符合得2分；不符合或不提供不得分。</w:t>
            </w:r>
            <w:r>
              <w:rPr>
                <w:rFonts w:hint="eastAsia" w:cs="宋体"/>
                <w:color w:val="000000"/>
                <w:sz w:val="21"/>
                <w:szCs w:val="21"/>
                <w:highlight w:val="none"/>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color w:val="000000"/>
                <w:sz w:val="21"/>
                <w:szCs w:val="21"/>
                <w:lang w:val="en-US" w:eastAsia="zh-CN" w:bidi="ar-SA"/>
              </w:rPr>
            </w:pPr>
            <w:r>
              <w:rPr>
                <w:rFonts w:hint="eastAsia" w:ascii="宋体" w:hAnsi="宋体" w:cs="宋体"/>
                <w:color w:val="000000"/>
              </w:rPr>
              <w:t xml:space="preserve">8</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color w:val="000000"/>
                <w:sz w:val="21"/>
                <w:szCs w:val="21"/>
                <w:lang w:val="en-US" w:eastAsia="zh-CN" w:bidi="ar-SA"/>
              </w:rPr>
            </w:pPr>
            <w:r>
              <w:rPr>
                <w:rFonts w:hint="eastAsia" w:ascii="宋体" w:hAnsi="宋体" w:cs="宋体"/>
                <w:color w:val="000000"/>
                <w:spacing w:val="-4"/>
              </w:rPr>
              <w:t xml:space="preserve">主观分</w:t>
            </w:r>
            <w:r>
              <w:rPr>
                <w:rFonts w:hint="eastAsia" w:ascii="宋体" w:hAnsi="宋体" w:cs="宋体"/>
                <w:color w:val="000000"/>
                <w:sz w:val="21"/>
                <w:szCs w:val="21"/>
                <w:lang w:val="en-US" w:eastAsia="zh-CN" w:bidi="ar-SA"/>
              </w:rPr>
            </w:r>
            <w:r/>
          </w:p>
        </w:tc>
      </w:tr>
      <w:tr>
        <w:trPr>
          <w:trHeight w:val="889"/>
        </w:trPr>
        <w:tc>
          <w:tcPr>
            <w:tcW w:w="519" w:type="dxa"/>
            <w:vAlign w:val="center"/>
            <w:textDirection w:val="lrTb"/>
            <w:noWrap w:val="false"/>
          </w:tcPr>
          <w:p>
            <w:pPr>
              <w:pStyle w:val="873"/>
              <w:jc w:val="center"/>
              <w:spacing w:before="68" w:line="264" w:lineRule="auto"/>
              <w:rPr>
                <w:rFonts w:hint="eastAsia" w:ascii="宋体" w:hAnsi="宋体" w:cs="宋体"/>
                <w:color w:val="000000"/>
                <w:spacing w:val="-2"/>
                <w:sz w:val="21"/>
                <w:szCs w:val="21"/>
                <w:lang w:val="en-US" w:eastAsia="zh-CN" w:bidi="ar-SA"/>
              </w:rPr>
            </w:pPr>
            <w:r>
              <w:rPr>
                <w:rFonts w:hint="eastAsia" w:ascii="宋体" w:hAnsi="宋体" w:cs="宋体"/>
                <w:color w:val="000000"/>
                <w:spacing w:val="-2"/>
              </w:rPr>
              <w:t xml:space="preserve">2</w:t>
            </w:r>
            <w:r>
              <w:rPr>
                <w:rFonts w:ascii="宋体" w:hAnsi="宋体" w:cs="宋体"/>
                <w:color w:val="000000"/>
                <w:spacing w:val="-2"/>
              </w:rPr>
              <w:t xml:space="preserve">.4</w:t>
            </w:r>
            <w:r>
              <w:rPr>
                <w:rFonts w:hint="eastAsia" w:ascii="宋体" w:hAnsi="宋体" w:cs="宋体"/>
                <w:color w:val="000000"/>
                <w:spacing w:val="-2"/>
                <w:sz w:val="21"/>
                <w:szCs w:val="21"/>
                <w:lang w:val="en-US" w:eastAsia="zh-CN" w:bidi="ar-SA"/>
              </w:rPr>
            </w:r>
            <w:r/>
          </w:p>
        </w:tc>
        <w:tc>
          <w:tcPr>
            <w:tcW w:w="1179" w:type="dxa"/>
            <w:vAlign w:val="center"/>
            <w:textDirection w:val="lrTb"/>
            <w:noWrap w:val="false"/>
          </w:tcPr>
          <w:p>
            <w:pPr>
              <w:pStyle w:val="873"/>
              <w:rPr>
                <w:rFonts w:hint="eastAsia" w:ascii="Times New Roman" w:hAnsi="Times New Roman"/>
                <w:color w:val="000000"/>
                <w:sz w:val="21"/>
                <w:szCs w:val="21"/>
                <w:lang w:val="en-US" w:eastAsia="zh-CN" w:bidi="ar-SA"/>
              </w:rPr>
            </w:pPr>
            <w:r>
              <w:rPr>
                <w:rFonts w:hint="eastAsia"/>
                <w:color w:val="000000"/>
              </w:rPr>
              <w:t xml:space="preserve">总体技术方案</w:t>
            </w:r>
            <w:r>
              <w:rPr>
                <w:rFonts w:hint="eastAsia" w:ascii="Times New Roman" w:hAnsi="Times New Roman"/>
                <w:color w:val="000000"/>
                <w:sz w:val="21"/>
                <w:szCs w:val="21"/>
                <w:lang w:val="en-US" w:eastAsia="zh-CN" w:bidi="ar-SA"/>
              </w:rPr>
            </w:r>
            <w:r/>
          </w:p>
        </w:tc>
        <w:tc>
          <w:tcPr>
            <w:tcW w:w="6330" w:type="dxa"/>
            <w:vAlign w:val="center"/>
            <w:textDirection w:val="lrTb"/>
            <w:noWrap w:val="false"/>
          </w:tcPr>
          <w:p>
            <w:pPr>
              <w:pStyle w:val="952"/>
              <w:ind w:left="0"/>
              <w:spacing w:line="264" w:lineRule="auto"/>
              <w:rPr>
                <w:rFonts w:hint="eastAsia"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根据本项目采购需求及相关要求编制方案，内容包含：</w:t>
            </w:r>
            <w:r>
              <w:rPr>
                <w:rFonts w:hint="eastAsia" w:cs="宋体"/>
                <w:color w:val="000000"/>
                <w:sz w:val="21"/>
                <w:szCs w:val="21"/>
                <w:highlight w:val="none"/>
                <w:lang w:val="en-US" w:eastAsia="zh-CN" w:bidi="ar-SA"/>
              </w:rPr>
            </w:r>
            <w:r/>
          </w:p>
          <w:p>
            <w:pPr>
              <w:pStyle w:val="952"/>
              <w:numPr>
                <w:ilvl w:val="0"/>
                <w:numId w:val="6"/>
              </w:numPr>
              <w:ind w:left="0"/>
              <w:spacing w:line="264" w:lineRule="auto"/>
              <w:tabs>
                <w:tab w:val="left" w:pos="312" w:leader="none"/>
              </w:tabs>
              <w:rPr>
                <w:rFonts w:hint="eastAsia"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项目需求理解及建设思路（投标人提供项目需求分析及建设思路，能够结合医院MDT业务特点，明确平台建设目标、应用场景及整体实施方向）；</w:t>
            </w:r>
            <w:r>
              <w:rPr>
                <w:rFonts w:hint="eastAsia" w:cs="宋体"/>
                <w:color w:val="000000"/>
                <w:sz w:val="21"/>
                <w:szCs w:val="21"/>
                <w:highlight w:val="none"/>
                <w:lang w:val="en-US" w:eastAsia="zh-CN" w:bidi="ar-SA"/>
              </w:rPr>
            </w:r>
            <w:r/>
          </w:p>
          <w:p>
            <w:pPr>
              <w:pStyle w:val="952"/>
              <w:numPr>
                <w:ilvl w:val="0"/>
                <w:numId w:val="6"/>
              </w:numPr>
              <w:ind w:left="0"/>
              <w:spacing w:line="264" w:lineRule="auto"/>
              <w:tabs>
                <w:tab w:val="left" w:pos="312" w:leader="none"/>
              </w:tabs>
              <w:rPr>
                <w:rFonts w:hint="eastAsia"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AI赋能MDT业务应用设计（投标人提供AI应用设计方案，围绕MDT诊前、诊中、诊后全过程，说明AI在预问诊、病历整合、专家发言、疗效评估、随访管理、患者咨询回复、康复干预等场景中的应用方式）；</w:t>
            </w:r>
            <w:r>
              <w:rPr>
                <w:rFonts w:hint="eastAsia" w:cs="宋体"/>
                <w:color w:val="000000"/>
                <w:sz w:val="21"/>
                <w:szCs w:val="21"/>
                <w:highlight w:val="none"/>
                <w:lang w:val="en-US" w:eastAsia="zh-CN" w:bidi="ar-SA"/>
              </w:rPr>
            </w:r>
            <w:r/>
          </w:p>
          <w:p>
            <w:pPr>
              <w:pStyle w:val="952"/>
              <w:numPr>
                <w:ilvl w:val="0"/>
                <w:numId w:val="6"/>
              </w:numPr>
              <w:ind w:left="0"/>
              <w:spacing w:line="264" w:lineRule="auto"/>
              <w:tabs>
                <w:tab w:val="left" w:pos="312" w:leader="none"/>
              </w:tabs>
              <w:rPr>
                <w:rFonts w:hint="eastAsia"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系统总体设计及实施方案（投标人提供系统总体设计方案，说明系统建设内容、功能模块规划、应用部署方式及实施路径，方案具备合理性和可实施性）；</w:t>
            </w:r>
            <w:r>
              <w:rPr>
                <w:rFonts w:hint="eastAsia" w:cs="宋体"/>
                <w:color w:val="000000"/>
                <w:sz w:val="21"/>
                <w:szCs w:val="21"/>
                <w:highlight w:val="none"/>
                <w:lang w:val="en-US" w:eastAsia="zh-CN" w:bidi="ar-SA"/>
              </w:rPr>
            </w:r>
            <w:r/>
          </w:p>
          <w:p>
            <w:pPr>
              <w:pStyle w:val="952"/>
              <w:numPr>
                <w:ilvl w:val="0"/>
                <w:numId w:val="6"/>
              </w:numPr>
              <w:ind w:left="0"/>
              <w:spacing w:line="264" w:lineRule="auto"/>
              <w:tabs>
                <w:tab w:val="left" w:pos="312" w:leader="none"/>
              </w:tabs>
              <w:rPr>
                <w:rFonts w:hint="eastAsia"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数据交互、安全及保障设计（投标人提供数据交互、安全及保障方案，说明医疗数据交互、安全管理、用户权限及项目实施保障措施）。以上每项内容逐项评分：</w:t>
            </w:r>
            <w:r>
              <w:rPr>
                <w:rFonts w:hint="eastAsia" w:cs="宋体"/>
                <w:color w:val="000000"/>
                <w:sz w:val="21"/>
                <w:szCs w:val="21"/>
                <w:highlight w:val="none"/>
                <w:lang w:val="en-US" w:eastAsia="zh-CN" w:bidi="ar-SA"/>
              </w:rPr>
            </w:r>
            <w:r/>
          </w:p>
          <w:p>
            <w:pPr>
              <w:pStyle w:val="952"/>
              <w:ind w:left="0"/>
              <w:spacing w:line="264" w:lineRule="auto"/>
              <w:rPr>
                <w:rFonts w:hint="eastAsia"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方案内容完整、专门针对本项目，契合采购需求视为符合；方案内容属于通用类，非专门针对本项目，部分契合采购需求视为部分符合；方案内容非专门针对本项目，脱离采购需求视为不符合。</w:t>
            </w:r>
            <w:r>
              <w:rPr>
                <w:rFonts w:hint="eastAsia" w:cs="宋体"/>
                <w:color w:val="000000"/>
                <w:sz w:val="21"/>
                <w:szCs w:val="21"/>
                <w:highlight w:val="none"/>
                <w:lang w:val="en-US" w:eastAsia="zh-CN" w:bidi="ar-SA"/>
              </w:rPr>
            </w:r>
            <w:r/>
          </w:p>
          <w:p>
            <w:pPr>
              <w:pStyle w:val="952"/>
              <w:ind w:left="0"/>
              <w:spacing w:line="264" w:lineRule="auto"/>
              <w:rPr>
                <w:rFonts w:hint="eastAsia"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上述每项内容符合得2分；部分符合得1分；不符合或不提供不得分。</w:t>
            </w:r>
            <w:r>
              <w:rPr>
                <w:rFonts w:hint="eastAsia" w:cs="宋体"/>
                <w:color w:val="000000"/>
                <w:sz w:val="21"/>
                <w:szCs w:val="21"/>
                <w:highlight w:val="none"/>
                <w:lang w:val="en-US" w:eastAsia="zh-CN" w:bidi="ar-SA"/>
              </w:rPr>
            </w:r>
            <w:r/>
          </w:p>
        </w:tc>
        <w:tc>
          <w:tcPr>
            <w:tcW w:w="647" w:type="dxa"/>
            <w:vAlign w:val="center"/>
            <w:textDirection w:val="lrTb"/>
            <w:noWrap w:val="false"/>
          </w:tcPr>
          <w:p>
            <w:pPr>
              <w:pStyle w:val="873"/>
              <w:jc w:val="center"/>
              <w:spacing w:before="68" w:line="264" w:lineRule="auto"/>
              <w:rPr>
                <w:rFonts w:hint="eastAsia" w:ascii="宋体" w:hAnsi="宋体" w:cs="宋体"/>
                <w:color w:val="000000"/>
                <w:sz w:val="21"/>
                <w:szCs w:val="21"/>
                <w:lang w:val="en-US" w:eastAsia="zh-CN" w:bidi="ar-SA"/>
              </w:rPr>
            </w:pPr>
            <w:r>
              <w:rPr>
                <w:rFonts w:hint="eastAsia" w:ascii="宋体" w:hAnsi="宋体" w:cs="宋体"/>
                <w:color w:val="000000"/>
              </w:rPr>
              <w:t xml:space="preserve">8</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3"/>
              <w:jc w:val="center"/>
              <w:spacing w:before="68" w:line="264" w:lineRule="auto"/>
              <w:rPr>
                <w:rFonts w:hint="eastAsia" w:ascii="宋体" w:hAnsi="宋体" w:cs="宋体"/>
                <w:color w:val="000000"/>
                <w:sz w:val="21"/>
                <w:szCs w:val="21"/>
                <w:lang w:val="en-US" w:eastAsia="zh-CN" w:bidi="ar-SA"/>
              </w:rPr>
            </w:pPr>
            <w:r>
              <w:rPr>
                <w:rFonts w:hint="eastAsia" w:ascii="宋体" w:hAnsi="宋体" w:cs="宋体"/>
                <w:color w:val="000000"/>
                <w:spacing w:val="-4"/>
              </w:rPr>
              <w:t xml:space="preserve">主观分</w:t>
            </w:r>
            <w:r>
              <w:rPr>
                <w:rFonts w:hint="eastAsia" w:ascii="宋体" w:hAnsi="宋体" w:cs="宋体"/>
                <w:color w:val="000000"/>
                <w:sz w:val="21"/>
                <w:szCs w:val="21"/>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3"/>
              <w:jc w:val="center"/>
              <w:spacing w:before="68" w:line="264" w:lineRule="auto"/>
              <w:rPr>
                <w:rFonts w:ascii="宋体" w:hAnsi="宋体" w:eastAsia="宋体" w:cs="宋体"/>
                <w:color w:val="000000"/>
                <w:spacing w:val="-2"/>
                <w:sz w:val="21"/>
                <w:szCs w:val="21"/>
                <w:highlight w:val="none"/>
                <w:lang w:val="en-US" w:eastAsia="zh-CN"/>
              </w:rPr>
            </w:pPr>
            <w:r>
              <w:rPr>
                <w:rFonts w:hint="eastAsia" w:ascii="宋体" w:hAnsi="宋体" w:cs="宋体"/>
                <w:color w:val="000000"/>
                <w:spacing w:val="-2"/>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spacing w:line="264" w:lineRule="auto"/>
              <w:rPr>
                <w:rFonts w:hint="eastAsia" w:ascii="Times New Roman" w:hAnsi="Times New Roman" w:eastAsia="宋体" w:cs="Times New Roman"/>
                <w:color w:val="000000"/>
                <w:spacing w:val="0"/>
                <w:sz w:val="21"/>
                <w:szCs w:val="21"/>
                <w:highlight w:val="none"/>
                <w:lang w:val="en-US" w:eastAsia="zh-CN"/>
              </w:rPr>
            </w:pPr>
            <w:r>
              <w:rPr>
                <w:rFonts w:hint="eastAsia"/>
                <w:color w:val="000000"/>
              </w:rPr>
              <w:t xml:space="preserve">运维服务方案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952"/>
              <w:ind w:left="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根据本项目采购需求及相关要求编制方案，内容包括：1.技术支持；2.保障措施。</w:t>
            </w:r>
            <w:r>
              <w:rPr>
                <w:rFonts w:hint="eastAsia"/>
                <w:color w:val="000000"/>
                <w:sz w:val="21"/>
                <w:szCs w:val="21"/>
                <w:highlight w:val="none"/>
                <w:lang w:val="en-US" w:eastAsia="zh-CN" w:bidi="ar-SA"/>
              </w:rPr>
              <w:t xml:space="preserve">以上每项内容逐项评分：</w:t>
            </w:r>
            <w:r>
              <w:rPr>
                <w:rFonts w:hint="eastAsia"/>
                <w:color w:val="000000"/>
                <w:sz w:val="21"/>
                <w:szCs w:val="21"/>
                <w:highlight w:val="none"/>
                <w:lang w:val="en-US" w:bidi="ar-SA"/>
              </w:rPr>
              <w:t xml:space="preserve"> </w:t>
            </w:r>
            <w:r>
              <w:rPr>
                <w:rFonts w:hint="eastAsia"/>
                <w:color w:val="000000"/>
                <w:sz w:val="21"/>
                <w:szCs w:val="21"/>
                <w:highlight w:val="none"/>
                <w:lang w:val="en-US" w:bidi="ar-SA"/>
              </w:rPr>
            </w:r>
            <w:r/>
          </w:p>
          <w:p>
            <w:pPr>
              <w:pStyle w:val="952"/>
              <w:ind w:left="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方案内容提供专业技术支持，精准解决技术难题，保障项目顺利推进，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highlight w:val="none"/>
                <w:lang w:val="en-US" w:bidi="ar-SA"/>
              </w:rPr>
            </w:r>
            <w:r/>
          </w:p>
          <w:p>
            <w:pPr>
              <w:pStyle w:val="952"/>
              <w:ind w:left="0"/>
              <w:spacing w:line="264" w:lineRule="auto"/>
              <w:rPr>
                <w:color w:val="000000"/>
                <w:sz w:val="21"/>
                <w:szCs w:val="21"/>
                <w:highlight w:val="none"/>
                <w:lang w:val="zh-CN" w:eastAsia="zh-CN"/>
              </w:rPr>
            </w:pPr>
            <w:r>
              <w:rPr>
                <w:rFonts w:hint="eastAsia"/>
                <w:color w:val="000000"/>
                <w:sz w:val="21"/>
                <w:szCs w:val="21"/>
                <w:highlight w:val="none"/>
                <w:lang w:val="en-US" w:bidi="ar-SA"/>
              </w:rPr>
              <w:t xml:space="preserve">上述每项内容符合得1分；部分符合得0.5分；不符合或不提供不得分。</w:t>
            </w:r>
            <w:r>
              <w:rPr>
                <w:color w:val="000000"/>
                <w:sz w:val="21"/>
                <w:szCs w:val="21"/>
                <w:highlight w:val="none"/>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培训方案</w:t>
            </w:r>
            <w:r>
              <w:rPr>
                <w:rFonts w:hint="eastAsia" w:ascii="宋体" w:hAnsi="宋体" w:eastAsia="宋体" w:cs="宋体"/>
                <w:color w:val="000000"/>
                <w:spacing w:val="-2"/>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根据本项目采购需求及相关要求编制方案，内容包括：1.培训内容；2.培训日程安排。以上每项内容逐项评分： </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清晰详细、培训计划细化到不同角色、分层清晰、培训内容系统深入，覆盖面广，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上述每项内容符合得1分；部分符合得0.5分；不符合或不提供不得分。</w:t>
            </w:r>
            <w:r>
              <w:rPr>
                <w:rFonts w:hint="eastAsia" w:ascii="宋体" w:hAnsi="宋体" w:eastAsia="宋体" w:cs="宋体"/>
                <w:color w:val="000000"/>
                <w:spacing w:val="-2"/>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73"/>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投标人提供2023年1月1日（含）以来类似项目业绩（至少包含MDT（多学科或跨学科）类</w:t>
            </w:r>
            <w:r>
              <w:rPr>
                <w:rFonts w:hint="eastAsia" w:ascii="宋体" w:hAnsi="宋体" w:eastAsia="宋体" w:cs="宋体"/>
                <w:color w:val="000000"/>
                <w:sz w:val="21"/>
                <w:szCs w:val="21"/>
                <w:highlight w:val="none"/>
                <w:lang w:val="en-US" w:eastAsia="zh-CN"/>
              </w:rPr>
              <w:t xml:space="preserve">或</w:t>
            </w:r>
            <w:r>
              <w:rPr>
                <w:rFonts w:ascii="宋体" w:hAnsi="宋体" w:eastAsia="宋体" w:cs="宋体"/>
                <w:color w:val="000000"/>
                <w:sz w:val="21"/>
                <w:szCs w:val="21"/>
                <w:highlight w:val="none"/>
                <w:lang w:val="en-US" w:eastAsia="zh-CN"/>
              </w:rPr>
              <w:t xml:space="preserve">随访类</w:t>
            </w:r>
            <w:r>
              <w:rPr>
                <w:rFonts w:hint="eastAsia" w:ascii="宋体" w:hAnsi="宋体" w:eastAsia="宋体" w:cs="宋体"/>
                <w:color w:val="000000"/>
                <w:sz w:val="21"/>
                <w:szCs w:val="21"/>
                <w:highlight w:val="none"/>
                <w:lang w:val="en-US" w:eastAsia="zh-CN"/>
              </w:rPr>
              <w:t xml:space="preserve">或</w:t>
            </w:r>
            <w:r>
              <w:rPr>
                <w:rFonts w:ascii="宋体" w:hAnsi="宋体" w:eastAsia="宋体" w:cs="宋体"/>
                <w:color w:val="000000"/>
                <w:sz w:val="21"/>
                <w:szCs w:val="21"/>
                <w:highlight w:val="none"/>
                <w:lang w:val="en-US" w:eastAsia="zh-CN"/>
              </w:rPr>
              <w:t xml:space="preserve">医患类），每提供1个得3分，最多得9分。</w:t>
            </w:r>
            <w:r>
              <w:rPr>
                <w:rFonts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（时间以合同签订时间为准，提供有效合同及项目验收报告，合同页及验收报告须清晰可见相应内容，未提供相关材料或材料不清晰不得分）</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投标人拟投入本项目的项目经理具备类似信息化项目管理的经验，得3分。（提供人员管理项目的采购单位相关部门盖章的项目证明材料及投标人为其缴纳的2026年1月以来任意一个月的社保证明材料，缺一不可）</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投标人具有本项目相关的软件著作权证书，包括“预问诊类”“MDT类”“AI病历整合类”“随访类”“AI回复类”等，每提供1个证书得1.5分，最多得6分。</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(所提供证书“软件名称”与评分细则规定不同时，应提供符合上述要求的内容(功能)说明及关键信息，否则不予认可。同一类证书不重复得分)</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color w:val="ff0000"/>
                <w:sz w:val="21"/>
                <w:szCs w:val="21"/>
                <w:highlight w:val="none"/>
              </w:rPr>
            </w:pPr>
            <w:r>
              <w:rPr>
                <w:rFonts w:ascii="宋体" w:hAnsi="宋体" w:eastAsia="宋体" w:cs="宋体"/>
                <w:spacing w:val="-3"/>
                <w:sz w:val="21"/>
                <w:szCs w:val="21"/>
                <w:highlight w:val="none"/>
              </w:rPr>
              <w:t xml:space="preserve">合</w:t>
            </w:r>
            <w:r>
              <w:rPr>
                <w:rFonts w:ascii="宋体" w:hAnsi="宋体" w:eastAsia="宋体" w:cs="宋体"/>
                <w:spacing w:val="-2"/>
                <w:sz w:val="21"/>
                <w:szCs w:val="21"/>
                <w:highlight w:val="none"/>
              </w:rPr>
              <w:t xml:space="preserve">计</w:t>
            </w:r>
            <w:r>
              <w:rPr>
                <w:color w:val="ff0000"/>
                <w:sz w:val="21"/>
                <w:szCs w:val="21"/>
                <w:highlight w:val="none"/>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ascii="宋体" w:hAnsi="宋体" w:eastAsia="宋体" w:cs="宋体"/>
                <w:color w:val="ff0000"/>
                <w:spacing w:val="-2"/>
                <w:sz w:val="21"/>
                <w:szCs w:val="21"/>
                <w:highlight w:val="none"/>
              </w:rPr>
            </w:pPr>
            <w:r>
              <w:rPr>
                <w:rFonts w:ascii="宋体" w:hAnsi="宋体" w:eastAsia="宋体" w:cs="宋体"/>
                <w:color w:val="ff0000"/>
                <w:spacing w:val="-2"/>
                <w:sz w:val="21"/>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3"/>
        <w:keepLines w:val="0"/>
        <w:keepNext w:val="0"/>
        <w:pageBreakBefore w:val="0"/>
        <w:spacing w:line="264" w:lineRule="auto"/>
        <w:widowControl w:val="off"/>
        <w:rPr>
          <w:rFonts w:hint="eastAsia"/>
          <w:highlight w:val="none"/>
        </w:rPr>
      </w:pPr>
      <w:r>
        <w:rPr>
          <w:rFonts w:hint="eastAsia"/>
          <w:highlight w:val="none"/>
        </w:rPr>
      </w:r>
      <w:r/>
    </w:p>
    <w:p>
      <w:pPr>
        <w:pStyle w:val="873"/>
        <w:keepLines w:val="0"/>
        <w:keepNext w:val="0"/>
        <w:pageBreakBefore w:val="0"/>
        <w:spacing w:line="264" w:lineRule="auto"/>
        <w:widowControl w:val="off"/>
        <w:rPr>
          <w:rFonts w:hint="eastAsia"/>
          <w:highlight w:val="none"/>
        </w:rPr>
      </w:pPr>
      <w:r>
        <w:rPr>
          <w:rFonts w:hint="eastAsia"/>
          <w:highlight w:val="none"/>
        </w:rPr>
      </w:r>
      <w:r/>
    </w:p>
    <w:p>
      <w:pPr>
        <w:pStyle w:val="873"/>
        <w:keepLines w:val="0"/>
        <w:keepNext w:val="0"/>
        <w:pageBreakBefore w:val="0"/>
        <w:spacing w:line="264" w:lineRule="auto"/>
        <w:widowControl w:val="off"/>
        <w:rPr>
          <w:rFonts w:hint="eastAsia"/>
          <w:highlight w:val="none"/>
        </w:rPr>
      </w:pPr>
      <w:r>
        <w:rPr>
          <w:rFonts w:hint="eastAsia"/>
          <w:highlight w:val="none"/>
        </w:rPr>
      </w:r>
      <w:r/>
    </w:p>
    <w:p>
      <w:pPr>
        <w:pStyle w:val="952"/>
        <w:rPr>
          <w:rFonts w:hint="eastAsia"/>
          <w:highlight w:val="none"/>
        </w:rPr>
      </w:pPr>
      <w:r>
        <w:rPr>
          <w:rFonts w:hint="eastAsia"/>
          <w:highlight w:val="none"/>
        </w:rPr>
      </w:r>
      <w:r/>
    </w:p>
    <w:p>
      <w:pPr>
        <w:pStyle w:val="873"/>
        <w:rPr>
          <w:rFonts w:hint="eastAsia"/>
          <w:highlight w:val="none"/>
        </w:rPr>
      </w:pPr>
      <w:r>
        <w:rPr>
          <w:rFonts w:hint="eastAsia"/>
          <w:highlight w:val="none"/>
        </w:rPr>
      </w:r>
      <w:r/>
    </w:p>
    <w:p>
      <w:pPr>
        <w:pStyle w:val="952"/>
        <w:rPr>
          <w:rFonts w:hint="eastAsia"/>
          <w:highlight w:val="none"/>
        </w:rPr>
      </w:pPr>
      <w:r>
        <w:rPr>
          <w:rFonts w:hint="eastAsia"/>
          <w:highlight w:val="none"/>
        </w:rPr>
      </w:r>
      <w:r/>
    </w:p>
    <w:p>
      <w:pPr>
        <w:pStyle w:val="873"/>
        <w:rPr>
          <w:rFonts w:hint="eastAsia"/>
          <w:highlight w:val="none"/>
        </w:rPr>
      </w:pPr>
      <w:r>
        <w:rPr>
          <w:rFonts w:hint="eastAsia"/>
          <w:highlight w:val="none"/>
        </w:rPr>
      </w:r>
      <w:r/>
    </w:p>
    <w:p>
      <w:pPr>
        <w:pStyle w:val="952"/>
        <w:rPr>
          <w:rFonts w:hint="eastAsia"/>
          <w:highlight w:val="none"/>
        </w:rPr>
      </w:pPr>
      <w:r>
        <w:rPr>
          <w:rFonts w:hint="eastAsia"/>
          <w:highlight w:val="none"/>
        </w:rPr>
      </w:r>
      <w:r/>
    </w:p>
    <w:p>
      <w:pPr>
        <w:pStyle w:val="873"/>
        <w:rPr>
          <w:rFonts w:hint="eastAsia"/>
          <w:highlight w:val="none"/>
        </w:rPr>
      </w:pPr>
      <w:r>
        <w:rPr>
          <w:rFonts w:hint="eastAsia"/>
          <w:highlight w:val="none"/>
        </w:rPr>
      </w:r>
      <w:r/>
    </w:p>
    <w:p>
      <w:pPr>
        <w:pStyle w:val="952"/>
        <w:rPr>
          <w:rFonts w:hint="eastAsia"/>
          <w:highlight w:val="none"/>
        </w:rPr>
      </w:pPr>
      <w:r>
        <w:rPr>
          <w:rFonts w:hint="eastAsia"/>
          <w:highlight w:val="none"/>
        </w:rPr>
      </w:r>
      <w:r/>
    </w:p>
    <w:p>
      <w:pPr>
        <w:pStyle w:val="873"/>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60"/>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73"/>
        <w:jc w:val="center"/>
        <w:rPr>
          <w:rFonts w:hint="eastAsia" w:ascii="宋体" w:hAnsi="宋体"/>
          <w:b/>
          <w:sz w:val="72"/>
          <w:highlight w:val="none"/>
        </w:rPr>
      </w:pPr>
      <w:r/>
      <w:bookmarkStart w:id="62" w:name="_Hlt26955039"/>
      <w:r/>
      <w:bookmarkEnd w:id="62"/>
      <w:r/>
      <w:bookmarkStart w:id="63" w:name="_Toc120614282"/>
      <w:r/>
      <w:bookmarkStart w:id="64" w:name="_Toc49090576"/>
      <w:r/>
      <w:bookmarkStart w:id="65" w:name="_Toc26554094"/>
      <w:r/>
      <w:bookmarkStart w:id="66" w:name="_Hlt26671244"/>
      <w:r/>
      <w:bookmarkEnd w:id="66"/>
      <w:r>
        <w:rPr>
          <w:rFonts w:hint="eastAsia" w:ascii="宋体" w:hAnsi="宋体"/>
          <w:b/>
          <w:sz w:val="72"/>
          <w:highlight w:val="none"/>
        </w:rPr>
      </w:r>
      <w:r/>
    </w:p>
    <w:p>
      <w:pPr>
        <w:pStyle w:val="873"/>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873"/>
        <w:jc w:val="center"/>
        <w:rPr>
          <w:rFonts w:hint="eastAsia" w:ascii="宋体" w:hAnsi="宋体"/>
          <w:b/>
          <w:sz w:val="72"/>
          <w:highlight w:val="none"/>
        </w:rPr>
      </w:pPr>
      <w:r>
        <w:rPr>
          <w:rFonts w:hint="eastAsia" w:ascii="宋体" w:hAnsi="宋体"/>
          <w:b/>
          <w:sz w:val="72"/>
          <w:highlight w:val="none"/>
        </w:rPr>
      </w:r>
      <w:r/>
    </w:p>
    <w:p>
      <w:pPr>
        <w:pStyle w:val="873"/>
        <w:jc w:val="center"/>
        <w:rPr>
          <w:rFonts w:hint="eastAsia" w:ascii="宋体" w:hAnsi="宋体"/>
          <w:b/>
          <w:sz w:val="72"/>
          <w:highlight w:val="none"/>
        </w:rPr>
      </w:pPr>
      <w:r>
        <w:rPr>
          <w:rFonts w:hint="eastAsia" w:ascii="宋体" w:hAnsi="宋体"/>
          <w:b/>
          <w:sz w:val="72"/>
          <w:highlight w:val="none"/>
        </w:rPr>
      </w:r>
      <w:r/>
    </w:p>
    <w:p>
      <w:pPr>
        <w:pStyle w:val="873"/>
        <w:jc w:val="center"/>
        <w:rPr>
          <w:rFonts w:hint="eastAsia" w:ascii="宋体" w:hAnsi="宋体"/>
          <w:b/>
          <w:sz w:val="36"/>
          <w:highlight w:val="none"/>
        </w:rPr>
      </w:pPr>
      <w:r>
        <w:rPr>
          <w:rFonts w:hint="eastAsia" w:ascii="宋体" w:hAnsi="宋体"/>
          <w:b/>
          <w:sz w:val="36"/>
          <w:highlight w:val="none"/>
        </w:rPr>
      </w:r>
      <w:r/>
    </w:p>
    <w:p>
      <w:pPr>
        <w:pStyle w:val="873"/>
        <w:jc w:val="center"/>
        <w:rPr>
          <w:rFonts w:hint="eastAsia" w:ascii="宋体" w:hAnsi="宋体"/>
          <w:b/>
          <w:sz w:val="36"/>
          <w:highlight w:val="none"/>
        </w:rPr>
      </w:pPr>
      <w:r>
        <w:rPr>
          <w:rFonts w:hint="eastAsia" w:ascii="宋体" w:hAnsi="宋体"/>
          <w:b/>
          <w:sz w:val="36"/>
          <w:highlight w:val="none"/>
        </w:rPr>
      </w:r>
      <w:r/>
    </w:p>
    <w:p>
      <w:pPr>
        <w:pStyle w:val="873"/>
        <w:jc w:val="center"/>
        <w:rPr>
          <w:rFonts w:hint="eastAsia" w:ascii="宋体" w:hAnsi="宋体"/>
          <w:b/>
          <w:sz w:val="36"/>
          <w:highlight w:val="none"/>
        </w:rPr>
      </w:pPr>
      <w:r>
        <w:rPr>
          <w:rFonts w:hint="eastAsia" w:ascii="宋体" w:hAnsi="宋体"/>
          <w:b/>
          <w:sz w:val="36"/>
          <w:highlight w:val="none"/>
        </w:rPr>
      </w:r>
      <w:r/>
    </w:p>
    <w:p>
      <w:pPr>
        <w:pStyle w:val="873"/>
        <w:ind w:firstLine="1084"/>
        <w:rPr>
          <w:rFonts w:ascii="宋体" w:hAnsi="宋体" w:eastAsia="宋体"/>
          <w:b/>
          <w:sz w:val="36"/>
          <w:highlight w:val="none"/>
          <w:lang w:val="en-US" w:eastAsia="zh-CN"/>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lang w:val="en-US" w:eastAsia="zh-CN"/>
        </w:rPr>
      </w:r>
      <w:r/>
    </w:p>
    <w:p>
      <w:pPr>
        <w:pStyle w:val="873"/>
        <w:ind w:firstLine="1084"/>
        <w:rPr>
          <w:rFonts w:ascii="宋体" w:hAnsi="宋体" w:eastAsia="宋体"/>
          <w:b/>
          <w:sz w:val="36"/>
          <w:highlight w:val="none"/>
          <w:u w:val="single"/>
          <w:lang w:val="en-US" w:eastAsia="zh-CN"/>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3"/>
        <w:rPr>
          <w:rFonts w:ascii="宋体" w:hAnsi="宋体" w:eastAsia="宋体"/>
          <w:b/>
          <w:sz w:val="36"/>
          <w:highlight w:val="none"/>
          <w:u w:val="single"/>
          <w:lang w:val="en-US" w:eastAsia="zh-CN"/>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3"/>
        <w:rPr>
          <w:rFonts w:ascii="宋体" w:hAnsi="宋体" w:eastAsia="宋体"/>
          <w:b/>
          <w:sz w:val="36"/>
          <w:highlight w:val="none"/>
          <w:u w:val="single"/>
          <w:lang w:val="en-US" w:eastAsia="zh-CN"/>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3"/>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73"/>
        <w:spacing w:line="440" w:lineRule="exact"/>
        <w:rPr>
          <w:rFonts w:ascii="宋体" w:hAnsi="宋体"/>
          <w:highlight w:val="none"/>
        </w:rPr>
      </w:pPr>
      <w:r>
        <w:rPr>
          <w:rFonts w:ascii="宋体" w:hAnsi="宋体"/>
          <w:highlight w:val="none"/>
        </w:rPr>
      </w:r>
      <w:r/>
    </w:p>
    <w:p>
      <w:pPr>
        <w:pStyle w:val="873"/>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3"/>
        <w:ind w:firstLine="480"/>
        <w:spacing w:line="440" w:lineRule="exact"/>
        <w:rPr>
          <w:rFonts w:ascii="宋体" w:hAnsi="宋体"/>
          <w:sz w:val="24"/>
          <w:highlight w:val="none"/>
        </w:rPr>
      </w:pPr>
      <w:r>
        <w:rPr>
          <w:rFonts w:ascii="宋体" w:hAnsi="宋体"/>
          <w:sz w:val="24"/>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bookmarkEnd w:id="63"/>
      <w:r/>
      <w:bookmarkEnd w:id="64"/>
      <w:r/>
      <w:bookmarkEnd w:id="65"/>
      <w:r/>
      <w:bookmarkStart w:id="67" w:name="_Toc120614284"/>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3"/>
        <w:ind w:firstLine="492"/>
        <w:spacing w:line="460" w:lineRule="exact"/>
        <w:rPr>
          <w:color w:val="000000"/>
          <w:sz w:val="24"/>
          <w:szCs w:val="24"/>
          <w:highlight w:val="none"/>
        </w:rPr>
      </w:pPr>
      <w:r>
        <w:rPr>
          <w:color w:val="000000"/>
          <w:sz w:val="24"/>
          <w:szCs w:val="24"/>
          <w:highlight w:val="none"/>
        </w:rPr>
      </w:r>
      <w:r/>
    </w:p>
    <w:p>
      <w:pPr>
        <w:pStyle w:val="995"/>
        <w:rPr>
          <w:color w:val="000000"/>
          <w:sz w:val="24"/>
          <w:szCs w:val="24"/>
          <w:highlight w:val="none"/>
        </w:rPr>
      </w:pPr>
      <w:r>
        <w:rPr>
          <w:color w:val="000000"/>
          <w:sz w:val="24"/>
          <w:szCs w:val="24"/>
          <w:highlight w:val="none"/>
        </w:rPr>
      </w:r>
      <w:r/>
    </w:p>
    <w:p>
      <w:pPr>
        <w:pStyle w:val="873"/>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3"/>
        <w:rPr>
          <w:sz w:val="24"/>
          <w:szCs w:val="24"/>
          <w:highlight w:val="none"/>
        </w:rPr>
      </w:pPr>
      <w:r>
        <w:rPr>
          <w:sz w:val="24"/>
          <w:szCs w:val="24"/>
          <w:highlight w:val="none"/>
        </w:rPr>
      </w:r>
      <w:r/>
    </w:p>
    <w:p>
      <w:pPr>
        <w:pStyle w:val="873"/>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7"/>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7"/>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7"/>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7"/>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w:t>
      </w:r>
      <w:bookmarkStart w:id="68" w:name="OLE_LINK2"/>
      <w:r>
        <w:rPr>
          <w:rFonts w:hint="eastAsia" w:ascii="Times New Roman" w:hAnsi="Times New Roman" w:eastAsia="宋体" w:cs="Times New Roman"/>
          <w:i w:val="0"/>
          <w:sz w:val="24"/>
          <w:szCs w:val="24"/>
          <w:highlight w:val="none"/>
          <w:u w:val="none"/>
        </w:rPr>
        <w:t xml:space="preserve">）</w:t>
      </w:r>
      <w:bookmarkEnd w:id="68"/>
      <w:r>
        <w:rPr>
          <w:rFonts w:hint="eastAsia" w:ascii="Times New Roman" w:hAnsi="Times New Roman" w:eastAsia="宋体" w:cs="Times New Roman"/>
          <w:i w:val="0"/>
          <w:sz w:val="24"/>
          <w:szCs w:val="24"/>
          <w:highlight w:val="none"/>
          <w:u w:val="none"/>
        </w:rPr>
        <w:t xml:space="preserve">：________________ </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代理人联系方式（手机号码）：______________</w:t>
      </w:r>
      <w:r>
        <w:rPr>
          <w:rFonts w:hint="eastAsia" w:ascii="Times New Roman" w:hAnsi="Times New Roman" w:eastAsia="宋体" w:cs="Times New Roman"/>
          <w:i w:val="0"/>
          <w:sz w:val="24"/>
          <w:szCs w:val="24"/>
          <w:highlight w:val="none"/>
          <w:u w:val="single"/>
          <w:lang w:val="en-US" w:eastAsia="zh-CN"/>
        </w:rPr>
        <w:t xml:space="preserve">      </w:t>
      </w:r>
      <w:r>
        <w:rPr>
          <w:rFonts w:hint="eastAsia" w:ascii="Times New Roman" w:hAnsi="Times New Roman" w:eastAsia="宋体" w:cs="Times New Roman"/>
          <w:i w:val="0"/>
          <w:sz w:val="24"/>
          <w:szCs w:val="24"/>
          <w:highlight w:val="none"/>
          <w:u w:val="none"/>
        </w:rPr>
        <w:t xml:space="preserve">__ </w:t>
      </w:r>
      <w:r>
        <w:rPr>
          <w:rFonts w:hint="eastAsia" w:ascii="Times New Roman" w:hAnsi="Times New Roman" w:eastAsia="宋体" w:cs="Times New Roman"/>
          <w:i w:val="0"/>
          <w:sz w:val="24"/>
          <w:szCs w:val="24"/>
          <w:highlight w:val="none"/>
          <w:u w:val="none"/>
          <w:lang w:val="en-US" w:eastAsia="zh-CN"/>
        </w:rPr>
        <w:t xml:space="preserve"> </w:t>
      </w:r>
      <w:r>
        <w:rPr>
          <w:rFonts w:hint="eastAsia" w:ascii="Times New Roman" w:hAnsi="Times New Roman" w:eastAsia="宋体" w:cs="Times New Roman"/>
          <w:i w:val="0"/>
          <w:sz w:val="24"/>
          <w:szCs w:val="24"/>
          <w:highlight w:val="none"/>
          <w:u w:val="none"/>
          <w:lang w:val="en-US" w:eastAsia="zh-CN"/>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92"/>
        <w:ind w:firstLine="0"/>
        <w:rPr>
          <w:rFonts w:hint="eastAsia"/>
          <w:highlight w:val="none"/>
        </w:rPr>
      </w:pPr>
      <w:r>
        <w:rPr>
          <w:rFonts w:hint="eastAsia"/>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9"/>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69"/>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rPr>
        <w:t xml:space="preserve">贵</w:t>
      </w:r>
      <w:r>
        <w:rPr>
          <w:rFonts w:hint="eastAsia" w:ascii="宋体" w:hAnsi="宋体"/>
          <w:szCs w:val="21"/>
          <w:highlight w:val="none"/>
        </w:rPr>
        <w:t xml:space="preserve">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w:t>
      </w:r>
      <w:r>
        <w:rPr>
          <w:rFonts w:hint="eastAsia" w:ascii="宋体" w:hAnsi="宋体"/>
          <w:szCs w:val="21"/>
          <w:highlight w:val="none"/>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873"/>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85"/>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9"/>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9"/>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3"/>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69"/>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3"/>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3"/>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9"/>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3"/>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873"/>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3"/>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85"/>
        <w:rPr>
          <w:rFonts w:hint="eastAsia"/>
          <w:highlight w:val="none"/>
        </w:rPr>
      </w:pPr>
      <w:r>
        <w:rPr>
          <w:rFonts w:hint="eastAsia"/>
          <w:highlight w:val="none"/>
        </w:rPr>
      </w:r>
      <w:r/>
    </w:p>
    <w:p>
      <w:pPr>
        <w:pStyle w:val="873"/>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5"/>
        <w:rPr>
          <w:rFonts w:hint="eastAsia"/>
          <w:highlight w:val="none"/>
          <w:lang w:val="en-US" w:eastAsia="zh-CN"/>
        </w:rPr>
      </w:pPr>
      <w:r>
        <w:rPr>
          <w:rFonts w:hint="eastAsia"/>
          <w:highlight w:val="none"/>
          <w:lang w:val="en-US" w:eastAsia="zh-CN"/>
        </w:rPr>
      </w:r>
      <w:r/>
    </w:p>
    <w:p>
      <w:pPr>
        <w:pStyle w:val="873"/>
        <w:rPr>
          <w:rFonts w:hint="eastAsia"/>
          <w:highlight w:val="none"/>
          <w:lang w:val="en-US" w:eastAsia="zh-CN"/>
        </w:rPr>
      </w:pPr>
      <w:r>
        <w:rPr>
          <w:rFonts w:hint="eastAsia"/>
          <w:highlight w:val="none"/>
          <w:lang w:val="en-US" w:eastAsia="zh-CN"/>
        </w:rPr>
      </w:r>
      <w:r/>
    </w:p>
    <w:p>
      <w:pPr>
        <w:pStyle w:val="885"/>
        <w:rPr>
          <w:rFonts w:hint="eastAsia"/>
          <w:highlight w:val="none"/>
          <w:lang w:val="en-US" w:eastAsia="zh-CN"/>
        </w:rPr>
      </w:pPr>
      <w:r>
        <w:rPr>
          <w:rFonts w:hint="eastAsia"/>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rPr>
          <w:rFonts w:hint="eastAsia" w:ascii="黑体" w:hAnsi="黑体" w:eastAsia="黑体" w:cs="Times New Roman"/>
          <w:i w:val="0"/>
          <w:sz w:val="32"/>
          <w:szCs w:val="32"/>
          <w:highlight w:val="none"/>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69"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69"/>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3"/>
              <w:ind w:right="180"/>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3"/>
              <w:ind w:right="18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3"/>
              <w:ind w:right="180"/>
              <w:jc w:val="center"/>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3"/>
              <w:ind w:right="1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3"/>
              <w:ind w:right="1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3"/>
              <w:ind w:right="1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3"/>
              <w:ind w:right="1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3"/>
              <w:ind w:right="1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3"/>
              <w:ind w:right="180"/>
              <w:jc w:val="center"/>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3"/>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73"/>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b/>
          <w:bCs/>
          <w:highlight w:val="none"/>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3"/>
      <w:r/>
      <w:bookmarkEnd w:id="44"/>
      <w:r/>
      <w:bookmarkEnd w:id="67"/>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highlight w:val="none"/>
              </w:rPr>
            </w:pPr>
            <w:r>
              <w:rPr>
                <w:highlight w:val="none"/>
              </w:rPr>
            </w:r>
            <w:r/>
          </w:p>
          <w:p>
            <w:pPr>
              <w:pStyle w:val="885"/>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8"/>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8"/>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38"/>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8"/>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38"/>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3"/>
              <w:jc w:val="center"/>
              <w:rPr>
                <w:rFonts w:hint="eastAsia" w:ascii="宋体" w:hAnsi="宋体"/>
                <w:color w:val="000000"/>
                <w:sz w:val="24"/>
                <w:szCs w:val="24"/>
                <w:highlight w:val="none"/>
              </w:rPr>
            </w:pPr>
            <w:r/>
            <w:bookmarkStart w:id="70" w:name="_Hlt26782999"/>
            <w:r/>
            <w:bookmarkEnd w:id="70"/>
            <w:r/>
            <w:bookmarkStart w:id="71" w:name="_Hlt26580838"/>
            <w:r/>
            <w:bookmarkEnd w:id="71"/>
            <w:r/>
            <w:bookmarkStart w:id="72" w:name="_Hlt24879081"/>
            <w:r/>
            <w:bookmarkEnd w:id="72"/>
            <w:r/>
            <w:bookmarkStart w:id="73" w:name="_Hlt26671343"/>
            <w:r/>
            <w:bookmarkEnd w:id="73"/>
            <w:r/>
            <w:bookmarkStart w:id="74" w:name="_Hlt26955056"/>
            <w:r/>
            <w:bookmarkEnd w:id="74"/>
            <w:r/>
            <w:bookmarkStart w:id="75" w:name="_Hlt26609391"/>
            <w:r/>
            <w:bookmarkEnd w:id="75"/>
            <w:r/>
            <w:bookmarkStart w:id="76" w:name="_Hlt26955064"/>
            <w:r/>
            <w:bookmarkEnd w:id="76"/>
            <w:r/>
            <w:bookmarkStart w:id="77" w:name="_Hlt26671372"/>
            <w:r/>
            <w:bookmarkEnd w:id="77"/>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highlight w:val="none"/>
              </w:rPr>
            </w:pPr>
            <w:r>
              <w:rPr>
                <w:highlight w:val="none"/>
              </w:rPr>
            </w:r>
            <w:r/>
          </w:p>
          <w:p>
            <w:pPr>
              <w:pStyle w:val="885"/>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3"/>
        <w:rPr>
          <w:color w:val="000000"/>
          <w:highlight w:val="none"/>
        </w:rPr>
      </w:pPr>
      <w:r>
        <w:rPr>
          <w:color w:val="000000"/>
          <w:highlight w:val="none"/>
        </w:rPr>
      </w:r>
      <w:r/>
    </w:p>
    <w:p>
      <w:pPr>
        <w:pStyle w:val="87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2"/>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2"/>
        <w:rPr>
          <w:rFonts w:hint="eastAsia"/>
          <w:color w:val="000000"/>
          <w:highlight w:val="none"/>
        </w:rPr>
      </w:pPr>
      <w:r>
        <w:rPr>
          <w:rFonts w:hint="eastAsia"/>
          <w:color w:val="000000"/>
          <w:highlight w:val="none"/>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73"/>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3"/>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3"/>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3"/>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2"/>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keepLines w:val="0"/>
        <w:keepNext w:val="0"/>
        <w:pageBreakBefore w:val="0"/>
        <w:spacing w:line="360" w:lineRule="auto"/>
        <w:rPr>
          <w:rFonts w:hint="eastAsia"/>
          <w:highlight w:val="none"/>
          <w:lang w:eastAsia="zh-CN"/>
        </w:rPr>
      </w:pPr>
      <w:r>
        <w:rPr>
          <w:rFonts w:hint="eastAsia"/>
          <w:highlight w:val="none"/>
          <w:lang w:eastAsia="zh-CN"/>
        </w:rPr>
      </w:r>
      <w:r/>
    </w:p>
    <w:p>
      <w:pPr>
        <w:pStyle w:val="87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3"/>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73"/>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7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2"/>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7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3"/>
        <w:ind w:firstLine="480"/>
        <w:spacing w:line="480" w:lineRule="exact"/>
        <w:rPr>
          <w:rFonts w:ascii="宋体" w:hAnsi="宋体"/>
          <w:sz w:val="24"/>
          <w:highlight w:val="none"/>
        </w:rPr>
      </w:pPr>
      <w:r>
        <w:rPr>
          <w:rFonts w:ascii="宋体" w:hAnsi="宋体"/>
          <w:sz w:val="24"/>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73"/>
        <w:numPr>
          <w:ilvl w:val="0"/>
          <w:numId w:val="0"/>
        </w:numPr>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85"/>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73"/>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85"/>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73"/>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85"/>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73"/>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85"/>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73"/>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85"/>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873"/>
        <w:rPr>
          <w:rFonts w:hint="eastAsia"/>
          <w:lang w:val="en-US" w:eastAsia="zh-CN"/>
        </w:rPr>
      </w:pPr>
      <w:r>
        <w:rPr>
          <w:rFonts w:hint="eastAsia"/>
          <w:lang w:val="en-US" w:eastAsia="zh-CN"/>
        </w:rPr>
      </w:r>
      <w:r/>
    </w:p>
    <w:p>
      <w:pPr>
        <w:pStyle w:val="873"/>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rPr>
          <w:rFonts w:hint="eastAsia" w:ascii="宋体" w:hAnsi="宋体"/>
          <w:sz w:val="24"/>
          <w:szCs w:val="24"/>
          <w:highlight w:val="none"/>
        </w:rPr>
      </w:pPr>
      <w:r>
        <w:rPr>
          <w:rFonts w:hint="eastAsia"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3"/>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rPr>
        <w:rStyle w:val="946"/>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1"/>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8"/>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rFonts w:ascii="Times New Roman" w:hAnsi="Times New Roman"/>
      <w:sz w:val="21"/>
      <w:szCs w:val="21"/>
      <w:lang w:val="en-US" w:eastAsia="zh-CN" w:bidi="ar-SA"/>
    </w:rPr>
  </w:style>
  <w:style w:type="paragraph" w:styleId="874">
    <w:name w:val="标题 1"/>
    <w:basedOn w:val="873"/>
    <w:next w:val="873"/>
    <w:link w:val="890"/>
    <w:qFormat/>
    <w:pPr>
      <w:jc w:val="center"/>
      <w:keepNext/>
      <w:outlineLvl w:val="0"/>
    </w:pPr>
    <w:rPr>
      <w:rFonts w:ascii="楷体_GB2312" w:eastAsia="楷体_GB2312"/>
      <w:sz w:val="28"/>
      <w:szCs w:val="28"/>
    </w:rPr>
  </w:style>
  <w:style w:type="paragraph" w:styleId="875">
    <w:name w:val="标题 2"/>
    <w:basedOn w:val="873"/>
    <w:next w:val="892"/>
    <w:link w:val="891"/>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92"/>
    <w:link w:val="894"/>
    <w:qFormat/>
    <w:pPr>
      <w:keepLines/>
      <w:keepNext/>
      <w:spacing w:before="260" w:after="260" w:line="416" w:lineRule="auto"/>
      <w:outlineLvl w:val="2"/>
    </w:pPr>
    <w:rPr>
      <w:b/>
      <w:bCs/>
      <w:sz w:val="32"/>
      <w:szCs w:val="32"/>
    </w:rPr>
  </w:style>
  <w:style w:type="paragraph" w:styleId="877">
    <w:name w:val="标题 4"/>
    <w:basedOn w:val="873"/>
    <w:next w:val="892"/>
    <w:link w:val="895"/>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2"/>
    <w:link w:val="896"/>
    <w:qFormat/>
    <w:pPr>
      <w:keepNext/>
      <w:outlineLvl w:val="4"/>
    </w:pPr>
    <w:rPr>
      <w:rFonts w:ascii="宋体"/>
      <w:color w:val="000000"/>
      <w:sz w:val="28"/>
      <w:szCs w:val="28"/>
    </w:rPr>
  </w:style>
  <w:style w:type="paragraph" w:styleId="879">
    <w:name w:val="标题 6"/>
    <w:basedOn w:val="873"/>
    <w:next w:val="873"/>
    <w:link w:val="897"/>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8"/>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9"/>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900"/>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正文首行缩进 2"/>
    <w:basedOn w:val="886"/>
    <w:next w:val="873"/>
    <w:link w:val="889"/>
    <w:pPr>
      <w:ind w:firstLine="420"/>
      <w:spacing w:line="360" w:lineRule="auto"/>
    </w:pPr>
    <w:rPr>
      <w:rFonts w:ascii="宋体" w:hAnsi="宋体" w:eastAsia="宋体"/>
      <w:sz w:val="21"/>
      <w:szCs w:val="20"/>
    </w:rPr>
  </w:style>
  <w:style w:type="paragraph" w:styleId="886">
    <w:name w:val="正文文本缩进"/>
    <w:basedOn w:val="873"/>
    <w:next w:val="888"/>
    <w:link w:val="887"/>
    <w:pPr>
      <w:ind w:firstLine="645"/>
    </w:pPr>
    <w:rPr>
      <w:rFonts w:ascii="楷体_GB2312" w:eastAsia="楷体_GB2312"/>
      <w:sz w:val="32"/>
      <w:szCs w:val="32"/>
    </w:rPr>
  </w:style>
  <w:style w:type="character" w:styleId="887">
    <w:name w:val="正文文本缩进 Char"/>
    <w:next w:val="887"/>
    <w:link w:val="886"/>
    <w:rPr>
      <w:rFonts w:ascii="楷体_GB2312" w:hAnsi="Times New Roman" w:eastAsia="楷体_GB2312" w:cs="Times New Roman"/>
      <w:sz w:val="32"/>
      <w:szCs w:val="32"/>
    </w:rPr>
  </w:style>
  <w:style w:type="paragraph" w:styleId="888">
    <w:name w:val="寄信人地址"/>
    <w:basedOn w:val="873"/>
    <w:next w:val="888"/>
    <w:link w:val="873"/>
    <w:qFormat/>
    <w:rPr>
      <w:rFonts w:ascii="Arial" w:hAnsi="Arial" w:eastAsia="宋体" w:cs="宋体"/>
    </w:rPr>
  </w:style>
  <w:style w:type="character" w:styleId="889">
    <w:name w:val="正文首行缩进 2 Char"/>
    <w:next w:val="889"/>
    <w:link w:val="885"/>
    <w:rPr>
      <w:rFonts w:ascii="宋体" w:hAnsi="宋体" w:eastAsia="宋体" w:cs="Times New Roman"/>
      <w:sz w:val="32"/>
      <w:szCs w:val="20"/>
    </w:rPr>
  </w:style>
  <w:style w:type="character" w:styleId="890">
    <w:name w:val="标题 1 Char"/>
    <w:next w:val="890"/>
    <w:link w:val="874"/>
    <w:rPr>
      <w:rFonts w:ascii="楷体_GB2312" w:hAnsi="Times New Roman" w:eastAsia="楷体_GB2312" w:cs="Times New Roman"/>
      <w:sz w:val="28"/>
      <w:szCs w:val="28"/>
    </w:rPr>
  </w:style>
  <w:style w:type="character" w:styleId="891">
    <w:name w:val="标题 2 Char"/>
    <w:next w:val="891"/>
    <w:link w:val="875"/>
    <w:rPr>
      <w:rFonts w:ascii="Arial" w:hAnsi="Arial" w:eastAsia="幼圆" w:cs="Arial"/>
      <w:b/>
      <w:bCs/>
      <w:sz w:val="44"/>
      <w:szCs w:val="44"/>
    </w:rPr>
  </w:style>
  <w:style w:type="paragraph" w:styleId="892">
    <w:name w:val="正文缩进"/>
    <w:basedOn w:val="873"/>
    <w:next w:val="892"/>
    <w:link w:val="893"/>
    <w:pPr>
      <w:ind w:firstLine="420"/>
    </w:pPr>
  </w:style>
  <w:style w:type="character" w:styleId="893">
    <w:name w:val="正文缩进 Char"/>
    <w:next w:val="893"/>
    <w:link w:val="892"/>
    <w:rPr>
      <w:rFonts w:ascii="Times New Roman" w:hAnsi="Times New Roman" w:eastAsia="宋体" w:cs="Times New Roman"/>
      <w:szCs w:val="21"/>
    </w:rPr>
  </w:style>
  <w:style w:type="character" w:styleId="894">
    <w:name w:val="标题 3 Char"/>
    <w:next w:val="894"/>
    <w:link w:val="876"/>
    <w:rPr>
      <w:rFonts w:ascii="Times New Roman" w:hAnsi="Times New Roman" w:eastAsia="宋体" w:cs="Times New Roman"/>
      <w:b/>
      <w:bCs/>
      <w:sz w:val="32"/>
      <w:szCs w:val="32"/>
    </w:rPr>
  </w:style>
  <w:style w:type="character" w:styleId="895">
    <w:name w:val="标题 4 Char"/>
    <w:next w:val="895"/>
    <w:link w:val="877"/>
    <w:rPr>
      <w:rFonts w:ascii="Arial" w:hAnsi="Arial" w:eastAsia="黑体" w:cs="Arial"/>
      <w:b/>
      <w:bCs/>
      <w:sz w:val="28"/>
      <w:szCs w:val="28"/>
    </w:rPr>
  </w:style>
  <w:style w:type="character" w:styleId="896">
    <w:name w:val="标题 5 Char"/>
    <w:next w:val="896"/>
    <w:link w:val="878"/>
    <w:rPr>
      <w:rFonts w:ascii="宋体" w:hAnsi="Times New Roman" w:eastAsia="宋体" w:cs="Times New Roman"/>
      <w:color w:val="000000"/>
      <w:sz w:val="28"/>
      <w:szCs w:val="28"/>
    </w:rPr>
  </w:style>
  <w:style w:type="character" w:styleId="897">
    <w:name w:val="标题 6 Char"/>
    <w:next w:val="897"/>
    <w:link w:val="879"/>
    <w:rPr>
      <w:rFonts w:ascii="Arial" w:hAnsi="Arial" w:eastAsia="黑体" w:cs="Times New Roman"/>
      <w:b/>
      <w:bCs/>
      <w:sz w:val="24"/>
      <w:szCs w:val="24"/>
    </w:rPr>
  </w:style>
  <w:style w:type="character" w:styleId="898">
    <w:name w:val="标题 7 Char"/>
    <w:next w:val="898"/>
    <w:link w:val="880"/>
    <w:rPr>
      <w:rFonts w:ascii="Times New Roman" w:hAnsi="Times New Roman" w:eastAsia="宋体" w:cs="Times New Roman"/>
      <w:b/>
      <w:bCs/>
      <w:sz w:val="24"/>
      <w:szCs w:val="24"/>
    </w:rPr>
  </w:style>
  <w:style w:type="character" w:styleId="899">
    <w:name w:val="标题 8 Char"/>
    <w:next w:val="899"/>
    <w:link w:val="881"/>
    <w:rPr>
      <w:rFonts w:ascii="Arial" w:hAnsi="Arial" w:eastAsia="黑体" w:cs="Times New Roman"/>
      <w:sz w:val="24"/>
      <w:szCs w:val="24"/>
    </w:rPr>
  </w:style>
  <w:style w:type="character" w:styleId="900">
    <w:name w:val="标题 9 Char"/>
    <w:next w:val="900"/>
    <w:link w:val="882"/>
    <w:rPr>
      <w:rFonts w:ascii="Arial" w:hAnsi="Arial" w:eastAsia="黑体" w:cs="Times New Roman"/>
      <w:szCs w:val="21"/>
    </w:rPr>
  </w:style>
  <w:style w:type="paragraph" w:styleId="901">
    <w:name w:val="列表 3"/>
    <w:basedOn w:val="873"/>
    <w:next w:val="901"/>
    <w:link w:val="873"/>
    <w:pPr>
      <w:ind w:left="100" w:hanging="200"/>
    </w:pPr>
  </w:style>
  <w:style w:type="paragraph" w:styleId="902">
    <w:name w:val="目录 7"/>
    <w:basedOn w:val="873"/>
    <w:next w:val="873"/>
    <w:link w:val="873"/>
    <w:semiHidden/>
    <w:pPr>
      <w:ind w:left="1260"/>
      <w:jc w:val="left"/>
    </w:pPr>
  </w:style>
  <w:style w:type="paragraph" w:styleId="903">
    <w:name w:val="文档结构图"/>
    <w:basedOn w:val="873"/>
    <w:next w:val="903"/>
    <w:link w:val="904"/>
    <w:semiHidden/>
    <w:pPr>
      <w:shd w:val="clear" w:color="auto" w:fill="000080"/>
    </w:pPr>
  </w:style>
  <w:style w:type="character" w:styleId="904">
    <w:name w:val="文档结构图 Char"/>
    <w:next w:val="904"/>
    <w:link w:val="903"/>
    <w:semiHidden/>
    <w:rPr>
      <w:rFonts w:ascii="Times New Roman" w:hAnsi="Times New Roman" w:eastAsia="宋体" w:cs="Times New Roman"/>
      <w:szCs w:val="21"/>
      <w:shd w:val="clear" w:color="auto" w:fill="000080"/>
    </w:rPr>
  </w:style>
  <w:style w:type="paragraph" w:styleId="905">
    <w:name w:val="批注文字"/>
    <w:basedOn w:val="873"/>
    <w:next w:val="905"/>
    <w:link w:val="906"/>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6">
    <w:name w:val="批注文字 Char"/>
    <w:next w:val="906"/>
    <w:link w:val="905"/>
    <w:semiHidden/>
    <w:rPr>
      <w:rFonts w:ascii="Times New Roman" w:hAnsi="Times New Roman" w:eastAsia="宋体" w:cs="Times New Roman"/>
      <w:szCs w:val="21"/>
    </w:rPr>
  </w:style>
  <w:style w:type="paragraph" w:styleId="907">
    <w:name w:val="正文文本 3"/>
    <w:basedOn w:val="873"/>
    <w:next w:val="907"/>
    <w:link w:val="908"/>
    <w:rPr>
      <w:rFonts w:ascii="仿宋_GB2312" w:hAnsi="Arial" w:eastAsia="仿宋_GB2312"/>
      <w:sz w:val="32"/>
      <w:szCs w:val="32"/>
    </w:rPr>
  </w:style>
  <w:style w:type="character" w:styleId="908">
    <w:name w:val="正文文本 3 Char"/>
    <w:next w:val="908"/>
    <w:link w:val="907"/>
    <w:rPr>
      <w:rFonts w:ascii="仿宋_GB2312" w:hAnsi="Arial" w:eastAsia="仿宋_GB2312" w:cs="Times New Roman"/>
      <w:sz w:val="32"/>
      <w:szCs w:val="32"/>
    </w:rPr>
  </w:style>
  <w:style w:type="paragraph" w:styleId="909">
    <w:name w:val="正文文本"/>
    <w:basedOn w:val="873"/>
    <w:next w:val="909"/>
    <w:link w:val="910"/>
    <w:rPr>
      <w:rFonts w:ascii="楷体_GB2312" w:hAnsi="Arial" w:eastAsia="楷体_GB2312"/>
      <w:sz w:val="28"/>
      <w:szCs w:val="28"/>
    </w:rPr>
  </w:style>
  <w:style w:type="character" w:styleId="910">
    <w:name w:val="正文文本 Char"/>
    <w:next w:val="910"/>
    <w:link w:val="909"/>
    <w:rPr>
      <w:rFonts w:ascii="楷体_GB2312" w:hAnsi="Arial" w:eastAsia="楷体_GB2312" w:cs="Times New Roman"/>
      <w:sz w:val="28"/>
      <w:szCs w:val="28"/>
    </w:rPr>
  </w:style>
  <w:style w:type="paragraph" w:styleId="911">
    <w:name w:val="列表 2"/>
    <w:basedOn w:val="873"/>
    <w:next w:val="911"/>
    <w:link w:val="873"/>
    <w:pPr>
      <w:ind w:left="100" w:hanging="200"/>
    </w:pPr>
  </w:style>
  <w:style w:type="paragraph" w:styleId="912">
    <w:name w:val="目录 5"/>
    <w:basedOn w:val="873"/>
    <w:next w:val="873"/>
    <w:link w:val="873"/>
    <w:semiHidden/>
    <w:pPr>
      <w:ind w:left="840"/>
      <w:jc w:val="left"/>
    </w:pPr>
  </w:style>
  <w:style w:type="paragraph" w:styleId="913">
    <w:name w:val="目录 3"/>
    <w:basedOn w:val="873"/>
    <w:next w:val="873"/>
    <w:link w:val="873"/>
    <w:semiHidden/>
    <w:pPr>
      <w:ind w:left="420"/>
      <w:jc w:val="left"/>
    </w:pPr>
    <w:rPr>
      <w:i/>
      <w:iCs/>
      <w:szCs w:val="24"/>
    </w:rPr>
  </w:style>
  <w:style w:type="paragraph" w:styleId="914">
    <w:name w:val="纯文本"/>
    <w:basedOn w:val="873"/>
    <w:next w:val="914"/>
    <w:link w:val="915"/>
    <w:rPr>
      <w:rFonts w:ascii="宋体" w:hAnsi="Courier New" w:cs="Courier New"/>
    </w:rPr>
  </w:style>
  <w:style w:type="character" w:styleId="915">
    <w:name w:val="纯文本 Char"/>
    <w:next w:val="915"/>
    <w:link w:val="914"/>
    <w:rPr>
      <w:rFonts w:ascii="宋体" w:hAnsi="Courier New" w:eastAsia="宋体" w:cs="Courier New"/>
      <w:szCs w:val="21"/>
    </w:rPr>
  </w:style>
  <w:style w:type="paragraph" w:styleId="916">
    <w:name w:val="目录 8"/>
    <w:basedOn w:val="873"/>
    <w:next w:val="873"/>
    <w:link w:val="873"/>
    <w:semiHidden/>
    <w:pPr>
      <w:ind w:left="1470"/>
      <w:jc w:val="left"/>
    </w:pPr>
  </w:style>
  <w:style w:type="paragraph" w:styleId="917">
    <w:name w:val="日期"/>
    <w:basedOn w:val="873"/>
    <w:next w:val="873"/>
    <w:link w:val="918"/>
    <w:rPr>
      <w:sz w:val="24"/>
      <w:szCs w:val="24"/>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3"/>
    <w:next w:val="919"/>
    <w:link w:val="920"/>
    <w:pPr>
      <w:ind w:left="630" w:firstLine="645"/>
    </w:pPr>
    <w:rPr>
      <w:rFonts w:ascii="Arial" w:hAnsi="Arial" w:eastAsia="仿宋_GB2312" w:cs="Arial"/>
      <w:sz w:val="32"/>
      <w:szCs w:val="32"/>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3"/>
    <w:next w:val="921"/>
    <w:link w:val="922"/>
    <w:semiHidden/>
    <w:rPr>
      <w:sz w:val="18"/>
      <w:szCs w:val="18"/>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3"/>
    <w:next w:val="923"/>
    <w:link w:val="924"/>
    <w:pPr>
      <w:jc w:val="left"/>
      <w:tabs>
        <w:tab w:val="center" w:pos="4153" w:leader="none"/>
        <w:tab w:val="right" w:pos="8306" w:leader="none"/>
      </w:tabs>
    </w:pPr>
    <w:rPr>
      <w:sz w:val="18"/>
      <w:szCs w:val="18"/>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3"/>
    <w:next w:val="925"/>
    <w:link w:val="926"/>
    <w:pPr>
      <w:jc w:val="center"/>
      <w:tabs>
        <w:tab w:val="center" w:pos="4153" w:leader="none"/>
        <w:tab w:val="right" w:pos="8306" w:leader="none"/>
      </w:tabs>
      <w:pBdr>
        <w:bottom w:val="single" w:color="000000" w:sz="6" w:space="1"/>
      </w:pBdr>
    </w:pPr>
    <w:rPr>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8">
    <w:name w:val="目录 4"/>
    <w:basedOn w:val="873"/>
    <w:next w:val="873"/>
    <w:link w:val="873"/>
    <w:semiHidden/>
    <w:pPr>
      <w:ind w:left="630"/>
      <w:jc w:val="left"/>
    </w:pPr>
  </w:style>
  <w:style w:type="paragraph" w:styleId="929">
    <w:name w:val="列表"/>
    <w:basedOn w:val="873"/>
    <w:next w:val="929"/>
    <w:link w:val="873"/>
    <w:pPr>
      <w:ind w:left="200" w:hanging="200"/>
    </w:pPr>
  </w:style>
  <w:style w:type="paragraph" w:styleId="930">
    <w:name w:val="目录 6"/>
    <w:basedOn w:val="873"/>
    <w:next w:val="873"/>
    <w:link w:val="873"/>
    <w:semiHidden/>
    <w:pPr>
      <w:ind w:left="1050"/>
      <w:jc w:val="left"/>
    </w:pPr>
  </w:style>
  <w:style w:type="paragraph" w:styleId="931">
    <w:name w:val="正文文本缩进 3"/>
    <w:basedOn w:val="873"/>
    <w:next w:val="931"/>
    <w:link w:val="932"/>
    <w:pPr>
      <w:ind w:left="645" w:firstLine="645"/>
    </w:pPr>
    <w:rPr>
      <w:rFonts w:ascii="Arial" w:hAnsi="Arial" w:eastAsia="仿宋_GB2312" w:cs="Arial"/>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3"/>
    <w:next w:val="873"/>
    <w:link w:val="873"/>
    <w:semiHidden/>
    <w:pPr>
      <w:ind w:left="840" w:hanging="420"/>
    </w:pPr>
  </w:style>
  <w:style w:type="paragraph" w:styleId="934">
    <w:name w:val="目录 2"/>
    <w:basedOn w:val="873"/>
    <w:next w:val="873"/>
    <w:link w:val="873"/>
    <w:semiHidden/>
    <w:pPr>
      <w:ind w:left="210"/>
      <w:jc w:val="left"/>
    </w:pPr>
    <w:rPr>
      <w:smallCaps/>
      <w:szCs w:val="24"/>
    </w:rPr>
  </w:style>
  <w:style w:type="paragraph" w:styleId="935">
    <w:name w:val="目录 9"/>
    <w:basedOn w:val="873"/>
    <w:next w:val="873"/>
    <w:link w:val="873"/>
    <w:semiHidden/>
    <w:pPr>
      <w:ind w:left="1680"/>
      <w:jc w:val="left"/>
    </w:pPr>
  </w:style>
  <w:style w:type="paragraph" w:styleId="936">
    <w:name w:val="正文文本 2"/>
    <w:basedOn w:val="873"/>
    <w:next w:val="936"/>
    <w:link w:val="937"/>
    <w:pPr>
      <w:jc w:val="center"/>
      <w:widowControl/>
    </w:pPr>
    <w:rPr>
      <w:rFonts w:ascii="楷体_GB2312" w:eastAsia="楷体_GB2312"/>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3"/>
    <w:next w:val="938"/>
    <w:link w:val="873"/>
    <w:uiPriority w:val="99"/>
    <w:pPr>
      <w:jc w:val="left"/>
      <w:spacing w:before="100" w:beforeAutospacing="1" w:after="100" w:afterAutospacing="1"/>
      <w:widowControl/>
    </w:pPr>
    <w:rPr>
      <w:rFonts w:ascii="宋体" w:hAnsi="宋体" w:cs="宋体"/>
      <w:sz w:val="24"/>
      <w:szCs w:val="24"/>
    </w:rPr>
  </w:style>
  <w:style w:type="paragraph" w:styleId="939">
    <w:name w:val="索引 1"/>
    <w:basedOn w:val="873"/>
    <w:next w:val="873"/>
    <w:link w:val="873"/>
    <w:semiHidden/>
    <w:pPr>
      <w:spacing w:line="240" w:lineRule="atLeast"/>
    </w:pPr>
    <w:rPr>
      <w:b/>
      <w:bCs/>
    </w:rPr>
  </w:style>
  <w:style w:type="paragraph" w:styleId="940">
    <w:name w:val="批注主题"/>
    <w:basedOn w:val="905"/>
    <w:next w:val="905"/>
    <w:link w:val="941"/>
    <w:semiHidden/>
    <w:rPr>
      <w:b/>
      <w:bCs/>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3"/>
    <w:next w:val="942"/>
    <w:link w:val="943"/>
    <w:pPr>
      <w:ind w:firstLine="200"/>
      <w:spacing w:line="360" w:lineRule="auto"/>
    </w:pPr>
    <w:rPr>
      <w:rFonts w:ascii="仿宋_GB2312" w:eastAsia="仿宋_GB2312"/>
      <w:sz w:val="30"/>
      <w:szCs w:val="30"/>
    </w:rPr>
  </w:style>
  <w:style w:type="character" w:styleId="943">
    <w:name w:val="正文首行缩进 Char"/>
    <w:next w:val="943"/>
    <w:link w:val="942"/>
    <w:rPr>
      <w:rFonts w:ascii="仿宋_GB2312" w:hAnsi="Times New Roman" w:eastAsia="仿宋_GB2312" w:cs="Times New Roman"/>
      <w:sz w:val="30"/>
      <w:szCs w:val="3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强调"/>
    <w:next w:val="948"/>
    <w:link w:val="873"/>
    <w:qFormat/>
    <w:rPr>
      <w:i/>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paragraph" w:styleId="951">
    <w:name w:val="正文1"/>
    <w:basedOn w:val="873"/>
    <w:next w:val="951"/>
    <w:link w:val="873"/>
    <w:qFormat/>
    <w:pPr>
      <w:ind w:left="350" w:firstLine="0"/>
    </w:pPr>
    <w:rPr>
      <w:rFonts w:cs="Times New Roman"/>
      <w:sz w:val="20"/>
      <w:szCs w:val="24"/>
    </w:rPr>
  </w:style>
  <w:style w:type="paragraph" w:styleId="952">
    <w:name w:val="索引 41"/>
    <w:basedOn w:val="873"/>
    <w:next w:val="873"/>
    <w:link w:val="873"/>
    <w:semiHidden/>
    <w:qFormat/>
    <w:pPr>
      <w:ind w:left="1260"/>
    </w:pPr>
    <w:rPr>
      <w:rFonts w:ascii="Calibri" w:hAnsi="Calibri" w:eastAsia="Calibri" w:cs="宋体"/>
      <w:sz w:val="20"/>
      <w:lang w:val="zh-CN"/>
    </w:rPr>
  </w:style>
  <w:style w:type="paragraph" w:styleId="953">
    <w:name w:val="正文首行缩进 21"/>
    <w:basedOn w:val="954"/>
    <w:next w:val="873"/>
    <w:link w:val="873"/>
    <w:qFormat/>
    <w:pPr>
      <w:ind w:firstLine="420"/>
      <w:spacing w:line="360" w:lineRule="auto"/>
    </w:pPr>
    <w:rPr>
      <w:rFonts w:ascii="宋体" w:hAnsi="宋体" w:eastAsia="宋体"/>
      <w:sz w:val="21"/>
      <w:szCs w:val="20"/>
    </w:rPr>
  </w:style>
  <w:style w:type="paragraph" w:styleId="954">
    <w:name w:val="正文文本缩进11"/>
    <w:basedOn w:val="873"/>
    <w:next w:val="955"/>
    <w:link w:val="873"/>
    <w:qFormat/>
    <w:pPr>
      <w:ind w:firstLine="645"/>
    </w:pPr>
    <w:rPr>
      <w:rFonts w:ascii="楷体_GB2312" w:eastAsia="楷体_GB2312"/>
      <w:sz w:val="32"/>
      <w:szCs w:val="32"/>
    </w:rPr>
  </w:style>
  <w:style w:type="paragraph" w:styleId="955">
    <w:name w:val="寄信人地址1"/>
    <w:basedOn w:val="873"/>
    <w:next w:val="955"/>
    <w:link w:val="873"/>
    <w:qFormat/>
    <w:rPr>
      <w:rFonts w:ascii="Arial" w:hAnsi="Arial" w:eastAsia="宋体" w:cs="宋体"/>
    </w:rPr>
  </w:style>
  <w:style w:type="paragraph" w:styleId="956">
    <w:name w:val="标题 41"/>
    <w:basedOn w:val="873"/>
    <w:next w:val="957"/>
    <w:link w:val="873"/>
    <w:qFormat/>
    <w:pPr>
      <w:keepLines/>
      <w:keepNext/>
      <w:spacing w:before="280" w:after="290" w:line="376" w:lineRule="auto"/>
      <w:outlineLvl w:val="3"/>
    </w:pPr>
    <w:rPr>
      <w:rFonts w:ascii="Arial" w:hAnsi="Arial" w:eastAsia="黑体" w:cs="Arial"/>
      <w:b/>
      <w:bCs/>
      <w:sz w:val="28"/>
      <w:szCs w:val="28"/>
    </w:rPr>
  </w:style>
  <w:style w:type="paragraph" w:styleId="957">
    <w:name w:val="正文缩进1"/>
    <w:basedOn w:val="873"/>
    <w:next w:val="957"/>
    <w:link w:val="873"/>
    <w:qFormat/>
    <w:pPr>
      <w:ind w:firstLine="420"/>
    </w:pPr>
  </w:style>
  <w:style w:type="paragraph" w:styleId="958">
    <w:name w:val="正文文本12"/>
    <w:basedOn w:val="873"/>
    <w:next w:val="958"/>
    <w:link w:val="873"/>
    <w:uiPriority w:val="1"/>
    <w:qFormat/>
    <w:pPr>
      <w:ind w:left="120"/>
    </w:pPr>
    <w:rPr>
      <w:rFonts w:ascii="宋体" w:hAnsi="宋体" w:eastAsia="宋体" w:cs="宋体"/>
      <w:sz w:val="21"/>
      <w:szCs w:val="21"/>
      <w:lang w:val="zh-CN" w:eastAsia="zh-CN" w:bidi="zh-CN"/>
    </w:rPr>
  </w:style>
  <w:style w:type="character" w:styleId="959">
    <w:name w:val="font5 Char"/>
    <w:next w:val="959"/>
    <w:link w:val="873"/>
    <w:rPr>
      <w:rFonts w:ascii="宋体" w:hAnsi="宋体" w:eastAsia="宋体"/>
      <w:sz w:val="28"/>
      <w:szCs w:val="28"/>
      <w:lang w:val="en-US" w:eastAsia="zh-CN" w:bidi="ar-SA"/>
    </w:rPr>
  </w:style>
  <w:style w:type="character" w:styleId="960">
    <w:name w:val="二级目录 Char"/>
    <w:next w:val="960"/>
    <w:link w:val="961"/>
    <w:rPr>
      <w:b/>
      <w:sz w:val="30"/>
      <w:szCs w:val="28"/>
    </w:rPr>
  </w:style>
  <w:style w:type="paragraph" w:styleId="961">
    <w:name w:val="二级目录"/>
    <w:next w:val="873"/>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Bullet List Char,numbered Char,FooterText Char,List Paragraph1 Char,Paragraphe de liste1 Char"/>
    <w:next w:val="962"/>
    <w:link w:val="963"/>
    <w:rPr>
      <w:rFonts w:ascii="Calibri" w:hAnsi="Calibri"/>
      <w:sz w:val="24"/>
      <w:szCs w:val="24"/>
      <w:lang w:eastAsia="en-US" w:bidi="en-US"/>
    </w:rPr>
  </w:style>
  <w:style w:type="paragraph" w:styleId="963">
    <w:name w:val="列出段落1"/>
    <w:basedOn w:val="873"/>
    <w:next w:val="963"/>
    <w:link w:val="962"/>
    <w:qFormat/>
    <w:pPr>
      <w:contextualSpacing/>
      <w:ind w:left="720"/>
      <w:jc w:val="left"/>
      <w:widowControl/>
    </w:pPr>
    <w:rPr>
      <w:rFonts w:ascii="Calibri" w:hAnsi="Calibri" w:eastAsia="宋体" w:cs="Times New Roman"/>
      <w:sz w:val="24"/>
      <w:szCs w:val="24"/>
      <w:lang w:eastAsia="en-US" w:bidi="en-US"/>
    </w:rPr>
  </w:style>
  <w:style w:type="paragraph" w:styleId="964">
    <w:name w:val="Body Text(ch)"/>
    <w:basedOn w:val="873"/>
    <w:next w:val="909"/>
    <w:link w:val="873"/>
    <w:pPr>
      <w:spacing w:after="120"/>
    </w:pPr>
    <w:rPr>
      <w:rFonts w:ascii="宋体" w:hAnsi="Arial"/>
      <w:bCs/>
      <w:iCs/>
      <w:szCs w:val="24"/>
    </w:rPr>
  </w:style>
  <w:style w:type="paragraph" w:styleId="965">
    <w:name w:val="xl27"/>
    <w:basedOn w:val="873"/>
    <w:next w:val="965"/>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name w:val="xl26"/>
    <w:basedOn w:val="873"/>
    <w:next w:val="966"/>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name w:val="Char"/>
    <w:basedOn w:val="873"/>
    <w:next w:val="967"/>
    <w:link w:val="873"/>
    <w:pPr>
      <w:ind w:firstLine="200"/>
      <w:tabs>
        <w:tab w:val="left" w:pos="360" w:leader="none"/>
      </w:tabs>
    </w:pPr>
    <w:rPr>
      <w:sz w:val="28"/>
      <w:szCs w:val="30"/>
    </w:rPr>
  </w:style>
  <w:style w:type="paragraph" w:styleId="968">
    <w:name w:val=" Char"/>
    <w:basedOn w:val="903"/>
    <w:next w:val="968"/>
    <w:link w:val="873"/>
    <w:rPr>
      <w:rFonts w:ascii="Tahoma" w:hAnsi="Tahoma"/>
      <w:sz w:val="24"/>
      <w:szCs w:val="24"/>
    </w:rPr>
  </w:style>
  <w:style w:type="paragraph" w:styleId="969">
    <w:name w:val="普通正文"/>
    <w:basedOn w:val="873"/>
    <w:next w:val="969"/>
    <w:link w:val="873"/>
    <w:pPr>
      <w:ind w:firstLine="480"/>
      <w:jc w:val="left"/>
      <w:spacing w:before="120" w:after="120" w:line="360" w:lineRule="auto"/>
    </w:pPr>
    <w:rPr>
      <w:rFonts w:ascii="Arial" w:hAnsi="Arial"/>
      <w:sz w:val="24"/>
      <w:szCs w:val="24"/>
    </w:rPr>
  </w:style>
  <w:style w:type="paragraph" w:styleId="970">
    <w:name w:val="table_lines"/>
    <w:basedOn w:val="873"/>
    <w:next w:val="970"/>
    <w:link w:val="873"/>
    <w:pPr>
      <w:jc w:val="left"/>
      <w:widowControl/>
    </w:pPr>
    <w:rPr>
      <w:sz w:val="20"/>
      <w:szCs w:val="20"/>
      <w:lang w:val="de-DE" w:eastAsia="de-DE"/>
    </w:rPr>
  </w:style>
  <w:style w:type="paragraph" w:styleId="971">
    <w:name w:val="附录1"/>
    <w:next w:val="971"/>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2">
    <w:name w:val="font7"/>
    <w:basedOn w:val="873"/>
    <w:next w:val="972"/>
    <w:link w:val="873"/>
    <w:pPr>
      <w:jc w:val="left"/>
      <w:spacing w:before="100" w:beforeAutospacing="1" w:after="100" w:afterAutospacing="1"/>
      <w:widowControl/>
    </w:pPr>
    <w:rPr>
      <w:rFonts w:hint="eastAsia" w:ascii="宋体" w:hAnsi="宋体"/>
      <w:sz w:val="18"/>
      <w:szCs w:val="18"/>
    </w:rPr>
  </w:style>
  <w:style w:type="paragraph" w:styleId="973">
    <w:name w:val=" Char Char Char Char"/>
    <w:basedOn w:val="903"/>
    <w:next w:val="973"/>
    <w:link w:val="873"/>
    <w:pPr>
      <w:spacing w:line="360" w:lineRule="auto"/>
    </w:pPr>
    <w:rPr>
      <w:rFonts w:ascii="Tahoma" w:hAnsi="Tahoma"/>
      <w:sz w:val="24"/>
      <w:szCs w:val="24"/>
    </w:rPr>
  </w:style>
  <w:style w:type="paragraph" w:styleId="974">
    <w:name w:val="列出段落"/>
    <w:basedOn w:val="873"/>
    <w:next w:val="974"/>
    <w:link w:val="873"/>
    <w:qFormat/>
    <w:pPr>
      <w:contextualSpacing/>
      <w:ind w:left="720"/>
      <w:jc w:val="left"/>
      <w:widowControl/>
    </w:pPr>
    <w:rPr>
      <w:rFonts w:ascii="Calibri" w:hAnsi="Calibri"/>
      <w:sz w:val="24"/>
      <w:szCs w:val="24"/>
      <w:lang w:eastAsia="en-US" w:bidi="en-US"/>
    </w:rPr>
  </w:style>
  <w:style w:type="paragraph" w:styleId="975">
    <w:name w:val="4"/>
    <w:basedOn w:val="873"/>
    <w:next w:val="931"/>
    <w:link w:val="873"/>
    <w:pPr>
      <w:ind w:firstLine="420"/>
      <w:spacing w:line="360" w:lineRule="auto"/>
    </w:pPr>
    <w:rPr>
      <w:color w:val="ff0000"/>
      <w:sz w:val="24"/>
      <w:szCs w:val="24"/>
    </w:rPr>
  </w:style>
  <w:style w:type="paragraph" w:styleId="976">
    <w:name w:val="普通 (Web)"/>
    <w:basedOn w:val="873"/>
    <w:next w:val="976"/>
    <w:link w:val="873"/>
    <w:pPr>
      <w:jc w:val="left"/>
      <w:spacing w:before="100" w:beforeAutospacing="1" w:after="100" w:afterAutospacing="1"/>
      <w:widowControl/>
    </w:pPr>
    <w:rPr>
      <w:rFonts w:ascii="宋体" w:hAnsi="宋体"/>
      <w:sz w:val="24"/>
      <w:szCs w:val="24"/>
    </w:rPr>
  </w:style>
  <w:style w:type="paragraph" w:styleId="977">
    <w:name w:val=" Char Char Char Char Char Char Char Char Char Char"/>
    <w:basedOn w:val="873"/>
    <w:next w:val="977"/>
    <w:link w:val="873"/>
    <w:pPr>
      <w:spacing w:line="360" w:lineRule="auto"/>
    </w:pPr>
    <w:rPr>
      <w:sz w:val="24"/>
      <w:szCs w:val="20"/>
    </w:rPr>
  </w:style>
  <w:style w:type="paragraph" w:styleId="978">
    <w:name w:val="样式1"/>
    <w:basedOn w:val="873"/>
    <w:next w:val="978"/>
    <w:link w:val="873"/>
    <w:pPr>
      <w:numPr>
        <w:ilvl w:val="0"/>
        <w:numId w:val="3"/>
      </w:numPr>
      <w:tabs>
        <w:tab w:val="left" w:pos="709" w:leader="none"/>
      </w:tabs>
    </w:pPr>
    <w:rPr>
      <w:rFonts w:ascii="宋体" w:hAnsi="宋体"/>
    </w:rPr>
  </w:style>
  <w:style w:type="paragraph" w:styleId="979">
    <w:name w:val="font6"/>
    <w:basedOn w:val="873"/>
    <w:next w:val="979"/>
    <w:link w:val="873"/>
    <w:pPr>
      <w:jc w:val="left"/>
      <w:spacing w:before="100" w:beforeAutospacing="1" w:after="100" w:afterAutospacing="1"/>
      <w:widowControl/>
    </w:pPr>
    <w:rPr>
      <w:rFonts w:hint="eastAsia" w:ascii="宋体" w:hAnsi="宋体"/>
      <w:sz w:val="28"/>
      <w:szCs w:val="28"/>
      <w:u w:val="single"/>
    </w:rPr>
  </w:style>
  <w:style w:type="paragraph" w:styleId="980">
    <w:name w:val="xl25"/>
    <w:basedOn w:val="873"/>
    <w:next w:val="980"/>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name w:val="标题3"/>
    <w:basedOn w:val="873"/>
    <w:next w:val="873"/>
    <w:link w:val="873"/>
    <w:pPr>
      <w:ind w:firstLine="624"/>
      <w:spacing w:line="590" w:lineRule="atLeast"/>
    </w:pPr>
    <w:rPr>
      <w:rFonts w:ascii="方正黑体_GBK" w:eastAsia="方正黑体_GBK"/>
      <w:sz w:val="32"/>
      <w:szCs w:val="32"/>
    </w:rPr>
  </w:style>
  <w:style w:type="paragraph" w:styleId="983">
    <w:name w:val="xl24"/>
    <w:basedOn w:val="873"/>
    <w:next w:val="983"/>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9"/>
    <w:basedOn w:val="873"/>
    <w:next w:val="984"/>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name w:val="Char Char Char Char Char Char Char Char"/>
    <w:basedOn w:val="873"/>
    <w:next w:val="985"/>
    <w:link w:val="873"/>
    <w:pPr>
      <w:jc w:val="left"/>
      <w:spacing w:after="160" w:line="240" w:lineRule="exact"/>
      <w:widowControl/>
    </w:pPr>
    <w:rPr>
      <w:rFonts w:ascii="Verdana" w:hAnsi="Verdana"/>
      <w:sz w:val="20"/>
      <w:szCs w:val="20"/>
      <w:lang w:eastAsia="en-US"/>
    </w:rPr>
  </w:style>
  <w:style w:type="paragraph" w:styleId="986">
    <w:name w:val="xl28"/>
    <w:basedOn w:val="873"/>
    <w:next w:val="986"/>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name w:val=" Char Char Char Char Char Char Char Char"/>
    <w:basedOn w:val="873"/>
    <w:next w:val="987"/>
    <w:link w:val="873"/>
    <w:pPr>
      <w:jc w:val="left"/>
      <w:spacing w:after="160" w:line="240" w:lineRule="exact"/>
      <w:widowControl/>
    </w:pPr>
    <w:rPr>
      <w:rFonts w:ascii="Verdana" w:hAnsi="Verdana"/>
      <w:sz w:val="20"/>
      <w:szCs w:val="20"/>
      <w:lang w:eastAsia="en-US"/>
    </w:rPr>
  </w:style>
  <w:style w:type="paragraph" w:styleId="988">
    <w:name w:val="xl30"/>
    <w:basedOn w:val="873"/>
    <w:next w:val="988"/>
    <w:link w:val="873"/>
    <w:pPr>
      <w:jc w:val="center"/>
      <w:spacing w:before="100" w:beforeAutospacing="1" w:after="100" w:afterAutospacing="1"/>
      <w:widowControl/>
    </w:pPr>
    <w:rPr>
      <w:rFonts w:ascii="宋体" w:hAnsi="宋体"/>
      <w:b/>
      <w:bCs/>
      <w:sz w:val="36"/>
      <w:szCs w:val="36"/>
    </w:rPr>
  </w:style>
  <w:style w:type="paragraph" w:styleId="989">
    <w:name w:val="Char Char Char Char"/>
    <w:basedOn w:val="903"/>
    <w:next w:val="989"/>
    <w:link w:val="873"/>
    <w:pPr>
      <w:spacing w:line="360" w:lineRule="auto"/>
    </w:pPr>
    <w:rPr>
      <w:rFonts w:ascii="Tahoma" w:hAnsi="Tahoma"/>
      <w:sz w:val="24"/>
      <w:szCs w:val="24"/>
    </w:rPr>
  </w:style>
  <w:style w:type="paragraph" w:styleId="990">
    <w:name w:val="table_1stline"/>
    <w:basedOn w:val="873"/>
    <w:next w:val="990"/>
    <w:link w:val="873"/>
    <w:pPr>
      <w:jc w:val="left"/>
      <w:spacing w:before="120"/>
      <w:widowControl/>
    </w:pPr>
    <w:rPr>
      <w:bCs/>
      <w:sz w:val="20"/>
      <w:szCs w:val="20"/>
      <w:lang w:val="de-DE" w:eastAsia="de-DE"/>
    </w:rPr>
  </w:style>
  <w:style w:type="paragraph" w:styleId="991">
    <w:name w:val="font5"/>
    <w:basedOn w:val="873"/>
    <w:next w:val="991"/>
    <w:link w:val="873"/>
    <w:pPr>
      <w:jc w:val="left"/>
      <w:spacing w:before="100" w:beforeAutospacing="1" w:after="100" w:afterAutospacing="1"/>
      <w:widowControl/>
    </w:pPr>
    <w:rPr>
      <w:rFonts w:hint="eastAsia" w:ascii="宋体" w:hAnsi="宋体"/>
      <w:sz w:val="28"/>
      <w:szCs w:val="28"/>
    </w:rPr>
  </w:style>
  <w:style w:type="paragraph" w:styleId="992">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name w:val="修订"/>
    <w:next w:val="993"/>
    <w:link w:val="873"/>
    <w:uiPriority w:val="99"/>
    <w:semiHidden/>
    <w:rPr>
      <w:rFonts w:ascii="Times New Roman" w:hAnsi="Times New Roman"/>
      <w:sz w:val="21"/>
      <w:szCs w:val="21"/>
      <w:lang w:val="en-US" w:eastAsia="zh-CN" w:bidi="ar-SA"/>
    </w:rPr>
  </w:style>
  <w:style w:type="paragraph" w:styleId="994">
    <w:name w:val="无间隔"/>
    <w:next w:val="994"/>
    <w:link w:val="873"/>
    <w:uiPriority w:val="99"/>
    <w:qFormat/>
    <w:pPr>
      <w:jc w:val="both"/>
      <w:widowControl w:val="off"/>
    </w:pPr>
    <w:rPr>
      <w:rFonts w:ascii="Times New Roman" w:hAnsi="Times New Roman"/>
      <w:sz w:val="21"/>
      <w:szCs w:val="21"/>
      <w:lang w:val="en-US" w:eastAsia="zh-CN" w:bidi="ar-SA"/>
    </w:rPr>
  </w:style>
  <w:style w:type="paragraph" w:styleId="995">
    <w:name w:val="正文文本 211"/>
    <w:basedOn w:val="873"/>
    <w:next w:val="995"/>
    <w:link w:val="873"/>
    <w:uiPriority w:val="99"/>
    <w:qFormat/>
    <w:pPr>
      <w:jc w:val="center"/>
    </w:pPr>
    <w:rPr>
      <w:b/>
      <w:bCs/>
      <w:sz w:val="20"/>
      <w:szCs w:val="20"/>
    </w:rPr>
  </w:style>
  <w:style w:type="table" w:styleId="996">
    <w:name w:val="Table Normal"/>
    <w:next w:val="996"/>
    <w:link w:val="873"/>
    <w:qFormat/>
    <w:tblPr/>
  </w:style>
  <w:style w:type="paragraph" w:styleId="997">
    <w:name w:val="正文文本1"/>
    <w:basedOn w:val="873"/>
    <w:next w:val="873"/>
    <w:link w:val="873"/>
    <w:semiHidden/>
    <w:qFormat/>
    <w:rPr>
      <w:rFonts w:ascii="Arial" w:hAnsi="Arial" w:eastAsia="Arial" w:cs="Arial"/>
      <w:sz w:val="21"/>
      <w:szCs w:val="21"/>
      <w:lang w:val="en-US" w:eastAsia="en-US" w:bidi="ar-SA"/>
    </w:rPr>
  </w:style>
  <w:style w:type="paragraph" w:styleId="998">
    <w:name w:val="纯文本1"/>
    <w:basedOn w:val="873"/>
    <w:next w:val="998"/>
    <w:link w:val="873"/>
    <w:qFormat/>
    <w:rPr>
      <w:rFonts w:ascii="宋体" w:hAnsi="Courier New" w:cs="Courier New"/>
    </w:rPr>
  </w:style>
  <w:style w:type="table" w:styleId="999">
    <w:name w:val="网格型1"/>
    <w:basedOn w:val="1000"/>
    <w:next w:val="999"/>
    <w:link w:val="873"/>
    <w:qFormat/>
    <w:pPr>
      <w:jc w:val="both"/>
      <w:widowControl w:val="off"/>
    </w:pPr>
    <w:tblPr/>
  </w:style>
  <w:style w:type="table" w:styleId="1000">
    <w:name w:val="普通表格1"/>
    <w:next w:val="1000"/>
    <w:link w:val="873"/>
    <w:uiPriority w:val="99"/>
    <w:unhideWhenUsed/>
    <w:qFormat/>
    <w:tblPr/>
  </w:style>
  <w:style w:type="character" w:styleId="1001">
    <w:name w:val="15"/>
    <w:basedOn w:val="883"/>
    <w:next w:val="1001"/>
    <w:link w:val="873"/>
    <w:rPr>
      <w:rFonts w:ascii="Times New Roman" w:hAnsi="Times New Roman" w:cs="Times New Roman"/>
    </w:rPr>
  </w:style>
  <w:style w:type="paragraph" w:styleId="1002">
    <w:name w:val="正文首行缩进 211"/>
    <w:basedOn w:val="954"/>
    <w:next w:val="873"/>
    <w:link w:val="873"/>
    <w:qFormat/>
    <w:pPr>
      <w:ind w:left="0" w:firstLine="420"/>
      <w:spacing w:after="0" w:line="360" w:lineRule="auto"/>
    </w:pPr>
    <w:rPr>
      <w:rFonts w:ascii="宋体" w:hAnsi="宋体" w:eastAsia="宋体" w:cs="Times New Roman"/>
      <w:szCs w:val="20"/>
    </w:rPr>
  </w:style>
  <w:style w:type="paragraph" w:styleId="1003">
    <w:name w:val="Table Paragraph"/>
    <w:basedOn w:val="873"/>
    <w:next w:val="1003"/>
    <w:link w:val="873"/>
    <w:uiPriority w:val="1"/>
    <w:qFormat/>
    <w:pPr>
      <w:jc w:val="left"/>
    </w:pPr>
    <w:rPr>
      <w:rFonts w:ascii="宋体" w:hAnsi="宋体" w:eastAsia="宋体" w:cs="宋体"/>
      <w:sz w:val="22"/>
      <w:szCs w:val="22"/>
      <w:lang w:val="zh-CN" w:bidi="zh-CN"/>
    </w:rPr>
  </w:style>
  <w:style w:type="paragraph" w:styleId="1004">
    <w:name w:val="正文文本缩进1"/>
    <w:basedOn w:val="873"/>
    <w:next w:val="885"/>
    <w:link w:val="873"/>
    <w:unhideWhenUsed/>
    <w:qFormat/>
    <w:pPr>
      <w:ind w:left="420"/>
      <w:spacing w:after="120"/>
    </w:pPr>
  </w:style>
  <w:style w:type="paragraph" w:styleId="1005">
    <w:name w:val="Table Text"/>
    <w:next w:val="1005"/>
    <w:link w:val="873"/>
    <w:qFormat/>
    <w:pPr>
      <w:spacing w:before="80" w:after="80"/>
    </w:pPr>
    <w:rPr>
      <w:rFonts w:ascii="Arial" w:hAnsi="Arial" w:eastAsia="宋体" w:cs="Times New Roman"/>
      <w:sz w:val="18"/>
      <w:lang w:val="en-US" w:eastAsia="zh-CN" w:bidi="ar-SA"/>
    </w:rPr>
  </w:style>
  <w:style w:type="character" w:styleId="1006">
    <w:name w:val="font21"/>
    <w:next w:val="1006"/>
    <w:link w:val="873"/>
    <w:qFormat/>
    <w:rPr>
      <w:rFonts w:hint="eastAsia" w:ascii="宋体" w:hAnsi="宋体" w:eastAsia="宋体" w:cs="宋体"/>
      <w:color w:val="000000"/>
      <w:sz w:val="24"/>
      <w:szCs w:val="24"/>
      <w:u w:val="none"/>
    </w:rPr>
  </w:style>
  <w:style w:type="paragraph" w:styleId="1007">
    <w:name w:val="Compact"/>
    <w:basedOn w:val="909"/>
    <w:next w:val="1007"/>
    <w:link w:val="873"/>
    <w:qFormat/>
    <w:pPr>
      <w:spacing w:before="36" w:after="36"/>
    </w:pPr>
    <w:rPr>
      <w:rFonts w:ascii="Calibri" w:hAnsi="Calibri" w:eastAsia="宋体"/>
      <w:sz w:val="21"/>
      <w:szCs w:val="24"/>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4</cp:revision>
  <dcterms:created xsi:type="dcterms:W3CDTF">2023-03-16T02:16:00Z</dcterms:created>
  <dcterms:modified xsi:type="dcterms:W3CDTF">2026-09-08T08:15:43Z</dcterms:modified>
</cp:coreProperties>
</file>