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ascii="黑体" w:hAnsi="华文中宋" w:eastAsia="黑体"/>
          <w:bCs/>
          <w:spacing w:val="20"/>
          <w:sz w:val="72"/>
          <w:szCs w:val="72"/>
        </w:rPr>
      </w:pPr>
      <w:r>
        <w:rPr>
          <w:rFonts w:ascii="黑体" w:hAnsi="华文中宋" w:eastAsia="黑体"/>
          <w:bCs/>
          <w:spacing w:val="20"/>
          <w:sz w:val="72"/>
          <w:szCs w:val="72"/>
        </w:rPr>
      </w:r>
      <w:r/>
    </w:p>
    <w:p>
      <w:pPr>
        <w:ind w:firstLine="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p>
    <w:p>
      <w:pPr>
        <w:ind w:firstLine="600"/>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ind w:firstLine="0"/>
        <w:jc w:val="center"/>
        <w:rPr>
          <w:rFonts w:ascii="黑体" w:hAnsi="华文中宋" w:eastAsia="黑体"/>
          <w:bCs/>
          <w:spacing w:val="20"/>
          <w:sz w:val="48"/>
          <w:szCs w:val="48"/>
        </w:rPr>
      </w:pPr>
      <w:r>
        <w:rPr>
          <w:rFonts w:ascii="黑体" w:hAnsi="华文中宋" w:eastAsia="黑体"/>
          <w:bCs/>
          <w:spacing w:val="20"/>
          <w:sz w:val="48"/>
          <w:szCs w:val="48"/>
        </w:rPr>
      </w:r>
      <w:r/>
    </w:p>
    <w:p>
      <w:pPr>
        <w:ind w:firstLine="0"/>
        <w:jc w:val="center"/>
        <w:rPr>
          <w:rFonts w:ascii="黑体" w:hAnsi="华文中宋" w:eastAsia="黑体"/>
          <w:bCs/>
          <w:spacing w:val="20"/>
          <w:sz w:val="48"/>
          <w:szCs w:val="48"/>
        </w:rPr>
      </w:pPr>
      <w:r>
        <w:rPr>
          <w:rFonts w:ascii="黑体" w:hAnsi="华文中宋" w:eastAsia="黑体"/>
          <w:bCs/>
          <w:spacing w:val="20"/>
          <w:sz w:val="48"/>
          <w:szCs w:val="48"/>
        </w:rPr>
      </w:r>
      <w:r/>
    </w:p>
    <w:p>
      <w:pPr>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  标  文  件</w:t>
      </w:r>
      <w:r/>
    </w:p>
    <w:p>
      <w:pPr>
        <w:ind w:firstLine="600"/>
        <w:rPr>
          <w:rFonts w:ascii="华文中宋" w:hAnsi="华文中宋" w:eastAsia="华文中宋"/>
          <w:bCs/>
          <w:sz w:val="30"/>
        </w:rPr>
      </w:pPr>
      <w:r>
        <w:rPr>
          <w:rFonts w:ascii="华文中宋" w:hAnsi="华文中宋" w:eastAsia="华文中宋"/>
          <w:bCs/>
          <w:sz w:val="30"/>
        </w:rPr>
      </w:r>
      <w:r/>
    </w:p>
    <w:p>
      <w:pPr>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b/>
          <w:sz w:val="24"/>
        </w:rPr>
      </w:pPr>
      <w:r>
        <w:rPr>
          <w:b/>
          <w:sz w:val="24"/>
        </w:rPr>
      </w:r>
      <w:r/>
    </w:p>
    <w:p>
      <w:pPr>
        <w:pStyle w:val="834"/>
        <w:ind w:left="0" w:firstLine="0"/>
        <w:rPr>
          <w:rFonts w:ascii="宋体" w:hAnsi="宋体" w:eastAsia="宋体" w:cs="宋体"/>
          <w:b/>
          <w:sz w:val="24"/>
          <w:szCs w:val="21"/>
        </w:rPr>
      </w:pPr>
      <w:r>
        <w:rPr>
          <w:rFonts w:ascii="宋体" w:hAnsi="宋体" w:eastAsia="宋体" w:cs="宋体"/>
          <w:b/>
          <w:sz w:val="24"/>
          <w:szCs w:val="21"/>
        </w:rPr>
      </w:r>
      <w:r/>
    </w:p>
    <w:p>
      <w:pPr>
        <w:ind w:firstLine="0"/>
        <w:jc w:val="left"/>
        <w:spacing w:line="360" w:lineRule="auto"/>
        <w:rPr>
          <w:b/>
          <w:sz w:val="32"/>
          <w:szCs w:val="32"/>
        </w:rPr>
      </w:pPr>
      <w:r>
        <w:rPr>
          <w:b/>
          <w:sz w:val="32"/>
          <w:szCs w:val="32"/>
        </w:rPr>
      </w:r>
      <w:r/>
    </w:p>
    <w:p>
      <w:pPr>
        <w:ind w:firstLine="0"/>
        <w:jc w:val="left"/>
        <w:spacing w:line="360" w:lineRule="auto"/>
        <w:rPr>
          <w:b/>
          <w:sz w:val="32"/>
          <w:szCs w:val="32"/>
        </w:rPr>
      </w:pPr>
      <w:r>
        <w:rPr>
          <w:b/>
          <w:sz w:val="32"/>
          <w:szCs w:val="32"/>
        </w:rPr>
      </w:r>
      <w:r/>
    </w:p>
    <w:p>
      <w:pPr>
        <w:ind w:firstLine="0"/>
        <w:jc w:val="left"/>
        <w:spacing w:line="360" w:lineRule="auto"/>
        <w:rPr>
          <w:b/>
          <w:sz w:val="32"/>
          <w:szCs w:val="32"/>
        </w:rPr>
      </w:pPr>
      <w:r>
        <w:rPr>
          <w:b/>
          <w:sz w:val="32"/>
          <w:szCs w:val="32"/>
        </w:rPr>
      </w:r>
      <w:r/>
    </w:p>
    <w:p>
      <w:pPr>
        <w:ind w:firstLine="0"/>
        <w:jc w:val="left"/>
        <w:spacing w:line="360" w:lineRule="auto"/>
        <w:rPr>
          <w:b/>
          <w:sz w:val="32"/>
          <w:szCs w:val="32"/>
        </w:rPr>
      </w:pPr>
      <w:r>
        <w:rPr>
          <w:b/>
          <w:sz w:val="32"/>
          <w:szCs w:val="32"/>
        </w:rPr>
      </w:r>
      <w:r/>
    </w:p>
    <w:p>
      <w:pPr>
        <w:ind w:firstLine="0"/>
        <w:jc w:val="left"/>
        <w:spacing w:line="360" w:lineRule="auto"/>
        <w:rPr>
          <w:b/>
          <w:sz w:val="32"/>
          <w:szCs w:val="32"/>
        </w:rPr>
      </w:pPr>
      <w:r>
        <w:rPr>
          <w:b/>
          <w:sz w:val="32"/>
          <w:szCs w:val="32"/>
        </w:rPr>
      </w:r>
      <w:r/>
    </w:p>
    <w:p>
      <w:pPr>
        <w:ind w:firstLine="0"/>
        <w:jc w:val="left"/>
        <w:spacing w:line="360" w:lineRule="auto"/>
        <w:rPr>
          <w:b/>
          <w:sz w:val="32"/>
          <w:szCs w:val="32"/>
        </w:rPr>
      </w:pPr>
      <w:r>
        <w:rPr>
          <w:rFonts w:hint="eastAsia"/>
          <w:b/>
          <w:sz w:val="32"/>
          <w:szCs w:val="32"/>
        </w:rPr>
        <w:t xml:space="preserve">政府采购编号：</w:t>
      </w:r>
      <w:r>
        <w:rPr>
          <w:b/>
          <w:sz w:val="32"/>
          <w:szCs w:val="32"/>
        </w:rPr>
        <w:t xml:space="preserve">JSZC-320200-JSHY-G2026-0244</w:t>
      </w:r>
      <w:r/>
    </w:p>
    <w:p>
      <w:pPr>
        <w:ind w:firstLine="0"/>
        <w:spacing w:line="360" w:lineRule="auto"/>
        <w:rPr>
          <w:b/>
          <w:sz w:val="32"/>
          <w:szCs w:val="32"/>
        </w:rPr>
      </w:pPr>
      <w:r>
        <w:rPr>
          <w:rFonts w:hint="eastAsia"/>
          <w:b/>
          <w:sz w:val="32"/>
          <w:szCs w:val="32"/>
        </w:rPr>
        <w:t xml:space="preserve">项目名称：无锡市第二人民医院西门子大型设备维保2年</w:t>
      </w:r>
      <w:r/>
    </w:p>
    <w:p>
      <w:pPr>
        <w:ind w:firstLine="0"/>
        <w:spacing w:line="360" w:lineRule="auto"/>
        <w:rPr>
          <w:b/>
          <w:sz w:val="32"/>
          <w:szCs w:val="32"/>
        </w:rPr>
      </w:pPr>
      <w:r>
        <w:rPr>
          <w:rFonts w:hint="eastAsia"/>
          <w:b/>
          <w:sz w:val="32"/>
          <w:szCs w:val="32"/>
        </w:rPr>
        <w:t xml:space="preserve">采购人：无锡市第二人民医院</w:t>
      </w:r>
      <w:r/>
    </w:p>
    <w:p>
      <w:pPr>
        <w:ind w:firstLine="0"/>
        <w:spacing w:line="360" w:lineRule="auto"/>
        <w:rPr>
          <w:b/>
          <w:sz w:val="24"/>
        </w:rPr>
      </w:pPr>
      <w:r>
        <w:rPr>
          <w:rFonts w:hint="eastAsia"/>
          <w:b/>
          <w:sz w:val="32"/>
          <w:szCs w:val="32"/>
        </w:rPr>
        <w:t xml:space="preserve">采购代理机构：江苏弘业国际技术工程有限公司</w:t>
      </w:r>
      <w:r/>
    </w:p>
    <w:p>
      <w:pPr>
        <w:ind w:firstLine="0"/>
        <w:jc w:val="center"/>
        <w:spacing w:line="360" w:lineRule="auto"/>
        <w:rPr>
          <w:b/>
          <w:sz w:val="32"/>
          <w:szCs w:val="32"/>
        </w:rPr>
      </w:pPr>
      <w:r>
        <w:rPr>
          <w:rFonts w:hint="eastAsia"/>
          <w:b/>
          <w:sz w:val="32"/>
          <w:szCs w:val="32"/>
        </w:rPr>
        <w:t xml:space="preserve">二〇二六年十</w:t>
      </w:r>
      <w:r>
        <w:rPr>
          <w:rFonts w:hint="eastAsia"/>
          <w:b/>
          <w:sz w:val="32"/>
          <w:szCs w:val="32"/>
        </w:rPr>
        <w:t xml:space="preserve">月</w:t>
      </w:r>
      <w:r/>
    </w:p>
    <w:p>
      <w:pPr>
        <w:ind w:firstLine="0"/>
        <w:jc w:val="center"/>
        <w:spacing w:line="360" w:lineRule="auto"/>
        <w:rPr>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b/>
          <w:sz w:val="28"/>
          <w:szCs w:val="28"/>
        </w:rPr>
      </w:pPr>
      <w:r>
        <w:rPr>
          <w:rFonts w:hint="eastAsia"/>
          <w:b/>
          <w:sz w:val="28"/>
          <w:szCs w:val="28"/>
        </w:rPr>
        <w:t xml:space="preserve">第一部分    投标邀请</w:t>
      </w:r>
      <w:r/>
    </w:p>
    <w:p>
      <w:pPr>
        <w:ind w:firstLine="562"/>
        <w:spacing w:line="1000" w:lineRule="exact"/>
        <w:rPr>
          <w:b/>
          <w:sz w:val="28"/>
          <w:szCs w:val="28"/>
        </w:rPr>
      </w:pPr>
      <w:r>
        <w:rPr>
          <w:rFonts w:hint="eastAsia"/>
          <w:b/>
          <w:sz w:val="28"/>
          <w:szCs w:val="28"/>
        </w:rPr>
        <w:t xml:space="preserve">第二部分    供应商须知</w:t>
      </w:r>
      <w:r/>
    </w:p>
    <w:p>
      <w:pPr>
        <w:ind w:firstLine="562"/>
        <w:spacing w:line="1000" w:lineRule="exact"/>
        <w:rPr>
          <w:b/>
          <w:sz w:val="28"/>
          <w:szCs w:val="28"/>
        </w:rPr>
      </w:pPr>
      <w:r>
        <w:rPr>
          <w:rFonts w:hint="eastAsia"/>
          <w:b/>
          <w:sz w:val="28"/>
          <w:szCs w:val="28"/>
        </w:rPr>
        <w:t xml:space="preserve">第三部分    采购需求</w:t>
      </w:r>
      <w:r/>
    </w:p>
    <w:p>
      <w:pPr>
        <w:ind w:firstLine="562"/>
        <w:spacing w:line="1000" w:lineRule="exact"/>
        <w:rPr>
          <w:b/>
          <w:sz w:val="28"/>
          <w:szCs w:val="28"/>
        </w:rPr>
      </w:pPr>
      <w:r>
        <w:rPr>
          <w:rFonts w:hint="eastAsia"/>
          <w:b/>
          <w:sz w:val="28"/>
          <w:szCs w:val="28"/>
        </w:rPr>
        <w:t xml:space="preserve">第四部分    合同条款</w:t>
      </w:r>
      <w:r/>
    </w:p>
    <w:p>
      <w:pPr>
        <w:ind w:firstLine="562"/>
        <w:spacing w:line="1000" w:lineRule="exact"/>
        <w:rPr>
          <w:b/>
          <w:sz w:val="28"/>
          <w:szCs w:val="28"/>
        </w:rPr>
      </w:pPr>
      <w:r>
        <w:rPr>
          <w:rFonts w:hint="eastAsia"/>
          <w:b/>
          <w:sz w:val="28"/>
          <w:szCs w:val="28"/>
        </w:rPr>
        <w:t xml:space="preserve">第五部分    投标文件格式</w:t>
      </w:r>
      <w:r/>
    </w:p>
    <w:p>
      <w:pPr>
        <w:ind w:firstLine="0"/>
        <w:jc w:val="center"/>
        <w:spacing w:before="470"/>
        <w:rPr>
          <w:sz w:val="24"/>
          <w:szCs w:val="24"/>
        </w:rPr>
        <w:outlineLvl w:val="0"/>
      </w:pPr>
      <w:r>
        <w:rPr>
          <w:rFonts w:hint="eastAsia"/>
          <w:b/>
          <w:sz w:val="44"/>
          <w:szCs w:val="44"/>
        </w:rPr>
        <w:br w:type="page" w:clear="all"/>
      </w:r>
      <w:bookmarkStart w:id="0" w:name="_GoBack"/>
      <w:r/>
      <w:bookmarkEnd w:id="0"/>
      <w:r>
        <w:rPr>
          <w:rFonts w:hint="eastAsia"/>
          <w:b/>
          <w:sz w:val="44"/>
          <w:szCs w:val="44"/>
        </w:rPr>
        <w:t xml:space="preserve">第一部分 投标邀请</w:t>
      </w:r>
      <w:r/>
    </w:p>
    <w:p>
      <w:pPr>
        <w:ind w:firstLine="480"/>
        <w:spacing w:line="360" w:lineRule="auto"/>
        <w:rPr>
          <w:sz w:val="24"/>
          <w:szCs w:val="24"/>
        </w:rPr>
      </w:pPr>
      <w:r>
        <w:rPr>
          <w:rFonts w:hint="eastAsia"/>
          <w:sz w:val="24"/>
          <w:szCs w:val="24"/>
        </w:rPr>
        <w:t xml:space="preserve">江苏弘业国际技术工程有限公司受无锡市第二人民医院的委托，对无锡市第二人民医院西门子大型设备维保2年的项目进行公开招标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21"/>
              <w:rPr>
                <w:sz w:val="24"/>
                <w:szCs w:val="24"/>
              </w:rPr>
            </w:pPr>
            <w:r>
              <w:rPr>
                <w:rFonts w:hint="eastAsia"/>
                <w:sz w:val="24"/>
                <w:szCs w:val="24"/>
              </w:rPr>
              <w:t xml:space="preserve">序号</w:t>
            </w:r>
            <w:r/>
          </w:p>
        </w:tc>
        <w:tc>
          <w:tcPr>
            <w:tcW w:w="8033" w:type="dxa"/>
            <w:vAlign w:val="center"/>
            <w:textDirection w:val="lrTb"/>
            <w:noWrap w:val="false"/>
          </w:tcPr>
          <w:p>
            <w:pPr>
              <w:pStyle w:val="1221"/>
              <w:rPr>
                <w:sz w:val="24"/>
                <w:szCs w:val="24"/>
              </w:rPr>
            </w:pPr>
            <w:r>
              <w:rPr>
                <w:rFonts w:hint="eastAsia"/>
                <w:sz w:val="24"/>
                <w:szCs w:val="24"/>
              </w:rPr>
              <w:t xml:space="preserve">内容</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1</w:t>
            </w:r>
            <w:r/>
          </w:p>
        </w:tc>
        <w:tc>
          <w:tcPr>
            <w:tcW w:w="8033" w:type="dxa"/>
            <w:vAlign w:val="center"/>
            <w:textDirection w:val="lrTb"/>
            <w:noWrap w:val="false"/>
          </w:tcPr>
          <w:p>
            <w:pPr>
              <w:pStyle w:val="1221"/>
              <w:rPr>
                <w:sz w:val="24"/>
                <w:szCs w:val="24"/>
              </w:rPr>
            </w:pPr>
            <w:r>
              <w:rPr>
                <w:rFonts w:hint="eastAsia"/>
                <w:sz w:val="24"/>
                <w:szCs w:val="24"/>
              </w:rPr>
              <w:t xml:space="preserve">项目名称：无锡市第二人民医院西门子大型设备维保2年</w:t>
            </w:r>
            <w:r/>
          </w:p>
          <w:p>
            <w:pPr>
              <w:pStyle w:val="1221"/>
              <w:rPr>
                <w:sz w:val="24"/>
                <w:szCs w:val="24"/>
              </w:rPr>
            </w:pPr>
            <w:r>
              <w:rPr>
                <w:rFonts w:hint="eastAsia"/>
                <w:sz w:val="24"/>
                <w:szCs w:val="24"/>
              </w:rPr>
              <w:t xml:space="preserve">采购编号：</w:t>
            </w:r>
            <w:r>
              <w:rPr>
                <w:sz w:val="24"/>
                <w:szCs w:val="24"/>
              </w:rPr>
              <w:t xml:space="preserve">JSZC-320200-JSHY-G2026-0244</w:t>
            </w:r>
            <w:r/>
          </w:p>
          <w:p>
            <w:pPr>
              <w:pStyle w:val="1221"/>
              <w:rPr>
                <w:sz w:val="24"/>
                <w:szCs w:val="24"/>
              </w:rPr>
            </w:pPr>
            <w:r>
              <w:rPr>
                <w:rFonts w:hint="eastAsia"/>
                <w:sz w:val="24"/>
                <w:szCs w:val="24"/>
              </w:rPr>
              <w:t xml:space="preserve">采购方式：公开招标</w:t>
            </w:r>
            <w:r/>
          </w:p>
          <w:p>
            <w:pPr>
              <w:pStyle w:val="1221"/>
              <w:rPr>
                <w:sz w:val="24"/>
                <w:szCs w:val="24"/>
              </w:rPr>
            </w:pPr>
            <w:r>
              <w:rPr>
                <w:rFonts w:hint="eastAsia"/>
                <w:sz w:val="24"/>
                <w:szCs w:val="24"/>
              </w:rPr>
              <w:t xml:space="preserve">采购内容：</w:t>
            </w:r>
            <w:r>
              <w:rPr>
                <w:rFonts w:hint="eastAsia"/>
                <w:sz w:val="24"/>
              </w:rPr>
              <w:t xml:space="preserve">无锡市第二人民医院拟选定1家单位，提供</w:t>
            </w:r>
            <w:r>
              <w:rPr>
                <w:rFonts w:hint="eastAsia"/>
                <w:sz w:val="24"/>
                <w:szCs w:val="24"/>
              </w:rPr>
              <w:t xml:space="preserve">无锡市第二人民医院西门子3.0T磁共振、64排CT、胃肠机、小C臂、骨科C臂、DR、移动DR、DSA、乳腺机、碎石机等设备维保服务。</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2</w:t>
            </w:r>
            <w:r/>
          </w:p>
        </w:tc>
        <w:tc>
          <w:tcPr>
            <w:tcW w:w="8033" w:type="dxa"/>
            <w:vAlign w:val="center"/>
            <w:textDirection w:val="lrTb"/>
            <w:noWrap w:val="false"/>
          </w:tcPr>
          <w:p>
            <w:pPr>
              <w:pStyle w:val="1221"/>
              <w:rPr>
                <w:sz w:val="24"/>
                <w:szCs w:val="24"/>
              </w:rPr>
            </w:pPr>
            <w:r>
              <w:rPr>
                <w:rFonts w:hint="eastAsia"/>
                <w:sz w:val="24"/>
                <w:szCs w:val="24"/>
              </w:rPr>
              <w:t xml:space="preserve">采购人：无锡市第二人民医院</w:t>
            </w:r>
            <w:r/>
          </w:p>
          <w:p>
            <w:pPr>
              <w:pStyle w:val="1221"/>
              <w:rPr>
                <w:sz w:val="24"/>
                <w:szCs w:val="24"/>
              </w:rPr>
            </w:pPr>
            <w:r>
              <w:rPr>
                <w:rFonts w:hint="eastAsia"/>
                <w:sz w:val="24"/>
                <w:szCs w:val="24"/>
              </w:rPr>
              <w:t xml:space="preserve">地址：无锡市中山路68号</w:t>
            </w:r>
            <w:r/>
          </w:p>
          <w:p>
            <w:pPr>
              <w:pStyle w:val="1221"/>
              <w:rPr>
                <w:sz w:val="24"/>
                <w:szCs w:val="24"/>
              </w:rPr>
            </w:pPr>
            <w:r>
              <w:rPr>
                <w:rFonts w:hint="eastAsia"/>
                <w:sz w:val="24"/>
                <w:szCs w:val="24"/>
              </w:rPr>
              <w:t xml:space="preserve">联系人：</w:t>
            </w:r>
            <w:r>
              <w:rPr>
                <w:sz w:val="24"/>
                <w:szCs w:val="24"/>
              </w:rPr>
              <w:t xml:space="preserve">惠老师</w:t>
            </w:r>
            <w:r/>
          </w:p>
          <w:p>
            <w:pPr>
              <w:pStyle w:val="1221"/>
              <w:rPr>
                <w:sz w:val="24"/>
                <w:szCs w:val="24"/>
              </w:rPr>
            </w:pPr>
            <w:r>
              <w:rPr>
                <w:rFonts w:hint="eastAsia"/>
                <w:sz w:val="24"/>
                <w:szCs w:val="24"/>
              </w:rPr>
              <w:t xml:space="preserve">联系方式：</w:t>
            </w:r>
            <w:r>
              <w:rPr>
                <w:sz w:val="24"/>
                <w:szCs w:val="24"/>
              </w:rPr>
              <w:t xml:space="preserve">0510-68563113</w:t>
            </w:r>
            <w:r/>
          </w:p>
          <w:p>
            <w:pPr>
              <w:pStyle w:val="1221"/>
              <w:rPr>
                <w:sz w:val="24"/>
                <w:szCs w:val="24"/>
              </w:rPr>
            </w:pPr>
            <w:r>
              <w:rPr>
                <w:rFonts w:hint="eastAsia"/>
                <w:sz w:val="24"/>
                <w:szCs w:val="24"/>
              </w:rPr>
              <w:t xml:space="preserve">采购代理机构：江苏弘业国际技术工程有限公司</w:t>
            </w:r>
            <w:r/>
          </w:p>
          <w:p>
            <w:pPr>
              <w:pStyle w:val="1221"/>
              <w:rPr>
                <w:sz w:val="24"/>
                <w:szCs w:val="24"/>
              </w:rPr>
            </w:pPr>
            <w:r>
              <w:rPr>
                <w:rFonts w:hint="eastAsia"/>
                <w:sz w:val="24"/>
                <w:szCs w:val="24"/>
              </w:rPr>
              <w:t xml:space="preserve">地址：无锡市经开区金融八街8号无锡市联合金融大厦2002室</w:t>
            </w:r>
            <w:r/>
          </w:p>
          <w:p>
            <w:pPr>
              <w:pStyle w:val="1221"/>
              <w:rPr>
                <w:sz w:val="24"/>
                <w:szCs w:val="24"/>
              </w:rPr>
            </w:pPr>
            <w:r>
              <w:rPr>
                <w:rFonts w:hint="eastAsia"/>
                <w:sz w:val="24"/>
                <w:szCs w:val="24"/>
              </w:rPr>
              <w:t xml:space="preserve">联系电话：0510-82408785</w:t>
            </w:r>
            <w:r/>
          </w:p>
          <w:p>
            <w:pPr>
              <w:pStyle w:val="1221"/>
              <w:rPr>
                <w:sz w:val="24"/>
                <w:szCs w:val="24"/>
              </w:rPr>
            </w:pPr>
            <w:r>
              <w:rPr>
                <w:rFonts w:hint="eastAsia"/>
                <w:sz w:val="24"/>
                <w:szCs w:val="24"/>
              </w:rPr>
              <w:t xml:space="preserve">联系人：代民安、汤淼</w:t>
            </w:r>
            <w:r/>
          </w:p>
          <w:p>
            <w:pPr>
              <w:pStyle w:val="1221"/>
              <w:rPr>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3</w:t>
            </w:r>
            <w:r/>
          </w:p>
        </w:tc>
        <w:tc>
          <w:tcPr>
            <w:tcW w:w="8033" w:type="dxa"/>
            <w:vAlign w:val="center"/>
            <w:textDirection w:val="lrTb"/>
            <w:noWrap w:val="false"/>
          </w:tcPr>
          <w:p>
            <w:pPr>
              <w:pStyle w:val="1221"/>
              <w:numPr>
                <w:ilvl w:val="0"/>
                <w:numId w:val="10"/>
              </w:numPr>
              <w:rPr>
                <w:sz w:val="24"/>
                <w:szCs w:val="24"/>
              </w:rPr>
            </w:pPr>
            <w:r>
              <w:rPr>
                <w:rFonts w:hint="eastAsia"/>
                <w:sz w:val="24"/>
                <w:szCs w:val="24"/>
              </w:rPr>
              <w:t xml:space="preserve">招标范围：无锡市第二人民医院</w:t>
            </w:r>
            <w:r>
              <w:rPr>
                <w:sz w:val="24"/>
                <w:szCs w:val="24"/>
              </w:rPr>
              <w:t xml:space="preserve">西门子3.0T磁共振、64排CT、胃肠机、小C臂、骨科C臂、DR、移动DR、DSA、乳腺机、碎石机等设备</w:t>
            </w:r>
            <w:r>
              <w:rPr>
                <w:rFonts w:hint="eastAsia"/>
                <w:sz w:val="24"/>
                <w:szCs w:val="24"/>
              </w:rPr>
              <w:t xml:space="preserve">维保服务，各设备的维保范围详见采购需求，保修期内若发生故障免费更换保修范围内的所有存在问题的零部件；</w:t>
            </w:r>
            <w:r/>
          </w:p>
          <w:p>
            <w:pPr>
              <w:pStyle w:val="1221"/>
              <w:rPr>
                <w:sz w:val="24"/>
                <w:szCs w:val="24"/>
              </w:rPr>
            </w:pPr>
            <w:r>
              <w:rPr>
                <w:rFonts w:hint="eastAsia"/>
                <w:sz w:val="24"/>
                <w:szCs w:val="24"/>
              </w:rPr>
              <w:t xml:space="preserve">（2）合同履行期限：合同签订之日起2年；</w:t>
            </w:r>
            <w:r/>
          </w:p>
          <w:p>
            <w:pPr>
              <w:pStyle w:val="1221"/>
              <w:rPr>
                <w:sz w:val="24"/>
                <w:szCs w:val="24"/>
              </w:rPr>
            </w:pPr>
            <w:r>
              <w:rPr>
                <w:rFonts w:hint="eastAsia"/>
                <w:sz w:val="24"/>
                <w:szCs w:val="24"/>
              </w:rPr>
              <w:t xml:space="preserve">（3）服务质量要求：满足采购人使用要求；</w:t>
            </w:r>
            <w:r/>
          </w:p>
          <w:p>
            <w:pPr>
              <w:pStyle w:val="1221"/>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否；</w:t>
            </w:r>
            <w:r/>
          </w:p>
          <w:p>
            <w:pPr>
              <w:pStyle w:val="1221"/>
              <w:rPr>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hint="eastAsia"/>
                <w:sz w:val="24"/>
                <w:szCs w:val="24"/>
              </w:rPr>
              <w:t xml:space="preserve">根据中小企业划型标准规定（工信部联企业〔2011〕300号）中的：其他未列明行业。从业人员300人以下的为中小</w:t>
            </w:r>
            <w:r>
              <w:rPr>
                <w:rFonts w:hint="eastAsia"/>
                <w:sz w:val="24"/>
                <w:szCs w:val="24"/>
              </w:rPr>
              <w:t xml:space="preserve">微型企业。其中，从业人员100人及以上的为中型企业；从业人员10人及以上的为小型企业；从业人员10人以下的为微型企业。</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sz w:val="24"/>
                <w:szCs w:val="24"/>
              </w:rPr>
            </w:pPr>
            <w:r>
              <w:rPr>
                <w:rFonts w:hint="eastAsia"/>
                <w:sz w:val="24"/>
                <w:szCs w:val="24"/>
              </w:rPr>
              <w:t xml:space="preserve">供应商资格条件：</w:t>
            </w:r>
            <w:r/>
          </w:p>
          <w:p>
            <w:pPr>
              <w:ind w:left="-25" w:firstLine="0"/>
              <w:spacing w:line="360" w:lineRule="auto"/>
              <w:rPr>
                <w:sz w:val="24"/>
                <w:szCs w:val="24"/>
                <w:lang w:val="zh-CN"/>
              </w:rPr>
            </w:pPr>
            <w:r>
              <w:rPr>
                <w:rFonts w:hint="eastAsia"/>
                <w:sz w:val="24"/>
                <w:szCs w:val="24"/>
                <w:lang w:val="zh-CN"/>
              </w:rPr>
              <w:t xml:space="preserve">1.满足《中华人民共和国政府采购法》第二十二条规定；</w:t>
            </w:r>
            <w:r/>
          </w:p>
          <w:p>
            <w:pPr>
              <w:ind w:left="-25" w:firstLine="0"/>
              <w:spacing w:line="360" w:lineRule="auto"/>
              <w:rPr>
                <w:sz w:val="24"/>
              </w:rPr>
            </w:pPr>
            <w:r>
              <w:rPr>
                <w:rFonts w:hint="eastAsia"/>
                <w:sz w:val="24"/>
                <w:szCs w:val="24"/>
                <w:lang w:val="zh-CN"/>
              </w:rPr>
              <w:t xml:space="preserve">2.落实政府采购政策需满足的资格要求：</w:t>
            </w:r>
            <w:r>
              <w:rPr>
                <w:rFonts w:cs="Times New Roman"/>
                <w:bCs/>
                <w:sz w:val="24"/>
                <w:szCs w:val="24"/>
              </w:rPr>
              <w:t xml:space="preserve">本项目非专门面向中小微企业采购（残疾人福利性单位、监狱企业视同小型、微型企业）</w:t>
            </w:r>
            <w:r>
              <w:rPr>
                <w:rFonts w:hint="eastAsia" w:cs="Times New Roman"/>
                <w:bCs/>
                <w:sz w:val="24"/>
                <w:szCs w:val="24"/>
              </w:rPr>
              <w:t xml:space="preserve">；</w:t>
            </w:r>
            <w:r/>
          </w:p>
          <w:p>
            <w:pPr>
              <w:ind w:left="-25" w:firstLine="0"/>
              <w:spacing w:line="360" w:lineRule="auto"/>
              <w:rPr>
                <w:sz w:val="24"/>
                <w:szCs w:val="24"/>
                <w:lang w:val="zh-CN"/>
              </w:rPr>
            </w:pPr>
            <w:r>
              <w:rPr>
                <w:rFonts w:hint="eastAsia"/>
                <w:sz w:val="24"/>
                <w:szCs w:val="24"/>
                <w:lang w:val="zh-CN"/>
              </w:rPr>
              <w:t xml:space="preserve">3.本项目的特定资格要求：</w:t>
            </w:r>
            <w:r/>
          </w:p>
          <w:p>
            <w:pPr>
              <w:ind w:left="-25" w:firstLine="0"/>
              <w:spacing w:line="360" w:lineRule="auto"/>
              <w:rPr>
                <w:sz w:val="24"/>
                <w:szCs w:val="24"/>
              </w:rPr>
            </w:pPr>
            <w:r>
              <w:rPr>
                <w:rFonts w:hint="eastAsia"/>
                <w:sz w:val="24"/>
                <w:szCs w:val="24"/>
              </w:rPr>
              <w:t xml:space="preserve">1）供应商须为在中华人民共和国境内注册，能够合法提供本采购项目服务的独立法人企事业单位或其他组织</w:t>
            </w:r>
            <w:r>
              <w:rPr>
                <w:rFonts w:hint="eastAsia"/>
                <w:sz w:val="24"/>
                <w:szCs w:val="24"/>
                <w:lang w:val="zh-CN"/>
              </w:rPr>
              <w:t xml:space="preserve">；</w:t>
            </w:r>
            <w:r/>
          </w:p>
          <w:p>
            <w:pPr>
              <w:ind w:left="-25" w:firstLine="0"/>
              <w:spacing w:line="360" w:lineRule="auto"/>
              <w:rPr>
                <w:sz w:val="24"/>
                <w:szCs w:val="24"/>
              </w:rPr>
            </w:pPr>
            <w:r>
              <w:rPr>
                <w:rFonts w:hint="eastAsia"/>
                <w:sz w:val="24"/>
                <w:szCs w:val="24"/>
              </w:rPr>
              <w:t xml:space="preserve">2）供应商须</w:t>
            </w:r>
            <w:r>
              <w:rPr>
                <w:rFonts w:hint="eastAsia"/>
                <w:color w:val="000000"/>
                <w:sz w:val="24"/>
              </w:rPr>
              <w:t xml:space="preserve">具备有效期内的辐射安全许可证；</w:t>
            </w:r>
            <w:r/>
          </w:p>
          <w:p>
            <w:pPr>
              <w:ind w:left="-25" w:firstLine="0"/>
              <w:spacing w:line="360" w:lineRule="auto"/>
              <w:rPr>
                <w:sz w:val="24"/>
                <w:szCs w:val="24"/>
              </w:rPr>
            </w:pPr>
            <w:r>
              <w:rPr>
                <w:rFonts w:hint="eastAsia"/>
                <w:sz w:val="24"/>
                <w:szCs w:val="24"/>
              </w:rPr>
              <w:t xml:space="preserve">3）</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sz w:val="24"/>
                <w:szCs w:val="24"/>
                <w:lang w:val="zh-CN"/>
              </w:rPr>
              <w:t xml:space="preserve">；</w:t>
            </w:r>
            <w:r/>
          </w:p>
          <w:p>
            <w:pPr>
              <w:ind w:left="-25" w:firstLine="0"/>
              <w:spacing w:line="360" w:lineRule="auto"/>
              <w:rPr>
                <w:sz w:val="24"/>
                <w:szCs w:val="24"/>
              </w:rPr>
            </w:pPr>
            <w:r>
              <w:rPr>
                <w:rFonts w:hint="eastAsia"/>
                <w:sz w:val="24"/>
                <w:szCs w:val="24"/>
              </w:rPr>
              <w:t xml:space="preserve">4）供应商须具有良好的银行资信和商业信誉，财务状况良好，近3年内（如供应商成立时间不满3年，则要求供应商自成立以来），无不良经营行为，没有处于被责令停业，财产被接管、冻结、破产状态；</w:t>
            </w:r>
            <w:r/>
          </w:p>
          <w:p>
            <w:pPr>
              <w:ind w:left="-25" w:firstLine="0"/>
              <w:spacing w:line="360" w:lineRule="auto"/>
              <w:rPr>
                <w:sz w:val="24"/>
                <w:szCs w:val="24"/>
              </w:rPr>
            </w:pPr>
            <w:r>
              <w:rPr>
                <w:rFonts w:hint="eastAsia"/>
                <w:sz w:val="24"/>
                <w:szCs w:val="24"/>
              </w:rPr>
              <w:t xml:space="preserve">5）供应商被授权代表须为供应商在职员工，须提供由法定的社保收缴部门出具的近六个月中任意一个月（不含投标当月）的供应商为被授权代表依法缴纳社会保险证明材料；</w:t>
            </w:r>
            <w:r/>
          </w:p>
          <w:p>
            <w:pPr>
              <w:ind w:left="-25" w:firstLine="0"/>
              <w:spacing w:line="360" w:lineRule="auto"/>
              <w:rPr>
                <w:sz w:val="24"/>
                <w:szCs w:val="24"/>
              </w:rPr>
            </w:pPr>
            <w:r>
              <w:rPr>
                <w:rFonts w:hint="eastAsia"/>
                <w:sz w:val="24"/>
                <w:szCs w:val="24"/>
              </w:rPr>
              <w:t xml:space="preserve">6）拒绝下述供应商参加本次采购活动：</w:t>
            </w:r>
            <w:r/>
          </w:p>
          <w:p>
            <w:pPr>
              <w:ind w:left="-25" w:firstLine="0"/>
              <w:spacing w:line="360" w:lineRule="auto"/>
              <w:rPr>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sz w:val="24"/>
                <w:szCs w:val="24"/>
              </w:rPr>
            </w:pPr>
            <w:r>
              <w:rPr>
                <w:rFonts w:hint="eastAsia"/>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p>
          <w:p>
            <w:pPr>
              <w:ind w:left="-25" w:firstLine="0"/>
              <w:spacing w:line="360" w:lineRule="auto"/>
              <w:rPr>
                <w:sz w:val="24"/>
                <w:szCs w:val="24"/>
              </w:rPr>
            </w:pPr>
            <w:r>
              <w:rPr>
                <w:rFonts w:hint="eastAsia"/>
                <w:sz w:val="24"/>
              </w:rPr>
              <w:t xml:space="preserve">4.</w:t>
            </w:r>
            <w:r>
              <w:rPr>
                <w:rFonts w:hint="eastAsia"/>
                <w:sz w:val="24"/>
                <w:szCs w:val="24"/>
              </w:rPr>
              <w:t xml:space="preserve">本项目不允许联合体参与投标。</w:t>
            </w:r>
            <w:r/>
          </w:p>
          <w:p>
            <w:pPr>
              <w:ind w:left="-25" w:firstLine="0"/>
              <w:spacing w:line="360" w:lineRule="auto"/>
              <w:rPr>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trHeight w:val="581"/>
        </w:trPr>
        <w:tc>
          <w:tcPr>
            <w:tcW w:w="864" w:type="dxa"/>
            <w:vAlign w:val="center"/>
            <w:textDirection w:val="lrTb"/>
            <w:noWrap w:val="false"/>
          </w:tcPr>
          <w:p>
            <w:pPr>
              <w:pStyle w:val="1221"/>
              <w:jc w:val="center"/>
              <w:rPr>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sz w:val="24"/>
                <w:szCs w:val="24"/>
              </w:rPr>
            </w:pPr>
            <w:r>
              <w:rPr>
                <w:rFonts w:hint="eastAsia"/>
                <w:sz w:val="24"/>
                <w:szCs w:val="24"/>
              </w:rPr>
              <w:t xml:space="preserve">（1）潜在供应商访问政府采购管理交易系统（苏采云）的方法：“苏采云”系统用户注册--获取“CA数字证书”--CA绑定与登录--网上报名--下</w:t>
            </w:r>
            <w:r>
              <w:rPr>
                <w:rFonts w:hint="eastAsia"/>
                <w:sz w:val="24"/>
                <w:szCs w:val="24"/>
              </w:rPr>
              <w:t xml:space="preserve">载采购文件（后缀名为“.kedt”）--将后缀名为“.kedt”的采购文件导入政府采购客户端工具--制作投标文件--导出加密的投标文件（后缀名为zip）--通过“苏采云”系统上传投标文件。</w:t>
            </w:r>
            <w:r/>
          </w:p>
          <w:p>
            <w:pPr>
              <w:ind w:firstLine="0"/>
              <w:jc w:val="left"/>
              <w:spacing w:line="360" w:lineRule="auto"/>
              <w:widowControl/>
              <w:rPr>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sz w:val="24"/>
                <w:szCs w:val="24"/>
              </w:rPr>
            </w:pPr>
            <w:r>
              <w:rPr>
                <w:rFonts w:hint="eastAsia"/>
                <w:sz w:val="24"/>
                <w:szCs w:val="24"/>
              </w:rPr>
              <w:t xml:space="preserve">（3）“CA数字证书”的办理材料以及供应商操作手册详见：</w:t>
            </w:r>
            <w:r/>
          </w:p>
          <w:p>
            <w:pPr>
              <w:ind w:firstLine="0"/>
              <w:jc w:val="left"/>
              <w:spacing w:line="360" w:lineRule="auto"/>
              <w:widowControl/>
              <w:rPr>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p>
          <w:p>
            <w:pPr>
              <w:ind w:firstLine="0"/>
              <w:jc w:val="left"/>
              <w:spacing w:line="360" w:lineRule="auto"/>
              <w:widowControl/>
              <w:rPr>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sz w:val="24"/>
                <w:szCs w:val="24"/>
              </w:rPr>
            </w:pPr>
            <w:r>
              <w:rPr>
                <w:rFonts w:hint="eastAsia"/>
                <w:sz w:val="24"/>
                <w:szCs w:val="24"/>
              </w:rPr>
              <w:t xml:space="preserve">（7）苏采云系统使用谷歌浏览器参与不见面开标。</w:t>
            </w:r>
            <w:r/>
          </w:p>
          <w:p>
            <w:pPr>
              <w:ind w:firstLine="0"/>
              <w:jc w:val="left"/>
              <w:spacing w:line="360" w:lineRule="auto"/>
              <w:shd w:val="clear" w:color="auto" w:fill="ffffff"/>
              <w:widowControl/>
              <w:rPr>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sz w:val="24"/>
                <w:szCs w:val="24"/>
              </w:rPr>
            </w:pPr>
            <w:r>
              <w:rPr>
                <w:rFonts w:hint="eastAsia"/>
                <w:sz w:val="24"/>
                <w:szCs w:val="24"/>
              </w:rPr>
              <w:t xml:space="preserve">获取招标文件方式：供应商登录“苏采云”系统http://jszfcg.jsczt.cn/在线申请获取采购文件</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7</w:t>
            </w:r>
            <w:r/>
          </w:p>
        </w:tc>
        <w:tc>
          <w:tcPr>
            <w:tcW w:w="8033" w:type="dxa"/>
            <w:vAlign w:val="center"/>
            <w:textDirection w:val="lrTb"/>
            <w:noWrap w:val="false"/>
          </w:tcPr>
          <w:p>
            <w:pPr>
              <w:ind w:firstLine="0"/>
              <w:jc w:val="left"/>
              <w:spacing w:line="360" w:lineRule="auto"/>
              <w:shd w:val="clear" w:color="auto" w:fill="ffffff"/>
              <w:widowControl/>
              <w:rPr>
                <w:sz w:val="24"/>
                <w:szCs w:val="24"/>
              </w:rPr>
            </w:pPr>
            <w:r>
              <w:rPr>
                <w:rFonts w:hint="eastAsia"/>
                <w:sz w:val="24"/>
                <w:szCs w:val="24"/>
              </w:rPr>
              <w:t xml:space="preserve">供应商可在2026年</w:t>
            </w:r>
            <w:r>
              <w:rPr>
                <w:sz w:val="24"/>
                <w:szCs w:val="24"/>
              </w:rPr>
              <w:t xml:space="preserve">10</w:t>
            </w:r>
            <w:r>
              <w:rPr>
                <w:rFonts w:hint="eastAsia"/>
                <w:sz w:val="24"/>
                <w:szCs w:val="24"/>
              </w:rPr>
              <w:t xml:space="preserve">月</w:t>
            </w:r>
            <w:r>
              <w:rPr>
                <w:sz w:val="24"/>
                <w:szCs w:val="24"/>
              </w:rPr>
              <w:t xml:space="preserve">26</w:t>
            </w:r>
            <w:r>
              <w:rPr>
                <w:rFonts w:hint="eastAsia"/>
                <w:sz w:val="24"/>
                <w:szCs w:val="24"/>
              </w:rPr>
              <w:t xml:space="preserve">日17:00前对招标文件需要澄清的问题发至代理机构登记的邮箱。</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8</w:t>
            </w:r>
            <w:r/>
          </w:p>
        </w:tc>
        <w:tc>
          <w:tcPr>
            <w:tcW w:w="8033" w:type="dxa"/>
            <w:vAlign w:val="center"/>
            <w:textDirection w:val="lrTb"/>
            <w:noWrap w:val="false"/>
          </w:tcPr>
          <w:p>
            <w:pPr>
              <w:pStyle w:val="1221"/>
              <w:rPr>
                <w:sz w:val="24"/>
                <w:szCs w:val="24"/>
              </w:rPr>
            </w:pPr>
            <w:r>
              <w:rPr>
                <w:rFonts w:hint="eastAsia"/>
                <w:sz w:val="24"/>
                <w:szCs w:val="24"/>
              </w:rPr>
              <w:t xml:space="preserve">本项目无需缴纳投标保证金</w:t>
            </w:r>
            <w:r/>
          </w:p>
        </w:tc>
      </w:tr>
      <w:tr>
        <w:trPr>
          <w:trHeight w:val="571"/>
        </w:trPr>
        <w:tc>
          <w:tcPr>
            <w:tcW w:w="864" w:type="dxa"/>
            <w:vAlign w:val="center"/>
            <w:textDirection w:val="lrTb"/>
            <w:noWrap w:val="false"/>
          </w:tcPr>
          <w:p>
            <w:pPr>
              <w:pStyle w:val="1221"/>
              <w:jc w:val="center"/>
              <w:rPr>
                <w:sz w:val="24"/>
                <w:szCs w:val="24"/>
              </w:rPr>
            </w:pPr>
            <w:r>
              <w:rPr>
                <w:rFonts w:hint="eastAsia"/>
                <w:sz w:val="24"/>
                <w:szCs w:val="24"/>
              </w:rPr>
              <w:t xml:space="preserve">9</w:t>
            </w:r>
            <w:r/>
          </w:p>
        </w:tc>
        <w:tc>
          <w:tcPr>
            <w:tcW w:w="8033" w:type="dxa"/>
            <w:vAlign w:val="center"/>
            <w:textDirection w:val="lrTb"/>
            <w:noWrap w:val="false"/>
          </w:tcPr>
          <w:p>
            <w:pPr>
              <w:pStyle w:val="1221"/>
              <w:rPr>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221"/>
              <w:jc w:val="center"/>
              <w:rPr>
                <w:sz w:val="24"/>
                <w:szCs w:val="24"/>
              </w:rPr>
            </w:pPr>
            <w:r>
              <w:rPr>
                <w:rFonts w:hint="eastAsia"/>
                <w:sz w:val="24"/>
                <w:szCs w:val="24"/>
              </w:rPr>
              <w:t xml:space="preserve">10</w:t>
            </w:r>
            <w:r/>
          </w:p>
        </w:tc>
        <w:tc>
          <w:tcPr>
            <w:tcW w:w="8033" w:type="dxa"/>
            <w:vAlign w:val="center"/>
            <w:textDirection w:val="lrTb"/>
            <w:noWrap w:val="false"/>
          </w:tcPr>
          <w:p>
            <w:pPr>
              <w:pStyle w:val="1221"/>
              <w:rPr>
                <w:sz w:val="24"/>
                <w:szCs w:val="24"/>
              </w:rPr>
            </w:pPr>
            <w:r>
              <w:rPr>
                <w:rFonts w:hint="eastAsia"/>
                <w:sz w:val="24"/>
                <w:szCs w:val="24"/>
              </w:rPr>
              <w:t xml:space="preserve">（1）本项目预算金额：1000.00万元。</w:t>
            </w:r>
            <w:r/>
          </w:p>
          <w:p>
            <w:pPr>
              <w:pStyle w:val="1221"/>
              <w:rPr>
                <w:sz w:val="24"/>
                <w:szCs w:val="24"/>
              </w:rPr>
            </w:pPr>
            <w:r>
              <w:rPr>
                <w:rFonts w:hint="eastAsia"/>
                <w:sz w:val="24"/>
                <w:szCs w:val="24"/>
              </w:rPr>
              <w:t xml:space="preserve">（2）最高限价：1000.00万元；投标报价高于最高限价的作为无效投标处理。</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11</w:t>
            </w:r>
            <w:r/>
          </w:p>
        </w:tc>
        <w:tc>
          <w:tcPr>
            <w:tcW w:w="8033" w:type="dxa"/>
            <w:vAlign w:val="center"/>
            <w:textDirection w:val="lrTb"/>
            <w:noWrap w:val="false"/>
          </w:tcPr>
          <w:p>
            <w:pPr>
              <w:pStyle w:val="1221"/>
              <w:rPr>
                <w:rFonts w:hint="eastAsia"/>
                <w:sz w:val="24"/>
                <w:szCs w:val="24"/>
              </w:rPr>
            </w:pPr>
            <w:r>
              <w:rPr>
                <w:rFonts w:hint="eastAsia"/>
                <w:sz w:val="24"/>
                <w:szCs w:val="24"/>
              </w:rPr>
              <w:t xml:space="preserve">网上投标截止时间：2026年</w:t>
            </w:r>
            <w:r>
              <w:rPr>
                <w:sz w:val="24"/>
                <w:szCs w:val="24"/>
              </w:rPr>
              <w:t xml:space="preserve">11</w:t>
            </w:r>
            <w:r>
              <w:rPr>
                <w:rFonts w:hint="eastAsia"/>
                <w:sz w:val="24"/>
                <w:szCs w:val="24"/>
              </w:rPr>
              <w:t xml:space="preserve">月</w:t>
            </w:r>
            <w:r>
              <w:rPr>
                <w:rFonts w:hint="eastAsia"/>
                <w:sz w:val="24"/>
                <w:szCs w:val="24"/>
              </w:rPr>
              <w:t xml:space="preserve">9日</w:t>
            </w:r>
            <w:r>
              <w:rPr>
                <w:rFonts w:hint="eastAsia"/>
                <w:sz w:val="24"/>
                <w:szCs w:val="24"/>
              </w:rPr>
              <w:t xml:space="preserve">下午14</w:t>
            </w:r>
            <w:r>
              <w:rPr>
                <w:rFonts w:hint="eastAsia"/>
                <w:sz w:val="24"/>
                <w:szCs w:val="24"/>
              </w:rPr>
              <w:t xml:space="preserve">:00</w:t>
            </w:r>
            <w:r/>
          </w:p>
          <w:p>
            <w:pPr>
              <w:pStyle w:val="1221"/>
              <w:rPr>
                <w:sz w:val="24"/>
                <w:szCs w:val="24"/>
              </w:rPr>
            </w:pPr>
            <w:r>
              <w:rPr>
                <w:rFonts w:hint="eastAsia"/>
                <w:sz w:val="24"/>
                <w:szCs w:val="24"/>
              </w:rPr>
              <w:t xml:space="preserve">网上解密时间：开启解密后30分钟</w:t>
            </w:r>
            <w:r/>
          </w:p>
          <w:p>
            <w:pPr>
              <w:pStyle w:val="1221"/>
              <w:rPr>
                <w:sz w:val="24"/>
                <w:szCs w:val="24"/>
              </w:rPr>
            </w:pPr>
            <w:r>
              <w:rPr>
                <w:rFonts w:hint="eastAsia"/>
                <w:sz w:val="24"/>
                <w:szCs w:val="24"/>
              </w:rPr>
              <w:t xml:space="preserve">截止时间后递交的投标文件恕不接受。</w:t>
            </w:r>
            <w:r/>
          </w:p>
          <w:p>
            <w:pPr>
              <w:pStyle w:val="1221"/>
              <w:rPr>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12</w:t>
            </w:r>
            <w:r/>
          </w:p>
        </w:tc>
        <w:tc>
          <w:tcPr>
            <w:tcW w:w="8033" w:type="dxa"/>
            <w:vAlign w:val="center"/>
            <w:textDirection w:val="lrTb"/>
            <w:noWrap w:val="false"/>
          </w:tcPr>
          <w:p>
            <w:pPr>
              <w:pStyle w:val="1221"/>
              <w:rPr>
                <w:rFonts w:hint="eastAsia"/>
                <w:sz w:val="24"/>
                <w:szCs w:val="24"/>
              </w:rPr>
            </w:pPr>
            <w:r>
              <w:rPr>
                <w:rFonts w:hint="eastAsia"/>
                <w:sz w:val="24"/>
                <w:szCs w:val="24"/>
              </w:rPr>
              <w:t xml:space="preserve">开标时间：2026年</w:t>
            </w:r>
            <w:r>
              <w:rPr>
                <w:sz w:val="24"/>
                <w:szCs w:val="24"/>
              </w:rPr>
              <w:t xml:space="preserve">11</w:t>
            </w:r>
            <w:r>
              <w:rPr>
                <w:rFonts w:hint="eastAsia"/>
                <w:sz w:val="24"/>
                <w:szCs w:val="24"/>
              </w:rPr>
              <w:t xml:space="preserve">月</w:t>
            </w:r>
            <w:r>
              <w:rPr>
                <w:rFonts w:hint="eastAsia"/>
                <w:sz w:val="24"/>
                <w:szCs w:val="24"/>
              </w:rPr>
              <w:t xml:space="preserve">9日</w:t>
            </w:r>
            <w:r>
              <w:rPr>
                <w:rFonts w:hint="eastAsia"/>
                <w:sz w:val="24"/>
                <w:szCs w:val="24"/>
              </w:rPr>
              <w:t xml:space="preserve">下午14</w:t>
            </w:r>
            <w:r>
              <w:rPr>
                <w:rFonts w:hint="eastAsia"/>
                <w:sz w:val="24"/>
                <w:szCs w:val="24"/>
              </w:rPr>
              <w:t xml:space="preserve">:00</w:t>
            </w:r>
            <w:r/>
          </w:p>
          <w:p>
            <w:pPr>
              <w:pStyle w:val="1221"/>
              <w:rPr>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221"/>
              <w:jc w:val="center"/>
              <w:rPr>
                <w:sz w:val="24"/>
                <w:szCs w:val="24"/>
              </w:rPr>
            </w:pPr>
            <w:r>
              <w:rPr>
                <w:rFonts w:hint="eastAsia"/>
                <w:sz w:val="24"/>
                <w:szCs w:val="24"/>
              </w:rPr>
              <w:t xml:space="preserve">13</w:t>
            </w:r>
            <w:r/>
          </w:p>
        </w:tc>
        <w:tc>
          <w:tcPr>
            <w:tcW w:w="8033" w:type="dxa"/>
            <w:vAlign w:val="center"/>
            <w:textDirection w:val="lrTb"/>
            <w:noWrap w:val="false"/>
          </w:tcPr>
          <w:p>
            <w:pPr>
              <w:pStyle w:val="1221"/>
              <w:rPr>
                <w:sz w:val="24"/>
                <w:szCs w:val="24"/>
              </w:rPr>
            </w:pPr>
            <w:r>
              <w:rPr>
                <w:rFonts w:hint="eastAsia"/>
                <w:sz w:val="24"/>
                <w:szCs w:val="24"/>
              </w:rPr>
              <w:t xml:space="preserve">确定中标单位时间：2026年</w:t>
            </w:r>
            <w:r>
              <w:rPr>
                <w:sz w:val="24"/>
                <w:szCs w:val="24"/>
              </w:rPr>
              <w:t xml:space="preserve">11</w:t>
            </w:r>
            <w:r>
              <w:rPr>
                <w:rFonts w:hint="eastAsia"/>
                <w:sz w:val="24"/>
                <w:szCs w:val="24"/>
              </w:rPr>
              <w:t xml:space="preserve">月</w:t>
            </w:r>
            <w:r>
              <w:rPr>
                <w:rFonts w:hint="eastAsia"/>
                <w:sz w:val="24"/>
                <w:szCs w:val="24"/>
              </w:rPr>
              <w:t xml:space="preserve">9日评审结束后</w:t>
            </w:r>
            <w:r/>
          </w:p>
          <w:p>
            <w:pPr>
              <w:pStyle w:val="1221"/>
              <w:rPr>
                <w:sz w:val="24"/>
                <w:szCs w:val="24"/>
              </w:rPr>
            </w:pPr>
            <w:r>
              <w:rPr>
                <w:rFonts w:hint="eastAsia"/>
                <w:sz w:val="24"/>
                <w:szCs w:val="24"/>
              </w:rPr>
              <w:t xml:space="preserve">确定中标单位地点：</w:t>
            </w:r>
            <w:r>
              <w:rPr>
                <w:rFonts w:hint="eastAsia"/>
                <w:sz w:val="24"/>
              </w:rPr>
              <w:t xml:space="preserve">江苏弘业国际技术工程有限公司（无锡市经开区金融八街8号无锡市联合金融大厦2002室）</w:t>
            </w:r>
            <w:r/>
          </w:p>
        </w:tc>
      </w:tr>
    </w:tbl>
    <w:p>
      <w:pPr>
        <w:ind w:firstLine="482"/>
        <w:jc w:val="center"/>
        <w:spacing w:before="470"/>
        <w:widowControl/>
        <w:rPr>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b/>
          <w:sz w:val="24"/>
          <w:szCs w:val="24"/>
        </w:rPr>
      </w:pPr>
      <w:r>
        <w:rPr>
          <w:rFonts w:hint="eastAsia"/>
          <w:b/>
          <w:sz w:val="24"/>
          <w:szCs w:val="24"/>
        </w:rPr>
        <w:t xml:space="preserve">（一）遵循原则：</w:t>
      </w:r>
      <w:r/>
    </w:p>
    <w:p>
      <w:pPr>
        <w:ind w:firstLine="480"/>
        <w:jc w:val="left"/>
        <w:spacing w:line="360" w:lineRule="auto"/>
        <w:shd w:val="clear" w:color="auto" w:fill="ffffff"/>
        <w:widowControl/>
        <w:rPr>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b/>
          <w:sz w:val="24"/>
          <w:szCs w:val="24"/>
        </w:rPr>
      </w:pPr>
      <w:r>
        <w:rPr>
          <w:rFonts w:hint="eastAsia"/>
          <w:b/>
          <w:sz w:val="24"/>
          <w:szCs w:val="24"/>
        </w:rPr>
        <w:t xml:space="preserve">（二）招标文件：</w:t>
      </w:r>
      <w:r/>
    </w:p>
    <w:p>
      <w:pPr>
        <w:ind w:firstLine="480"/>
        <w:jc w:val="left"/>
        <w:spacing w:line="360" w:lineRule="auto"/>
        <w:shd w:val="clear" w:color="auto" w:fill="ffffff"/>
        <w:widowControl/>
        <w:rPr>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sz w:val="24"/>
          <w:szCs w:val="24"/>
        </w:rPr>
      </w:pPr>
      <w:r>
        <w:rPr>
          <w:rFonts w:hint="eastAsia"/>
          <w:sz w:val="24"/>
          <w:szCs w:val="24"/>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w:t>
      </w:r>
      <w:r>
        <w:rPr>
          <w:rFonts w:hint="eastAsia"/>
          <w:sz w:val="24"/>
          <w:szCs w:val="24"/>
        </w:rPr>
        <w:t xml:space="preserve">江苏政府采购网</w:t>
      </w:r>
      <w:r>
        <w:rPr>
          <w:sz w:val="24"/>
          <w:szCs w:val="24"/>
        </w:rPr>
        <w:t xml:space="preserve">上发布澄清公告。澄清或者修改的内容为招标文件的组成部分。</w:t>
      </w:r>
      <w:r/>
    </w:p>
    <w:p>
      <w:pPr>
        <w:ind w:firstLine="480"/>
        <w:jc w:val="left"/>
        <w:spacing w:line="360" w:lineRule="auto"/>
        <w:shd w:val="clear" w:color="auto" w:fill="ffffff"/>
        <w:widowControl/>
        <w:rPr>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p>
    <w:p>
      <w:pPr>
        <w:ind w:firstLine="482"/>
        <w:jc w:val="left"/>
        <w:spacing w:line="360" w:lineRule="auto"/>
        <w:shd w:val="clear" w:color="auto" w:fill="ffffff"/>
        <w:widowControl/>
        <w:rPr>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p>
    <w:p>
      <w:pPr>
        <w:ind w:firstLine="480"/>
        <w:spacing w:line="360" w:lineRule="auto"/>
        <w:rPr>
          <w:rFonts w:cs="Times New Roman"/>
          <w:sz w:val="24"/>
          <w:szCs w:val="24"/>
        </w:rPr>
      </w:pPr>
      <w:r>
        <w:rPr>
          <w:rFonts w:hint="eastAsia" w:cs="Times New Roman"/>
          <w:sz w:val="24"/>
          <w:szCs w:val="24"/>
        </w:rPr>
        <w:t xml:space="preserve">1.投标人应当根据招标文件要求编制投标文件，投标文件应对招标文件提出的要求和条件作出实质性响应，并在《商务条款偏离表》和《技术条款偏离表》</w:t>
      </w:r>
      <w:r>
        <w:rPr>
          <w:rFonts w:hint="eastAsia" w:cs="Times New Roman"/>
          <w:sz w:val="24"/>
          <w:szCs w:val="24"/>
        </w:rPr>
        <w:t xml:space="preserve">等处标明满足与否。</w:t>
      </w:r>
      <w:r/>
    </w:p>
    <w:p>
      <w:pPr>
        <w:ind w:firstLine="480"/>
        <w:spacing w:line="360" w:lineRule="auto"/>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p>
    <w:p>
      <w:pPr>
        <w:ind w:firstLine="480"/>
        <w:spacing w:line="360" w:lineRule="auto"/>
        <w:tabs>
          <w:tab w:val="left" w:pos="0" w:leader="none"/>
        </w:tabs>
        <w:rPr>
          <w:bCs/>
          <w:sz w:val="24"/>
        </w:rPr>
      </w:pPr>
      <w:r>
        <w:rPr>
          <w:rFonts w:hint="eastAsia"/>
          <w:bCs/>
          <w:sz w:val="24"/>
        </w:rPr>
        <w:t xml:space="preserve">（1）投标申请及申明（格式见附件）</w:t>
      </w:r>
      <w:r/>
    </w:p>
    <w:p>
      <w:pPr>
        <w:ind w:firstLine="480"/>
        <w:spacing w:line="360" w:lineRule="auto"/>
        <w:tabs>
          <w:tab w:val="left" w:pos="0" w:leader="none"/>
        </w:tabs>
        <w:rPr>
          <w:bCs/>
          <w:sz w:val="24"/>
        </w:rPr>
      </w:pPr>
      <w:r>
        <w:rPr>
          <w:bCs/>
          <w:sz w:val="24"/>
        </w:rPr>
        <w:t xml:space="preserve">（</w:t>
      </w:r>
      <w:r>
        <w:rPr>
          <w:rFonts w:hint="eastAsia"/>
          <w:bCs/>
          <w:sz w:val="24"/>
        </w:rPr>
        <w:t xml:space="preserve">2</w:t>
      </w:r>
      <w:r>
        <w:rPr>
          <w:bCs/>
          <w:sz w:val="24"/>
        </w:rPr>
        <w:t xml:space="preserve">）</w:t>
      </w:r>
      <w:r>
        <w:rPr>
          <w:rFonts w:hint="eastAsia"/>
          <w:bCs/>
          <w:sz w:val="24"/>
        </w:rPr>
        <w:t xml:space="preserve">开标一览表（格式见附件）</w:t>
      </w:r>
      <w:r/>
    </w:p>
    <w:p>
      <w:pPr>
        <w:pStyle w:val="837"/>
        <w:ind w:left="0" w:firstLine="480"/>
        <w:spacing w:line="360" w:lineRule="auto"/>
        <w:rPr>
          <w:rFonts w:cs="Times New Roman"/>
          <w:bCs/>
          <w:sz w:val="24"/>
          <w:szCs w:val="24"/>
        </w:rPr>
      </w:pPr>
      <w:r>
        <w:rPr>
          <w:rFonts w:cs="Times New Roman"/>
          <w:bCs/>
          <w:sz w:val="24"/>
          <w:szCs w:val="24"/>
        </w:rPr>
        <w:t xml:space="preserve">（</w:t>
      </w:r>
      <w:r>
        <w:rPr>
          <w:rFonts w:hint="eastAsia" w:cs="Times New Roman"/>
          <w:bCs/>
          <w:sz w:val="24"/>
          <w:szCs w:val="24"/>
        </w:rPr>
        <w:t xml:space="preserve">3</w:t>
      </w:r>
      <w:r>
        <w:rPr>
          <w:rFonts w:cs="Times New Roman"/>
          <w:bCs/>
          <w:sz w:val="24"/>
          <w:szCs w:val="24"/>
        </w:rPr>
        <w:t xml:space="preserve">）</w:t>
      </w:r>
      <w:r>
        <w:rPr>
          <w:rFonts w:hint="eastAsia" w:cs="Times New Roman"/>
          <w:bCs/>
          <w:sz w:val="24"/>
          <w:szCs w:val="24"/>
        </w:rPr>
        <w:t xml:space="preserve">细目报价表</w:t>
      </w:r>
      <w:r/>
    </w:p>
    <w:p>
      <w:pPr>
        <w:ind w:firstLine="480"/>
        <w:spacing w:line="360" w:lineRule="auto"/>
        <w:tabs>
          <w:tab w:val="left" w:pos="0" w:leader="none"/>
        </w:tabs>
        <w:rPr>
          <w:bCs/>
          <w:sz w:val="24"/>
        </w:rPr>
      </w:pPr>
      <w:r>
        <w:rPr>
          <w:bCs/>
          <w:sz w:val="24"/>
        </w:rPr>
        <w:t xml:space="preserve">（</w:t>
      </w:r>
      <w:r>
        <w:rPr>
          <w:rFonts w:hint="eastAsia"/>
          <w:bCs/>
          <w:sz w:val="24"/>
        </w:rPr>
        <w:t xml:space="preserve">4</w:t>
      </w:r>
      <w:r>
        <w:rPr>
          <w:bCs/>
          <w:sz w:val="24"/>
        </w:rPr>
        <w:t xml:space="preserve">）</w:t>
      </w:r>
      <w:r>
        <w:rPr>
          <w:rFonts w:hint="eastAsia"/>
          <w:bCs/>
          <w:sz w:val="24"/>
        </w:rPr>
        <w:t xml:space="preserve">资格资信证明文件：</w:t>
      </w:r>
      <w:r/>
    </w:p>
    <w:p>
      <w:pPr>
        <w:ind w:firstLine="480"/>
        <w:spacing w:line="360" w:lineRule="auto"/>
        <w:rPr>
          <w:rFonts w:cs="Times New Roman"/>
          <w:bCs/>
          <w:sz w:val="24"/>
          <w:szCs w:val="24"/>
        </w:rPr>
      </w:pPr>
      <w:r>
        <w:rPr>
          <w:rFonts w:cs="Times New Roman"/>
          <w:bCs/>
          <w:sz w:val="24"/>
          <w:szCs w:val="24"/>
        </w:rPr>
        <w:t xml:space="preserve">1）关于资格的声明函（格式见附件）；</w:t>
      </w:r>
      <w:r/>
    </w:p>
    <w:p>
      <w:pPr>
        <w:ind w:firstLine="480"/>
        <w:spacing w:line="360" w:lineRule="auto"/>
        <w:rPr>
          <w:rFonts w:cs="Times New Roman"/>
          <w:bCs/>
          <w:sz w:val="24"/>
          <w:szCs w:val="24"/>
        </w:rPr>
      </w:pPr>
      <w:r>
        <w:rPr>
          <w:rFonts w:hint="eastAsia" w:cs="Times New Roman"/>
          <w:bCs/>
          <w:sz w:val="24"/>
          <w:szCs w:val="24"/>
        </w:rPr>
        <w:t xml:space="preserve">2</w:t>
      </w:r>
      <w:r>
        <w:rPr>
          <w:rFonts w:cs="Times New Roman"/>
          <w:bCs/>
          <w:sz w:val="24"/>
          <w:szCs w:val="24"/>
        </w:rPr>
        <w:t xml:space="preserve">）</w:t>
      </w:r>
      <w:r>
        <w:rPr>
          <w:rFonts w:hint="eastAsia" w:cs="Times New Roman"/>
          <w:bCs/>
          <w:sz w:val="24"/>
          <w:szCs w:val="24"/>
        </w:rPr>
        <w:t xml:space="preserve">供应商营业执照或事业单位或其他组织法人证书或经相关部门登记的证明文件扫描件并加盖供应商公章</w:t>
      </w:r>
      <w:r>
        <w:rPr>
          <w:rFonts w:cs="Times New Roman"/>
          <w:bCs/>
          <w:sz w:val="24"/>
          <w:szCs w:val="24"/>
        </w:rPr>
        <w:t xml:space="preserve">；</w:t>
      </w:r>
      <w:r/>
    </w:p>
    <w:p>
      <w:pPr>
        <w:ind w:firstLine="480"/>
        <w:spacing w:line="360" w:lineRule="auto"/>
        <w:rPr>
          <w:rFonts w:cs="Times New Roman"/>
          <w:bCs/>
          <w:sz w:val="24"/>
          <w:szCs w:val="24"/>
        </w:rPr>
      </w:pPr>
      <w:r>
        <w:rPr>
          <w:rFonts w:hint="eastAsia" w:cs="Times New Roman"/>
          <w:bCs/>
          <w:sz w:val="24"/>
          <w:szCs w:val="24"/>
        </w:rPr>
        <w:t xml:space="preserve">3）</w:t>
      </w:r>
      <w:r>
        <w:rPr>
          <w:rFonts w:hint="eastAsia"/>
          <w:color w:val="000000"/>
          <w:sz w:val="24"/>
          <w:szCs w:val="24"/>
        </w:rPr>
        <w:t xml:space="preserve">供应商</w:t>
      </w:r>
      <w:r>
        <w:rPr>
          <w:rFonts w:hint="eastAsia" w:cs="Times New Roman"/>
          <w:color w:val="000000"/>
          <w:sz w:val="24"/>
          <w:szCs w:val="24"/>
        </w:rPr>
        <w:t xml:space="preserve">有效期内辐射安全许可证</w:t>
      </w:r>
      <w:r>
        <w:rPr>
          <w:rFonts w:hint="eastAsia"/>
          <w:color w:val="000000"/>
          <w:sz w:val="24"/>
        </w:rPr>
        <w:t xml:space="preserve">原件</w:t>
      </w:r>
      <w:r>
        <w:rPr>
          <w:rFonts w:hint="eastAsia"/>
          <w:color w:val="000000"/>
          <w:sz w:val="24"/>
          <w:szCs w:val="24"/>
        </w:rPr>
        <w:t xml:space="preserve">扫描件加盖供应商公章</w:t>
      </w:r>
      <w:r>
        <w:rPr>
          <w:rFonts w:hint="eastAsia"/>
          <w:color w:val="000000"/>
          <w:sz w:val="24"/>
        </w:rPr>
        <w:t xml:space="preserve">；</w:t>
      </w:r>
      <w:r/>
    </w:p>
    <w:p>
      <w:pPr>
        <w:ind w:firstLine="480"/>
        <w:spacing w:line="360" w:lineRule="auto"/>
        <w:rPr>
          <w:rFonts w:cs="Times New Roman"/>
          <w:bCs/>
          <w:sz w:val="24"/>
          <w:szCs w:val="24"/>
        </w:rPr>
      </w:pPr>
      <w:r>
        <w:rPr>
          <w:rFonts w:hint="eastAsia"/>
          <w:sz w:val="24"/>
          <w:szCs w:val="24"/>
        </w:rPr>
        <w:t xml:space="preserve">4）</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cs="Times New Roman"/>
          <w:bCs/>
          <w:sz w:val="24"/>
          <w:szCs w:val="24"/>
        </w:rPr>
        <w:t xml:space="preserve">；</w:t>
      </w:r>
      <w:r/>
    </w:p>
    <w:p>
      <w:pPr>
        <w:ind w:firstLine="480"/>
        <w:jc w:val="left"/>
        <w:spacing w:line="360" w:lineRule="auto"/>
        <w:rPr>
          <w:sz w:val="24"/>
        </w:rPr>
      </w:pPr>
      <w:r>
        <w:rPr>
          <w:rFonts w:hint="eastAsia"/>
          <w:sz w:val="24"/>
        </w:rPr>
        <w:t xml:space="preserve">5</w:t>
      </w:r>
      <w:r>
        <w:rPr>
          <w:sz w:val="24"/>
        </w:rPr>
        <w:t xml:space="preserve">）供应商法定代表人授权委托书（法定代表人亲自参与投标的除外，格式见附件）；</w:t>
      </w:r>
      <w:r/>
    </w:p>
    <w:p>
      <w:pPr>
        <w:ind w:firstLine="480"/>
        <w:jc w:val="left"/>
        <w:spacing w:line="360" w:lineRule="auto"/>
        <w:rPr>
          <w:sz w:val="24"/>
        </w:rPr>
      </w:pPr>
      <w:r>
        <w:rPr>
          <w:rFonts w:hint="eastAsia"/>
          <w:sz w:val="24"/>
        </w:rPr>
        <w:t xml:space="preserve">6</w:t>
      </w:r>
      <w:r>
        <w:rPr>
          <w:sz w:val="24"/>
        </w:rPr>
        <w:t xml:space="preserve">）</w:t>
      </w:r>
      <w:r>
        <w:rPr>
          <w:rFonts w:hint="eastAsia"/>
          <w:sz w:val="24"/>
        </w:rPr>
        <w:t xml:space="preserve">供应商法定代表人身份证扫描件及法定代表人授权代表身份证扫描件加盖公章</w:t>
      </w:r>
      <w:r>
        <w:rPr>
          <w:sz w:val="24"/>
        </w:rPr>
        <w:t xml:space="preserve">；</w:t>
      </w:r>
      <w:r/>
    </w:p>
    <w:p>
      <w:pPr>
        <w:ind w:firstLine="480"/>
        <w:spacing w:line="360" w:lineRule="auto"/>
        <w:shd w:val="clear" w:color="auto" w:fill="ffffff"/>
        <w:widowControl/>
        <w:rPr>
          <w:rFonts w:cs="Times New Roman"/>
          <w:bCs/>
          <w:sz w:val="24"/>
          <w:szCs w:val="24"/>
        </w:rPr>
      </w:pPr>
      <w:r>
        <w:rPr>
          <w:rFonts w:hint="eastAsia"/>
          <w:sz w:val="24"/>
        </w:rPr>
        <w:t xml:space="preserve">7</w:t>
      </w:r>
      <w:r>
        <w:rPr>
          <w:sz w:val="24"/>
        </w:rPr>
        <w:t xml:space="preserve">）</w:t>
      </w:r>
      <w:r>
        <w:rPr>
          <w:rFonts w:cs="Times New Roman"/>
          <w:bCs/>
          <w:sz w:val="24"/>
          <w:szCs w:val="24"/>
        </w:rPr>
        <w:t xml:space="preserve">供应商近六个月中任意一个月份（不含投标当月）的财务状况报告（资产负债表和利润表）扫描件加盖公章或经审计的2025年度的财务报告扫描件加盖公章；</w:t>
      </w:r>
      <w:r/>
    </w:p>
    <w:p>
      <w:pPr>
        <w:ind w:firstLine="480"/>
        <w:spacing w:line="360" w:lineRule="auto"/>
        <w:shd w:val="clear" w:color="auto" w:fill="ffffff"/>
        <w:widowControl/>
        <w:rPr>
          <w:rFonts w:cs="Times New Roman"/>
          <w:bCs/>
          <w:sz w:val="24"/>
          <w:szCs w:val="24"/>
        </w:rPr>
      </w:pPr>
      <w:r>
        <w:rPr>
          <w:rFonts w:hint="eastAsia" w:cs="Times New Roman"/>
          <w:bCs/>
          <w:sz w:val="24"/>
          <w:szCs w:val="24"/>
        </w:rPr>
        <w:t xml:space="preserve">8</w:t>
      </w:r>
      <w:r>
        <w:rPr>
          <w:rFonts w:cs="Times New Roman"/>
          <w:bCs/>
          <w:sz w:val="24"/>
          <w:szCs w:val="24"/>
        </w:rPr>
        <w:t xml:space="preserve">）供应商近六个月中任意一个月份（不含投标当月）的依法缴纳税收的相关材料（提供相关主管部门证明或银行代扣证明）扫描件加盖公章；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cs="Times New Roman"/>
          <w:bCs/>
          <w:sz w:val="24"/>
          <w:szCs w:val="24"/>
        </w:rPr>
      </w:pPr>
      <w:r>
        <w:rPr>
          <w:rFonts w:hint="eastAsia" w:cs="Times New Roman"/>
          <w:bCs/>
          <w:sz w:val="24"/>
          <w:szCs w:val="24"/>
        </w:rPr>
        <w:t xml:space="preserve">9</w:t>
      </w:r>
      <w:r>
        <w:rPr>
          <w:rFonts w:cs="Times New Roman"/>
          <w:bCs/>
          <w:sz w:val="24"/>
          <w:szCs w:val="24"/>
        </w:rPr>
        <w:t xml:space="preserve">）供应商近六个月中任意一个月份（不含投标当月）的依法缴纳社会保障资金的相关材料（提供相关主管部门证明或银行代扣证明）扫描件加盖公章；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sz w:val="24"/>
          <w:szCs w:val="24"/>
        </w:rPr>
      </w:pPr>
      <w:r>
        <w:rPr>
          <w:rFonts w:hint="eastAsia" w:cs="Times New Roman"/>
          <w:bCs/>
          <w:sz w:val="24"/>
          <w:szCs w:val="24"/>
        </w:rPr>
        <w:t xml:space="preserve">10</w:t>
      </w:r>
      <w:r>
        <w:rPr>
          <w:rFonts w:cs="Times New Roman"/>
          <w:bCs/>
          <w:sz w:val="24"/>
          <w:szCs w:val="24"/>
        </w:rPr>
        <w:t xml:space="preserve">）</w:t>
      </w:r>
      <w:r>
        <w:rPr>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ind w:firstLine="480"/>
        <w:spacing w:line="360" w:lineRule="auto"/>
        <w:shd w:val="clear" w:color="auto" w:fill="ffffff"/>
        <w:widowControl/>
        <w:rPr>
          <w:rFonts w:cs="Times New Roman"/>
          <w:bCs/>
          <w:sz w:val="24"/>
          <w:szCs w:val="24"/>
        </w:rPr>
      </w:pPr>
      <w:r>
        <w:rPr>
          <w:rFonts w:hint="eastAsia" w:cs="Times New Roman"/>
          <w:bCs/>
          <w:sz w:val="24"/>
          <w:szCs w:val="24"/>
        </w:rPr>
        <w:t xml:space="preserve">11</w:t>
      </w:r>
      <w:r>
        <w:rPr>
          <w:rFonts w:cs="Times New Roman"/>
          <w:bCs/>
          <w:sz w:val="24"/>
          <w:szCs w:val="24"/>
        </w:rPr>
        <w:t xml:space="preserve">）承诺书（格式见附件）</w:t>
      </w:r>
      <w:r>
        <w:rPr>
          <w:rFonts w:hint="eastAsia" w:cs="Times New Roman"/>
          <w:bCs/>
          <w:sz w:val="24"/>
          <w:szCs w:val="24"/>
        </w:rPr>
        <w:t xml:space="preserve">。</w:t>
      </w:r>
      <w:r/>
    </w:p>
    <w:p>
      <w:pPr>
        <w:ind w:firstLine="480"/>
        <w:spacing w:line="360" w:lineRule="auto"/>
        <w:tabs>
          <w:tab w:val="left" w:pos="0" w:leader="none"/>
        </w:tabs>
        <w:rPr>
          <w:bCs/>
          <w:sz w:val="24"/>
        </w:rPr>
      </w:pPr>
      <w:r>
        <w:rPr>
          <w:rFonts w:hint="eastAsia"/>
          <w:bCs/>
          <w:sz w:val="24"/>
        </w:rPr>
        <w:t xml:space="preserve">（5）补充证明文件：</w:t>
      </w:r>
      <w:r/>
    </w:p>
    <w:p>
      <w:pPr>
        <w:ind w:firstLine="480"/>
        <w:spacing w:line="360" w:lineRule="auto"/>
        <w:tabs>
          <w:tab w:val="left" w:pos="0" w:leader="none"/>
        </w:tabs>
        <w:rPr>
          <w:rFonts w:cs="Times New Roman"/>
          <w:bCs/>
          <w:sz w:val="24"/>
        </w:rPr>
      </w:pPr>
      <w:r>
        <w:rPr>
          <w:rFonts w:hint="eastAsia" w:cs="Times New Roman"/>
          <w:bCs/>
          <w:sz w:val="24"/>
        </w:rPr>
        <w:t xml:space="preserve">1）供应商简介和经营情况说明；</w:t>
      </w:r>
      <w:r/>
    </w:p>
    <w:p>
      <w:pPr>
        <w:ind w:firstLine="480"/>
        <w:spacing w:line="360" w:lineRule="auto"/>
        <w:tabs>
          <w:tab w:val="left" w:pos="0" w:leader="none"/>
        </w:tabs>
        <w:rPr>
          <w:rFonts w:cs="Times New Roman"/>
          <w:bCs/>
          <w:sz w:val="24"/>
        </w:rPr>
      </w:pPr>
      <w:r>
        <w:rPr>
          <w:rFonts w:hint="eastAsia" w:cs="Times New Roman"/>
          <w:bCs/>
          <w:sz w:val="24"/>
        </w:rPr>
        <w:t xml:space="preserve">2）供应商的历史、背景和近年主要业绩介绍；</w:t>
      </w:r>
      <w:r/>
    </w:p>
    <w:p>
      <w:pPr>
        <w:ind w:firstLine="480"/>
        <w:spacing w:line="360" w:lineRule="auto"/>
        <w:tabs>
          <w:tab w:val="left" w:pos="0" w:leader="none"/>
        </w:tabs>
        <w:rPr>
          <w:rFonts w:cs="Times New Roman"/>
          <w:bCs/>
          <w:sz w:val="24"/>
        </w:rPr>
      </w:pPr>
      <w:r>
        <w:rPr>
          <w:rFonts w:hint="eastAsia" w:cs="Times New Roman"/>
          <w:bCs/>
          <w:sz w:val="24"/>
        </w:rPr>
        <w:t xml:space="preserve">3）</w:t>
      </w:r>
      <w:r>
        <w:rPr>
          <w:rFonts w:cs="Times New Roman"/>
          <w:bCs/>
          <w:sz w:val="24"/>
        </w:rPr>
        <w:t xml:space="preserve">供应商如为中型企业/小型企业/微型企业/监狱企业/残疾人福利企业，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tabs>
          <w:tab w:val="left" w:pos="0" w:leader="none"/>
        </w:tabs>
        <w:rPr>
          <w:rFonts w:cs="Times New Roman"/>
          <w:bCs/>
          <w:sz w:val="24"/>
        </w:rPr>
      </w:pPr>
      <w:r>
        <w:rPr>
          <w:rFonts w:hint="eastAsia" w:cs="Times New Roman"/>
          <w:bCs/>
          <w:sz w:val="24"/>
        </w:rPr>
        <w:t xml:space="preserve">4）对应评分标准所需的其他证明材料。</w:t>
      </w:r>
      <w:r/>
    </w:p>
    <w:p>
      <w:pPr>
        <w:ind w:firstLine="480"/>
        <w:spacing w:line="360" w:lineRule="auto"/>
        <w:tabs>
          <w:tab w:val="left" w:pos="0" w:leader="none"/>
        </w:tabs>
        <w:rPr>
          <w:bCs/>
          <w:sz w:val="24"/>
        </w:rPr>
      </w:pPr>
      <w:r>
        <w:rPr>
          <w:bCs/>
          <w:sz w:val="24"/>
        </w:rPr>
        <w:t xml:space="preserve">（</w:t>
      </w:r>
      <w:r>
        <w:rPr>
          <w:rFonts w:hint="eastAsia"/>
          <w:bCs/>
          <w:sz w:val="24"/>
        </w:rPr>
        <w:t xml:space="preserve">6</w:t>
      </w:r>
      <w:r>
        <w:rPr>
          <w:bCs/>
          <w:sz w:val="24"/>
        </w:rPr>
        <w:t xml:space="preserve">）</w:t>
      </w:r>
      <w:r>
        <w:rPr>
          <w:rFonts w:hint="eastAsia"/>
          <w:bCs/>
          <w:sz w:val="24"/>
        </w:rPr>
        <w:t xml:space="preserve">商务条款偏离表</w:t>
      </w:r>
      <w:r/>
    </w:p>
    <w:p>
      <w:pPr>
        <w:ind w:firstLine="480"/>
        <w:spacing w:line="360" w:lineRule="auto"/>
        <w:tabs>
          <w:tab w:val="left" w:pos="0" w:leader="none"/>
        </w:tabs>
        <w:rPr>
          <w:bCs/>
          <w:sz w:val="24"/>
        </w:rPr>
      </w:pPr>
      <w:r>
        <w:rPr>
          <w:bCs/>
          <w:sz w:val="24"/>
        </w:rPr>
        <w:t xml:space="preserve">（</w:t>
      </w:r>
      <w:r>
        <w:rPr>
          <w:rFonts w:hint="eastAsia"/>
          <w:bCs/>
          <w:sz w:val="24"/>
        </w:rPr>
        <w:t xml:space="preserve">7</w:t>
      </w:r>
      <w:r>
        <w:rPr>
          <w:bCs/>
          <w:sz w:val="24"/>
        </w:rPr>
        <w:t xml:space="preserve">）</w:t>
      </w:r>
      <w:r>
        <w:rPr>
          <w:rFonts w:hint="eastAsia"/>
          <w:bCs/>
          <w:sz w:val="24"/>
        </w:rPr>
        <w:t xml:space="preserve">技术条款偏离表</w:t>
      </w:r>
      <w:r/>
    </w:p>
    <w:p>
      <w:pPr>
        <w:ind w:firstLine="480"/>
        <w:spacing w:line="360" w:lineRule="auto"/>
        <w:tabs>
          <w:tab w:val="left" w:pos="0" w:leader="none"/>
        </w:tabs>
        <w:rPr>
          <w:bCs/>
          <w:sz w:val="24"/>
        </w:rPr>
      </w:pPr>
      <w:r>
        <w:rPr>
          <w:bCs/>
          <w:sz w:val="24"/>
        </w:rPr>
        <w:t xml:space="preserve">（</w:t>
      </w:r>
      <w:r>
        <w:rPr>
          <w:rFonts w:hint="eastAsia"/>
          <w:bCs/>
          <w:sz w:val="24"/>
        </w:rPr>
        <w:t xml:space="preserve">8</w:t>
      </w:r>
      <w:r>
        <w:rPr>
          <w:bCs/>
          <w:sz w:val="24"/>
        </w:rPr>
        <w:t xml:space="preserve">）</w:t>
      </w:r>
      <w:r>
        <w:rPr>
          <w:rFonts w:hint="eastAsia"/>
          <w:bCs/>
          <w:sz w:val="24"/>
        </w:rPr>
        <w:t xml:space="preserve">项目组人员情况</w:t>
      </w:r>
      <w:r/>
    </w:p>
    <w:p>
      <w:pPr>
        <w:ind w:firstLine="480"/>
        <w:spacing w:line="360" w:lineRule="auto"/>
        <w:tabs>
          <w:tab w:val="left" w:pos="0" w:leader="none"/>
        </w:tabs>
        <w:rPr>
          <w:bCs/>
          <w:sz w:val="24"/>
        </w:rPr>
      </w:pPr>
      <w:r>
        <w:rPr>
          <w:bCs/>
          <w:sz w:val="24"/>
        </w:rPr>
        <w:t xml:space="preserve">（</w:t>
      </w:r>
      <w:r>
        <w:rPr>
          <w:rFonts w:hint="eastAsia"/>
          <w:bCs/>
          <w:sz w:val="24"/>
        </w:rPr>
        <w:t xml:space="preserve">9</w:t>
      </w:r>
      <w:r>
        <w:rPr>
          <w:bCs/>
          <w:sz w:val="24"/>
        </w:rPr>
        <w:t xml:space="preserve">）</w:t>
      </w:r>
      <w:r>
        <w:rPr>
          <w:rFonts w:hint="eastAsia"/>
          <w:bCs/>
          <w:sz w:val="24"/>
        </w:rPr>
        <w:t xml:space="preserve">其他部分</w:t>
      </w:r>
      <w:r/>
    </w:p>
    <w:p>
      <w:pPr>
        <w:pStyle w:val="1074"/>
        <w:ind w:firstLine="482"/>
        <w:rPr>
          <w:rFonts w:cs="Times New Roman"/>
          <w:b/>
          <w:sz w:val="24"/>
        </w:rPr>
      </w:pPr>
      <w:r>
        <w:rPr>
          <w:rFonts w:hint="eastAsia" w:cs="Times New Roman"/>
          <w:b/>
          <w:sz w:val="24"/>
        </w:rPr>
        <w:t xml:space="preserve">3.暗标技术标部分由以下内容组成：</w:t>
      </w:r>
      <w:r/>
    </w:p>
    <w:p>
      <w:pPr>
        <w:ind w:firstLine="480"/>
        <w:spacing w:line="360" w:lineRule="auto"/>
        <w:tabs>
          <w:tab w:val="left" w:pos="0" w:leader="none"/>
        </w:tabs>
        <w:rPr>
          <w:bCs/>
          <w:sz w:val="24"/>
        </w:rPr>
      </w:pPr>
      <w:r>
        <w:rPr>
          <w:rFonts w:hint="eastAsia"/>
          <w:bCs/>
          <w:sz w:val="24"/>
        </w:rPr>
        <w:t xml:space="preserve">（1）技术方案</w:t>
      </w:r>
      <w:r/>
    </w:p>
    <w:p>
      <w:pPr>
        <w:ind w:firstLine="482"/>
        <w:jc w:val="left"/>
        <w:spacing w:line="360" w:lineRule="auto"/>
        <w:rPr>
          <w:b/>
          <w:sz w:val="24"/>
          <w:szCs w:val="24"/>
        </w:rPr>
      </w:pPr>
      <w:r>
        <w:rPr>
          <w:rFonts w:hint="eastAsia"/>
          <w:b/>
          <w:sz w:val="24"/>
          <w:szCs w:val="24"/>
        </w:rPr>
        <w:t xml:space="preserve">（六）投标文件的要求：</w:t>
      </w:r>
      <w:r/>
    </w:p>
    <w:p>
      <w:pPr>
        <w:ind w:firstLine="480"/>
        <w:jc w:val="left"/>
        <w:spacing w:line="360" w:lineRule="auto"/>
        <w:shd w:val="clear" w:color="auto" w:fill="ffffff"/>
        <w:widowControl/>
        <w:rPr>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sz w:val="24"/>
          <w:szCs w:val="24"/>
        </w:rPr>
      </w:pPr>
      <w:r>
        <w:rPr>
          <w:rFonts w:hint="eastAsia"/>
          <w:sz w:val="24"/>
          <w:szCs w:val="24"/>
        </w:rPr>
        <w:t xml:space="preserve">6.投标文件包含明标和暗标两大部分，其中暗标部分编制要求如下：</w:t>
      </w:r>
      <w:r/>
    </w:p>
    <w:p>
      <w:pPr>
        <w:ind w:firstLine="482"/>
        <w:spacing w:line="360" w:lineRule="auto"/>
        <w:rPr>
          <w:rFonts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cs="Times New Roman"/>
          <w:b/>
          <w:sz w:val="24"/>
        </w:rPr>
        <w:t xml:space="preserve">⑤不得有其他体现投标供应商身份的内容。</w:t>
      </w:r>
      <w:r/>
    </w:p>
    <w:p>
      <w:pPr>
        <w:pStyle w:val="834"/>
        <w:numPr>
          <w:ilvl w:val="0"/>
          <w:numId w:val="11"/>
        </w:numPr>
        <w:ind w:left="0" w:firstLine="482"/>
        <w:rPr>
          <w:rFonts w:ascii="宋体" w:hAnsi="宋体" w:eastAsia="宋体" w:cs="宋体"/>
          <w:b/>
          <w:sz w:val="24"/>
          <w:szCs w:val="24"/>
        </w:rPr>
      </w:pPr>
      <w:r>
        <w:rPr>
          <w:rFonts w:hint="eastAsia" w:ascii="宋体" w:hAnsi="宋体" w:eastAsia="宋体" w:cs="宋体"/>
          <w:b/>
          <w:sz w:val="24"/>
          <w:szCs w:val="24"/>
        </w:rPr>
        <w:t xml:space="preserve">网上投标</w:t>
      </w:r>
      <w:r/>
    </w:p>
    <w:p>
      <w:pPr>
        <w:ind w:firstLine="480"/>
        <w:jc w:val="left"/>
        <w:spacing w:line="360" w:lineRule="auto"/>
        <w:shd w:val="clear" w:color="auto" w:fill="ffffff"/>
        <w:widowControl/>
        <w:rPr>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sz w:val="24"/>
          <w:szCs w:val="24"/>
        </w:rPr>
      </w:pPr>
      <w:r>
        <w:rPr>
          <w:rFonts w:hint="eastAsia"/>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17.项目投标总价超过本项目最高限价的；</w:t>
      </w:r>
      <w:r/>
    </w:p>
    <w:p>
      <w:pPr>
        <w:ind w:firstLine="480"/>
        <w:jc w:val="left"/>
        <w:spacing w:line="360" w:lineRule="auto"/>
        <w:shd w:val="clear" w:color="auto" w:fill="ffffff"/>
        <w:widowControl/>
        <w:rPr>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sz w:val="24"/>
          <w:szCs w:val="24"/>
        </w:rPr>
      </w:pPr>
      <w:r>
        <w:rPr>
          <w:rFonts w:hint="eastAsia"/>
          <w:sz w:val="24"/>
          <w:szCs w:val="24"/>
        </w:rPr>
        <w:t xml:space="preserve">22.暗标未按招标文件要求编制的；</w:t>
      </w:r>
      <w:r/>
    </w:p>
    <w:p>
      <w:pPr>
        <w:ind w:firstLine="480"/>
        <w:jc w:val="left"/>
        <w:spacing w:line="360" w:lineRule="auto"/>
        <w:shd w:val="clear" w:color="auto" w:fill="ffffff"/>
        <w:widowControl/>
        <w:rPr>
          <w:sz w:val="24"/>
          <w:szCs w:val="24"/>
        </w:rPr>
      </w:pPr>
      <w:r>
        <w:rPr>
          <w:rFonts w:hint="eastAsia"/>
          <w:sz w:val="24"/>
          <w:szCs w:val="24"/>
        </w:rPr>
        <w:t xml:space="preserve">23.法律法规和招标文件规定的其他无效情形。</w:t>
      </w:r>
      <w:r/>
    </w:p>
    <w:p>
      <w:pPr>
        <w:ind w:firstLine="482"/>
        <w:jc w:val="left"/>
        <w:spacing w:line="360" w:lineRule="auto"/>
        <w:shd w:val="clear" w:color="auto" w:fill="ffffff"/>
        <w:widowControl/>
        <w:rPr>
          <w:b/>
          <w:sz w:val="24"/>
          <w:szCs w:val="24"/>
        </w:rPr>
        <w:outlineLvl w:val="0"/>
      </w:pPr>
      <w:r>
        <w:rPr>
          <w:rFonts w:hint="eastAsia"/>
          <w:b/>
          <w:sz w:val="24"/>
          <w:szCs w:val="24"/>
        </w:rPr>
        <w:t xml:space="preserve">（九）开标、评标：</w:t>
      </w:r>
      <w:r/>
    </w:p>
    <w:p>
      <w:pPr>
        <w:ind w:firstLine="482"/>
        <w:spacing w:line="360" w:lineRule="auto"/>
        <w:shd w:val="clear" w:color="auto" w:fill="ffffff"/>
        <w:widowControl/>
        <w:rPr>
          <w:b/>
          <w:sz w:val="24"/>
          <w:szCs w:val="24"/>
        </w:rPr>
      </w:pPr>
      <w:r>
        <w:rPr>
          <w:rFonts w:hint="eastAsia"/>
          <w:b/>
          <w:bCs/>
          <w:sz w:val="24"/>
          <w:szCs w:val="24"/>
        </w:rPr>
        <w:t xml:space="preserve">1.开标</w:t>
      </w:r>
      <w:r/>
    </w:p>
    <w:p>
      <w:pPr>
        <w:ind w:firstLine="480"/>
        <w:jc w:val="left"/>
        <w:spacing w:line="360" w:lineRule="auto"/>
        <w:shd w:val="clear" w:color="auto" w:fill="ffffff"/>
        <w:widowControl/>
        <w:rPr>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sz w:val="24"/>
          <w:szCs w:val="24"/>
        </w:rPr>
      </w:pPr>
      <w:r>
        <w:rPr>
          <w:rFonts w:hint="eastAsia"/>
          <w:sz w:val="24"/>
          <w:szCs w:val="24"/>
        </w:rPr>
        <w:t xml:space="preserve">公开招标采购项目开标后，采购人或者采购代理机构对供应商的资格资信进行审查。</w:t>
      </w:r>
      <w:r/>
    </w:p>
    <w:p>
      <w:pPr>
        <w:ind w:firstLine="480"/>
        <w:jc w:val="left"/>
        <w:spacing w:line="360" w:lineRule="auto"/>
        <w:shd w:val="clear" w:color="auto" w:fill="ffffff"/>
        <w:widowControl/>
        <w:rPr>
          <w:sz w:val="24"/>
          <w:szCs w:val="24"/>
        </w:rPr>
      </w:pPr>
      <w:r>
        <w:rPr>
          <w:rFonts w:hint="eastAsia"/>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b/>
          <w:bCs/>
          <w:sz w:val="24"/>
          <w:szCs w:val="24"/>
        </w:rPr>
      </w:pPr>
      <w:r>
        <w:rPr>
          <w:rFonts w:hint="eastAsia"/>
          <w:b/>
          <w:bCs/>
          <w:sz w:val="24"/>
          <w:szCs w:val="24"/>
        </w:rPr>
        <w:t xml:space="preserve">3.评标组织</w:t>
      </w:r>
      <w:r/>
    </w:p>
    <w:p>
      <w:pPr>
        <w:ind w:firstLine="480"/>
        <w:spacing w:line="360" w:lineRule="auto"/>
        <w:shd w:val="clear" w:color="auto" w:fill="ffffff"/>
        <w:widowControl/>
        <w:rPr>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b/>
          <w:bCs/>
          <w:sz w:val="24"/>
          <w:szCs w:val="24"/>
        </w:rPr>
      </w:pPr>
      <w:r>
        <w:rPr>
          <w:rFonts w:hint="eastAsia"/>
          <w:b/>
          <w:bCs/>
          <w:sz w:val="24"/>
          <w:szCs w:val="24"/>
        </w:rPr>
        <w:t xml:space="preserve">4.评标工作程序：</w:t>
      </w:r>
      <w:r/>
    </w:p>
    <w:p>
      <w:pPr>
        <w:ind w:firstLine="480"/>
        <w:spacing w:line="360" w:lineRule="auto"/>
        <w:shd w:val="clear" w:color="auto" w:fill="ffffff"/>
        <w:widowControl/>
        <w:rPr>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bCs/>
          <w:sz w:val="24"/>
          <w:szCs w:val="24"/>
        </w:rPr>
      </w:pPr>
      <w:r>
        <w:rPr>
          <w:rFonts w:hint="eastAsia"/>
          <w:bCs/>
          <w:sz w:val="24"/>
          <w:szCs w:val="24"/>
        </w:rPr>
        <w:t xml:space="preserve">4.2澄清有关问题。</w:t>
      </w:r>
      <w:r/>
    </w:p>
    <w:p>
      <w:pPr>
        <w:ind w:firstLine="480"/>
        <w:spacing w:line="360" w:lineRule="auto"/>
        <w:shd w:val="clear" w:color="auto" w:fill="ffffff"/>
        <w:widowControl/>
        <w:rPr>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w:t>
      </w:r>
      <w:r>
        <w:rPr>
          <w:bCs/>
          <w:sz w:val="24"/>
          <w:szCs w:val="24"/>
        </w:rPr>
        <w:t xml:space="preserve">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b/>
          <w:bCs/>
          <w:sz w:val="24"/>
          <w:szCs w:val="24"/>
        </w:rPr>
      </w:pPr>
      <w:r>
        <w:rPr>
          <w:rFonts w:hint="eastAsia"/>
          <w:b/>
          <w:bCs/>
          <w:sz w:val="24"/>
          <w:szCs w:val="24"/>
        </w:rPr>
        <w:t xml:space="preserve">5.评标方法</w:t>
      </w:r>
      <w:r/>
    </w:p>
    <w:p>
      <w:pPr>
        <w:ind w:firstLine="480"/>
        <w:jc w:val="left"/>
        <w:spacing w:line="360" w:lineRule="auto"/>
        <w:rPr>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p>
    <w:p>
      <w:pPr>
        <w:pStyle w:val="1289"/>
        <w:ind w:firstLine="482"/>
        <w:spacing w:line="360" w:lineRule="auto"/>
        <w:rPr>
          <w:rFonts w:hAnsi="宋体" w:eastAsia="宋体"/>
          <w:b/>
          <w:sz w:val="24"/>
          <w:szCs w:val="24"/>
        </w:rPr>
      </w:pPr>
      <w:r>
        <w:rPr>
          <w:rFonts w:hint="eastAsia" w:hAnsi="宋体" w:eastAsia="宋体"/>
          <w:b/>
          <w:sz w:val="24"/>
          <w:szCs w:val="24"/>
        </w:rPr>
        <w:t xml:space="preserve">评分标准：</w:t>
      </w:r>
      <w:r/>
    </w:p>
    <w:p>
      <w:pPr>
        <w:ind w:firstLine="480"/>
        <w:spacing w:line="360" w:lineRule="auto"/>
        <w:rPr>
          <w:color w:val="000000"/>
          <w:sz w:val="24"/>
          <w:szCs w:val="24"/>
        </w:rPr>
      </w:pPr>
      <w:r>
        <w:rPr>
          <w:rFonts w:hint="eastAsia"/>
          <w:color w:val="000000"/>
          <w:sz w:val="24"/>
          <w:szCs w:val="24"/>
        </w:rPr>
        <w:t xml:space="preserve">一、明标部分</w:t>
      </w:r>
      <w:r/>
    </w:p>
    <w:p>
      <w:pPr>
        <w:pStyle w:val="834"/>
        <w:ind w:left="0" w:firstLine="480"/>
        <w:spacing w:line="360" w:lineRule="auto"/>
        <w:rPr>
          <w:rFonts w:ascii="宋体" w:eastAsia="宋体"/>
          <w:color w:val="000000"/>
          <w:sz w:val="24"/>
          <w:szCs w:val="24"/>
        </w:rPr>
      </w:pPr>
      <w:r>
        <w:rPr>
          <w:rFonts w:hint="eastAsia" w:ascii="宋体" w:eastAsia="宋体"/>
          <w:color w:val="000000"/>
          <w:sz w:val="24"/>
          <w:szCs w:val="24"/>
        </w:rPr>
        <w:t xml:space="preserve">1、价格分                                        25分</w:t>
      </w:r>
      <w:r/>
    </w:p>
    <w:p>
      <w:pPr>
        <w:pStyle w:val="834"/>
        <w:ind w:left="0" w:firstLine="480"/>
        <w:spacing w:line="360" w:lineRule="auto"/>
        <w:rPr>
          <w:rFonts w:ascii="宋体" w:eastAsia="宋体"/>
          <w:color w:val="000000"/>
          <w:sz w:val="24"/>
          <w:szCs w:val="24"/>
        </w:rPr>
      </w:pPr>
      <w:r>
        <w:rPr>
          <w:rFonts w:hint="eastAsia" w:ascii="宋体" w:eastAsia="宋体"/>
          <w:color w:val="000000"/>
          <w:sz w:val="24"/>
          <w:szCs w:val="24"/>
        </w:rPr>
        <w:t xml:space="preserve">2、投标供应商</w:t>
      </w:r>
      <w:r>
        <w:rPr>
          <w:rFonts w:hint="eastAsia" w:ascii="宋体" w:hAnsi="宋体" w:eastAsia="宋体" w:cs="宋体"/>
          <w:sz w:val="24"/>
          <w:szCs w:val="24"/>
        </w:rPr>
        <w:t xml:space="preserve">评价</w:t>
      </w:r>
      <w:r>
        <w:rPr>
          <w:rFonts w:hint="eastAsia" w:ascii="宋体" w:eastAsia="宋体"/>
          <w:color w:val="000000"/>
          <w:sz w:val="24"/>
          <w:szCs w:val="24"/>
        </w:rPr>
        <w:t xml:space="preserve">                                25分</w:t>
      </w:r>
      <w:r/>
    </w:p>
    <w:p>
      <w:pPr>
        <w:ind w:firstLine="480"/>
        <w:spacing w:line="360" w:lineRule="auto"/>
        <w:rPr>
          <w:color w:val="000000"/>
          <w:sz w:val="24"/>
          <w:szCs w:val="24"/>
        </w:rPr>
      </w:pPr>
      <w:r>
        <w:rPr>
          <w:rFonts w:hint="eastAsia"/>
          <w:color w:val="000000"/>
          <w:sz w:val="24"/>
          <w:szCs w:val="24"/>
        </w:rPr>
        <w:t xml:space="preserve">二、暗标部分</w:t>
      </w:r>
      <w:r/>
    </w:p>
    <w:p>
      <w:pPr>
        <w:ind w:firstLine="480"/>
        <w:jc w:val="left"/>
        <w:spacing w:line="360" w:lineRule="auto"/>
        <w:rPr>
          <w:color w:val="000000"/>
          <w:sz w:val="24"/>
          <w:szCs w:val="24"/>
        </w:rPr>
      </w:pPr>
      <w:r>
        <w:rPr>
          <w:rFonts w:hint="eastAsia"/>
          <w:color w:val="000000"/>
          <w:sz w:val="24"/>
          <w:szCs w:val="24"/>
        </w:rPr>
        <w:t xml:space="preserve">1、</w:t>
      </w:r>
      <w:r>
        <w:rPr>
          <w:rFonts w:hint="eastAsia" w:hAnsi="Times New Roman" w:cs="Times New Roman"/>
          <w:color w:val="000000"/>
          <w:sz w:val="24"/>
          <w:szCs w:val="24"/>
        </w:rPr>
        <w:t xml:space="preserve">技术方案</w:t>
      </w:r>
      <w:r>
        <w:rPr>
          <w:rFonts w:hint="eastAsia"/>
          <w:color w:val="000000"/>
          <w:sz w:val="24"/>
          <w:szCs w:val="24"/>
        </w:rPr>
        <w:t xml:space="preserve">                                      50分</w:t>
      </w:r>
      <w:r/>
    </w:p>
    <w:p>
      <w:pPr>
        <w:ind w:firstLine="480"/>
        <w:jc w:val="left"/>
        <w:spacing w:line="360" w:lineRule="auto"/>
        <w:rPr>
          <w:color w:val="000000"/>
          <w:sz w:val="24"/>
          <w:szCs w:val="24"/>
        </w:rPr>
      </w:pPr>
      <w:r>
        <w:rPr>
          <w:rFonts w:hint="eastAsia"/>
          <w:color w:val="000000"/>
          <w:sz w:val="24"/>
          <w:szCs w:val="24"/>
        </w:rPr>
        <w:t xml:space="preserve">三、各项目评分标准</w:t>
      </w:r>
      <w:r/>
    </w:p>
    <w:p>
      <w:pPr>
        <w:ind w:firstLine="482"/>
        <w:spacing w:line="360" w:lineRule="auto"/>
        <w:rPr>
          <w:b/>
          <w:bCs/>
          <w:sz w:val="24"/>
          <w:szCs w:val="24"/>
        </w:rPr>
      </w:pPr>
      <w:r>
        <w:rPr>
          <w:rFonts w:hint="eastAsia"/>
          <w:b/>
          <w:bCs/>
          <w:sz w:val="24"/>
          <w:szCs w:val="24"/>
        </w:rPr>
        <w:t xml:space="preserve">一、明标部分</w:t>
      </w:r>
      <w:r/>
    </w:p>
    <w:p>
      <w:pPr>
        <w:ind w:firstLine="482"/>
        <w:spacing w:line="360" w:lineRule="auto"/>
        <w:rPr>
          <w:b/>
          <w:bCs/>
          <w:sz w:val="24"/>
          <w:szCs w:val="24"/>
        </w:rPr>
      </w:pPr>
      <w:r>
        <w:rPr>
          <w:rFonts w:hint="eastAsia"/>
          <w:b/>
          <w:bCs/>
          <w:sz w:val="24"/>
          <w:szCs w:val="24"/>
        </w:rPr>
        <w:t xml:space="preserve">（1）价格分（25分）</w:t>
      </w:r>
      <w:r/>
    </w:p>
    <w:p>
      <w:pPr>
        <w:ind w:firstLine="480"/>
        <w:spacing w:line="360" w:lineRule="auto"/>
        <w:rPr>
          <w:sz w:val="24"/>
          <w:szCs w:val="24"/>
        </w:rPr>
      </w:pPr>
      <w:r>
        <w:rPr>
          <w:rFonts w:hint="eastAsia"/>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80"/>
        <w:spacing w:line="360" w:lineRule="auto"/>
        <w:rPr>
          <w:sz w:val="24"/>
          <w:szCs w:val="24"/>
        </w:rPr>
      </w:pPr>
      <w:r>
        <w:rPr>
          <w:rFonts w:hint="eastAsia"/>
          <w:sz w:val="24"/>
          <w:szCs w:val="24"/>
        </w:rPr>
        <w:t xml:space="preserve">投标报价得分</w:t>
      </w:r>
      <w:r>
        <w:rPr>
          <w:sz w:val="24"/>
          <w:szCs w:val="24"/>
        </w:rPr>
        <w:t xml:space="preserve">=</w:t>
      </w:r>
      <w:r>
        <w:rPr>
          <w:rFonts w:hint="eastAsia"/>
          <w:sz w:val="24"/>
          <w:szCs w:val="24"/>
        </w:rPr>
        <w:t xml:space="preserve">（评标基准价</w:t>
      </w:r>
      <w:r>
        <w:rPr>
          <w:sz w:val="24"/>
          <w:szCs w:val="24"/>
        </w:rPr>
        <w:t xml:space="preserve">/</w:t>
      </w:r>
      <w:r>
        <w:rPr>
          <w:rFonts w:hint="eastAsia"/>
          <w:sz w:val="24"/>
          <w:szCs w:val="24"/>
        </w:rPr>
        <w:t xml:space="preserve">投标报价）×价格权值×</w:t>
      </w:r>
      <w:r>
        <w:rPr>
          <w:sz w:val="24"/>
          <w:szCs w:val="24"/>
        </w:rPr>
        <w:t xml:space="preserve">100</w:t>
      </w:r>
      <w:r/>
    </w:p>
    <w:p>
      <w:pPr>
        <w:ind w:firstLine="480"/>
        <w:spacing w:line="360" w:lineRule="auto"/>
        <w:rPr>
          <w:b/>
          <w:sz w:val="24"/>
          <w:szCs w:val="24"/>
        </w:rPr>
      </w:pPr>
      <w:r>
        <w:rPr>
          <w:rFonts w:hint="eastAsia" w:cs="Times New Roman"/>
          <w:b/>
          <w:sz w:val="24"/>
          <w:szCs w:val="24"/>
        </w:rPr>
        <w:t xml:space="preserve">价格扣除：</w:t>
      </w:r>
      <w:r/>
    </w:p>
    <w:p>
      <w:pPr>
        <w:ind w:firstLine="482"/>
        <w:spacing w:after="20" w:line="360" w:lineRule="auto"/>
        <w:rPr>
          <w:b/>
          <w:sz w:val="24"/>
        </w:rPr>
      </w:pPr>
      <w:r>
        <w:rPr>
          <w:b/>
          <w:sz w:val="24"/>
        </w:rPr>
        <w:t xml:space="preserve">1）小微型企业价格扣除：</w:t>
      </w:r>
      <w:r/>
    </w:p>
    <w:p>
      <w:pPr>
        <w:ind w:firstLine="482"/>
        <w:spacing w:after="20" w:line="360" w:lineRule="auto"/>
        <w:rPr>
          <w:bCs/>
          <w:sz w:val="24"/>
        </w:rPr>
      </w:pPr>
      <w:r>
        <w:rPr>
          <w:bCs/>
          <w:sz w:val="24"/>
        </w:rPr>
        <w:t xml:space="preserve">①对小型和微型企业产品的价格给予10%的扣除，用扣除后的价格参与评</w:t>
      </w:r>
      <w:r>
        <w:rPr>
          <w:bCs/>
          <w:sz w:val="24"/>
        </w:rPr>
        <w:t xml:space="preserve">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after="20" w:line="360" w:lineRule="auto"/>
        <w:rPr>
          <w:bCs/>
          <w:sz w:val="24"/>
        </w:rPr>
      </w:pPr>
      <w:r>
        <w:rPr>
          <w:bCs/>
          <w:sz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bCs/>
          <w:sz w:val="24"/>
        </w:rPr>
        <w:t xml:space="preserve">（</w:t>
      </w:r>
      <w:r>
        <w:rPr>
          <w:bCs/>
          <w:sz w:val="24"/>
        </w:rPr>
        <w:t xml:space="preserve">含新疆生产建设兵团</w:t>
      </w:r>
      <w:r>
        <w:rPr>
          <w:rFonts w:hint="eastAsia"/>
          <w:bCs/>
          <w:sz w:val="24"/>
        </w:rPr>
        <w:t xml:space="preserve">）</w:t>
      </w:r>
      <w:r>
        <w:rPr>
          <w:bCs/>
          <w:sz w:val="24"/>
        </w:rPr>
        <w:t xml:space="preserve">出具的属于监狱企业的证明文件扫描件。</w:t>
      </w:r>
      <w:r/>
    </w:p>
    <w:p>
      <w:pPr>
        <w:ind w:firstLine="482"/>
        <w:spacing w:after="20" w:line="360" w:lineRule="auto"/>
        <w:rPr>
          <w:bCs/>
          <w:sz w:val="24"/>
        </w:rPr>
      </w:pPr>
      <w:r>
        <w:rPr>
          <w:bCs/>
          <w:sz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after="20" w:line="360" w:lineRule="auto"/>
        <w:rPr>
          <w:bCs/>
          <w:sz w:val="24"/>
        </w:rPr>
      </w:pPr>
      <w:r>
        <w:rPr>
          <w:bCs/>
          <w:sz w:val="24"/>
        </w:rPr>
        <w:t xml:space="preserve">④残疾人福利单位、监狱企业属于小型、微型企业的，不重复享受政策。</w:t>
      </w:r>
      <w:r/>
    </w:p>
    <w:p>
      <w:pPr>
        <w:ind w:firstLine="482"/>
        <w:spacing w:after="20" w:line="360" w:lineRule="auto"/>
        <w:rPr>
          <w:b/>
          <w:sz w:val="24"/>
        </w:rPr>
      </w:pPr>
      <w:r>
        <w:rPr>
          <w:b/>
          <w:sz w:val="24"/>
        </w:rPr>
        <w:t xml:space="preserve">2）采购本国产品的支持政策：</w:t>
      </w:r>
      <w:r>
        <w:rPr>
          <w:rFonts w:hint="eastAsia"/>
          <w:b/>
          <w:sz w:val="24"/>
        </w:rPr>
        <w:t xml:space="preserve">不涉及；</w:t>
      </w:r>
      <w:r/>
    </w:p>
    <w:p>
      <w:pPr>
        <w:ind w:firstLine="482"/>
        <w:spacing w:line="360" w:lineRule="auto"/>
        <w:rPr>
          <w:b/>
          <w:bCs/>
          <w:sz w:val="24"/>
          <w:szCs w:val="24"/>
        </w:rPr>
      </w:pPr>
      <w:r>
        <w:rPr>
          <w:rFonts w:hint="eastAsia"/>
          <w:b/>
          <w:bCs/>
          <w:sz w:val="24"/>
          <w:szCs w:val="24"/>
        </w:rPr>
        <w:t xml:space="preserve">注：根据财库〔2026〕2号文件，在评审过程中，评审委员会启动异常低价投标审查的情形和具体要求，包括：</w:t>
      </w:r>
      <w:r/>
    </w:p>
    <w:p>
      <w:pPr>
        <w:ind w:firstLine="482"/>
        <w:spacing w:line="360" w:lineRule="auto"/>
        <w:rPr>
          <w:b/>
          <w:bCs/>
          <w:sz w:val="24"/>
          <w:szCs w:val="24"/>
        </w:rPr>
      </w:pPr>
      <w:r>
        <w:rPr>
          <w:rFonts w:hint="eastAsia"/>
          <w:b/>
          <w:bCs/>
          <w:sz w:val="24"/>
          <w:szCs w:val="24"/>
        </w:rPr>
        <w:t xml:space="preserve">（一）1.投标报价低于全部通过符合性审查供应商投标报价平均值50%的，即投标报价&lt;全部通过符合性审查供应商投标报价平均值×50%；</w:t>
      </w:r>
      <w:r/>
    </w:p>
    <w:p>
      <w:pPr>
        <w:ind w:firstLine="482"/>
        <w:spacing w:line="360" w:lineRule="auto"/>
        <w:rPr>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rPr>
          <w:b/>
          <w:bCs/>
          <w:sz w:val="24"/>
          <w:szCs w:val="24"/>
        </w:rPr>
      </w:pPr>
      <w:r>
        <w:rPr>
          <w:rFonts w:hint="eastAsia"/>
          <w:b/>
          <w:bCs/>
          <w:sz w:val="24"/>
          <w:szCs w:val="24"/>
        </w:rPr>
        <w:t xml:space="preserve">3.投标报价低于采购项目最高限价45%的，即投标报价&lt;采购项目最高限价×45%；</w:t>
      </w:r>
      <w:r/>
    </w:p>
    <w:p>
      <w:pPr>
        <w:ind w:firstLine="482"/>
        <w:spacing w:line="360" w:lineRule="auto"/>
        <w:rPr>
          <w:b/>
          <w:bCs/>
          <w:sz w:val="24"/>
          <w:szCs w:val="24"/>
        </w:rPr>
      </w:pPr>
      <w:r>
        <w:rPr>
          <w:rFonts w:hint="eastAsia"/>
          <w:b/>
          <w:bCs/>
          <w:sz w:val="24"/>
          <w:szCs w:val="24"/>
        </w:rPr>
        <w:t xml:space="preserve">4.评审委员会基于专业判断，认为供应商报价过低，有可能影响产品质量或者不能诚信履约的其他情形。</w:t>
      </w:r>
      <w:r/>
    </w:p>
    <w:p>
      <w:pPr>
        <w:ind w:firstLine="482"/>
        <w:spacing w:line="360" w:lineRule="auto"/>
        <w:rPr>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2"/>
        <w:spacing w:line="360" w:lineRule="auto"/>
        <w:rPr>
          <w:b/>
          <w:bCs/>
          <w:sz w:val="24"/>
          <w:szCs w:val="24"/>
        </w:rPr>
      </w:pPr>
      <w:r>
        <w:rPr>
          <w:rFonts w:hint="eastAsia"/>
          <w:b/>
          <w:bCs/>
          <w:sz w:val="24"/>
          <w:szCs w:val="24"/>
        </w:rPr>
        <w:t xml:space="preserve">评审委员会依据专业经验，参考同类项目中标价格、类似产品市场价格水</w:t>
      </w:r>
      <w:r>
        <w:rPr>
          <w:rFonts w:hint="eastAsia"/>
          <w:b/>
          <w:bCs/>
          <w:sz w:val="24"/>
          <w:szCs w:val="24"/>
        </w:rPr>
        <w:t xml:space="preserve">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Arial" w:hAnsi="Arial" w:eastAsia="Arial" w:cs="Arial"/>
          <w:b/>
          <w:sz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12"/>
        </w:numPr>
        <w:ind w:firstLine="482"/>
        <w:spacing w:line="360" w:lineRule="auto"/>
        <w:rPr>
          <w:b/>
          <w:bCs/>
          <w:sz w:val="24"/>
          <w:szCs w:val="24"/>
        </w:rPr>
      </w:pPr>
      <w:r>
        <w:rPr>
          <w:rFonts w:hint="eastAsia"/>
          <w:b/>
          <w:bCs/>
          <w:sz w:val="24"/>
          <w:szCs w:val="24"/>
        </w:rPr>
        <w:t xml:space="preserve">投标供应商评价（25分）</w:t>
      </w:r>
      <w:r/>
    </w:p>
    <w:p>
      <w:pPr>
        <w:ind w:firstLine="482"/>
        <w:spacing w:line="360" w:lineRule="auto"/>
        <w:rPr>
          <w:b/>
          <w:bCs/>
          <w:sz w:val="24"/>
          <w:szCs w:val="24"/>
        </w:rPr>
      </w:pPr>
      <w:r>
        <w:rPr>
          <w:b/>
          <w:bCs/>
          <w:sz w:val="24"/>
          <w:szCs w:val="24"/>
        </w:rPr>
        <w:t xml:space="preserve">1）维修零部件及零备件仓库（7分）</w:t>
      </w:r>
      <w:r/>
    </w:p>
    <w:p>
      <w:pPr>
        <w:ind w:firstLine="480"/>
        <w:spacing w:line="360" w:lineRule="auto"/>
        <w:rPr>
          <w:sz w:val="24"/>
          <w:szCs w:val="24"/>
        </w:rPr>
      </w:pPr>
      <w:r>
        <w:rPr>
          <w:sz w:val="24"/>
          <w:szCs w:val="24"/>
        </w:rPr>
        <w:t xml:space="preserve">①</w:t>
      </w:r>
      <w:r>
        <w:rPr>
          <w:color w:val="000000"/>
          <w:sz w:val="24"/>
          <w:szCs w:val="24"/>
        </w:rPr>
        <w:t xml:space="preserve">投标供应商承诺维修所用零部件为全新原厂同型</w:t>
      </w:r>
      <w:r>
        <w:rPr>
          <w:rFonts w:hint="eastAsia"/>
          <w:color w:val="000000"/>
          <w:sz w:val="24"/>
          <w:szCs w:val="24"/>
        </w:rPr>
        <w:t xml:space="preserve">号</w:t>
      </w:r>
      <w:r>
        <w:rPr>
          <w:color w:val="000000"/>
          <w:sz w:val="24"/>
          <w:szCs w:val="24"/>
        </w:rPr>
        <w:t xml:space="preserve">匹配备件，且提供核心备件购销合同及</w:t>
      </w:r>
      <w:r>
        <w:rPr>
          <w:rFonts w:cs="Times New Roman"/>
          <w:sz w:val="24"/>
          <w:szCs w:val="24"/>
        </w:rPr>
        <w:t xml:space="preserve">招标公告发布之日前</w:t>
      </w:r>
      <w:r>
        <w:rPr>
          <w:color w:val="000000"/>
          <w:sz w:val="24"/>
          <w:szCs w:val="24"/>
        </w:rPr>
        <w:t xml:space="preserve">六个月内报关单扫描件的,得5分。</w:t>
      </w:r>
      <w:r>
        <w:rPr>
          <w:rFonts w:hint="eastAsia"/>
          <w:b/>
          <w:bCs/>
          <w:color w:val="000000"/>
          <w:sz w:val="24"/>
          <w:szCs w:val="24"/>
        </w:rPr>
        <w:t xml:space="preserve">须提供以上证明材料扫描件上传至投标系统中并加盖公章,承诺函格式自拟,不提供或提供不符合要求均不得分。</w:t>
      </w:r>
      <w:r/>
    </w:p>
    <w:p>
      <w:pPr>
        <w:ind w:firstLine="480"/>
        <w:spacing w:line="360" w:lineRule="auto"/>
        <w:rPr>
          <w:b/>
          <w:bCs/>
          <w:sz w:val="24"/>
          <w:szCs w:val="24"/>
        </w:rPr>
      </w:pPr>
      <w:r>
        <w:rPr>
          <w:sz w:val="24"/>
          <w:szCs w:val="24"/>
        </w:rPr>
        <w:t xml:space="preserve">②</w:t>
      </w:r>
      <w:r>
        <w:rPr>
          <w:color w:val="000000"/>
          <w:sz w:val="24"/>
          <w:szCs w:val="24"/>
        </w:rPr>
        <w:t xml:space="preserve">投标供应商承诺在国内设有专门的独立零备件仓库，须</w:t>
      </w:r>
      <w:r>
        <w:rPr>
          <w:rFonts w:cs="Times New Roman"/>
          <w:sz w:val="24"/>
          <w:szCs w:val="24"/>
        </w:rPr>
        <w:t xml:space="preserve">提供仓库信息（仓库地址、租赁合同或自有产权证明、仓库照片、面积、仓库联系人、联系电话）</w:t>
      </w:r>
      <w:r>
        <w:rPr>
          <w:rFonts w:hint="eastAsia" w:cs="Times New Roman"/>
          <w:sz w:val="24"/>
          <w:szCs w:val="24"/>
        </w:rPr>
        <w:t xml:space="preserve">，</w:t>
      </w:r>
      <w:r>
        <w:rPr>
          <w:color w:val="000000"/>
          <w:sz w:val="24"/>
          <w:szCs w:val="24"/>
        </w:rPr>
        <w:t xml:space="preserve">每</w:t>
      </w:r>
      <w:r>
        <w:rPr>
          <w:rFonts w:hint="eastAsia"/>
          <w:color w:val="000000"/>
          <w:sz w:val="24"/>
          <w:szCs w:val="24"/>
        </w:rPr>
        <w:t xml:space="preserve">提供</w:t>
      </w:r>
      <w:r>
        <w:rPr>
          <w:color w:val="000000"/>
          <w:sz w:val="24"/>
          <w:szCs w:val="24"/>
        </w:rPr>
        <w:t xml:space="preserve">一个专门的独立零备件仓库得1分，最多得2分</w:t>
      </w:r>
      <w:r>
        <w:rPr>
          <w:rFonts w:cs="Times New Roman"/>
          <w:color w:val="000000"/>
          <w:sz w:val="24"/>
          <w:szCs w:val="24"/>
        </w:rPr>
        <w:t xml:space="preserve">。</w:t>
      </w:r>
      <w:r>
        <w:rPr>
          <w:rFonts w:hint="eastAsia"/>
          <w:b/>
          <w:bCs/>
          <w:color w:val="000000"/>
          <w:sz w:val="24"/>
          <w:szCs w:val="24"/>
        </w:rPr>
        <w:t xml:space="preserve">须</w:t>
      </w:r>
      <w:r>
        <w:rPr>
          <w:rFonts w:hint="eastAsia"/>
          <w:b/>
          <w:bCs/>
          <w:color w:val="000000"/>
          <w:sz w:val="24"/>
        </w:rPr>
        <w:t xml:space="preserve">提供仓库有效证明材料扫描上传至投标系统中并加盖公章</w:t>
      </w:r>
      <w:r>
        <w:rPr>
          <w:rFonts w:hint="eastAsia" w:cs="Times New Roman"/>
          <w:b/>
          <w:bCs/>
          <w:sz w:val="24"/>
          <w:szCs w:val="24"/>
        </w:rPr>
        <w:t xml:space="preserve">，</w:t>
      </w:r>
      <w:r>
        <w:rPr>
          <w:rFonts w:hint="eastAsia"/>
          <w:b/>
          <w:bCs/>
          <w:sz w:val="24"/>
          <w:szCs w:val="24"/>
        </w:rPr>
        <w:t xml:space="preserve">承诺书格式自拟</w:t>
      </w:r>
      <w:r>
        <w:rPr>
          <w:rFonts w:hint="eastAsia" w:cs="Times New Roman"/>
          <w:b/>
          <w:bCs/>
          <w:sz w:val="24"/>
          <w:szCs w:val="24"/>
        </w:rPr>
        <w:t xml:space="preserve">，</w:t>
      </w:r>
      <w:r>
        <w:rPr>
          <w:rFonts w:hint="eastAsia"/>
          <w:b/>
          <w:bCs/>
          <w:color w:val="000000"/>
          <w:sz w:val="24"/>
          <w:szCs w:val="24"/>
        </w:rPr>
        <w:t xml:space="preserve">不提供或提供不符合要求均不得分</w:t>
      </w:r>
      <w:r>
        <w:rPr>
          <w:rFonts w:hint="eastAsia"/>
          <w:b/>
          <w:bCs/>
          <w:color w:val="000000"/>
          <w:sz w:val="24"/>
        </w:rPr>
        <w:t xml:space="preserve">。</w:t>
      </w:r>
      <w:r/>
    </w:p>
    <w:p>
      <w:pPr>
        <w:ind w:firstLine="480"/>
        <w:spacing w:line="360" w:lineRule="auto"/>
        <w:rPr>
          <w:sz w:val="24"/>
          <w:szCs w:val="24"/>
        </w:rPr>
      </w:pPr>
      <w:r>
        <w:rPr>
          <w:sz w:val="24"/>
          <w:szCs w:val="24"/>
        </w:rPr>
        <w:t xml:space="preserve">2）技术团队实力（11分）</w:t>
      </w:r>
      <w:r/>
    </w:p>
    <w:p>
      <w:pPr>
        <w:ind w:firstLine="480"/>
        <w:spacing w:line="360" w:lineRule="auto"/>
        <w:rPr>
          <w:rFonts w:cs="Times New Roman"/>
          <w:b/>
          <w:bCs/>
          <w:sz w:val="24"/>
          <w:szCs w:val="32"/>
        </w:rPr>
      </w:pPr>
      <w:r>
        <w:rPr>
          <w:sz w:val="24"/>
          <w:szCs w:val="24"/>
        </w:rPr>
        <w:t xml:space="preserve">①</w:t>
      </w:r>
      <w:r>
        <w:rPr>
          <w:rFonts w:cs="Times New Roman"/>
          <w:sz w:val="24"/>
          <w:szCs w:val="32"/>
        </w:rPr>
        <w:t xml:space="preserve">投标供应商</w:t>
      </w:r>
      <w:r>
        <w:rPr>
          <w:rFonts w:hint="eastAsia" w:cs="Times New Roman"/>
          <w:sz w:val="24"/>
          <w:szCs w:val="32"/>
        </w:rPr>
        <w:t xml:space="preserve">在</w:t>
      </w:r>
      <w:r>
        <w:rPr>
          <w:rFonts w:cs="Times New Roman"/>
          <w:sz w:val="24"/>
          <w:szCs w:val="32"/>
        </w:rPr>
        <w:t xml:space="preserve">配备全职的、认证合格的CT、DSA、磁共振工程师各1名</w:t>
      </w:r>
      <w:r>
        <w:rPr>
          <w:rFonts w:hint="eastAsia" w:cs="Times New Roman"/>
          <w:sz w:val="24"/>
          <w:szCs w:val="32"/>
        </w:rPr>
        <w:t xml:space="preserve">的</w:t>
      </w:r>
      <w:r>
        <w:rPr>
          <w:rFonts w:cs="Times New Roman"/>
          <w:sz w:val="24"/>
          <w:szCs w:val="32"/>
        </w:rPr>
        <w:t xml:space="preserve">此基础上，</w:t>
      </w:r>
      <w:r>
        <w:rPr>
          <w:rFonts w:hint="eastAsia" w:cs="Times New Roman"/>
          <w:sz w:val="24"/>
          <w:szCs w:val="32"/>
        </w:rPr>
        <w:t xml:space="preserve">每多</w:t>
      </w:r>
      <w:r>
        <w:rPr>
          <w:rFonts w:cs="Times New Roman"/>
          <w:sz w:val="24"/>
          <w:szCs w:val="32"/>
        </w:rPr>
        <w:t xml:space="preserve">配备1名全职的、认证合格CT、DSA或磁共振工程师加</w:t>
      </w:r>
      <w:r>
        <w:rPr>
          <w:rFonts w:hint="eastAsia" w:cs="Times New Roman"/>
          <w:sz w:val="24"/>
          <w:szCs w:val="32"/>
        </w:rPr>
        <w:t xml:space="preserve">1</w:t>
      </w:r>
      <w:r>
        <w:rPr>
          <w:rFonts w:cs="Times New Roman"/>
          <w:sz w:val="24"/>
          <w:szCs w:val="32"/>
        </w:rPr>
        <w:t xml:space="preserve">分，最多加5分</w:t>
      </w:r>
      <w:r>
        <w:rPr>
          <w:rFonts w:hint="eastAsia" w:cs="Times New Roman"/>
          <w:sz w:val="24"/>
          <w:szCs w:val="32"/>
        </w:rPr>
        <w:t xml:space="preserve">；其中</w:t>
      </w:r>
      <w:r>
        <w:rPr>
          <w:rFonts w:cs="Times New Roman"/>
          <w:sz w:val="24"/>
          <w:szCs w:val="32"/>
        </w:rPr>
        <w:t xml:space="preserve">技术团队中每具备一名原厂认证合格的工程师另加</w:t>
      </w:r>
      <w:r>
        <w:rPr>
          <w:rFonts w:hint="eastAsia" w:cs="Times New Roman"/>
          <w:sz w:val="24"/>
          <w:szCs w:val="32"/>
        </w:rPr>
        <w:t xml:space="preserve">1</w:t>
      </w:r>
      <w:r>
        <w:rPr>
          <w:rFonts w:cs="Times New Roman"/>
          <w:sz w:val="24"/>
          <w:szCs w:val="32"/>
        </w:rPr>
        <w:t xml:space="preserve">分，最多加5分</w:t>
      </w:r>
      <w:r>
        <w:rPr>
          <w:rFonts w:hint="eastAsia" w:cs="Times New Roman"/>
          <w:sz w:val="24"/>
          <w:szCs w:val="32"/>
        </w:rPr>
        <w:t xml:space="preserve">；</w:t>
      </w:r>
      <w:r>
        <w:rPr>
          <w:rFonts w:cs="Times New Roman"/>
          <w:sz w:val="24"/>
          <w:szCs w:val="32"/>
        </w:rPr>
        <w:t xml:space="preserve">本项最高得10分。</w:t>
      </w:r>
      <w:r>
        <w:rPr>
          <w:rFonts w:cs="Times New Roman"/>
          <w:b/>
          <w:bCs/>
          <w:sz w:val="24"/>
          <w:szCs w:val="32"/>
        </w:rPr>
        <w:t xml:space="preserve">提供有效期内的证书等证明文件，扫描上传至投标系统中并加盖公章（英文件还需提供翻译件），不提供或提供不符合要求均不得分。</w:t>
      </w:r>
      <w:r/>
    </w:p>
    <w:p>
      <w:pPr>
        <w:ind w:firstLine="480"/>
        <w:spacing w:line="360" w:lineRule="auto"/>
        <w:rPr>
          <w:b/>
          <w:bCs/>
          <w:sz w:val="24"/>
          <w:szCs w:val="24"/>
        </w:rPr>
      </w:pPr>
      <w:r>
        <w:rPr>
          <w:rFonts w:cs="Cambria Math"/>
          <w:bCs/>
          <w:sz w:val="24"/>
          <w:szCs w:val="24"/>
        </w:rPr>
        <w:t xml:space="preserve">②</w:t>
      </w:r>
      <w:r>
        <w:rPr>
          <w:color w:val="000000"/>
          <w:sz w:val="24"/>
          <w:szCs w:val="24"/>
        </w:rPr>
        <w:t xml:space="preserve">投标供应商具备远程网络维修诊断系统</w:t>
      </w:r>
      <w:r>
        <w:rPr>
          <w:b/>
          <w:bCs/>
          <w:color w:val="000000"/>
          <w:sz w:val="24"/>
          <w:szCs w:val="24"/>
        </w:rPr>
        <w:t xml:space="preserve">的得1分，须提供具备远程网络维</w:t>
      </w:r>
      <w:r>
        <w:rPr>
          <w:b/>
          <w:bCs/>
          <w:color w:val="000000"/>
          <w:sz w:val="24"/>
          <w:szCs w:val="24"/>
        </w:rPr>
        <w:t xml:space="preserve">修诊断系统相关证书及信息安全等级保护备案凭证</w:t>
      </w:r>
      <w:r>
        <w:rPr>
          <w:rFonts w:cs="Times New Roman"/>
          <w:b/>
          <w:bCs/>
          <w:sz w:val="24"/>
          <w:szCs w:val="24"/>
        </w:rPr>
        <w:t xml:space="preserve">等证明文件扫描件上传至投标系统中并加盖公章，未提供或提供资料不符合要求均不得分。</w:t>
      </w:r>
      <w:r/>
    </w:p>
    <w:p>
      <w:pPr>
        <w:ind w:firstLine="482"/>
        <w:spacing w:line="360" w:lineRule="auto"/>
        <w:rPr>
          <w:b/>
          <w:bCs/>
          <w:sz w:val="24"/>
          <w:szCs w:val="24"/>
        </w:rPr>
      </w:pPr>
      <w:r>
        <w:rPr>
          <w:rFonts w:hint="eastAsia"/>
          <w:b/>
          <w:bCs/>
          <w:sz w:val="24"/>
          <w:szCs w:val="24"/>
        </w:rPr>
        <w:t xml:space="preserve">3）投标供应商业绩（3分）</w:t>
      </w:r>
      <w:r/>
    </w:p>
    <w:p>
      <w:pPr>
        <w:ind w:firstLine="482"/>
        <w:spacing w:line="360" w:lineRule="auto"/>
        <w:rPr>
          <w:sz w:val="24"/>
          <w:szCs w:val="24"/>
        </w:rPr>
      </w:pPr>
      <w:r>
        <w:rPr>
          <w:rFonts w:hint="eastAsia"/>
          <w:sz w:val="24"/>
          <w:szCs w:val="24"/>
        </w:rPr>
        <w:t xml:space="preserve">投标供应商自2023年以来（以合同签订时间为准）具备本次维保招标同类项目设备整机维保实例的，每拥有1个有效业绩得1.5分，最高得3分。</w:t>
      </w:r>
      <w:r>
        <w:rPr>
          <w:rFonts w:hint="eastAsia"/>
          <w:b/>
          <w:bCs/>
          <w:sz w:val="24"/>
          <w:szCs w:val="24"/>
        </w:rPr>
        <w:t xml:space="preserve">须提供证明材料扫描上传至投标系统中并加盖公章，不提供或提供不符合要求均不得分，同一甲方不重复得分。</w:t>
      </w:r>
      <w:r/>
    </w:p>
    <w:p>
      <w:pPr>
        <w:ind w:firstLine="482"/>
        <w:spacing w:line="360" w:lineRule="auto"/>
        <w:rPr>
          <w:sz w:val="24"/>
          <w:szCs w:val="24"/>
        </w:rPr>
      </w:pPr>
      <w:r>
        <w:rPr>
          <w:rFonts w:hint="eastAsia"/>
          <w:sz w:val="24"/>
          <w:szCs w:val="24"/>
        </w:rPr>
        <w:t xml:space="preserve">注：满足以下任一条件即计为一个有效业绩：①同一份合同中同时包含至少一台CT、一台DSA和一台磁共振的维保服务实例；②同时持有多份独立且正在履行或完成的维保合同中，覆盖至少一台CT设备和一台磁共振。</w:t>
      </w:r>
      <w:r/>
    </w:p>
    <w:p>
      <w:pPr>
        <w:ind w:firstLine="482"/>
        <w:spacing w:line="360" w:lineRule="auto"/>
        <w:rPr>
          <w:b/>
          <w:bCs/>
          <w:sz w:val="24"/>
          <w:szCs w:val="24"/>
        </w:rPr>
      </w:pPr>
      <w:r>
        <w:rPr>
          <w:rFonts w:hint="eastAsia"/>
          <w:b/>
          <w:bCs/>
          <w:sz w:val="24"/>
          <w:szCs w:val="24"/>
        </w:rPr>
        <w:t xml:space="preserve">4）售后服务响应承诺（4分）</w:t>
      </w:r>
      <w:r/>
    </w:p>
    <w:p>
      <w:pPr>
        <w:ind w:firstLine="482"/>
        <w:spacing w:line="360" w:lineRule="auto"/>
        <w:rPr>
          <w:b/>
          <w:bCs/>
          <w:sz w:val="24"/>
          <w:szCs w:val="24"/>
        </w:rPr>
      </w:pPr>
      <w:r>
        <w:rPr>
          <w:rFonts w:hint="eastAsia"/>
          <w:sz w:val="24"/>
          <w:szCs w:val="24"/>
        </w:rPr>
        <w:t xml:space="preserve">投标供应商在满足24小时到达采购人地址的前提下，承诺到达采购人地址每提前8小时加2分，最多加4分。</w:t>
      </w:r>
      <w:r>
        <w:rPr>
          <w:rFonts w:hint="eastAsia"/>
          <w:b/>
          <w:bCs/>
          <w:sz w:val="24"/>
          <w:szCs w:val="24"/>
        </w:rPr>
        <w:t xml:space="preserve">承诺书格式自拟，内容包含但不限于本项要求，提供承诺书原件扫描件上传至投标系统中并加盖公章，不提供或提供不符合要求均不得分。</w:t>
      </w:r>
      <w:r/>
    </w:p>
    <w:p>
      <w:pPr>
        <w:ind w:firstLine="482"/>
        <w:spacing w:line="360" w:lineRule="auto"/>
        <w:rPr>
          <w:b/>
          <w:bCs/>
          <w:sz w:val="24"/>
          <w:szCs w:val="24"/>
        </w:rPr>
      </w:pPr>
      <w:r>
        <w:rPr>
          <w:rFonts w:hint="eastAsia"/>
          <w:b/>
          <w:bCs/>
          <w:sz w:val="24"/>
          <w:szCs w:val="24"/>
        </w:rPr>
        <w:t xml:space="preserve">二、暗标部分</w:t>
      </w:r>
      <w:r/>
    </w:p>
    <w:p>
      <w:pPr>
        <w:ind w:firstLine="482"/>
        <w:spacing w:line="360" w:lineRule="auto"/>
        <w:rPr>
          <w:b/>
          <w:bCs/>
          <w:sz w:val="24"/>
          <w:szCs w:val="24"/>
        </w:rPr>
      </w:pPr>
      <w:r>
        <w:rPr>
          <w:rFonts w:hint="eastAsia"/>
          <w:b/>
          <w:bCs/>
          <w:sz w:val="24"/>
          <w:szCs w:val="24"/>
        </w:rPr>
        <w:t xml:space="preserve">（1）技术方案（50分）</w:t>
      </w:r>
      <w:r/>
    </w:p>
    <w:p>
      <w:pPr>
        <w:ind w:firstLine="482"/>
        <w:spacing w:line="360" w:lineRule="auto"/>
        <w:rPr>
          <w:b/>
          <w:bCs/>
          <w:sz w:val="24"/>
          <w:szCs w:val="24"/>
        </w:rPr>
      </w:pPr>
      <w:r>
        <w:rPr>
          <w:rFonts w:hint="eastAsia"/>
          <w:b/>
          <w:bCs/>
          <w:sz w:val="24"/>
          <w:szCs w:val="24"/>
        </w:rPr>
        <w:t xml:space="preserve">1）日常维护方案（8分）</w:t>
      </w:r>
      <w:r/>
    </w:p>
    <w:p>
      <w:pPr>
        <w:ind w:firstLine="480"/>
        <w:spacing w:line="360" w:lineRule="auto"/>
        <w:rPr>
          <w:sz w:val="24"/>
          <w:szCs w:val="24"/>
        </w:rPr>
      </w:pPr>
      <w:r/>
      <w:bookmarkStart w:id="1" w:name="_Hlk152592183"/>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日常维护方案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维护服务流程；②服务标准；③服务管理；④服务措施。</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2分，存在1处瑕疵的得1分，存在2处瑕疵的得0.5分，未进行阐述或不满足采购需求或内容存在2处以上瑕疵的得0分；本项共计4点内容，本项最高得8分。</w:t>
      </w:r>
      <w:r/>
    </w:p>
    <w:p>
      <w:pPr>
        <w:ind w:firstLine="482"/>
        <w:spacing w:line="360" w:lineRule="auto"/>
        <w:rPr>
          <w:b/>
          <w:bCs/>
          <w:sz w:val="24"/>
          <w:szCs w:val="24"/>
        </w:rPr>
      </w:pPr>
      <w:r>
        <w:rPr>
          <w:rFonts w:hint="eastAsia"/>
          <w:b/>
          <w:bCs/>
          <w:sz w:val="24"/>
          <w:szCs w:val="24"/>
        </w:rPr>
        <w:t xml:space="preserve">2）投标供应商管理机制（8分）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管理机制</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组织机构；②各岗位职责分工。</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投标供应商针对上述内容进行阐述，要求阐述内容合理、针对性强、切实可行有效。以上每点内容均不存在瑕疵的得4分，存在1处瑕疵的得2分，存在2</w:t>
      </w:r>
      <w:r>
        <w:rPr>
          <w:rFonts w:hint="eastAsia"/>
          <w:color w:val="000000"/>
          <w:sz w:val="24"/>
          <w:szCs w:val="24"/>
        </w:rPr>
        <w:t xml:space="preserve">处瑕疵的得1分，未进行阐述或不满足采购需求或内容存在2处以上瑕疵的得0分；本项共计2点内容，本项最高得8分。</w:t>
      </w:r>
      <w:r/>
    </w:p>
    <w:p>
      <w:pPr>
        <w:ind w:firstLine="482"/>
        <w:spacing w:line="360" w:lineRule="auto"/>
        <w:rPr>
          <w:b/>
          <w:bCs/>
          <w:sz w:val="24"/>
          <w:szCs w:val="24"/>
        </w:rPr>
      </w:pPr>
      <w:r>
        <w:rPr>
          <w:rFonts w:hint="eastAsia"/>
          <w:b/>
          <w:bCs/>
          <w:sz w:val="24"/>
          <w:szCs w:val="24"/>
        </w:rPr>
        <w:t xml:space="preserve">3）人员培训方案（8分）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人员培训方案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临床应用培训；②维修技术人员能力培训。</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4分，存在1处瑕疵的得2分，存在2处瑕疵的得1分，未进行阐述或不满足采购需求或内容存在2处以上瑕疵的得0分；本项共计2点内容，本项最高得8分。</w:t>
      </w:r>
      <w:r/>
    </w:p>
    <w:p>
      <w:pPr>
        <w:ind w:firstLine="482"/>
        <w:spacing w:line="360" w:lineRule="auto"/>
        <w:rPr>
          <w:b/>
          <w:bCs/>
          <w:sz w:val="24"/>
          <w:szCs w:val="24"/>
        </w:rPr>
      </w:pPr>
      <w:r>
        <w:rPr>
          <w:rFonts w:hint="eastAsia"/>
          <w:b/>
          <w:bCs/>
          <w:sz w:val="24"/>
          <w:szCs w:val="24"/>
        </w:rPr>
        <w:t xml:space="preserve">4）应急维护方案（8分）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应急维护方案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重大故障处理；②应急抢修；③应急响应；④重点活动保障。</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2分，存在1处瑕疵的得1分，存在2处瑕疵的得0.5分，未进行阐述或不满足采购需求或内容存在2处以上瑕疵的得0分；本项共计4点内容，本项最高得8分。</w:t>
      </w:r>
      <w:r/>
    </w:p>
    <w:p>
      <w:pPr>
        <w:ind w:firstLine="482"/>
        <w:spacing w:line="360" w:lineRule="auto"/>
        <w:rPr>
          <w:b/>
          <w:bCs/>
          <w:sz w:val="24"/>
          <w:szCs w:val="24"/>
        </w:rPr>
      </w:pPr>
      <w:r>
        <w:rPr>
          <w:rFonts w:hint="eastAsia"/>
          <w:b/>
          <w:bCs/>
          <w:sz w:val="24"/>
          <w:szCs w:val="24"/>
        </w:rPr>
        <w:t xml:space="preserve">5）安全管理方案（6分）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安全管理方案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安全保障措施；②设备安全防护设施。</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3分，存在1处瑕疵的得2分，存在2处瑕疵的得1分，未进行阐述或不满足采购需求或内容存在2处以上瑕疵的得0分；本项共计2点内容，本项最高得6分。</w:t>
      </w:r>
      <w:r/>
    </w:p>
    <w:p>
      <w:pPr>
        <w:ind w:firstLine="482"/>
        <w:spacing w:line="360" w:lineRule="auto"/>
        <w:rPr>
          <w:b/>
          <w:bCs/>
          <w:sz w:val="24"/>
          <w:szCs w:val="24"/>
        </w:rPr>
      </w:pPr>
      <w:r>
        <w:rPr>
          <w:rFonts w:hint="eastAsia"/>
          <w:b/>
          <w:bCs/>
          <w:sz w:val="24"/>
          <w:szCs w:val="24"/>
        </w:rPr>
        <w:t xml:space="preserve">6）技术实施方案（6分）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技术实施方案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维保计划；②服务流程；③保障措施；④质量控制。</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1.5分，存在1处瑕疵的得1分，存在2处瑕疵的得0.5分，未进行阐述或不满足采购需求或内容存在2处以上瑕疵的得0分；本项共计4点内容，本项最高得6分。</w:t>
      </w:r>
      <w:r/>
    </w:p>
    <w:p>
      <w:pPr>
        <w:ind w:firstLine="482"/>
        <w:spacing w:line="360" w:lineRule="auto"/>
        <w:rPr>
          <w:b/>
          <w:bCs/>
          <w:sz w:val="24"/>
          <w:szCs w:val="24"/>
        </w:rPr>
      </w:pPr>
      <w:r>
        <w:rPr>
          <w:rFonts w:hint="eastAsia"/>
          <w:b/>
          <w:bCs/>
          <w:sz w:val="24"/>
          <w:szCs w:val="24"/>
        </w:rPr>
        <w:t xml:space="preserve">7）项目协调方案（6分）</w:t>
      </w:r>
      <w:r/>
    </w:p>
    <w:p>
      <w:pPr>
        <w:ind w:firstLine="480"/>
        <w:spacing w:line="360" w:lineRule="auto"/>
        <w:rPr>
          <w:sz w:val="24"/>
          <w:szCs w:val="24"/>
        </w:rPr>
      </w:pPr>
      <w:r>
        <w:rPr>
          <w:rFonts w:hint="eastAsia"/>
          <w:sz w:val="24"/>
          <w:szCs w:val="24"/>
        </w:rPr>
        <w:t xml:space="preserve">根据</w:t>
      </w:r>
      <w:r>
        <w:rPr>
          <w:rFonts w:hint="eastAsia"/>
          <w:color w:val="000000"/>
          <w:sz w:val="24"/>
          <w:szCs w:val="24"/>
        </w:rPr>
        <w:t xml:space="preserve">投标供应商提供的</w:t>
      </w:r>
      <w:r>
        <w:rPr>
          <w:rFonts w:hint="eastAsia"/>
          <w:sz w:val="24"/>
          <w:szCs w:val="24"/>
        </w:rPr>
        <w:t xml:space="preserve">项目协调方案</w:t>
      </w:r>
      <w:r>
        <w:rPr>
          <w:rFonts w:hint="eastAsia"/>
          <w:color w:val="000000"/>
          <w:sz w:val="24"/>
          <w:szCs w:val="24"/>
        </w:rPr>
        <w:t xml:space="preserve">进行评分，内容包括但不限于：</w:t>
      </w: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rFonts w:hint="eastAsia"/>
          <w:color w:val="000000"/>
          <w:sz w:val="24"/>
          <w:szCs w:val="24"/>
        </w:rPr>
        <w:t xml:space="preserve">①</w:t>
      </w:r>
      <w:r>
        <w:rPr>
          <w:rFonts w:hint="eastAsia"/>
          <w:color w:val="000000"/>
          <w:sz w:val="24"/>
          <w:szCs w:val="24"/>
        </w:rPr>
        <w:fldChar w:fldCharType="end"/>
      </w:r>
      <w:r>
        <w:rPr>
          <w:rFonts w:hint="eastAsia"/>
          <w:sz w:val="24"/>
          <w:szCs w:val="24"/>
        </w:rPr>
        <w:t xml:space="preserve">与业主方的综合协调；②与其他单位、部门的综合协调。</w:t>
      </w:r>
      <w:r/>
    </w:p>
    <w:p>
      <w:pPr>
        <w:ind w:firstLine="480"/>
        <w:spacing w:line="360" w:lineRule="auto"/>
        <w:widowControl/>
        <w:rPr>
          <w:color w:val="000000"/>
          <w:sz w:val="24"/>
          <w:szCs w:val="24"/>
        </w:rPr>
      </w:pPr>
      <w:r>
        <w:rPr>
          <w:rFonts w:hint="eastAsia"/>
          <w:color w:val="000000"/>
          <w:sz w:val="24"/>
          <w:szCs w:val="24"/>
        </w:rPr>
        <w:t xml:space="preserve">投标供应商针对上述内容进行阐述，要求阐述内容合理、针对性强、切实可行有效。以上每点内容均不存在瑕疵的得3分，存在1处瑕疵的得2分，存在2处瑕疵的得1分，未进行阐述或不满足采购需求或内容存在2处以上瑕疵的得0分；本项共计2点内容，本项最高得6分。</w:t>
      </w:r>
      <w:r/>
    </w:p>
    <w:p>
      <w:pPr>
        <w:ind w:firstLine="480"/>
        <w:spacing w:line="360" w:lineRule="auto"/>
        <w:rPr>
          <w:color w:val="000000"/>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1"/>
      <w:r/>
    </w:p>
    <w:p>
      <w:pPr>
        <w:ind w:firstLine="482"/>
        <w:spacing w:line="360" w:lineRule="auto"/>
        <w:rPr>
          <w:b/>
          <w:bCs/>
          <w:sz w:val="24"/>
          <w:szCs w:val="24"/>
        </w:rPr>
      </w:pPr>
      <w:r>
        <w:rPr>
          <w:rFonts w:hint="eastAsia"/>
          <w:b/>
          <w:bCs/>
          <w:sz w:val="24"/>
          <w:szCs w:val="24"/>
        </w:rPr>
        <w:t xml:space="preserve">注：本次评标，核算各投标人的得分取所有评标成员的平均值。评分办法及评分细则的解释权属采购人。未列入本评分细则的其他条件不作为评分内容。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b/>
          <w:sz w:val="24"/>
          <w:szCs w:val="24"/>
        </w:rPr>
      </w:pPr>
      <w:r>
        <w:rPr>
          <w:rFonts w:hint="eastAsia"/>
          <w:b/>
          <w:sz w:val="24"/>
          <w:szCs w:val="24"/>
        </w:rPr>
        <w:t xml:space="preserve">（十）定标：</w:t>
      </w:r>
      <w:r/>
    </w:p>
    <w:p>
      <w:pPr>
        <w:ind w:firstLine="482"/>
        <w:jc w:val="left"/>
        <w:spacing w:line="360" w:lineRule="auto"/>
        <w:shd w:val="clear" w:color="auto" w:fill="ffffff"/>
        <w:widowControl/>
        <w:rPr>
          <w:sz w:val="24"/>
          <w:szCs w:val="24"/>
        </w:rPr>
      </w:pPr>
      <w:r>
        <w:rPr>
          <w:rFonts w:hint="eastAsia"/>
          <w:sz w:val="24"/>
          <w:szCs w:val="24"/>
        </w:rPr>
        <w:t xml:space="preserve">1.评标委员会根据招标文件规定的评标方法和评标标准进行评审，按照招标文件的要求依法确定中标供应商，采购代理机构和评标委员会对未中标原因不作解释。</w:t>
      </w:r>
      <w:r/>
    </w:p>
    <w:p>
      <w:pPr>
        <w:ind w:firstLine="480"/>
        <w:spacing w:line="360" w:lineRule="auto"/>
        <w:rPr>
          <w:sz w:val="24"/>
          <w:szCs w:val="24"/>
        </w:rPr>
      </w:pPr>
      <w:r>
        <w:rPr>
          <w:rFonts w:hint="eastAsia"/>
          <w:sz w:val="24"/>
          <w:szCs w:val="24"/>
        </w:rPr>
        <w:t xml:space="preserve">2.中标人确定后，采购代理机构将在江苏省政府采购网发布中标公告，中标公告期为1个工作日，公告的同时向中标供应商发出中标通知书。</w:t>
      </w:r>
      <w:r/>
    </w:p>
    <w:p>
      <w:pPr>
        <w:ind w:firstLine="480"/>
        <w:spacing w:line="360" w:lineRule="auto"/>
        <w:rPr>
          <w:sz w:val="24"/>
          <w:szCs w:val="24"/>
        </w:rPr>
      </w:pPr>
      <w:r>
        <w:rPr>
          <w:rFonts w:hint="eastAsia"/>
          <w:sz w:val="24"/>
          <w:szCs w:val="24"/>
        </w:rPr>
        <w:t xml:space="preserve">3.中标通知书对采购人和中标供应商具有同等法律效力。</w:t>
      </w:r>
      <w:r/>
    </w:p>
    <w:p>
      <w:pPr>
        <w:ind w:firstLine="480"/>
        <w:spacing w:line="360" w:lineRule="auto"/>
        <w:rPr>
          <w:sz w:val="24"/>
          <w:szCs w:val="24"/>
        </w:rPr>
      </w:pPr>
      <w:r>
        <w:rPr>
          <w:rFonts w:hint="eastAsia"/>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rPr>
          <w:sz w:val="24"/>
          <w:szCs w:val="24"/>
        </w:rPr>
      </w:pPr>
      <w:r>
        <w:rPr>
          <w:rFonts w:hint="eastAsia"/>
          <w:sz w:val="24"/>
          <w:szCs w:val="24"/>
        </w:rPr>
        <w:t xml:space="preserve">5.所有投标文件不论中标与否，均不退回。</w:t>
      </w:r>
      <w:r/>
    </w:p>
    <w:p>
      <w:pPr>
        <w:ind w:firstLine="482"/>
        <w:jc w:val="left"/>
        <w:spacing w:line="360" w:lineRule="auto"/>
        <w:shd w:val="clear" w:color="auto" w:fill="ffffff"/>
        <w:widowControl/>
        <w:rPr>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b/>
          <w:sz w:val="24"/>
          <w:szCs w:val="24"/>
        </w:rPr>
      </w:pPr>
      <w:r>
        <w:rPr>
          <w:rFonts w:hint="eastAsia"/>
          <w:b/>
          <w:sz w:val="24"/>
          <w:szCs w:val="24"/>
        </w:rPr>
        <w:t xml:space="preserve">（十三）签订、履行合同：</w:t>
      </w:r>
      <w:r/>
    </w:p>
    <w:p>
      <w:pPr>
        <w:ind w:firstLine="480"/>
        <w:jc w:val="left"/>
        <w:spacing w:line="360" w:lineRule="auto"/>
        <w:shd w:val="clear" w:color="auto" w:fill="ffffff"/>
        <w:widowControl/>
        <w:rPr>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p>
    <w:p>
      <w:pPr>
        <w:ind w:firstLine="480"/>
        <w:jc w:val="left"/>
        <w:spacing w:line="360" w:lineRule="auto"/>
        <w:shd w:val="clear" w:color="auto" w:fill="ffffff"/>
        <w:widowControl/>
        <w:rPr>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b/>
          <w:sz w:val="24"/>
          <w:szCs w:val="24"/>
        </w:rPr>
      </w:pPr>
      <w:r>
        <w:rPr>
          <w:rFonts w:hint="eastAsia"/>
          <w:b/>
          <w:sz w:val="24"/>
          <w:szCs w:val="24"/>
        </w:rPr>
        <w:t xml:space="preserve">（十四）质疑和投诉</w:t>
      </w:r>
      <w:r/>
    </w:p>
    <w:p>
      <w:pPr>
        <w:ind w:firstLine="482"/>
        <w:spacing w:line="360" w:lineRule="auto"/>
        <w:shd w:val="clear" w:color="auto" w:fill="ffffff"/>
        <w:widowControl/>
        <w:rPr>
          <w:sz w:val="24"/>
          <w:szCs w:val="24"/>
        </w:rPr>
      </w:pPr>
      <w:r>
        <w:rPr>
          <w:rFonts w:hint="eastAsia"/>
          <w:b/>
          <w:bCs/>
          <w:sz w:val="24"/>
          <w:szCs w:val="24"/>
        </w:rPr>
        <w:t xml:space="preserve">1.质疑</w:t>
      </w:r>
      <w:r/>
    </w:p>
    <w:p>
      <w:pPr>
        <w:ind w:firstLine="480"/>
        <w:spacing w:line="360" w:lineRule="auto"/>
        <w:shd w:val="clear" w:color="auto" w:fill="ffffff"/>
        <w:widowControl/>
        <w:rPr>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4"/>
        <w:spacing w:line="360" w:lineRule="auto"/>
        <w:shd w:val="clear" w:color="auto" w:fill="ffffff"/>
        <w:widowControl/>
        <w:rPr>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sz w:val="24"/>
          <w:szCs w:val="24"/>
        </w:rPr>
      </w:pPr>
      <w:r>
        <w:rPr>
          <w:rFonts w:hint="eastAsia"/>
          <w:b/>
          <w:bCs/>
          <w:sz w:val="24"/>
          <w:szCs w:val="24"/>
        </w:rPr>
        <w:t xml:space="preserve">2.投诉</w:t>
      </w:r>
      <w:r/>
    </w:p>
    <w:p>
      <w:pPr>
        <w:ind w:firstLine="480"/>
        <w:spacing w:line="360" w:lineRule="auto"/>
        <w:shd w:val="clear" w:color="auto" w:fill="ffffff"/>
        <w:widowControl/>
        <w:rPr>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b/>
          <w:sz w:val="24"/>
          <w:szCs w:val="24"/>
        </w:rPr>
      </w:pPr>
      <w:r>
        <w:rPr>
          <w:rFonts w:hint="eastAsia"/>
          <w:b/>
          <w:sz w:val="24"/>
          <w:szCs w:val="24"/>
        </w:rPr>
        <w:t xml:space="preserve">（十五）注意事项：</w:t>
      </w:r>
      <w:r/>
    </w:p>
    <w:p>
      <w:pPr>
        <w:ind w:firstLine="480"/>
        <w:spacing w:line="360" w:lineRule="auto"/>
        <w:shd w:val="clear" w:color="auto" w:fill="ffffff"/>
        <w:widowControl/>
        <w:rPr>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sz w:val="24"/>
          <w:szCs w:val="24"/>
        </w:rPr>
      </w:pPr>
      <w:r>
        <w:rPr>
          <w:rFonts w:hint="eastAsia"/>
          <w:sz w:val="24"/>
          <w:szCs w:val="24"/>
        </w:rPr>
        <w:t xml:space="preserve">（3）拒绝履行合同义务的。</w:t>
      </w:r>
      <w:r/>
    </w:p>
    <w:p>
      <w:pPr>
        <w:ind w:firstLine="482"/>
        <w:jc w:val="left"/>
        <w:spacing w:line="360" w:lineRule="auto"/>
        <w:rPr>
          <w:b/>
          <w:bCs/>
          <w:sz w:val="24"/>
          <w:szCs w:val="24"/>
        </w:rPr>
        <w:outlineLvl w:val="0"/>
      </w:pPr>
      <w:r>
        <w:rPr>
          <w:rFonts w:hint="eastAsia"/>
          <w:b/>
          <w:sz w:val="24"/>
          <w:szCs w:val="24"/>
        </w:rPr>
        <w:t xml:space="preserve">（十六）</w:t>
      </w:r>
      <w:r>
        <w:rPr>
          <w:rFonts w:hint="eastAsia"/>
          <w:b/>
          <w:bCs/>
          <w:sz w:val="24"/>
          <w:szCs w:val="24"/>
        </w:rPr>
        <w:t xml:space="preserve">代理服务费：</w:t>
      </w:r>
      <w:r/>
    </w:p>
    <w:p>
      <w:pPr>
        <w:ind w:firstLine="482"/>
        <w:spacing w:line="360" w:lineRule="auto"/>
        <w:shd w:val="clear" w:color="auto" w:fill="ffffff"/>
        <w:widowControl/>
        <w:rPr>
          <w:b/>
          <w:sz w:val="24"/>
          <w:szCs w:val="24"/>
        </w:rPr>
      </w:pPr>
      <w:r>
        <w:rPr>
          <w:b/>
          <w:sz w:val="24"/>
          <w:szCs w:val="24"/>
        </w:rPr>
        <w:t xml:space="preserve">本项目采购预算包含代理服务费，并且根据与采购人的委托代理协议约定，代理服务费由中标供应商支付，本次采购的代理费用以中标金额为计费基础，按差额定率累进法计算，收费标准为：100万元以下费率为1.5%，100万元-500万元费率为0.8%，在此收费基础上打3.6折，由中标供应商领取中标通知书时向采购代理机构一次性付清。</w:t>
      </w:r>
      <w:r>
        <w:rPr>
          <w:rFonts w:hint="eastAsia"/>
          <w:b/>
          <w:sz w:val="24"/>
          <w:szCs w:val="24"/>
        </w:rPr>
        <w:t xml:space="preserve">中标供应商如果未按规定缴纳代理服务费，采购代理机构将保留诉讼的权利。</w:t>
      </w:r>
      <w:r/>
    </w:p>
    <w:p>
      <w:pPr>
        <w:ind w:firstLine="482"/>
        <w:jc w:val="left"/>
        <w:spacing w:line="360" w:lineRule="auto"/>
        <w:rPr>
          <w:b/>
          <w:bCs/>
          <w:sz w:val="24"/>
          <w:szCs w:val="24"/>
        </w:rPr>
        <w:outlineLvl w:val="0"/>
      </w:pPr>
      <w:r>
        <w:rPr>
          <w:rFonts w:hint="eastAsia"/>
          <w:b/>
          <w:bCs/>
          <w:sz w:val="24"/>
          <w:szCs w:val="24"/>
        </w:rPr>
        <w:t xml:space="preserve">（十七）政府采购履约担保</w:t>
      </w:r>
      <w:r/>
    </w:p>
    <w:p>
      <w:pPr>
        <w:ind w:firstLine="482"/>
        <w:spacing w:line="360" w:lineRule="auto"/>
        <w:rPr>
          <w:b/>
          <w:color w:val="000000"/>
          <w:sz w:val="24"/>
          <w:szCs w:val="24"/>
        </w:rPr>
      </w:pPr>
      <w:r>
        <w:rPr>
          <w:rFonts w:hint="eastAsia"/>
          <w:b/>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2"/>
        <w:spacing w:line="360" w:lineRule="auto"/>
        <w:rPr>
          <w:b/>
          <w:color w:val="000000"/>
          <w:sz w:val="24"/>
          <w:szCs w:val="24"/>
        </w:rPr>
      </w:pPr>
      <w:r>
        <w:rPr>
          <w:rFonts w:hint="eastAsia"/>
          <w:b/>
          <w:color w:val="000000"/>
          <w:sz w:val="24"/>
          <w:szCs w:val="24"/>
        </w:rPr>
        <w:t xml:space="preserve">中标、成交供应商可以采用电子履约保函形式缴纳履约保证金，具体操作可登录江苏政府采购网（http://www.ccgp-jiangsu.gov.cn/）的保险保函模块进行办理。</w:t>
      </w:r>
      <w:r/>
    </w:p>
    <w:p>
      <w:pPr>
        <w:ind w:firstLine="482"/>
        <w:jc w:val="left"/>
        <w:spacing w:line="360" w:lineRule="auto"/>
        <w:rPr>
          <w:b/>
          <w:bCs/>
          <w:sz w:val="24"/>
          <w:szCs w:val="24"/>
        </w:rPr>
        <w:outlineLvl w:val="0"/>
      </w:pPr>
      <w:r>
        <w:rPr>
          <w:rFonts w:hint="eastAsia"/>
          <w:b/>
          <w:bCs/>
          <w:sz w:val="24"/>
          <w:szCs w:val="24"/>
        </w:rPr>
        <w:t xml:space="preserve">（十八）政府采购合同融资</w:t>
      </w:r>
      <w:r/>
    </w:p>
    <w:p>
      <w:pPr>
        <w:ind w:firstLine="482"/>
        <w:spacing w:line="360" w:lineRule="auto"/>
        <w:rPr>
          <w:b/>
          <w:bCs/>
          <w:color w:val="000000"/>
          <w:sz w:val="24"/>
          <w:szCs w:val="24"/>
        </w:rPr>
      </w:pPr>
      <w:r>
        <w:rPr>
          <w:rFonts w:hint="eastAsia"/>
          <w:b/>
          <w:bCs/>
          <w:color w:val="000000"/>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w:t>
      </w:r>
      <w:r>
        <w:rPr>
          <w:rFonts w:hint="eastAsia"/>
          <w:b/>
          <w:bCs/>
          <w:color w:val="000000"/>
          <w:sz w:val="24"/>
          <w:szCs w:val="24"/>
        </w:rPr>
        <w:t xml:space="preserve">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color w:val="000000"/>
          <w:sz w:val="24"/>
          <w:szCs w:val="24"/>
        </w:rPr>
        <w:t xml:space="preserve">中标、成交供应商可采用合同融资形式，中标人可凭政府采购合同办理融资贷款，详见政府采购网“政采贷”专栏。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2.主合同约定的应当缴纳履约保证金的情形</w:t>
      </w:r>
      <w:r>
        <w:rPr>
          <w:sz w:val="24"/>
          <w:szCs w:val="24"/>
        </w:rPr>
        <w:t xml:space="preserve">: </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p>
    <w:p>
      <w:pPr>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sz w:val="24"/>
          <w:szCs w:val="24"/>
        </w:rPr>
      </w:pPr>
      <w:r>
        <w:rPr>
          <w:rFonts w:hint="eastAsia"/>
          <w:sz w:val="24"/>
          <w:szCs w:val="24"/>
        </w:rPr>
        <w:t xml:space="preserve">无锡市政府采购合同融资政策告知函</w:t>
      </w:r>
      <w:r/>
    </w:p>
    <w:p>
      <w:pPr>
        <w:ind w:firstLine="480"/>
        <w:spacing w:after="326" w:line="580" w:lineRule="exact"/>
        <w:rPr>
          <w:sz w:val="24"/>
          <w:szCs w:val="24"/>
        </w:rPr>
      </w:pPr>
      <w:r>
        <w:rPr>
          <w:rFonts w:hint="eastAsia"/>
          <w:sz w:val="24"/>
          <w:szCs w:val="24"/>
        </w:rPr>
        <w:t xml:space="preserve">各供应商：</w:t>
      </w:r>
      <w:r/>
    </w:p>
    <w:p>
      <w:pPr>
        <w:ind w:firstLine="480"/>
        <w:spacing w:after="326" w:line="580" w:lineRule="exact"/>
        <w:rPr>
          <w:sz w:val="24"/>
          <w:szCs w:val="24"/>
        </w:rPr>
      </w:pPr>
      <w:r>
        <w:rPr>
          <w:rFonts w:hint="eastAsia"/>
          <w:sz w:val="24"/>
          <w:szCs w:val="24"/>
        </w:rPr>
        <w:t xml:space="preserve">欢迎贵公司参与无锡市政府采购活动！</w:t>
      </w:r>
      <w:r/>
    </w:p>
    <w:p>
      <w:pPr>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sz w:val="24"/>
          <w:szCs w:val="24"/>
        </w:rPr>
      </w:pPr>
      <w:r>
        <w:rPr>
          <w:sz w:val="24"/>
          <w:szCs w:val="24"/>
        </w:rPr>
      </w:r>
      <w:r/>
    </w:p>
    <w:p>
      <w:pPr>
        <w:ind w:firstLine="482"/>
        <w:jc w:val="center"/>
        <w:spacing w:line="360" w:lineRule="auto"/>
        <w:rPr>
          <w:b/>
          <w:sz w:val="44"/>
          <w:szCs w:val="44"/>
        </w:rPr>
        <w:outlineLvl w:val="0"/>
      </w:pPr>
      <w:r>
        <w:rPr>
          <w:rFonts w:hint="eastAsia"/>
          <w:b/>
          <w:sz w:val="24"/>
          <w:szCs w:val="24"/>
        </w:rPr>
        <w:br w:type="page" w:clear="all"/>
      </w:r>
      <w:r>
        <w:rPr>
          <w:rFonts w:hint="eastAsia"/>
          <w:b/>
          <w:sz w:val="44"/>
          <w:szCs w:val="44"/>
        </w:rPr>
        <w:t xml:space="preserve">第三部分 采购需求</w:t>
      </w:r>
      <w:bookmarkStart w:id="2" w:name="_Toc342413708"/>
      <w:r/>
      <w:bookmarkEnd w:id="2"/>
      <w:r/>
    </w:p>
    <w:p>
      <w:pPr>
        <w:pStyle w:val="1074"/>
        <w:ind w:firstLine="482"/>
        <w:rPr>
          <w:b/>
          <w:bCs/>
          <w:sz w:val="24"/>
        </w:rPr>
      </w:pPr>
      <w:r>
        <w:rPr>
          <w:rFonts w:hint="eastAsia"/>
          <w:b/>
          <w:bCs/>
          <w:sz w:val="24"/>
        </w:rPr>
        <w:t xml:space="preserve">投标人须完全响应以下本章节全部内容，不得有负偏离，否则按无效投标文件处理。</w:t>
      </w:r>
      <w:r/>
    </w:p>
    <w:p>
      <w:pPr>
        <w:ind w:firstLine="0"/>
        <w:spacing w:line="360" w:lineRule="auto"/>
        <w:tabs>
          <w:tab w:val="left" w:pos="313" w:leader="none"/>
        </w:tabs>
        <w:rPr>
          <w:b/>
          <w:bCs/>
          <w:sz w:val="24"/>
          <w:szCs w:val="24"/>
        </w:rPr>
      </w:pPr>
      <w:r>
        <w:rPr>
          <w:rFonts w:hint="eastAsia"/>
          <w:b/>
          <w:bCs/>
          <w:sz w:val="24"/>
          <w:szCs w:val="24"/>
        </w:rPr>
        <w:t xml:space="preserve">一、维保设备清单</w:t>
      </w:r>
      <w:r>
        <w:rPr>
          <w:b/>
          <w:bCs/>
          <w:sz w:val="24"/>
          <w:szCs w:val="24"/>
        </w:rPr>
        <w:t xml:space="preserve">及范围</w:t>
      </w:r>
      <w:r>
        <w:rPr>
          <w:rFonts w:hint="eastAsia"/>
          <w:b/>
          <w:bCs/>
          <w:sz w:val="24"/>
          <w:szCs w:val="24"/>
        </w:rPr>
        <w:t xml:space="preserve">：</w:t>
      </w:r>
      <w:r/>
    </w:p>
    <w:tbl>
      <w:tblPr>
        <w:tblW w:w="5653" w:type="pct"/>
        <w:jc w:val="center"/>
        <w:tblLayout w:type="fixed"/>
        <w:tblLook w:val="04A0" w:firstRow="1" w:lastRow="0" w:firstColumn="1" w:lastColumn="0" w:noHBand="0" w:noVBand="1"/>
      </w:tblPr>
      <w:tblGrid>
        <w:gridCol w:w="642"/>
        <w:gridCol w:w="1064"/>
        <w:gridCol w:w="1528"/>
        <w:gridCol w:w="848"/>
        <w:gridCol w:w="993"/>
        <w:gridCol w:w="708"/>
        <w:gridCol w:w="644"/>
        <w:gridCol w:w="3482"/>
      </w:tblGrid>
      <w:tr>
        <w:trPr>
          <w:jc w:val="center"/>
          <w:trHeight w:val="67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设备型号</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序列号</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院区</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保修类型</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年限</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备注</w:t>
            </w:r>
            <w:r/>
          </w:p>
        </w:tc>
      </w:tr>
      <w:tr>
        <w:trPr>
          <w:jc w:val="center"/>
          <w:trHeight w:val="118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3.0T磁共振</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MAGNETOM Skyra</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45513</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南院住院部</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包含主机所有部件和人工，含备件、磁体、冷头、线圈、液氦、工作站、系统及软件更新、水冷机等。含高压注射器、所有后处理工作站。每年4次预防性维护。</w:t>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64排CT</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SOMATOM go.Top</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165789</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南院急诊</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包含主机所有部件及人工，含球管，探测器、高压油箱，每年4次预防性维护。</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胃肠机 </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Luminos Fusion FD</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40002</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南院急诊</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包含主机所有部件和人工，每年4次预防性维护。</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小C臂</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ARCADIS Avantic Gen2</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35222</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南院胃镜室</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包含主机所有部件及人工，含球管和影增等，每年4次预防性维护。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骨科</w:t>
            </w:r>
            <w:r>
              <w:rPr>
                <w:rFonts w:cs="Calibri"/>
                <w:color w:val="000000"/>
                <w:sz w:val="24"/>
                <w:szCs w:val="24"/>
                <w:lang w:bidi="ar"/>
              </w:rPr>
              <w:t xml:space="preserve">C</w:t>
            </w:r>
            <w:r>
              <w:rPr>
                <w:color w:val="000000"/>
                <w:sz w:val="24"/>
                <w:szCs w:val="24"/>
                <w:lang w:bidi="ar"/>
              </w:rPr>
              <w:t xml:space="preserve">臂</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rFonts w:cs="Calibri"/>
                <w:color w:val="000000"/>
                <w:sz w:val="24"/>
                <w:szCs w:val="24"/>
              </w:rPr>
            </w:pPr>
            <w:r>
              <w:rPr>
                <w:rFonts w:cs="Calibri"/>
                <w:color w:val="000000"/>
                <w:sz w:val="24"/>
                <w:szCs w:val="24"/>
                <w:lang w:bidi="ar"/>
              </w:rPr>
              <w:t xml:space="preserve">Cios Connect</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21206</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南院骨科</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包含主机所有部件及人工，含球管和影增等，每年4次预防性维护。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DR</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Multix Fusion Digital</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20021</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北院门诊</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包含主机所有部件和人工，含球管和平板等，每年4次预防性维护。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lang w:bidi="ar"/>
              </w:rPr>
            </w:pPr>
            <w:r>
              <w:rPr>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MOBILETT XP Digital</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3246</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包含主机所有部件和人工，含球管和影增，每年4次预防性维护。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MOBILETT Mira Max</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3067</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包含主机所有部件和人工，含球管和影增，每年4次预防性维护。</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3.0T磁共振</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MAGNETOM Vida</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213747</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北院门诊</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jc w:val="left"/>
              <w:widowControl/>
              <w:rPr>
                <w:color w:val="000000"/>
                <w:sz w:val="24"/>
                <w:szCs w:val="24"/>
              </w:rPr>
            </w:pPr>
            <w:r>
              <w:rPr>
                <w:color w:val="000000"/>
                <w:sz w:val="24"/>
                <w:szCs w:val="24"/>
                <w:lang w:bidi="ar"/>
              </w:rPr>
              <w:t xml:space="preserve">包含主机所有部件和人工，含磁体、线圈、梯度、冷却系统（冷头和液氦）、后处理工作站（含软件）以及其他整机所有硬件及软件，包括高压注射器、第三方水冷、精密空调等，每年2次预防性维护。</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DSA</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ARTIS pheno</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164112</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北院复合手术</w:t>
            </w:r>
            <w:r>
              <w:rPr>
                <w:color w:val="000000"/>
                <w:sz w:val="24"/>
                <w:szCs w:val="24"/>
                <w:lang w:bidi="ar"/>
              </w:rPr>
              <w:t xml:space="preserve">室</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包含主机所有部件和人工，含球管、平板探测器、高压油</w:t>
            </w:r>
            <w:r>
              <w:rPr>
                <w:color w:val="000000"/>
                <w:sz w:val="24"/>
                <w:szCs w:val="24"/>
                <w:lang w:bidi="ar"/>
              </w:rPr>
              <w:t xml:space="preserve">箱、工作站等，每年4次预防性维护。</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骨科</w:t>
            </w:r>
            <w:r>
              <w:rPr>
                <w:rFonts w:cs="Calibri"/>
                <w:color w:val="000000"/>
                <w:sz w:val="24"/>
                <w:szCs w:val="24"/>
                <w:lang w:bidi="ar"/>
              </w:rPr>
              <w:t xml:space="preserve">C</w:t>
            </w:r>
            <w:r>
              <w:rPr>
                <w:color w:val="000000"/>
                <w:sz w:val="24"/>
                <w:szCs w:val="24"/>
                <w:lang w:bidi="ar"/>
              </w:rPr>
              <w:t xml:space="preserve">臂</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rFonts w:cs="Calibri"/>
                <w:color w:val="000000"/>
                <w:sz w:val="24"/>
                <w:szCs w:val="24"/>
              </w:rPr>
            </w:pPr>
            <w:r>
              <w:rPr>
                <w:rFonts w:cs="Calibri"/>
                <w:color w:val="000000"/>
                <w:sz w:val="24"/>
                <w:szCs w:val="24"/>
                <w:lang w:bidi="ar"/>
              </w:rPr>
              <w:t xml:space="preserve">Cios Connect</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21305</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南院骨科</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1748"/>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乳腺机</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MAMMOMAT Inspiration</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8187</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ind w:firstLine="0"/>
              <w:jc w:val="center"/>
              <w:widowControl/>
              <w:rPr>
                <w:color w:val="000000"/>
                <w:sz w:val="24"/>
                <w:szCs w:val="24"/>
              </w:rPr>
            </w:pPr>
            <w:r>
              <w:rPr>
                <w:color w:val="000000"/>
                <w:sz w:val="24"/>
                <w:szCs w:val="24"/>
                <w:lang w:bidi="ar"/>
              </w:rPr>
              <w:t xml:space="preserve">南院住院部</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常规备件+保养+人工，不含球管和平板，每年2次预防性维护。</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小C臂</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ARCADIS Varic Gen2</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18552</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北院碎石机C臂</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碎石机</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MODULARIS Variostar</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7018</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北院门诊</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胃肠机</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Luminos dRF Max</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5864</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北院胃镜室</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常规备件+保养+人工，不含球管和平板，每年2次预防性维护。</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ind w:firstLine="0"/>
              <w:jc w:val="center"/>
              <w:widowControl/>
              <w:rPr>
                <w:color w:val="000000"/>
                <w:sz w:val="24"/>
                <w:szCs w:val="24"/>
              </w:rPr>
            </w:pPr>
            <w:r>
              <w:rPr>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ind w:firstLine="0"/>
              <w:jc w:val="center"/>
              <w:widowControl/>
              <w:rPr>
                <w:color w:val="000000"/>
                <w:sz w:val="24"/>
                <w:szCs w:val="24"/>
              </w:rPr>
            </w:pPr>
            <w:r>
              <w:rPr>
                <w:color w:val="000000"/>
                <w:sz w:val="24"/>
                <w:szCs w:val="24"/>
                <w:lang w:bidi="ar"/>
              </w:rPr>
              <w:t xml:space="preserve">MOBILETT Mira (wireless)</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ind w:firstLine="0"/>
              <w:jc w:val="center"/>
              <w:widowControl/>
              <w:rPr>
                <w:color w:val="000000"/>
                <w:sz w:val="24"/>
                <w:szCs w:val="24"/>
              </w:rPr>
            </w:pPr>
            <w:r>
              <w:rPr>
                <w:color w:val="000000"/>
                <w:sz w:val="24"/>
                <w:szCs w:val="24"/>
                <w:lang w:bidi="ar"/>
              </w:rPr>
              <w:t xml:space="preserve">1627</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firstLine="0"/>
              <w:jc w:val="center"/>
              <w:widowControl/>
              <w:rPr>
                <w:color w:val="000000"/>
                <w:sz w:val="24"/>
                <w:szCs w:val="24"/>
              </w:rPr>
            </w:pPr>
            <w:r>
              <w:rPr>
                <w:color w:val="000000"/>
                <w:sz w:val="24"/>
                <w:szCs w:val="24"/>
                <w:lang w:bidi="ar"/>
              </w:rPr>
              <w:t xml:space="preserve">南院</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bl>
    <w:p>
      <w:pPr>
        <w:ind w:firstLine="0"/>
        <w:spacing w:line="360" w:lineRule="auto"/>
        <w:shd w:val="clear" w:color="auto" w:fill="ffffff"/>
        <w:widowControl/>
        <w:rPr>
          <w:b/>
          <w:bCs/>
          <w:sz w:val="24"/>
          <w:szCs w:val="24"/>
        </w:rPr>
      </w:pPr>
      <w:r>
        <w:rPr>
          <w:rFonts w:hint="eastAsia"/>
          <w:b/>
          <w:bCs/>
          <w:sz w:val="24"/>
          <w:szCs w:val="24"/>
        </w:rPr>
        <w:t xml:space="preserve">注：核心部件清单</w:t>
      </w:r>
      <w:r/>
    </w:p>
    <w:p>
      <w:pPr>
        <w:ind w:firstLine="480"/>
        <w:spacing w:line="360" w:lineRule="auto"/>
        <w:shd w:val="clear" w:color="auto" w:fill="ffffff"/>
        <w:widowControl/>
        <w:rPr>
          <w:b/>
          <w:bCs/>
          <w:sz w:val="24"/>
          <w:szCs w:val="24"/>
        </w:rPr>
      </w:pPr>
      <w:r>
        <w:rPr>
          <w:b/>
          <w:bCs/>
          <w:sz w:val="24"/>
          <w:szCs w:val="24"/>
        </w:rPr>
        <w:t xml:space="preserve">1</w:t>
      </w:r>
      <w:r>
        <w:rPr>
          <w:rFonts w:hint="eastAsia"/>
          <w:b/>
          <w:bCs/>
          <w:sz w:val="24"/>
          <w:szCs w:val="24"/>
        </w:rPr>
        <w:t xml:space="preserve">．磁共振</w:t>
      </w:r>
      <w:r>
        <w:rPr>
          <w:b/>
          <w:bCs/>
          <w:sz w:val="24"/>
          <w:szCs w:val="24"/>
        </w:rPr>
        <w:t xml:space="preserve">:冷头、线圈、磁体、梯度</w:t>
      </w:r>
      <w:r>
        <w:rPr>
          <w:rFonts w:hint="eastAsia"/>
          <w:b/>
          <w:bCs/>
          <w:sz w:val="24"/>
          <w:szCs w:val="24"/>
        </w:rPr>
        <w:t xml:space="preserve">；</w:t>
      </w:r>
      <w:r/>
    </w:p>
    <w:p>
      <w:pPr>
        <w:ind w:firstLine="480"/>
        <w:spacing w:line="360" w:lineRule="auto"/>
        <w:shd w:val="clear" w:color="auto" w:fill="ffffff"/>
        <w:widowControl/>
        <w:rPr>
          <w:b/>
          <w:bCs/>
          <w:sz w:val="24"/>
          <w:szCs w:val="24"/>
        </w:rPr>
      </w:pPr>
      <w:r>
        <w:rPr>
          <w:b/>
          <w:bCs/>
          <w:sz w:val="24"/>
          <w:szCs w:val="24"/>
        </w:rPr>
        <w:t xml:space="preserve">2</w:t>
      </w:r>
      <w:r>
        <w:rPr>
          <w:rFonts w:hint="eastAsia"/>
          <w:b/>
          <w:bCs/>
          <w:sz w:val="24"/>
          <w:szCs w:val="24"/>
        </w:rPr>
        <w:t xml:space="preserve">．</w:t>
      </w:r>
      <w:r>
        <w:rPr>
          <w:b/>
          <w:bCs/>
          <w:sz w:val="24"/>
          <w:szCs w:val="24"/>
        </w:rPr>
        <w:t xml:space="preserve">X光设备(胃肠机、乳腺机、DR、C臂):球管、高压发生器、平板探测器/影像增强器</w:t>
      </w:r>
      <w:r>
        <w:rPr>
          <w:rFonts w:hint="eastAsia"/>
          <w:b/>
          <w:bCs/>
          <w:sz w:val="24"/>
          <w:szCs w:val="24"/>
        </w:rPr>
        <w:t xml:space="preserve">；</w:t>
      </w:r>
      <w:r/>
    </w:p>
    <w:p>
      <w:pPr>
        <w:ind w:firstLine="480"/>
        <w:spacing w:line="360" w:lineRule="auto"/>
        <w:shd w:val="clear" w:color="auto" w:fill="ffffff"/>
        <w:widowControl/>
        <w:rPr>
          <w:b/>
          <w:bCs/>
          <w:sz w:val="24"/>
          <w:szCs w:val="24"/>
        </w:rPr>
      </w:pPr>
      <w:r>
        <w:rPr>
          <w:b/>
          <w:bCs/>
          <w:sz w:val="24"/>
          <w:szCs w:val="24"/>
        </w:rPr>
        <w:t xml:space="preserve">3</w:t>
      </w:r>
      <w:r>
        <w:rPr>
          <w:rFonts w:hint="eastAsia"/>
          <w:b/>
          <w:bCs/>
          <w:sz w:val="24"/>
          <w:szCs w:val="24"/>
        </w:rPr>
        <w:t xml:space="preserve">．碎石机</w:t>
      </w:r>
      <w:r>
        <w:rPr>
          <w:b/>
          <w:bCs/>
          <w:sz w:val="24"/>
          <w:szCs w:val="24"/>
        </w:rPr>
        <w:t xml:space="preserve">:冲击波头、循环冷却泵</w:t>
      </w:r>
      <w:r>
        <w:rPr>
          <w:rFonts w:hint="eastAsia"/>
          <w:b/>
          <w:bCs/>
          <w:sz w:val="24"/>
          <w:szCs w:val="24"/>
        </w:rPr>
        <w:t xml:space="preserve">；</w:t>
      </w:r>
      <w:r/>
    </w:p>
    <w:p>
      <w:pPr>
        <w:ind w:firstLine="480"/>
        <w:spacing w:line="360" w:lineRule="auto"/>
        <w:shd w:val="clear" w:color="auto" w:fill="ffffff"/>
        <w:widowControl/>
        <w:rPr>
          <w:b/>
          <w:bCs/>
          <w:sz w:val="24"/>
          <w:szCs w:val="24"/>
        </w:rPr>
      </w:pPr>
      <w:r>
        <w:rPr>
          <w:b/>
          <w:bCs/>
          <w:sz w:val="24"/>
          <w:szCs w:val="24"/>
        </w:rPr>
        <w:t xml:space="preserve">4</w:t>
      </w:r>
      <w:r>
        <w:rPr>
          <w:rFonts w:hint="eastAsia"/>
          <w:b/>
          <w:bCs/>
          <w:sz w:val="24"/>
          <w:szCs w:val="24"/>
        </w:rPr>
        <w:t xml:space="preserve">．</w:t>
      </w:r>
      <w:r>
        <w:rPr>
          <w:b/>
          <w:bCs/>
          <w:sz w:val="24"/>
          <w:szCs w:val="24"/>
        </w:rPr>
        <w:t xml:space="preserve">DSA</w:t>
      </w:r>
      <w:r>
        <w:rPr>
          <w:rFonts w:hint="eastAsia"/>
          <w:b/>
          <w:bCs/>
          <w:sz w:val="24"/>
          <w:szCs w:val="24"/>
        </w:rPr>
        <w:t xml:space="preserve">：球管、平板探测板、高压油箱；</w:t>
      </w:r>
      <w:r/>
    </w:p>
    <w:p>
      <w:pPr>
        <w:ind w:firstLine="480"/>
        <w:spacing w:line="360" w:lineRule="auto"/>
        <w:shd w:val="clear" w:color="auto" w:fill="ffffff"/>
        <w:widowControl/>
        <w:rPr>
          <w:b/>
          <w:sz w:val="24"/>
          <w:szCs w:val="24"/>
        </w:rPr>
      </w:pPr>
      <w:r>
        <w:rPr>
          <w:rFonts w:hint="eastAsia"/>
          <w:b/>
          <w:sz w:val="24"/>
          <w:szCs w:val="24"/>
        </w:rPr>
        <w:t xml:space="preserve">5</w:t>
      </w:r>
      <w:r>
        <w:rPr>
          <w:rFonts w:hint="eastAsia"/>
          <w:sz w:val="24"/>
          <w:szCs w:val="24"/>
        </w:rPr>
        <w:t xml:space="preserve">．</w:t>
      </w:r>
      <w:r>
        <w:rPr>
          <w:rFonts w:hint="eastAsia"/>
          <w:b/>
          <w:sz w:val="24"/>
          <w:szCs w:val="24"/>
        </w:rPr>
        <w:t xml:space="preserve">CT:球管、探测板模块、滑环、高压油箱。</w:t>
      </w:r>
      <w:r/>
    </w:p>
    <w:p>
      <w:pPr>
        <w:ind w:firstLine="0"/>
        <w:spacing w:line="360" w:lineRule="auto"/>
        <w:tabs>
          <w:tab w:val="left" w:pos="313" w:leader="none"/>
        </w:tabs>
        <w:rPr>
          <w:b/>
          <w:bCs/>
          <w:sz w:val="24"/>
          <w:szCs w:val="24"/>
        </w:rPr>
      </w:pPr>
      <w:r>
        <w:rPr>
          <w:rFonts w:hint="eastAsia"/>
          <w:b/>
          <w:bCs/>
          <w:sz w:val="24"/>
          <w:szCs w:val="24"/>
        </w:rPr>
        <w:t xml:space="preserve">二、服务要求：</w:t>
      </w:r>
      <w:r/>
    </w:p>
    <w:p>
      <w:pPr>
        <w:ind w:firstLine="480"/>
        <w:spacing w:line="360" w:lineRule="auto"/>
        <w:shd w:val="clear" w:color="auto" w:fill="ffffff"/>
        <w:widowControl/>
        <w:rPr>
          <w:sz w:val="24"/>
          <w:szCs w:val="24"/>
        </w:rPr>
      </w:pPr>
      <w:r>
        <w:rPr>
          <w:rFonts w:hint="eastAsia"/>
          <w:sz w:val="24"/>
          <w:szCs w:val="24"/>
        </w:rPr>
        <w:t xml:space="preserve">1．服务周期：2年；</w:t>
      </w:r>
      <w:r/>
    </w:p>
    <w:p>
      <w:pPr>
        <w:ind w:firstLine="480"/>
        <w:spacing w:line="360" w:lineRule="auto"/>
        <w:shd w:val="clear" w:color="auto" w:fill="ffffff"/>
        <w:widowControl/>
        <w:rPr>
          <w:sz w:val="24"/>
          <w:szCs w:val="24"/>
        </w:rPr>
      </w:pPr>
      <w:r>
        <w:rPr>
          <w:rFonts w:hint="eastAsia"/>
          <w:sz w:val="24"/>
          <w:szCs w:val="24"/>
        </w:rPr>
        <w:t xml:space="preserve">2．服务范围：保修期内若发生故障免费更换所有有问题的零部件；承诺所更换的零部件为新的原厂同型匹配备件；所有的配件、人工、差旅、搬运、快递、安装调试及系统软件升级、相关技术支持及培训费用等全部费用包含在本次报价中，采购人不再额外支付任何费用。</w:t>
      </w:r>
      <w:r/>
    </w:p>
    <w:p>
      <w:pPr>
        <w:ind w:firstLine="480"/>
        <w:spacing w:line="360" w:lineRule="auto"/>
        <w:shd w:val="clear" w:color="auto" w:fill="ffffff"/>
        <w:widowControl/>
        <w:rPr>
          <w:sz w:val="24"/>
          <w:szCs w:val="24"/>
        </w:rPr>
      </w:pPr>
      <w:r>
        <w:rPr>
          <w:rFonts w:hint="eastAsia"/>
          <w:sz w:val="24"/>
          <w:szCs w:val="24"/>
        </w:rPr>
        <w:t xml:space="preserve">3．服务质量要求：满足采购人使用要求。</w:t>
      </w:r>
      <w:r/>
    </w:p>
    <w:p>
      <w:pPr>
        <w:ind w:firstLine="480"/>
        <w:spacing w:line="360" w:lineRule="auto"/>
        <w:shd w:val="clear" w:color="auto" w:fill="ffffff"/>
        <w:widowControl/>
        <w:rPr>
          <w:sz w:val="24"/>
          <w:szCs w:val="24"/>
        </w:rPr>
      </w:pPr>
      <w:r>
        <w:rPr>
          <w:rFonts w:hint="eastAsia"/>
          <w:sz w:val="24"/>
          <w:szCs w:val="24"/>
        </w:rPr>
        <w:t xml:space="preserve">4．维修响应要求：报修后工程师电话≤1小时响应，由全职的、认证合格的工程师提供电话技术支持，答疑、即时诊断机器故障、制定维修方案。现场检修：接到维修通知后24小时内工程师必须到达现场（因不可抗力因素导致无法执行除外），由行业或原厂认证合格的专业工程师提供快速优质的现场服务。承诺95%以上的配件国内有货，给院方所有备件的优先使用权，并且48小时之内须送达医院。</w:t>
      </w:r>
      <w:r/>
    </w:p>
    <w:p>
      <w:pPr>
        <w:ind w:firstLine="480"/>
        <w:spacing w:line="360" w:lineRule="auto"/>
        <w:shd w:val="clear" w:color="auto" w:fill="ffffff"/>
        <w:widowControl/>
        <w:rPr>
          <w:sz w:val="24"/>
          <w:szCs w:val="24"/>
        </w:rPr>
      </w:pPr>
      <w:r>
        <w:rPr>
          <w:rFonts w:hint="eastAsia"/>
          <w:sz w:val="24"/>
          <w:szCs w:val="24"/>
        </w:rPr>
        <w:t xml:space="preserve">5．开机率要求：全年365天日历日开机率≥95%（按照一年365日计算），每年累计因设备故障原因停机不超过18个日历日。任何一台设备停机天数超过约定累计停机天数一天，保修期限延长2天，并且按保修合同总价的1%/天向院方支付违约金，院方有权从应当支付中标方的款项中直接扣除。</w:t>
      </w:r>
      <w:r/>
    </w:p>
    <w:p>
      <w:pPr>
        <w:ind w:firstLine="480"/>
        <w:spacing w:line="360" w:lineRule="auto"/>
        <w:shd w:val="clear" w:color="auto" w:fill="ffffff"/>
        <w:widowControl/>
        <w:rPr>
          <w:sz w:val="24"/>
          <w:szCs w:val="24"/>
        </w:rPr>
      </w:pPr>
      <w:r>
        <w:rPr>
          <w:rFonts w:hint="eastAsia"/>
          <w:sz w:val="24"/>
          <w:szCs w:val="24"/>
        </w:rPr>
        <w:t xml:space="preserve">6．违约责任要求：中标单位（供方）须具备完全的技术力量，能在合理期限内完成设备维修，同一故障，若工程师连续上门维修3次仍旧不能修复、或开机率低于90%，可视为供方违约，院方有权立即终止合同，相关损失由违约</w:t>
      </w:r>
      <w:r>
        <w:rPr>
          <w:rFonts w:hint="eastAsia"/>
          <w:sz w:val="24"/>
          <w:szCs w:val="24"/>
        </w:rPr>
        <w:t xml:space="preserve">方承担，并视情况支付相应违约金。同时，供方每出现一次违约行为，院方有权扣除本合同总额的0.05%/天作为违约金直至履约。若累计出现3次及以上违约行为，或供方的违约行为持续10天及以上，院方有权单方解除本合同，要求供方退还已收取的费用并支付本合同总金额30%的违约金。违约金不足以弥补院方损失的，院方有权追偿。保修期内，若因配件断供或其他投标人自身原因，导致维保设备清单范围内的设备无法维修、无法修复，则需赔偿院方直接与间接损失；不在本保修范围内的配套设施，如院方需投标人维修更换，可以低于市场价的85％优惠提供。</w:t>
      </w:r>
      <w:r/>
    </w:p>
    <w:p>
      <w:pPr>
        <w:ind w:firstLine="480"/>
        <w:spacing w:line="360" w:lineRule="auto"/>
        <w:shd w:val="clear" w:color="auto" w:fill="ffffff"/>
        <w:widowControl/>
        <w:rPr>
          <w:sz w:val="24"/>
          <w:szCs w:val="24"/>
        </w:rPr>
      </w:pPr>
      <w:r>
        <w:rPr>
          <w:rFonts w:hint="eastAsia"/>
          <w:sz w:val="24"/>
          <w:szCs w:val="24"/>
        </w:rPr>
        <w:t xml:space="preserve">7．人员配置要求：投标人配备的全职的、认证合格的磁共振、DSA、CT工程师各不少于1名，中标以后提供配置的相关工程师的社保证明，配置人员中若为原厂工程师，中标以后还需提供原厂授权。若中标后无法提供，采购人有权取消其中标资格并追求其责任。</w:t>
      </w:r>
      <w:r/>
    </w:p>
    <w:p>
      <w:pPr>
        <w:ind w:firstLine="480"/>
        <w:spacing w:line="360" w:lineRule="auto"/>
        <w:shd w:val="clear" w:color="auto" w:fill="ffffff"/>
        <w:widowControl/>
        <w:rPr>
          <w:sz w:val="24"/>
          <w:szCs w:val="24"/>
        </w:rPr>
      </w:pPr>
      <w:r>
        <w:rPr>
          <w:rFonts w:hint="eastAsia"/>
          <w:sz w:val="24"/>
          <w:szCs w:val="24"/>
        </w:rPr>
        <w:t xml:space="preserve">8．投标人须有能力提供原厂全新CT球管，且球管具有国家食品药品监督局注册证，且注册证在有效期内；投标人具有更换球管的能力，提供相关球管的报关单及更换工单，以作证明。</w:t>
      </w:r>
      <w:r/>
    </w:p>
    <w:p>
      <w:pPr>
        <w:ind w:firstLine="480"/>
        <w:spacing w:line="360" w:lineRule="auto"/>
        <w:shd w:val="clear" w:color="auto" w:fill="ffffff"/>
        <w:widowControl/>
        <w:rPr>
          <w:sz w:val="24"/>
          <w:szCs w:val="24"/>
        </w:rPr>
      </w:pPr>
      <w:r>
        <w:rPr>
          <w:rFonts w:hint="eastAsia"/>
          <w:sz w:val="24"/>
          <w:szCs w:val="24"/>
        </w:rPr>
        <w:t xml:space="preserve">9．具备客户服务专线电话，365天开通，24小时有专人接听（提供专线号码等）；</w:t>
      </w:r>
      <w:r/>
    </w:p>
    <w:p>
      <w:pPr>
        <w:ind w:firstLine="480"/>
        <w:spacing w:line="360" w:lineRule="auto"/>
        <w:shd w:val="clear" w:color="auto" w:fill="ffffff"/>
        <w:widowControl/>
        <w:rPr>
          <w:sz w:val="24"/>
          <w:szCs w:val="24"/>
        </w:rPr>
      </w:pPr>
      <w:r>
        <w:rPr>
          <w:rFonts w:hint="eastAsia"/>
          <w:sz w:val="24"/>
          <w:szCs w:val="24"/>
        </w:rPr>
        <w:t xml:space="preserve">10．维保单位须保证机器处于优良运行状态，合同期内，对保修设备及相关配套设备作出日常保养计划，每年定期做产品手册规定的专业预防性保养：整机性能测试、电子及机械部分的检查和校准、数据备份、包括除尘，提供除尘前后的现场照片存档，并出具完整的保养报告，交临床科室及医工科备案；提供安全检查、质量保证、安全升级、远程服务；</w:t>
      </w:r>
      <w:r/>
    </w:p>
    <w:p>
      <w:pPr>
        <w:ind w:firstLine="480"/>
        <w:spacing w:line="360" w:lineRule="auto"/>
        <w:shd w:val="clear" w:color="auto" w:fill="ffffff"/>
        <w:widowControl/>
        <w:rPr>
          <w:sz w:val="24"/>
          <w:szCs w:val="24"/>
        </w:rPr>
      </w:pPr>
      <w:r>
        <w:rPr>
          <w:rFonts w:hint="eastAsia"/>
          <w:sz w:val="24"/>
          <w:szCs w:val="24"/>
        </w:rPr>
        <w:t xml:space="preserve">11．保修期内，需要对每台在保大型设备建立“大型医疗设备使用档案”，“大型医疗设备使用档案”随机器存放在使用科室，每次故障维修及保养，必须提供维修、保养记录，并由临床科室签字确认，一份记录存放使用科室，放入“大型医疗设备使用档案”中，一份记录交院方医学工程科分管工程师备案登记；</w:t>
      </w:r>
      <w:r/>
    </w:p>
    <w:p>
      <w:pPr>
        <w:ind w:firstLine="480"/>
        <w:spacing w:line="360" w:lineRule="auto"/>
        <w:shd w:val="clear" w:color="auto" w:fill="ffffff"/>
        <w:widowControl/>
        <w:rPr>
          <w:sz w:val="24"/>
          <w:szCs w:val="24"/>
        </w:rPr>
      </w:pPr>
      <w:r>
        <w:rPr>
          <w:rFonts w:hint="eastAsia"/>
          <w:sz w:val="24"/>
          <w:szCs w:val="24"/>
        </w:rPr>
        <w:t xml:space="preserve">12．须能提供设备的系统软件及硬件的安全性改版升级和技术支持；并保证所有系统软件（非新增加功能软件）为最新版本；免费提供厂家规定的产品升级（包括配件和人工服务）；</w:t>
      </w:r>
      <w:r/>
    </w:p>
    <w:p>
      <w:pPr>
        <w:ind w:firstLine="480"/>
        <w:spacing w:line="360" w:lineRule="auto"/>
        <w:shd w:val="clear" w:color="auto" w:fill="ffffff"/>
        <w:widowControl/>
        <w:rPr>
          <w:sz w:val="24"/>
          <w:szCs w:val="24"/>
        </w:rPr>
      </w:pPr>
      <w:r>
        <w:rPr>
          <w:rFonts w:hint="eastAsia"/>
          <w:sz w:val="24"/>
          <w:szCs w:val="24"/>
        </w:rPr>
        <w:t xml:space="preserve">13．在执行维保合同期间，如院方停用设备，将提前通知中标方，按实际使用天数结算保修款；如因疫情等原因中标方暂时无法提供保修服务的，暂停期保费相应扣除或相应延长保修期，或双方协商解决；</w:t>
      </w:r>
      <w:r/>
    </w:p>
    <w:p>
      <w:pPr>
        <w:ind w:firstLine="480"/>
        <w:spacing w:line="360" w:lineRule="auto"/>
        <w:shd w:val="clear" w:color="auto" w:fill="ffffff"/>
        <w:widowControl/>
        <w:rPr>
          <w:sz w:val="24"/>
          <w:szCs w:val="24"/>
        </w:rPr>
      </w:pPr>
      <w:r>
        <w:rPr>
          <w:rFonts w:hint="eastAsia"/>
          <w:sz w:val="24"/>
          <w:szCs w:val="24"/>
        </w:rPr>
        <w:t xml:space="preserve">14．中标单位不得将本需求约定的权利和义务全部或部分转让给第三方或委托第三方代理；</w:t>
      </w:r>
      <w:r/>
    </w:p>
    <w:p>
      <w:pPr>
        <w:ind w:firstLine="480"/>
        <w:spacing w:line="360" w:lineRule="auto"/>
        <w:shd w:val="clear" w:color="auto" w:fill="ffffff"/>
        <w:widowControl/>
        <w:rPr>
          <w:sz w:val="24"/>
          <w:szCs w:val="24"/>
        </w:rPr>
      </w:pPr>
      <w:r>
        <w:rPr>
          <w:rFonts w:hint="eastAsia"/>
          <w:sz w:val="24"/>
          <w:szCs w:val="24"/>
        </w:rPr>
        <w:t xml:space="preserve">15．若有多台设备维保，投标单位须提供分项报价；</w:t>
      </w:r>
      <w:r/>
    </w:p>
    <w:p>
      <w:pPr>
        <w:ind w:firstLine="480"/>
        <w:spacing w:line="360" w:lineRule="auto"/>
        <w:shd w:val="clear" w:color="auto" w:fill="ffffff"/>
        <w:widowControl/>
        <w:rPr>
          <w:sz w:val="24"/>
          <w:szCs w:val="24"/>
        </w:rPr>
      </w:pPr>
      <w:r>
        <w:rPr>
          <w:rFonts w:hint="eastAsia"/>
          <w:sz w:val="24"/>
          <w:szCs w:val="24"/>
        </w:rPr>
        <w:t xml:space="preserve">16．本次招标预算金额为人民币1000万元，超过预算金额的投标将视为无效投标；</w:t>
      </w:r>
      <w:r/>
    </w:p>
    <w:p>
      <w:pPr>
        <w:ind w:firstLine="480"/>
        <w:spacing w:line="360" w:lineRule="auto"/>
        <w:shd w:val="clear" w:color="auto" w:fill="ffffff"/>
        <w:widowControl/>
        <w:rPr>
          <w:sz w:val="24"/>
          <w:szCs w:val="24"/>
        </w:rPr>
      </w:pPr>
      <w:r>
        <w:rPr>
          <w:rFonts w:hint="eastAsia"/>
          <w:sz w:val="24"/>
          <w:szCs w:val="24"/>
        </w:rPr>
        <w:t xml:space="preserve">17．付款方式：合同签订生效后支付合同金额的10%作为预付款，支付金额时间为合同生效后满一年、满两年后各支付合同金额的45%，应在期满后60日内完成支付。（每笔付款前供方应提供发票及当期维修保养报告并经审核、乙方延迟交付符合要求的发票的，甲方有权延迟付款。）</w:t>
      </w:r>
      <w:r/>
    </w:p>
    <w:p>
      <w:pPr>
        <w:ind w:firstLine="0"/>
        <w:jc w:val="center"/>
        <w:spacing w:line="360" w:lineRule="auto"/>
        <w:tabs>
          <w:tab w:val="left" w:pos="753" w:leader="none"/>
        </w:tabs>
        <w:rPr>
          <w:sz w:val="24"/>
        </w:rPr>
      </w:pPr>
      <w:r>
        <w:rPr>
          <w:rFonts w:hint="eastAsia"/>
          <w:b/>
          <w:sz w:val="44"/>
          <w:szCs w:val="44"/>
        </w:rPr>
        <w:br w:type="page" w:clear="all"/>
      </w:r>
      <w:r>
        <w:rPr>
          <w:rFonts w:hint="eastAsia"/>
          <w:b/>
          <w:sz w:val="44"/>
          <w:szCs w:val="44"/>
        </w:rPr>
        <w:t xml:space="preserve">第四部分 合同条款</w:t>
      </w:r>
      <w:r/>
    </w:p>
    <w:p>
      <w:pPr>
        <w:jc w:val="center"/>
        <w:spacing w:line="360" w:lineRule="auto"/>
        <w:rPr>
          <w:b/>
          <w:sz w:val="28"/>
          <w:szCs w:val="28"/>
        </w:rPr>
      </w:pPr>
      <w:r>
        <w:rPr>
          <w:rFonts w:hint="eastAsia"/>
          <w:b/>
          <w:sz w:val="28"/>
          <w:szCs w:val="28"/>
        </w:rPr>
        <w:t xml:space="preserve">合同书</w:t>
      </w:r>
      <w:bookmarkStart w:id="3" w:name="五．合同条款"/>
      <w:r/>
      <w:bookmarkEnd w:id="3"/>
      <w:r/>
      <w:r/>
    </w:p>
    <w:p>
      <w:pPr>
        <w:ind w:firstLine="480"/>
        <w:spacing w:line="360" w:lineRule="auto"/>
        <w:rPr>
          <w:rFonts w:cs="Times New Roman"/>
          <w:bCs/>
          <w:sz w:val="24"/>
          <w:szCs w:val="24"/>
          <w:u w:val="single"/>
        </w:rPr>
      </w:pPr>
      <w:r>
        <w:rPr>
          <w:rFonts w:cs="Times New Roman"/>
          <w:bCs/>
          <w:sz w:val="24"/>
          <w:szCs w:val="24"/>
        </w:rPr>
        <w:t xml:space="preserve">甲方（采购人）：</w:t>
      </w:r>
      <w:r>
        <w:rPr>
          <w:rFonts w:cs="Times New Roman"/>
          <w:bCs/>
          <w:sz w:val="24"/>
          <w:szCs w:val="24"/>
          <w:u w:val="single"/>
        </w:rPr>
        <w:t xml:space="preserve">无锡市第二人民医院      </w:t>
      </w:r>
      <w:r/>
    </w:p>
    <w:p>
      <w:pPr>
        <w:ind w:firstLine="480"/>
        <w:spacing w:line="360" w:lineRule="auto"/>
        <w:rPr>
          <w:rFonts w:cs="Times New Roman"/>
          <w:bCs/>
          <w:sz w:val="24"/>
          <w:szCs w:val="24"/>
          <w:u w:val="single"/>
        </w:rPr>
      </w:pPr>
      <w:r>
        <w:rPr>
          <w:rFonts w:cs="Times New Roman"/>
          <w:bCs/>
          <w:sz w:val="24"/>
          <w:szCs w:val="24"/>
        </w:rPr>
        <w:t xml:space="preserve">住所：</w:t>
      </w:r>
      <w:r>
        <w:rPr>
          <w:rFonts w:cs="Times New Roman"/>
          <w:bCs/>
          <w:sz w:val="24"/>
          <w:szCs w:val="24"/>
          <w:u w:val="single"/>
        </w:rPr>
        <w:t xml:space="preserve">无锡市梁溪区中山路68号           </w:t>
      </w:r>
      <w:r/>
    </w:p>
    <w:p>
      <w:pPr>
        <w:ind w:firstLine="480"/>
        <w:spacing w:line="360" w:lineRule="auto"/>
        <w:rPr>
          <w:rFonts w:cs="Times New Roman"/>
          <w:bCs/>
          <w:sz w:val="24"/>
          <w:szCs w:val="24"/>
          <w:u w:val="single"/>
        </w:rPr>
      </w:pPr>
      <w:r>
        <w:rPr>
          <w:rFonts w:cs="Times New Roman"/>
          <w:bCs/>
          <w:sz w:val="24"/>
          <w:szCs w:val="24"/>
        </w:rPr>
        <w:t xml:space="preserve">乙方（中标方）：</w:t>
      </w:r>
      <w:r>
        <w:rPr>
          <w:rFonts w:cs="Times New Roman"/>
          <w:bCs/>
          <w:sz w:val="24"/>
          <w:szCs w:val="24"/>
          <w:u w:val="single"/>
        </w:rPr>
        <w:t xml:space="preserve">                        </w:t>
      </w:r>
      <w:r/>
    </w:p>
    <w:p>
      <w:pPr>
        <w:ind w:firstLine="480"/>
        <w:spacing w:line="360" w:lineRule="auto"/>
        <w:rPr>
          <w:rFonts w:cs="Times New Roman"/>
          <w:bCs/>
          <w:sz w:val="24"/>
          <w:szCs w:val="24"/>
          <w:u w:val="single"/>
        </w:rPr>
      </w:pPr>
      <w:r>
        <w:rPr>
          <w:rFonts w:cs="Times New Roman"/>
          <w:bCs/>
          <w:sz w:val="24"/>
          <w:szCs w:val="24"/>
        </w:rPr>
        <w:t xml:space="preserve">住所：</w:t>
      </w:r>
      <w:r>
        <w:rPr>
          <w:rFonts w:cs="Times New Roman"/>
          <w:bCs/>
          <w:sz w:val="24"/>
          <w:szCs w:val="24"/>
          <w:u w:val="single"/>
        </w:rPr>
        <w:t xml:space="preserve">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采购编号：</w:t>
      </w:r>
      <w:r>
        <w:rPr>
          <w:rFonts w:cs="Times New Roman"/>
          <w:bCs/>
          <w:sz w:val="24"/>
          <w:szCs w:val="24"/>
          <w:u w:val="single"/>
        </w:rPr>
        <w:t xml:space="preserve">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采购内容：</w:t>
      </w:r>
      <w:r>
        <w:rPr>
          <w:rFonts w:cs="Times New Roman"/>
          <w:bCs/>
          <w:sz w:val="24"/>
          <w:szCs w:val="24"/>
          <w:u w:val="single"/>
        </w:rPr>
        <w:t xml:space="preserve">西门子大型设备维保（2年）项目</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中标总金额：人民币（大写）</w:t>
      </w:r>
      <w:r>
        <w:rPr>
          <w:rFonts w:cs="Times New Roman"/>
          <w:bCs/>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元整</w:t>
      </w:r>
      <w:r>
        <w:rPr>
          <w:rFonts w:cs="Times New Roman"/>
          <w:bCs/>
          <w:sz w:val="24"/>
          <w:szCs w:val="24"/>
          <w:u w:val="single"/>
        </w:rPr>
        <w:t xml:space="preserve">  </w:t>
      </w:r>
      <w:r>
        <w:rPr>
          <w:rFonts w:cs="Times New Roman"/>
          <w:bCs/>
          <w:sz w:val="24"/>
          <w:szCs w:val="24"/>
        </w:rPr>
        <w:t xml:space="preserve">；（小写）</w:t>
      </w:r>
      <w:r>
        <w:rPr>
          <w:rFonts w:cs="Times New Roman"/>
          <w:bCs/>
          <w:sz w:val="24"/>
          <w:szCs w:val="24"/>
          <w:u w:val="single"/>
        </w:rPr>
        <w:t xml:space="preserve">  </w:t>
      </w:r>
      <w:r>
        <w:rPr>
          <w:sz w:val="24"/>
          <w:szCs w:val="24"/>
          <w:u w:val="single"/>
        </w:rPr>
        <w:t xml:space="preserve">            元</w:t>
      </w:r>
      <w:r>
        <w:rPr>
          <w:rFonts w:cs="Times New Roman"/>
          <w:bCs/>
          <w:sz w:val="24"/>
          <w:szCs w:val="24"/>
          <w:u w:val="single"/>
        </w:rPr>
        <w:t xml:space="preserve">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服务质量：</w:t>
      </w:r>
      <w:r>
        <w:rPr>
          <w:rFonts w:cs="Times New Roman"/>
          <w:bCs/>
          <w:sz w:val="24"/>
          <w:szCs w:val="24"/>
          <w:u w:val="single"/>
        </w:rPr>
        <w:t xml:space="preserve">满足采购人使用要求。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履行期限及地点和方式：</w:t>
      </w:r>
      <w:r>
        <w:rPr>
          <w:rFonts w:cs="Times New Roman"/>
          <w:bCs/>
          <w:sz w:val="24"/>
          <w:szCs w:val="24"/>
          <w:u w:val="single"/>
        </w:rPr>
        <w:t xml:space="preserve">服务周期：合同签订之日起2年。保修类型：全保。保修期内若发生故障免费更换所有有问题的零部件。乙方工程师维修响应时间：电话响应≤1小时响应，</w:t>
      </w:r>
      <w:r>
        <w:rPr>
          <w:rFonts w:hint="eastAsia" w:cs="Times New Roman"/>
          <w:bCs/>
          <w:sz w:val="24"/>
          <w:szCs w:val="24"/>
          <w:u w:val="single"/>
        </w:rPr>
        <w:t xml:space="preserve">24</w:t>
      </w:r>
      <w:r>
        <w:rPr>
          <w:rFonts w:cs="Times New Roman"/>
          <w:bCs/>
          <w:sz w:val="24"/>
          <w:szCs w:val="24"/>
          <w:u w:val="single"/>
        </w:rPr>
        <w:t xml:space="preserve">小时内到达现场，由原厂认证合格的专业工程师提供快速优质的现场服务。全年365天日历日开机率≥95%。每次故障维修及保养，必须提供完整详细的维修、保养记录。合同期内，</w:t>
      </w:r>
      <w:r>
        <w:rPr>
          <w:rFonts w:hint="eastAsia" w:cs="Times New Roman"/>
          <w:bCs/>
          <w:sz w:val="24"/>
          <w:szCs w:val="24"/>
          <w:u w:val="single"/>
        </w:rPr>
        <w:t xml:space="preserve">各设备</w:t>
      </w:r>
      <w:r>
        <w:rPr>
          <w:rFonts w:cs="Times New Roman"/>
          <w:bCs/>
          <w:sz w:val="24"/>
          <w:szCs w:val="24"/>
          <w:u w:val="single"/>
        </w:rPr>
        <w:t xml:space="preserve">每年</w:t>
      </w:r>
      <w:r>
        <w:rPr>
          <w:rFonts w:hint="eastAsia" w:cs="Times New Roman"/>
          <w:bCs/>
          <w:sz w:val="24"/>
          <w:szCs w:val="24"/>
          <w:u w:val="single"/>
        </w:rPr>
        <w:t xml:space="preserve">按照</w:t>
      </w:r>
      <w:r>
        <w:rPr>
          <w:rFonts w:cs="Times New Roman"/>
          <w:bCs/>
          <w:sz w:val="24"/>
          <w:szCs w:val="24"/>
          <w:u w:val="single"/>
        </w:rPr>
        <w:t xml:space="preserve">保修设备清单</w:t>
      </w:r>
      <w:r>
        <w:rPr>
          <w:rFonts w:hint="eastAsia" w:cs="Times New Roman"/>
          <w:bCs/>
          <w:sz w:val="24"/>
          <w:szCs w:val="24"/>
          <w:u w:val="single"/>
        </w:rPr>
        <w:t xml:space="preserve">的要求</w:t>
      </w:r>
      <w:r>
        <w:rPr>
          <w:rFonts w:cs="Times New Roman"/>
          <w:bCs/>
          <w:sz w:val="24"/>
          <w:szCs w:val="24"/>
          <w:u w:val="single"/>
        </w:rPr>
        <w:t xml:space="preserve">定期做</w:t>
      </w:r>
      <w:r>
        <w:rPr>
          <w:rFonts w:hint="eastAsia" w:cs="Times New Roman"/>
          <w:bCs/>
          <w:sz w:val="24"/>
          <w:szCs w:val="24"/>
          <w:u w:val="single"/>
        </w:rPr>
        <w:t xml:space="preserve">对应</w:t>
      </w:r>
      <w:r>
        <w:rPr>
          <w:rFonts w:cs="Times New Roman"/>
          <w:bCs/>
          <w:sz w:val="24"/>
          <w:szCs w:val="24"/>
          <w:u w:val="single"/>
        </w:rPr>
        <w:t xml:space="preserve">次</w:t>
      </w:r>
      <w:r>
        <w:rPr>
          <w:rFonts w:hint="eastAsia" w:cs="Times New Roman"/>
          <w:bCs/>
          <w:sz w:val="24"/>
          <w:szCs w:val="24"/>
          <w:u w:val="single"/>
        </w:rPr>
        <w:t xml:space="preserve">数的</w:t>
      </w:r>
      <w:r>
        <w:rPr>
          <w:rFonts w:cs="Times New Roman"/>
          <w:bCs/>
          <w:sz w:val="24"/>
          <w:szCs w:val="24"/>
          <w:u w:val="single"/>
        </w:rPr>
        <w:t xml:space="preserve">产品手册规定的专业预防性保养，免费提供保养所需易耗品，并能出具完整的保养报告，确保设备安全、稳定运行。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支付步骤和办法：</w:t>
      </w:r>
      <w:r>
        <w:rPr>
          <w:rFonts w:cs="Times New Roman"/>
          <w:bCs/>
          <w:sz w:val="24"/>
          <w:szCs w:val="24"/>
          <w:u w:val="single"/>
        </w:rPr>
        <w:t xml:space="preserve">详见合同条款。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验收要求及违约责任：</w:t>
      </w:r>
      <w:r>
        <w:rPr>
          <w:rFonts w:cs="Times New Roman"/>
          <w:bCs/>
          <w:sz w:val="24"/>
          <w:szCs w:val="24"/>
          <w:u w:val="single"/>
        </w:rPr>
        <w:t xml:space="preserve">详见合同条款。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sz w:val="24"/>
          <w:szCs w:val="24"/>
        </w:rPr>
        <w:t xml:space="preserve">解决争议的方式：</w:t>
      </w:r>
      <w:r>
        <w:rPr>
          <w:rFonts w:cs="Times New Roman"/>
          <w:bCs/>
          <w:sz w:val="24"/>
          <w:szCs w:val="24"/>
          <w:u w:val="single"/>
        </w:rPr>
        <w:t xml:space="preserve">详见合同条款。</w:t>
      </w:r>
      <w:r>
        <w:rPr>
          <w:rFonts w:cs="Times New Roman"/>
          <w:sz w:val="24"/>
          <w:szCs w:val="24"/>
          <w:u w:val="single"/>
        </w:rPr>
        <w:t xml:space="preserve">                                </w:t>
      </w:r>
      <w:r/>
    </w:p>
    <w:p>
      <w:pPr>
        <w:numPr>
          <w:ilvl w:val="0"/>
          <w:numId w:val="13"/>
        </w:numPr>
        <w:spacing w:line="360" w:lineRule="auto"/>
        <w:tabs>
          <w:tab w:val="left" w:pos="210" w:leader="none"/>
          <w:tab w:val="left" w:pos="840" w:leader="none"/>
          <w:tab w:val="left" w:pos="1260" w:leader="none"/>
        </w:tabs>
        <w:rPr>
          <w:rFonts w:cs="Times New Roman"/>
          <w:bCs/>
          <w:sz w:val="24"/>
          <w:szCs w:val="24"/>
        </w:rPr>
      </w:pPr>
      <w:r>
        <w:rPr>
          <w:rFonts w:cs="Times New Roman"/>
          <w:bCs/>
          <w:sz w:val="24"/>
          <w:szCs w:val="24"/>
        </w:rPr>
        <w:t xml:space="preserve">其它事项：</w:t>
      </w:r>
      <w:r>
        <w:rPr>
          <w:rFonts w:cs="Times New Roman"/>
          <w:bCs/>
          <w:sz w:val="24"/>
          <w:szCs w:val="24"/>
          <w:u w:val="single"/>
        </w:rPr>
        <w:t xml:space="preserve">无。</w:t>
      </w:r>
      <w:r>
        <w:rPr>
          <w:sz w:val="24"/>
          <w:szCs w:val="24"/>
          <w:u w:val="single"/>
        </w:rPr>
        <w:t xml:space="preserve">   </w:t>
      </w:r>
      <w:r>
        <w:rPr>
          <w:rFonts w:cs="Times New Roman"/>
          <w:bCs/>
          <w:sz w:val="24"/>
          <w:szCs w:val="24"/>
          <w:u w:val="single"/>
        </w:rPr>
        <w:t xml:space="preserve">    </w:t>
      </w:r>
      <w:r/>
    </w:p>
    <w:p>
      <w:pPr>
        <w:numPr>
          <w:ilvl w:val="0"/>
          <w:numId w:val="13"/>
        </w:numPr>
        <w:spacing w:line="360" w:lineRule="auto"/>
        <w:tabs>
          <w:tab w:val="left" w:pos="210" w:leader="none"/>
          <w:tab w:val="left" w:pos="420" w:leader="none"/>
          <w:tab w:val="left" w:pos="1155" w:leader="none"/>
        </w:tabs>
        <w:rPr>
          <w:rFonts w:cs="Times New Roman"/>
          <w:bCs/>
          <w:sz w:val="24"/>
          <w:szCs w:val="24"/>
        </w:rPr>
      </w:pPr>
      <w:r>
        <w:rPr>
          <w:rFonts w:cs="Times New Roman"/>
          <w:bCs/>
          <w:sz w:val="24"/>
          <w:szCs w:val="24"/>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rPr>
          <w:rFonts w:cs="Times New Roman"/>
          <w:bCs/>
          <w:sz w:val="24"/>
          <w:szCs w:val="24"/>
        </w:rPr>
      </w:pPr>
      <w:r>
        <w:rPr>
          <w:rFonts w:cs="Times New Roman"/>
          <w:bCs/>
          <w:sz w:val="24"/>
          <w:szCs w:val="24"/>
        </w:rPr>
        <w:t xml:space="preserve">（十一）合同备案：</w:t>
      </w:r>
      <w:r/>
    </w:p>
    <w:p>
      <w:pPr>
        <w:ind w:firstLine="480"/>
        <w:spacing w:line="360" w:lineRule="auto"/>
        <w:rPr>
          <w:rFonts w:cs="Times New Roman"/>
          <w:bCs/>
          <w:sz w:val="24"/>
          <w:szCs w:val="24"/>
        </w:rPr>
      </w:pPr>
      <w:r>
        <w:rPr>
          <w:rFonts w:cs="Times New Roman"/>
          <w:bCs/>
          <w:sz w:val="24"/>
          <w:szCs w:val="24"/>
        </w:rPr>
        <w:t xml:space="preserve">合同一式四份，甲方三份，乙方一份。</w:t>
      </w:r>
      <w:r/>
    </w:p>
    <w:p>
      <w:pPr>
        <w:ind w:firstLine="480"/>
        <w:spacing w:line="360" w:lineRule="auto"/>
        <w:rPr>
          <w:rFonts w:cs="Times New Roman"/>
          <w:bCs/>
          <w:sz w:val="24"/>
          <w:szCs w:val="24"/>
        </w:rPr>
      </w:pPr>
      <w:r>
        <w:rPr>
          <w:rFonts w:cs="Times New Roman"/>
          <w:bCs/>
          <w:sz w:val="24"/>
          <w:szCs w:val="24"/>
        </w:rPr>
        <w:t xml:space="preserve">（十二）合同生效：</w:t>
      </w:r>
      <w:r/>
    </w:p>
    <w:p>
      <w:pPr>
        <w:ind w:firstLine="480"/>
        <w:spacing w:line="360" w:lineRule="auto"/>
        <w:rPr>
          <w:rFonts w:cs="Times New Roman"/>
          <w:bCs/>
          <w:sz w:val="24"/>
          <w:szCs w:val="24"/>
        </w:rPr>
      </w:pPr>
      <w:r>
        <w:rPr>
          <w:rFonts w:cs="Times New Roman"/>
          <w:bCs/>
          <w:sz w:val="24"/>
          <w:szCs w:val="24"/>
        </w:rPr>
        <w:t xml:space="preserve">本合同由甲乙双方签字、盖章后生效。</w:t>
      </w:r>
      <w:r/>
    </w:p>
    <w:p>
      <w:pPr>
        <w:ind w:firstLine="0"/>
        <w:spacing w:line="360" w:lineRule="auto"/>
        <w:rPr>
          <w:rFonts w:cs="Times New Roman"/>
          <w:bCs/>
          <w:sz w:val="24"/>
          <w:szCs w:val="24"/>
        </w:rPr>
      </w:pPr>
      <w:r>
        <w:rPr>
          <w:rFonts w:cs="Times New Roman"/>
          <w:bCs/>
          <w:sz w:val="24"/>
          <w:szCs w:val="24"/>
        </w:rPr>
      </w:r>
      <w:r/>
    </w:p>
    <w:p>
      <w:pPr>
        <w:ind w:firstLine="0"/>
        <w:spacing w:line="360" w:lineRule="auto"/>
        <w:rPr>
          <w:rFonts w:cs="Times New Roman"/>
          <w:bCs/>
          <w:sz w:val="24"/>
          <w:szCs w:val="24"/>
          <w:u w:val="single"/>
        </w:rPr>
      </w:pPr>
      <w:r>
        <w:rPr>
          <w:rFonts w:cs="Times New Roman"/>
          <w:bCs/>
          <w:sz w:val="24"/>
          <w:szCs w:val="24"/>
        </w:rPr>
        <w:t xml:space="preserve">甲方：</w:t>
      </w:r>
      <w:r>
        <w:rPr>
          <w:rFonts w:cs="Times New Roman"/>
          <w:bCs/>
          <w:sz w:val="24"/>
          <w:szCs w:val="24"/>
          <w:u w:val="single"/>
        </w:rPr>
        <w:t xml:space="preserve">无锡市第二人民医院</w:t>
      </w:r>
      <w:r>
        <w:rPr>
          <w:rFonts w:cs="Times New Roman"/>
          <w:bCs/>
          <w:sz w:val="24"/>
          <w:szCs w:val="24"/>
        </w:rPr>
        <w:t xml:space="preserve">（盖章）   </w:t>
      </w:r>
      <w:r>
        <w:rPr>
          <w:rFonts w:hint="eastAsia" w:cs="Times New Roman"/>
          <w:bCs/>
          <w:sz w:val="24"/>
          <w:szCs w:val="24"/>
        </w:rPr>
        <w:t xml:space="preserve">       </w:t>
      </w:r>
      <w:r>
        <w:rPr>
          <w:rFonts w:cs="Times New Roman"/>
          <w:bCs/>
          <w:sz w:val="24"/>
          <w:szCs w:val="24"/>
        </w:rPr>
        <w:t xml:space="preserve">乙方：</w:t>
      </w:r>
      <w:r>
        <w:rPr>
          <w:rFonts w:cs="Times New Roman"/>
          <w:bCs/>
          <w:sz w:val="24"/>
          <w:szCs w:val="24"/>
          <w:u w:val="single"/>
        </w:rPr>
        <w:t xml:space="preserve">          </w:t>
      </w:r>
      <w:r>
        <w:rPr>
          <w:rFonts w:hint="eastAsia" w:cs="Times New Roman"/>
          <w:bCs/>
          <w:sz w:val="24"/>
          <w:szCs w:val="24"/>
          <w:u w:val="single"/>
        </w:rPr>
        <w:t xml:space="preserve"> </w:t>
      </w:r>
      <w:r>
        <w:rPr>
          <w:rFonts w:cs="Times New Roman"/>
          <w:bCs/>
          <w:sz w:val="24"/>
          <w:szCs w:val="24"/>
          <w:u w:val="single"/>
        </w:rPr>
        <w:t xml:space="preserve">    </w:t>
      </w:r>
      <w:r>
        <w:rPr>
          <w:rFonts w:cs="Times New Roman"/>
          <w:bCs/>
          <w:sz w:val="24"/>
          <w:szCs w:val="24"/>
        </w:rPr>
        <w:t xml:space="preserve">（盖章）</w:t>
      </w:r>
      <w:r/>
    </w:p>
    <w:p>
      <w:pPr>
        <w:ind w:firstLine="0"/>
        <w:spacing w:line="360" w:lineRule="auto"/>
        <w:rPr>
          <w:rFonts w:cs="Times New Roman"/>
          <w:bCs/>
          <w:sz w:val="24"/>
          <w:szCs w:val="24"/>
          <w:u w:val="single"/>
        </w:rPr>
      </w:pPr>
      <w:r>
        <w:rPr>
          <w:rFonts w:cs="Times New Roman"/>
          <w:bCs/>
          <w:sz w:val="24"/>
          <w:szCs w:val="24"/>
        </w:rPr>
        <w:t xml:space="preserve">法定（授权）代表人：</w:t>
      </w:r>
      <w:r>
        <w:rPr>
          <w:rFonts w:cs="Times New Roman"/>
          <w:bCs/>
          <w:sz w:val="24"/>
          <w:szCs w:val="24"/>
          <w:u w:val="single"/>
        </w:rPr>
        <w:t xml:space="preserve">                  </w:t>
      </w:r>
      <w:r>
        <w:rPr>
          <w:rFonts w:cs="Times New Roman"/>
          <w:bCs/>
          <w:sz w:val="24"/>
          <w:szCs w:val="24"/>
        </w:rPr>
        <w:t xml:space="preserve">    法定（授权）代表人：</w:t>
      </w:r>
      <w:r>
        <w:rPr>
          <w:rFonts w:cs="Times New Roman"/>
          <w:bCs/>
          <w:sz w:val="24"/>
          <w:szCs w:val="24"/>
          <w:u w:val="single"/>
        </w:rPr>
        <w:t xml:space="preserve">              </w:t>
      </w:r>
      <w:r/>
    </w:p>
    <w:p>
      <w:pPr>
        <w:ind w:firstLine="480"/>
        <w:spacing w:line="360" w:lineRule="auto"/>
        <w:rPr>
          <w:bCs/>
          <w:sz w:val="32"/>
          <w:szCs w:val="32"/>
        </w:rPr>
      </w:pPr>
      <w:r>
        <w:rPr>
          <w:rFonts w:cs="Times New Roman"/>
          <w:bCs/>
          <w:sz w:val="24"/>
          <w:szCs w:val="24"/>
          <w:u w:val="single"/>
        </w:rPr>
        <w:t xml:space="preserve">        </w:t>
      </w:r>
      <w:r>
        <w:rPr>
          <w:rFonts w:cs="Times New Roman"/>
          <w:bCs/>
          <w:sz w:val="24"/>
          <w:szCs w:val="24"/>
        </w:rPr>
        <w:t xml:space="preserve">年</w:t>
      </w:r>
      <w:r>
        <w:rPr>
          <w:rFonts w:cs="Times New Roman"/>
          <w:bCs/>
          <w:sz w:val="24"/>
          <w:szCs w:val="24"/>
          <w:u w:val="single"/>
        </w:rPr>
        <w:t xml:space="preserve">      </w:t>
      </w:r>
      <w:r>
        <w:rPr>
          <w:rFonts w:cs="Times New Roman"/>
          <w:bCs/>
          <w:sz w:val="24"/>
          <w:szCs w:val="24"/>
        </w:rPr>
        <w:t xml:space="preserve">月</w:t>
      </w:r>
      <w:r>
        <w:rPr>
          <w:rFonts w:cs="Times New Roman"/>
          <w:bCs/>
          <w:sz w:val="24"/>
          <w:szCs w:val="24"/>
          <w:u w:val="single"/>
        </w:rPr>
        <w:t xml:space="preserve">       </w:t>
      </w:r>
      <w:r>
        <w:rPr>
          <w:rFonts w:cs="Times New Roman"/>
          <w:bCs/>
          <w:sz w:val="24"/>
          <w:szCs w:val="24"/>
        </w:rPr>
        <w:t xml:space="preserve">日          </w:t>
      </w:r>
      <w:r>
        <w:rPr>
          <w:rFonts w:cs="Times New Roman"/>
          <w:bCs/>
          <w:sz w:val="24"/>
          <w:szCs w:val="24"/>
          <w:u w:val="single"/>
        </w:rPr>
        <w:t xml:space="preserve">        </w:t>
      </w:r>
      <w:r>
        <w:rPr>
          <w:rFonts w:cs="Times New Roman"/>
          <w:bCs/>
          <w:sz w:val="24"/>
          <w:szCs w:val="24"/>
        </w:rPr>
        <w:t xml:space="preserve">年</w:t>
      </w:r>
      <w:r>
        <w:rPr>
          <w:rFonts w:cs="Times New Roman"/>
          <w:bCs/>
          <w:sz w:val="24"/>
          <w:szCs w:val="24"/>
          <w:u w:val="single"/>
        </w:rPr>
        <w:t xml:space="preserve">      </w:t>
      </w:r>
      <w:r>
        <w:rPr>
          <w:rFonts w:cs="Times New Roman"/>
          <w:bCs/>
          <w:sz w:val="24"/>
          <w:szCs w:val="24"/>
        </w:rPr>
        <w:t xml:space="preserve">月</w:t>
      </w:r>
      <w:r>
        <w:rPr>
          <w:rFonts w:cs="Times New Roman"/>
          <w:bCs/>
          <w:sz w:val="24"/>
          <w:szCs w:val="24"/>
          <w:u w:val="single"/>
        </w:rPr>
        <w:t xml:space="preserve">     </w:t>
      </w:r>
      <w:r>
        <w:rPr>
          <w:rFonts w:cs="Times New Roman"/>
          <w:bCs/>
          <w:sz w:val="24"/>
          <w:szCs w:val="24"/>
        </w:rPr>
        <w:t xml:space="preserve">日</w:t>
      </w:r>
      <w:r/>
    </w:p>
    <w:p>
      <w:pPr>
        <w:pStyle w:val="809"/>
        <w:numPr>
          <w:ilvl w:val="0"/>
          <w:numId w:val="0"/>
        </w:numPr>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8"/>
          <w:szCs w:val="28"/>
        </w:rPr>
        <w:t xml:space="preserve">合同条款</w:t>
      </w:r>
      <w:r/>
    </w:p>
    <w:p>
      <w:pPr>
        <w:ind w:firstLine="0"/>
        <w:spacing w:line="360" w:lineRule="auto"/>
        <w:rPr>
          <w:rFonts w:cs="Times New Roman"/>
          <w:bCs/>
          <w:sz w:val="24"/>
          <w:szCs w:val="24"/>
        </w:rPr>
      </w:pPr>
      <w:r>
        <w:rPr>
          <w:rFonts w:hint="eastAsia" w:cs="Times New Roman"/>
          <w:bCs/>
          <w:sz w:val="24"/>
          <w:szCs w:val="24"/>
        </w:rPr>
        <w:t xml:space="preserve">甲</w:t>
      </w:r>
      <w:r>
        <w:rPr>
          <w:rFonts w:cs="Times New Roman"/>
          <w:bCs/>
          <w:sz w:val="24"/>
          <w:szCs w:val="24"/>
        </w:rPr>
        <w:t xml:space="preserve">方（设备保修买方）：无锡市第二人民医院   </w:t>
      </w:r>
      <w:r/>
    </w:p>
    <w:p>
      <w:pPr>
        <w:ind w:firstLine="0"/>
        <w:spacing w:line="360" w:lineRule="auto"/>
        <w:rPr>
          <w:rFonts w:cs="Times New Roman"/>
          <w:bCs/>
          <w:sz w:val="24"/>
          <w:szCs w:val="24"/>
        </w:rPr>
      </w:pPr>
      <w:r>
        <w:rPr>
          <w:rFonts w:cs="Times New Roman"/>
          <w:bCs/>
          <w:sz w:val="24"/>
          <w:szCs w:val="24"/>
        </w:rPr>
        <w:t xml:space="preserve">乙方（设备保修卖方）：</w:t>
      </w:r>
      <w:r>
        <w:rPr>
          <w:rFonts w:cs="Times New Roman"/>
          <w:bCs/>
          <w:sz w:val="24"/>
          <w:szCs w:val="24"/>
          <w:u w:val="single"/>
        </w:rPr>
        <w:t xml:space="preserve">                    </w:t>
      </w:r>
      <w:r/>
    </w:p>
    <w:p>
      <w:pPr>
        <w:ind w:firstLine="480"/>
        <w:spacing w:line="360" w:lineRule="auto"/>
        <w:rPr>
          <w:rFonts w:cs="Times New Roman"/>
          <w:bCs/>
          <w:sz w:val="24"/>
          <w:szCs w:val="24"/>
        </w:rPr>
      </w:pPr>
      <w:r>
        <w:rPr>
          <w:rFonts w:cs="Times New Roman"/>
          <w:bCs/>
          <w:sz w:val="24"/>
          <w:szCs w:val="24"/>
        </w:rPr>
      </w:r>
      <w:r/>
    </w:p>
    <w:p>
      <w:pPr>
        <w:ind w:firstLine="480"/>
        <w:spacing w:line="360" w:lineRule="auto"/>
        <w:rPr>
          <w:rFonts w:cs="Times New Roman"/>
          <w:bCs/>
          <w:sz w:val="24"/>
          <w:szCs w:val="24"/>
        </w:rPr>
      </w:pPr>
      <w:r>
        <w:rPr>
          <w:rFonts w:cs="Times New Roman"/>
          <w:bCs/>
          <w:sz w:val="24"/>
          <w:szCs w:val="24"/>
        </w:rPr>
        <w:t xml:space="preserve">为保证甲方</w:t>
      </w:r>
      <w:r>
        <w:rPr>
          <w:rFonts w:cs="Times New Roman"/>
          <w:bCs/>
          <w:sz w:val="24"/>
          <w:szCs w:val="24"/>
          <w:u w:val="single"/>
        </w:rPr>
        <w:t xml:space="preserve">                 </w:t>
      </w:r>
      <w:r>
        <w:rPr>
          <w:rFonts w:cs="Times New Roman"/>
          <w:bCs/>
          <w:sz w:val="24"/>
          <w:szCs w:val="24"/>
        </w:rPr>
        <w:t xml:space="preserve">医疗设备正常运行，经友好协商，甲乙双方签定本协议，共同信守。</w:t>
      </w:r>
      <w:r/>
    </w:p>
    <w:p>
      <w:pPr>
        <w:ind w:firstLine="480"/>
        <w:spacing w:line="360" w:lineRule="auto"/>
        <w:rPr>
          <w:rFonts w:cs="Times New Roman"/>
          <w:bCs/>
          <w:sz w:val="24"/>
          <w:szCs w:val="24"/>
        </w:rPr>
      </w:pPr>
      <w:r>
        <w:rPr>
          <w:rFonts w:cs="Times New Roman"/>
          <w:bCs/>
          <w:sz w:val="24"/>
          <w:szCs w:val="24"/>
        </w:rPr>
        <w:t xml:space="preserve">一、保修设备清单</w:t>
      </w:r>
      <w:r/>
    </w:p>
    <w:tbl>
      <w:tblPr>
        <w:tblpPr w:horzAnchor="margin" w:tblpXSpec="center" w:vertAnchor="text" w:tblpY="19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99"/>
        <w:gridCol w:w="1169"/>
        <w:gridCol w:w="729"/>
        <w:gridCol w:w="729"/>
        <w:gridCol w:w="3234"/>
      </w:tblGrid>
      <w:tr>
        <w:trPr>
          <w:jc w:val="center"/>
          <w:trHeight w:val="699"/>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rFonts w:cs="Times New Roman"/>
                <w:sz w:val="24"/>
                <w:szCs w:val="24"/>
              </w:rPr>
              <w:t xml:space="preserve">设备品牌型号</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rFonts w:cs="Times New Roman"/>
                <w:sz w:val="24"/>
                <w:szCs w:val="24"/>
              </w:rPr>
              <w:t xml:space="preserve">设备序列号SN</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hAnsi="Times New Roman" w:cs="Times New Roman"/>
                <w:sz w:val="24"/>
                <w:szCs w:val="24"/>
              </w:rPr>
            </w:pPr>
            <w:r>
              <w:rPr>
                <w:rFonts w:cs="Times New Roman"/>
                <w:sz w:val="24"/>
                <w:szCs w:val="24"/>
              </w:rPr>
              <w:t xml:space="preserve">保修类型</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hAnsi="Times New Roman" w:cs="Times New Roman"/>
                <w:sz w:val="24"/>
                <w:szCs w:val="24"/>
              </w:rPr>
            </w:pPr>
            <w:r>
              <w:rPr>
                <w:rFonts w:cs="Times New Roman"/>
                <w:sz w:val="24"/>
                <w:szCs w:val="24"/>
              </w:rPr>
              <w:t xml:space="preserve">年限</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rFonts w:cs="Times New Roman"/>
                <w:sz w:val="24"/>
                <w:szCs w:val="24"/>
              </w:rPr>
              <w:t xml:space="preserve">备注</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MAGNETOM Skyra</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45513</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包含主机所有部件和人工，含备件、磁体、冷头、线圈、液氦、工作站、系统及软件更新、水冷机等。含高压注射器、所有后处理工作站。每年4次预防性维护。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SOMATOM go.Top</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165789</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包含主机所有部件及人工，含球管，探测器、高压油箱，每年4次预防性维护。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Luminos Fusion FD</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40002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ARCADIS Avantic Gen2</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35222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包含主机所有部件及人工，含球管和影增等，每年4次预防性维护。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rFonts w:cs="Calibri"/>
                <w:color w:val="000000"/>
                <w:sz w:val="24"/>
                <w:szCs w:val="24"/>
                <w:lang w:bidi="ar"/>
              </w:rPr>
              <w:t xml:space="preserve">Cios Connect</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21206</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包含主机所有部件及人工，含球管和影增等，每年4次预防性维护。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Multix Fusion Digital</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20021</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包含主机所有部件和人工，含球管和平板等，每年4次预防性维护。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MOBILETT XP Digital</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3246</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包含主机所有部件和人工，含球管和影增，每年4次预防性维护。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MOBILETT Mira Max</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3067</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包含主机所有部件和人工，含球管和影增，每年4次预防性维护。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MAGNETOM Vida</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213747</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包含主机所有部件和人工，含磁体、线圈、梯度、冷却系统（冷头和液氦）、后处理工作站（含软件）以及其他整机所有硬件及软件，包</w:t>
            </w:r>
            <w:r>
              <w:rPr>
                <w:color w:val="000000"/>
                <w:sz w:val="24"/>
                <w:szCs w:val="24"/>
                <w:lang w:bidi="ar"/>
              </w:rPr>
              <w:t xml:space="preserve">括高压注射器、第三方水冷、精密空调等，每年2次预防性维护。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ARTIS pheno</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164112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包含主机所有部件和人工，含球管、平板探测器、高压油箱、工作站等，每年4次预防性维护。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rFonts w:cs="Calibri"/>
                <w:color w:val="000000"/>
                <w:sz w:val="24"/>
                <w:szCs w:val="24"/>
                <w:lang w:bidi="ar"/>
              </w:rPr>
              <w:t xml:space="preserve">Cios Connect</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21305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常规备件+保养+人工，不含球管和影增，每年2次预防性维护。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MAMMOMAT Inspiration</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8187</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常规备件+保养+人工，不含球管和平板，每年2次预防性维护。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ARCADIS Varic Gen2</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18552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常规备件+保养+人工，不含球管和影增，每年2次预防性维护。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MODULARIS Variostar</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7018</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常规备件+保养+人工，不含球管和影增，每年2次预防性维护。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Luminos dRF Max</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5864</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常规备件+保养+人工，不含球管和平板，每年2次预防性维护。</w:t>
            </w:r>
            <w:r/>
          </w:p>
        </w:tc>
      </w:tr>
      <w:tr>
        <w:trPr>
          <w:jc w:val="center"/>
          <w:trHeight w:val="511"/>
        </w:trPr>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firstLine="0"/>
              <w:spacing w:line="360" w:lineRule="auto"/>
              <w:rPr>
                <w:rFonts w:cs="Times New Roman"/>
                <w:sz w:val="24"/>
                <w:szCs w:val="24"/>
              </w:rPr>
            </w:pPr>
            <w:r>
              <w:rPr>
                <w:color w:val="000000"/>
                <w:sz w:val="24"/>
                <w:szCs w:val="24"/>
                <w:lang w:bidi="ar"/>
              </w:rPr>
              <w:t xml:space="preserve">MOBILETT Mira (wireless)</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ind w:firstLine="0"/>
              <w:jc w:val="center"/>
              <w:rPr>
                <w:rFonts w:cs="Times New Roman"/>
                <w:sz w:val="24"/>
                <w:szCs w:val="24"/>
              </w:rPr>
            </w:pPr>
            <w:r>
              <w:rPr>
                <w:color w:val="000000"/>
                <w:sz w:val="24"/>
                <w:szCs w:val="24"/>
                <w:lang w:bidi="ar"/>
              </w:rPr>
              <w:t xml:space="preserve">1627</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部分全保</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firstLine="0"/>
              <w:jc w:val="center"/>
              <w:rPr>
                <w:rFonts w:cs="Times New Roman"/>
                <w:sz w:val="24"/>
                <w:szCs w:val="24"/>
              </w:rPr>
            </w:pPr>
            <w:r>
              <w:rPr>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45" w:type="pct"/>
            <w:vAlign w:val="center"/>
            <w:textDirection w:val="lrTb"/>
            <w:noWrap w:val="false"/>
          </w:tcPr>
          <w:p>
            <w:pPr>
              <w:ind w:firstLine="0"/>
              <w:jc w:val="center"/>
              <w:rPr>
                <w:rFonts w:cs="Times New Roman"/>
                <w:sz w:val="24"/>
                <w:szCs w:val="24"/>
              </w:rPr>
            </w:pPr>
            <w:r>
              <w:rPr>
                <w:color w:val="000000"/>
                <w:sz w:val="24"/>
                <w:szCs w:val="24"/>
                <w:lang w:bidi="ar"/>
              </w:rPr>
              <w:t xml:space="preserve">常规备件+保养+人工，不含球管和影增，每年2次预防性维护。</w:t>
            </w:r>
            <w:r/>
          </w:p>
        </w:tc>
      </w:tr>
    </w:tbl>
    <w:p>
      <w:pPr>
        <w:ind w:firstLine="480"/>
        <w:spacing w:line="360" w:lineRule="auto"/>
        <w:rPr>
          <w:rFonts w:cs="Times New Roman"/>
          <w:bCs/>
          <w:sz w:val="24"/>
          <w:szCs w:val="24"/>
        </w:rPr>
      </w:pPr>
      <w:r>
        <w:rPr>
          <w:rFonts w:cs="Times New Roman"/>
          <w:bCs/>
          <w:sz w:val="24"/>
          <w:szCs w:val="24"/>
        </w:rPr>
        <w:t xml:space="preserve">二、保修期限</w:t>
      </w:r>
      <w:r/>
    </w:p>
    <w:p>
      <w:pPr>
        <w:ind w:firstLine="480"/>
        <w:spacing w:line="360" w:lineRule="auto"/>
        <w:rPr>
          <w:rFonts w:cs="Times New Roman"/>
          <w:bCs/>
          <w:sz w:val="24"/>
          <w:szCs w:val="24"/>
        </w:rPr>
      </w:pPr>
      <w:r>
        <w:rPr>
          <w:rFonts w:cs="Times New Roman"/>
          <w:bCs/>
          <w:sz w:val="24"/>
          <w:szCs w:val="24"/>
        </w:rPr>
        <w:t xml:space="preserve">保修期限自</w:t>
      </w:r>
      <w:r>
        <w:rPr>
          <w:rFonts w:cs="Times New Roman"/>
          <w:bCs/>
          <w:sz w:val="24"/>
          <w:szCs w:val="24"/>
          <w:u w:val="single"/>
        </w:rPr>
        <w:t xml:space="preserve"> 20</w:t>
      </w:r>
      <w:r>
        <w:rPr>
          <w:rFonts w:hint="eastAsia" w:cs="Times New Roman"/>
          <w:bCs/>
          <w:sz w:val="24"/>
          <w:szCs w:val="24"/>
          <w:u w:val="single"/>
        </w:rPr>
        <w:t xml:space="preserve">26</w:t>
      </w:r>
      <w:r>
        <w:rPr>
          <w:rFonts w:cs="Times New Roman"/>
          <w:bCs/>
          <w:sz w:val="24"/>
          <w:szCs w:val="24"/>
          <w:u w:val="single"/>
        </w:rPr>
        <w:t xml:space="preserve">年   月   日</w:t>
      </w:r>
      <w:r>
        <w:rPr>
          <w:rFonts w:cs="Times New Roman"/>
          <w:bCs/>
          <w:sz w:val="24"/>
          <w:szCs w:val="24"/>
        </w:rPr>
        <w:t xml:space="preserve"> 至</w:t>
      </w:r>
      <w:r>
        <w:rPr>
          <w:rFonts w:cs="Times New Roman"/>
          <w:bCs/>
          <w:sz w:val="24"/>
          <w:szCs w:val="24"/>
          <w:u w:val="single"/>
        </w:rPr>
        <w:t xml:space="preserve"> 20年   月   日止</w:t>
      </w:r>
      <w:r>
        <w:rPr>
          <w:rFonts w:cs="Times New Roman"/>
          <w:bCs/>
          <w:sz w:val="24"/>
          <w:szCs w:val="24"/>
        </w:rPr>
        <w:t xml:space="preserve">。</w:t>
      </w:r>
      <w:r/>
    </w:p>
    <w:p>
      <w:pPr>
        <w:ind w:firstLine="480"/>
        <w:spacing w:line="360" w:lineRule="auto"/>
        <w:rPr>
          <w:rFonts w:cs="Times New Roman"/>
          <w:bCs/>
          <w:sz w:val="24"/>
          <w:szCs w:val="24"/>
        </w:rPr>
      </w:pPr>
      <w:r>
        <w:rPr>
          <w:rFonts w:cs="Times New Roman"/>
          <w:bCs/>
          <w:sz w:val="24"/>
          <w:szCs w:val="24"/>
        </w:rPr>
        <w:t xml:space="preserve">三、保修类型：</w:t>
      </w:r>
      <w:r>
        <w:rPr>
          <w:rFonts w:cs="Times New Roman"/>
          <w:bCs/>
          <w:sz w:val="24"/>
          <w:szCs w:val="24"/>
          <w:u w:val="single"/>
        </w:rPr>
        <w:t xml:space="preserve">全保；保修期内若发生故障免费更换所有有问题的零部件；所更换的零部件必须为新的原厂同型号匹配备件；所有的配件、人工、差旅、搬运、快递、安装调试及系统软件升级、相关技术支持及培训费用等全部费用包含在本次报价中，甲方不再额外支付任何费用。 【若有消耗品】关于消耗品，保修期内***寿命到期即免费更换，其他如*****等维持正常运转的耗材除外。</w:t>
      </w:r>
      <w:r/>
    </w:p>
    <w:p>
      <w:pPr>
        <w:ind w:firstLine="480"/>
        <w:spacing w:line="360" w:lineRule="auto"/>
        <w:rPr>
          <w:rFonts w:cs="Times New Roman"/>
          <w:bCs/>
          <w:sz w:val="24"/>
          <w:szCs w:val="24"/>
        </w:rPr>
      </w:pPr>
      <w:r>
        <w:rPr>
          <w:rFonts w:cs="Times New Roman"/>
          <w:bCs/>
          <w:sz w:val="24"/>
          <w:szCs w:val="24"/>
        </w:rPr>
        <w:t xml:space="preserve">四、保修期内双方责任</w:t>
      </w:r>
      <w:r/>
    </w:p>
    <w:p>
      <w:pPr>
        <w:ind w:firstLine="480"/>
        <w:spacing w:line="360" w:lineRule="auto"/>
        <w:rPr>
          <w:rFonts w:cs="Times New Roman"/>
          <w:bCs/>
          <w:sz w:val="24"/>
          <w:szCs w:val="24"/>
        </w:rPr>
      </w:pPr>
      <w:r>
        <w:rPr>
          <w:rFonts w:cs="Times New Roman"/>
          <w:bCs/>
          <w:sz w:val="24"/>
          <w:szCs w:val="24"/>
        </w:rPr>
        <w:t xml:space="preserve">（一）保修期内甲方责任</w:t>
      </w:r>
      <w:r/>
    </w:p>
    <w:p>
      <w:pPr>
        <w:ind w:firstLine="480"/>
        <w:spacing w:line="360" w:lineRule="auto"/>
        <w:rPr>
          <w:rFonts w:cs="Times New Roman"/>
          <w:bCs/>
          <w:sz w:val="24"/>
          <w:szCs w:val="24"/>
        </w:rPr>
      </w:pPr>
      <w:r>
        <w:rPr>
          <w:rFonts w:cs="Times New Roman"/>
          <w:bCs/>
          <w:sz w:val="24"/>
          <w:szCs w:val="24"/>
        </w:rPr>
        <w:t xml:space="preserve">1.甲方应保证设备电源质量稳定、可靠，并对设备进行日常清洁保养和基本维护工作，做好故障记录。   </w:t>
      </w:r>
      <w:r/>
    </w:p>
    <w:p>
      <w:pPr>
        <w:ind w:firstLine="480"/>
        <w:spacing w:line="360" w:lineRule="auto"/>
        <w:rPr>
          <w:rFonts w:cs="Times New Roman"/>
          <w:bCs/>
          <w:sz w:val="24"/>
          <w:szCs w:val="24"/>
        </w:rPr>
      </w:pPr>
      <w:r>
        <w:rPr>
          <w:rFonts w:cs="Times New Roman"/>
          <w:bCs/>
          <w:sz w:val="24"/>
          <w:szCs w:val="24"/>
        </w:rPr>
        <w:t xml:space="preserve">2.未经乙方许可，原则上甲方不得自行拆卸、更换机上的线路板、元件或用本机测试其他单位线路板。</w:t>
      </w:r>
      <w:r/>
    </w:p>
    <w:p>
      <w:pPr>
        <w:ind w:firstLine="480"/>
        <w:spacing w:line="360" w:lineRule="auto"/>
        <w:rPr>
          <w:rFonts w:cs="Times New Roman"/>
          <w:bCs/>
          <w:sz w:val="24"/>
          <w:szCs w:val="24"/>
        </w:rPr>
      </w:pPr>
      <w:r>
        <w:rPr>
          <w:rFonts w:cs="Times New Roman"/>
          <w:bCs/>
          <w:sz w:val="24"/>
          <w:szCs w:val="24"/>
        </w:rPr>
        <w:t xml:space="preserve">3.保修期间，甲方提供乙方在甲方的基本工作条件。</w:t>
      </w:r>
      <w:r/>
    </w:p>
    <w:p>
      <w:pPr>
        <w:ind w:firstLine="480"/>
        <w:spacing w:line="360" w:lineRule="auto"/>
        <w:rPr>
          <w:rFonts w:cs="Times New Roman"/>
          <w:bCs/>
          <w:sz w:val="24"/>
          <w:szCs w:val="24"/>
        </w:rPr>
      </w:pPr>
      <w:r>
        <w:rPr>
          <w:rFonts w:cs="Times New Roman"/>
          <w:bCs/>
          <w:sz w:val="24"/>
          <w:szCs w:val="24"/>
        </w:rPr>
        <w:t xml:space="preserve">4.保修期间，甲方有义务保存乙方人员所需的设备书面资料及故障记录以备使用。</w:t>
      </w:r>
      <w:r/>
    </w:p>
    <w:p>
      <w:pPr>
        <w:ind w:firstLine="480"/>
        <w:spacing w:line="360" w:lineRule="auto"/>
        <w:rPr>
          <w:rFonts w:cs="Times New Roman"/>
          <w:bCs/>
          <w:sz w:val="24"/>
          <w:szCs w:val="24"/>
        </w:rPr>
      </w:pPr>
      <w:r>
        <w:rPr>
          <w:rFonts w:cs="Times New Roman"/>
          <w:bCs/>
          <w:sz w:val="24"/>
          <w:szCs w:val="24"/>
        </w:rPr>
        <w:t xml:space="preserve">5.保修期间，甲方应该按照设备使用手册的要求正确操作设备，并保证设备使用的电、气和水的正常供应，同时保证设备开启关闭时的环境处于正常状态。</w:t>
      </w:r>
      <w:r/>
    </w:p>
    <w:p>
      <w:pPr>
        <w:ind w:firstLine="480"/>
        <w:spacing w:line="360" w:lineRule="auto"/>
        <w:rPr>
          <w:rFonts w:cs="Times New Roman"/>
          <w:bCs/>
          <w:sz w:val="24"/>
          <w:szCs w:val="24"/>
        </w:rPr>
      </w:pPr>
      <w:r>
        <w:rPr>
          <w:rFonts w:cs="Times New Roman"/>
          <w:bCs/>
          <w:sz w:val="24"/>
          <w:szCs w:val="24"/>
        </w:rPr>
        <w:t xml:space="preserve">（二）保修期内乙方责任</w:t>
      </w:r>
      <w:r/>
    </w:p>
    <w:p>
      <w:pPr>
        <w:ind w:firstLine="480"/>
        <w:spacing w:line="360" w:lineRule="auto"/>
        <w:rPr>
          <w:sz w:val="24"/>
          <w:szCs w:val="24"/>
          <w:u w:val="single"/>
        </w:rPr>
      </w:pPr>
      <w:r>
        <w:rPr>
          <w:rFonts w:cs="Times New Roman"/>
          <w:bCs/>
          <w:sz w:val="24"/>
          <w:szCs w:val="24"/>
        </w:rPr>
        <w:t xml:space="preserve">1.乙方承担上述保修设备责任，在接到甲方</w:t>
      </w:r>
      <w:r>
        <w:rPr>
          <w:sz w:val="24"/>
          <w:szCs w:val="24"/>
        </w:rPr>
        <w:t xml:space="preserve">报修后，≤1小时电话响应，由资深工程师提供电话技术支持，答疑、即时诊断机器故障、制定维修方案。现场检修：</w:t>
      </w:r>
      <w:r>
        <w:rPr>
          <w:rFonts w:hint="eastAsia" w:cs="Times New Roman"/>
          <w:bCs/>
          <w:sz w:val="24"/>
          <w:szCs w:val="24"/>
          <w:u w:val="single"/>
        </w:rPr>
        <w:t xml:space="preserve">24</w:t>
      </w:r>
      <w:r>
        <w:rPr>
          <w:sz w:val="24"/>
          <w:szCs w:val="24"/>
        </w:rPr>
        <w:t xml:space="preserve">小时以内到达现场(因不可抗力因素导致无法执行除外)，由行业或原厂认证合格的专业工程师提供快速优质的现场服务。</w:t>
      </w:r>
      <w:r>
        <w:rPr>
          <w:sz w:val="24"/>
          <w:szCs w:val="24"/>
          <w:u w:val="single"/>
        </w:rPr>
        <w:t xml:space="preserve">如维修不涉及零配件更换，应在1日内修复完毕。所有配件国内有货，给甲方所有零配件的优先使用权，48小时之内送达医院。所更换的零部件必须为全新原厂同型号匹配备件；如涉及到零备件在院内更换，应在2日内修复完毕。如需外送维修的，须寄往原厂维修中心，同时提供备用机并配合临床及设备科做好外送及修回记录，小修（调角度、换橡皮等）7个工作日内完成；大修（拆解、更换内部配件）15个工作日内完成（包含在途时间），如暂时不能维修，要联系原厂在48小时内能优先提供相同或更高规格的备品。</w:t>
      </w:r>
      <w:r/>
    </w:p>
    <w:p>
      <w:pPr>
        <w:ind w:firstLine="480"/>
        <w:spacing w:line="360" w:lineRule="auto"/>
        <w:rPr>
          <w:rFonts w:ascii="Times New Roman" w:hAnsi="Times New Roman" w:cs="Times New Roman"/>
          <w:sz w:val="24"/>
          <w:szCs w:val="24"/>
        </w:rPr>
      </w:pPr>
      <w:r>
        <w:rPr>
          <w:sz w:val="24"/>
          <w:szCs w:val="24"/>
        </w:rPr>
        <w:t xml:space="preserve">2.具备400客户服务专线电话</w:t>
      </w:r>
      <w:r>
        <w:rPr>
          <w:sz w:val="24"/>
          <w:szCs w:val="24"/>
          <w:u w:val="single"/>
        </w:rPr>
        <w:t xml:space="preserve">          </w:t>
      </w:r>
      <w:r>
        <w:rPr>
          <w:sz w:val="24"/>
          <w:szCs w:val="24"/>
        </w:rPr>
        <w:t xml:space="preserve">，服务时间：</w:t>
      </w:r>
      <w:r>
        <w:rPr>
          <w:sz w:val="24"/>
          <w:szCs w:val="24"/>
          <w:u w:val="single"/>
        </w:rPr>
        <w:t xml:space="preserve">              </w:t>
      </w:r>
      <w:r>
        <w:rPr>
          <w:sz w:val="24"/>
          <w:szCs w:val="24"/>
        </w:rPr>
        <w:t xml:space="preserve">，有</w:t>
      </w:r>
      <w:r>
        <w:rPr>
          <w:bCs/>
          <w:sz w:val="24"/>
          <w:szCs w:val="24"/>
        </w:rPr>
        <w:t xml:space="preserve">资深工程师电话技术支持</w:t>
      </w:r>
      <w:r>
        <w:rPr>
          <w:sz w:val="24"/>
          <w:szCs w:val="24"/>
        </w:rPr>
        <w:t xml:space="preserve">。</w:t>
      </w:r>
      <w:r/>
    </w:p>
    <w:p>
      <w:pPr>
        <w:ind w:firstLine="480"/>
        <w:spacing w:line="360" w:lineRule="auto"/>
        <w:rPr>
          <w:rFonts w:cs="Times New Roman"/>
          <w:bCs/>
          <w:sz w:val="24"/>
          <w:szCs w:val="24"/>
        </w:rPr>
      </w:pPr>
      <w:r>
        <w:rPr>
          <w:rFonts w:cs="Times New Roman"/>
          <w:bCs/>
          <w:sz w:val="24"/>
          <w:szCs w:val="24"/>
        </w:rPr>
        <w:t xml:space="preserve">3.乙方须保证甲方设备处于优良运行状态，合同期内，乙方应根据设备运行状况每年定期做4次专业的预防性维护保养（PM），包括机器清洁、性能测试及校准、必要的机械或电气检查、非紧急性质的补救性维修，确保系统能按照制造商的产品规格运行的其它维护保养内容（安全检查、质量保证、安全升级或远程服务）等。【如有】</w:t>
      </w:r>
      <w:r>
        <w:rPr>
          <w:rFonts w:ascii="Times New Roman" w:hAnsi="Times New Roman" w:cs="Times New Roman"/>
          <w:sz w:val="24"/>
          <w:szCs w:val="24"/>
          <w:u w:val="single"/>
        </w:rPr>
        <w:t xml:space="preserve">保养详细步骤及替换配件，详见附件。</w:t>
      </w:r>
      <w:r>
        <w:rPr>
          <w:rFonts w:cs="Times New Roman"/>
          <w:bCs/>
          <w:sz w:val="24"/>
          <w:szCs w:val="24"/>
        </w:rPr>
        <w:t xml:space="preserve">提供除尘前后的现场照片存档，并出具完整的保养报告，具体维护保养时间合同生效后与甲方设备科商定。</w:t>
      </w:r>
      <w:r/>
    </w:p>
    <w:p>
      <w:pPr>
        <w:ind w:firstLine="480"/>
        <w:spacing w:line="360" w:lineRule="auto"/>
        <w:rPr>
          <w:rFonts w:cs="Times New Roman"/>
          <w:bCs/>
          <w:sz w:val="24"/>
          <w:szCs w:val="24"/>
        </w:rPr>
      </w:pPr>
      <w:r>
        <w:rPr>
          <w:rFonts w:cs="Times New Roman"/>
          <w:bCs/>
          <w:sz w:val="24"/>
          <w:szCs w:val="24"/>
        </w:rPr>
        <w:t xml:space="preserve">4.全保型开机率承诺：全年365天日历日开机率≥95%（按照一年365日计算），每年累计因设备故障原因停机不超过18个日历日。任何一台设备停机天数超过约定每年累计停机天数一天，保修期限延长</w:t>
      </w:r>
      <w:r>
        <w:rPr>
          <w:rFonts w:cs="Times New Roman"/>
          <w:bCs/>
          <w:sz w:val="24"/>
          <w:szCs w:val="24"/>
          <w:u w:val="single"/>
        </w:rPr>
        <w:t xml:space="preserve">2</w:t>
      </w:r>
      <w:r>
        <w:rPr>
          <w:rFonts w:cs="Times New Roman"/>
          <w:bCs/>
          <w:sz w:val="24"/>
          <w:szCs w:val="24"/>
        </w:rPr>
        <w:t xml:space="preserve">天。乙方须具备完全的技术力量，能在合理期限内完成设备维修，同一故障，若工程师连续上门维修3次仍旧不能修复、或开机率低于90%，可视为乙方违约，甲方有权立即终止合同，相关</w:t>
      </w:r>
      <w:r>
        <w:rPr>
          <w:rFonts w:cs="Times New Roman"/>
          <w:bCs/>
          <w:sz w:val="24"/>
          <w:szCs w:val="24"/>
        </w:rPr>
        <w:t xml:space="preserve">损失由违约方承担；保修期内，若因配件断供或其他乙方自身原因，导致维保设备清单范围内的设备无法维修、无法修复，则需赔偿甲方直接与间接损失。</w:t>
      </w:r>
      <w:r/>
    </w:p>
    <w:p>
      <w:pPr>
        <w:ind w:firstLine="480"/>
        <w:spacing w:line="360" w:lineRule="auto"/>
        <w:rPr>
          <w:rFonts w:cs="Times New Roman"/>
          <w:bCs/>
          <w:sz w:val="24"/>
          <w:szCs w:val="24"/>
        </w:rPr>
      </w:pPr>
      <w:r>
        <w:rPr>
          <w:rFonts w:cs="Times New Roman"/>
          <w:bCs/>
          <w:sz w:val="24"/>
          <w:szCs w:val="24"/>
        </w:rPr>
        <w:t xml:space="preserve">5.不在本保修范围内的配套设施，如甲方需乙方维修更换，乙方以低于市场价的</w:t>
      </w:r>
      <w:r>
        <w:rPr>
          <w:rFonts w:cs="Times New Roman"/>
          <w:bCs/>
          <w:sz w:val="24"/>
          <w:szCs w:val="24"/>
          <w:u w:val="single"/>
        </w:rPr>
        <w:t xml:space="preserve"> 85 </w:t>
      </w:r>
      <w:r>
        <w:rPr>
          <w:rFonts w:cs="Times New Roman"/>
          <w:bCs/>
          <w:sz w:val="24"/>
          <w:szCs w:val="24"/>
        </w:rPr>
        <w:t xml:space="preserve">％优惠提供。</w:t>
      </w:r>
      <w:r/>
    </w:p>
    <w:p>
      <w:pPr>
        <w:ind w:firstLine="480"/>
        <w:spacing w:line="360" w:lineRule="auto"/>
        <w:rPr>
          <w:rFonts w:cs="Times New Roman"/>
          <w:bCs/>
          <w:sz w:val="24"/>
          <w:szCs w:val="24"/>
        </w:rPr>
      </w:pPr>
      <w:r>
        <w:rPr>
          <w:rFonts w:cs="Times New Roman"/>
          <w:bCs/>
          <w:sz w:val="24"/>
          <w:szCs w:val="24"/>
        </w:rPr>
        <w:t xml:space="preserve">6.保修期内，需要对每台在保大型设备建立“大型医疗设备使用档案”，“大型医疗设备使用档案”随机器存放在使用科室，每次故障维修及保养，必须提供完整详细的维修、保养记录（含故障原因、解决过程及更换配件情况等，英文书写的需有中文备注），并由服务工程师、临床科室、医学工程处分管工程师三方签字确认，一份纸质记录存放使用科室，放入“大型医疗设备使用档案”中，一份电子记录交甲方分管工程师备案。在每次处理故障结束后现场对甲方相关人员进行设备维护培训讲解。</w:t>
      </w:r>
      <w:r/>
    </w:p>
    <w:p>
      <w:pPr>
        <w:ind w:firstLine="480"/>
        <w:spacing w:line="360" w:lineRule="auto"/>
        <w:rPr>
          <w:rFonts w:cs="Times New Roman"/>
          <w:bCs/>
          <w:sz w:val="24"/>
          <w:szCs w:val="24"/>
        </w:rPr>
      </w:pPr>
      <w:r>
        <w:rPr>
          <w:rFonts w:cs="Times New Roman"/>
          <w:bCs/>
          <w:sz w:val="24"/>
          <w:szCs w:val="24"/>
        </w:rPr>
        <w:t xml:space="preserve">7.保修期内，每年度结束后向甲方提供设备维保总结，包括设备及合同基本情况、维修清单、日期、故障及维修情况、更换配件名称、配件价值、保养清单、日期、保养级别和内容、每次保养结论、停机时间、年度开机率统计等，以及设备状态总结分析。</w:t>
      </w:r>
      <w:r/>
    </w:p>
    <w:p>
      <w:pPr>
        <w:ind w:firstLine="480"/>
        <w:spacing w:line="360" w:lineRule="auto"/>
        <w:rPr>
          <w:sz w:val="24"/>
          <w:szCs w:val="24"/>
        </w:rPr>
      </w:pPr>
      <w:r>
        <w:rPr>
          <w:rFonts w:cs="Times New Roman"/>
          <w:bCs/>
          <w:sz w:val="24"/>
          <w:szCs w:val="24"/>
        </w:rPr>
        <w:t xml:space="preserve">8.乙方须能提供设备的系统软件及硬件的安全性改版升级和技术支持；并保证</w:t>
      </w:r>
      <w:r>
        <w:rPr>
          <w:sz w:val="24"/>
          <w:szCs w:val="24"/>
        </w:rPr>
        <w:t xml:space="preserve">所有系统软件（非新增加功能软件）为最新版本，</w:t>
      </w:r>
      <w:r>
        <w:rPr>
          <w:bCs/>
          <w:sz w:val="24"/>
          <w:szCs w:val="24"/>
        </w:rPr>
        <w:t xml:space="preserve">免费提供厂家规定的产品升级（包括配件和人工服务）</w:t>
      </w:r>
      <w:r>
        <w:rPr>
          <w:sz w:val="24"/>
          <w:szCs w:val="24"/>
        </w:rPr>
        <w:t xml:space="preserve">；</w:t>
      </w:r>
      <w:r/>
    </w:p>
    <w:p>
      <w:pPr>
        <w:ind w:firstLine="480"/>
        <w:spacing w:line="360" w:lineRule="auto"/>
        <w:rPr>
          <w:sz w:val="24"/>
          <w:szCs w:val="24"/>
        </w:rPr>
      </w:pPr>
      <w:r>
        <w:rPr>
          <w:sz w:val="24"/>
          <w:szCs w:val="24"/>
        </w:rPr>
        <w:t xml:space="preserve">9.乙方不得将本合同约定的权利和义务全部或部分转让给第三方或委托第三方代理；</w:t>
      </w:r>
      <w:r/>
    </w:p>
    <w:p>
      <w:pPr>
        <w:ind w:firstLine="480"/>
        <w:spacing w:line="360" w:lineRule="auto"/>
        <w:rPr>
          <w:sz w:val="24"/>
          <w:szCs w:val="24"/>
        </w:rPr>
      </w:pPr>
      <w:r>
        <w:rPr>
          <w:sz w:val="24"/>
          <w:szCs w:val="24"/>
        </w:rPr>
        <w:t xml:space="preserve">10.乙方维修人员在维修期间必须遵守甲方在安全、防盗、停车、周围环境卫生及排放污物的有关规定，否则一切后果自负。乙方维修人员在履行本合同义务期间发生的自身意外伤害或第三方财产、人身损害，均由乙方负责法律责任。</w:t>
      </w:r>
      <w:r/>
    </w:p>
    <w:p>
      <w:pPr>
        <w:ind w:firstLine="480"/>
        <w:spacing w:line="360" w:lineRule="auto"/>
        <w:rPr>
          <w:sz w:val="24"/>
          <w:szCs w:val="24"/>
        </w:rPr>
      </w:pPr>
      <w:r>
        <w:rPr>
          <w:sz w:val="24"/>
          <w:szCs w:val="24"/>
        </w:rPr>
        <w:t xml:space="preserve">11.若有其他优惠条件请另附页。</w:t>
      </w:r>
      <w:r/>
    </w:p>
    <w:p>
      <w:pPr>
        <w:ind w:firstLine="480"/>
        <w:spacing w:line="360" w:lineRule="auto"/>
        <w:rPr>
          <w:rFonts w:cs="Times New Roman"/>
          <w:bCs/>
          <w:sz w:val="24"/>
          <w:szCs w:val="24"/>
        </w:rPr>
      </w:pPr>
      <w:r>
        <w:rPr>
          <w:rFonts w:cs="Times New Roman"/>
          <w:bCs/>
          <w:sz w:val="24"/>
          <w:szCs w:val="24"/>
        </w:rPr>
        <w:t xml:space="preserve">五、保修费及支付方式</w:t>
      </w:r>
      <w:r/>
    </w:p>
    <w:p>
      <w:pPr>
        <w:ind w:firstLine="480"/>
        <w:spacing w:line="360" w:lineRule="auto"/>
        <w:rPr>
          <w:rFonts w:cs="Times New Roman"/>
          <w:bCs/>
          <w:sz w:val="24"/>
          <w:szCs w:val="24"/>
        </w:rPr>
      </w:pPr>
      <w:r>
        <w:rPr>
          <w:rFonts w:cs="Times New Roman"/>
          <w:bCs/>
          <w:sz w:val="24"/>
          <w:szCs w:val="24"/>
        </w:rPr>
        <w:t xml:space="preserve">1.保修款含税总额（人民币）：</w:t>
      </w:r>
      <w:r>
        <w:rPr>
          <w:rFonts w:cs="Times New Roman"/>
          <w:bCs/>
          <w:sz w:val="24"/>
          <w:szCs w:val="24"/>
          <w:u w:val="single"/>
        </w:rPr>
        <w:t xml:space="preserve">          元 </w:t>
      </w:r>
      <w:r>
        <w:rPr>
          <w:rFonts w:cs="Times New Roman"/>
          <w:bCs/>
          <w:sz w:val="24"/>
          <w:szCs w:val="24"/>
        </w:rPr>
        <w:t xml:space="preserve">， (大写)：</w:t>
      </w:r>
      <w:r>
        <w:rPr>
          <w:rFonts w:cs="Times New Roman"/>
          <w:bCs/>
          <w:sz w:val="24"/>
          <w:szCs w:val="24"/>
          <w:u w:val="single"/>
        </w:rPr>
        <w:t xml:space="preserve">           元整</w:t>
      </w:r>
      <w:r>
        <w:rPr>
          <w:rFonts w:cs="Times New Roman"/>
          <w:bCs/>
          <w:sz w:val="24"/>
          <w:szCs w:val="24"/>
        </w:rPr>
        <w:t xml:space="preserve">。                               </w:t>
      </w:r>
      <w:r/>
    </w:p>
    <w:p>
      <w:pPr>
        <w:ind w:firstLine="480"/>
        <w:spacing w:line="360" w:lineRule="auto"/>
        <w:rPr>
          <w:sz w:val="24"/>
          <w:szCs w:val="24"/>
        </w:rPr>
      </w:pPr>
      <w:r>
        <w:rPr>
          <w:rFonts w:cs="Times New Roman"/>
          <w:bCs/>
          <w:sz w:val="24"/>
          <w:szCs w:val="24"/>
        </w:rPr>
        <w:t xml:space="preserve">2.付款方式：</w:t>
      </w:r>
      <w:r>
        <w:rPr>
          <w:sz w:val="24"/>
          <w:szCs w:val="24"/>
        </w:rPr>
        <w:t xml:space="preserve">合同签订生效后支付合同金额的10%作为预付款，支付金额时间为合同生效后满一年、满两年后各支付合同金额的45%，应在期满后60日内完成支付。（每笔付款前供方应提供发票及当期维修保养报告并经审核、乙方延迟交</w:t>
      </w:r>
      <w:r>
        <w:rPr>
          <w:sz w:val="24"/>
          <w:szCs w:val="24"/>
        </w:rPr>
        <w:t xml:space="preserve">付符合要求的发票的，甲方有权延迟付款。）</w:t>
      </w:r>
      <w:r/>
    </w:p>
    <w:p>
      <w:pPr>
        <w:ind w:firstLine="480"/>
        <w:spacing w:line="360" w:lineRule="auto"/>
        <w:rPr>
          <w:sz w:val="24"/>
          <w:szCs w:val="24"/>
        </w:rPr>
      </w:pPr>
      <w:r>
        <w:rPr>
          <w:sz w:val="24"/>
          <w:szCs w:val="24"/>
        </w:rPr>
        <w:t xml:space="preserve">具体付款时间与金额如下：</w:t>
      </w:r>
      <w:r/>
    </w:p>
    <w:p>
      <w:pPr>
        <w:ind w:firstLine="480"/>
        <w:spacing w:line="360" w:lineRule="auto"/>
        <w:rPr>
          <w:sz w:val="24"/>
          <w:szCs w:val="24"/>
        </w:rPr>
      </w:pPr>
      <w:r>
        <w:rPr>
          <w:sz w:val="24"/>
          <w:szCs w:val="24"/>
        </w:rPr>
        <w:t xml:space="preserve">第一期，</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日后，支付</w:t>
      </w:r>
      <w:r>
        <w:rPr>
          <w:sz w:val="24"/>
          <w:szCs w:val="24"/>
          <w:u w:val="single"/>
        </w:rPr>
        <w:t xml:space="preserve">           </w:t>
      </w:r>
      <w:r>
        <w:rPr>
          <w:sz w:val="24"/>
          <w:szCs w:val="24"/>
        </w:rPr>
        <w:t xml:space="preserve">元。</w:t>
      </w:r>
      <w:r/>
    </w:p>
    <w:p>
      <w:pPr>
        <w:ind w:firstLine="480"/>
        <w:spacing w:line="360" w:lineRule="auto"/>
        <w:rPr>
          <w:sz w:val="24"/>
          <w:szCs w:val="24"/>
        </w:rPr>
      </w:pPr>
      <w:r>
        <w:rPr>
          <w:sz w:val="24"/>
          <w:szCs w:val="24"/>
        </w:rPr>
        <w:t xml:space="preserve">第二期，</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日后，支付</w:t>
      </w:r>
      <w:r>
        <w:rPr>
          <w:sz w:val="24"/>
          <w:szCs w:val="24"/>
          <w:u w:val="single"/>
        </w:rPr>
        <w:t xml:space="preserve">           </w:t>
      </w:r>
      <w:r>
        <w:rPr>
          <w:sz w:val="24"/>
          <w:szCs w:val="24"/>
        </w:rPr>
        <w:t xml:space="preserve">元。</w:t>
      </w:r>
      <w:r/>
    </w:p>
    <w:p>
      <w:pPr>
        <w:ind w:firstLine="480"/>
        <w:spacing w:line="360" w:lineRule="auto"/>
        <w:rPr>
          <w:sz w:val="24"/>
          <w:szCs w:val="24"/>
        </w:rPr>
      </w:pPr>
      <w:r>
        <w:rPr>
          <w:sz w:val="24"/>
          <w:szCs w:val="24"/>
        </w:rPr>
        <w:t xml:space="preserve">第三期，</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日后，支付</w:t>
      </w:r>
      <w:r>
        <w:rPr>
          <w:sz w:val="24"/>
          <w:szCs w:val="24"/>
          <w:u w:val="single"/>
        </w:rPr>
        <w:t xml:space="preserve">           </w:t>
      </w:r>
      <w:r>
        <w:rPr>
          <w:sz w:val="24"/>
          <w:szCs w:val="24"/>
        </w:rPr>
        <w:t xml:space="preserve">元。</w:t>
      </w:r>
      <w:r/>
    </w:p>
    <w:p>
      <w:pPr>
        <w:ind w:firstLine="480"/>
        <w:spacing w:line="360" w:lineRule="auto"/>
        <w:rPr>
          <w:sz w:val="24"/>
          <w:szCs w:val="24"/>
        </w:rPr>
      </w:pPr>
      <w:r>
        <w:rPr>
          <w:sz w:val="24"/>
          <w:szCs w:val="24"/>
        </w:rPr>
        <w:t xml:space="preserve">第四期，</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日后，支付</w:t>
      </w:r>
      <w:r>
        <w:rPr>
          <w:sz w:val="24"/>
          <w:szCs w:val="24"/>
          <w:u w:val="single"/>
        </w:rPr>
        <w:t xml:space="preserve">           </w:t>
      </w:r>
      <w:r>
        <w:rPr>
          <w:sz w:val="24"/>
          <w:szCs w:val="24"/>
        </w:rPr>
        <w:t xml:space="preserve">元。</w:t>
      </w:r>
      <w:r/>
    </w:p>
    <w:p>
      <w:pPr>
        <w:ind w:firstLine="480"/>
        <w:spacing w:line="360" w:lineRule="auto"/>
        <w:rPr>
          <w:sz w:val="24"/>
          <w:szCs w:val="24"/>
        </w:rPr>
      </w:pPr>
      <w:r>
        <w:rPr>
          <w:sz w:val="24"/>
          <w:szCs w:val="24"/>
        </w:rPr>
        <w:t xml:space="preserve">3.乙方承诺：其向甲方提供的所有发票均真实、合法、有效，发票的开具内容、金额、主体等信息均与对应交易背景一致</w:t>
      </w:r>
      <w:r>
        <w:rPr>
          <w:sz w:val="24"/>
          <w:szCs w:val="24"/>
        </w:rPr>
        <w:t xml:space="preserve">，不存在虚开、伪造、变造以及其他任何不符合法律法规及税务机关规定的违法、违规情形；未经甲方书面确认，不得对已向甲方交付的发票擅自进行红字冲销（红冲）或作废处理。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360" w:lineRule="auto"/>
        <w:rPr>
          <w:rFonts w:cs="Times New Roman"/>
          <w:bCs/>
          <w:sz w:val="24"/>
          <w:szCs w:val="24"/>
        </w:rPr>
      </w:pPr>
      <w:r>
        <w:rPr>
          <w:rFonts w:cs="Times New Roman"/>
          <w:bCs/>
          <w:sz w:val="24"/>
          <w:szCs w:val="24"/>
        </w:rPr>
        <w:t xml:space="preserve">六、违约责任</w:t>
      </w:r>
      <w:r/>
    </w:p>
    <w:p>
      <w:pPr>
        <w:ind w:firstLine="480"/>
        <w:spacing w:line="360" w:lineRule="auto"/>
        <w:rPr>
          <w:rFonts w:cs="Times New Roman"/>
          <w:bCs/>
          <w:sz w:val="24"/>
          <w:szCs w:val="24"/>
        </w:rPr>
      </w:pPr>
      <w:r>
        <w:rPr>
          <w:rFonts w:cs="Times New Roman"/>
          <w:bCs/>
          <w:sz w:val="24"/>
          <w:szCs w:val="24"/>
        </w:rPr>
        <w:t xml:space="preserve">1.由于公认的不可抗力事件造成的损坏（如自然灾害、爆炸、房屋倒塌、暴乱、坠机及撞蓄意破坏、缺乏燃料或水电、劳资纠纷、罢工等），乙方根据实际情况部分或全部免除责任，但应及时通知甲方。</w:t>
      </w:r>
      <w:r/>
    </w:p>
    <w:p>
      <w:pPr>
        <w:ind w:firstLine="480"/>
        <w:spacing w:line="360" w:lineRule="auto"/>
        <w:rPr>
          <w:rFonts w:cs="Times New Roman"/>
          <w:bCs/>
          <w:sz w:val="24"/>
          <w:szCs w:val="24"/>
        </w:rPr>
      </w:pPr>
      <w:r>
        <w:rPr>
          <w:rFonts w:cs="Times New Roman"/>
          <w:bCs/>
          <w:sz w:val="24"/>
          <w:szCs w:val="24"/>
        </w:rPr>
        <w:t xml:space="preserve">2.因为乙方不履行合同或者履行合同不符合约定给甲方造成损失的，乙方负责赔偿直接与间接损失，该损失赔偿额包括但不限于损害赔偿金、需方为解决纠纷而产生的律师费、诉讼费、保全费、保全担保费、鉴定费、差旅费等费用。同时，乙方每出现一次违约行为，甲方有权扣除本合同总额的0.05%/天作为违约金直至履约。若累计出现3次及以上违约行为，或乙方的违约行为持续10天及以上，甲方有权单方解除本合同，要求乙方退还已收取的费用并支付本合同总金额30%的违约金。违约金不足以弥补甲方损失的，甲方有权追偿。</w:t>
      </w:r>
      <w:r/>
    </w:p>
    <w:p>
      <w:pPr>
        <w:ind w:firstLine="480"/>
        <w:spacing w:line="360" w:lineRule="auto"/>
        <w:rPr>
          <w:rFonts w:cs="Times New Roman"/>
          <w:bCs/>
          <w:sz w:val="24"/>
          <w:szCs w:val="24"/>
        </w:rPr>
      </w:pPr>
      <w:r>
        <w:rPr>
          <w:rFonts w:cs="Times New Roman"/>
          <w:bCs/>
          <w:sz w:val="24"/>
          <w:szCs w:val="24"/>
        </w:rPr>
        <w:t xml:space="preserve">3.在维保合同有效期内，如需更换第三方零备件，需双方协商解决。</w:t>
      </w:r>
      <w:r/>
    </w:p>
    <w:p>
      <w:pPr>
        <w:ind w:firstLine="480"/>
        <w:spacing w:line="360" w:lineRule="auto"/>
        <w:rPr>
          <w:rFonts w:cs="Times New Roman"/>
          <w:bCs/>
          <w:sz w:val="24"/>
          <w:szCs w:val="24"/>
        </w:rPr>
      </w:pPr>
      <w:r>
        <w:rPr>
          <w:rFonts w:cs="Times New Roman"/>
          <w:bCs/>
          <w:sz w:val="24"/>
          <w:szCs w:val="24"/>
        </w:rPr>
        <w:t xml:space="preserve">4.在执行维保合同期间，若甲方因设备停用或报废等原因需提前终止合同，按实际使用天数结算维保款，停用起止日以甲方书面通知达到乙方为准；遇其他情况终止合同，需经双方协商解决。</w:t>
      </w:r>
      <w:r/>
    </w:p>
    <w:p>
      <w:pPr>
        <w:ind w:firstLine="480"/>
        <w:spacing w:line="360" w:lineRule="auto"/>
        <w:rPr>
          <w:rFonts w:cs="Times New Roman"/>
          <w:bCs/>
          <w:sz w:val="24"/>
          <w:szCs w:val="24"/>
        </w:rPr>
      </w:pPr>
      <w:r>
        <w:rPr>
          <w:rFonts w:cs="Times New Roman"/>
          <w:bCs/>
          <w:sz w:val="24"/>
          <w:szCs w:val="24"/>
        </w:rPr>
        <w:t xml:space="preserve">5.乙方如未按约履行本合同约定的各项义务，甲方书面通知乙方纠正后乙方仍不按约履行的，甲方有权随时单方终止本合同。</w:t>
      </w:r>
      <w:r/>
    </w:p>
    <w:p>
      <w:pPr>
        <w:ind w:firstLine="480"/>
        <w:spacing w:line="360" w:lineRule="auto"/>
        <w:rPr>
          <w:rFonts w:cs="Times New Roman"/>
          <w:bCs/>
          <w:sz w:val="24"/>
          <w:szCs w:val="24"/>
        </w:rPr>
      </w:pPr>
      <w:r>
        <w:rPr>
          <w:rFonts w:cs="Times New Roman"/>
          <w:bCs/>
          <w:sz w:val="24"/>
          <w:szCs w:val="24"/>
        </w:rPr>
        <w:t xml:space="preserve">七、乙方在保修期内维护保养的次数与内容、更换维修备件的数目及发生的所有费用以年末甲、乙双方共同核对为准，相关文件交甲方存档。</w:t>
      </w:r>
      <w:r/>
    </w:p>
    <w:p>
      <w:pPr>
        <w:ind w:firstLine="480"/>
        <w:spacing w:line="360" w:lineRule="auto"/>
        <w:rPr>
          <w:rFonts w:cs="Times New Roman"/>
          <w:bCs/>
          <w:sz w:val="24"/>
          <w:szCs w:val="24"/>
        </w:rPr>
      </w:pPr>
      <w:r>
        <w:rPr>
          <w:rFonts w:cs="Times New Roman"/>
          <w:bCs/>
          <w:sz w:val="24"/>
          <w:szCs w:val="24"/>
        </w:rPr>
        <w:t xml:space="preserve">八、争议解决</w:t>
      </w:r>
      <w:r/>
    </w:p>
    <w:p>
      <w:pPr>
        <w:ind w:firstLine="480"/>
        <w:spacing w:line="360" w:lineRule="auto"/>
        <w:rPr>
          <w:rFonts w:cs="Times New Roman"/>
          <w:bCs/>
          <w:sz w:val="24"/>
          <w:szCs w:val="24"/>
        </w:rPr>
      </w:pPr>
      <w:r>
        <w:rPr>
          <w:rFonts w:cs="Times New Roman"/>
          <w:bCs/>
          <w:sz w:val="24"/>
          <w:szCs w:val="24"/>
        </w:rPr>
        <w:t xml:space="preserve">双方应本着友好协商的原则解决争议。若争议发生后的三十天内双方仍未达成解决方案，则任何一方有权向甲方所在地人民法院起诉。本合同适用中华人民共和国法律。</w:t>
      </w:r>
      <w:r/>
    </w:p>
    <w:p>
      <w:pPr>
        <w:ind w:firstLine="480"/>
        <w:spacing w:line="360" w:lineRule="auto"/>
        <w:rPr>
          <w:rFonts w:cs="Times New Roman"/>
          <w:bCs/>
          <w:sz w:val="24"/>
          <w:szCs w:val="24"/>
        </w:rPr>
      </w:pPr>
      <w:r>
        <w:rPr>
          <w:rFonts w:cs="Times New Roman"/>
          <w:bCs/>
          <w:sz w:val="24"/>
          <w:szCs w:val="24"/>
        </w:rPr>
        <w:t xml:space="preserve">九、合同不可分割部分</w:t>
      </w:r>
      <w:r/>
    </w:p>
    <w:p>
      <w:pPr>
        <w:ind w:firstLine="480"/>
        <w:spacing w:line="360" w:lineRule="auto"/>
        <w:rPr>
          <w:rFonts w:cs="Times New Roman"/>
          <w:bCs/>
          <w:sz w:val="24"/>
          <w:szCs w:val="24"/>
        </w:rPr>
      </w:pPr>
      <w:r>
        <w:rPr>
          <w:rFonts w:cs="Times New Roman"/>
          <w:bCs/>
          <w:sz w:val="24"/>
          <w:szCs w:val="24"/>
        </w:rPr>
        <w:t xml:space="preserve">药品、器械采供廉政协议书、供方在报价、谈判过程中所作其它有关承诺、声明、书面澄清、补充协议等均为合同不可分割的部分，与主合同具有同等法律效力。</w:t>
      </w:r>
      <w:r/>
    </w:p>
    <w:p>
      <w:pPr>
        <w:ind w:firstLine="480"/>
        <w:spacing w:line="360" w:lineRule="auto"/>
        <w:rPr>
          <w:rFonts w:cs="Times New Roman"/>
          <w:bCs/>
          <w:sz w:val="24"/>
          <w:szCs w:val="24"/>
        </w:rPr>
      </w:pPr>
      <w:r>
        <w:rPr>
          <w:rFonts w:cs="Times New Roman"/>
          <w:bCs/>
          <w:sz w:val="24"/>
          <w:szCs w:val="24"/>
        </w:rPr>
        <w:t xml:space="preserve">十、合同一式四份，甲方三份，乙方一份。自甲乙双方代表签字并盖章生效到本合同约定的维保期限届满时止。合同生效后，在合同有效期内，除非双方以书面的方式确认并签署补充协议，任何一方不得擅自变更本合同内容。未尽事宜，双方应本着友好合作精神协商解决。</w:t>
      </w:r>
      <w:r/>
    </w:p>
    <w:p>
      <w:pPr>
        <w:ind w:firstLine="480"/>
        <w:spacing w:line="360" w:lineRule="auto"/>
        <w:rPr>
          <w:rFonts w:cs="Times New Roman"/>
          <w:bCs/>
          <w:sz w:val="24"/>
          <w:szCs w:val="24"/>
        </w:rPr>
      </w:pPr>
      <w:r>
        <w:rPr>
          <w:rFonts w:cs="Times New Roman"/>
          <w:bCs/>
          <w:sz w:val="24"/>
          <w:szCs w:val="24"/>
        </w:rPr>
        <w:t xml:space="preserve">十一、本合同首部确定的各方联系方式为各方确定的合同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r/>
    </w:p>
    <w:p>
      <w:pPr>
        <w:ind w:firstLine="0"/>
        <w:spacing w:line="360" w:lineRule="auto"/>
        <w:rPr>
          <w:rFonts w:ascii="Times New Roman" w:hAnsi="Times New Roman" w:cs="Times New Roman"/>
          <w:sz w:val="24"/>
          <w:szCs w:val="24"/>
        </w:rPr>
      </w:pPr>
      <w:r>
        <w:rPr>
          <w:rFonts w:ascii="Times New Roman" w:hAnsi="Times New Roman" w:cs="Times New Roman"/>
          <w:sz w:val="24"/>
          <w:szCs w:val="24"/>
        </w:rPr>
      </w:r>
      <w:r/>
    </w:p>
    <w:p>
      <w:pPr>
        <w:ind w:firstLine="480"/>
        <w:jc w:val="left"/>
        <w:spacing w:line="360" w:lineRule="auto"/>
        <w:rPr>
          <w:sz w:val="24"/>
          <w:szCs w:val="24"/>
        </w:rPr>
      </w:pPr>
      <w:r>
        <w:rPr>
          <w:rFonts w:hint="eastAsia"/>
          <w:sz w:val="24"/>
          <w:szCs w:val="24"/>
        </w:rPr>
        <w:t xml:space="preserve">甲方单位（盖章）：                   乙方单位（盖章）：</w:t>
      </w:r>
      <w:r/>
    </w:p>
    <w:p>
      <w:pPr>
        <w:ind w:firstLine="480"/>
        <w:jc w:val="left"/>
        <w:spacing w:line="360" w:lineRule="auto"/>
        <w:rPr>
          <w:sz w:val="24"/>
          <w:szCs w:val="24"/>
        </w:rPr>
      </w:pPr>
      <w:r>
        <w:rPr>
          <w:rFonts w:hint="eastAsia"/>
          <w:sz w:val="24"/>
          <w:szCs w:val="24"/>
        </w:rPr>
        <w:t xml:space="preserve">                                     开户银行：</w:t>
      </w:r>
      <w:r/>
    </w:p>
    <w:p>
      <w:pPr>
        <w:ind w:firstLine="480"/>
        <w:jc w:val="left"/>
        <w:spacing w:line="360" w:lineRule="auto"/>
        <w:rPr>
          <w:sz w:val="24"/>
          <w:szCs w:val="24"/>
        </w:rPr>
      </w:pPr>
      <w:r>
        <w:rPr>
          <w:rFonts w:hint="eastAsia"/>
          <w:sz w:val="24"/>
          <w:szCs w:val="24"/>
        </w:rPr>
        <w:t xml:space="preserve">                                     账    号：</w:t>
      </w:r>
      <w:r/>
    </w:p>
    <w:p>
      <w:pPr>
        <w:ind w:firstLine="480"/>
        <w:jc w:val="left"/>
        <w:spacing w:line="360" w:lineRule="auto"/>
        <w:rPr>
          <w:sz w:val="24"/>
          <w:szCs w:val="24"/>
        </w:rPr>
      </w:pPr>
      <w:r>
        <w:rPr>
          <w:rFonts w:hint="eastAsia"/>
          <w:sz w:val="24"/>
          <w:szCs w:val="24"/>
        </w:rPr>
        <w:t xml:space="preserve">甲方法定代表人                       乙方法定代表人</w:t>
      </w:r>
      <w:r/>
    </w:p>
    <w:p>
      <w:pPr>
        <w:ind w:firstLine="480"/>
        <w:jc w:val="left"/>
        <w:spacing w:line="360" w:lineRule="auto"/>
        <w:rPr>
          <w:sz w:val="24"/>
          <w:szCs w:val="24"/>
        </w:rPr>
      </w:pPr>
      <w:r>
        <w:rPr>
          <w:rFonts w:hint="eastAsia"/>
          <w:sz w:val="24"/>
          <w:szCs w:val="24"/>
        </w:rPr>
        <w:t xml:space="preserve">或授权委托人：（签字）               或授权委托人：（签字）</w:t>
      </w:r>
      <w:r/>
    </w:p>
    <w:p>
      <w:pPr>
        <w:pStyle w:val="1337"/>
        <w:ind w:left="0" w:firstLine="480"/>
        <w:spacing w:line="360" w:lineRule="auto"/>
      </w:pPr>
      <w:r>
        <w:rPr>
          <w:rFonts w:hint="eastAsia" w:ascii="宋体" w:hAnsi="宋体" w:eastAsia="宋体" w:cs="宋体"/>
          <w:sz w:val="24"/>
          <w:szCs w:val="24"/>
        </w:rPr>
        <w:t xml:space="preserve">日期：                               日期：</w:t>
      </w:r>
      <w:r/>
    </w:p>
    <w:p>
      <w:pPr>
        <w:pStyle w:val="1338"/>
        <w:ind w:firstLine="480"/>
        <w:spacing w:before="0" w:beforeAutospacing="0" w:after="0" w:afterAutospacing="0" w:line="360" w:lineRule="auto"/>
      </w:pPr>
      <w:r/>
      <w:r/>
    </w:p>
    <w:p>
      <w:pPr>
        <w:pStyle w:val="1338"/>
        <w:ind w:firstLine="480"/>
        <w:spacing w:before="0" w:beforeAutospacing="0" w:after="0" w:afterAutospacing="0" w:line="360" w:lineRule="auto"/>
      </w:pPr>
      <w:r/>
      <w:r/>
    </w:p>
    <w:p>
      <w:pPr>
        <w:pStyle w:val="1338"/>
        <w:ind w:firstLine="482"/>
        <w:spacing w:before="0" w:beforeAutospacing="0" w:after="0" w:afterAutospacing="0" w:line="360" w:lineRule="auto"/>
        <w:rPr>
          <w:b/>
          <w:bCs/>
        </w:rPr>
      </w:pPr>
      <w:r>
        <w:rPr>
          <w:rFonts w:hint="eastAsia"/>
          <w:b/>
          <w:bCs/>
        </w:rPr>
        <w:t xml:space="preserve">见证人：江苏弘业国际技术工程有限公司</w:t>
      </w:r>
      <w:r/>
    </w:p>
    <w:p>
      <w:pPr>
        <w:pStyle w:val="1338"/>
        <w:ind w:firstLine="480"/>
        <w:spacing w:before="0" w:beforeAutospacing="0" w:after="0" w:afterAutospacing="0" w:line="360" w:lineRule="auto"/>
      </w:pPr>
      <w:r>
        <w:rPr>
          <w:rFonts w:hint="eastAsia"/>
        </w:rPr>
        <w:t xml:space="preserve">年  月  日</w:t>
      </w:r>
      <w:r/>
    </w:p>
    <w:p>
      <w:pPr>
        <w:ind w:firstLine="0"/>
        <w:spacing w:line="360" w:lineRule="auto"/>
      </w:pPr>
      <w:r>
        <w:br w:type="page" w:clear="all"/>
      </w:r>
      <w:r/>
    </w:p>
    <w:p>
      <w:pPr>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p>
    <w:p>
      <w:pPr>
        <w:ind w:firstLine="640"/>
        <w:rPr>
          <w:rFonts w:ascii="黑体" w:eastAsia="黑体"/>
          <w:bCs/>
          <w:sz w:val="32"/>
        </w:rPr>
      </w:pPr>
      <w:r>
        <w:rPr>
          <w:rFonts w:ascii="黑体" w:eastAsia="黑体"/>
          <w:bCs/>
          <w:sz w:val="32"/>
        </w:rPr>
      </w:r>
      <w:r/>
    </w:p>
    <w:p>
      <w:pPr>
        <w:ind w:firstLine="964"/>
        <w:jc w:val="center"/>
        <w:spacing w:line="360" w:lineRule="auto"/>
        <w:rPr>
          <w:b/>
          <w:sz w:val="48"/>
          <w:szCs w:val="20"/>
        </w:rPr>
      </w:pPr>
      <w:r>
        <w:rPr>
          <w:rFonts w:hint="eastAsia"/>
          <w:b/>
          <w:sz w:val="48"/>
          <w:szCs w:val="20"/>
        </w:rPr>
        <w:t xml:space="preserve"> </w:t>
      </w:r>
      <w:r/>
    </w:p>
    <w:p>
      <w:pPr>
        <w:ind w:firstLine="0"/>
        <w:jc w:val="center"/>
        <w:spacing w:line="360" w:lineRule="auto"/>
        <w:rPr>
          <w:b/>
          <w:sz w:val="72"/>
          <w:szCs w:val="20"/>
        </w:rPr>
      </w:pPr>
      <w:r>
        <w:rPr>
          <w:rFonts w:hint="eastAsia"/>
          <w:b/>
          <w:sz w:val="48"/>
          <w:szCs w:val="20"/>
        </w:rPr>
        <w:t xml:space="preserve">无锡市第二人民医院西门子大型设备维保2年</w:t>
      </w:r>
      <w:r/>
    </w:p>
    <w:p>
      <w:pPr>
        <w:ind w:firstLine="1446"/>
        <w:jc w:val="center"/>
        <w:spacing w:line="360" w:lineRule="auto"/>
        <w:rPr>
          <w:b/>
          <w:sz w:val="72"/>
          <w:szCs w:val="20"/>
        </w:rPr>
      </w:pPr>
      <w:r>
        <w:rPr>
          <w:b/>
          <w:sz w:val="72"/>
          <w:szCs w:val="20"/>
        </w:rPr>
      </w:r>
      <w:r/>
    </w:p>
    <w:p>
      <w:pPr>
        <w:ind w:firstLine="0"/>
        <w:jc w:val="center"/>
        <w:spacing w:line="360" w:lineRule="auto"/>
        <w:rPr>
          <w:b/>
          <w:sz w:val="72"/>
          <w:szCs w:val="20"/>
        </w:rPr>
      </w:pPr>
      <w:r>
        <w:rPr>
          <w:rFonts w:hint="eastAsia"/>
          <w:b/>
          <w:sz w:val="72"/>
          <w:szCs w:val="20"/>
        </w:rPr>
        <w:t xml:space="preserve">投标文件</w:t>
      </w:r>
      <w:r/>
    </w:p>
    <w:p>
      <w:pPr>
        <w:ind w:firstLine="964"/>
        <w:jc w:val="center"/>
        <w:spacing w:line="360" w:lineRule="auto"/>
        <w:rPr>
          <w:b/>
          <w:sz w:val="48"/>
          <w:szCs w:val="20"/>
        </w:rPr>
      </w:pPr>
      <w:r>
        <w:rPr>
          <w:b/>
          <w:sz w:val="48"/>
          <w:szCs w:val="20"/>
        </w:rPr>
      </w:r>
      <w:r/>
    </w:p>
    <w:p>
      <w:pPr>
        <w:ind w:firstLine="964"/>
        <w:jc w:val="center"/>
        <w:spacing w:line="360" w:lineRule="auto"/>
        <w:rPr>
          <w:b/>
          <w:sz w:val="48"/>
          <w:szCs w:val="20"/>
        </w:rPr>
      </w:pPr>
      <w:r>
        <w:rPr>
          <w:b/>
          <w:sz w:val="48"/>
          <w:szCs w:val="20"/>
        </w:rPr>
      </w:r>
      <w:r/>
    </w:p>
    <w:p>
      <w:pPr>
        <w:ind w:firstLine="964"/>
        <w:jc w:val="center"/>
        <w:spacing w:line="360" w:lineRule="auto"/>
        <w:rPr>
          <w:b/>
          <w:sz w:val="48"/>
          <w:szCs w:val="20"/>
        </w:rPr>
      </w:pPr>
      <w:r>
        <w:rPr>
          <w:b/>
          <w:sz w:val="48"/>
          <w:szCs w:val="20"/>
        </w:rPr>
      </w:r>
      <w:r/>
    </w:p>
    <w:p>
      <w:pPr>
        <w:ind w:firstLine="0"/>
        <w:spacing w:line="360" w:lineRule="auto"/>
        <w:rPr>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b/>
          <w:bCs/>
          <w:sz w:val="28"/>
          <w:szCs w:val="28"/>
          <w:u w:val="single"/>
        </w:rPr>
      </w:pPr>
      <w:r>
        <w:rPr>
          <w:b/>
          <w:bCs/>
          <w:sz w:val="28"/>
          <w:szCs w:val="28"/>
          <w:u w:val="single"/>
        </w:rPr>
      </w:r>
      <w:r/>
    </w:p>
    <w:p>
      <w:pPr>
        <w:ind w:firstLine="0"/>
        <w:spacing w:line="360" w:lineRule="auto"/>
        <w:rPr>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b/>
          <w:sz w:val="28"/>
          <w:szCs w:val="28"/>
        </w:rPr>
      </w:pPr>
      <w:r>
        <w:rPr>
          <w:b/>
          <w:sz w:val="28"/>
          <w:szCs w:val="28"/>
        </w:rPr>
      </w:r>
      <w:r/>
    </w:p>
    <w:p>
      <w:pPr>
        <w:ind w:firstLine="0"/>
        <w:spacing w:line="360" w:lineRule="auto"/>
        <w:rPr>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b/>
          <w:sz w:val="28"/>
          <w:szCs w:val="28"/>
        </w:rPr>
      </w:pPr>
      <w:r>
        <w:rPr>
          <w:rFonts w:hint="eastAsia"/>
          <w:b/>
          <w:sz w:val="28"/>
          <w:szCs w:val="28"/>
        </w:rPr>
        <w:t xml:space="preserve">法定代表人或</w:t>
      </w:r>
      <w:r/>
    </w:p>
    <w:p>
      <w:pPr>
        <w:ind w:firstLine="0"/>
        <w:spacing w:line="360" w:lineRule="auto"/>
        <w:rPr>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0"/>
        <w:spacing w:line="360" w:lineRule="auto"/>
        <w:rPr>
          <w:b/>
          <w:sz w:val="28"/>
          <w:szCs w:val="28"/>
        </w:rPr>
      </w:pPr>
      <w:r>
        <w:rPr>
          <w:rFonts w:hint="eastAsia"/>
          <w:b/>
          <w:sz w:val="28"/>
          <w:szCs w:val="28"/>
        </w:rPr>
        <w:t xml:space="preserve">日  期：</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60" w:lineRule="auto"/>
        <w:shd w:val="clear" w:color="auto" w:fill="ffffff"/>
        <w:widowControl/>
        <w:rPr>
          <w:sz w:val="24"/>
          <w:szCs w:val="24"/>
        </w:rPr>
      </w:pPr>
      <w:r>
        <w:rPr>
          <w:sz w:val="24"/>
          <w:szCs w:val="24"/>
        </w:rPr>
      </w:r>
      <w:r/>
    </w:p>
    <w:p>
      <w:pPr>
        <w:ind w:firstLine="480"/>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sz w:val="24"/>
          <w:szCs w:val="24"/>
        </w:rPr>
      </w:pPr>
      <w:r>
        <w:rPr>
          <w:rFonts w:hint="eastAsia"/>
          <w:sz w:val="24"/>
          <w:szCs w:val="24"/>
        </w:rPr>
        <w:t xml:space="preserve">2.按招标要求，我们的投标总报价为（大写）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p>
    <w:p>
      <w:pPr>
        <w:pStyle w:val="1221"/>
        <w:ind w:firstLine="480"/>
        <w:rPr>
          <w:sz w:val="24"/>
          <w:szCs w:val="24"/>
        </w:rPr>
      </w:pPr>
      <w:r>
        <w:rPr>
          <w:rFonts w:hint="eastAsia"/>
          <w:sz w:val="24"/>
          <w:szCs w:val="24"/>
        </w:rPr>
        <w:t xml:space="preserve">3.</w:t>
      </w:r>
      <w:r>
        <w:rPr>
          <w:sz w:val="24"/>
          <w:szCs w:val="24"/>
        </w:rPr>
        <w:t xml:space="preserve">合同履行期限：</w:t>
      </w:r>
      <w:r>
        <w:rPr>
          <w:rFonts w:hint="eastAsia"/>
          <w:sz w:val="24"/>
          <w:szCs w:val="24"/>
        </w:rPr>
        <w:t xml:space="preserve">合同签订之日起2年。</w:t>
      </w:r>
      <w:r/>
    </w:p>
    <w:p>
      <w:pPr>
        <w:ind w:firstLine="480"/>
        <w:spacing w:line="360" w:lineRule="auto"/>
        <w:shd w:val="clear" w:color="auto" w:fill="ffffff"/>
        <w:widowControl/>
        <w:rPr>
          <w:sz w:val="24"/>
          <w:szCs w:val="24"/>
        </w:rPr>
      </w:pPr>
      <w:r>
        <w:rPr>
          <w:rFonts w:hint="eastAsia"/>
          <w:sz w:val="24"/>
          <w:szCs w:val="24"/>
        </w:rPr>
        <w:t xml:space="preserve">4.我们已详细审核全部招标文件及其有效补充文件。</w:t>
      </w:r>
      <w:r/>
    </w:p>
    <w:p>
      <w:pPr>
        <w:ind w:firstLine="480"/>
        <w:spacing w:line="360" w:lineRule="auto"/>
        <w:shd w:val="clear" w:color="auto" w:fill="ffffff"/>
        <w:widowControl/>
        <w:rPr>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sz w:val="24"/>
          <w:szCs w:val="24"/>
        </w:rPr>
      </w:pPr>
      <w:r>
        <w:rPr>
          <w:rFonts w:hint="eastAsia"/>
          <w:sz w:val="24"/>
          <w:szCs w:val="24"/>
        </w:rPr>
        <w:t xml:space="preserve">6.一旦我方中标，</w:t>
      </w:r>
      <w:r>
        <w:rPr>
          <w:sz w:val="24"/>
          <w:szCs w:val="24"/>
        </w:rPr>
        <w:t xml:space="preserve">我方将根据招标文件的规定严格履行合同，并保证于承诺的时间内完成本项目规定的服务内容。</w:t>
      </w:r>
      <w:r/>
    </w:p>
    <w:p>
      <w:pPr>
        <w:ind w:firstLine="480"/>
        <w:spacing w:line="360" w:lineRule="auto"/>
        <w:shd w:val="clear" w:color="auto" w:fill="ffffff"/>
        <w:widowControl/>
        <w:rPr>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sz w:val="24"/>
          <w:szCs w:val="24"/>
        </w:rPr>
      </w:pPr>
      <w:r>
        <w:rPr>
          <w:rFonts w:hint="eastAsia"/>
          <w:sz w:val="24"/>
          <w:szCs w:val="24"/>
        </w:rPr>
        <w:t xml:space="preserve">8.与本投标有关的正式联系方式为：</w:t>
      </w:r>
      <w:r/>
    </w:p>
    <w:p>
      <w:pPr>
        <w:ind w:firstLine="480"/>
        <w:spacing w:line="360"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开户银行：</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银行账号：</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sz w:val="32"/>
          <w:szCs w:val="32"/>
        </w:rPr>
      </w:pPr>
      <w:r>
        <w:rPr>
          <w:bCs/>
          <w:sz w:val="24"/>
        </w:rPr>
        <w:br w:type="page" w:clear="all"/>
      </w:r>
      <w:r>
        <w:rPr>
          <w:rFonts w:hint="eastAsia"/>
          <w:b/>
          <w:bCs/>
          <w:sz w:val="32"/>
          <w:szCs w:val="32"/>
        </w:rPr>
        <w:t xml:space="preserve">二、开标一览表</w:t>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合同履行期限</w:t>
            </w:r>
            <w:r/>
          </w:p>
        </w:tc>
        <w:tc>
          <w:tcPr>
            <w:tcMar>
              <w:left w:w="108" w:type="dxa"/>
              <w:top w:w="0" w:type="dxa"/>
              <w:right w:w="108" w:type="dxa"/>
              <w:bottom w:w="0" w:type="dxa"/>
            </w:tcMar>
            <w:tcW w:w="5673" w:type="dxa"/>
            <w:vAlign w:val="center"/>
            <w:textDirection w:val="lrTb"/>
            <w:noWrap w:val="false"/>
          </w:tcPr>
          <w:p>
            <w:pPr>
              <w:pStyle w:val="1221"/>
              <w:rPr>
                <w:sz w:val="24"/>
                <w:szCs w:val="24"/>
              </w:rPr>
            </w:pPr>
            <w:r>
              <w:rPr>
                <w:rFonts w:hint="eastAsia"/>
                <w:sz w:val="24"/>
                <w:szCs w:val="24"/>
              </w:rPr>
              <w:t xml:space="preserve">合同签订之日起2年</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投标有效期</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rFonts w:hint="eastAsia"/>
                <w:sz w:val="24"/>
                <w:szCs w:val="24"/>
              </w:rPr>
              <w:t xml:space="preserve">投标截止之日起90日历天</w:t>
            </w:r>
            <w:r/>
          </w:p>
        </w:tc>
      </w:tr>
      <w:tr>
        <w:trPr>
          <w:cantSplit/>
          <w:trHeight w:val="1031"/>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服务质量要求</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rFonts w:hint="eastAsia"/>
                <w:sz w:val="24"/>
                <w:szCs w:val="24"/>
              </w:rPr>
              <w:t xml:space="preserve">满足采购人使用要求</w:t>
            </w:r>
            <w:r/>
          </w:p>
        </w:tc>
      </w:tr>
    </w:tbl>
    <w:p>
      <w:pPr>
        <w:ind w:firstLine="480"/>
        <w:jc w:val="left"/>
        <w:spacing w:line="360" w:lineRule="auto"/>
        <w:shd w:val="clear" w:color="auto" w:fill="ffffff"/>
        <w:widowControl/>
        <w:rPr>
          <w:sz w:val="24"/>
          <w:szCs w:val="24"/>
        </w:rPr>
      </w:pPr>
      <w:r>
        <w:rPr>
          <w:rFonts w:hint="eastAsia"/>
          <w:sz w:val="24"/>
          <w:szCs w:val="24"/>
        </w:rPr>
        <w:t xml:space="preserve">说明：</w:t>
      </w:r>
      <w:r/>
    </w:p>
    <w:p>
      <w:pPr>
        <w:ind w:firstLine="480"/>
        <w:jc w:val="left"/>
        <w:spacing w:line="360" w:lineRule="auto"/>
        <w:shd w:val="clear" w:color="auto" w:fill="ffffff"/>
        <w:widowControl/>
        <w:rPr>
          <w:sz w:val="24"/>
          <w:szCs w:val="24"/>
        </w:rPr>
      </w:pPr>
      <w:r>
        <w:rPr>
          <w:rFonts w:hint="eastAsia"/>
          <w:sz w:val="24"/>
          <w:szCs w:val="24"/>
        </w:rPr>
        <w:t xml:space="preserve">1.本项目仅接受一个价格，不得填报有选择性报价方案或提供单独提交的报价函。若有优惠条款须注明，但不得影响报价，影响产品整体功能。</w:t>
      </w:r>
      <w:r/>
    </w:p>
    <w:p>
      <w:pPr>
        <w:pStyle w:val="834"/>
        <w:ind w:left="0" w:firstLine="480"/>
        <w:spacing w:line="360" w:lineRule="auto"/>
      </w:pPr>
      <w:r>
        <w:rPr>
          <w:rFonts w:hint="eastAsia" w:ascii="宋体" w:hAnsi="宋体" w:eastAsia="宋体" w:cs="宋体"/>
          <w:sz w:val="24"/>
          <w:szCs w:val="24"/>
        </w:rPr>
        <w:t xml:space="preserve">2.</w:t>
      </w:r>
      <w:r>
        <w:rPr>
          <w:rFonts w:ascii="宋体" w:hAnsi="宋体" w:eastAsia="宋体" w:cs="宋体"/>
          <w:sz w:val="24"/>
          <w:szCs w:val="24"/>
        </w:rPr>
        <w:t xml:space="preserve">投标人报价超过最高限价的，按无效投标处理。</w:t>
      </w:r>
      <w:r/>
    </w:p>
    <w:p>
      <w:pPr>
        <w:ind w:firstLine="420"/>
        <w:jc w:val="cente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1701" w:equalWidth="1"/>
          <w:docGrid w:linePitch="360"/>
        </w:sectPr>
      </w:pPr>
      <w:r/>
      <w:r/>
    </w:p>
    <w:p>
      <w:pPr>
        <w:ind w:firstLine="0"/>
        <w:jc w:val="center"/>
        <w:spacing w:line="360" w:lineRule="auto"/>
        <w:shd w:val="clear" w:color="auto" w:fill="ffffff"/>
        <w:widowControl/>
        <w:rPr>
          <w:b/>
          <w:bCs/>
          <w:sz w:val="32"/>
          <w:szCs w:val="32"/>
        </w:rPr>
      </w:pPr>
      <w:r/>
      <w:bookmarkStart w:id="4" w:name="_Toc31557"/>
      <w:r/>
      <w:bookmarkStart w:id="5" w:name="_Toc487"/>
      <w:r/>
      <w:bookmarkStart w:id="6" w:name="_Toc433810998"/>
      <w:r/>
      <w:bookmarkStart w:id="7" w:name="_Toc416005133"/>
      <w:r/>
      <w:bookmarkStart w:id="8" w:name="_Toc452140310"/>
      <w:r>
        <w:rPr>
          <w:rFonts w:hint="eastAsia"/>
          <w:b/>
          <w:bCs/>
          <w:sz w:val="32"/>
          <w:szCs w:val="32"/>
        </w:rPr>
        <w:t xml:space="preserve">三、细目报价表</w:t>
      </w:r>
      <w:r/>
    </w:p>
    <w:p>
      <w:pPr>
        <w:ind w:firstLine="480"/>
        <w:spacing w:before="100" w:beforeAutospacing="1" w:after="100" w:afterAutospacing="1" w:line="360" w:lineRule="auto"/>
        <w:shd w:val="clear" w:color="auto" w:fill="ffffff"/>
        <w:widowControl/>
        <w:rPr>
          <w:rFonts w:hint="eastAsia" w:ascii="_9ed1_4f53" w:hAnsi="_9ed1_4f53"/>
          <w:sz w:val="24"/>
          <w:szCs w:val="24"/>
          <w:u w:val="single"/>
        </w:rPr>
      </w:pPr>
      <w:r>
        <w:rPr>
          <w:rFonts w:hint="eastAsia" w:ascii="_9ed1_4f53" w:hAnsi="_9ed1_4f53"/>
          <w:sz w:val="24"/>
          <w:szCs w:val="24"/>
        </w:rPr>
        <w:t xml:space="preserve">供应商名称：（盖章）</w:t>
      </w:r>
      <w:r/>
    </w:p>
    <w:p>
      <w:pPr>
        <w:ind w:firstLine="480"/>
        <w:jc w:val="left"/>
        <w:spacing w:before="100" w:beforeAutospacing="1" w:after="100" w:afterAutospacing="1" w:line="360" w:lineRule="auto"/>
        <w:shd w:val="clear" w:color="auto" w:fill="ffffff"/>
        <w:widowControl/>
        <w:rPr>
          <w:rFonts w:hint="eastAsia" w:ascii="_9ed1_4f53" w:hAnsi="_9ed1_4f53"/>
          <w:sz w:val="24"/>
          <w:szCs w:val="24"/>
        </w:rPr>
      </w:pPr>
      <w:r>
        <w:rPr>
          <w:rFonts w:hint="eastAsia" w:ascii="_9ed1_4f53" w:hAnsi="_9ed1_4f53"/>
          <w:sz w:val="24"/>
          <w:szCs w:val="24"/>
        </w:rPr>
        <w:t xml:space="preserve">项目名称：</w:t>
      </w:r>
      <w:r/>
    </w:p>
    <w:tbl>
      <w:tblPr>
        <w:tblW w:w="0" w:type="auto"/>
        <w:jc w:val="center"/>
        <w:tblLayout w:type="fixed"/>
        <w:tblLook w:val="04A0" w:firstRow="1" w:lastRow="0" w:firstColumn="1" w:lastColumn="0" w:noHBand="0" w:noVBand="1"/>
      </w:tblPr>
      <w:tblGrid>
        <w:gridCol w:w="457"/>
        <w:gridCol w:w="785"/>
        <w:gridCol w:w="1447"/>
        <w:gridCol w:w="538"/>
        <w:gridCol w:w="855"/>
        <w:gridCol w:w="457"/>
        <w:gridCol w:w="672"/>
        <w:gridCol w:w="709"/>
        <w:gridCol w:w="2696"/>
      </w:tblGrid>
      <w:tr>
        <w:trPr>
          <w:jc w:val="center"/>
          <w:trHeight w:val="67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设备型号</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序列号</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保修类型</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年限</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firstLine="0"/>
              <w:jc w:val="center"/>
              <w:widowControl/>
              <w:rPr>
                <w:b/>
                <w:bCs/>
                <w:color w:val="000000"/>
                <w:sz w:val="24"/>
                <w:szCs w:val="24"/>
                <w:lang w:bidi="ar"/>
              </w:rPr>
            </w:pPr>
            <w:r>
              <w:rPr>
                <w:rFonts w:hint="eastAsia"/>
                <w:b/>
                <w:bCs/>
                <w:color w:val="000000"/>
                <w:sz w:val="24"/>
                <w:szCs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widowControl/>
              <w:rPr>
                <w:b/>
                <w:bCs/>
                <w:color w:val="000000"/>
                <w:sz w:val="24"/>
                <w:szCs w:val="24"/>
                <w:lang w:bidi="ar"/>
              </w:rPr>
            </w:pPr>
            <w:r>
              <w:rPr>
                <w:rFonts w:hint="eastAsia"/>
                <w:b/>
                <w:bCs/>
                <w:color w:val="000000"/>
                <w:sz w:val="24"/>
                <w:szCs w:val="24"/>
                <w:lang w:bidi="ar"/>
              </w:rPr>
              <w:t xml:space="preserve">合价</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jc w:val="center"/>
              <w:widowControl/>
              <w:rPr>
                <w:b/>
                <w:bCs/>
                <w:color w:val="000000"/>
                <w:sz w:val="24"/>
                <w:szCs w:val="24"/>
              </w:rPr>
            </w:pPr>
            <w:r>
              <w:rPr>
                <w:b/>
                <w:bCs/>
                <w:color w:val="000000"/>
                <w:sz w:val="24"/>
                <w:szCs w:val="24"/>
                <w:lang w:bidi="ar"/>
              </w:rPr>
              <w:t xml:space="preserve">备注</w:t>
            </w:r>
            <w:r/>
          </w:p>
        </w:tc>
      </w:tr>
      <w:tr>
        <w:trPr>
          <w:jc w:val="center"/>
          <w:trHeight w:val="11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3.0T磁共振</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MAGNETOM Skyra</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45513</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包含主机所有部件和人工，含备件、磁体、冷头、线圈、液氦、工作站、系统及软件更新、水冷机等。含高压注射器、所有后处理工作站。每年4次预防性维护。</w:t>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64排CT</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SOMATOM go.Top</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165789</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包含主机所有部件及人工，含球管，探测器、高压油箱，每年4次预防性维护。</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胃肠机 </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Luminos Fusion FD</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40002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包含主机所有部件和人工，每年4次预防性维护。</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小C臂</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ARCADIS Avantic Gen2</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35222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包含主机所有部件及人工，含球管和影增等，每年4次预防性维护。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骨科</w:t>
            </w:r>
            <w:r>
              <w:rPr>
                <w:rFonts w:cs="Calibri"/>
                <w:color w:val="000000"/>
                <w:sz w:val="24"/>
                <w:szCs w:val="24"/>
                <w:lang w:bidi="ar"/>
              </w:rPr>
              <w:t xml:space="preserve">C</w:t>
            </w:r>
            <w:r>
              <w:rPr>
                <w:color w:val="000000"/>
                <w:sz w:val="24"/>
                <w:szCs w:val="24"/>
                <w:lang w:bidi="ar"/>
              </w:rPr>
              <w:t xml:space="preserve">臂</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rFonts w:cs="Calibri"/>
                <w:color w:val="000000"/>
                <w:sz w:val="24"/>
                <w:szCs w:val="24"/>
              </w:rPr>
            </w:pPr>
            <w:r>
              <w:rPr>
                <w:rFonts w:cs="Calibri"/>
                <w:color w:val="000000"/>
                <w:sz w:val="24"/>
                <w:szCs w:val="24"/>
                <w:lang w:bidi="ar"/>
              </w:rPr>
              <w:t xml:space="preserve">Cios Connect</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21206</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包含主机所有部件及人工，含球管和影增等，每年4次预防性维护。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DR</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Multix Fusion Digital</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20021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包含主机所有部件和人工，含球管和平板等，每年4次预防性维护。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lang w:bidi="ar"/>
              </w:rPr>
            </w:pPr>
            <w:r>
              <w:rPr>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MOBILETT XP Digital</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3246</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包含主机所有部件和人工，含球管和影增，每年4次预防性维护。</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MOBILETT Mira Max</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3067</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包含主机所有部件和人工，含球管和影增，每年4次预防性维护。</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3.0T磁共振</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MAGNETOM Vida</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213747</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jc w:val="left"/>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jc w:val="left"/>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jc w:val="left"/>
              <w:widowControl/>
              <w:rPr>
                <w:color w:val="000000"/>
                <w:sz w:val="24"/>
                <w:szCs w:val="24"/>
              </w:rPr>
            </w:pPr>
            <w:r>
              <w:rPr>
                <w:color w:val="000000"/>
                <w:sz w:val="24"/>
                <w:szCs w:val="24"/>
                <w:lang w:bidi="ar"/>
              </w:rPr>
              <w:t xml:space="preserve">包含主机所有部件和人工，含磁体、线圈、梯度、冷却系统（冷头和</w:t>
            </w:r>
            <w:r>
              <w:rPr>
                <w:color w:val="000000"/>
                <w:sz w:val="24"/>
                <w:szCs w:val="24"/>
                <w:lang w:bidi="ar"/>
              </w:rPr>
              <w:t xml:space="preserve">液氦）、后处理工作站（含软件）以及其他整机所有硬件及软件，包括高压注射器、第三方水冷、精密空调等，每年2次预防性维护。</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DSA</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ARTIS pheno</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164112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包含主机所有部件和人工，含球管、平板探测器、高压油箱、工作站等，每年4次预防性维护。</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骨科</w:t>
            </w:r>
            <w:r>
              <w:rPr>
                <w:rFonts w:cs="Calibri"/>
                <w:color w:val="000000"/>
                <w:sz w:val="24"/>
                <w:szCs w:val="24"/>
                <w:lang w:bidi="ar"/>
              </w:rPr>
              <w:t xml:space="preserve">C</w:t>
            </w:r>
            <w:r>
              <w:rPr>
                <w:color w:val="000000"/>
                <w:sz w:val="24"/>
                <w:szCs w:val="24"/>
                <w:lang w:bidi="ar"/>
              </w:rPr>
              <w:t xml:space="preserve">臂</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rFonts w:cs="Calibri"/>
                <w:color w:val="000000"/>
                <w:sz w:val="24"/>
                <w:szCs w:val="24"/>
              </w:rPr>
            </w:pPr>
            <w:r>
              <w:rPr>
                <w:rFonts w:cs="Calibri"/>
                <w:color w:val="000000"/>
                <w:sz w:val="24"/>
                <w:szCs w:val="24"/>
                <w:lang w:bidi="ar"/>
              </w:rPr>
              <w:t xml:space="preserve">Cios Connect</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21305</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174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乳腺机</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MAMMOMAT Inspiration</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8187</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常规备件+保养+人工，不含球管和平板，每年2次预防性维护。</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小C臂</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ARCADIS Varic Gen2</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18552</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碎石机</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MODULARIS Variostar</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7018</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胃肠机</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Luminos dRF Max</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5864</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常规备件+保养+人工，不含球管和平板，每年2次预防性维护。</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ind w:firstLine="0"/>
              <w:jc w:val="center"/>
              <w:widowControl/>
              <w:rPr>
                <w:color w:val="000000"/>
                <w:sz w:val="24"/>
                <w:szCs w:val="24"/>
              </w:rPr>
            </w:pPr>
            <w:r>
              <w:rPr>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widowControl/>
              <w:rPr>
                <w:color w:val="000000"/>
                <w:sz w:val="24"/>
                <w:szCs w:val="24"/>
              </w:rPr>
            </w:pPr>
            <w:r>
              <w:rPr>
                <w:color w:val="000000"/>
                <w:sz w:val="24"/>
                <w:szCs w:val="24"/>
                <w:lang w:bidi="ar"/>
              </w:rPr>
              <w:t xml:space="preserve">移动DR</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firstLine="0"/>
              <w:jc w:val="center"/>
              <w:widowControl/>
              <w:rPr>
                <w:color w:val="000000"/>
                <w:sz w:val="24"/>
                <w:szCs w:val="24"/>
              </w:rPr>
            </w:pPr>
            <w:r>
              <w:rPr>
                <w:color w:val="000000"/>
                <w:sz w:val="24"/>
                <w:szCs w:val="24"/>
                <w:lang w:bidi="ar"/>
              </w:rPr>
              <w:t xml:space="preserve">MOBILETT Mira (wireless)</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widowControl/>
              <w:rPr>
                <w:color w:val="000000"/>
                <w:sz w:val="24"/>
                <w:szCs w:val="24"/>
              </w:rPr>
            </w:pPr>
            <w:r>
              <w:rPr>
                <w:color w:val="000000"/>
                <w:sz w:val="24"/>
                <w:szCs w:val="24"/>
                <w:lang w:bidi="ar"/>
              </w:rPr>
              <w:t xml:space="preserve">1627</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widowControl/>
              <w:rPr>
                <w:color w:val="000000"/>
                <w:sz w:val="24"/>
                <w:szCs w:val="24"/>
              </w:rPr>
            </w:pPr>
            <w:r>
              <w:rPr>
                <w:color w:val="000000"/>
                <w:sz w:val="24"/>
                <w:szCs w:val="24"/>
                <w:lang w:bidi="ar"/>
              </w:rPr>
              <w:t xml:space="preserve">部分全保</w:t>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widowControl/>
              <w:rPr>
                <w:color w:val="000000"/>
                <w:sz w:val="24"/>
                <w:szCs w:val="24"/>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72"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0"/>
              <w:widowControl/>
              <w:rPr>
                <w:color w:val="000000"/>
                <w:sz w:val="24"/>
                <w:szCs w:val="24"/>
                <w:lang w:bidi="ar"/>
              </w:rPr>
            </w:pPr>
            <w:r>
              <w:rPr>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ind w:firstLine="0"/>
              <w:widowControl/>
              <w:rPr>
                <w:color w:val="000000"/>
                <w:sz w:val="24"/>
                <w:szCs w:val="24"/>
              </w:rPr>
            </w:pPr>
            <w:r>
              <w:rPr>
                <w:color w:val="000000"/>
                <w:sz w:val="24"/>
                <w:szCs w:val="24"/>
                <w:lang w:bidi="ar"/>
              </w:rPr>
              <w:t xml:space="preserve">常规备件+保养+人工，不含球管和影增，每年2次预防性维护。</w:t>
            </w:r>
            <w:r/>
          </w:p>
        </w:tc>
      </w:tr>
      <w:tr>
        <w:trPr>
          <w:jc w:val="center"/>
          <w:trHeight w:val="720"/>
        </w:trPr>
        <w:tc>
          <w:tcPr>
            <w:gridSpan w:val="3"/>
            <w:tcBorders>
              <w:top w:val="single" w:color="000000" w:sz="4" w:space="0"/>
              <w:left w:val="single" w:color="000000" w:sz="4" w:space="0"/>
              <w:bottom w:val="single" w:color="000000" w:sz="4" w:space="0"/>
              <w:right w:val="single" w:color="000000" w:sz="4" w:space="0"/>
            </w:tcBorders>
            <w:tcW w:w="2689" w:type="dxa"/>
            <w:vAlign w:val="center"/>
            <w:textDirection w:val="lrTb"/>
            <w:noWrap/>
          </w:tcPr>
          <w:p>
            <w:pPr>
              <w:ind w:firstLine="0"/>
              <w:jc w:val="center"/>
              <w:widowControl/>
              <w:rPr>
                <w:color w:val="000000"/>
                <w:sz w:val="24"/>
                <w:szCs w:val="24"/>
                <w:lang w:bidi="ar"/>
              </w:rPr>
            </w:pPr>
            <w:r>
              <w:rPr>
                <w:rFonts w:hint="eastAsia"/>
                <w:color w:val="000000"/>
                <w:sz w:val="24"/>
                <w:szCs w:val="24"/>
                <w:lang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5927" w:type="dxa"/>
            <w:vAlign w:val="center"/>
            <w:textDirection w:val="lrTb"/>
            <w:noWrap w:val="false"/>
          </w:tcPr>
          <w:p>
            <w:pPr>
              <w:ind w:firstLine="0"/>
              <w:widowControl/>
              <w:rPr>
                <w:color w:val="000000"/>
                <w:sz w:val="24"/>
                <w:szCs w:val="24"/>
                <w:lang w:bidi="ar"/>
              </w:rPr>
            </w:pPr>
            <w:r>
              <w:rPr>
                <w:color w:val="000000"/>
                <w:sz w:val="24"/>
                <w:szCs w:val="24"/>
                <w:lang w:bidi="ar"/>
              </w:rPr>
            </w:r>
            <w:r/>
          </w:p>
        </w:tc>
      </w:tr>
    </w:tbl>
    <w:p>
      <w:pPr>
        <w:ind w:firstLine="480"/>
        <w:spacing w:line="400" w:lineRule="exact"/>
        <w:rPr>
          <w:rFonts w:hint="eastAsia" w:ascii="_9ed1_4f53" w:hAnsi="_9ed1_4f53"/>
          <w:sz w:val="24"/>
          <w:szCs w:val="24"/>
        </w:rPr>
        <w:outlineLvl w:val="0"/>
      </w:pPr>
      <w:r>
        <w:rPr>
          <w:rFonts w:hint="eastAsia" w:ascii="_9ed1_4f53" w:hAnsi="_9ed1_4f53"/>
          <w:sz w:val="24"/>
          <w:szCs w:val="24"/>
        </w:rPr>
        <w:t xml:space="preserve">注：供应商应当根据“</w:t>
      </w:r>
      <w:r>
        <w:rPr>
          <w:rFonts w:hint="eastAsia" w:ascii="_9ed1_4f53" w:hAnsi="_9ed1_4f53"/>
          <w:sz w:val="24"/>
        </w:rPr>
        <w:t xml:space="preserve">项目需求</w:t>
      </w:r>
      <w:r>
        <w:rPr>
          <w:rFonts w:hint="eastAsia" w:ascii="_9ed1_4f53" w:hAnsi="_9ed1_4f53"/>
          <w:sz w:val="24"/>
          <w:szCs w:val="24"/>
        </w:rPr>
        <w:t xml:space="preserve">”的内容在上表中详细填写；</w:t>
      </w:r>
      <w:r/>
    </w:p>
    <w:p>
      <w:pPr>
        <w:ind w:firstLine="480"/>
        <w:jc w:val="left"/>
        <w:spacing w:line="360" w:lineRule="auto"/>
        <w:shd w:val="clear" w:color="auto" w:fill="ffffff"/>
        <w:widowControl/>
        <w:rPr>
          <w:rFonts w:hint="eastAsia" w:ascii="_5b8b_4f53" w:hAnsi="_5b8b_4f53"/>
          <w:sz w:val="24"/>
          <w:szCs w:val="24"/>
        </w:rPr>
      </w:pPr>
      <w:r>
        <w:rPr>
          <w:rFonts w:hint="eastAsia" w:ascii="_5b8b_4f53" w:hAnsi="_5b8b_4f53"/>
          <w:sz w:val="24"/>
          <w:szCs w:val="24"/>
        </w:rPr>
      </w:r>
      <w:r/>
    </w:p>
    <w:p>
      <w:pPr>
        <w:ind w:firstLine="480"/>
        <w:jc w:val="left"/>
        <w:spacing w:line="360" w:lineRule="auto"/>
        <w:shd w:val="clear" w:color="auto" w:fill="ffffff"/>
        <w:widowControl/>
        <w:rPr>
          <w:rFonts w:hint="eastAsia" w:ascii="_9ed1_4f53" w:hAnsi="_9ed1_4f53"/>
          <w:sz w:val="24"/>
          <w:szCs w:val="24"/>
        </w:rPr>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法定代表人或授权代表签字：</w:t>
      </w:r>
      <w:r/>
    </w:p>
    <w:p>
      <w:pPr>
        <w:ind w:firstLine="480"/>
        <w:jc w:val="left"/>
        <w:spacing w:line="240" w:lineRule="atLeast"/>
        <w:widowControl/>
        <w:rPr>
          <w:sz w:val="24"/>
          <w:szCs w:val="24"/>
          <w:lang w:val="zh-CN"/>
        </w:rPr>
      </w:pPr>
      <w:r>
        <w:rPr>
          <w:rFonts w:ascii="_9ed1_4f53" w:hAnsi="_9ed1_4f53"/>
          <w:sz w:val="24"/>
          <w:szCs w:val="24"/>
        </w:rPr>
        <w:t xml:space="preserve">                                                         </w:t>
      </w:r>
      <w:r>
        <w:rPr>
          <w:rFonts w:hint="eastAsia" w:ascii="_9ed1_4f53" w:hAnsi="_9ed1_4f53"/>
          <w:sz w:val="24"/>
          <w:szCs w:val="24"/>
        </w:rPr>
        <w:t xml:space="preserve">日期：</w:t>
      </w:r>
      <w:r/>
    </w:p>
    <w:p>
      <w:pPr>
        <w:ind w:firstLine="480"/>
        <w:spacing w:before="100" w:beforeAutospacing="1" w:after="100" w:afterAutospacing="1" w:line="400" w:lineRule="atLeast"/>
        <w:shd w:val="clear" w:color="auto" w:fill="ffffff"/>
        <w:widowControl/>
        <w:rPr>
          <w:sz w:val="24"/>
          <w:szCs w:val="24"/>
        </w:rPr>
      </w:pPr>
      <w:r>
        <w:rPr>
          <w:sz w:val="24"/>
          <w:szCs w:val="24"/>
        </w:rPr>
      </w:r>
      <w:r/>
    </w:p>
    <w:p>
      <w:pPr>
        <w:ind w:firstLine="0"/>
        <w:jc w:val="center"/>
        <w:spacing w:line="360" w:lineRule="auto"/>
        <w:shd w:val="clear" w:color="auto" w:fill="ffffff"/>
        <w:widowControl/>
        <w:rPr>
          <w:b/>
          <w:bCs/>
          <w:sz w:val="32"/>
          <w:szCs w:val="32"/>
        </w:rPr>
      </w:pPr>
      <w:r>
        <w:rPr>
          <w:b/>
          <w:bCs/>
          <w:sz w:val="32"/>
          <w:szCs w:val="32"/>
        </w:rPr>
        <w:br w:type="page" w:clear="all"/>
      </w:r>
      <w:r>
        <w:rPr>
          <w:rFonts w:hint="eastAsia"/>
          <w:b/>
          <w:bCs/>
          <w:sz w:val="32"/>
          <w:szCs w:val="32"/>
        </w:rPr>
        <w:t xml:space="preserve">四、供应商资格证明文件</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1）关于资格的声明函（格式见附件）；</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2）供应商营业执照或事业单位或其他组织法人证书或经相关部门登记的证明文件扫描件并加盖供应商公章；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3）供应商有效期内辐射安全许可证原件扫描件加盖供应商公章；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4）供应商须根据服务的医疗器械类别，提供有效的《医疗器械经营企业许可证》或者《医疗器械经营备案凭证》；</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5）供应商法定代表人授权委托书（法定代表人亲自参与投标的除外，格式见附件）；</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6）供应商法定代表人身份证扫描件及法定代表人授权代表身份证扫描件加盖公章；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7）供应商近六个月中任意一个月份（不含投标当月）的财务状况报告（资产负债表和利润表）扫描件加盖公章或经审计的2025年度的财务报告扫描件加盖公章；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8）供应商近六个月中任意一个月份（不含投标当月）的依法缴纳税收的相关材料（提供相关主管部门证明或银行代扣证明）扫描件加盖公章；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9）供应商近六个月中任意一个月份（不含投标当月）的依法缴纳社会保障资金的相关材料（提供相关主管部门证明或银行代扣证明）扫描件加盖公章；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rPr>
          <w:rFonts w:cs="Times New Roman"/>
          <w:bCs/>
          <w:sz w:val="24"/>
          <w:szCs w:val="24"/>
        </w:rPr>
      </w:pPr>
      <w:r>
        <w:rPr>
          <w:rFonts w:hint="eastAsia" w:cs="Times New Roman"/>
          <w:bCs/>
          <w:sz w:val="24"/>
          <w:szCs w:val="24"/>
        </w:rPr>
        <w:t xml:space="preserve">10）被授权代表社保缴纳证明（提供由投标供应商为其依法缴纳的近六个月中任意一个月份（不含投标当月）的社保缴纳证明扫描件并加盖公章（法定代表人亲自参加投标的除外）；</w:t>
      </w:r>
      <w:r/>
    </w:p>
    <w:p>
      <w:pPr>
        <w:ind w:firstLine="480"/>
        <w:jc w:val="left"/>
        <w:spacing w:line="360" w:lineRule="auto"/>
        <w:shd w:val="clear" w:color="auto" w:fill="ffffff"/>
        <w:rPr>
          <w:color w:val="000000"/>
          <w:sz w:val="24"/>
          <w:szCs w:val="24"/>
        </w:rPr>
      </w:pPr>
      <w:r>
        <w:rPr>
          <w:rFonts w:hint="eastAsia" w:cs="Times New Roman"/>
          <w:bCs/>
          <w:sz w:val="24"/>
          <w:szCs w:val="24"/>
        </w:rPr>
        <w:t xml:space="preserve">11）承诺书（格式见附件）。</w:t>
      </w:r>
      <w:r/>
    </w:p>
    <w:p>
      <w:pPr>
        <w:ind w:firstLine="0"/>
        <w:jc w:val="center"/>
        <w:spacing w:line="360" w:lineRule="auto"/>
        <w:shd w:val="clear" w:color="auto" w:fill="ffffff"/>
        <w:widowControl/>
        <w:rPr>
          <w:b/>
          <w:sz w:val="28"/>
          <w:szCs w:val="28"/>
        </w:rPr>
      </w:pPr>
      <w:r>
        <w:rPr>
          <w:rFonts w:hint="eastAsia"/>
          <w:b/>
          <w:sz w:val="24"/>
        </w:rPr>
        <w:br w:type="page" w:clear="all"/>
      </w:r>
      <w:r>
        <w:rPr>
          <w:rFonts w:hint="eastAsia"/>
          <w:b/>
          <w:sz w:val="24"/>
        </w:rPr>
        <w:t xml:space="preserve">格式一、关于资格的声明函</w:t>
      </w:r>
      <w:r/>
    </w:p>
    <w:p>
      <w:pPr>
        <w:ind w:firstLine="480"/>
        <w:spacing w:line="480" w:lineRule="auto"/>
        <w:rPr>
          <w:bCs/>
          <w:sz w:val="24"/>
          <w:szCs w:val="20"/>
        </w:rPr>
      </w:pPr>
      <w:r>
        <w:rPr>
          <w:bCs/>
          <w:sz w:val="24"/>
          <w:szCs w:val="20"/>
        </w:rPr>
      </w:r>
      <w:r/>
    </w:p>
    <w:p>
      <w:pPr>
        <w:ind w:firstLine="0"/>
        <w:spacing w:line="480" w:lineRule="auto"/>
        <w:rPr>
          <w:bCs/>
          <w:sz w:val="24"/>
        </w:rPr>
      </w:pPr>
      <w:r>
        <w:rPr>
          <w:rFonts w:hint="eastAsia"/>
          <w:bCs/>
          <w:sz w:val="24"/>
        </w:rPr>
        <w:t xml:space="preserve">江苏弘业国际技术工程有限公司：</w:t>
      </w:r>
      <w:r/>
    </w:p>
    <w:p>
      <w:pPr>
        <w:ind w:firstLine="480"/>
        <w:spacing w:line="360" w:lineRule="auto"/>
        <w:rPr>
          <w:bCs/>
          <w:sz w:val="24"/>
        </w:rPr>
      </w:pPr>
      <w:r>
        <w:rPr>
          <w:rFonts w:hint="eastAsia"/>
          <w:bCs/>
          <w:sz w:val="24"/>
        </w:rPr>
        <w:t xml:space="preserve">1.我单位在参加政府采购活动前三年内在生产经营活动中没有重大违法记录。</w:t>
      </w:r>
      <w:r/>
    </w:p>
    <w:p>
      <w:pPr>
        <w:ind w:firstLine="480"/>
        <w:spacing w:line="360" w:lineRule="auto"/>
        <w:rPr>
          <w:bCs/>
          <w:sz w:val="24"/>
        </w:rPr>
      </w:pPr>
      <w:r>
        <w:rPr>
          <w:rFonts w:hint="eastAsia"/>
          <w:bCs/>
          <w:sz w:val="24"/>
        </w:rPr>
        <w:t xml:space="preserve">2.我单位愿针对本次项目（</w:t>
      </w:r>
      <w:r>
        <w:rPr>
          <w:bCs/>
          <w:sz w:val="24"/>
        </w:rPr>
        <w:t xml:space="preserve">JSZC-320200-JSHY-G2026-0244</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bCs/>
          <w:sz w:val="24"/>
        </w:rPr>
      </w:pPr>
      <w:r>
        <w:rPr>
          <w:bCs/>
          <w:sz w:val="24"/>
        </w:rPr>
      </w:r>
      <w:r/>
    </w:p>
    <w:p>
      <w:pPr>
        <w:ind w:firstLine="480"/>
        <w:spacing w:line="480" w:lineRule="auto"/>
        <w:rPr>
          <w:bCs/>
          <w:sz w:val="24"/>
        </w:rPr>
      </w:pPr>
      <w:r>
        <w:rPr>
          <w:rFonts w:hint="eastAsia"/>
          <w:bCs/>
          <w:sz w:val="24"/>
        </w:rPr>
        <w:t xml:space="preserve">                              投标人（盖章）：</w:t>
      </w:r>
      <w:r/>
    </w:p>
    <w:p>
      <w:pPr>
        <w:ind w:firstLine="480"/>
        <w:spacing w:line="480" w:lineRule="auto"/>
        <w:rPr>
          <w:bCs/>
          <w:sz w:val="24"/>
        </w:rPr>
      </w:pPr>
      <w:r>
        <w:rPr>
          <w:rFonts w:hint="eastAsia"/>
          <w:bCs/>
          <w:sz w:val="24"/>
        </w:rPr>
        <w:t xml:space="preserve">                              法定代表人或被授权代表（签字或盖章）：</w:t>
      </w:r>
      <w:r/>
    </w:p>
    <w:p>
      <w:pPr>
        <w:ind w:firstLine="4080"/>
        <w:spacing w:line="360" w:lineRule="auto"/>
        <w:shd w:val="clear" w:color="auto" w:fill="ffffff"/>
        <w:widowControl/>
        <w:rPr>
          <w:bCs/>
          <w:sz w:val="24"/>
          <w:szCs w:val="20"/>
        </w:rPr>
      </w:pPr>
      <w:r>
        <w:rPr>
          <w:rFonts w:hint="eastAsia"/>
          <w:bCs/>
          <w:sz w:val="24"/>
        </w:rPr>
        <w:t xml:space="preserve">日期：</w:t>
      </w:r>
      <w:r/>
    </w:p>
    <w:p>
      <w:pPr>
        <w:ind w:firstLine="0"/>
        <w:jc w:val="center"/>
        <w:spacing w:line="360" w:lineRule="auto"/>
        <w:shd w:val="clear" w:color="auto" w:fill="ffffff"/>
        <w:widowControl/>
        <w:rPr>
          <w:sz w:val="32"/>
          <w:szCs w:val="32"/>
        </w:rPr>
      </w:pPr>
      <w:r>
        <w:rPr>
          <w:rFonts w:hint="eastAsia"/>
          <w:b/>
          <w:sz w:val="24"/>
          <w:szCs w:val="24"/>
        </w:rPr>
        <w:br w:type="page" w:clear="all"/>
      </w:r>
      <w:r>
        <w:rPr>
          <w:rFonts w:hint="eastAsia"/>
          <w:b/>
          <w:sz w:val="24"/>
          <w:szCs w:val="24"/>
        </w:rPr>
        <w:t xml:space="preserve">格式二：法定代表人授权委托书</w:t>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p>
    <w:p>
      <w:pPr>
        <w:ind w:firstLine="480"/>
        <w:jc w:val="left"/>
        <w:spacing w:line="360" w:lineRule="auto"/>
        <w:shd w:val="clear" w:color="auto" w:fill="ffffff"/>
        <w:widowControl/>
        <w:rPr>
          <w:sz w:val="24"/>
          <w:szCs w:val="24"/>
        </w:rPr>
      </w:pPr>
      <w:r>
        <w:rPr>
          <w:rFonts w:hint="eastAsia"/>
          <w:sz w:val="24"/>
          <w:szCs w:val="24"/>
        </w:rPr>
        <w:t xml:space="preserve">供应商名称（公章）：</w:t>
      </w:r>
      <w:r/>
    </w:p>
    <w:p>
      <w:pPr>
        <w:ind w:firstLine="480"/>
        <w:jc w:val="left"/>
        <w:spacing w:line="360" w:lineRule="auto"/>
        <w:shd w:val="clear" w:color="auto" w:fill="ffffff"/>
        <w:widowControl/>
        <w:rPr>
          <w:sz w:val="24"/>
          <w:szCs w:val="24"/>
        </w:rPr>
      </w:pPr>
      <w:r>
        <w:rPr>
          <w:rFonts w:hint="eastAsia"/>
          <w:sz w:val="24"/>
          <w:szCs w:val="24"/>
        </w:rPr>
        <w:t xml:space="preserve">法定代表人签字：</w:t>
      </w:r>
      <w:r/>
    </w:p>
    <w:p>
      <w:pPr>
        <w:ind w:firstLine="480"/>
        <w:jc w:val="left"/>
        <w:spacing w:line="360" w:lineRule="auto"/>
        <w:shd w:val="clear" w:color="auto" w:fill="ffffff"/>
        <w:widowControl/>
        <w:rPr>
          <w:sz w:val="24"/>
          <w:szCs w:val="24"/>
        </w:rPr>
      </w:pPr>
      <w:r>
        <w:rPr>
          <w:rFonts w:hint="eastAsia"/>
          <w:sz w:val="24"/>
          <w:szCs w:val="24"/>
        </w:rPr>
        <w:t xml:space="preserve">授权委托人签字：</w:t>
      </w:r>
      <w:r/>
    </w:p>
    <w:p>
      <w:pPr>
        <w:ind w:firstLine="480"/>
        <w:jc w:val="left"/>
        <w:spacing w:line="360" w:lineRule="auto"/>
        <w:shd w:val="clear" w:color="auto" w:fill="ffffff"/>
        <w:widowControl/>
        <w:rPr>
          <w:sz w:val="24"/>
          <w:szCs w:val="24"/>
        </w:rPr>
      </w:pPr>
      <w:r>
        <w:rPr>
          <w:rFonts w:hint="eastAsia"/>
          <w:sz w:val="24"/>
          <w:szCs w:val="24"/>
        </w:rPr>
        <w:t xml:space="preserve">日      期：  年 月 日</w:t>
      </w:r>
      <w:r/>
    </w:p>
    <w:p>
      <w:pPr>
        <w:ind w:firstLine="96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rFonts w:hint="eastAsia"/>
          <w:sz w:val="24"/>
          <w:szCs w:val="24"/>
        </w:rPr>
        <w:t xml:space="preserve">附：法定代表人身份证扫描件及法定代表人授权代表身份证扫描件</w:t>
      </w:r>
      <w:r/>
    </w:p>
    <w:p>
      <w:pPr>
        <w:pStyle w:val="849"/>
        <w:ind w:firstLine="420"/>
      </w:pPr>
      <w:r/>
      <w:r/>
    </w:p>
    <w:p>
      <w:pPr>
        <w:ind w:firstLine="0"/>
        <w:jc w:val="center"/>
        <w:spacing w:line="360" w:lineRule="auto"/>
        <w:shd w:val="clear" w:color="auto" w:fill="ffffff"/>
        <w:widowControl/>
        <w:rPr>
          <w:b/>
          <w:sz w:val="24"/>
          <w:szCs w:val="24"/>
        </w:rPr>
      </w:pPr>
      <w:r>
        <w:rPr>
          <w:b/>
          <w:sz w:val="24"/>
          <w:szCs w:val="24"/>
        </w:rPr>
        <w:br w:type="page" w:clear="all"/>
      </w:r>
      <w:r>
        <w:rPr>
          <w:rFonts w:hint="eastAsia"/>
          <w:b/>
          <w:sz w:val="24"/>
          <w:szCs w:val="24"/>
        </w:rPr>
        <w:t xml:space="preserve">格式三：承诺书</w:t>
      </w:r>
      <w:r/>
    </w:p>
    <w:p>
      <w:pPr>
        <w:pStyle w:val="833"/>
        <w:ind w:firstLine="482"/>
        <w:jc w:val="left"/>
        <w:rPr>
          <w:rFonts w:hAnsi="宋体" w:eastAsia="宋体"/>
          <w:b/>
          <w:bCs/>
          <w:sz w:val="24"/>
        </w:rPr>
      </w:pPr>
      <w:r>
        <w:rPr>
          <w:rFonts w:hAnsi="宋体" w:eastAsia="宋体"/>
          <w:b/>
          <w:bCs/>
          <w:sz w:val="24"/>
        </w:rPr>
      </w:r>
      <w:r/>
    </w:p>
    <w:p>
      <w:pPr>
        <w:pStyle w:val="833"/>
        <w:ind w:firstLine="482"/>
        <w:jc w:val="left"/>
        <w:rPr>
          <w:rFonts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218"/>
        <w:ind w:firstLine="480"/>
        <w:spacing w:line="360" w:lineRule="auto"/>
        <w:rPr>
          <w:sz w:val="24"/>
          <w:szCs w:val="24"/>
        </w:rPr>
      </w:pPr>
      <w:r>
        <w:rPr>
          <w:sz w:val="24"/>
          <w:szCs w:val="24"/>
        </w:rPr>
      </w:r>
      <w:r/>
    </w:p>
    <w:p>
      <w:pPr>
        <w:pStyle w:val="1218"/>
        <w:ind w:firstLine="480"/>
        <w:spacing w:line="360" w:lineRule="auto"/>
        <w:rPr>
          <w:sz w:val="24"/>
          <w:szCs w:val="24"/>
        </w:rPr>
      </w:pPr>
      <w:r>
        <w:rPr>
          <w:rFonts w:hint="eastAsia"/>
          <w:sz w:val="24"/>
          <w:szCs w:val="24"/>
        </w:rPr>
        <w:t xml:space="preserve">我司在此郑重承诺：</w:t>
      </w:r>
      <w:r/>
    </w:p>
    <w:p>
      <w:pPr>
        <w:pStyle w:val="1218"/>
        <w:ind w:firstLine="480"/>
        <w:spacing w:line="360" w:lineRule="auto"/>
        <w:rPr>
          <w:sz w:val="24"/>
          <w:szCs w:val="24"/>
        </w:rPr>
      </w:pPr>
      <w:r>
        <w:rPr>
          <w:sz w:val="24"/>
          <w:szCs w:val="24"/>
        </w:rPr>
        <w:t xml:space="preserve">1）我司没有处于被责令停业，投标资格被取消，财产被接管、冻结及破产状态。</w:t>
      </w:r>
      <w:r/>
    </w:p>
    <w:p>
      <w:pPr>
        <w:pStyle w:val="1218"/>
        <w:ind w:firstLine="480"/>
        <w:spacing w:line="360" w:lineRule="auto"/>
        <w:rPr>
          <w:sz w:val="24"/>
          <w:szCs w:val="24"/>
        </w:rPr>
      </w:pPr>
      <w:r>
        <w:rPr>
          <w:sz w:val="24"/>
          <w:szCs w:val="24"/>
        </w:rPr>
        <w:t xml:space="preserve">2）具备履行合同所必需的设备和专业技术能力；</w:t>
      </w:r>
      <w:r>
        <w:rPr>
          <w:b/>
          <w:bCs/>
          <w:sz w:val="24"/>
          <w:szCs w:val="24"/>
        </w:rPr>
        <w:t xml:space="preserve">[提供承诺书，格式自拟]</w:t>
      </w:r>
      <w:r/>
    </w:p>
    <w:p>
      <w:pPr>
        <w:pStyle w:val="1218"/>
        <w:ind w:firstLine="480"/>
        <w:spacing w:line="360" w:lineRule="auto"/>
        <w:rPr>
          <w:sz w:val="24"/>
          <w:szCs w:val="24"/>
        </w:rPr>
      </w:pPr>
      <w:r>
        <w:rPr>
          <w:sz w:val="24"/>
          <w:szCs w:val="24"/>
        </w:rPr>
        <w:t xml:space="preserve">3）参加招标活动前三年内，在经营活动中没有重大违法记录，遵守《中华人民共和国政府采购法》及其他相关的法律和法规；</w:t>
      </w:r>
      <w:r/>
    </w:p>
    <w:p>
      <w:pPr>
        <w:pStyle w:val="1218"/>
        <w:ind w:firstLine="480"/>
        <w:spacing w:line="360" w:lineRule="auto"/>
        <w:rPr>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218"/>
        <w:ind w:firstLine="480"/>
        <w:spacing w:line="360" w:lineRule="auto"/>
        <w:rPr>
          <w:sz w:val="24"/>
          <w:szCs w:val="24"/>
        </w:rPr>
      </w:pPr>
      <w:r>
        <w:rPr>
          <w:sz w:val="24"/>
          <w:szCs w:val="24"/>
        </w:rPr>
      </w:r>
      <w:r/>
    </w:p>
    <w:p>
      <w:pPr>
        <w:pStyle w:val="1218"/>
        <w:ind w:left="4328" w:firstLine="482"/>
        <w:spacing w:line="360" w:lineRule="auto"/>
        <w:rPr>
          <w:b/>
          <w:bCs/>
          <w:sz w:val="24"/>
          <w:szCs w:val="24"/>
        </w:rPr>
      </w:pPr>
      <w:r>
        <w:rPr>
          <w:b/>
          <w:bCs/>
          <w:sz w:val="24"/>
          <w:szCs w:val="24"/>
        </w:rPr>
      </w:r>
      <w:r/>
    </w:p>
    <w:p>
      <w:pPr>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228"/>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p>
    <w:p>
      <w:pPr>
        <w:pStyle w:val="1228"/>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p>
    <w:p>
      <w:pPr>
        <w:ind w:left="3840" w:firstLine="3360"/>
        <w:spacing w:line="240" w:lineRule="exact"/>
        <w:tabs>
          <w:tab w:val="left" w:pos="4760" w:leader="none"/>
          <w:tab w:val="left" w:pos="5720" w:leader="none"/>
        </w:tabs>
        <w:rPr>
          <w:sz w:val="24"/>
        </w:rPr>
      </w:pPr>
      <w:r>
        <w:rPr>
          <w:sz w:val="24"/>
        </w:rPr>
      </w:r>
      <w:r/>
    </w:p>
    <w:p>
      <w:pPr>
        <w:ind w:firstLine="0"/>
        <w:jc w:val="center"/>
        <w:spacing w:line="360" w:lineRule="auto"/>
        <w:shd w:val="clear" w:color="auto" w:fill="ffffff"/>
        <w:widowControl/>
      </w:pPr>
      <w:r>
        <w:rPr>
          <w:rFonts w:hint="eastAsia"/>
          <w:b/>
          <w:bCs/>
          <w:sz w:val="32"/>
          <w:szCs w:val="32"/>
        </w:rPr>
        <w:br w:type="page" w:clear="all"/>
      </w:r>
      <w:r>
        <w:rPr>
          <w:rFonts w:hint="eastAsia"/>
          <w:b/>
          <w:bCs/>
          <w:sz w:val="32"/>
          <w:szCs w:val="32"/>
        </w:rPr>
        <w:t xml:space="preserve">五、补充证明文件：</w:t>
      </w:r>
      <w:r/>
    </w:p>
    <w:p>
      <w:pPr>
        <w:ind w:firstLine="480"/>
        <w:spacing w:line="360" w:lineRule="auto"/>
        <w:rPr>
          <w:rFonts w:cs="Times New Roman"/>
          <w:bCs/>
          <w:sz w:val="24"/>
          <w:szCs w:val="24"/>
        </w:rPr>
      </w:pPr>
      <w:r>
        <w:rPr>
          <w:rFonts w:cs="Times New Roman"/>
          <w:bCs/>
          <w:sz w:val="24"/>
          <w:szCs w:val="24"/>
        </w:rPr>
      </w:r>
      <w:r/>
    </w:p>
    <w:p>
      <w:pPr>
        <w:ind w:firstLine="480"/>
        <w:spacing w:line="360" w:lineRule="auto"/>
        <w:rPr>
          <w:rFonts w:cs="Times New Roman"/>
          <w:bCs/>
          <w:sz w:val="24"/>
          <w:szCs w:val="24"/>
        </w:rPr>
      </w:pPr>
      <w:r>
        <w:rPr>
          <w:rFonts w:hint="eastAsia" w:cs="Times New Roman"/>
          <w:bCs/>
          <w:sz w:val="24"/>
          <w:szCs w:val="24"/>
        </w:rPr>
        <w:t xml:space="preserve">1）供应商简介和经营情况说明；</w:t>
      </w:r>
      <w:r/>
    </w:p>
    <w:p>
      <w:pPr>
        <w:ind w:firstLine="480"/>
        <w:spacing w:line="360" w:lineRule="auto"/>
        <w:rPr>
          <w:rFonts w:cs="Times New Roman"/>
          <w:bCs/>
          <w:sz w:val="24"/>
          <w:szCs w:val="24"/>
        </w:rPr>
      </w:pPr>
      <w:r>
        <w:rPr>
          <w:rFonts w:hint="eastAsia" w:cs="Times New Roman"/>
          <w:bCs/>
          <w:sz w:val="24"/>
          <w:szCs w:val="24"/>
        </w:rPr>
        <w:t xml:space="preserve">2）供应商的历史、背景和近年主要业绩介绍；</w:t>
      </w:r>
      <w:r/>
    </w:p>
    <w:p>
      <w:pPr>
        <w:ind w:firstLine="480"/>
        <w:spacing w:line="360" w:lineRule="auto"/>
        <w:rPr>
          <w:rFonts w:cs="Times New Roman"/>
          <w:bCs/>
          <w:sz w:val="24"/>
          <w:szCs w:val="24"/>
        </w:rPr>
      </w:pPr>
      <w:r>
        <w:rPr>
          <w:rFonts w:hint="eastAsia" w:cs="Times New Roman"/>
          <w:bCs/>
          <w:sz w:val="24"/>
          <w:szCs w:val="24"/>
        </w:rPr>
        <w:t xml:space="preserve">3）供应商如为中型企业/小型企业/微型企业/监狱企业/残疾人福利企业，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rPr>
          <w:rFonts w:cs="Times New Roman"/>
          <w:bCs/>
          <w:sz w:val="24"/>
          <w:szCs w:val="24"/>
        </w:rPr>
      </w:pPr>
      <w:r>
        <w:rPr>
          <w:rFonts w:hint="eastAsia" w:cs="Times New Roman"/>
          <w:bCs/>
          <w:sz w:val="24"/>
          <w:szCs w:val="24"/>
        </w:rPr>
        <w:t xml:space="preserve">4）对应评分标准所需的其他证明材料。</w:t>
      </w:r>
      <w:r/>
    </w:p>
    <w:p>
      <w:pPr>
        <w:ind w:firstLine="0"/>
        <w:jc w:val="center"/>
        <w:spacing w:line="360" w:lineRule="auto"/>
        <w:shd w:val="clear" w:color="auto" w:fill="ffffff"/>
        <w:widowControl/>
        <w:rPr>
          <w:b/>
          <w:sz w:val="24"/>
          <w:szCs w:val="24"/>
        </w:rPr>
      </w:pPr>
      <w:r>
        <w:rPr>
          <w:rFonts w:cs="Times New Roman"/>
          <w:bCs/>
          <w:sz w:val="24"/>
          <w:szCs w:val="24"/>
        </w:rPr>
        <w:br w:type="page" w:clear="all"/>
      </w:r>
      <w:r>
        <w:rPr>
          <w:rFonts w:hint="eastAsia"/>
          <w:b/>
          <w:sz w:val="24"/>
          <w:szCs w:val="24"/>
        </w:rPr>
        <w:t xml:space="preserve">格式四：中小企业声明函</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14"/>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14"/>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cs="@楷体_GB2312"/>
          <w:bCs/>
          <w:sz w:val="24"/>
          <w:szCs w:val="24"/>
        </w:rPr>
      </w:r>
      <w:r/>
    </w:p>
    <w:p>
      <w:pPr>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p>
    <w:p>
      <w:pPr>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p>
    <w:p>
      <w:pPr>
        <w:ind w:firstLine="480"/>
        <w:jc w:val="center"/>
        <w:spacing w:line="360" w:lineRule="auto"/>
        <w:shd w:val="clear" w:color="auto" w:fill="ffffff"/>
        <w:widowControl/>
        <w:rPr>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p>
    <w:p>
      <w:pPr>
        <w:ind w:firstLine="0"/>
        <w:jc w:val="center"/>
        <w:spacing w:line="360" w:lineRule="auto"/>
        <w:shd w:val="clear" w:color="auto" w:fill="ffffff"/>
        <w:widowControl/>
      </w:pPr>
      <w:r>
        <w:rPr>
          <w:rFonts w:ascii="仿宋_GB2312" w:hAnsi="Times New Roman" w:eastAsia="仿宋_GB2312" w:cs="Times New Roman"/>
          <w:sz w:val="28"/>
          <w:szCs w:val="20"/>
        </w:rPr>
        <w:br w:type="page" w:clear="all"/>
      </w:r>
      <w:r>
        <w:rPr>
          <w:rFonts w:hint="eastAsia"/>
          <w:b/>
          <w:sz w:val="24"/>
        </w:rPr>
        <w:t xml:space="preserve">格式五：残疾人福利性单位声明函（格式）</w:t>
      </w:r>
      <w:r/>
    </w:p>
    <w:p>
      <w:pPr>
        <w:pStyle w:val="865"/>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65"/>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5"/>
        <w:ind w:firstLine="480"/>
        <w:spacing w:before="0" w:beforeAutospacing="0" w:after="0" w:afterAutospacing="0" w:line="480" w:lineRule="atLeast"/>
        <w:shd w:val="clear" w:color="auto" w:fill="ffffff"/>
      </w:pPr>
      <w:r>
        <w:rPr>
          <w:rFonts w:hint="eastAsia"/>
        </w:rPr>
        <w:t xml:space="preserve"> </w:t>
      </w:r>
      <w:r/>
    </w:p>
    <w:p>
      <w:pPr>
        <w:pStyle w:val="865"/>
        <w:ind w:firstLine="480"/>
        <w:spacing w:before="0" w:beforeAutospacing="0" w:after="0" w:afterAutospacing="0" w:line="480" w:lineRule="atLeast"/>
        <w:shd w:val="clear" w:color="auto" w:fill="ffffff"/>
      </w:pPr>
      <w:r>
        <w:rPr>
          <w:rFonts w:hint="eastAsia"/>
        </w:rPr>
        <w:t xml:space="preserve"> </w:t>
      </w:r>
      <w:r/>
    </w:p>
    <w:p>
      <w:pPr>
        <w:ind w:firstLine="480"/>
        <w:jc w:val="center"/>
        <w:spacing w:line="360" w:lineRule="auto"/>
        <w:rPr>
          <w:rFonts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  日期：</w:t>
      </w:r>
      <w:r/>
    </w:p>
    <w:p>
      <w:pPr>
        <w:pStyle w:val="849"/>
        <w:ind w:firstLine="0"/>
        <w:jc w:val="center"/>
        <w:rPr>
          <w:b/>
          <w:sz w:val="24"/>
        </w:rPr>
      </w:pPr>
      <w:r>
        <w:rPr>
          <w:rFonts w:hint="eastAsia"/>
          <w:b/>
          <w:bCs/>
          <w:sz w:val="32"/>
          <w:szCs w:val="32"/>
        </w:rPr>
        <w:br w:type="page" w:clear="all"/>
      </w:r>
      <w:r>
        <w:rPr>
          <w:rFonts w:hint="eastAsia"/>
          <w:b/>
          <w:sz w:val="24"/>
        </w:rPr>
        <w:t xml:space="preserve">格式六：类似业绩</w:t>
      </w:r>
      <w:r/>
    </w:p>
    <w:p>
      <w:pPr>
        <w:pStyle w:val="849"/>
        <w:ind w:firstLine="482"/>
        <w:jc w:val="center"/>
        <w:rPr>
          <w:b/>
          <w:sz w:val="24"/>
        </w:rPr>
      </w:pPr>
      <w:r>
        <w:rPr>
          <w:b/>
          <w:sz w:val="24"/>
        </w:rPr>
      </w:r>
      <w:r/>
    </w:p>
    <w:tbl>
      <w:tblPr>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cs="@楷体_GB2312"/>
                <w:bCs/>
                <w:sz w:val="24"/>
                <w:szCs w:val="24"/>
              </w:rPr>
            </w:pPr>
            <w:r>
              <w:rPr>
                <w:rFonts w:hint="eastAsia" w:cs="@楷体_GB2312"/>
                <w:bCs/>
                <w:sz w:val="24"/>
                <w:szCs w:val="24"/>
              </w:rPr>
              <w:t xml:space="preserve">合同金额</w:t>
            </w:r>
            <w:r/>
          </w:p>
          <w:p>
            <w:pPr>
              <w:ind w:firstLine="0"/>
              <w:jc w:val="center"/>
              <w:spacing w:line="360" w:lineRule="auto"/>
              <w:rPr>
                <w:rFonts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bl>
    <w:p>
      <w:pPr>
        <w:ind w:firstLine="420"/>
        <w:jc w:val="left"/>
      </w:pPr>
      <w:r/>
      <w:bookmarkStart w:id="9" w:name="_Toc416005155"/>
      <w:r/>
      <w:bookmarkStart w:id="10" w:name="_Toc452140332"/>
      <w:r/>
      <w:bookmarkStart w:id="11" w:name="_Toc13830"/>
      <w:r/>
      <w:bookmarkStart w:id="12" w:name="_Toc5813"/>
      <w:r/>
      <w:bookmarkStart w:id="13" w:name="_Toc433811020"/>
      <w:r/>
      <w:r/>
    </w:p>
    <w:p>
      <w:pPr>
        <w:pStyle w:val="834"/>
        <w:ind w:firstLine="480"/>
        <w:rPr>
          <w:rFonts w:ascii="宋体" w:hAnsi="宋体" w:eastAsia="宋体"/>
          <w:sz w:val="24"/>
          <w:szCs w:val="24"/>
        </w:rPr>
      </w:pPr>
      <w:r>
        <w:rPr>
          <w:rFonts w:ascii="宋体" w:hAnsi="宋体" w:eastAsia="宋体"/>
          <w:sz w:val="24"/>
          <w:szCs w:val="24"/>
        </w:rPr>
        <w:t xml:space="preserve">注：表后请附相关合同等证明文件的</w:t>
      </w:r>
      <w:bookmarkEnd w:id="9"/>
      <w:r/>
      <w:bookmarkEnd w:id="10"/>
      <w:r/>
      <w:bookmarkEnd w:id="11"/>
      <w:r/>
      <w:bookmarkEnd w:id="12"/>
      <w:r/>
      <w:bookmarkEnd w:id="13"/>
      <w:r>
        <w:rPr>
          <w:rFonts w:hint="eastAsia" w:ascii="宋体" w:hAnsi="宋体" w:eastAsia="宋体"/>
          <w:sz w:val="24"/>
          <w:szCs w:val="24"/>
        </w:rPr>
        <w:t xml:space="preserve">扫描件并加盖公章</w:t>
      </w:r>
      <w:r/>
    </w:p>
    <w:p>
      <w:pPr>
        <w:ind w:firstLine="643"/>
        <w:jc w:val="center"/>
        <w:spacing w:line="360" w:lineRule="auto"/>
        <w:shd w:val="clear" w:color="auto" w:fill="ffffff"/>
        <w:widowControl/>
        <w:rPr>
          <w:b/>
        </w:rPr>
      </w:pPr>
      <w:r>
        <w:rPr>
          <w:rFonts w:hint="eastAsia"/>
          <w:b/>
          <w:bCs/>
          <w:sz w:val="32"/>
          <w:szCs w:val="32"/>
        </w:rPr>
        <w:br w:type="page" w:clear="all"/>
      </w:r>
      <w:r>
        <w:rPr>
          <w:rFonts w:hint="eastAsia"/>
          <w:b/>
          <w:bCs/>
          <w:sz w:val="32"/>
          <w:szCs w:val="32"/>
        </w:rPr>
        <w:t xml:space="preserve">六、</w:t>
      </w:r>
      <w:bookmarkEnd w:id="4"/>
      <w:r/>
      <w:bookmarkEnd w:id="5"/>
      <w:r/>
      <w:bookmarkEnd w:id="6"/>
      <w:r/>
      <w:bookmarkEnd w:id="7"/>
      <w:r/>
      <w:bookmarkEnd w:id="8"/>
      <w:r>
        <w:rPr>
          <w:rFonts w:hint="eastAsia"/>
          <w:b/>
          <w:bCs/>
          <w:sz w:val="32"/>
          <w:szCs w:val="32"/>
        </w:rPr>
        <w:t xml:space="preserve">商务条款偏离表</w:t>
      </w:r>
      <w:r/>
    </w:p>
    <w:p>
      <w:pPr>
        <w:ind w:firstLine="480"/>
        <w:spacing w:line="360" w:lineRule="auto"/>
        <w:rPr>
          <w:sz w:val="24"/>
          <w:szCs w:val="24"/>
        </w:rPr>
      </w:pPr>
      <w:r>
        <w:rPr>
          <w:rFonts w:hint="eastAsia"/>
          <w:sz w:val="24"/>
          <w:szCs w:val="24"/>
        </w:rPr>
        <w:t xml:space="preserve">项目名称：</w:t>
      </w:r>
      <w:r/>
    </w:p>
    <w:p>
      <w:pPr>
        <w:ind w:firstLine="480"/>
        <w:spacing w:line="360" w:lineRule="auto"/>
        <w:rPr>
          <w:sz w:val="24"/>
          <w:szCs w:val="24"/>
          <w:u w:val="single"/>
        </w:rPr>
      </w:pPr>
      <w:r>
        <w:rPr>
          <w:rFonts w:hint="eastAsia"/>
          <w:sz w:val="24"/>
          <w:szCs w:val="24"/>
        </w:rPr>
        <w:t xml:space="preserve">招标编号：</w:t>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7"/>
        <w:gridCol w:w="2116"/>
        <w:gridCol w:w="2646"/>
        <w:gridCol w:w="2311"/>
        <w:gridCol w:w="1328"/>
      </w:tblGrid>
      <w:tr>
        <w:trPr/>
        <w:tc>
          <w:tcPr>
            <w:tcW w:w="1097" w:type="dxa"/>
            <w:textDirection w:val="lrTb"/>
            <w:noWrap w:val="false"/>
          </w:tcPr>
          <w:p>
            <w:pPr>
              <w:ind w:firstLine="0"/>
              <w:jc w:val="center"/>
              <w:spacing w:before="240" w:after="240"/>
              <w:rPr>
                <w:sz w:val="24"/>
                <w:szCs w:val="24"/>
              </w:rPr>
            </w:pPr>
            <w:r>
              <w:rPr>
                <w:rFonts w:hint="eastAsia"/>
                <w:sz w:val="24"/>
                <w:szCs w:val="24"/>
              </w:rPr>
              <w:t xml:space="preserve">序号</w:t>
            </w:r>
            <w:r/>
          </w:p>
        </w:tc>
        <w:tc>
          <w:tcPr>
            <w:tcW w:w="2116" w:type="dxa"/>
            <w:textDirection w:val="lrTb"/>
            <w:noWrap w:val="false"/>
          </w:tcPr>
          <w:p>
            <w:pPr>
              <w:ind w:firstLine="0"/>
              <w:jc w:val="center"/>
              <w:spacing w:before="240" w:after="240"/>
              <w:rPr>
                <w:sz w:val="24"/>
                <w:szCs w:val="24"/>
              </w:rPr>
            </w:pPr>
            <w:r>
              <w:rPr>
                <w:rFonts w:hint="eastAsia"/>
                <w:sz w:val="24"/>
                <w:szCs w:val="24"/>
              </w:rPr>
              <w:t xml:space="preserve">招标文件条目号</w:t>
            </w:r>
            <w:r/>
          </w:p>
        </w:tc>
        <w:tc>
          <w:tcPr>
            <w:tcW w:w="2646" w:type="dxa"/>
            <w:textDirection w:val="lrTb"/>
            <w:noWrap w:val="false"/>
          </w:tcPr>
          <w:p>
            <w:pPr>
              <w:ind w:firstLine="0"/>
              <w:jc w:val="center"/>
              <w:spacing w:before="240" w:after="240"/>
              <w:rPr>
                <w:sz w:val="24"/>
                <w:szCs w:val="24"/>
              </w:rPr>
            </w:pPr>
            <w:r>
              <w:rPr>
                <w:rFonts w:hint="eastAsia"/>
                <w:sz w:val="24"/>
                <w:szCs w:val="24"/>
              </w:rPr>
              <w:t xml:space="preserve">招标文件的第四部分合同条款</w:t>
            </w:r>
            <w:r/>
          </w:p>
        </w:tc>
        <w:tc>
          <w:tcPr>
            <w:tcW w:w="2311" w:type="dxa"/>
            <w:textDirection w:val="lrTb"/>
            <w:noWrap w:val="false"/>
          </w:tcPr>
          <w:p>
            <w:pPr>
              <w:ind w:firstLine="0"/>
              <w:jc w:val="center"/>
              <w:spacing w:before="240" w:after="240"/>
              <w:rPr>
                <w:sz w:val="24"/>
                <w:szCs w:val="24"/>
              </w:rPr>
            </w:pPr>
            <w:r>
              <w:rPr>
                <w:rFonts w:hint="eastAsia"/>
                <w:sz w:val="24"/>
                <w:szCs w:val="24"/>
              </w:rPr>
              <w:t xml:space="preserve">合同条款响应情况</w:t>
            </w:r>
            <w:r/>
          </w:p>
        </w:tc>
        <w:tc>
          <w:tcPr>
            <w:tcW w:w="1328" w:type="dxa"/>
            <w:textDirection w:val="lrTb"/>
            <w:noWrap w:val="false"/>
          </w:tcPr>
          <w:p>
            <w:pPr>
              <w:ind w:firstLine="0"/>
              <w:jc w:val="center"/>
              <w:spacing w:before="240" w:after="240"/>
              <w:rPr>
                <w:sz w:val="24"/>
                <w:szCs w:val="24"/>
              </w:rPr>
            </w:pPr>
            <w:r>
              <w:rPr>
                <w:rFonts w:hint="eastAsia"/>
                <w:sz w:val="24"/>
                <w:szCs w:val="24"/>
              </w:rPr>
              <w:t xml:space="preserve">偏离说明</w:t>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c>
          <w:tcPr>
            <w:tcW w:w="1097" w:type="dxa"/>
            <w:textDirection w:val="lrTb"/>
            <w:noWrap w:val="false"/>
          </w:tcPr>
          <w:p>
            <w:pPr>
              <w:ind w:firstLine="480"/>
              <w:spacing w:before="240" w:after="240"/>
              <w:rPr>
                <w:sz w:val="24"/>
                <w:szCs w:val="24"/>
              </w:rPr>
            </w:pPr>
            <w:r>
              <w:rPr>
                <w:sz w:val="24"/>
                <w:szCs w:val="24"/>
              </w:rPr>
            </w:r>
            <w:r/>
          </w:p>
        </w:tc>
        <w:tc>
          <w:tcPr>
            <w:tcW w:w="2116" w:type="dxa"/>
            <w:textDirection w:val="lrTb"/>
            <w:noWrap w:val="false"/>
          </w:tcPr>
          <w:p>
            <w:pPr>
              <w:ind w:firstLine="480"/>
              <w:spacing w:before="240" w:after="240"/>
              <w:rPr>
                <w:sz w:val="24"/>
                <w:szCs w:val="24"/>
              </w:rPr>
            </w:pPr>
            <w:r>
              <w:rPr>
                <w:sz w:val="24"/>
                <w:szCs w:val="24"/>
              </w:rPr>
            </w:r>
            <w:r/>
          </w:p>
        </w:tc>
        <w:tc>
          <w:tcPr>
            <w:tcW w:w="2646" w:type="dxa"/>
            <w:textDirection w:val="lrTb"/>
            <w:noWrap w:val="false"/>
          </w:tcPr>
          <w:p>
            <w:pPr>
              <w:ind w:firstLine="480"/>
              <w:spacing w:before="240" w:after="240"/>
              <w:rPr>
                <w:sz w:val="24"/>
                <w:szCs w:val="24"/>
              </w:rPr>
            </w:pPr>
            <w:r>
              <w:rPr>
                <w:sz w:val="24"/>
                <w:szCs w:val="24"/>
              </w:rPr>
            </w:r>
            <w:r/>
          </w:p>
        </w:tc>
        <w:tc>
          <w:tcPr>
            <w:tcW w:w="2311" w:type="dxa"/>
            <w:textDirection w:val="lrTb"/>
            <w:noWrap w:val="false"/>
          </w:tcPr>
          <w:p>
            <w:pPr>
              <w:ind w:firstLine="480"/>
              <w:spacing w:before="240" w:after="240"/>
              <w:rPr>
                <w:sz w:val="24"/>
                <w:szCs w:val="24"/>
              </w:rPr>
            </w:pPr>
            <w:r>
              <w:rPr>
                <w:sz w:val="24"/>
                <w:szCs w:val="24"/>
              </w:rPr>
            </w:r>
            <w:r/>
          </w:p>
        </w:tc>
        <w:tc>
          <w:tcPr>
            <w:tcW w:w="1328" w:type="dxa"/>
            <w:textDirection w:val="lrTb"/>
            <w:noWrap w:val="false"/>
          </w:tcPr>
          <w:p>
            <w:pPr>
              <w:ind w:firstLine="480"/>
              <w:spacing w:before="240" w:after="240"/>
              <w:rPr>
                <w:sz w:val="24"/>
                <w:szCs w:val="24"/>
              </w:rPr>
            </w:pPr>
            <w:r>
              <w:rPr>
                <w:sz w:val="24"/>
                <w:szCs w:val="24"/>
              </w:rPr>
            </w:r>
            <w:r/>
          </w:p>
        </w:tc>
      </w:tr>
      <w:tr>
        <w:trPr>
          <w:trHeight w:val="444"/>
        </w:trPr>
        <w:tc>
          <w:tcPr>
            <w:gridSpan w:val="5"/>
            <w:tcW w:w="9498" w:type="dxa"/>
            <w:textDirection w:val="lrTb"/>
            <w:noWrap w:val="false"/>
          </w:tcPr>
          <w:p>
            <w:pPr>
              <w:ind w:firstLine="480"/>
              <w:spacing w:before="240" w:after="240"/>
              <w:rPr>
                <w:sz w:val="24"/>
                <w:szCs w:val="24"/>
              </w:rPr>
            </w:pPr>
            <w:r>
              <w:rPr>
                <w:rFonts w:hint="eastAsia"/>
                <w:sz w:val="24"/>
                <w:szCs w:val="24"/>
              </w:rPr>
              <w:t xml:space="preserve">注：1.如投标中无任何偏离，也需在偏离表中注明。</w:t>
            </w:r>
            <w:r/>
          </w:p>
        </w:tc>
      </w:tr>
    </w:tbl>
    <w:p>
      <w:pPr>
        <w:ind w:firstLine="480"/>
        <w:spacing w:line="480" w:lineRule="auto"/>
        <w:rPr>
          <w:sz w:val="24"/>
          <w:szCs w:val="24"/>
          <w:u w:val="single"/>
        </w:rPr>
      </w:pPr>
      <w:r>
        <w:rPr>
          <w:rFonts w:hint="eastAsia"/>
          <w:sz w:val="24"/>
          <w:szCs w:val="24"/>
        </w:rPr>
        <w:t xml:space="preserve">供应商名称（公章）：</w:t>
      </w:r>
      <w:r/>
    </w:p>
    <w:p>
      <w:pPr>
        <w:ind w:firstLine="480"/>
        <w:spacing w:line="480" w:lineRule="auto"/>
        <w:rPr>
          <w:sz w:val="24"/>
          <w:szCs w:val="24"/>
          <w:u w:val="single"/>
        </w:rPr>
      </w:pPr>
      <w:r>
        <w:rPr>
          <w:rFonts w:hint="eastAsia"/>
          <w:sz w:val="24"/>
          <w:szCs w:val="24"/>
        </w:rPr>
        <w:t xml:space="preserve">供应商代表签字：</w:t>
      </w:r>
      <w:r/>
    </w:p>
    <w:p>
      <w:pPr>
        <w:ind w:firstLine="480"/>
        <w:spacing w:line="480" w:lineRule="auto"/>
        <w:rPr>
          <w:sz w:val="24"/>
          <w:szCs w:val="24"/>
        </w:rPr>
      </w:pPr>
      <w:r>
        <w:rPr>
          <w:rFonts w:hint="eastAsia"/>
          <w:sz w:val="24"/>
          <w:szCs w:val="24"/>
        </w:rPr>
        <w:t xml:space="preserve">日期 </w:t>
      </w:r>
      <w:r/>
    </w:p>
    <w:p>
      <w:pPr>
        <w:ind w:firstLine="723"/>
        <w:jc w:val="center"/>
        <w:widowControl/>
        <w:rPr>
          <w:b/>
          <w:sz w:val="32"/>
          <w:szCs w:val="32"/>
        </w:rPr>
      </w:pPr>
      <w:r>
        <w:rPr>
          <w:rStyle w:val="1122"/>
          <w:sz w:val="36"/>
          <w:szCs w:val="36"/>
        </w:rPr>
        <w:br w:type="page" w:clear="all"/>
      </w:r>
      <w:r>
        <w:rPr>
          <w:rFonts w:hint="eastAsia"/>
          <w:b/>
          <w:sz w:val="32"/>
          <w:szCs w:val="32"/>
        </w:rPr>
        <w:t xml:space="preserve">七、技术条款偏离表</w:t>
      </w:r>
      <w:r/>
    </w:p>
    <w:p>
      <w:pPr>
        <w:ind w:firstLine="480"/>
        <w:spacing w:after="240" w:line="360" w:lineRule="auto"/>
        <w:rPr>
          <w:sz w:val="24"/>
          <w:szCs w:val="24"/>
          <w:u w:val="single"/>
        </w:rPr>
      </w:pPr>
      <w:r>
        <w:rPr>
          <w:rFonts w:hint="eastAsia"/>
          <w:sz w:val="24"/>
          <w:szCs w:val="24"/>
        </w:rPr>
        <w:t xml:space="preserve">项目名称：                                      招标编号：</w:t>
      </w:r>
      <w:r/>
    </w:p>
    <w:tbl>
      <w:tblPr>
        <w:tblW w:w="873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ind w:firstLine="0"/>
              <w:jc w:val="center"/>
              <w:rPr>
                <w:sz w:val="24"/>
                <w:szCs w:val="24"/>
              </w:rPr>
            </w:pPr>
            <w:r>
              <w:rPr>
                <w:rFonts w:hint="eastAsia"/>
                <w:sz w:val="24"/>
                <w:szCs w:val="24"/>
              </w:rPr>
              <w:t xml:space="preserve">序号</w:t>
            </w:r>
            <w:r/>
          </w:p>
        </w:tc>
        <w:tc>
          <w:tcPr>
            <w:tcW w:w="2635" w:type="dxa"/>
            <w:textDirection w:val="lrTb"/>
            <w:noWrap w:val="false"/>
          </w:tcPr>
          <w:p>
            <w:pPr>
              <w:ind w:firstLine="0"/>
              <w:jc w:val="center"/>
              <w:spacing w:before="240" w:after="240"/>
              <w:rPr>
                <w:sz w:val="24"/>
                <w:szCs w:val="24"/>
              </w:rPr>
            </w:pPr>
            <w:r>
              <w:rPr>
                <w:rFonts w:hint="eastAsia"/>
                <w:sz w:val="24"/>
                <w:szCs w:val="24"/>
              </w:rPr>
              <w:t xml:space="preserve">招标文件的第四部分采购需求</w:t>
            </w:r>
            <w:r/>
          </w:p>
        </w:tc>
        <w:tc>
          <w:tcPr>
            <w:tcW w:w="2864" w:type="dxa"/>
            <w:textDirection w:val="lrTb"/>
            <w:noWrap w:val="false"/>
          </w:tcPr>
          <w:p>
            <w:pPr>
              <w:ind w:firstLine="0"/>
              <w:jc w:val="center"/>
              <w:spacing w:before="240" w:after="240"/>
              <w:rPr>
                <w:sz w:val="24"/>
                <w:szCs w:val="24"/>
              </w:rPr>
            </w:pPr>
            <w:r>
              <w:rPr>
                <w:rFonts w:hint="eastAsia"/>
                <w:sz w:val="24"/>
                <w:szCs w:val="24"/>
              </w:rPr>
              <w:t xml:space="preserve">采购需求条款响应情况</w:t>
            </w:r>
            <w:r/>
          </w:p>
        </w:tc>
        <w:tc>
          <w:tcPr>
            <w:tcW w:w="1565" w:type="dxa"/>
            <w:vAlign w:val="center"/>
            <w:textDirection w:val="lrTb"/>
            <w:noWrap w:val="false"/>
          </w:tcPr>
          <w:p>
            <w:pPr>
              <w:ind w:firstLine="0"/>
              <w:jc w:val="center"/>
              <w:rPr>
                <w:sz w:val="24"/>
                <w:szCs w:val="24"/>
              </w:rPr>
            </w:pPr>
            <w:r>
              <w:rPr>
                <w:rFonts w:hint="eastAsia"/>
                <w:sz w:val="24"/>
                <w:szCs w:val="24"/>
              </w:rPr>
              <w:t xml:space="preserve">偏离说明</w:t>
            </w:r>
            <w:r/>
          </w:p>
        </w:tc>
      </w:tr>
      <w:tr>
        <w:trPr>
          <w:trHeight w:val="611"/>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r>
        <w:trPr>
          <w:trHeight w:val="616"/>
        </w:trPr>
        <w:tc>
          <w:tcPr>
            <w:tcW w:w="1667" w:type="dxa"/>
            <w:textDirection w:val="lrTb"/>
            <w:noWrap w:val="false"/>
          </w:tcPr>
          <w:p>
            <w:pPr>
              <w:ind w:firstLine="480"/>
              <w:jc w:val="center"/>
              <w:rPr>
                <w:sz w:val="24"/>
                <w:szCs w:val="24"/>
              </w:rPr>
            </w:pPr>
            <w:r>
              <w:rPr>
                <w:sz w:val="24"/>
                <w:szCs w:val="24"/>
              </w:rPr>
            </w:r>
            <w:r/>
          </w:p>
        </w:tc>
        <w:tc>
          <w:tcPr>
            <w:tcW w:w="2635" w:type="dxa"/>
            <w:textDirection w:val="lrTb"/>
            <w:noWrap w:val="false"/>
          </w:tcPr>
          <w:p>
            <w:pPr>
              <w:ind w:firstLine="480"/>
              <w:jc w:val="center"/>
              <w:rPr>
                <w:sz w:val="24"/>
                <w:szCs w:val="24"/>
              </w:rPr>
            </w:pPr>
            <w:r>
              <w:rPr>
                <w:sz w:val="24"/>
                <w:szCs w:val="24"/>
              </w:rPr>
            </w:r>
            <w:r/>
          </w:p>
        </w:tc>
        <w:tc>
          <w:tcPr>
            <w:tcW w:w="2864" w:type="dxa"/>
            <w:textDirection w:val="lrTb"/>
            <w:noWrap w:val="false"/>
          </w:tcPr>
          <w:p>
            <w:pPr>
              <w:ind w:firstLine="480"/>
              <w:rPr>
                <w:sz w:val="24"/>
                <w:szCs w:val="24"/>
              </w:rPr>
            </w:pPr>
            <w:r>
              <w:rPr>
                <w:sz w:val="24"/>
                <w:szCs w:val="24"/>
              </w:rPr>
            </w:r>
            <w:r/>
          </w:p>
        </w:tc>
        <w:tc>
          <w:tcPr>
            <w:tcW w:w="1565" w:type="dxa"/>
            <w:textDirection w:val="lrTb"/>
            <w:noWrap w:val="false"/>
          </w:tcPr>
          <w:p>
            <w:pPr>
              <w:ind w:firstLine="480"/>
              <w:rPr>
                <w:sz w:val="24"/>
                <w:szCs w:val="24"/>
              </w:rPr>
            </w:pPr>
            <w:r>
              <w:rPr>
                <w:sz w:val="24"/>
                <w:szCs w:val="24"/>
              </w:rPr>
            </w:r>
            <w:r/>
          </w:p>
        </w:tc>
      </w:tr>
    </w:tbl>
    <w:p>
      <w:pPr>
        <w:ind w:firstLine="480"/>
        <w:spacing w:line="360" w:lineRule="auto"/>
        <w:rPr>
          <w:sz w:val="24"/>
          <w:szCs w:val="24"/>
        </w:rPr>
      </w:pPr>
      <w:r>
        <w:rPr>
          <w:rFonts w:hint="eastAsia"/>
          <w:sz w:val="24"/>
          <w:szCs w:val="24"/>
        </w:rPr>
        <w:t xml:space="preserve">注：1. 供应商须根据所投标技术要求填写此表，作为投标文件重要的组成部分。</w:t>
      </w:r>
      <w:r/>
    </w:p>
    <w:p>
      <w:pPr>
        <w:ind w:firstLine="480"/>
        <w:spacing w:line="360" w:lineRule="auto"/>
        <w:rPr>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sz w:val="24"/>
          <w:szCs w:val="24"/>
        </w:rPr>
      </w:pPr>
      <w:r>
        <w:rPr>
          <w:rFonts w:hint="eastAsia"/>
          <w:sz w:val="24"/>
          <w:szCs w:val="24"/>
        </w:rPr>
        <w:t xml:space="preserve">供应商名称（公章）：</w:t>
      </w:r>
      <w:r/>
    </w:p>
    <w:p>
      <w:pPr>
        <w:ind w:firstLine="3600"/>
        <w:spacing w:line="360" w:lineRule="auto"/>
        <w:rPr>
          <w:sz w:val="24"/>
          <w:szCs w:val="24"/>
        </w:rPr>
      </w:pPr>
      <w:r>
        <w:rPr>
          <w:rFonts w:hint="eastAsia"/>
          <w:sz w:val="24"/>
          <w:szCs w:val="24"/>
        </w:rPr>
        <w:t xml:space="preserve">供应商代表签字： </w:t>
      </w:r>
      <w:r/>
    </w:p>
    <w:p>
      <w:pPr>
        <w:ind w:firstLine="3600"/>
        <w:spacing w:line="360" w:lineRule="auto"/>
        <w:rPr>
          <w:b/>
          <w:sz w:val="24"/>
          <w:szCs w:val="24"/>
        </w:rPr>
      </w:pPr>
      <w:r>
        <w:rPr>
          <w:rFonts w:hint="eastAsia"/>
          <w:sz w:val="24"/>
          <w:szCs w:val="24"/>
        </w:rPr>
        <w:t xml:space="preserve">日期：    </w:t>
      </w:r>
      <w:r>
        <w:rPr>
          <w:rFonts w:hint="eastAsia"/>
          <w:b/>
          <w:sz w:val="24"/>
          <w:szCs w:val="24"/>
        </w:rPr>
        <w:t xml:space="preserve">                 </w:t>
      </w:r>
      <w:r/>
    </w:p>
    <w:p>
      <w:pPr>
        <w:numPr>
          <w:ilvl w:val="0"/>
          <w:numId w:val="15"/>
        </w:numPr>
        <w:ind w:firstLine="422"/>
        <w:jc w:val="center"/>
        <w:widowControl/>
        <w:rPr>
          <w:b/>
          <w:sz w:val="32"/>
          <w:szCs w:val="32"/>
        </w:rPr>
      </w:pPr>
      <w:r>
        <w:rPr>
          <w:b/>
        </w:rPr>
        <w:br w:type="page" w:clear="all"/>
      </w:r>
      <w:r>
        <w:rPr>
          <w:rFonts w:hint="eastAsia"/>
          <w:b/>
          <w:sz w:val="32"/>
          <w:szCs w:val="32"/>
        </w:rPr>
        <w:t xml:space="preserve">项目组人员情况</w:t>
      </w:r>
      <w:r/>
    </w:p>
    <w:p>
      <w:pPr>
        <w:ind w:firstLine="0"/>
        <w:widowControl/>
        <w:rPr>
          <w:b/>
          <w:sz w:val="32"/>
          <w:szCs w:val="32"/>
        </w:rPr>
      </w:pPr>
      <w:r>
        <w:rPr>
          <w:b/>
          <w:sz w:val="32"/>
          <w:szCs w:val="32"/>
        </w:rPr>
      </w:r>
      <w:r/>
    </w:p>
    <w:tbl>
      <w:tblPr>
        <w:tblW w:w="506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2"/>
        <w:gridCol w:w="574"/>
        <w:gridCol w:w="616"/>
        <w:gridCol w:w="623"/>
        <w:gridCol w:w="602"/>
        <w:gridCol w:w="670"/>
        <w:gridCol w:w="574"/>
        <w:gridCol w:w="1264"/>
        <w:gridCol w:w="3063"/>
      </w:tblGrid>
      <w:tr>
        <w:trPr>
          <w:trHeight w:val="454"/>
        </w:trPr>
        <w:tc>
          <w:tcPr>
            <w:tcW w:w="590" w:type="dxa"/>
            <w:vAlign w:val="center"/>
            <w:vMerge w:val="restart"/>
            <w:textDirection w:val="lrTb"/>
            <w:noWrap w:val="false"/>
          </w:tcPr>
          <w:p>
            <w:pPr>
              <w:ind w:firstLine="0"/>
              <w:jc w:val="center"/>
              <w:rPr>
                <w:sz w:val="24"/>
                <w:szCs w:val="24"/>
              </w:rPr>
            </w:pPr>
            <w:r>
              <w:rPr>
                <w:rFonts w:hint="eastAsia"/>
                <w:sz w:val="24"/>
                <w:szCs w:val="24"/>
              </w:rPr>
              <w:t xml:space="preserve">岗位</w:t>
            </w:r>
            <w:r/>
          </w:p>
        </w:tc>
        <w:tc>
          <w:tcPr>
            <w:tcW w:w="447" w:type="dxa"/>
            <w:vAlign w:val="center"/>
            <w:vMerge w:val="restart"/>
            <w:textDirection w:val="lrTb"/>
            <w:noWrap w:val="false"/>
          </w:tcPr>
          <w:p>
            <w:pPr>
              <w:ind w:firstLine="0"/>
              <w:jc w:val="center"/>
              <w:rPr>
                <w:sz w:val="24"/>
                <w:szCs w:val="24"/>
              </w:rPr>
            </w:pPr>
            <w:r>
              <w:rPr>
                <w:rFonts w:hint="eastAsia"/>
                <w:sz w:val="24"/>
                <w:szCs w:val="24"/>
              </w:rPr>
              <w:t xml:space="preserve">姓名</w:t>
            </w:r>
            <w:r/>
          </w:p>
        </w:tc>
        <w:tc>
          <w:tcPr>
            <w:tcW w:w="489" w:type="dxa"/>
            <w:vAlign w:val="center"/>
            <w:vMerge w:val="restart"/>
            <w:textDirection w:val="lrTb"/>
            <w:noWrap w:val="false"/>
          </w:tcPr>
          <w:p>
            <w:pPr>
              <w:ind w:firstLine="0"/>
              <w:jc w:val="center"/>
              <w:rPr>
                <w:sz w:val="24"/>
                <w:szCs w:val="24"/>
              </w:rPr>
            </w:pPr>
            <w:r>
              <w:rPr>
                <w:rFonts w:hint="eastAsia"/>
                <w:sz w:val="24"/>
                <w:szCs w:val="24"/>
              </w:rPr>
              <w:t xml:space="preserve">性别</w:t>
            </w:r>
            <w:r/>
          </w:p>
        </w:tc>
        <w:tc>
          <w:tcPr>
            <w:tcW w:w="495" w:type="dxa"/>
            <w:vAlign w:val="center"/>
            <w:vMerge w:val="restart"/>
            <w:textDirection w:val="lrTb"/>
            <w:noWrap w:val="false"/>
          </w:tcPr>
          <w:p>
            <w:pPr>
              <w:ind w:firstLine="0"/>
              <w:jc w:val="center"/>
              <w:rPr>
                <w:sz w:val="24"/>
                <w:szCs w:val="24"/>
              </w:rPr>
            </w:pPr>
            <w:r>
              <w:rPr>
                <w:rFonts w:hint="eastAsia"/>
                <w:sz w:val="24"/>
                <w:szCs w:val="24"/>
              </w:rPr>
              <w:t xml:space="preserve">年龄</w:t>
            </w:r>
            <w:r/>
          </w:p>
        </w:tc>
        <w:tc>
          <w:tcPr>
            <w:tcW w:w="478" w:type="dxa"/>
            <w:vAlign w:val="center"/>
            <w:vMerge w:val="restart"/>
            <w:textDirection w:val="lrTb"/>
            <w:noWrap w:val="false"/>
          </w:tcPr>
          <w:p>
            <w:pPr>
              <w:ind w:firstLine="0"/>
              <w:jc w:val="center"/>
              <w:rPr>
                <w:sz w:val="24"/>
                <w:szCs w:val="24"/>
              </w:rPr>
            </w:pPr>
            <w:r>
              <w:rPr>
                <w:rFonts w:hint="eastAsia"/>
                <w:sz w:val="24"/>
                <w:szCs w:val="24"/>
              </w:rPr>
              <w:t xml:space="preserve">学历</w:t>
            </w:r>
            <w:r/>
          </w:p>
        </w:tc>
        <w:tc>
          <w:tcPr>
            <w:gridSpan w:val="4"/>
            <w:tcW w:w="4364" w:type="dxa"/>
            <w:vAlign w:val="center"/>
            <w:textDirection w:val="lrTb"/>
            <w:noWrap w:val="false"/>
          </w:tcPr>
          <w:p>
            <w:pPr>
              <w:ind w:firstLine="0"/>
              <w:jc w:val="center"/>
              <w:rPr>
                <w:sz w:val="24"/>
                <w:szCs w:val="24"/>
              </w:rPr>
            </w:pPr>
            <w:r>
              <w:rPr>
                <w:rFonts w:hint="eastAsia"/>
                <w:sz w:val="24"/>
                <w:szCs w:val="24"/>
              </w:rPr>
              <w:t xml:space="preserve">执业或职业资格证明</w:t>
            </w:r>
            <w:r/>
          </w:p>
        </w:tc>
      </w:tr>
      <w:tr>
        <w:trPr>
          <w:trHeight w:val="454"/>
        </w:trPr>
        <w:tc>
          <w:tcPr>
            <w:tcW w:w="590" w:type="dxa"/>
            <w:vAlign w:val="center"/>
            <w:vMerge w:val="continue"/>
            <w:textDirection w:val="lrTb"/>
            <w:noWrap w:val="false"/>
          </w:tcPr>
          <w:p>
            <w:pPr>
              <w:ind w:firstLine="480"/>
              <w:jc w:val="center"/>
              <w:rPr>
                <w:sz w:val="24"/>
                <w:szCs w:val="24"/>
              </w:rPr>
            </w:pPr>
            <w:r>
              <w:rPr>
                <w:sz w:val="24"/>
                <w:szCs w:val="24"/>
              </w:rPr>
            </w:r>
            <w:r/>
          </w:p>
        </w:tc>
        <w:tc>
          <w:tcPr>
            <w:tcW w:w="447" w:type="dxa"/>
            <w:vAlign w:val="center"/>
            <w:vMerge w:val="continue"/>
            <w:textDirection w:val="lrTb"/>
            <w:noWrap w:val="false"/>
          </w:tcPr>
          <w:p>
            <w:pPr>
              <w:ind w:firstLine="480"/>
              <w:jc w:val="center"/>
              <w:rPr>
                <w:sz w:val="24"/>
                <w:szCs w:val="24"/>
              </w:rPr>
            </w:pPr>
            <w:r>
              <w:rPr>
                <w:sz w:val="24"/>
                <w:szCs w:val="24"/>
              </w:rPr>
            </w:r>
            <w:r/>
          </w:p>
        </w:tc>
        <w:tc>
          <w:tcPr>
            <w:tcW w:w="489" w:type="dxa"/>
            <w:vAlign w:val="center"/>
            <w:vMerge w:val="continue"/>
            <w:textDirection w:val="lrTb"/>
            <w:noWrap w:val="false"/>
          </w:tcPr>
          <w:p>
            <w:pPr>
              <w:ind w:firstLine="480"/>
              <w:jc w:val="center"/>
              <w:rPr>
                <w:sz w:val="24"/>
                <w:szCs w:val="24"/>
              </w:rPr>
            </w:pPr>
            <w:r>
              <w:rPr>
                <w:sz w:val="24"/>
                <w:szCs w:val="24"/>
              </w:rPr>
            </w:r>
            <w:r/>
          </w:p>
        </w:tc>
        <w:tc>
          <w:tcPr>
            <w:tcW w:w="495" w:type="dxa"/>
            <w:vAlign w:val="center"/>
            <w:vMerge w:val="continue"/>
            <w:textDirection w:val="lrTb"/>
            <w:noWrap w:val="false"/>
          </w:tcPr>
          <w:p>
            <w:pPr>
              <w:ind w:firstLine="480"/>
              <w:jc w:val="center"/>
              <w:rPr>
                <w:sz w:val="24"/>
                <w:szCs w:val="24"/>
              </w:rPr>
            </w:pPr>
            <w:r>
              <w:rPr>
                <w:sz w:val="24"/>
                <w:szCs w:val="24"/>
              </w:rPr>
            </w:r>
            <w:r/>
          </w:p>
        </w:tc>
        <w:tc>
          <w:tcPr>
            <w:tcW w:w="478" w:type="dxa"/>
            <w:vAlign w:val="center"/>
            <w:vMerge w:val="continue"/>
            <w:textDirection w:val="lrTb"/>
            <w:noWrap w:val="false"/>
          </w:tcPr>
          <w:p>
            <w:pPr>
              <w:ind w:firstLine="480"/>
              <w:jc w:val="center"/>
              <w:rPr>
                <w:sz w:val="24"/>
                <w:szCs w:val="24"/>
              </w:rPr>
            </w:pPr>
            <w:r>
              <w:rPr>
                <w:sz w:val="24"/>
                <w:szCs w:val="24"/>
              </w:rPr>
            </w:r>
            <w:r/>
          </w:p>
        </w:tc>
        <w:tc>
          <w:tcPr>
            <w:tcW w:w="532" w:type="dxa"/>
            <w:vAlign w:val="center"/>
            <w:textDirection w:val="lrTb"/>
            <w:noWrap w:val="false"/>
          </w:tcPr>
          <w:p>
            <w:pPr>
              <w:ind w:firstLine="0"/>
              <w:jc w:val="center"/>
              <w:rPr>
                <w:sz w:val="24"/>
                <w:szCs w:val="24"/>
              </w:rPr>
            </w:pPr>
            <w:r>
              <w:rPr>
                <w:rFonts w:hint="eastAsia"/>
                <w:sz w:val="24"/>
                <w:szCs w:val="24"/>
              </w:rPr>
              <w:t xml:space="preserve">证书名称</w:t>
            </w:r>
            <w:r/>
          </w:p>
        </w:tc>
        <w:tc>
          <w:tcPr>
            <w:tcW w:w="395" w:type="dxa"/>
            <w:vAlign w:val="center"/>
            <w:textDirection w:val="lrTb"/>
            <w:noWrap w:val="false"/>
          </w:tcPr>
          <w:p>
            <w:pPr>
              <w:ind w:firstLine="0"/>
              <w:jc w:val="center"/>
              <w:rPr>
                <w:sz w:val="24"/>
                <w:szCs w:val="24"/>
              </w:rPr>
            </w:pPr>
            <w:r>
              <w:rPr>
                <w:rFonts w:hint="eastAsia"/>
                <w:sz w:val="24"/>
                <w:szCs w:val="24"/>
              </w:rPr>
              <w:t xml:space="preserve">级别</w:t>
            </w:r>
            <w:r/>
          </w:p>
        </w:tc>
        <w:tc>
          <w:tcPr>
            <w:tcW w:w="1004" w:type="dxa"/>
            <w:vAlign w:val="center"/>
            <w:textDirection w:val="lrTb"/>
            <w:noWrap w:val="false"/>
          </w:tcPr>
          <w:p>
            <w:pPr>
              <w:ind w:firstLine="0"/>
              <w:jc w:val="center"/>
              <w:tabs>
                <w:tab w:val="left" w:pos="1470" w:leader="none"/>
              </w:tabs>
              <w:rPr>
                <w:sz w:val="24"/>
                <w:szCs w:val="24"/>
              </w:rPr>
            </w:pPr>
            <w:r>
              <w:rPr>
                <w:rFonts w:hint="eastAsia"/>
                <w:sz w:val="24"/>
                <w:szCs w:val="24"/>
              </w:rPr>
              <w:t xml:space="preserve">执业或职业资格证书号码</w:t>
            </w:r>
            <w:r/>
          </w:p>
        </w:tc>
        <w:tc>
          <w:tcPr>
            <w:tcW w:w="567" w:type="dxa"/>
            <w:vAlign w:val="center"/>
            <w:textDirection w:val="lrTb"/>
            <w:noWrap w:val="false"/>
          </w:tcPr>
          <w:p>
            <w:pPr>
              <w:ind w:firstLine="0"/>
              <w:jc w:val="center"/>
              <w:rPr>
                <w:sz w:val="24"/>
                <w:szCs w:val="24"/>
              </w:rPr>
            </w:pPr>
            <w:r>
              <w:rPr>
                <w:rFonts w:hint="eastAsia"/>
                <w:sz w:val="24"/>
                <w:szCs w:val="24"/>
              </w:rPr>
              <w:t xml:space="preserve">身份证号</w:t>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vAlign w:val="center"/>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vAlign w:val="center"/>
            <w:textDirection w:val="lrTb"/>
            <w:noWrap w:val="false"/>
          </w:tcPr>
          <w:p>
            <w:pPr>
              <w:ind w:left="525" w:hanging="525"/>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r>
        <w:trPr>
          <w:trHeight w:val="454"/>
        </w:trPr>
        <w:tc>
          <w:tcPr>
            <w:tcW w:w="590" w:type="dxa"/>
            <w:textDirection w:val="lrTb"/>
            <w:noWrap w:val="false"/>
          </w:tcPr>
          <w:p>
            <w:pPr>
              <w:ind w:firstLine="420"/>
            </w:pPr>
            <w:r/>
            <w:r/>
          </w:p>
        </w:tc>
        <w:tc>
          <w:tcPr>
            <w:tcW w:w="447" w:type="dxa"/>
            <w:textDirection w:val="lrTb"/>
            <w:noWrap w:val="false"/>
          </w:tcPr>
          <w:p>
            <w:pPr>
              <w:ind w:firstLine="420"/>
            </w:pPr>
            <w:r/>
            <w:r/>
          </w:p>
        </w:tc>
        <w:tc>
          <w:tcPr>
            <w:tcW w:w="489" w:type="dxa"/>
            <w:textDirection w:val="lrTb"/>
            <w:noWrap w:val="false"/>
          </w:tcPr>
          <w:p>
            <w:pPr>
              <w:ind w:firstLine="420"/>
            </w:pPr>
            <w:r/>
            <w:r/>
          </w:p>
        </w:tc>
        <w:tc>
          <w:tcPr>
            <w:tcW w:w="495" w:type="dxa"/>
            <w:textDirection w:val="lrTb"/>
            <w:noWrap w:val="false"/>
          </w:tcPr>
          <w:p>
            <w:pPr>
              <w:ind w:firstLine="420"/>
            </w:pPr>
            <w:r/>
            <w:r/>
          </w:p>
        </w:tc>
        <w:tc>
          <w:tcPr>
            <w:tcW w:w="478" w:type="dxa"/>
            <w:textDirection w:val="lrTb"/>
            <w:noWrap w:val="false"/>
          </w:tcPr>
          <w:p>
            <w:pPr>
              <w:ind w:firstLine="420"/>
            </w:pPr>
            <w:r/>
            <w:r/>
          </w:p>
        </w:tc>
        <w:tc>
          <w:tcPr>
            <w:tcW w:w="532" w:type="dxa"/>
            <w:textDirection w:val="lrTb"/>
            <w:noWrap w:val="false"/>
          </w:tcPr>
          <w:p>
            <w:pPr>
              <w:ind w:firstLine="420"/>
            </w:pPr>
            <w:r/>
            <w:r/>
          </w:p>
        </w:tc>
        <w:tc>
          <w:tcPr>
            <w:tcW w:w="395" w:type="dxa"/>
            <w:textDirection w:val="lrTb"/>
            <w:noWrap w:val="false"/>
          </w:tcPr>
          <w:p>
            <w:pPr>
              <w:ind w:firstLine="420"/>
            </w:pPr>
            <w:r/>
            <w:r/>
          </w:p>
        </w:tc>
        <w:tc>
          <w:tcPr>
            <w:tcW w:w="1004" w:type="dxa"/>
            <w:textDirection w:val="lrTb"/>
            <w:noWrap w:val="false"/>
          </w:tcPr>
          <w:p>
            <w:pPr>
              <w:ind w:firstLine="420"/>
            </w:pPr>
            <w:r/>
            <w:r/>
          </w:p>
        </w:tc>
        <w:tc>
          <w:tcPr>
            <w:tcW w:w="567" w:type="dxa"/>
            <w:textDirection w:val="lrTb"/>
            <w:noWrap w:val="false"/>
          </w:tcPr>
          <w:p>
            <w:pPr>
              <w:ind w:firstLine="420"/>
            </w:pPr>
            <w:r/>
            <w:r/>
          </w:p>
        </w:tc>
      </w:tr>
    </w:tbl>
    <w:p>
      <w:pPr>
        <w:ind w:firstLine="0"/>
        <w:widowControl/>
        <w:rPr>
          <w:b/>
          <w:sz w:val="32"/>
          <w:szCs w:val="32"/>
        </w:rPr>
      </w:pPr>
      <w:r>
        <w:rPr>
          <w:b/>
          <w:sz w:val="32"/>
          <w:szCs w:val="32"/>
        </w:rPr>
      </w:r>
      <w:r/>
    </w:p>
    <w:p>
      <w:pPr>
        <w:ind w:firstLine="0"/>
        <w:jc w:val="center"/>
      </w:pPr>
      <w:r>
        <w:rPr>
          <w:rFonts w:hint="eastAsia" w:cs="Arial"/>
        </w:rPr>
        <w:br w:type="page" w:clear="all"/>
      </w:r>
      <w:bookmarkStart w:id="14" w:name="_Toc4088"/>
      <w:r/>
      <w:bookmarkStart w:id="15" w:name="_Toc433811026"/>
      <w:r/>
      <w:bookmarkStart w:id="16" w:name="_Toc452140338"/>
      <w:r/>
      <w:bookmarkStart w:id="17" w:name="_Toc3914"/>
      <w:r>
        <w:rPr>
          <w:rFonts w:hint="eastAsia"/>
          <w:b/>
          <w:bCs/>
          <w:sz w:val="28"/>
          <w:szCs w:val="28"/>
        </w:rPr>
        <w:t xml:space="preserve">拟派人员简历表</w:t>
      </w:r>
      <w:bookmarkEnd w:id="14"/>
      <w:r/>
      <w:bookmarkEnd w:id="15"/>
      <w:r/>
      <w:bookmarkEnd w:id="16"/>
      <w:r/>
      <w:bookmarkEnd w:id="17"/>
      <w:r/>
      <w:r/>
    </w:p>
    <w:p>
      <w:pPr>
        <w:ind w:right="658" w:firstLine="480"/>
        <w:rPr>
          <w:rFonts w:cs="Arial"/>
          <w:sz w:val="24"/>
          <w:szCs w:val="24"/>
          <w:u w:val="single"/>
        </w:rPr>
      </w:pPr>
      <w:r>
        <w:rPr>
          <w:rFonts w:hint="eastAsia"/>
          <w:sz w:val="24"/>
          <w:szCs w:val="24"/>
        </w:rPr>
        <w:t xml:space="preserve">项目名称：</w:t>
      </w:r>
      <w:r/>
    </w:p>
    <w:tbl>
      <w:tblPr>
        <w:tblW w:w="9073"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W w:w="1297" w:type="dxa"/>
            <w:vAlign w:val="center"/>
            <w:textDirection w:val="lrTb"/>
            <w:noWrap w:val="false"/>
          </w:tcPr>
          <w:p>
            <w:pPr>
              <w:ind w:firstLine="480"/>
              <w:rPr>
                <w:sz w:val="24"/>
                <w:szCs w:val="24"/>
              </w:rPr>
            </w:pPr>
            <w:r>
              <w:rPr>
                <w:rFonts w:hint="eastAsia"/>
                <w:sz w:val="24"/>
                <w:szCs w:val="24"/>
              </w:rPr>
              <w:t xml:space="preserve">姓名</w:t>
            </w:r>
            <w:r/>
          </w:p>
        </w:tc>
        <w:tc>
          <w:tcPr>
            <w:gridSpan w:val="3"/>
            <w:tcW w:w="2413" w:type="dxa"/>
            <w:vAlign w:val="center"/>
            <w:textDirection w:val="lrTb"/>
            <w:noWrap w:val="false"/>
          </w:tcPr>
          <w:p>
            <w:pPr>
              <w:ind w:firstLine="480"/>
              <w:rPr>
                <w:sz w:val="24"/>
                <w:szCs w:val="24"/>
              </w:rPr>
            </w:pPr>
            <w:r>
              <w:rPr>
                <w:sz w:val="24"/>
                <w:szCs w:val="24"/>
              </w:rPr>
            </w:r>
            <w:r/>
          </w:p>
        </w:tc>
        <w:tc>
          <w:tcPr>
            <w:gridSpan w:val="2"/>
            <w:tcW w:w="778" w:type="dxa"/>
            <w:vAlign w:val="center"/>
            <w:textDirection w:val="lrTb"/>
            <w:noWrap w:val="false"/>
          </w:tcPr>
          <w:p>
            <w:pPr>
              <w:ind w:firstLine="0"/>
              <w:rPr>
                <w:sz w:val="24"/>
                <w:szCs w:val="24"/>
              </w:rPr>
            </w:pPr>
            <w:r>
              <w:rPr>
                <w:rFonts w:hint="eastAsia"/>
                <w:sz w:val="24"/>
                <w:szCs w:val="24"/>
              </w:rPr>
              <w:t xml:space="preserve">性别</w:t>
            </w:r>
            <w:r/>
          </w:p>
        </w:tc>
        <w:tc>
          <w:tcPr>
            <w:gridSpan w:val="2"/>
            <w:tcW w:w="1556" w:type="dxa"/>
            <w:vAlign w:val="center"/>
            <w:textDirection w:val="lrTb"/>
            <w:noWrap w:val="false"/>
          </w:tcPr>
          <w:p>
            <w:pPr>
              <w:ind w:firstLine="480"/>
              <w:rPr>
                <w:sz w:val="24"/>
                <w:szCs w:val="24"/>
              </w:rPr>
            </w:pPr>
            <w:r>
              <w:rPr>
                <w:sz w:val="24"/>
                <w:szCs w:val="24"/>
              </w:rPr>
            </w:r>
            <w:r/>
          </w:p>
        </w:tc>
        <w:tc>
          <w:tcPr>
            <w:gridSpan w:val="2"/>
            <w:tcW w:w="999" w:type="dxa"/>
            <w:vAlign w:val="center"/>
            <w:textDirection w:val="lrTb"/>
            <w:noWrap w:val="false"/>
          </w:tcPr>
          <w:p>
            <w:pPr>
              <w:ind w:firstLine="0"/>
              <w:rPr>
                <w:sz w:val="24"/>
                <w:szCs w:val="24"/>
              </w:rPr>
            </w:pPr>
            <w:r>
              <w:rPr>
                <w:rFonts w:hint="eastAsia"/>
                <w:sz w:val="24"/>
                <w:szCs w:val="24"/>
              </w:rPr>
              <w:t xml:space="preserve">年龄</w:t>
            </w:r>
            <w:r/>
          </w:p>
        </w:tc>
        <w:tc>
          <w:tcPr>
            <w:gridSpan w:val="2"/>
            <w:tcW w:w="2030" w:type="dxa"/>
            <w:vAlign w:val="center"/>
            <w:textDirection w:val="lrTb"/>
            <w:noWrap w:val="false"/>
          </w:tcPr>
          <w:p>
            <w:pPr>
              <w:ind w:firstLine="480"/>
              <w:rPr>
                <w:sz w:val="24"/>
                <w:szCs w:val="24"/>
              </w:rPr>
            </w:pPr>
            <w:r>
              <w:rPr>
                <w:sz w:val="24"/>
                <w:szCs w:val="24"/>
              </w:rPr>
            </w:r>
            <w:r/>
          </w:p>
        </w:tc>
      </w:tr>
      <w:tr>
        <w:trPr>
          <w:trHeight w:val="454"/>
        </w:trPr>
        <w:tc>
          <w:tcPr>
            <w:tcW w:w="1297" w:type="dxa"/>
            <w:vAlign w:val="center"/>
            <w:textDirection w:val="lrTb"/>
            <w:noWrap w:val="false"/>
          </w:tcPr>
          <w:p>
            <w:pPr>
              <w:ind w:firstLine="480"/>
              <w:rPr>
                <w:sz w:val="24"/>
                <w:szCs w:val="24"/>
              </w:rPr>
            </w:pPr>
            <w:r>
              <w:rPr>
                <w:rFonts w:hint="eastAsia"/>
                <w:sz w:val="24"/>
                <w:szCs w:val="24"/>
              </w:rPr>
              <w:t xml:space="preserve">职务</w:t>
            </w:r>
            <w:r/>
          </w:p>
        </w:tc>
        <w:tc>
          <w:tcPr>
            <w:gridSpan w:val="3"/>
            <w:tcW w:w="2413" w:type="dxa"/>
            <w:vAlign w:val="center"/>
            <w:textDirection w:val="lrTb"/>
            <w:noWrap w:val="false"/>
          </w:tcPr>
          <w:p>
            <w:pPr>
              <w:ind w:firstLine="480"/>
              <w:rPr>
                <w:sz w:val="24"/>
                <w:szCs w:val="24"/>
              </w:rPr>
            </w:pPr>
            <w:r>
              <w:rPr>
                <w:sz w:val="24"/>
                <w:szCs w:val="24"/>
              </w:rPr>
            </w:r>
            <w:r/>
          </w:p>
        </w:tc>
        <w:tc>
          <w:tcPr>
            <w:gridSpan w:val="2"/>
            <w:tcW w:w="778" w:type="dxa"/>
            <w:vAlign w:val="center"/>
            <w:textDirection w:val="lrTb"/>
            <w:noWrap w:val="false"/>
          </w:tcPr>
          <w:p>
            <w:pPr>
              <w:ind w:firstLine="0"/>
              <w:rPr>
                <w:sz w:val="24"/>
                <w:szCs w:val="24"/>
              </w:rPr>
            </w:pPr>
            <w:r>
              <w:rPr>
                <w:rFonts w:hint="eastAsia"/>
                <w:sz w:val="24"/>
                <w:szCs w:val="24"/>
              </w:rPr>
              <w:t xml:space="preserve">学历</w:t>
            </w:r>
            <w:r/>
          </w:p>
        </w:tc>
        <w:tc>
          <w:tcPr>
            <w:gridSpan w:val="6"/>
            <w:tcW w:w="4585" w:type="dxa"/>
            <w:vAlign w:val="center"/>
            <w:textDirection w:val="lrTb"/>
            <w:noWrap w:val="false"/>
          </w:tcPr>
          <w:p>
            <w:pPr>
              <w:ind w:firstLine="480"/>
              <w:rPr>
                <w:sz w:val="24"/>
                <w:szCs w:val="24"/>
              </w:rPr>
            </w:pPr>
            <w:r>
              <w:rPr>
                <w:sz w:val="24"/>
                <w:szCs w:val="24"/>
              </w:rPr>
            </w:r>
            <w:r/>
          </w:p>
        </w:tc>
      </w:tr>
      <w:tr>
        <w:trPr>
          <w:trHeight w:val="454"/>
        </w:trPr>
        <w:tc>
          <w:tcPr>
            <w:gridSpan w:val="3"/>
            <w:tcW w:w="3244" w:type="dxa"/>
            <w:vAlign w:val="center"/>
            <w:textDirection w:val="lrTb"/>
            <w:noWrap w:val="false"/>
          </w:tcPr>
          <w:p>
            <w:pPr>
              <w:ind w:firstLine="0"/>
              <w:rPr>
                <w:sz w:val="24"/>
                <w:szCs w:val="24"/>
              </w:rPr>
            </w:pPr>
            <w:r>
              <w:rPr>
                <w:rFonts w:hint="eastAsia"/>
                <w:sz w:val="24"/>
                <w:szCs w:val="24"/>
              </w:rPr>
              <w:t xml:space="preserve">参加工作时间</w:t>
            </w:r>
            <w:r/>
          </w:p>
        </w:tc>
        <w:tc>
          <w:tcPr>
            <w:gridSpan w:val="9"/>
            <w:tcW w:w="5829" w:type="dxa"/>
            <w:vAlign w:val="center"/>
            <w:textDirection w:val="lrTb"/>
            <w:noWrap w:val="false"/>
          </w:tcPr>
          <w:p>
            <w:pPr>
              <w:ind w:firstLine="480"/>
              <w:rPr>
                <w:sz w:val="24"/>
                <w:szCs w:val="24"/>
              </w:rPr>
            </w:pPr>
            <w:r>
              <w:rPr>
                <w:sz w:val="24"/>
                <w:szCs w:val="24"/>
              </w:rPr>
            </w:r>
            <w:r/>
          </w:p>
        </w:tc>
      </w:tr>
      <w:tr>
        <w:trPr>
          <w:trHeight w:val="454"/>
        </w:trPr>
        <w:tc>
          <w:tcPr>
            <w:gridSpan w:val="12"/>
            <w:tcW w:w="9073" w:type="dxa"/>
            <w:vAlign w:val="center"/>
            <w:textDirection w:val="lrTb"/>
            <w:noWrap w:val="false"/>
          </w:tcPr>
          <w:p>
            <w:pPr>
              <w:ind w:firstLine="0"/>
              <w:rPr>
                <w:sz w:val="24"/>
                <w:szCs w:val="24"/>
              </w:rPr>
            </w:pPr>
            <w:r>
              <w:rPr>
                <w:rFonts w:hint="eastAsia"/>
                <w:sz w:val="24"/>
                <w:szCs w:val="24"/>
              </w:rPr>
              <w:t xml:space="preserve">在服务或已完成类似项目情况</w:t>
            </w:r>
            <w:r/>
          </w:p>
        </w:tc>
      </w:tr>
      <w:tr>
        <w:trPr>
          <w:trHeight w:val="454"/>
        </w:trPr>
        <w:tc>
          <w:tcPr>
            <w:gridSpan w:val="2"/>
            <w:tcW w:w="1983" w:type="dxa"/>
            <w:vAlign w:val="center"/>
            <w:textDirection w:val="lrTb"/>
            <w:noWrap w:val="false"/>
          </w:tcPr>
          <w:p>
            <w:pPr>
              <w:ind w:firstLine="0"/>
              <w:jc w:val="center"/>
              <w:rPr>
                <w:sz w:val="24"/>
                <w:szCs w:val="24"/>
              </w:rPr>
            </w:pPr>
            <w:r>
              <w:rPr>
                <w:rFonts w:hint="eastAsia"/>
                <w:sz w:val="24"/>
                <w:szCs w:val="24"/>
              </w:rPr>
              <w:t xml:space="preserve">业主单位</w:t>
            </w:r>
            <w:r/>
          </w:p>
        </w:tc>
        <w:tc>
          <w:tcPr>
            <w:gridSpan w:val="3"/>
            <w:tcW w:w="2236" w:type="dxa"/>
            <w:vAlign w:val="center"/>
            <w:textDirection w:val="lrTb"/>
            <w:noWrap w:val="false"/>
          </w:tcPr>
          <w:p>
            <w:pPr>
              <w:ind w:firstLine="0"/>
              <w:jc w:val="center"/>
              <w:rPr>
                <w:sz w:val="24"/>
                <w:szCs w:val="24"/>
              </w:rPr>
            </w:pPr>
            <w:r>
              <w:rPr>
                <w:rFonts w:hint="eastAsia"/>
                <w:sz w:val="24"/>
                <w:szCs w:val="24"/>
              </w:rPr>
              <w:t xml:space="preserve">项目名称</w:t>
            </w:r>
            <w:r/>
          </w:p>
        </w:tc>
        <w:tc>
          <w:tcPr>
            <w:gridSpan w:val="2"/>
            <w:tcW w:w="1167" w:type="dxa"/>
            <w:vAlign w:val="center"/>
            <w:textDirection w:val="lrTb"/>
            <w:noWrap w:val="false"/>
          </w:tcPr>
          <w:p>
            <w:pPr>
              <w:ind w:firstLine="0"/>
              <w:jc w:val="center"/>
              <w:rPr>
                <w:sz w:val="24"/>
                <w:szCs w:val="24"/>
              </w:rPr>
            </w:pPr>
            <w:r>
              <w:rPr>
                <w:rFonts w:hint="eastAsia"/>
                <w:sz w:val="24"/>
                <w:szCs w:val="24"/>
              </w:rPr>
              <w:t xml:space="preserve">合同金额</w:t>
            </w:r>
            <w:r/>
          </w:p>
        </w:tc>
        <w:tc>
          <w:tcPr>
            <w:gridSpan w:val="2"/>
            <w:tcW w:w="1163" w:type="dxa"/>
            <w:vAlign w:val="center"/>
            <w:textDirection w:val="lrTb"/>
            <w:noWrap w:val="false"/>
          </w:tcPr>
          <w:p>
            <w:pPr>
              <w:ind w:firstLine="0"/>
              <w:jc w:val="center"/>
              <w:rPr>
                <w:sz w:val="24"/>
                <w:szCs w:val="24"/>
              </w:rPr>
            </w:pPr>
            <w:r>
              <w:rPr>
                <w:rFonts w:hint="eastAsia"/>
                <w:sz w:val="24"/>
                <w:szCs w:val="24"/>
              </w:rPr>
              <w:t xml:space="preserve">合同签订日期</w:t>
            </w:r>
            <w:r/>
          </w:p>
        </w:tc>
        <w:tc>
          <w:tcPr>
            <w:gridSpan w:val="2"/>
            <w:tcW w:w="1263" w:type="dxa"/>
            <w:vAlign w:val="center"/>
            <w:textDirection w:val="lrTb"/>
            <w:noWrap w:val="false"/>
          </w:tcPr>
          <w:p>
            <w:pPr>
              <w:ind w:left="-92" w:firstLine="0"/>
              <w:jc w:val="center"/>
              <w:rPr>
                <w:sz w:val="24"/>
                <w:szCs w:val="24"/>
              </w:rPr>
            </w:pPr>
            <w:r>
              <w:rPr>
                <w:rFonts w:hint="eastAsia"/>
                <w:sz w:val="24"/>
                <w:szCs w:val="24"/>
              </w:rPr>
              <w:t xml:space="preserve">在服务或已完成</w:t>
            </w:r>
            <w:r/>
          </w:p>
        </w:tc>
        <w:tc>
          <w:tcPr>
            <w:tcW w:w="1261" w:type="dxa"/>
            <w:vAlign w:val="center"/>
            <w:textDirection w:val="lrTb"/>
            <w:noWrap w:val="false"/>
          </w:tcPr>
          <w:p>
            <w:pPr>
              <w:ind w:firstLine="0"/>
              <w:jc w:val="center"/>
              <w:rPr>
                <w:sz w:val="24"/>
                <w:szCs w:val="24"/>
              </w:rPr>
            </w:pPr>
            <w:r>
              <w:rPr>
                <w:rFonts w:hint="eastAsia"/>
                <w:sz w:val="24"/>
                <w:szCs w:val="24"/>
              </w:rPr>
              <w:t xml:space="preserve">在该项目中担任职务</w:t>
            </w:r>
            <w:r/>
          </w:p>
        </w:tc>
      </w:tr>
      <w:tr>
        <w:trPr>
          <w:trHeight w:val="454"/>
        </w:trPr>
        <w:tc>
          <w:tcPr>
            <w:gridSpan w:val="2"/>
            <w:tcW w:w="1983" w:type="dxa"/>
            <w:vAlign w:val="center"/>
            <w:textDirection w:val="lrTb"/>
            <w:noWrap w:val="false"/>
          </w:tcPr>
          <w:p>
            <w:pPr>
              <w:ind w:firstLine="480"/>
              <w:rPr>
                <w:sz w:val="24"/>
                <w:szCs w:val="24"/>
              </w:rPr>
            </w:pPr>
            <w:r>
              <w:rPr>
                <w:sz w:val="24"/>
                <w:szCs w:val="24"/>
              </w:rPr>
            </w:r>
            <w:r/>
          </w:p>
        </w:tc>
        <w:tc>
          <w:tcPr>
            <w:gridSpan w:val="3"/>
            <w:tcW w:w="2236" w:type="dxa"/>
            <w:vAlign w:val="center"/>
            <w:textDirection w:val="lrTb"/>
            <w:noWrap w:val="false"/>
          </w:tcPr>
          <w:p>
            <w:pPr>
              <w:ind w:firstLine="480"/>
              <w:rPr>
                <w:sz w:val="24"/>
                <w:szCs w:val="24"/>
              </w:rPr>
            </w:pPr>
            <w:r>
              <w:rPr>
                <w:sz w:val="24"/>
                <w:szCs w:val="24"/>
              </w:rPr>
            </w:r>
            <w:r/>
          </w:p>
        </w:tc>
        <w:tc>
          <w:tcPr>
            <w:gridSpan w:val="2"/>
            <w:tcW w:w="1167" w:type="dxa"/>
            <w:vAlign w:val="center"/>
            <w:textDirection w:val="lrTb"/>
            <w:noWrap w:val="false"/>
          </w:tcPr>
          <w:p>
            <w:pPr>
              <w:ind w:firstLine="480"/>
              <w:rPr>
                <w:sz w:val="24"/>
                <w:szCs w:val="24"/>
              </w:rPr>
            </w:pPr>
            <w:r>
              <w:rPr>
                <w:sz w:val="24"/>
                <w:szCs w:val="24"/>
              </w:rPr>
            </w:r>
            <w:r/>
          </w:p>
        </w:tc>
        <w:tc>
          <w:tcPr>
            <w:gridSpan w:val="2"/>
            <w:tcW w:w="1163" w:type="dxa"/>
            <w:vAlign w:val="center"/>
            <w:textDirection w:val="lrTb"/>
            <w:noWrap w:val="false"/>
          </w:tcPr>
          <w:p>
            <w:pPr>
              <w:ind w:firstLine="480"/>
              <w:rPr>
                <w:sz w:val="24"/>
                <w:szCs w:val="24"/>
              </w:rPr>
            </w:pPr>
            <w:r>
              <w:rPr>
                <w:sz w:val="24"/>
                <w:szCs w:val="24"/>
              </w:rPr>
            </w:r>
            <w:r/>
          </w:p>
        </w:tc>
        <w:tc>
          <w:tcPr>
            <w:gridSpan w:val="2"/>
            <w:tcW w:w="1263" w:type="dxa"/>
            <w:vAlign w:val="center"/>
            <w:textDirection w:val="lrTb"/>
            <w:noWrap w:val="false"/>
          </w:tcPr>
          <w:p>
            <w:pPr>
              <w:ind w:firstLine="480"/>
              <w:rPr>
                <w:sz w:val="24"/>
                <w:szCs w:val="24"/>
              </w:rPr>
            </w:pPr>
            <w:r>
              <w:rPr>
                <w:sz w:val="24"/>
                <w:szCs w:val="24"/>
              </w:rPr>
            </w:r>
            <w:r/>
          </w:p>
        </w:tc>
        <w:tc>
          <w:tcPr>
            <w:tcW w:w="1261" w:type="dxa"/>
            <w:vAlign w:val="center"/>
            <w:textDirection w:val="lrTb"/>
            <w:noWrap w:val="false"/>
          </w:tcPr>
          <w:p>
            <w:pPr>
              <w:ind w:firstLine="480"/>
              <w:rPr>
                <w:sz w:val="24"/>
                <w:szCs w:val="24"/>
              </w:rPr>
            </w:pPr>
            <w:r>
              <w:rPr>
                <w:sz w:val="24"/>
                <w:szCs w:val="24"/>
              </w:rPr>
            </w:r>
            <w:r/>
          </w:p>
        </w:tc>
      </w:tr>
      <w:tr>
        <w:trPr>
          <w:trHeight w:val="454"/>
        </w:trPr>
        <w:tc>
          <w:tcPr>
            <w:gridSpan w:val="2"/>
            <w:tcW w:w="1983" w:type="dxa"/>
            <w:vAlign w:val="center"/>
            <w:textDirection w:val="lrTb"/>
            <w:noWrap w:val="false"/>
          </w:tcPr>
          <w:p>
            <w:pPr>
              <w:ind w:firstLine="480"/>
              <w:rPr>
                <w:sz w:val="24"/>
                <w:szCs w:val="24"/>
              </w:rPr>
            </w:pPr>
            <w:r>
              <w:rPr>
                <w:sz w:val="24"/>
                <w:szCs w:val="24"/>
              </w:rPr>
            </w:r>
            <w:r/>
          </w:p>
        </w:tc>
        <w:tc>
          <w:tcPr>
            <w:gridSpan w:val="3"/>
            <w:tcW w:w="2236" w:type="dxa"/>
            <w:vAlign w:val="center"/>
            <w:textDirection w:val="lrTb"/>
            <w:noWrap w:val="false"/>
          </w:tcPr>
          <w:p>
            <w:pPr>
              <w:ind w:firstLine="480"/>
              <w:rPr>
                <w:sz w:val="24"/>
                <w:szCs w:val="24"/>
              </w:rPr>
            </w:pPr>
            <w:r>
              <w:rPr>
                <w:sz w:val="24"/>
                <w:szCs w:val="24"/>
              </w:rPr>
            </w:r>
            <w:r/>
          </w:p>
        </w:tc>
        <w:tc>
          <w:tcPr>
            <w:gridSpan w:val="2"/>
            <w:tcW w:w="1167" w:type="dxa"/>
            <w:vAlign w:val="center"/>
            <w:textDirection w:val="lrTb"/>
            <w:noWrap w:val="false"/>
          </w:tcPr>
          <w:p>
            <w:pPr>
              <w:ind w:firstLine="480"/>
              <w:rPr>
                <w:sz w:val="24"/>
                <w:szCs w:val="24"/>
              </w:rPr>
            </w:pPr>
            <w:r>
              <w:rPr>
                <w:sz w:val="24"/>
                <w:szCs w:val="24"/>
              </w:rPr>
            </w:r>
            <w:r/>
          </w:p>
        </w:tc>
        <w:tc>
          <w:tcPr>
            <w:gridSpan w:val="2"/>
            <w:tcW w:w="1163" w:type="dxa"/>
            <w:vAlign w:val="center"/>
            <w:textDirection w:val="lrTb"/>
            <w:noWrap w:val="false"/>
          </w:tcPr>
          <w:p>
            <w:pPr>
              <w:ind w:firstLine="480"/>
              <w:rPr>
                <w:sz w:val="24"/>
                <w:szCs w:val="24"/>
              </w:rPr>
            </w:pPr>
            <w:r>
              <w:rPr>
                <w:sz w:val="24"/>
                <w:szCs w:val="24"/>
              </w:rPr>
            </w:r>
            <w:r/>
          </w:p>
        </w:tc>
        <w:tc>
          <w:tcPr>
            <w:gridSpan w:val="2"/>
            <w:tcW w:w="1263" w:type="dxa"/>
            <w:vAlign w:val="center"/>
            <w:textDirection w:val="lrTb"/>
            <w:noWrap w:val="false"/>
          </w:tcPr>
          <w:p>
            <w:pPr>
              <w:ind w:firstLine="480"/>
              <w:rPr>
                <w:sz w:val="24"/>
                <w:szCs w:val="24"/>
              </w:rPr>
            </w:pPr>
            <w:r>
              <w:rPr>
                <w:sz w:val="24"/>
                <w:szCs w:val="24"/>
              </w:rPr>
            </w:r>
            <w:r/>
          </w:p>
        </w:tc>
        <w:tc>
          <w:tcPr>
            <w:tcW w:w="1261" w:type="dxa"/>
            <w:vAlign w:val="center"/>
            <w:textDirection w:val="lrTb"/>
            <w:noWrap w:val="false"/>
          </w:tcPr>
          <w:p>
            <w:pPr>
              <w:ind w:firstLine="480"/>
              <w:rPr>
                <w:sz w:val="24"/>
                <w:szCs w:val="24"/>
              </w:rPr>
            </w:pPr>
            <w:r>
              <w:rPr>
                <w:sz w:val="24"/>
                <w:szCs w:val="24"/>
              </w:rPr>
            </w:r>
            <w:r/>
          </w:p>
        </w:tc>
      </w:tr>
      <w:tr>
        <w:trPr>
          <w:trHeight w:val="454"/>
        </w:trPr>
        <w:tc>
          <w:tcPr>
            <w:gridSpan w:val="2"/>
            <w:tcW w:w="1983" w:type="dxa"/>
            <w:vAlign w:val="center"/>
            <w:textDirection w:val="lrTb"/>
            <w:noWrap w:val="false"/>
          </w:tcPr>
          <w:p>
            <w:pPr>
              <w:ind w:firstLine="480"/>
              <w:rPr>
                <w:sz w:val="24"/>
                <w:szCs w:val="24"/>
              </w:rPr>
            </w:pPr>
            <w:r>
              <w:rPr>
                <w:sz w:val="24"/>
                <w:szCs w:val="24"/>
              </w:rPr>
            </w:r>
            <w:r/>
          </w:p>
        </w:tc>
        <w:tc>
          <w:tcPr>
            <w:gridSpan w:val="3"/>
            <w:tcW w:w="2236" w:type="dxa"/>
            <w:vAlign w:val="center"/>
            <w:textDirection w:val="lrTb"/>
            <w:noWrap w:val="false"/>
          </w:tcPr>
          <w:p>
            <w:pPr>
              <w:ind w:firstLine="480"/>
              <w:rPr>
                <w:sz w:val="24"/>
                <w:szCs w:val="24"/>
              </w:rPr>
            </w:pPr>
            <w:r>
              <w:rPr>
                <w:sz w:val="24"/>
                <w:szCs w:val="24"/>
              </w:rPr>
            </w:r>
            <w:r/>
          </w:p>
        </w:tc>
        <w:tc>
          <w:tcPr>
            <w:gridSpan w:val="2"/>
            <w:tcW w:w="1167" w:type="dxa"/>
            <w:vAlign w:val="center"/>
            <w:textDirection w:val="lrTb"/>
            <w:noWrap w:val="false"/>
          </w:tcPr>
          <w:p>
            <w:pPr>
              <w:ind w:firstLine="480"/>
              <w:rPr>
                <w:sz w:val="24"/>
                <w:szCs w:val="24"/>
              </w:rPr>
            </w:pPr>
            <w:r>
              <w:rPr>
                <w:sz w:val="24"/>
                <w:szCs w:val="24"/>
              </w:rPr>
            </w:r>
            <w:r/>
          </w:p>
        </w:tc>
        <w:tc>
          <w:tcPr>
            <w:gridSpan w:val="2"/>
            <w:tcW w:w="1163" w:type="dxa"/>
            <w:vAlign w:val="center"/>
            <w:textDirection w:val="lrTb"/>
            <w:noWrap w:val="false"/>
          </w:tcPr>
          <w:p>
            <w:pPr>
              <w:ind w:firstLine="480"/>
              <w:rPr>
                <w:sz w:val="24"/>
                <w:szCs w:val="24"/>
              </w:rPr>
            </w:pPr>
            <w:r>
              <w:rPr>
                <w:sz w:val="24"/>
                <w:szCs w:val="24"/>
              </w:rPr>
            </w:r>
            <w:r/>
          </w:p>
        </w:tc>
        <w:tc>
          <w:tcPr>
            <w:gridSpan w:val="2"/>
            <w:tcW w:w="1263" w:type="dxa"/>
            <w:vAlign w:val="center"/>
            <w:textDirection w:val="lrTb"/>
            <w:noWrap w:val="false"/>
          </w:tcPr>
          <w:p>
            <w:pPr>
              <w:ind w:firstLine="480"/>
              <w:rPr>
                <w:sz w:val="24"/>
                <w:szCs w:val="24"/>
              </w:rPr>
            </w:pPr>
            <w:r>
              <w:rPr>
                <w:sz w:val="24"/>
                <w:szCs w:val="24"/>
              </w:rPr>
            </w:r>
            <w:r/>
          </w:p>
        </w:tc>
        <w:tc>
          <w:tcPr>
            <w:tcW w:w="1261" w:type="dxa"/>
            <w:vAlign w:val="center"/>
            <w:textDirection w:val="lrTb"/>
            <w:noWrap w:val="false"/>
          </w:tcPr>
          <w:p>
            <w:pPr>
              <w:ind w:firstLine="480"/>
              <w:rPr>
                <w:sz w:val="24"/>
                <w:szCs w:val="24"/>
              </w:rPr>
            </w:pPr>
            <w:r>
              <w:rPr>
                <w:sz w:val="24"/>
                <w:szCs w:val="24"/>
              </w:rPr>
            </w:r>
            <w:r/>
          </w:p>
        </w:tc>
      </w:tr>
      <w:tr>
        <w:trPr>
          <w:trHeight w:val="454"/>
        </w:trPr>
        <w:tc>
          <w:tcPr>
            <w:gridSpan w:val="2"/>
            <w:tcW w:w="1983" w:type="dxa"/>
            <w:vAlign w:val="center"/>
            <w:textDirection w:val="lrTb"/>
            <w:noWrap w:val="false"/>
          </w:tcPr>
          <w:p>
            <w:pPr>
              <w:ind w:firstLine="480"/>
              <w:rPr>
                <w:sz w:val="24"/>
                <w:szCs w:val="24"/>
              </w:rPr>
            </w:pPr>
            <w:r>
              <w:rPr>
                <w:sz w:val="24"/>
                <w:szCs w:val="24"/>
              </w:rPr>
            </w:r>
            <w:r/>
          </w:p>
        </w:tc>
        <w:tc>
          <w:tcPr>
            <w:gridSpan w:val="3"/>
            <w:tcW w:w="2236" w:type="dxa"/>
            <w:vAlign w:val="center"/>
            <w:textDirection w:val="lrTb"/>
            <w:noWrap w:val="false"/>
          </w:tcPr>
          <w:p>
            <w:pPr>
              <w:ind w:firstLine="480"/>
              <w:rPr>
                <w:sz w:val="24"/>
                <w:szCs w:val="24"/>
              </w:rPr>
            </w:pPr>
            <w:r>
              <w:rPr>
                <w:sz w:val="24"/>
                <w:szCs w:val="24"/>
              </w:rPr>
            </w:r>
            <w:r/>
          </w:p>
        </w:tc>
        <w:tc>
          <w:tcPr>
            <w:gridSpan w:val="2"/>
            <w:tcW w:w="1167" w:type="dxa"/>
            <w:vAlign w:val="center"/>
            <w:textDirection w:val="lrTb"/>
            <w:noWrap w:val="false"/>
          </w:tcPr>
          <w:p>
            <w:pPr>
              <w:ind w:firstLine="480"/>
              <w:rPr>
                <w:sz w:val="24"/>
                <w:szCs w:val="24"/>
              </w:rPr>
            </w:pPr>
            <w:r>
              <w:rPr>
                <w:sz w:val="24"/>
                <w:szCs w:val="24"/>
              </w:rPr>
            </w:r>
            <w:r/>
          </w:p>
        </w:tc>
        <w:tc>
          <w:tcPr>
            <w:gridSpan w:val="2"/>
            <w:tcW w:w="1163" w:type="dxa"/>
            <w:vAlign w:val="center"/>
            <w:textDirection w:val="lrTb"/>
            <w:noWrap w:val="false"/>
          </w:tcPr>
          <w:p>
            <w:pPr>
              <w:ind w:firstLine="480"/>
              <w:rPr>
                <w:sz w:val="24"/>
                <w:szCs w:val="24"/>
              </w:rPr>
            </w:pPr>
            <w:r>
              <w:rPr>
                <w:sz w:val="24"/>
                <w:szCs w:val="24"/>
              </w:rPr>
            </w:r>
            <w:r/>
          </w:p>
        </w:tc>
        <w:tc>
          <w:tcPr>
            <w:gridSpan w:val="2"/>
            <w:tcW w:w="1263" w:type="dxa"/>
            <w:vAlign w:val="center"/>
            <w:textDirection w:val="lrTb"/>
            <w:noWrap w:val="false"/>
          </w:tcPr>
          <w:p>
            <w:pPr>
              <w:ind w:firstLine="480"/>
              <w:rPr>
                <w:sz w:val="24"/>
                <w:szCs w:val="24"/>
              </w:rPr>
            </w:pPr>
            <w:r>
              <w:rPr>
                <w:sz w:val="24"/>
                <w:szCs w:val="24"/>
              </w:rPr>
            </w:r>
            <w:r/>
          </w:p>
        </w:tc>
        <w:tc>
          <w:tcPr>
            <w:tcW w:w="1261" w:type="dxa"/>
            <w:vAlign w:val="center"/>
            <w:textDirection w:val="lrTb"/>
            <w:noWrap w:val="false"/>
          </w:tcPr>
          <w:p>
            <w:pPr>
              <w:ind w:firstLine="480"/>
              <w:rPr>
                <w:sz w:val="24"/>
                <w:szCs w:val="24"/>
              </w:rPr>
            </w:pPr>
            <w:r>
              <w:rPr>
                <w:sz w:val="24"/>
                <w:szCs w:val="24"/>
              </w:rPr>
            </w:r>
            <w:r/>
          </w:p>
        </w:tc>
      </w:tr>
    </w:tbl>
    <w:p>
      <w:pPr>
        <w:ind w:firstLine="480"/>
        <w:spacing w:line="520" w:lineRule="atLeast"/>
        <w:widowControl/>
      </w:pPr>
      <w:r>
        <w:rPr>
          <w:rFonts w:hint="eastAsia"/>
          <w:sz w:val="24"/>
          <w:szCs w:val="24"/>
        </w:rPr>
        <w:t xml:space="preserve">注：项目主要人员（项目负责人）均须填写此表，并附相应证书及相关材料扫描件。</w:t>
      </w:r>
      <w:r/>
    </w:p>
    <w:p>
      <w:pPr>
        <w:numPr>
          <w:ilvl w:val="0"/>
          <w:numId w:val="16"/>
        </w:num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其他部分</w:t>
      </w:r>
      <w:r/>
    </w:p>
    <w:p>
      <w:pPr>
        <w:pStyle w:val="1222"/>
        <w:ind w:firstLine="480"/>
      </w:pPr>
      <w:r>
        <w:rPr>
          <w:rFonts w:hint="eastAsia"/>
        </w:rPr>
        <w:t xml:space="preserve">投标人根据编制投标文件需要提供的其他相关文件。</w:t>
      </w:r>
      <w:r/>
    </w:p>
    <w:p>
      <w:pPr>
        <w:pStyle w:val="849"/>
        <w:ind w:firstLine="420"/>
      </w:pPr>
      <w:r/>
      <w:r/>
    </w:p>
    <w:p>
      <w:pPr>
        <w:numPr>
          <w:ilvl w:val="0"/>
          <w:numId w:val="16"/>
        </w:numPr>
        <w:ind w:firstLine="0"/>
        <w:jc w:val="center"/>
        <w:widowControl/>
        <w:rPr>
          <w:b/>
          <w:sz w:val="32"/>
          <w:szCs w:val="32"/>
        </w:rPr>
      </w:pPr>
      <w:r>
        <w:rPr>
          <w:rFonts w:hint="eastAsia"/>
        </w:rPr>
        <w:br w:type="page" w:clear="all"/>
      </w:r>
      <w:r>
        <w:rPr>
          <w:rFonts w:hint="eastAsia"/>
          <w:b/>
          <w:sz w:val="32"/>
          <w:szCs w:val="32"/>
        </w:rPr>
        <w:t xml:space="preserve">技术方案</w:t>
      </w:r>
      <w:r/>
    </w:p>
    <w:p>
      <w:pPr>
        <w:ind w:firstLine="0"/>
        <w:jc w:val="center"/>
        <w:widowControl/>
        <w:rPr>
          <w:b/>
          <w:sz w:val="24"/>
          <w:szCs w:val="24"/>
        </w:rPr>
      </w:pPr>
      <w:r>
        <w:rPr>
          <w:rFonts w:hint="eastAsia"/>
          <w:b/>
          <w:sz w:val="24"/>
          <w:szCs w:val="24"/>
        </w:rPr>
        <w:t xml:space="preserve">（暗标，技术方案具体内容参见评标办法相关要求）</w:t>
      </w:r>
      <w:r/>
    </w:p>
    <w:p>
      <w:pPr>
        <w:ind w:firstLine="482"/>
        <w:jc w:val="left"/>
        <w:spacing w:line="360" w:lineRule="auto"/>
        <w:shd w:val="clear" w:color="auto" w:fill="ffffff"/>
        <w:widowControl/>
        <w:rPr>
          <w:b/>
          <w:bCs/>
          <w:sz w:val="24"/>
          <w:szCs w:val="24"/>
        </w:rPr>
      </w:pPr>
      <w:r>
        <w:rPr>
          <w:rFonts w:hint="eastAsia"/>
          <w:b/>
          <w:bCs/>
          <w:sz w:val="24"/>
          <w:szCs w:val="24"/>
        </w:rPr>
        <w:t xml:space="preserve">暗标编制要求如下：</w:t>
      </w:r>
      <w:r/>
    </w:p>
    <w:p>
      <w:pPr>
        <w:ind w:firstLine="482"/>
        <w:spacing w:line="360" w:lineRule="auto"/>
        <w:rPr>
          <w:rFonts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cs="Times New Roman"/>
          <w:b/>
          <w:sz w:val="24"/>
        </w:rPr>
        <w:t xml:space="preserve">⑤不得有其他体现投标供应商身份的内容。</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mbria Math">
    <w:panose1 w:val="02040503050406030204"/>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jc w:val="center"/>
    </w:pPr>
    <w:r>
      <w:fldChar w:fldCharType="begin"/>
    </w:r>
    <w:r>
      <w:instrText xml:space="preserve"> PAGE   \* MERGEFORMAT </w:instrText>
    </w:r>
    <w:r>
      <w:fldChar w:fldCharType="separate"/>
    </w:r>
    <w:r>
      <w:rPr>
        <w:lang w:val="zh-CN"/>
      </w:rPr>
      <w:t xml:space="preserve">6</w:t>
    </w:r>
    <w:r>
      <w:rPr>
        <w:lang w:val="zh-CN"/>
      </w:rPr>
      <w:fldChar w:fldCharType="end"/>
    </w:r>
    <w:r/>
  </w:p>
  <w:p>
    <w:pPr>
      <w:pStyle w:val="84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jc w:val="center"/>
    </w:pPr>
    <w:r>
      <w:fldChar w:fldCharType="begin"/>
    </w:r>
    <w:r>
      <w:instrText xml:space="preserve">PAGE   \* MERGEFORMAT</w:instrText>
    </w:r>
    <w:r>
      <w:fldChar w:fldCharType="separate"/>
    </w:r>
    <w:r>
      <w:rPr>
        <w:lang w:val="zh-CN"/>
      </w:rPr>
      <w:t xml:space="preserve">45</w:t>
    </w:r>
    <w:r>
      <w:fldChar w:fldCharType="end"/>
    </w:r>
    <w:r/>
  </w:p>
  <w:p>
    <w:pPr>
      <w:ind w:firstLine="4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rPr>
        <w:rStyle w:val="874"/>
      </w:rPr>
      <w:framePr w:wrap="around" w:vAnchor="text" w:hAnchor="margin" w:xAlign="center" w:y="1"/>
    </w:pPr>
    <w:r>
      <w:fldChar w:fldCharType="begin"/>
    </w:r>
    <w:r>
      <w:rPr>
        <w:rStyle w:val="874"/>
      </w:rPr>
      <w:instrText xml:space="preserve">PAGE  </w:instrText>
    </w:r>
    <w:r>
      <w:fldChar w:fldCharType="end"/>
    </w:r>
    <w:r/>
  </w:p>
  <w:p>
    <w:pPr>
      <w:pStyle w:val="848"/>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lowerLetter"/>
      <w:pStyle w:val="832"/>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
    <w:multiLevelType w:val="hybridMultilevel"/>
    <w:lvl w:ilvl="0">
      <w:start w:val="1"/>
      <w:numFmt w:val="chineseCountingThousand"/>
      <w:pStyle w:val="809"/>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18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12"/>
      <w:isLgl w:val="false"/>
      <w:suff w:val="tab"/>
      <w:lvlText w:val="%1.%2.%3.%4.%5"/>
      <w:lvlJc w:val="left"/>
      <w:pPr>
        <w:ind w:left="1843" w:hanging="992"/>
        <w:tabs>
          <w:tab w:val="left" w:pos="1931" w:leader="none"/>
        </w:tabs>
      </w:pPr>
      <w:rPr>
        <w:rFonts w:hint="eastAsia"/>
      </w:rPr>
    </w:lvl>
    <w:lvl w:ilvl="5">
      <w:start w:val="1"/>
      <w:numFmt w:val="decimal"/>
      <w:pStyle w:val="81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4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4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3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723" w:hanging="360"/>
      </w:pPr>
      <w:rPr>
        <w:rFonts w:ascii="Courier New" w:hAnsi="Courier New" w:eastAsia="Courier New" w:cs="Courier New"/>
      </w:rPr>
    </w:lvl>
    <w:lvl w:ilvl="2">
      <w:start w:val="1"/>
      <w:numFmt w:val="bullet"/>
      <w:isLgl w:val="false"/>
      <w:suff w:val="tab"/>
      <w:lvlText w:val="§"/>
      <w:lvlJc w:val="left"/>
      <w:pPr>
        <w:ind w:left="2443" w:hanging="360"/>
      </w:pPr>
      <w:rPr>
        <w:rFonts w:ascii="Wingdings" w:hAnsi="Wingdings" w:eastAsia="Wingdings" w:cs="Wingdings"/>
      </w:rPr>
    </w:lvl>
    <w:lvl w:ilvl="3">
      <w:start w:val="1"/>
      <w:numFmt w:val="bullet"/>
      <w:isLgl w:val="false"/>
      <w:suff w:val="tab"/>
      <w:lvlText w:val="·"/>
      <w:lvlJc w:val="left"/>
      <w:pPr>
        <w:ind w:left="3163" w:hanging="360"/>
      </w:pPr>
      <w:rPr>
        <w:rFonts w:ascii="Symbol" w:hAnsi="Symbol" w:eastAsia="Symbol" w:cs="Symbol"/>
      </w:rPr>
    </w:lvl>
    <w:lvl w:ilvl="4">
      <w:start w:val="1"/>
      <w:numFmt w:val="bullet"/>
      <w:isLgl w:val="false"/>
      <w:suff w:val="tab"/>
      <w:lvlText w:val="o"/>
      <w:lvlJc w:val="left"/>
      <w:pPr>
        <w:ind w:left="3883" w:hanging="360"/>
      </w:pPr>
      <w:rPr>
        <w:rFonts w:ascii="Courier New" w:hAnsi="Courier New" w:eastAsia="Courier New" w:cs="Courier New"/>
      </w:rPr>
    </w:lvl>
    <w:lvl w:ilvl="5">
      <w:start w:val="1"/>
      <w:numFmt w:val="bullet"/>
      <w:isLgl w:val="false"/>
      <w:suff w:val="tab"/>
      <w:lvlText w:val="§"/>
      <w:lvlJc w:val="left"/>
      <w:pPr>
        <w:ind w:left="4603" w:hanging="360"/>
      </w:pPr>
      <w:rPr>
        <w:rFonts w:ascii="Wingdings" w:hAnsi="Wingdings" w:eastAsia="Wingdings" w:cs="Wingdings"/>
      </w:rPr>
    </w:lvl>
    <w:lvl w:ilvl="6">
      <w:start w:val="1"/>
      <w:numFmt w:val="bullet"/>
      <w:isLgl w:val="false"/>
      <w:suff w:val="tab"/>
      <w:lvlText w:val="·"/>
      <w:lvlJc w:val="left"/>
      <w:pPr>
        <w:ind w:left="5323" w:hanging="360"/>
      </w:pPr>
      <w:rPr>
        <w:rFonts w:ascii="Symbol" w:hAnsi="Symbol" w:eastAsia="Symbol" w:cs="Symbol"/>
      </w:rPr>
    </w:lvl>
    <w:lvl w:ilvl="7">
      <w:start w:val="1"/>
      <w:numFmt w:val="bullet"/>
      <w:isLgl w:val="false"/>
      <w:suff w:val="tab"/>
      <w:lvlText w:val="o"/>
      <w:lvlJc w:val="left"/>
      <w:pPr>
        <w:ind w:left="6043" w:hanging="360"/>
      </w:pPr>
      <w:rPr>
        <w:rFonts w:ascii="Courier New" w:hAnsi="Courier New" w:eastAsia="Courier New" w:cs="Courier New"/>
      </w:rPr>
    </w:lvl>
    <w:lvl w:ilvl="8">
      <w:start w:val="1"/>
      <w:numFmt w:val="bullet"/>
      <w:isLgl w:val="false"/>
      <w:suff w:val="tab"/>
      <w:lvlText w:val="§"/>
      <w:lvlJc w:val="left"/>
      <w:pPr>
        <w:ind w:left="6763"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4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10"/>
  </w:num>
  <w:num w:numId="4">
    <w:abstractNumId w:val="6"/>
  </w:num>
  <w:num w:numId="5">
    <w:abstractNumId w:val="0"/>
  </w:num>
  <w:num w:numId="6">
    <w:abstractNumId w:val="14"/>
  </w:num>
  <w:num w:numId="7">
    <w:abstractNumId w:val="15"/>
  </w:num>
  <w:num w:numId="8">
    <w:abstractNumId w:val="8"/>
  </w:num>
  <w:num w:numId="9">
    <w:abstractNumId w:val="3"/>
  </w:num>
  <w:num w:numId="10">
    <w:abstractNumId w:val="5"/>
  </w:num>
  <w:num w:numId="11">
    <w:abstractNumId w:val="13"/>
  </w:num>
  <w:num w:numId="12">
    <w:abstractNumId w:val="11"/>
  </w:num>
  <w:num w:numId="13">
    <w:abstractNumId w:val="12"/>
  </w:num>
  <w:num w:numId="14">
    <w:abstractNumId w:val="7"/>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18"/>
    <w:link w:val="812"/>
    <w:uiPriority w:val="9"/>
    <w:rPr>
      <w:rFonts w:ascii="Arial" w:hAnsi="Arial" w:eastAsia="Arial" w:cs="Arial"/>
      <w:b/>
      <w:bCs/>
      <w:sz w:val="26"/>
      <w:szCs w:val="26"/>
    </w:rPr>
  </w:style>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8" w:default="1">
    <w:name w:val="Normal"/>
    <w:qFormat/>
    <w:pPr>
      <w:ind w:firstLine="1044"/>
      <w:jc w:val="both"/>
      <w:widowControl w:val="off"/>
    </w:pPr>
    <w:rPr>
      <w:rFonts w:ascii="宋体" w:hAnsi="宋体" w:cs="宋体"/>
      <w:sz w:val="21"/>
      <w:szCs w:val="21"/>
    </w:rPr>
  </w:style>
  <w:style w:type="paragraph" w:styleId="809">
    <w:name w:val="Heading 1"/>
    <w:basedOn w:val="808"/>
    <w:next w:val="808"/>
    <w:link w:val="1027"/>
    <w:uiPriority w:val="9"/>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10">
    <w:name w:val="Heading 2"/>
    <w:basedOn w:val="808"/>
    <w:next w:val="808"/>
    <w:link w:val="1028"/>
    <w:uiPriority w:val="9"/>
    <w:qFormat/>
    <w:pPr>
      <w:keepLines/>
      <w:keepNext/>
      <w:spacing w:before="260" w:after="260"/>
      <w:outlineLvl w:val="1"/>
    </w:pPr>
    <w:rPr>
      <w:b/>
      <w:bCs/>
      <w:sz w:val="24"/>
      <w:szCs w:val="32"/>
    </w:rPr>
  </w:style>
  <w:style w:type="paragraph" w:styleId="811">
    <w:name w:val="Heading 3"/>
    <w:basedOn w:val="808"/>
    <w:next w:val="808"/>
    <w:link w:val="1029"/>
    <w:uiPriority w:val="9"/>
    <w:qFormat/>
    <w:pPr>
      <w:ind w:firstLine="522"/>
      <w:keepLines/>
      <w:keepNext/>
      <w:spacing w:before="20" w:after="20"/>
      <w:outlineLvl w:val="2"/>
    </w:pPr>
    <w:rPr>
      <w:rFonts w:cs="Times New Roman"/>
    </w:rPr>
  </w:style>
  <w:style w:type="paragraph" w:styleId="812">
    <w:name w:val="Heading 4"/>
    <w:basedOn w:val="808"/>
    <w:next w:val="808"/>
    <w:link w:val="882"/>
    <w:qFormat/>
    <w:pPr>
      <w:numPr>
        <w:ilvl w:val="4"/>
        <w:numId w:val="1"/>
      </w:numPr>
      <w:keepLines/>
      <w:keepNext/>
      <w:spacing w:before="280" w:after="290" w:line="376" w:lineRule="auto"/>
      <w:outlineLvl w:val="3"/>
    </w:pPr>
    <w:rPr>
      <w:rFonts w:ascii="Arial" w:hAnsi="Arial" w:eastAsia="黑体"/>
      <w:b/>
      <w:bCs/>
      <w:sz w:val="28"/>
      <w:szCs w:val="28"/>
    </w:rPr>
  </w:style>
  <w:style w:type="paragraph" w:styleId="813">
    <w:name w:val="Heading 5"/>
    <w:basedOn w:val="808"/>
    <w:next w:val="808"/>
    <w:link w:val="103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4">
    <w:name w:val="Heading 6"/>
    <w:basedOn w:val="808"/>
    <w:next w:val="808"/>
    <w:link w:val="1031"/>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5">
    <w:name w:val="Heading 7"/>
    <w:basedOn w:val="808"/>
    <w:next w:val="808"/>
    <w:link w:val="1032"/>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6">
    <w:name w:val="Heading 8"/>
    <w:basedOn w:val="808"/>
    <w:next w:val="808"/>
    <w:link w:val="1033"/>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7">
    <w:name w:val="Heading 9"/>
    <w:basedOn w:val="808"/>
    <w:next w:val="808"/>
    <w:link w:val="1034"/>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toc 7"/>
    <w:basedOn w:val="808"/>
    <w:next w:val="808"/>
    <w:uiPriority w:val="39"/>
    <w:unhideWhenUsed/>
    <w:qFormat/>
    <w:pPr>
      <w:ind w:left="1701" w:firstLine="0"/>
      <w:spacing w:after="57"/>
    </w:pPr>
  </w:style>
  <w:style w:type="paragraph" w:styleId="822">
    <w:name w:val="index 8"/>
    <w:basedOn w:val="808"/>
    <w:next w:val="808"/>
    <w:qFormat/>
    <w:pPr>
      <w:ind w:left="1400"/>
    </w:pPr>
    <w:rPr>
      <w:szCs w:val="20"/>
    </w:rPr>
  </w:style>
  <w:style w:type="paragraph" w:styleId="823">
    <w:name w:val="Normal Indent"/>
    <w:basedOn w:val="808"/>
    <w:link w:val="1036"/>
    <w:qFormat/>
    <w:pPr>
      <w:ind w:left="1200" w:hanging="1200"/>
      <w:jc w:val="center"/>
      <w:spacing w:line="360" w:lineRule="atLeast"/>
    </w:pPr>
    <w:rPr>
      <w:sz w:val="24"/>
      <w:szCs w:val="20"/>
    </w:rPr>
  </w:style>
  <w:style w:type="paragraph" w:styleId="824">
    <w:name w:val="Caption"/>
    <w:basedOn w:val="808"/>
    <w:next w:val="808"/>
    <w:qFormat/>
    <w:rPr>
      <w:rFonts w:ascii="Arial" w:hAnsi="Arial" w:eastAsia="黑体" w:cs="Arial"/>
      <w:sz w:val="20"/>
      <w:szCs w:val="20"/>
    </w:rPr>
  </w:style>
  <w:style w:type="paragraph" w:styleId="825">
    <w:name w:val="index 5"/>
    <w:basedOn w:val="808"/>
    <w:next w:val="808"/>
    <w:qFormat/>
    <w:pPr>
      <w:ind w:left="800"/>
    </w:pPr>
    <w:rPr>
      <w:szCs w:val="20"/>
    </w:rPr>
  </w:style>
  <w:style w:type="paragraph" w:styleId="826">
    <w:name w:val="Document Map"/>
    <w:basedOn w:val="808"/>
    <w:link w:val="1037"/>
    <w:qFormat/>
    <w:pPr>
      <w:shd w:val="clear" w:color="auto" w:fill="000080"/>
    </w:pPr>
    <w:rPr>
      <w:rFonts w:ascii="Times New Roman" w:hAnsi="Times New Roman" w:cs="Times New Roman"/>
      <w:szCs w:val="24"/>
    </w:rPr>
  </w:style>
  <w:style w:type="paragraph" w:styleId="827">
    <w:name w:val="annotation text"/>
    <w:basedOn w:val="808"/>
    <w:link w:val="1038"/>
    <w:uiPriority w:val="99"/>
    <w:qFormat/>
    <w:pPr>
      <w:jc w:val="left"/>
    </w:pPr>
    <w:rPr>
      <w:rFonts w:ascii="Times New Roman" w:hAnsi="Times New Roman" w:cs="Times New Roman"/>
      <w:szCs w:val="24"/>
    </w:rPr>
  </w:style>
  <w:style w:type="paragraph" w:styleId="828">
    <w:name w:val="index 6"/>
    <w:basedOn w:val="808"/>
    <w:next w:val="808"/>
    <w:qFormat/>
    <w:pPr>
      <w:ind w:left="1000"/>
    </w:pPr>
    <w:rPr>
      <w:szCs w:val="20"/>
    </w:rPr>
  </w:style>
  <w:style w:type="paragraph" w:styleId="829">
    <w:name w:val="Salutation"/>
    <w:basedOn w:val="808"/>
    <w:next w:val="808"/>
    <w:link w:val="1039"/>
    <w:qFormat/>
    <w:pPr>
      <w:ind w:firstLine="420"/>
      <w:spacing w:after="20" w:line="288" w:lineRule="auto"/>
    </w:pPr>
    <w:rPr>
      <w:rFonts w:ascii="Times New Roman" w:hAnsi="Times New Roman" w:cs="Times New Roman"/>
      <w:sz w:val="28"/>
      <w:szCs w:val="24"/>
    </w:rPr>
  </w:style>
  <w:style w:type="paragraph" w:styleId="830">
    <w:name w:val="Body Text 3"/>
    <w:basedOn w:val="808"/>
    <w:link w:val="1040"/>
    <w:qFormat/>
    <w:pPr>
      <w:jc w:val="center"/>
      <w:spacing w:after="20" w:line="288" w:lineRule="auto"/>
    </w:pPr>
    <w:rPr>
      <w:rFonts w:ascii="Times New Roman" w:hAnsi="Times New Roman" w:cs="Times New Roman"/>
      <w:b/>
      <w:bCs/>
      <w:sz w:val="24"/>
      <w:szCs w:val="24"/>
    </w:rPr>
  </w:style>
  <w:style w:type="paragraph" w:styleId="831">
    <w:name w:val="Closing"/>
    <w:basedOn w:val="808"/>
    <w:link w:val="1041"/>
    <w:qFormat/>
    <w:pPr>
      <w:ind w:left="100" w:firstLine="420"/>
      <w:spacing w:after="20" w:line="288" w:lineRule="auto"/>
    </w:pPr>
    <w:rPr>
      <w:rFonts w:ascii="Times New Roman" w:hAnsi="Times New Roman" w:cs="Times New Roman"/>
      <w:sz w:val="28"/>
      <w:szCs w:val="24"/>
    </w:rPr>
  </w:style>
  <w:style w:type="paragraph" w:styleId="832">
    <w:name w:val="List Bullet 3"/>
    <w:basedOn w:val="808"/>
    <w:qFormat/>
    <w:pPr>
      <w:numPr>
        <w:numId w:val="2"/>
      </w:numPr>
    </w:pPr>
  </w:style>
  <w:style w:type="paragraph" w:styleId="833">
    <w:name w:val="Body Text"/>
    <w:basedOn w:val="808"/>
    <w:next w:val="808"/>
    <w:link w:val="1042"/>
    <w:qFormat/>
    <w:rPr>
      <w:rFonts w:ascii="仿宋_GB2312" w:hAnsi="Times New Roman" w:eastAsia="仿宋_GB2312" w:cs="Times New Roman"/>
      <w:sz w:val="28"/>
      <w:szCs w:val="20"/>
    </w:rPr>
  </w:style>
  <w:style w:type="paragraph" w:styleId="834">
    <w:name w:val="Body Text Indent"/>
    <w:basedOn w:val="808"/>
    <w:link w:val="1043"/>
    <w:qFormat/>
    <w:pPr>
      <w:ind w:left="156"/>
      <w:spacing w:line="300" w:lineRule="auto"/>
      <w:widowControl/>
    </w:pPr>
    <w:rPr>
      <w:rFonts w:ascii="仿宋_GB2312" w:hAnsi="Times New Roman" w:eastAsia="仿宋_GB2312" w:cs="Times New Roman"/>
      <w:sz w:val="28"/>
      <w:szCs w:val="20"/>
    </w:rPr>
  </w:style>
  <w:style w:type="paragraph" w:styleId="835">
    <w:name w:val="Block Text"/>
    <w:basedOn w:val="808"/>
    <w:qFormat/>
    <w:pPr>
      <w:ind w:left="420" w:right="33"/>
      <w:jc w:val="left"/>
    </w:pPr>
    <w:rPr>
      <w:sz w:val="24"/>
      <w:szCs w:val="20"/>
    </w:rPr>
  </w:style>
  <w:style w:type="paragraph" w:styleId="836">
    <w:name w:val="List Bullet 2"/>
    <w:basedOn w:val="808"/>
    <w:qFormat/>
    <w:pPr>
      <w:numPr>
        <w:numId w:val="3"/>
      </w:numPr>
      <w:ind w:left="780"/>
      <w:tabs>
        <w:tab w:val="left" w:pos="780" w:leader="none"/>
      </w:tabs>
    </w:pPr>
  </w:style>
  <w:style w:type="paragraph" w:styleId="837">
    <w:name w:val="index 4"/>
    <w:basedOn w:val="808"/>
    <w:next w:val="808"/>
    <w:qFormat/>
    <w:pPr>
      <w:ind w:left="600"/>
    </w:pPr>
    <w:rPr>
      <w:szCs w:val="20"/>
    </w:rPr>
  </w:style>
  <w:style w:type="paragraph" w:styleId="838">
    <w:name w:val="toc 5"/>
    <w:basedOn w:val="808"/>
    <w:next w:val="808"/>
    <w:uiPriority w:val="39"/>
    <w:unhideWhenUsed/>
    <w:qFormat/>
    <w:pPr>
      <w:ind w:left="1134" w:firstLine="0"/>
      <w:spacing w:after="57"/>
    </w:pPr>
  </w:style>
  <w:style w:type="paragraph" w:styleId="839">
    <w:name w:val="toc 3"/>
    <w:basedOn w:val="808"/>
    <w:next w:val="808"/>
    <w:uiPriority w:val="39"/>
    <w:unhideWhenUsed/>
    <w:qFormat/>
    <w:pPr>
      <w:ind w:left="567" w:firstLine="0"/>
      <w:spacing w:after="57"/>
    </w:pPr>
  </w:style>
  <w:style w:type="paragraph" w:styleId="840">
    <w:name w:val="Plain Text"/>
    <w:basedOn w:val="808"/>
    <w:link w:val="1046"/>
    <w:qFormat/>
    <w:rPr>
      <w:rFonts w:hint="eastAsia" w:hAnsi="Courier New" w:eastAsia="楷体_GB2312" w:cs="Times New Roman"/>
      <w:sz w:val="26"/>
      <w:szCs w:val="24"/>
    </w:rPr>
  </w:style>
  <w:style w:type="paragraph" w:styleId="841">
    <w:name w:val="List Bullet 5"/>
    <w:basedOn w:val="808"/>
    <w:qFormat/>
    <w:pPr>
      <w:numPr>
        <w:numId w:val="4"/>
      </w:numPr>
      <w:spacing w:line="360" w:lineRule="exact"/>
      <w:widowControl/>
    </w:pPr>
    <w:rPr>
      <w:rFonts w:eastAsia="楷体_GB2312"/>
      <w:sz w:val="24"/>
      <w:szCs w:val="20"/>
    </w:rPr>
  </w:style>
  <w:style w:type="paragraph" w:styleId="842">
    <w:name w:val="toc 8"/>
    <w:basedOn w:val="808"/>
    <w:next w:val="808"/>
    <w:uiPriority w:val="39"/>
    <w:unhideWhenUsed/>
    <w:qFormat/>
    <w:pPr>
      <w:ind w:left="1984" w:firstLine="0"/>
      <w:spacing w:after="57"/>
    </w:pPr>
  </w:style>
  <w:style w:type="paragraph" w:styleId="843">
    <w:name w:val="index 3"/>
    <w:basedOn w:val="808"/>
    <w:next w:val="808"/>
    <w:qFormat/>
    <w:pPr>
      <w:ind w:left="400"/>
    </w:pPr>
    <w:rPr>
      <w:szCs w:val="20"/>
    </w:rPr>
  </w:style>
  <w:style w:type="paragraph" w:styleId="844">
    <w:name w:val="Date"/>
    <w:basedOn w:val="808"/>
    <w:next w:val="808"/>
    <w:link w:val="1048"/>
    <w:qFormat/>
    <w:pPr>
      <w:ind w:left="100"/>
    </w:pPr>
    <w:rPr>
      <w:rFonts w:ascii="楷体_GB2312" w:hAnsi="Times New Roman" w:eastAsia="楷体_GB2312" w:cs="Times New Roman"/>
      <w:b/>
      <w:sz w:val="28"/>
      <w:szCs w:val="24"/>
    </w:rPr>
  </w:style>
  <w:style w:type="paragraph" w:styleId="845">
    <w:name w:val="Body Text Indent 2"/>
    <w:basedOn w:val="808"/>
    <w:link w:val="1049"/>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46">
    <w:name w:val="endnote text"/>
    <w:basedOn w:val="808"/>
    <w:link w:val="1050"/>
    <w:qFormat/>
    <w:pPr>
      <w:ind w:firstLine="0"/>
      <w:jc w:val="left"/>
    </w:pPr>
    <w:rPr>
      <w:rFonts w:ascii="Calibri" w:hAnsi="Calibri" w:cs="Times New Roman"/>
      <w:szCs w:val="24"/>
    </w:rPr>
  </w:style>
  <w:style w:type="paragraph" w:styleId="847">
    <w:name w:val="Balloon Text"/>
    <w:basedOn w:val="808"/>
    <w:link w:val="1051"/>
    <w:qFormat/>
    <w:rPr>
      <w:rFonts w:ascii="Times New Roman" w:hAnsi="Times New Roman" w:cs="Times New Roman"/>
      <w:sz w:val="18"/>
      <w:szCs w:val="18"/>
    </w:rPr>
  </w:style>
  <w:style w:type="paragraph" w:styleId="848">
    <w:name w:val="Footer"/>
    <w:basedOn w:val="808"/>
    <w:link w:val="1052"/>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49">
    <w:name w:val="envelope return"/>
    <w:basedOn w:val="808"/>
    <w:uiPriority w:val="99"/>
    <w:unhideWhenUsed/>
    <w:qFormat/>
    <w:rPr>
      <w:rFonts w:ascii="Arial" w:hAnsi="Arial" w:cs="Arial"/>
    </w:rPr>
  </w:style>
  <w:style w:type="paragraph" w:styleId="850">
    <w:name w:val="Header"/>
    <w:basedOn w:val="808"/>
    <w:link w:val="1053"/>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51">
    <w:name w:val="toc 1"/>
    <w:basedOn w:val="808"/>
    <w:next w:val="808"/>
    <w:uiPriority w:val="39"/>
    <w:unhideWhenUsed/>
    <w:qFormat/>
    <w:pPr>
      <w:ind w:firstLine="0"/>
      <w:spacing w:after="57"/>
    </w:pPr>
  </w:style>
  <w:style w:type="paragraph" w:styleId="852">
    <w:name w:val="toc 4"/>
    <w:basedOn w:val="808"/>
    <w:next w:val="808"/>
    <w:uiPriority w:val="39"/>
    <w:unhideWhenUsed/>
    <w:qFormat/>
    <w:pPr>
      <w:ind w:left="850" w:firstLine="0"/>
      <w:spacing w:after="57"/>
    </w:pPr>
  </w:style>
  <w:style w:type="paragraph" w:styleId="853">
    <w:name w:val="Subtitle"/>
    <w:basedOn w:val="808"/>
    <w:next w:val="808"/>
    <w:link w:val="1056"/>
    <w:qFormat/>
    <w:pPr>
      <w:jc w:val="center"/>
      <w:spacing w:before="240" w:after="60" w:line="312" w:lineRule="auto"/>
      <w:outlineLvl w:val="1"/>
    </w:pPr>
    <w:rPr>
      <w:rFonts w:ascii="幼圆" w:hAnsi="幼圆" w:cs="Times New Roman"/>
      <w:b/>
      <w:bCs/>
      <w:sz w:val="32"/>
      <w:szCs w:val="32"/>
    </w:rPr>
  </w:style>
  <w:style w:type="paragraph" w:styleId="854">
    <w:name w:val="List"/>
    <w:basedOn w:val="808"/>
    <w:qFormat/>
    <w:pPr>
      <w:numPr>
        <w:numId w:val="5"/>
      </w:numPr>
      <w:spacing w:after="20" w:line="288" w:lineRule="auto"/>
    </w:pPr>
    <w:rPr>
      <w:szCs w:val="20"/>
      <w:lang w:val="en-GB"/>
    </w:rPr>
  </w:style>
  <w:style w:type="paragraph" w:styleId="855">
    <w:name w:val="footnote text"/>
    <w:basedOn w:val="808"/>
    <w:link w:val="1057"/>
    <w:uiPriority w:val="99"/>
    <w:qFormat/>
    <w:pPr>
      <w:ind w:firstLine="425"/>
      <w:jc w:val="left"/>
      <w:spacing w:after="60" w:line="360" w:lineRule="exact"/>
    </w:pPr>
    <w:rPr>
      <w:rFonts w:ascii="Times New Roman" w:hAnsi="Times New Roman" w:cs="Times New Roman"/>
      <w:sz w:val="18"/>
      <w:szCs w:val="18"/>
    </w:rPr>
  </w:style>
  <w:style w:type="paragraph" w:styleId="856">
    <w:name w:val="toc 6"/>
    <w:basedOn w:val="808"/>
    <w:next w:val="808"/>
    <w:uiPriority w:val="39"/>
    <w:unhideWhenUsed/>
    <w:qFormat/>
    <w:pPr>
      <w:ind w:left="1417" w:firstLine="0"/>
      <w:spacing w:after="57"/>
    </w:pPr>
  </w:style>
  <w:style w:type="paragraph" w:styleId="857">
    <w:name w:val="Body Text Indent 3"/>
    <w:basedOn w:val="808"/>
    <w:link w:val="1059"/>
    <w:qFormat/>
    <w:pPr>
      <w:ind w:firstLine="698"/>
      <w:jc w:val="left"/>
      <w:spacing w:line="360" w:lineRule="auto"/>
    </w:pPr>
    <w:rPr>
      <w:rFonts w:ascii="仿宋_GB2312" w:hAnsi="Times New Roman" w:eastAsia="仿宋_GB2312" w:cs="Times New Roman"/>
      <w:sz w:val="32"/>
      <w:szCs w:val="20"/>
    </w:rPr>
  </w:style>
  <w:style w:type="paragraph" w:styleId="858">
    <w:name w:val="index 7"/>
    <w:basedOn w:val="808"/>
    <w:next w:val="808"/>
    <w:qFormat/>
    <w:pPr>
      <w:ind w:left="1200"/>
    </w:pPr>
    <w:rPr>
      <w:szCs w:val="20"/>
    </w:rPr>
  </w:style>
  <w:style w:type="paragraph" w:styleId="859">
    <w:name w:val="index 9"/>
    <w:basedOn w:val="808"/>
    <w:next w:val="808"/>
    <w:qFormat/>
    <w:pPr>
      <w:ind w:left="1600"/>
    </w:pPr>
    <w:rPr>
      <w:szCs w:val="20"/>
    </w:rPr>
  </w:style>
  <w:style w:type="paragraph" w:styleId="860">
    <w:name w:val="table of figures"/>
    <w:basedOn w:val="808"/>
    <w:next w:val="808"/>
    <w:uiPriority w:val="99"/>
    <w:unhideWhenUsed/>
    <w:qFormat/>
  </w:style>
  <w:style w:type="paragraph" w:styleId="861">
    <w:name w:val="toc 2"/>
    <w:basedOn w:val="808"/>
    <w:next w:val="808"/>
    <w:uiPriority w:val="39"/>
    <w:unhideWhenUsed/>
    <w:qFormat/>
    <w:pPr>
      <w:ind w:left="283" w:firstLine="0"/>
      <w:spacing w:after="57"/>
    </w:pPr>
  </w:style>
  <w:style w:type="paragraph" w:styleId="862">
    <w:name w:val="toc 9"/>
    <w:basedOn w:val="808"/>
    <w:next w:val="808"/>
    <w:uiPriority w:val="39"/>
    <w:unhideWhenUsed/>
    <w:qFormat/>
    <w:pPr>
      <w:ind w:left="2268" w:firstLine="0"/>
      <w:spacing w:after="57"/>
    </w:pPr>
  </w:style>
  <w:style w:type="paragraph" w:styleId="863">
    <w:name w:val="Body Text 2"/>
    <w:basedOn w:val="808"/>
    <w:link w:val="1062"/>
    <w:qFormat/>
    <w:pPr>
      <w:ind w:firstLine="420"/>
      <w:spacing w:after="20" w:line="720" w:lineRule="auto"/>
    </w:pPr>
    <w:rPr>
      <w:rFonts w:ascii="Times New Roman" w:hAnsi="Times New Roman" w:cs="Times New Roman"/>
      <w:sz w:val="30"/>
      <w:szCs w:val="24"/>
    </w:rPr>
  </w:style>
  <w:style w:type="paragraph" w:styleId="864">
    <w:name w:val="HTML Preformatted"/>
    <w:basedOn w:val="808"/>
    <w:link w:val="1063"/>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65">
    <w:name w:val="Normal (Web)"/>
    <w:basedOn w:val="808"/>
    <w:link w:val="1064"/>
    <w:qFormat/>
    <w:pPr>
      <w:ind w:firstLine="420"/>
      <w:jc w:val="left"/>
      <w:spacing w:before="100" w:beforeAutospacing="1" w:after="100" w:afterAutospacing="1" w:line="288" w:lineRule="auto"/>
      <w:widowControl/>
    </w:pPr>
    <w:rPr>
      <w:rFonts w:cs="Times New Roman"/>
      <w:sz w:val="24"/>
      <w:szCs w:val="24"/>
    </w:rPr>
  </w:style>
  <w:style w:type="paragraph" w:styleId="866">
    <w:name w:val="index 1"/>
    <w:basedOn w:val="808"/>
    <w:next w:val="808"/>
    <w:qFormat/>
    <w:rPr>
      <w:szCs w:val="20"/>
    </w:rPr>
  </w:style>
  <w:style w:type="paragraph" w:styleId="867">
    <w:name w:val="index 2"/>
    <w:basedOn w:val="808"/>
    <w:next w:val="808"/>
    <w:qFormat/>
    <w:pPr>
      <w:ind w:left="200"/>
    </w:pPr>
    <w:rPr>
      <w:szCs w:val="20"/>
    </w:rPr>
  </w:style>
  <w:style w:type="paragraph" w:styleId="868">
    <w:name w:val="Title"/>
    <w:basedOn w:val="808"/>
    <w:link w:val="1065"/>
    <w:qFormat/>
    <w:pPr>
      <w:ind w:firstLine="420"/>
      <w:jc w:val="center"/>
      <w:spacing w:before="240" w:after="60" w:line="288" w:lineRule="auto"/>
      <w:outlineLvl w:val="0"/>
    </w:pPr>
    <w:rPr>
      <w:rFonts w:ascii="Arial" w:hAnsi="Arial" w:cs="Times New Roman"/>
      <w:b/>
      <w:bCs/>
      <w:sz w:val="32"/>
      <w:szCs w:val="32"/>
    </w:rPr>
  </w:style>
  <w:style w:type="paragraph" w:styleId="869">
    <w:name w:val="annotation subject"/>
    <w:basedOn w:val="827"/>
    <w:next w:val="827"/>
    <w:link w:val="1066"/>
    <w:uiPriority w:val="99"/>
    <w:qFormat/>
    <w:rPr>
      <w:b/>
      <w:bCs/>
    </w:rPr>
  </w:style>
  <w:style w:type="table" w:styleId="870">
    <w:name w:val="Table Grid"/>
    <w:basedOn w:val="8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1">
    <w:name w:val="Table Grid 2"/>
    <w:basedOn w:val="819"/>
    <w:qFormat/>
    <w:pPr>
      <w:jc w:val="both"/>
      <w:widowControl w:val="off"/>
    </w:pPr>
    <w:tblPr>
      <w:tblBorders>
        <w:insideH w:val="single" w:color="000000" w:sz="6" w:space="0"/>
        <w:insideV w:val="single" w:color="000000" w:sz="6" w:space="0"/>
      </w:tblBorders>
    </w:tbl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character" w:styleId="872">
    <w:name w:val="Strong"/>
    <w:qFormat/>
    <w:rPr>
      <w:b/>
      <w:bCs/>
    </w:rPr>
  </w:style>
  <w:style w:type="character" w:styleId="873">
    <w:name w:val="endnote reference"/>
    <w:qFormat/>
    <w:rPr>
      <w:vertAlign w:val="superscript"/>
    </w:rPr>
  </w:style>
  <w:style w:type="character" w:styleId="874">
    <w:name w:val="page number"/>
    <w:qFormat/>
  </w:style>
  <w:style w:type="character" w:styleId="875">
    <w:name w:val="Emphasis"/>
    <w:qFormat/>
    <w:rPr>
      <w:i/>
    </w:rPr>
  </w:style>
  <w:style w:type="character" w:styleId="876">
    <w:name w:val="Hyperlink"/>
    <w:uiPriority w:val="99"/>
    <w:qFormat/>
    <w:rPr>
      <w:color w:val="0000ff"/>
      <w:u w:val="single"/>
    </w:rPr>
  </w:style>
  <w:style w:type="character" w:styleId="877">
    <w:name w:val="annotation reference"/>
    <w:uiPriority w:val="99"/>
    <w:qFormat/>
    <w:rPr>
      <w:sz w:val="21"/>
      <w:szCs w:val="21"/>
    </w:rPr>
  </w:style>
  <w:style w:type="character" w:styleId="878">
    <w:name w:val="footnote reference"/>
    <w:uiPriority w:val="99"/>
    <w:qFormat/>
    <w:rPr>
      <w:rFonts w:ascii="宋体" w:hAnsi="宋体" w:eastAsia="宋体"/>
      <w:vertAlign w:val="superscript"/>
    </w:rPr>
  </w:style>
  <w:style w:type="character" w:styleId="879" w:customStyle="1">
    <w:name w:val="Heading 1 Char"/>
    <w:uiPriority w:val="9"/>
    <w:qFormat/>
    <w:rPr>
      <w:rFonts w:ascii="Arial" w:hAnsi="Arial" w:eastAsia="Arial" w:cs="Arial"/>
      <w:sz w:val="40"/>
      <w:szCs w:val="40"/>
    </w:rPr>
  </w:style>
  <w:style w:type="character" w:styleId="880" w:customStyle="1">
    <w:name w:val="Heading 2 Char"/>
    <w:uiPriority w:val="9"/>
    <w:qFormat/>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标题 4 字符"/>
    <w:link w:val="812"/>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paragraph" w:styleId="888">
    <w:name w:val="List Paragraph"/>
    <w:basedOn w:val="808"/>
    <w:uiPriority w:val="34"/>
    <w:qFormat/>
    <w:pPr>
      <w:contextualSpacing/>
      <w:ind w:left="720"/>
    </w:pPr>
  </w:style>
  <w:style w:type="paragraph" w:styleId="889">
    <w:name w:val="No Spacing"/>
    <w:qFormat/>
    <w:pPr>
      <w:jc w:val="both"/>
      <w:widowControl w:val="off"/>
    </w:pPr>
    <w:rPr>
      <w:rFonts w:ascii="仿宋_GB2312" w:hAnsi="仿宋_GB2312" w:eastAsia="华文细黑" w:cs="Cambria"/>
      <w:sz w:val="21"/>
      <w:szCs w:val="22"/>
    </w:rPr>
  </w:style>
  <w:style w:type="character" w:styleId="890" w:customStyle="1">
    <w:name w:val="Title Char"/>
    <w:uiPriority w:val="10"/>
    <w:qFormat/>
    <w:rPr>
      <w:sz w:val="48"/>
      <w:szCs w:val="48"/>
    </w:rPr>
  </w:style>
  <w:style w:type="character" w:styleId="891" w:customStyle="1">
    <w:name w:val="Subtitle Char"/>
    <w:uiPriority w:val="11"/>
    <w:qFormat/>
    <w:rPr>
      <w:sz w:val="24"/>
      <w:szCs w:val="24"/>
    </w:rPr>
  </w:style>
  <w:style w:type="paragraph" w:styleId="892">
    <w:name w:val="Quote"/>
    <w:basedOn w:val="808"/>
    <w:next w:val="808"/>
    <w:link w:val="1108"/>
    <w:qFormat/>
    <w:rPr>
      <w:rFonts w:ascii="Times New Roman" w:hAnsi="Times New Roman" w:cs="Times New Roman"/>
      <w:i/>
      <w:iCs/>
      <w:color w:val="000000"/>
      <w:szCs w:val="22"/>
    </w:rPr>
  </w:style>
  <w:style w:type="character" w:styleId="893" w:customStyle="1">
    <w:name w:val="Quote Char"/>
    <w:uiPriority w:val="29"/>
    <w:qFormat/>
    <w:rPr>
      <w:i/>
    </w:rPr>
  </w:style>
  <w:style w:type="paragraph" w:styleId="894">
    <w:name w:val="Intense Quote"/>
    <w:basedOn w:val="808"/>
    <w:next w:val="808"/>
    <w:link w:val="1139"/>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895" w:customStyle="1">
    <w:name w:val="Intense Quote Char"/>
    <w:uiPriority w:val="30"/>
    <w:qFormat/>
    <w:rPr>
      <w:i/>
    </w:rPr>
  </w:style>
  <w:style w:type="character" w:styleId="896" w:customStyle="1">
    <w:name w:val="Header Char"/>
    <w:uiPriority w:val="99"/>
    <w:qFormat/>
  </w:style>
  <w:style w:type="character" w:styleId="897" w:customStyle="1">
    <w:name w:val="Footer Char"/>
    <w:uiPriority w:val="99"/>
    <w:qFormat/>
  </w:style>
  <w:style w:type="character" w:styleId="898" w:customStyle="1">
    <w:name w:val="Caption Char"/>
    <w:uiPriority w:val="99"/>
    <w:qFormat/>
  </w:style>
  <w:style w:type="table" w:styleId="8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2" w:customStyle="1">
    <w:name w:val="无格式表格 31"/>
    <w:uiPriority w:val="99"/>
    <w:qFormat/>
    <w:tblPr>
      <w:tblCellMar>
        <w:left w:w="0" w:type="dxa"/>
        <w:top w:w="0" w:type="dxa"/>
        <w:right w:w="0" w:type="dxa"/>
        <w:bottom w:w="0" w:type="dxa"/>
      </w:tblCellMar>
    </w:tblPr>
  </w:style>
  <w:style w:type="table" w:styleId="903" w:customStyle="1">
    <w:name w:val="无格式表格 41"/>
    <w:uiPriority w:val="99"/>
    <w:qFormat/>
    <w:tblPr>
      <w:tblCellMar>
        <w:left w:w="0" w:type="dxa"/>
        <w:top w:w="0" w:type="dxa"/>
        <w:right w:w="0" w:type="dxa"/>
        <w:bottom w:w="0" w:type="dxa"/>
      </w:tblCellMar>
    </w:tblPr>
  </w:style>
  <w:style w:type="table" w:styleId="904" w:customStyle="1">
    <w:name w:val="无格式表格 51"/>
    <w:uiPriority w:val="99"/>
    <w:qFormat/>
    <w:tblPr>
      <w:tblCellMar>
        <w:left w:w="0" w:type="dxa"/>
        <w:top w:w="0" w:type="dxa"/>
        <w:right w:w="0" w:type="dxa"/>
        <w:bottom w:w="0" w:type="dxa"/>
      </w:tblCellMar>
    </w:tblPr>
  </w:style>
  <w:style w:type="table" w:styleId="90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4" w:customStyle="1">
    <w:name w:val="清单表 1 浅色1"/>
    <w:uiPriority w:val="99"/>
    <w:qFormat/>
    <w:tblPr>
      <w:tblCellMar>
        <w:left w:w="0" w:type="dxa"/>
        <w:top w:w="0" w:type="dxa"/>
        <w:right w:w="0" w:type="dxa"/>
        <w:bottom w:w="0" w:type="dxa"/>
      </w:tblCellMar>
    </w:tblPr>
  </w:style>
  <w:style w:type="table" w:styleId="955" w:customStyle="1">
    <w:name w:val="List Table 1 Light - Accent 1"/>
    <w:uiPriority w:val="99"/>
    <w:qFormat/>
    <w:tblPr>
      <w:tblCellMar>
        <w:left w:w="0" w:type="dxa"/>
        <w:top w:w="0" w:type="dxa"/>
        <w:right w:w="0" w:type="dxa"/>
        <w:bottom w:w="0" w:type="dxa"/>
      </w:tblCellMar>
    </w:tblPr>
  </w:style>
  <w:style w:type="table" w:styleId="956" w:customStyle="1">
    <w:name w:val="List Table 1 Light - Accent 2"/>
    <w:uiPriority w:val="99"/>
    <w:qFormat/>
    <w:tblPr>
      <w:tblCellMar>
        <w:left w:w="0" w:type="dxa"/>
        <w:top w:w="0" w:type="dxa"/>
        <w:right w:w="0" w:type="dxa"/>
        <w:bottom w:w="0" w:type="dxa"/>
      </w:tblCellMar>
    </w:tblPr>
  </w:style>
  <w:style w:type="table" w:styleId="957" w:customStyle="1">
    <w:name w:val="List Table 1 Light - Accent 3"/>
    <w:uiPriority w:val="99"/>
    <w:qFormat/>
    <w:tblPr>
      <w:tblCellMar>
        <w:left w:w="0" w:type="dxa"/>
        <w:top w:w="0" w:type="dxa"/>
        <w:right w:w="0" w:type="dxa"/>
        <w:bottom w:w="0" w:type="dxa"/>
      </w:tblCellMar>
    </w:tblPr>
  </w:style>
  <w:style w:type="table" w:styleId="958" w:customStyle="1">
    <w:name w:val="List Table 1 Light - Accent 4"/>
    <w:uiPriority w:val="99"/>
    <w:qFormat/>
    <w:tblPr>
      <w:tblCellMar>
        <w:left w:w="0" w:type="dxa"/>
        <w:top w:w="0" w:type="dxa"/>
        <w:right w:w="0" w:type="dxa"/>
        <w:bottom w:w="0" w:type="dxa"/>
      </w:tblCellMar>
    </w:tblPr>
  </w:style>
  <w:style w:type="table" w:styleId="959" w:customStyle="1">
    <w:name w:val="List Table 1 Light - Accent 5"/>
    <w:uiPriority w:val="99"/>
    <w:qFormat/>
    <w:tblPr>
      <w:tblCellMar>
        <w:left w:w="0" w:type="dxa"/>
        <w:top w:w="0" w:type="dxa"/>
        <w:right w:w="0" w:type="dxa"/>
        <w:bottom w:w="0" w:type="dxa"/>
      </w:tblCellMar>
    </w:tblPr>
  </w:style>
  <w:style w:type="table" w:styleId="960" w:customStyle="1">
    <w:name w:val="List Table 1 Light - Accent 6"/>
    <w:uiPriority w:val="99"/>
    <w:qFormat/>
    <w:tblPr>
      <w:tblCellMar>
        <w:left w:w="0" w:type="dxa"/>
        <w:top w:w="0" w:type="dxa"/>
        <w:right w:w="0" w:type="dxa"/>
        <w:bottom w:w="0" w:type="dxa"/>
      </w:tblCellMar>
    </w:tblPr>
  </w:style>
  <w:style w:type="table" w:styleId="96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3" w:customStyle="1">
    <w:name w:val="Lined - Accent"/>
    <w:uiPriority w:val="99"/>
    <w:qFormat/>
    <w:rPr>
      <w:color w:val="404040"/>
    </w:rPr>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Lined - Accent 2"/>
    <w:uiPriority w:val="99"/>
    <w:qFormat/>
    <w:rPr>
      <w:color w:val="404040"/>
    </w:rPr>
    <w:tblPr>
      <w:tblCellMar>
        <w:left w:w="0" w:type="dxa"/>
        <w:top w:w="0" w:type="dxa"/>
        <w:right w:w="0" w:type="dxa"/>
        <w:bottom w:w="0" w:type="dxa"/>
      </w:tblCellMar>
    </w:tblPr>
  </w:style>
  <w:style w:type="table" w:styleId="1006" w:customStyle="1">
    <w:name w:val="Lined - Accent 3"/>
    <w:uiPriority w:val="99"/>
    <w:qFormat/>
    <w:rPr>
      <w:color w:val="404040"/>
    </w:rPr>
    <w:tblPr>
      <w:tblCellMar>
        <w:left w:w="0" w:type="dxa"/>
        <w:top w:w="0" w:type="dxa"/>
        <w:right w:w="0" w:type="dxa"/>
        <w:bottom w:w="0" w:type="dxa"/>
      </w:tblCellMar>
    </w:tblPr>
  </w:style>
  <w:style w:type="table" w:styleId="1007" w:customStyle="1">
    <w:name w:val="Lined - Accent 4"/>
    <w:uiPriority w:val="99"/>
    <w:qFormat/>
    <w:rPr>
      <w:color w:val="404040"/>
    </w:rPr>
    <w:tblPr>
      <w:tblCellMar>
        <w:left w:w="0" w:type="dxa"/>
        <w:top w:w="0" w:type="dxa"/>
        <w:right w:w="0" w:type="dxa"/>
        <w:bottom w:w="0" w:type="dxa"/>
      </w:tblCellMar>
    </w:tblPr>
  </w:style>
  <w:style w:type="table" w:styleId="1008" w:customStyle="1">
    <w:name w:val="Lined - Accent 5"/>
    <w:uiPriority w:val="99"/>
    <w:qFormat/>
    <w:rPr>
      <w:color w:val="404040"/>
    </w:rPr>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
    <w:basedOn w:val="809"/>
    <w:next w:val="808"/>
    <w:qFormat/>
    <w:pPr>
      <w:numPr>
        <w:numId w:val="0"/>
      </w:numPr>
      <w:jc w:val="both"/>
      <w:outlineLvl w:val="9"/>
    </w:pPr>
    <w:rPr>
      <w:rFonts w:ascii="Cambria" w:hAnsi="Cambria" w:eastAsia="华文细黑" w:cs="Cambria"/>
    </w:rPr>
  </w:style>
  <w:style w:type="character" w:styleId="1027" w:customStyle="1">
    <w:name w:val="标题 1 字符"/>
    <w:link w:val="809"/>
    <w:uiPriority w:val="9"/>
    <w:qFormat/>
    <w:rPr>
      <w:rFonts w:ascii="黑体" w:eastAsia="黑体"/>
      <w:b/>
      <w:bCs/>
      <w:sz w:val="44"/>
      <w:szCs w:val="44"/>
    </w:rPr>
  </w:style>
  <w:style w:type="character" w:styleId="1028" w:customStyle="1">
    <w:name w:val="标题 2 字符"/>
    <w:link w:val="810"/>
    <w:uiPriority w:val="9"/>
    <w:qFormat/>
    <w:rPr>
      <w:rFonts w:ascii="宋体" w:hAnsi="宋体"/>
      <w:b/>
      <w:bCs/>
      <w:sz w:val="24"/>
      <w:szCs w:val="32"/>
      <w:lang w:bidi="ar-SA"/>
    </w:rPr>
  </w:style>
  <w:style w:type="character" w:styleId="1029" w:customStyle="1">
    <w:name w:val="标题 3 字符"/>
    <w:link w:val="811"/>
    <w:uiPriority w:val="9"/>
    <w:qFormat/>
    <w:rPr>
      <w:rFonts w:ascii="宋体" w:hAnsi="宋体"/>
      <w:sz w:val="21"/>
      <w:szCs w:val="21"/>
      <w:lang w:bidi="ar-SA"/>
    </w:rPr>
  </w:style>
  <w:style w:type="character" w:styleId="1030" w:customStyle="1">
    <w:name w:val="标题 5 字符"/>
    <w:link w:val="813"/>
    <w:qFormat/>
    <w:rPr>
      <w:rFonts w:ascii="黑体" w:eastAsia="黑体"/>
      <w:b/>
      <w:bCs/>
      <w:sz w:val="28"/>
      <w:szCs w:val="28"/>
    </w:rPr>
  </w:style>
  <w:style w:type="character" w:styleId="1031" w:customStyle="1">
    <w:name w:val="标题 6 字符"/>
    <w:link w:val="814"/>
    <w:qFormat/>
    <w:rPr>
      <w:rFonts w:ascii="Arial" w:hAnsi="Arial" w:eastAsia="黑体"/>
      <w:b/>
      <w:sz w:val="24"/>
      <w:szCs w:val="24"/>
    </w:rPr>
  </w:style>
  <w:style w:type="character" w:styleId="1032" w:customStyle="1">
    <w:name w:val="标题 7 字符"/>
    <w:link w:val="815"/>
    <w:qFormat/>
    <w:rPr>
      <w:b/>
      <w:sz w:val="24"/>
      <w:szCs w:val="24"/>
    </w:rPr>
  </w:style>
  <w:style w:type="character" w:styleId="1033" w:customStyle="1">
    <w:name w:val="标题 8 字符"/>
    <w:link w:val="816"/>
    <w:qFormat/>
    <w:rPr>
      <w:rFonts w:ascii="Arial" w:hAnsi="Arial" w:eastAsia="黑体"/>
      <w:sz w:val="24"/>
      <w:szCs w:val="24"/>
    </w:rPr>
  </w:style>
  <w:style w:type="character" w:styleId="1034" w:customStyle="1">
    <w:name w:val="标题 9 字符"/>
    <w:link w:val="817"/>
    <w:qFormat/>
    <w:rPr>
      <w:rFonts w:ascii="Arial" w:hAnsi="Arial" w:eastAsia="黑体"/>
      <w:sz w:val="21"/>
      <w:szCs w:val="24"/>
    </w:rPr>
  </w:style>
  <w:style w:type="paragraph" w:styleId="1035" w:customStyle="1">
    <w:name w:val="目录 71"/>
    <w:basedOn w:val="808"/>
    <w:next w:val="808"/>
    <w:uiPriority w:val="39"/>
    <w:qFormat/>
    <w:pPr>
      <w:ind w:left="1260" w:firstLine="420"/>
      <w:jc w:val="left"/>
      <w:spacing w:line="288" w:lineRule="auto"/>
    </w:pPr>
    <w:rPr>
      <w:sz w:val="18"/>
      <w:szCs w:val="18"/>
    </w:rPr>
  </w:style>
  <w:style w:type="character" w:styleId="1036" w:customStyle="1">
    <w:name w:val="正文缩进 字符"/>
    <w:link w:val="823"/>
    <w:qFormat/>
  </w:style>
  <w:style w:type="character" w:styleId="1037" w:customStyle="1">
    <w:name w:val="文档结构图 字符"/>
    <w:link w:val="826"/>
    <w:qFormat/>
    <w:rPr>
      <w:sz w:val="21"/>
      <w:szCs w:val="24"/>
      <w:shd w:val="clear" w:color="auto" w:fill="000080"/>
    </w:rPr>
  </w:style>
  <w:style w:type="character" w:styleId="1038" w:customStyle="1">
    <w:name w:val="批注文字 字符"/>
    <w:link w:val="827"/>
    <w:uiPriority w:val="99"/>
    <w:qFormat/>
    <w:rPr>
      <w:sz w:val="21"/>
      <w:szCs w:val="24"/>
    </w:rPr>
  </w:style>
  <w:style w:type="character" w:styleId="1039" w:customStyle="1">
    <w:name w:val="称呼 字符"/>
    <w:link w:val="829"/>
    <w:qFormat/>
    <w:rPr>
      <w:sz w:val="28"/>
      <w:szCs w:val="24"/>
    </w:rPr>
  </w:style>
  <w:style w:type="character" w:styleId="1040" w:customStyle="1">
    <w:name w:val="正文文本 3 字符"/>
    <w:link w:val="830"/>
    <w:qFormat/>
    <w:rPr>
      <w:b/>
      <w:bCs/>
      <w:sz w:val="24"/>
      <w:szCs w:val="24"/>
    </w:rPr>
  </w:style>
  <w:style w:type="character" w:styleId="1041" w:customStyle="1">
    <w:name w:val="结束语 字符"/>
    <w:link w:val="831"/>
    <w:qFormat/>
    <w:rPr>
      <w:sz w:val="28"/>
      <w:szCs w:val="24"/>
    </w:rPr>
  </w:style>
  <w:style w:type="character" w:styleId="1042" w:customStyle="1">
    <w:name w:val="正文文本 字符"/>
    <w:link w:val="833"/>
    <w:qFormat/>
    <w:rPr>
      <w:rFonts w:ascii="仿宋_GB2312" w:eastAsia="仿宋_GB2312"/>
      <w:sz w:val="28"/>
    </w:rPr>
  </w:style>
  <w:style w:type="character" w:styleId="1043" w:customStyle="1">
    <w:name w:val="正文文本缩进 字符"/>
    <w:link w:val="834"/>
    <w:qFormat/>
    <w:rPr>
      <w:rFonts w:ascii="仿宋_GB2312" w:eastAsia="仿宋_GB2312"/>
      <w:sz w:val="28"/>
    </w:rPr>
  </w:style>
  <w:style w:type="paragraph" w:styleId="1044" w:customStyle="1">
    <w:name w:val="目录 51"/>
    <w:basedOn w:val="808"/>
    <w:next w:val="808"/>
    <w:uiPriority w:val="39"/>
    <w:qFormat/>
    <w:pPr>
      <w:ind w:left="840" w:firstLine="420"/>
      <w:jc w:val="left"/>
      <w:spacing w:line="288" w:lineRule="auto"/>
    </w:pPr>
    <w:rPr>
      <w:sz w:val="18"/>
      <w:szCs w:val="18"/>
    </w:rPr>
  </w:style>
  <w:style w:type="paragraph" w:styleId="1045" w:customStyle="1">
    <w:name w:val="目录 31"/>
    <w:basedOn w:val="808"/>
    <w:next w:val="808"/>
    <w:uiPriority w:val="39"/>
    <w:qFormat/>
    <w:pPr>
      <w:ind w:left="420" w:firstLine="420"/>
      <w:jc w:val="left"/>
      <w:spacing w:line="288" w:lineRule="auto"/>
    </w:pPr>
    <w:rPr>
      <w:iCs/>
      <w:sz w:val="20"/>
      <w:szCs w:val="20"/>
    </w:rPr>
  </w:style>
  <w:style w:type="character" w:styleId="1046" w:customStyle="1">
    <w:name w:val="纯文本 字符"/>
    <w:link w:val="840"/>
    <w:qFormat/>
    <w:rPr>
      <w:rFonts w:ascii="宋体" w:hAnsi="Courier New"/>
      <w:sz w:val="21"/>
      <w:szCs w:val="21"/>
    </w:rPr>
  </w:style>
  <w:style w:type="paragraph" w:styleId="1047" w:customStyle="1">
    <w:name w:val="目录 81"/>
    <w:basedOn w:val="808"/>
    <w:next w:val="808"/>
    <w:uiPriority w:val="39"/>
    <w:qFormat/>
    <w:pPr>
      <w:ind w:left="1470" w:firstLine="420"/>
      <w:jc w:val="left"/>
      <w:spacing w:line="288" w:lineRule="auto"/>
    </w:pPr>
    <w:rPr>
      <w:sz w:val="18"/>
      <w:szCs w:val="18"/>
    </w:rPr>
  </w:style>
  <w:style w:type="character" w:styleId="1048" w:customStyle="1">
    <w:name w:val="日期 字符"/>
    <w:link w:val="844"/>
    <w:qFormat/>
    <w:rPr>
      <w:rFonts w:ascii="楷体_GB2312" w:eastAsia="楷体_GB2312"/>
      <w:b/>
      <w:sz w:val="28"/>
      <w:szCs w:val="24"/>
    </w:rPr>
  </w:style>
  <w:style w:type="character" w:styleId="1049" w:customStyle="1">
    <w:name w:val="正文文本缩进 2 字符"/>
    <w:link w:val="845"/>
    <w:qFormat/>
    <w:rPr>
      <w:rFonts w:ascii="楷体_GB2312" w:eastAsia="楷体_GB2312"/>
      <w:sz w:val="24"/>
      <w:szCs w:val="24"/>
    </w:rPr>
  </w:style>
  <w:style w:type="character" w:styleId="1050" w:customStyle="1">
    <w:name w:val="尾注文本 字符"/>
    <w:link w:val="846"/>
    <w:qFormat/>
    <w:rPr>
      <w:rFonts w:ascii="Calibri" w:hAnsi="Calibri"/>
      <w:sz w:val="21"/>
      <w:szCs w:val="24"/>
    </w:rPr>
  </w:style>
  <w:style w:type="character" w:styleId="1051" w:customStyle="1">
    <w:name w:val="批注框文本 字符"/>
    <w:link w:val="847"/>
    <w:qFormat/>
    <w:rPr>
      <w:sz w:val="18"/>
      <w:szCs w:val="18"/>
    </w:rPr>
  </w:style>
  <w:style w:type="character" w:styleId="1052" w:customStyle="1">
    <w:name w:val="页脚 字符1"/>
    <w:link w:val="848"/>
    <w:uiPriority w:val="99"/>
    <w:qFormat/>
    <w:rPr>
      <w:sz w:val="18"/>
      <w:szCs w:val="18"/>
    </w:rPr>
  </w:style>
  <w:style w:type="character" w:styleId="1053" w:customStyle="1">
    <w:name w:val="页眉 字符"/>
    <w:link w:val="850"/>
    <w:uiPriority w:val="99"/>
    <w:qFormat/>
    <w:rPr>
      <w:sz w:val="18"/>
      <w:szCs w:val="18"/>
    </w:rPr>
  </w:style>
  <w:style w:type="paragraph" w:styleId="1054" w:customStyle="1">
    <w:name w:val="目录 11"/>
    <w:basedOn w:val="808"/>
    <w:next w:val="808"/>
    <w:uiPriority w:val="39"/>
    <w:qFormat/>
    <w:pPr>
      <w:spacing w:before="120" w:after="120" w:line="288" w:lineRule="auto"/>
      <w:tabs>
        <w:tab w:val="right" w:pos="8296" w:leader="dot"/>
      </w:tabs>
    </w:pPr>
    <w:rPr>
      <w:rFonts w:ascii="黑体" w:eastAsia="黑体"/>
      <w:caps/>
      <w:sz w:val="30"/>
      <w:szCs w:val="30"/>
    </w:rPr>
  </w:style>
  <w:style w:type="paragraph" w:styleId="1055" w:customStyle="1">
    <w:name w:val="目录 41"/>
    <w:basedOn w:val="808"/>
    <w:next w:val="808"/>
    <w:uiPriority w:val="39"/>
    <w:qFormat/>
    <w:pPr>
      <w:ind w:left="630" w:firstLine="420"/>
      <w:jc w:val="left"/>
      <w:spacing w:line="288" w:lineRule="auto"/>
    </w:pPr>
    <w:rPr>
      <w:sz w:val="18"/>
      <w:szCs w:val="18"/>
    </w:rPr>
  </w:style>
  <w:style w:type="character" w:styleId="1056" w:customStyle="1">
    <w:name w:val="副标题 字符"/>
    <w:link w:val="853"/>
    <w:qFormat/>
    <w:rPr>
      <w:rFonts w:ascii="幼圆" w:hAnsi="幼圆"/>
      <w:b/>
      <w:bCs/>
      <w:sz w:val="32"/>
      <w:szCs w:val="32"/>
    </w:rPr>
  </w:style>
  <w:style w:type="character" w:styleId="1057" w:customStyle="1">
    <w:name w:val="脚注文本 字符"/>
    <w:link w:val="855"/>
    <w:uiPriority w:val="99"/>
    <w:qFormat/>
    <w:rPr>
      <w:sz w:val="18"/>
      <w:szCs w:val="18"/>
    </w:rPr>
  </w:style>
  <w:style w:type="paragraph" w:styleId="1058" w:customStyle="1">
    <w:name w:val="目录 61"/>
    <w:basedOn w:val="808"/>
    <w:next w:val="808"/>
    <w:uiPriority w:val="39"/>
    <w:qFormat/>
    <w:pPr>
      <w:ind w:left="1050" w:firstLine="420"/>
      <w:jc w:val="left"/>
      <w:spacing w:line="288" w:lineRule="auto"/>
    </w:pPr>
    <w:rPr>
      <w:sz w:val="18"/>
      <w:szCs w:val="18"/>
    </w:rPr>
  </w:style>
  <w:style w:type="character" w:styleId="1059" w:customStyle="1">
    <w:name w:val="正文文本缩进 3 字符"/>
    <w:link w:val="857"/>
    <w:qFormat/>
    <w:rPr>
      <w:rFonts w:ascii="仿宋_GB2312" w:eastAsia="仿宋_GB2312"/>
      <w:sz w:val="32"/>
    </w:rPr>
  </w:style>
  <w:style w:type="paragraph" w:styleId="1060" w:customStyle="1">
    <w:name w:val="目录 21"/>
    <w:basedOn w:val="808"/>
    <w:next w:val="808"/>
    <w:uiPriority w:val="39"/>
    <w:qFormat/>
    <w:pPr>
      <w:ind w:left="210" w:firstLine="420"/>
      <w:jc w:val="left"/>
      <w:spacing w:line="288" w:lineRule="auto"/>
    </w:pPr>
    <w:rPr>
      <w:smallCaps/>
      <w:sz w:val="20"/>
      <w:szCs w:val="20"/>
    </w:rPr>
  </w:style>
  <w:style w:type="paragraph" w:styleId="1061" w:customStyle="1">
    <w:name w:val="目录 91"/>
    <w:basedOn w:val="808"/>
    <w:next w:val="808"/>
    <w:uiPriority w:val="39"/>
    <w:qFormat/>
    <w:pPr>
      <w:ind w:left="1680" w:firstLine="420"/>
      <w:jc w:val="left"/>
      <w:spacing w:line="288" w:lineRule="auto"/>
    </w:pPr>
    <w:rPr>
      <w:sz w:val="18"/>
      <w:szCs w:val="18"/>
    </w:rPr>
  </w:style>
  <w:style w:type="character" w:styleId="1062" w:customStyle="1">
    <w:name w:val="正文文本 2 字符"/>
    <w:link w:val="863"/>
    <w:qFormat/>
    <w:rPr>
      <w:sz w:val="30"/>
      <w:szCs w:val="24"/>
    </w:rPr>
  </w:style>
  <w:style w:type="character" w:styleId="1063" w:customStyle="1">
    <w:name w:val="HTML 预设格式 字符"/>
    <w:link w:val="864"/>
    <w:qFormat/>
    <w:rPr>
      <w:rFonts w:ascii="黑体" w:hAnsi="Courier New" w:eastAsia="黑体"/>
    </w:rPr>
  </w:style>
  <w:style w:type="character" w:styleId="1064" w:customStyle="1">
    <w:name w:val="普通(网站) 字符"/>
    <w:link w:val="865"/>
    <w:qFormat/>
    <w:rPr>
      <w:rFonts w:ascii="宋体" w:hAnsi="宋体"/>
      <w:sz w:val="24"/>
      <w:szCs w:val="24"/>
    </w:rPr>
  </w:style>
  <w:style w:type="character" w:styleId="1065" w:customStyle="1">
    <w:name w:val="标题 字符"/>
    <w:link w:val="868"/>
    <w:qFormat/>
    <w:rPr>
      <w:rFonts w:ascii="Arial" w:hAnsi="Arial" w:cs="Arial"/>
      <w:b/>
      <w:bCs/>
      <w:sz w:val="32"/>
      <w:szCs w:val="32"/>
    </w:rPr>
  </w:style>
  <w:style w:type="character" w:styleId="1066" w:customStyle="1">
    <w:name w:val="批注主题 字符"/>
    <w:link w:val="869"/>
    <w:uiPriority w:val="99"/>
    <w:qFormat/>
    <w:rPr>
      <w:b/>
      <w:bCs/>
      <w:sz w:val="21"/>
      <w:szCs w:val="24"/>
    </w:rPr>
  </w:style>
  <w:style w:type="paragraph" w:styleId="1067" w:customStyle="1">
    <w:name w:val="正文首行缩进1"/>
    <w:basedOn w:val="833"/>
    <w:next w:val="1068"/>
    <w:link w:val="1069"/>
    <w:uiPriority w:val="99"/>
    <w:qFormat/>
    <w:pPr>
      <w:ind w:firstLine="200"/>
      <w:spacing w:line="360" w:lineRule="auto"/>
    </w:pPr>
    <w:rPr>
      <w:sz w:val="30"/>
      <w:szCs w:val="30"/>
    </w:rPr>
  </w:style>
  <w:style w:type="paragraph" w:styleId="1068" w:customStyle="1">
    <w:name w:val="正文首行缩进 21"/>
    <w:basedOn w:val="834"/>
    <w:next w:val="808"/>
    <w:link w:val="1070"/>
    <w:qFormat/>
    <w:pPr>
      <w:ind w:left="420" w:firstLine="420"/>
      <w:spacing w:after="120" w:line="240" w:lineRule="auto"/>
      <w:widowControl w:val="off"/>
    </w:pPr>
    <w:rPr>
      <w:rFonts w:ascii="Cambria" w:hAnsi="Cambria" w:eastAsia="华文细黑"/>
      <w:sz w:val="21"/>
    </w:rPr>
  </w:style>
  <w:style w:type="character" w:styleId="1069" w:customStyle="1">
    <w:name w:val="正文首行缩进 字符"/>
    <w:link w:val="1067"/>
    <w:uiPriority w:val="99"/>
    <w:qFormat/>
    <w:rPr>
      <w:rFonts w:ascii="仿宋_GB2312" w:hAnsi="宋体" w:eastAsia="仿宋_GB2312" w:cs="宋体"/>
      <w:sz w:val="30"/>
      <w:szCs w:val="30"/>
    </w:rPr>
  </w:style>
  <w:style w:type="character" w:styleId="1070" w:customStyle="1">
    <w:name w:val="正文首行缩进 2 字符"/>
    <w:link w:val="1068"/>
    <w:qFormat/>
    <w:rPr>
      <w:rFonts w:ascii="Cambria" w:hAnsi="Cambria" w:eastAsia="华文细黑" w:cs="Cambria"/>
      <w:sz w:val="21"/>
    </w:rPr>
  </w:style>
  <w:style w:type="character" w:styleId="1071" w:customStyle="1">
    <w:name w:val="已访问的超链接1"/>
    <w:uiPriority w:val="99"/>
    <w:qFormat/>
    <w:rPr>
      <w:color w:val="800080"/>
      <w:u w:val="single"/>
    </w:rPr>
  </w:style>
  <w:style w:type="paragraph" w:styleId="1072" w:customStyle="1">
    <w:name w:val="TOC Heading1"/>
    <w:next w:val="808"/>
    <w:qFormat/>
    <w:rPr>
      <w:sz w:val="32"/>
    </w:rPr>
  </w:style>
  <w:style w:type="paragraph" w:styleId="1073" w:customStyle="1">
    <w:name w:val="Body Text Indent 21"/>
    <w:basedOn w:val="808"/>
    <w:qFormat/>
    <w:pPr>
      <w:ind w:left="200"/>
      <w:spacing w:before="100" w:beforeAutospacing="1" w:after="100" w:afterAutospacing="1" w:line="480" w:lineRule="auto"/>
    </w:pPr>
    <w:rPr>
      <w:rFonts w:ascii="Calibri" w:hAnsi="Calibri"/>
    </w:rPr>
  </w:style>
  <w:style w:type="paragraph" w:styleId="1074" w:customStyle="1">
    <w:name w:val="首行缩进"/>
    <w:basedOn w:val="808"/>
    <w:uiPriority w:val="99"/>
    <w:qFormat/>
    <w:pPr>
      <w:ind w:firstLine="480"/>
      <w:spacing w:line="360" w:lineRule="auto"/>
    </w:pPr>
    <w:rPr>
      <w:szCs w:val="24"/>
    </w:rPr>
  </w:style>
  <w:style w:type="character" w:styleId="1075" w:customStyle="1">
    <w:name w:val="Char Char2"/>
    <w:qFormat/>
    <w:rPr>
      <w:rFonts w:hint="eastAsia" w:ascii="华文细黑" w:hAnsi="华文细黑" w:eastAsia="华文细黑"/>
      <w:sz w:val="21"/>
      <w:szCs w:val="24"/>
      <w:lang w:val="en-US" w:eastAsia="zh-CN" w:bidi="ar-SA"/>
    </w:rPr>
  </w:style>
  <w:style w:type="character" w:styleId="1076" w:customStyle="1">
    <w:name w:val="样式8 Char"/>
    <w:link w:val="1077"/>
    <w:qFormat/>
    <w:rPr>
      <w:rFonts w:ascii="黑体" w:eastAsia="黑体"/>
      <w:b/>
      <w:sz w:val="36"/>
    </w:rPr>
  </w:style>
  <w:style w:type="paragraph" w:styleId="1077" w:customStyle="1">
    <w:name w:val="样式8"/>
    <w:basedOn w:val="808"/>
    <w:link w:val="1076"/>
    <w:qFormat/>
    <w:pPr>
      <w:jc w:val="center"/>
      <w:keepLines/>
      <w:keepNext/>
      <w:outlineLvl w:val="1"/>
    </w:pPr>
    <w:rPr>
      <w:rFonts w:ascii="黑体" w:hAnsi="Times New Roman" w:eastAsia="黑体" w:cs="Times New Roman"/>
      <w:b/>
      <w:sz w:val="36"/>
      <w:szCs w:val="20"/>
    </w:rPr>
  </w:style>
  <w:style w:type="character" w:styleId="1078" w:customStyle="1">
    <w:name w:val="正文文本 Char1"/>
    <w:qFormat/>
    <w:rPr>
      <w:sz w:val="21"/>
      <w:szCs w:val="22"/>
    </w:rPr>
  </w:style>
  <w:style w:type="character" w:styleId="1079" w:customStyle="1">
    <w:name w:val="日期 Char1"/>
    <w:qFormat/>
    <w:rPr>
      <w:sz w:val="21"/>
      <w:szCs w:val="22"/>
    </w:rPr>
  </w:style>
  <w:style w:type="character" w:styleId="1080" w:customStyle="1">
    <w:name w:val="Comment"/>
    <w:qFormat/>
    <w:rPr>
      <w:vanish/>
    </w:rPr>
  </w:style>
  <w:style w:type="character" w:styleId="1081" w:customStyle="1">
    <w:name w:val="明显强调1"/>
    <w:qFormat/>
    <w:rPr>
      <w:b/>
      <w:bCs/>
      <w:i/>
      <w:iCs/>
      <w:color w:val="4f81bd"/>
    </w:rPr>
  </w:style>
  <w:style w:type="character" w:styleId="1082" w:customStyle="1">
    <w:name w:val="普通(网站) Char"/>
    <w:qFormat/>
    <w:rPr>
      <w:rFonts w:ascii="宋体" w:hAnsi="宋体"/>
      <w:sz w:val="24"/>
      <w:szCs w:val="24"/>
    </w:rPr>
  </w:style>
  <w:style w:type="character" w:styleId="1083" w:customStyle="1">
    <w:name w:val="CITE"/>
    <w:qFormat/>
    <w:rPr>
      <w:i/>
    </w:rPr>
  </w:style>
  <w:style w:type="character" w:styleId="1084" w:customStyle="1">
    <w:name w:val="普通文字 Char Char2"/>
    <w:qFormat/>
    <w:rPr>
      <w:rFonts w:ascii="宋体" w:hAnsi="Courier New"/>
      <w:sz w:val="21"/>
      <w:szCs w:val="21"/>
    </w:rPr>
  </w:style>
  <w:style w:type="character" w:styleId="1085" w:customStyle="1">
    <w:name w:val="书籍标题1"/>
    <w:qFormat/>
    <w:rPr>
      <w:b/>
      <w:bCs/>
      <w:smallCaps/>
      <w:spacing w:val="5"/>
    </w:rPr>
  </w:style>
  <w:style w:type="character" w:styleId="1086" w:customStyle="1">
    <w:name w:val="Char Char4"/>
    <w:qFormat/>
    <w:rPr>
      <w:rFonts w:ascii="华文细黑" w:hAnsi="华文细黑" w:eastAsia="幼圆" w:cs="Tahoma"/>
      <w:b/>
      <w:sz w:val="28"/>
      <w:szCs w:val="32"/>
      <w:lang w:val="en-US" w:eastAsia="zh-CN" w:bidi="ar-SA"/>
    </w:rPr>
  </w:style>
  <w:style w:type="character" w:styleId="1087" w:customStyle="1">
    <w:name w:val="明显参考1"/>
    <w:qFormat/>
    <w:rPr>
      <w:b/>
      <w:bCs/>
      <w:smallCaps/>
      <w:color w:val="c0504d"/>
      <w:spacing w:val="5"/>
      <w:u w:val="single"/>
    </w:rPr>
  </w:style>
  <w:style w:type="character" w:styleId="1088" w:customStyle="1">
    <w:name w:val="批注框文本 Char1"/>
    <w:qFormat/>
    <w:rPr>
      <w:sz w:val="18"/>
      <w:szCs w:val="18"/>
    </w:rPr>
  </w:style>
  <w:style w:type="character" w:styleId="1089" w:customStyle="1">
    <w:name w:val="chword"/>
    <w:qFormat/>
  </w:style>
  <w:style w:type="character" w:styleId="1090" w:customStyle="1">
    <w:name w:val="表格正文 Char"/>
    <w:link w:val="1091"/>
    <w:qFormat/>
    <w:rPr>
      <w:sz w:val="21"/>
      <w:szCs w:val="24"/>
    </w:rPr>
  </w:style>
  <w:style w:type="paragraph" w:styleId="1091" w:customStyle="1">
    <w:name w:val="表格正文"/>
    <w:basedOn w:val="808"/>
    <w:link w:val="1090"/>
    <w:qFormat/>
    <w:rPr>
      <w:rFonts w:ascii="Times New Roman" w:hAnsi="Times New Roman" w:cs="Times New Roman"/>
      <w:szCs w:val="24"/>
    </w:rPr>
  </w:style>
  <w:style w:type="character" w:styleId="1092" w:customStyle="1">
    <w:name w:val="标题4 Char Char"/>
    <w:qFormat/>
    <w:rPr>
      <w:rFonts w:ascii="Arial" w:hAnsi="Arial"/>
      <w:b/>
      <w:bCs/>
      <w:sz w:val="24"/>
      <w:szCs w:val="32"/>
      <w:lang w:bidi="ar-SA"/>
    </w:rPr>
  </w:style>
  <w:style w:type="character" w:styleId="1093" w:customStyle="1">
    <w:name w:val="Char Char14"/>
    <w:qFormat/>
    <w:rPr>
      <w:b/>
      <w:bCs/>
      <w:sz w:val="28"/>
      <w:szCs w:val="28"/>
    </w:rPr>
  </w:style>
  <w:style w:type="character" w:styleId="1094" w:customStyle="1">
    <w:name w:val="批注文字 Char Char"/>
    <w:qFormat/>
    <w:rPr>
      <w:rFonts w:ascii="华文细黑" w:hAnsi="Cambria" w:eastAsia="华文细黑" w:cs="Cambria"/>
      <w:sz w:val="28"/>
      <w:szCs w:val="20"/>
    </w:rPr>
  </w:style>
  <w:style w:type="character" w:styleId="1095" w:customStyle="1">
    <w:name w:val="Char Char18"/>
    <w:qFormat/>
    <w:rPr>
      <w:rFonts w:hint="eastAsia" w:ascii="黑体" w:hAnsi="黑体" w:eastAsia="黑体"/>
      <w:sz w:val="52"/>
      <w:lang w:val="en-US" w:eastAsia="zh-CN" w:bidi="ar-SA"/>
    </w:rPr>
  </w:style>
  <w:style w:type="character" w:styleId="1096" w:customStyle="1">
    <w:name w:val="Char Char1"/>
    <w:qFormat/>
    <w:rPr>
      <w:rFonts w:ascii="幼圆" w:hAnsi="Tahoma" w:eastAsia="幼圆" w:cs="Tahoma"/>
      <w:b/>
      <w:bCs/>
      <w:sz w:val="32"/>
      <w:szCs w:val="32"/>
      <w:lang w:val="en-US" w:eastAsia="zh-CN" w:bidi="ar-SA"/>
    </w:rPr>
  </w:style>
  <w:style w:type="character" w:styleId="1097" w:customStyle="1">
    <w:name w:val="Typewriter"/>
    <w:qFormat/>
    <w:rPr>
      <w:rFonts w:ascii="华文细黑" w:hAnsi="华文细黑"/>
      <w:sz w:val="20"/>
    </w:rPr>
  </w:style>
  <w:style w:type="character" w:styleId="1098" w:customStyle="1">
    <w:name w:val="不明显强调1"/>
    <w:qFormat/>
    <w:rPr>
      <w:i/>
      <w:iCs/>
      <w:color w:val="808080"/>
    </w:rPr>
  </w:style>
  <w:style w:type="character" w:styleId="1099" w:customStyle="1">
    <w:name w:val="Char Char11"/>
    <w:qFormat/>
    <w:rPr>
      <w:rFonts w:hint="eastAsia" w:ascii="幼圆" w:hAnsi="Tahoma" w:eastAsia="幼圆" w:cs="Tahoma"/>
      <w:b/>
      <w:bCs/>
      <w:sz w:val="32"/>
      <w:szCs w:val="32"/>
      <w:lang w:val="en-US" w:eastAsia="zh-CN" w:bidi="ar-SA"/>
    </w:rPr>
  </w:style>
  <w:style w:type="character" w:styleId="1100" w:customStyle="1">
    <w:name w:val="CODE"/>
    <w:qFormat/>
    <w:rPr>
      <w:rFonts w:ascii="华文细黑" w:hAnsi="华文细黑"/>
      <w:sz w:val="20"/>
    </w:rPr>
  </w:style>
  <w:style w:type="character" w:styleId="1101" w:customStyle="1">
    <w:name w:val="Char Char"/>
    <w:qFormat/>
    <w:rPr>
      <w:rFonts w:eastAsia="宋体"/>
      <w:b/>
      <w:bCs/>
      <w:sz w:val="32"/>
      <w:szCs w:val="44"/>
      <w:lang w:val="en-US" w:eastAsia="zh-CN" w:bidi="ar-SA"/>
    </w:rPr>
  </w:style>
  <w:style w:type="character" w:styleId="1102" w:customStyle="1">
    <w:name w:val="Char Char31"/>
    <w:qFormat/>
    <w:rPr>
      <w:rFonts w:eastAsia="华文细黑"/>
      <w:b/>
      <w:bCs/>
      <w:sz w:val="21"/>
      <w:szCs w:val="24"/>
      <w:lang w:val="en-US" w:eastAsia="zh-CN" w:bidi="ar-SA"/>
    </w:rPr>
  </w:style>
  <w:style w:type="character" w:styleId="1103" w:customStyle="1">
    <w:name w:val="Char Char17"/>
    <w:qFormat/>
    <w:rPr>
      <w:rFonts w:ascii="黑体" w:hAnsi="宋体" w:eastAsia="黑体" w:cs="Arial"/>
      <w:b/>
      <w:bCs/>
      <w:sz w:val="30"/>
      <w:szCs w:val="30"/>
      <w:lang w:val="en-US" w:eastAsia="zh-CN" w:bidi="ar-SA"/>
    </w:rPr>
  </w:style>
  <w:style w:type="character" w:styleId="1104" w:customStyle="1">
    <w:name w:val="正文文本缩进 Char"/>
    <w:qFormat/>
    <w:rPr>
      <w:rFonts w:ascii="Cambria" w:hAnsi="Cambria" w:eastAsia="华文细黑" w:cs="Cambria"/>
      <w:sz w:val="21"/>
      <w:szCs w:val="24"/>
    </w:rPr>
  </w:style>
  <w:style w:type="character" w:styleId="1105" w:customStyle="1">
    <w:name w:val="2级标题 Char"/>
    <w:link w:val="1106"/>
    <w:qFormat/>
    <w:rPr>
      <w:rFonts w:ascii="Calibri Light" w:hAnsi="Calibri Light" w:eastAsia="仿宋"/>
      <w:b/>
      <w:sz w:val="28"/>
      <w:szCs w:val="44"/>
      <w:lang w:val="en-US" w:eastAsia="zh-CN" w:bidi="ar-SA"/>
    </w:rPr>
  </w:style>
  <w:style w:type="paragraph" w:styleId="1106" w:customStyle="1">
    <w:name w:val="2级标题"/>
    <w:next w:val="808"/>
    <w:link w:val="1105"/>
    <w:qFormat/>
    <w:pPr>
      <w:jc w:val="center"/>
      <w:outlineLvl w:val="1"/>
    </w:pPr>
    <w:rPr>
      <w:rFonts w:ascii="Calibri Light" w:hAnsi="Calibri Light" w:eastAsia="仿宋"/>
      <w:b/>
      <w:sz w:val="28"/>
      <w:szCs w:val="44"/>
    </w:rPr>
  </w:style>
  <w:style w:type="character" w:styleId="1107" w:customStyle="1">
    <w:name w:val="页脚 字符"/>
    <w:uiPriority w:val="99"/>
    <w:qFormat/>
  </w:style>
  <w:style w:type="character" w:styleId="1108" w:customStyle="1">
    <w:name w:val="引用 字符"/>
    <w:link w:val="892"/>
    <w:qFormat/>
    <w:rPr>
      <w:i/>
      <w:iCs/>
      <w:color w:val="000000"/>
      <w:sz w:val="21"/>
      <w:szCs w:val="22"/>
    </w:rPr>
  </w:style>
  <w:style w:type="character" w:styleId="1109" w:customStyle="1">
    <w:name w:val="页眉 Char1"/>
    <w:qFormat/>
    <w:rPr>
      <w:sz w:val="18"/>
      <w:szCs w:val="18"/>
    </w:rPr>
  </w:style>
  <w:style w:type="character" w:styleId="1110" w:customStyle="1">
    <w:name w:val="不明显参考1"/>
    <w:qFormat/>
    <w:rPr>
      <w:smallCaps/>
      <w:color w:val="c0504d"/>
      <w:u w:val="single"/>
    </w:rPr>
  </w:style>
  <w:style w:type="character" w:styleId="1111" w:customStyle="1">
    <w:name w:val="批注主题 Char1"/>
    <w:qFormat/>
    <w:rPr>
      <w:b/>
      <w:bCs/>
      <w:sz w:val="21"/>
      <w:szCs w:val="22"/>
    </w:rPr>
  </w:style>
  <w:style w:type="character" w:styleId="1112" w:customStyle="1">
    <w:name w:val="itm1"/>
    <w:qFormat/>
    <w:rPr>
      <w:rFonts w:hint="eastAsia" w:ascii="宋体" w:hAnsi="宋体" w:eastAsia="宋体"/>
      <w:sz w:val="21"/>
      <w:szCs w:val="21"/>
    </w:rPr>
  </w:style>
  <w:style w:type="character" w:styleId="1113" w:customStyle="1">
    <w:name w:val="Char Char3"/>
    <w:qFormat/>
    <w:rPr>
      <w:rFonts w:ascii="幼圆" w:hAnsi="华文细黑" w:eastAsia="幼圆" w:cs="Tahoma"/>
      <w:b/>
      <w:bCs/>
      <w:sz w:val="24"/>
      <w:szCs w:val="24"/>
      <w:lang w:val="en-US" w:eastAsia="zh-CN" w:bidi="ar-SA"/>
    </w:rPr>
  </w:style>
  <w:style w:type="character" w:styleId="1114" w:customStyle="1">
    <w:name w:val="标题5 Char Char"/>
    <w:link w:val="1115"/>
    <w:qFormat/>
    <w:rPr>
      <w:rFonts w:ascii="Tahoma" w:hAnsi="Tahoma"/>
      <w:b/>
      <w:bCs/>
      <w:sz w:val="24"/>
      <w:szCs w:val="32"/>
    </w:rPr>
  </w:style>
  <w:style w:type="paragraph" w:styleId="1115" w:customStyle="1">
    <w:name w:val="标题5"/>
    <w:basedOn w:val="811"/>
    <w:link w:val="1114"/>
    <w:qFormat/>
    <w:pPr>
      <w:spacing w:line="413" w:lineRule="auto"/>
    </w:pPr>
    <w:rPr>
      <w:rFonts w:ascii="Tahoma" w:hAnsi="Tahoma"/>
      <w:b/>
      <w:bCs/>
      <w:sz w:val="24"/>
      <w:szCs w:val="32"/>
    </w:rPr>
  </w:style>
  <w:style w:type="character" w:styleId="1116" w:customStyle="1">
    <w:name w:val="Char Char Char1"/>
    <w:qFormat/>
    <w:rPr>
      <w:rFonts w:hint="eastAsia" w:ascii="宋体" w:hAnsi="宋体" w:eastAsia="宋体"/>
      <w:b/>
      <w:sz w:val="24"/>
      <w:lang w:val="en-US" w:eastAsia="zh-CN" w:bidi="ar-SA"/>
    </w:rPr>
  </w:style>
  <w:style w:type="character" w:styleId="1117" w:customStyle="1">
    <w:name w:val="Char Char21"/>
    <w:qFormat/>
    <w:rPr>
      <w:rFonts w:eastAsia="华文细黑"/>
      <w:sz w:val="21"/>
      <w:szCs w:val="24"/>
      <w:lang w:val="en-US" w:eastAsia="zh-CN" w:bidi="ar-SA"/>
    </w:rPr>
  </w:style>
  <w:style w:type="character" w:styleId="1118" w:customStyle="1">
    <w:name w:val="Variable"/>
    <w:qFormat/>
    <w:rPr>
      <w:i/>
    </w:rPr>
  </w:style>
  <w:style w:type="character" w:styleId="1119" w:customStyle="1">
    <w:name w:val="Para head"/>
    <w:qFormat/>
    <w:rPr>
      <w:rFonts w:ascii="Arial" w:hAnsi="Arial" w:eastAsia="Times New Roman"/>
      <w:sz w:val="20"/>
    </w:rPr>
  </w:style>
  <w:style w:type="character" w:styleId="1120" w:customStyle="1">
    <w:name w:val="文档结构图 Char1"/>
    <w:qFormat/>
    <w:rPr>
      <w:rFonts w:ascii="华文细黑"/>
      <w:sz w:val="18"/>
      <w:szCs w:val="18"/>
    </w:rPr>
  </w:style>
  <w:style w:type="character" w:styleId="1121" w:customStyle="1">
    <w:name w:val="Char Char41"/>
    <w:qFormat/>
    <w:rPr>
      <w:rFonts w:hint="eastAsia" w:ascii="华文细黑" w:hAnsi="华文细黑" w:eastAsia="幼圆" w:cs="Tahoma"/>
      <w:b/>
      <w:sz w:val="28"/>
      <w:szCs w:val="32"/>
      <w:lang w:val="en-US" w:eastAsia="zh-CN" w:bidi="ar-SA"/>
    </w:rPr>
  </w:style>
  <w:style w:type="character" w:styleId="1122" w:customStyle="1">
    <w:name w:val="标题 2 Char Char Char"/>
    <w:qFormat/>
    <w:rPr>
      <w:rFonts w:ascii="Arial" w:hAnsi="Arial" w:eastAsia="黑体"/>
      <w:b/>
      <w:bCs/>
      <w:sz w:val="32"/>
      <w:szCs w:val="32"/>
      <w:lang w:val="en-US" w:eastAsia="zh-CN" w:bidi="ar-SA"/>
    </w:rPr>
  </w:style>
  <w:style w:type="character" w:styleId="1123" w:customStyle="1">
    <w:name w:val="Definition"/>
    <w:qFormat/>
    <w:rPr>
      <w:i/>
    </w:rPr>
  </w:style>
  <w:style w:type="character" w:styleId="1124" w:customStyle="1">
    <w:name w:val="fontstyle01"/>
    <w:qFormat/>
    <w:rPr>
      <w:rFonts w:hint="eastAsia" w:ascii="宋体" w:hAnsi="宋体" w:eastAsia="宋体"/>
      <w:color w:val="000000"/>
      <w:sz w:val="22"/>
      <w:szCs w:val="22"/>
    </w:rPr>
  </w:style>
  <w:style w:type="character" w:styleId="1125" w:customStyle="1">
    <w:name w:val="标题 31"/>
    <w:qFormat/>
    <w:rPr>
      <w:rFonts w:hint="eastAsia" w:ascii="黑体" w:hAnsi="ˎ̥" w:eastAsia="黑体"/>
      <w:sz w:val="28"/>
    </w:rPr>
  </w:style>
  <w:style w:type="character" w:styleId="1126" w:customStyle="1">
    <w:name w:val="明显强调1"/>
    <w:qFormat/>
    <w:rPr>
      <w:b/>
      <w:bCs/>
      <w:i/>
      <w:iCs/>
      <w:color w:val="4f81bd"/>
    </w:rPr>
  </w:style>
  <w:style w:type="character" w:styleId="1127" w:customStyle="1">
    <w:name w:val="页眉雅黑 Char"/>
    <w:link w:val="1128"/>
    <w:qFormat/>
    <w:rPr>
      <w:rFonts w:ascii="微软雅黑" w:hAnsi="微软雅黑" w:eastAsia="微软雅黑"/>
      <w:color w:val="000000"/>
      <w:sz w:val="21"/>
      <w:szCs w:val="21"/>
    </w:rPr>
  </w:style>
  <w:style w:type="paragraph" w:styleId="1128" w:customStyle="1">
    <w:name w:val="页眉雅黑"/>
    <w:basedOn w:val="850"/>
    <w:link w:val="1127"/>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29" w:customStyle="1">
    <w:name w:val="Char Char181"/>
    <w:qFormat/>
    <w:rPr>
      <w:rFonts w:ascii="黑体" w:eastAsia="黑体"/>
      <w:sz w:val="52"/>
      <w:lang w:val="en-US" w:eastAsia="zh-CN" w:bidi="ar-SA"/>
    </w:rPr>
  </w:style>
  <w:style w:type="character" w:styleId="1130" w:customStyle="1">
    <w:name w:val="Char Char32"/>
    <w:qFormat/>
    <w:rPr>
      <w:rFonts w:hint="eastAsia" w:ascii="幼圆" w:hAnsi="华文细黑" w:eastAsia="幼圆" w:cs="Tahoma"/>
      <w:b/>
      <w:bCs/>
      <w:sz w:val="24"/>
      <w:szCs w:val="24"/>
      <w:lang w:val="en-US" w:eastAsia="zh-CN" w:bidi="ar-SA"/>
    </w:rPr>
  </w:style>
  <w:style w:type="character" w:styleId="1131" w:customStyle="1">
    <w:name w:val="引用 Char1"/>
    <w:uiPriority w:val="29"/>
    <w:qFormat/>
    <w:rPr>
      <w:i/>
      <w:iCs/>
      <w:color w:val="000000"/>
      <w:sz w:val="21"/>
      <w:szCs w:val="24"/>
    </w:rPr>
  </w:style>
  <w:style w:type="character" w:styleId="1132" w:customStyle="1">
    <w:name w:val="副标题 Char1"/>
    <w:qFormat/>
    <w:rPr>
      <w:rFonts w:ascii="Cambria" w:hAnsi="Cambria" w:cs="Times New Roman"/>
      <w:b/>
      <w:bCs/>
      <w:sz w:val="32"/>
      <w:szCs w:val="32"/>
    </w:rPr>
  </w:style>
  <w:style w:type="character" w:styleId="1133" w:customStyle="1">
    <w:name w:val="普通文字 Char Char Char Char Char Char Char Char Char Char Char Char Char Char Char Char Char"/>
    <w:uiPriority w:val="99"/>
    <w:qFormat/>
    <w:rPr>
      <w:rFonts w:ascii="Ari"/>
      <w:lang w:val="en-US" w:eastAsia="zh-CN" w:bidi="ar-SA"/>
    </w:rPr>
  </w:style>
  <w:style w:type="character" w:styleId="1134" w:customStyle="1">
    <w:name w:val="不明显强调1"/>
    <w:qFormat/>
    <w:rPr>
      <w:i/>
      <w:iCs/>
      <w:color w:val="808080"/>
    </w:rPr>
  </w:style>
  <w:style w:type="character" w:styleId="1135" w:customStyle="1">
    <w:name w:val="列出段落 字符"/>
    <w:link w:val="1136"/>
    <w:uiPriority w:val="34"/>
    <w:qFormat/>
    <w:rPr>
      <w:rFonts w:ascii="Calibri" w:hAnsi="Calibri"/>
      <w:sz w:val="21"/>
      <w:szCs w:val="22"/>
    </w:rPr>
  </w:style>
  <w:style w:type="paragraph" w:styleId="1136" w:customStyle="1">
    <w:name w:val="列出段落1"/>
    <w:basedOn w:val="808"/>
    <w:link w:val="1135"/>
    <w:uiPriority w:val="34"/>
    <w:qFormat/>
    <w:pPr>
      <w:ind w:firstLine="420"/>
    </w:pPr>
    <w:rPr>
      <w:rFonts w:ascii="Calibri" w:hAnsi="Calibri" w:cs="Times New Roman"/>
      <w:szCs w:val="22"/>
    </w:rPr>
  </w:style>
  <w:style w:type="character" w:styleId="1137" w:customStyle="1">
    <w:name w:val="正文文本 + MS Mincho13"/>
    <w:qFormat/>
    <w:rPr>
      <w:rFonts w:ascii="MS Mincho" w:eastAsia="MS Mincho" w:cs="MS Mincho"/>
      <w:sz w:val="20"/>
      <w:szCs w:val="20"/>
      <w:u w:val="single"/>
      <w:lang w:val="en-US" w:eastAsia="zh-CN" w:bidi="ar-SA"/>
    </w:rPr>
  </w:style>
  <w:style w:type="character" w:styleId="1138" w:customStyle="1">
    <w:name w:val="不明显参考1"/>
    <w:qFormat/>
    <w:rPr>
      <w:smallCaps/>
      <w:color w:val="c0504d"/>
      <w:u w:val="single"/>
    </w:rPr>
  </w:style>
  <w:style w:type="character" w:styleId="1139" w:customStyle="1">
    <w:name w:val="明显引用 字符"/>
    <w:link w:val="894"/>
    <w:qFormat/>
    <w:rPr>
      <w:b/>
      <w:bCs/>
      <w:i/>
      <w:iCs/>
      <w:color w:val="4f81bd"/>
      <w:sz w:val="21"/>
      <w:szCs w:val="22"/>
    </w:rPr>
  </w:style>
  <w:style w:type="character" w:styleId="1140" w:customStyle="1">
    <w:name w:val="Keyboard"/>
    <w:qFormat/>
    <w:rPr>
      <w:rFonts w:ascii="华文细黑" w:hAnsi="华文细黑"/>
      <w:b/>
      <w:sz w:val="20"/>
    </w:rPr>
  </w:style>
  <w:style w:type="character" w:styleId="1141" w:customStyle="1">
    <w:name w:val="textcontents"/>
    <w:qFormat/>
    <w:rPr>
      <w:rFonts w:cs="Cambria"/>
    </w:rPr>
  </w:style>
  <w:style w:type="character" w:styleId="1142" w:customStyle="1">
    <w:name w:val="infodetail1"/>
    <w:qFormat/>
    <w:rPr>
      <w:rFonts w:ascii="ˎ̥" w:hAnsi="ˎ̥"/>
      <w:sz w:val="24"/>
      <w:szCs w:val="24"/>
    </w:rPr>
  </w:style>
  <w:style w:type="character" w:styleId="1143" w:customStyle="1">
    <w:name w:val="p12"/>
    <w:qFormat/>
  </w:style>
  <w:style w:type="character" w:styleId="1144" w:customStyle="1">
    <w:name w:val="HTML Markup"/>
    <w:qFormat/>
    <w:rPr>
      <w:vanish/>
      <w:color w:val="ff0000"/>
    </w:rPr>
  </w:style>
  <w:style w:type="character" w:styleId="1145" w:customStyle="1">
    <w:name w:val="明显参考2"/>
    <w:qFormat/>
    <w:rPr>
      <w:b/>
      <w:bCs/>
      <w:smallCaps/>
      <w:color w:val="c0504d"/>
      <w:spacing w:val="5"/>
      <w:u w:val="single"/>
    </w:rPr>
  </w:style>
  <w:style w:type="character" w:styleId="1146"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1147" w:customStyle="1">
    <w:name w:val="text_list1"/>
    <w:qFormat/>
    <w:rPr>
      <w:rFonts w:ascii="Arial" w:hAnsi="Arial" w:cs="Arial"/>
      <w:color w:val="000000"/>
      <w:spacing w:val="272"/>
      <w:sz w:val="16"/>
      <w:szCs w:val="16"/>
    </w:rPr>
  </w:style>
  <w:style w:type="character" w:styleId="1148" w:customStyle="1">
    <w:name w:val="Char Char Char11"/>
    <w:qFormat/>
    <w:rPr>
      <w:rFonts w:ascii="宋体" w:hAnsi="宋体" w:eastAsia="宋体"/>
      <w:b/>
      <w:sz w:val="24"/>
      <w:lang w:val="en-US" w:eastAsia="zh-CN" w:bidi="ar-SA"/>
    </w:rPr>
  </w:style>
  <w:style w:type="character" w:styleId="1149" w:customStyle="1">
    <w:name w:val="书籍标题1"/>
    <w:qFormat/>
    <w:rPr>
      <w:b/>
      <w:bCs/>
      <w:smallCaps/>
      <w:spacing w:val="5"/>
    </w:rPr>
  </w:style>
  <w:style w:type="character" w:styleId="1150" w:customStyle="1">
    <w:name w:val="明显引用 Char1"/>
    <w:uiPriority w:val="30"/>
    <w:qFormat/>
    <w:rPr>
      <w:b/>
      <w:bCs/>
      <w:i/>
      <w:iCs/>
      <w:color w:val="4f81bd"/>
      <w:sz w:val="21"/>
      <w:szCs w:val="24"/>
    </w:rPr>
  </w:style>
  <w:style w:type="character" w:styleId="1151" w:customStyle="1">
    <w:name w:val="Char Char141"/>
    <w:qFormat/>
    <w:rPr>
      <w:b/>
      <w:bCs/>
      <w:sz w:val="28"/>
      <w:szCs w:val="28"/>
    </w:rPr>
  </w:style>
  <w:style w:type="character" w:styleId="1152" w:customStyle="1">
    <w:name w:val="Sample"/>
    <w:qFormat/>
    <w:rPr>
      <w:rFonts w:ascii="华文细黑" w:hAnsi="华文细黑"/>
    </w:rPr>
  </w:style>
  <w:style w:type="paragraph" w:styleId="1153" w:customStyle="1">
    <w:name w:val="标准式样"/>
    <w:basedOn w:val="1060"/>
    <w:qFormat/>
  </w:style>
  <w:style w:type="paragraph" w:styleId="1154" w:customStyle="1">
    <w:name w:val="xl36"/>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55" w:customStyle="1">
    <w:name w:val="pa-3"/>
    <w:basedOn w:val="808"/>
    <w:uiPriority w:val="99"/>
    <w:qFormat/>
    <w:pPr>
      <w:jc w:val="left"/>
      <w:spacing w:before="150" w:after="150"/>
      <w:widowControl/>
    </w:pPr>
    <w:rPr>
      <w:sz w:val="24"/>
    </w:rPr>
  </w:style>
  <w:style w:type="paragraph" w:styleId="1156" w:customStyle="1">
    <w:name w:val="中等深浅网格 1 - 着色 21"/>
    <w:basedOn w:val="808"/>
    <w:qFormat/>
    <w:pPr>
      <w:ind w:firstLine="420"/>
      <w:spacing w:line="500" w:lineRule="exact"/>
    </w:pPr>
  </w:style>
  <w:style w:type="paragraph" w:styleId="1157" w:customStyle="1">
    <w:name w:val="表格"/>
    <w:basedOn w:val="808"/>
    <w:qFormat/>
    <w:pPr>
      <w:jc w:val="center"/>
    </w:pPr>
  </w:style>
  <w:style w:type="paragraph" w:styleId="1158" w:customStyle="1">
    <w:name w:val="Char Char Char Char Char Char Char Char Char Char1"/>
    <w:basedOn w:val="808"/>
    <w:qFormat/>
    <w:pPr>
      <w:ind w:left="425" w:hanging="425"/>
      <w:tabs>
        <w:tab w:val="left" w:pos="425" w:leader="none"/>
      </w:tabs>
    </w:pPr>
    <w:rPr>
      <w:sz w:val="28"/>
      <w:szCs w:val="20"/>
    </w:rPr>
  </w:style>
  <w:style w:type="paragraph" w:styleId="1159" w:customStyle="1">
    <w:name w:val="菲页1"/>
    <w:basedOn w:val="810"/>
    <w:qFormat/>
    <w:pPr>
      <w:jc w:val="center"/>
      <w:widowControl/>
      <w:tabs>
        <w:tab w:val="left" w:pos="567" w:leader="none"/>
      </w:tabs>
    </w:pPr>
    <w:rPr>
      <w:rFonts w:ascii="黑体"/>
      <w:b w:val="0"/>
      <w:bCs w:val="0"/>
      <w:sz w:val="52"/>
      <w:szCs w:val="20"/>
    </w:rPr>
  </w:style>
  <w:style w:type="paragraph" w:styleId="1160" w:customStyle="1">
    <w:name w:val="xl26"/>
    <w:basedOn w:val="808"/>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161" w:customStyle="1">
    <w:name w:val="xl31"/>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2" w:customStyle="1">
    <w:name w:val="xl39"/>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3" w:customStyle="1">
    <w:name w:val="标准文字"/>
    <w:basedOn w:val="808"/>
    <w:qFormat/>
    <w:pPr>
      <w:ind w:firstLine="420"/>
      <w:spacing w:after="20" w:line="360" w:lineRule="auto"/>
    </w:pPr>
  </w:style>
  <w:style w:type="paragraph" w:styleId="1164" w:customStyle="1">
    <w:name w:val="默认段落字体 Para Char Char Char"/>
    <w:basedOn w:val="808"/>
    <w:qFormat/>
  </w:style>
  <w:style w:type="paragraph" w:styleId="1165" w:customStyle="1">
    <w:name w:val="程序代码"/>
    <w:basedOn w:val="808"/>
    <w:qFormat/>
    <w:pPr>
      <w:ind w:left="839" w:firstLine="420"/>
      <w:spacing w:after="20" w:line="288" w:lineRule="auto"/>
    </w:pPr>
    <w:rPr>
      <w:rFonts w:eastAsia="仿宋_GB2312"/>
    </w:rPr>
  </w:style>
  <w:style w:type="paragraph" w:styleId="1166" w:customStyle="1">
    <w:name w:val="函数注释2"/>
    <w:basedOn w:val="808"/>
    <w:qFormat/>
    <w:pPr>
      <w:ind w:left="1680" w:firstLine="420"/>
      <w:spacing w:after="20" w:line="288" w:lineRule="auto"/>
    </w:pPr>
  </w:style>
  <w:style w:type="paragraph" w:styleId="1167" w:customStyle="1">
    <w:name w:val="Char Char Char1 Char Char Char"/>
    <w:basedOn w:val="808"/>
    <w:qFormat/>
    <w:pPr>
      <w:ind w:firstLine="200"/>
    </w:pPr>
    <w:rPr>
      <w:rFonts w:ascii="Tahoma" w:hAnsi="Tahoma"/>
      <w:sz w:val="24"/>
      <w:szCs w:val="20"/>
    </w:rPr>
  </w:style>
  <w:style w:type="paragraph" w:styleId="1168" w:customStyle="1">
    <w:name w:val="Blockquote"/>
    <w:basedOn w:val="808"/>
    <w:qFormat/>
    <w:pPr>
      <w:ind w:left="360" w:right="360"/>
      <w:jc w:val="left"/>
      <w:spacing w:before="100" w:after="100"/>
    </w:pPr>
    <w:rPr>
      <w:rFonts w:ascii="Cambria" w:hAnsi="Cambria" w:eastAsia="华文细黑" w:cs="Cambria"/>
      <w:sz w:val="24"/>
      <w:szCs w:val="20"/>
    </w:rPr>
  </w:style>
  <w:style w:type="paragraph" w:styleId="1169" w:customStyle="1">
    <w:name w:val="xl32"/>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0" w:customStyle="1">
    <w:name w:val="xl3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customStyle="1">
    <w:name w:val="font12"/>
    <w:basedOn w:val="808"/>
    <w:uiPriority w:val="99"/>
    <w:qFormat/>
    <w:pPr>
      <w:jc w:val="left"/>
      <w:spacing w:before="100" w:beforeAutospacing="1" w:after="100" w:afterAutospacing="1"/>
      <w:widowControl/>
    </w:pPr>
    <w:rPr>
      <w:sz w:val="36"/>
      <w:szCs w:val="36"/>
    </w:rPr>
  </w:style>
  <w:style w:type="paragraph" w:styleId="1172" w:customStyle="1">
    <w:name w:val="表头"/>
    <w:basedOn w:val="808"/>
    <w:qFormat/>
    <w:pPr>
      <w:jc w:val="center"/>
      <w:spacing w:line="320" w:lineRule="atLeast"/>
    </w:pPr>
    <w:rPr>
      <w:rFonts w:eastAsia="黑体"/>
      <w:spacing w:val="-10"/>
      <w:szCs w:val="20"/>
    </w:rPr>
  </w:style>
  <w:style w:type="paragraph" w:styleId="1173" w:customStyle="1">
    <w:name w:val="xl28"/>
    <w:basedOn w:val="808"/>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74" w:customStyle="1">
    <w:name w:val="列出段落3"/>
    <w:basedOn w:val="808"/>
    <w:uiPriority w:val="99"/>
    <w:unhideWhenUsed/>
    <w:qFormat/>
    <w:pPr>
      <w:ind w:firstLine="420"/>
    </w:pPr>
    <w:rPr>
      <w:rFonts w:ascii="Calibri" w:hAnsi="Calibri" w:cs="Times New Roman"/>
    </w:rPr>
  </w:style>
  <w:style w:type="paragraph" w:styleId="1175" w:customStyle="1">
    <w:name w:val="Default Paragraph Font Para Char"/>
    <w:basedOn w:val="808"/>
    <w:qFormat/>
    <w:pPr>
      <w:jc w:val="left"/>
      <w:spacing w:after="160" w:line="240" w:lineRule="exact"/>
      <w:widowControl/>
    </w:pPr>
  </w:style>
  <w:style w:type="paragraph" w:styleId="1176" w:customStyle="1">
    <w:name w:val="p16"/>
    <w:basedOn w:val="808"/>
    <w:qFormat/>
    <w:pPr>
      <w:ind w:left="600" w:hanging="525"/>
      <w:spacing w:line="420" w:lineRule="atLeast"/>
      <w:widowControl/>
    </w:pPr>
    <w:rPr>
      <w:color w:val="000000"/>
      <w:sz w:val="24"/>
    </w:rPr>
  </w:style>
  <w:style w:type="paragraph" w:styleId="1177" w:customStyle="1">
    <w:name w:val="Char"/>
    <w:basedOn w:val="808"/>
    <w:qFormat/>
    <w:pPr>
      <w:ind w:firstLine="200"/>
      <w:spacing w:line="360" w:lineRule="auto"/>
    </w:pPr>
    <w:rPr>
      <w:sz w:val="24"/>
    </w:rPr>
  </w:style>
  <w:style w:type="paragraph" w:styleId="1178" w:customStyle="1">
    <w:name w:val="菲页2"/>
    <w:basedOn w:val="811"/>
    <w:qFormat/>
    <w:pPr>
      <w:ind w:left="1680" w:hanging="420"/>
      <w:jc w:val="center"/>
      <w:spacing w:before="120" w:after="120" w:line="360" w:lineRule="auto"/>
      <w:widowControl/>
    </w:pPr>
    <w:rPr>
      <w:b/>
      <w:bCs/>
      <w:sz w:val="44"/>
      <w:szCs w:val="20"/>
    </w:rPr>
  </w:style>
  <w:style w:type="paragraph" w:styleId="1179" w:customStyle="1">
    <w:name w:val="Char Char Char Char1"/>
    <w:basedOn w:val="808"/>
    <w:qFormat/>
  </w:style>
  <w:style w:type="paragraph" w:styleId="1180" w:customStyle="1">
    <w:name w:val="Definition Term"/>
    <w:basedOn w:val="808"/>
    <w:next w:val="1181"/>
    <w:qFormat/>
    <w:pPr>
      <w:jc w:val="left"/>
    </w:pPr>
    <w:rPr>
      <w:rFonts w:ascii="Cambria" w:hAnsi="Cambria" w:eastAsia="华文细黑" w:cs="Cambria"/>
      <w:sz w:val="24"/>
      <w:szCs w:val="20"/>
    </w:rPr>
  </w:style>
  <w:style w:type="paragraph" w:styleId="1181" w:customStyle="1">
    <w:name w:val="Definition List"/>
    <w:basedOn w:val="808"/>
    <w:next w:val="1180"/>
    <w:qFormat/>
    <w:pPr>
      <w:ind w:left="360"/>
      <w:jc w:val="left"/>
    </w:pPr>
    <w:rPr>
      <w:rFonts w:ascii="Cambria" w:hAnsi="Cambria" w:eastAsia="华文细黑" w:cs="Cambria"/>
      <w:sz w:val="24"/>
      <w:szCs w:val="20"/>
    </w:rPr>
  </w:style>
  <w:style w:type="paragraph" w:styleId="1182" w:customStyle="1">
    <w:name w:val="pa-4"/>
    <w:basedOn w:val="808"/>
    <w:uiPriority w:val="99"/>
    <w:qFormat/>
    <w:pPr>
      <w:jc w:val="left"/>
      <w:spacing w:before="150" w:after="150"/>
      <w:widowControl/>
    </w:pPr>
    <w:rPr>
      <w:sz w:val="24"/>
    </w:rPr>
  </w:style>
  <w:style w:type="paragraph" w:styleId="1183" w:customStyle="1">
    <w:name w:val="样式一"/>
    <w:basedOn w:val="808"/>
    <w:qFormat/>
    <w:pPr>
      <w:numPr>
        <w:ilvl w:val="2"/>
        <w:numId w:val="1"/>
      </w:numPr>
      <w:spacing w:before="100" w:after="100" w:line="360" w:lineRule="exact"/>
    </w:pPr>
    <w:rPr>
      <w:rFonts w:eastAsia="黑体"/>
      <w:sz w:val="24"/>
      <w:szCs w:val="20"/>
      <w:lang w:val="en-GB"/>
    </w:rPr>
  </w:style>
  <w:style w:type="paragraph" w:styleId="1184" w:customStyle="1">
    <w:name w:val="正文1"/>
    <w:qFormat/>
    <w:pPr>
      <w:jc w:val="both"/>
      <w:spacing w:line="312" w:lineRule="atLeast"/>
      <w:widowControl w:val="off"/>
    </w:pPr>
    <w:rPr>
      <w:rFonts w:ascii="宋体"/>
      <w:sz w:val="34"/>
    </w:rPr>
  </w:style>
  <w:style w:type="paragraph" w:styleId="1185" w:customStyle="1">
    <w:name w:val="Address"/>
    <w:basedOn w:val="808"/>
    <w:next w:val="808"/>
    <w:qFormat/>
    <w:pPr>
      <w:jc w:val="left"/>
    </w:pPr>
    <w:rPr>
      <w:rFonts w:ascii="Cambria" w:hAnsi="Cambria" w:eastAsia="华文细黑" w:cs="Cambria"/>
      <w:i/>
      <w:sz w:val="24"/>
      <w:szCs w:val="20"/>
    </w:rPr>
  </w:style>
  <w:style w:type="paragraph" w:styleId="1186" w:customStyle="1">
    <w:name w:val="xl41"/>
    <w:basedOn w:val="808"/>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187" w:customStyle="1">
    <w:name w:val="图形"/>
    <w:basedOn w:val="808"/>
    <w:qFormat/>
    <w:pPr>
      <w:ind w:firstLine="420"/>
      <w:jc w:val="center"/>
      <w:spacing w:after="20" w:line="288" w:lineRule="auto"/>
    </w:pPr>
  </w:style>
  <w:style w:type="paragraph" w:styleId="1188" w:customStyle="1">
    <w:name w:val="Char Char Char Char Char Char Char Char Char Char"/>
    <w:basedOn w:val="808"/>
    <w:qFormat/>
    <w:pPr>
      <w:tabs>
        <w:tab w:val="left" w:pos="360" w:leader="none"/>
      </w:tabs>
    </w:pPr>
  </w:style>
  <w:style w:type="paragraph" w:styleId="1189" w:customStyle="1">
    <w:name w:val="xl49"/>
    <w:basedOn w:val="808"/>
    <w:qFormat/>
    <w:pPr>
      <w:jc w:val="center"/>
      <w:spacing w:before="100" w:beforeAutospacing="1" w:after="100" w:afterAutospacing="1"/>
      <w:widowControl/>
    </w:pPr>
    <w:rPr>
      <w:b/>
      <w:bCs/>
      <w:color w:val="000000"/>
      <w:sz w:val="40"/>
      <w:szCs w:val="40"/>
    </w:rPr>
  </w:style>
  <w:style w:type="paragraph" w:styleId="1190" w:customStyle="1">
    <w:name w:val="z-Top of Form"/>
    <w:next w:val="808"/>
    <w:qFormat/>
    <w:pPr>
      <w:jc w:val="center"/>
      <w:widowControl w:val="off"/>
      <w:pBdr>
        <w:bottom w:val="single" w:color="000000" w:sz="2" w:space="0"/>
      </w:pBdr>
    </w:pPr>
    <w:rPr>
      <w:rFonts w:ascii="Tahoma" w:hAnsi="Tahoma" w:eastAsia="华文细黑" w:cs="Cambria"/>
      <w:vanish/>
      <w:sz w:val="16"/>
    </w:rPr>
  </w:style>
  <w:style w:type="paragraph" w:styleId="1191" w:customStyle="1">
    <w:name w:val="xl40"/>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92" w:customStyle="1">
    <w:name w:val="Char Char Char Char Char Char Char Char Char Char11"/>
    <w:basedOn w:val="808"/>
    <w:qFormat/>
    <w:pPr>
      <w:ind w:left="425" w:hanging="425"/>
      <w:tabs>
        <w:tab w:val="left" w:pos="425" w:leader="none"/>
      </w:tabs>
    </w:pPr>
    <w:rPr>
      <w:sz w:val="28"/>
      <w:szCs w:val="20"/>
    </w:rPr>
  </w:style>
  <w:style w:type="paragraph" w:styleId="1193" w:customStyle="1">
    <w:name w:val="Default"/>
    <w:qFormat/>
    <w:pPr>
      <w:widowControl w:val="off"/>
    </w:pPr>
    <w:rPr>
      <w:rFonts w:ascii="宋体" w:hAnsi="宋体" w:eastAsia="华文细黑" w:cs="宋体"/>
      <w:color w:val="000000"/>
      <w:sz w:val="24"/>
      <w:szCs w:val="24"/>
    </w:rPr>
  </w:style>
  <w:style w:type="paragraph" w:styleId="1194" w:customStyle="1">
    <w:name w:val="并列项-点"/>
    <w:basedOn w:val="808"/>
    <w:qFormat/>
    <w:pPr>
      <w:ind w:left="851" w:hanging="284"/>
      <w:spacing w:before="120" w:line="360" w:lineRule="auto"/>
      <w:widowControl/>
      <w:tabs>
        <w:tab w:val="left" w:pos="851" w:leader="none"/>
        <w:tab w:val="left" w:pos="927" w:leader="none"/>
      </w:tabs>
    </w:pPr>
    <w:rPr>
      <w:sz w:val="24"/>
      <w:szCs w:val="20"/>
    </w:rPr>
  </w:style>
  <w:style w:type="paragraph" w:styleId="1195" w:customStyle="1">
    <w:name w:val="Char Char Char Char11"/>
    <w:basedOn w:val="808"/>
    <w:qFormat/>
  </w:style>
  <w:style w:type="paragraph" w:styleId="1196" w:customStyle="1">
    <w:name w:val="表格文字"/>
    <w:basedOn w:val="808"/>
    <w:qFormat/>
    <w:pPr>
      <w:jc w:val="left"/>
      <w:spacing w:line="288" w:lineRule="auto"/>
    </w:pPr>
    <w:rPr>
      <w:szCs w:val="20"/>
    </w:rPr>
  </w:style>
  <w:style w:type="paragraph" w:styleId="1197" w:customStyle="1">
    <w:name w:val="样式"/>
    <w:basedOn w:val="808"/>
    <w:next w:val="834"/>
    <w:qFormat/>
    <w:pPr>
      <w:ind w:firstLine="540"/>
      <w:spacing w:line="360" w:lineRule="auto"/>
      <w:widowControl/>
    </w:pPr>
    <w:rPr>
      <w:rFonts w:hAnsi="MS Sans Serif"/>
      <w:spacing w:val="12"/>
      <w:sz w:val="24"/>
    </w:rPr>
  </w:style>
  <w:style w:type="paragraph" w:styleId="1198" w:customStyle="1">
    <w:name w:val="默认段落字体 Para Char Char Char1 Char"/>
    <w:basedOn w:val="808"/>
    <w:qFormat/>
    <w:pPr>
      <w:ind w:left="420" w:firstLine="420"/>
      <w:spacing w:line="360" w:lineRule="auto"/>
    </w:pPr>
    <w:rPr>
      <w:sz w:val="24"/>
    </w:rPr>
  </w:style>
  <w:style w:type="paragraph" w:styleId="1199" w:customStyle="1">
    <w:name w:val="xl48"/>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200" w:customStyle="1">
    <w:name w:val="Char1"/>
    <w:basedOn w:val="808"/>
    <w:qFormat/>
    <w:rPr>
      <w:rFonts w:ascii="仿宋_GB2312" w:eastAsia="仿宋_GB2312"/>
      <w:b/>
      <w:sz w:val="32"/>
      <w:szCs w:val="32"/>
    </w:rPr>
  </w:style>
  <w:style w:type="paragraph" w:styleId="1201" w:customStyle="1">
    <w:name w:val="xl42"/>
    <w:basedOn w:val="808"/>
    <w:qFormat/>
    <w:pPr>
      <w:jc w:val="center"/>
      <w:spacing w:before="100" w:beforeAutospacing="1" w:after="100" w:afterAutospacing="1"/>
      <w:widowControl/>
      <w:pBdr>
        <w:top w:val="single" w:color="000000" w:sz="4" w:space="0"/>
        <w:right w:val="single" w:color="000000" w:sz="4" w:space="0"/>
      </w:pBdr>
    </w:pPr>
    <w:rPr>
      <w:sz w:val="24"/>
    </w:rPr>
  </w:style>
  <w:style w:type="paragraph" w:styleId="1202" w:customStyle="1">
    <w:name w:val="空半行"/>
    <w:basedOn w:val="808"/>
    <w:qFormat/>
    <w:pPr>
      <w:spacing w:line="120" w:lineRule="exact"/>
    </w:pPr>
    <w:rPr>
      <w:rFonts w:ascii="Cambria" w:hAnsi="Cambria" w:eastAsia="Tahoma" w:cs="Cambria"/>
      <w:color w:val="ffffff"/>
      <w:sz w:val="30"/>
      <w:szCs w:val="20"/>
    </w:rPr>
  </w:style>
  <w:style w:type="paragraph" w:styleId="1203" w:customStyle="1">
    <w:name w:val="font5"/>
    <w:basedOn w:val="808"/>
    <w:qFormat/>
    <w:pPr>
      <w:jc w:val="left"/>
      <w:spacing w:before="100" w:beforeAutospacing="1" w:after="100" w:afterAutospacing="1"/>
      <w:widowControl/>
    </w:pPr>
    <w:rPr>
      <w:rFonts w:hint="eastAsia"/>
      <w:sz w:val="18"/>
      <w:szCs w:val="18"/>
    </w:rPr>
  </w:style>
  <w:style w:type="paragraph" w:styleId="1204" w:customStyle="1">
    <w:name w:val="z-Bottom of Form"/>
    <w:next w:val="808"/>
    <w:qFormat/>
    <w:pPr>
      <w:jc w:val="center"/>
      <w:widowControl w:val="off"/>
      <w:pBdr>
        <w:top w:val="single" w:color="000000" w:sz="2" w:space="0"/>
      </w:pBdr>
    </w:pPr>
    <w:rPr>
      <w:rFonts w:ascii="Tahoma" w:hAnsi="Tahoma" w:eastAsia="华文细黑" w:cs="Cambria"/>
      <w:vanish/>
      <w:sz w:val="16"/>
    </w:rPr>
  </w:style>
  <w:style w:type="paragraph" w:styleId="1205" w:customStyle="1">
    <w:name w:val="Char Char Char Char"/>
    <w:basedOn w:val="808"/>
    <w:qFormat/>
    <w:rPr>
      <w:rFonts w:ascii="Tahoma" w:hAnsi="Tahoma"/>
      <w:sz w:val="24"/>
      <w:szCs w:val="20"/>
    </w:rPr>
  </w:style>
  <w:style w:type="paragraph" w:styleId="1206" w:customStyle="1">
    <w:name w:val="Char Char Char Char Char Char Char Char Char Char2"/>
    <w:basedOn w:val="808"/>
    <w:qFormat/>
    <w:pPr>
      <w:ind w:left="1620" w:hanging="420"/>
      <w:tabs>
        <w:tab w:val="left" w:pos="1620" w:leader="none"/>
      </w:tabs>
    </w:pPr>
    <w:rPr>
      <w:sz w:val="24"/>
    </w:rPr>
  </w:style>
  <w:style w:type="paragraph" w:styleId="1207" w:customStyle="1">
    <w:name w:val="font0"/>
    <w:basedOn w:val="808"/>
    <w:qFormat/>
    <w:pPr>
      <w:jc w:val="left"/>
      <w:spacing w:before="100" w:beforeAutospacing="1" w:after="100" w:afterAutospacing="1"/>
      <w:widowControl/>
    </w:pPr>
    <w:rPr>
      <w:rFonts w:hint="eastAsia"/>
      <w:sz w:val="18"/>
      <w:szCs w:val="18"/>
    </w:rPr>
  </w:style>
  <w:style w:type="paragraph" w:styleId="1208" w:customStyle="1">
    <w:name w:val="函数注释1"/>
    <w:basedOn w:val="808"/>
    <w:qFormat/>
    <w:pPr>
      <w:ind w:left="1678" w:right="210" w:hanging="1049"/>
      <w:jc w:val="left"/>
      <w:spacing w:after="20" w:line="320" w:lineRule="exact"/>
    </w:pPr>
    <w:rPr>
      <w:szCs w:val="20"/>
    </w:rPr>
  </w:style>
  <w:style w:type="paragraph" w:styleId="1209" w:customStyle="1">
    <w:name w:val="菲页(卷)"/>
    <w:basedOn w:val="809"/>
    <w:next w:val="1210"/>
    <w:qFormat/>
    <w:pPr>
      <w:ind w:left="780" w:hanging="360"/>
      <w:keepLines w:val="0"/>
      <w:spacing w:before="0" w:after="0" w:line="240" w:lineRule="auto"/>
      <w:widowControl/>
      <w:outlineLvl w:val="1"/>
    </w:pPr>
    <w:rPr>
      <w:b w:val="0"/>
      <w:bCs w:val="0"/>
      <w:sz w:val="52"/>
      <w:szCs w:val="20"/>
    </w:rPr>
  </w:style>
  <w:style w:type="paragraph" w:styleId="1210" w:customStyle="1">
    <w:name w:val="Normal1"/>
    <w:qFormat/>
    <w:pPr>
      <w:jc w:val="both"/>
      <w:spacing w:line="312" w:lineRule="atLeast"/>
      <w:widowControl w:val="off"/>
    </w:pPr>
    <w:rPr>
      <w:rFonts w:ascii="宋体"/>
      <w:sz w:val="34"/>
    </w:rPr>
  </w:style>
  <w:style w:type="paragraph" w:styleId="1211" w:customStyle="1">
    <w:name w:val="xl30"/>
    <w:basedOn w:val="808"/>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12" w:customStyle="1">
    <w:name w:val="标题0"/>
    <w:basedOn w:val="868"/>
    <w:next w:val="868"/>
    <w:qFormat/>
    <w:rPr>
      <w:sz w:val="52"/>
    </w:rPr>
  </w:style>
  <w:style w:type="paragraph" w:styleId="1213" w:customStyle="1">
    <w:name w:val="xl44"/>
    <w:basedOn w:val="808"/>
    <w:qFormat/>
    <w:pPr>
      <w:jc w:val="center"/>
      <w:spacing w:before="100" w:beforeAutospacing="1" w:after="100" w:afterAutospacing="1"/>
      <w:widowControl/>
      <w:pBdr>
        <w:bottom w:val="single" w:color="000000" w:sz="4" w:space="0"/>
        <w:right w:val="single" w:color="000000" w:sz="4" w:space="0"/>
      </w:pBdr>
    </w:pPr>
    <w:rPr>
      <w:sz w:val="24"/>
    </w:rPr>
  </w:style>
  <w:style w:type="paragraph" w:styleId="1214" w:customStyle="1">
    <w:name w:val="样式 纯文本 + 楷体_GB2312 小四 行距: 固定值 20 磅1"/>
    <w:basedOn w:val="840"/>
    <w:qFormat/>
    <w:pPr>
      <w:ind w:firstLine="200"/>
      <w:spacing w:line="400" w:lineRule="exact"/>
    </w:pPr>
    <w:rPr>
      <w:rFonts w:ascii="楷体_GB2312"/>
      <w:sz w:val="24"/>
      <w:szCs w:val="20"/>
    </w:rPr>
  </w:style>
  <w:style w:type="paragraph" w:styleId="1215" w:customStyle="1">
    <w:name w:val="xl24"/>
    <w:basedOn w:val="808"/>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16" w:customStyle="1">
    <w:name w:val="xl45"/>
    <w:basedOn w:val="808"/>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17" w:customStyle="1">
    <w:name w:val="Char2"/>
    <w:basedOn w:val="808"/>
    <w:qFormat/>
    <w:pPr>
      <w:ind w:left="420" w:firstLine="420"/>
      <w:spacing w:line="240" w:lineRule="atLeast"/>
    </w:pPr>
  </w:style>
  <w:style w:type="paragraph" w:styleId="1218" w:customStyle="1">
    <w:name w:val="p0"/>
    <w:basedOn w:val="808"/>
    <w:qFormat/>
    <w:pPr>
      <w:widowControl/>
    </w:pPr>
  </w:style>
  <w:style w:type="paragraph" w:styleId="1219" w:customStyle="1">
    <w:name w:val="表蕊"/>
    <w:basedOn w:val="808"/>
    <w:qFormat/>
    <w:pPr>
      <w:jc w:val="left"/>
      <w:spacing w:line="320" w:lineRule="atLeast"/>
    </w:pPr>
    <w:rPr>
      <w:rFonts w:eastAsia="楷体_GB2312"/>
      <w:spacing w:val="-10"/>
      <w:szCs w:val="20"/>
    </w:rPr>
  </w:style>
  <w:style w:type="paragraph" w:styleId="1220" w:customStyle="1">
    <w:name w:val="Char Char Char Char2"/>
    <w:basedOn w:val="808"/>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221" w:customStyle="1">
    <w:name w:val="表格无样式"/>
    <w:qFormat/>
    <w:pPr>
      <w:spacing w:line="360" w:lineRule="auto"/>
    </w:pPr>
    <w:rPr>
      <w:rFonts w:ascii="宋体" w:hAnsi="宋体" w:cs="宋体"/>
      <w:sz w:val="21"/>
      <w:szCs w:val="21"/>
    </w:rPr>
  </w:style>
  <w:style w:type="paragraph" w:styleId="1222" w:customStyle="1">
    <w:name w:val="+正文"/>
    <w:basedOn w:val="808"/>
    <w:qFormat/>
    <w:pPr>
      <w:ind w:firstLine="200"/>
      <w:spacing w:line="360" w:lineRule="auto"/>
    </w:pPr>
    <w:rPr>
      <w:sz w:val="24"/>
      <w:szCs w:val="28"/>
    </w:rPr>
  </w:style>
  <w:style w:type="paragraph" w:styleId="1223" w:customStyle="1">
    <w:name w:val="xl27"/>
    <w:basedOn w:val="808"/>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24" w:customStyle="1">
    <w:name w:val="xl37"/>
    <w:basedOn w:val="808"/>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225" w:customStyle="1">
    <w:name w:val="xl22"/>
    <w:basedOn w:val="808"/>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26" w:customStyle="1">
    <w:name w:val="xl50"/>
    <w:basedOn w:val="808"/>
    <w:qFormat/>
    <w:pPr>
      <w:jc w:val="center"/>
      <w:spacing w:before="100" w:beforeAutospacing="1" w:after="100" w:afterAutospacing="1"/>
      <w:widowControl/>
    </w:pPr>
    <w:rPr>
      <w:b/>
      <w:bCs/>
      <w:sz w:val="40"/>
      <w:szCs w:val="40"/>
    </w:rPr>
  </w:style>
  <w:style w:type="paragraph" w:styleId="1227" w:customStyle="1">
    <w:name w:val="产品型号"/>
    <w:basedOn w:val="808"/>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28" w:customStyle="1">
    <w:name w:val="正文缩进1"/>
    <w:basedOn w:val="808"/>
    <w:qFormat/>
    <w:pPr>
      <w:ind w:left="1200" w:hanging="1200"/>
      <w:jc w:val="center"/>
      <w:spacing w:line="360" w:lineRule="atLeast"/>
    </w:pPr>
    <w:rPr>
      <w:sz w:val="24"/>
      <w:szCs w:val="20"/>
    </w:rPr>
  </w:style>
  <w:style w:type="paragraph" w:styleId="1229" w:customStyle="1">
    <w:name w:val="列表段落1"/>
    <w:basedOn w:val="808"/>
    <w:uiPriority w:val="34"/>
    <w:qFormat/>
    <w:pPr>
      <w:ind w:firstLine="420"/>
    </w:pPr>
    <w:rPr>
      <w:rFonts w:ascii="Calibri" w:hAnsi="Calibri" w:cs="Times New Roman"/>
      <w:szCs w:val="22"/>
    </w:rPr>
  </w:style>
  <w:style w:type="paragraph" w:styleId="1230" w:customStyle="1">
    <w:name w:val="列出段落1"/>
    <w:basedOn w:val="808"/>
    <w:qFormat/>
    <w:pPr>
      <w:ind w:firstLine="420"/>
    </w:pPr>
    <w:rPr>
      <w:rFonts w:ascii="Calibri" w:hAnsi="Calibri"/>
      <w:szCs w:val="22"/>
    </w:rPr>
  </w:style>
  <w:style w:type="paragraph" w:styleId="1231" w:customStyle="1">
    <w:name w:val="xl52"/>
    <w:basedOn w:val="808"/>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32" w:customStyle="1">
    <w:name w:val="Char Char Char Char Char Char"/>
    <w:basedOn w:val="808"/>
    <w:qFormat/>
    <w:pPr>
      <w:jc w:val="left"/>
      <w:spacing w:after="160" w:line="240" w:lineRule="exact"/>
      <w:widowControl/>
    </w:pPr>
    <w:rPr>
      <w:rFonts w:ascii="黑体" w:hAnsi="Verdana" w:eastAsia="黑体"/>
      <w:sz w:val="32"/>
      <w:szCs w:val="32"/>
    </w:rPr>
  </w:style>
  <w:style w:type="paragraph" w:styleId="1233" w:customStyle="1">
    <w:name w:val="Preformatted"/>
    <w:basedOn w:val="80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4" w:customStyle="1">
    <w:name w:val="修订1"/>
    <w:uiPriority w:val="99"/>
    <w:qFormat/>
    <w:rPr>
      <w:rFonts w:ascii="Cambria" w:hAnsi="Cambria" w:eastAsia="华文细黑" w:cs="Cambria"/>
      <w:sz w:val="21"/>
      <w:szCs w:val="24"/>
    </w:rPr>
  </w:style>
  <w:style w:type="paragraph" w:styleId="1235" w:customStyle="1">
    <w:name w:val="Javis"/>
    <w:basedOn w:val="808"/>
    <w:qFormat/>
    <w:pPr>
      <w:ind w:right="210"/>
    </w:pPr>
    <w:rPr>
      <w:sz w:val="24"/>
      <w:szCs w:val="20"/>
    </w:rPr>
  </w:style>
  <w:style w:type="paragraph" w:styleId="1236" w:customStyle="1">
    <w:name w:val="xl23"/>
    <w:basedOn w:val="808"/>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37" w:customStyle="1">
    <w:name w:val="样式 标题 3 + (中文) 黑体 小四 非加粗 段前: 7.8 磅 段后: 0 磅 行距: 固定值 20 磅"/>
    <w:basedOn w:val="811"/>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38" w:customStyle="1">
    <w:name w:val="Char11"/>
    <w:basedOn w:val="808"/>
    <w:qFormat/>
    <w:rPr>
      <w:rFonts w:ascii="仿宋_GB2312" w:eastAsia="仿宋_GB2312"/>
      <w:b/>
      <w:sz w:val="32"/>
      <w:szCs w:val="32"/>
    </w:rPr>
  </w:style>
  <w:style w:type="paragraph" w:styleId="1239" w:customStyle="1">
    <w:name w:val="目录文字"/>
    <w:basedOn w:val="808"/>
    <w:qFormat/>
    <w:pPr>
      <w:jc w:val="left"/>
      <w:spacing w:line="480" w:lineRule="auto"/>
      <w:widowControl/>
    </w:pPr>
    <w:rPr>
      <w:sz w:val="24"/>
      <w:szCs w:val="20"/>
    </w:rPr>
  </w:style>
  <w:style w:type="paragraph" w:styleId="1240" w:customStyle="1">
    <w:name w:val="xl47"/>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41" w:customStyle="1">
    <w:name w:val="目录"/>
    <w:basedOn w:val="808"/>
    <w:next w:val="808"/>
    <w:qFormat/>
    <w:pPr>
      <w:ind w:firstLine="420"/>
      <w:jc w:val="center"/>
      <w:spacing w:before="360" w:after="360" w:line="360" w:lineRule="auto"/>
    </w:pPr>
    <w:rPr>
      <w:b/>
      <w:spacing w:val="200"/>
      <w:sz w:val="36"/>
      <w:szCs w:val="20"/>
    </w:rPr>
  </w:style>
  <w:style w:type="paragraph" w:styleId="1242" w:customStyle="1">
    <w:name w:val="Char Char Char Char Char Char Char"/>
    <w:basedOn w:val="808"/>
    <w:qFormat/>
    <w:pPr>
      <w:jc w:val="left"/>
      <w:spacing w:after="160" w:line="240" w:lineRule="exact"/>
      <w:widowControl/>
    </w:pPr>
    <w:rPr>
      <w:rFonts w:ascii="Arial" w:hAnsi="Arial" w:eastAsia="Times New Roman" w:cs="Verdana"/>
      <w:b/>
      <w:sz w:val="24"/>
      <w:lang w:eastAsia="en-US"/>
    </w:rPr>
  </w:style>
  <w:style w:type="paragraph" w:styleId="1243" w:customStyle="1">
    <w:name w:val="页眉1"/>
    <w:basedOn w:val="808"/>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44" w:customStyle="1">
    <w:name w:val="正文(缩进)"/>
    <w:basedOn w:val="808"/>
    <w:qFormat/>
    <w:pPr>
      <w:ind w:firstLine="200"/>
      <w:spacing w:line="360" w:lineRule="auto"/>
      <w:widowControl/>
    </w:pPr>
    <w:rPr>
      <w:rFonts w:eastAsia="仿宋_GB2312"/>
      <w:sz w:val="24"/>
      <w:szCs w:val="20"/>
    </w:rPr>
  </w:style>
  <w:style w:type="paragraph" w:styleId="1245" w:customStyle="1">
    <w:name w:val="我的样式5"/>
    <w:uiPriority w:val="99"/>
    <w:qFormat/>
    <w:pPr>
      <w:spacing w:line="520" w:lineRule="exact"/>
      <w:tabs>
        <w:tab w:val="left" w:pos="847" w:leader="none"/>
        <w:tab w:val="left" w:pos="932" w:leader="none"/>
      </w:tabs>
    </w:pPr>
    <w:rPr>
      <w:sz w:val="24"/>
    </w:rPr>
  </w:style>
  <w:style w:type="paragraph" w:styleId="1246" w:customStyle="1">
    <w:name w:val="简介正文"/>
    <w:basedOn w:val="808"/>
    <w:qFormat/>
    <w:pPr>
      <w:numPr>
        <w:numId w:val="7"/>
      </w:numPr>
      <w:ind w:left="1701" w:hanging="1701"/>
      <w:spacing w:after="20" w:line="520" w:lineRule="exact"/>
      <w:tabs>
        <w:tab w:val="clear" w:pos="425" w:leader="none"/>
      </w:tabs>
    </w:pPr>
    <w:rPr>
      <w:sz w:val="24"/>
      <w:szCs w:val="20"/>
    </w:rPr>
  </w:style>
  <w:style w:type="paragraph" w:styleId="1247" w:customStyle="1">
    <w:name w:val="章标题"/>
    <w:next w:val="808"/>
    <w:qFormat/>
    <w:pPr>
      <w:numPr>
        <w:ilvl w:val="1"/>
        <w:numId w:val="8"/>
      </w:numPr>
      <w:jc w:val="both"/>
      <w:outlineLvl w:val="1"/>
    </w:pPr>
    <w:rPr>
      <w:rFonts w:ascii="黑体" w:eastAsia="黑体"/>
      <w:sz w:val="21"/>
    </w:rPr>
  </w:style>
  <w:style w:type="paragraph" w:styleId="1248" w:customStyle="1">
    <w:name w:val="默认段落字体 Para Char"/>
    <w:basedOn w:val="808"/>
    <w:qFormat/>
    <w:pPr>
      <w:ind w:firstLine="200"/>
      <w:spacing w:line="360" w:lineRule="auto"/>
    </w:pPr>
    <w:rPr>
      <w:rFonts w:ascii="华文细黑" w:hAnsi="华文细黑" w:eastAsia="华文细黑" w:cs="华文细黑"/>
      <w:sz w:val="24"/>
    </w:rPr>
  </w:style>
  <w:style w:type="paragraph" w:styleId="1249" w:customStyle="1">
    <w:name w:val="xl51"/>
    <w:basedOn w:val="808"/>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250" w:customStyle="1">
    <w:name w:val="名词解释"/>
    <w:basedOn w:val="808"/>
    <w:qFormat/>
    <w:pPr>
      <w:ind w:left="2325" w:hanging="2325"/>
      <w:spacing w:after="20" w:line="288" w:lineRule="auto"/>
    </w:pPr>
    <w:rPr>
      <w:szCs w:val="20"/>
    </w:rPr>
  </w:style>
  <w:style w:type="paragraph" w:styleId="1251" w:customStyle="1">
    <w:name w:val="名词解释11"/>
    <w:basedOn w:val="1250"/>
    <w:qFormat/>
    <w:pPr>
      <w:ind w:firstLine="0"/>
      <w:spacing w:after="0"/>
    </w:pPr>
  </w:style>
  <w:style w:type="paragraph" w:styleId="1252" w:customStyle="1">
    <w:name w:val="xl33"/>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3" w:customStyle="1">
    <w:name w:val="默认段落字体 Para Char Char Char Char Char Char Char"/>
    <w:basedOn w:val="808"/>
    <w:qFormat/>
    <w:rPr>
      <w:rFonts w:eastAsia="华文细黑" w:cs="Cambria"/>
      <w:sz w:val="24"/>
      <w:szCs w:val="20"/>
    </w:rPr>
  </w:style>
  <w:style w:type="paragraph" w:styleId="1254" w:customStyle="1">
    <w:name w:val="修订1"/>
    <w:uiPriority w:val="99"/>
    <w:qFormat/>
    <w:rPr>
      <w:rFonts w:ascii="Cambria" w:hAnsi="Cambria" w:eastAsia="华文细黑" w:cs="Cambria"/>
      <w:sz w:val="21"/>
      <w:szCs w:val="24"/>
    </w:rPr>
  </w:style>
  <w:style w:type="paragraph" w:styleId="1255" w:customStyle="1">
    <w:name w:val="1"/>
    <w:basedOn w:val="808"/>
    <w:qFormat/>
    <w:pPr>
      <w:ind w:firstLine="200"/>
      <w:spacing w:line="360" w:lineRule="auto"/>
    </w:pPr>
    <w:rPr>
      <w:rFonts w:ascii="华文细黑" w:hAnsi="华文细黑" w:eastAsia="华文细黑" w:cs="华文细黑"/>
      <w:sz w:val="24"/>
    </w:rPr>
  </w:style>
  <w:style w:type="paragraph" w:styleId="1256" w:customStyle="1">
    <w:name w:val="yyn"/>
    <w:basedOn w:val="808"/>
    <w:qFormat/>
    <w:pPr>
      <w:ind w:right="562" w:firstLine="576"/>
      <w:keepNext/>
      <w:spacing w:line="360" w:lineRule="auto"/>
      <w:widowControl/>
    </w:pPr>
    <w:rPr>
      <w:sz w:val="28"/>
      <w:szCs w:val="20"/>
    </w:rPr>
  </w:style>
  <w:style w:type="paragraph" w:styleId="1257" w:customStyle="1">
    <w:name w:val="列表2"/>
    <w:basedOn w:val="808"/>
    <w:qFormat/>
    <w:pPr>
      <w:ind w:left="1469" w:hanging="420"/>
      <w:spacing w:after="20" w:line="288" w:lineRule="auto"/>
      <w:tabs>
        <w:tab w:val="left" w:pos="1470" w:leader="none"/>
      </w:tabs>
    </w:pPr>
  </w:style>
  <w:style w:type="paragraph" w:styleId="1258" w:customStyle="1">
    <w:name w:val="xl38"/>
    <w:basedOn w:val="808"/>
    <w:qFormat/>
    <w:pPr>
      <w:jc w:val="center"/>
      <w:spacing w:before="100" w:beforeAutospacing="1" w:after="100" w:afterAutospacing="1"/>
      <w:widowControl/>
    </w:pPr>
    <w:rPr>
      <w:rFonts w:hint="eastAsia" w:ascii="隶书" w:eastAsia="隶书"/>
      <w:b/>
      <w:bCs/>
      <w:sz w:val="48"/>
      <w:szCs w:val="48"/>
    </w:rPr>
  </w:style>
  <w:style w:type="paragraph" w:styleId="1259" w:customStyle="1">
    <w:name w:val="font7"/>
    <w:basedOn w:val="808"/>
    <w:qFormat/>
    <w:pPr>
      <w:ind w:firstLine="420"/>
      <w:jc w:val="left"/>
      <w:spacing w:before="100" w:beforeAutospacing="1" w:after="100" w:afterAutospacing="1" w:line="288" w:lineRule="auto"/>
      <w:widowControl/>
    </w:pPr>
    <w:rPr>
      <w:b/>
      <w:bCs/>
      <w:sz w:val="24"/>
    </w:rPr>
  </w:style>
  <w:style w:type="paragraph" w:styleId="1260" w:customStyle="1">
    <w:name w:val="Char Char Char Char Char Char Char Char Char Char Char Char Char Char Char Char"/>
    <w:basedOn w:val="808"/>
    <w:qFormat/>
    <w:pPr>
      <w:tabs>
        <w:tab w:val="left" w:pos="360" w:leader="none"/>
      </w:tabs>
    </w:pPr>
    <w:rPr>
      <w:sz w:val="24"/>
    </w:rPr>
  </w:style>
  <w:style w:type="paragraph" w:styleId="1261" w:customStyle="1">
    <w:name w:val="正文2"/>
    <w:basedOn w:val="808"/>
    <w:qFormat/>
    <w:pPr>
      <w:ind w:firstLine="200"/>
      <w:jc w:val="left"/>
      <w:spacing w:after="160" w:line="360" w:lineRule="auto"/>
      <w:widowControl/>
    </w:pPr>
    <w:rPr>
      <w:rFonts w:ascii="Verdana" w:hAnsi="Verdana" w:eastAsia="黑体"/>
      <w:szCs w:val="20"/>
      <w:lang w:eastAsia="en-US"/>
    </w:rPr>
  </w:style>
  <w:style w:type="paragraph" w:styleId="1262" w:customStyle="1">
    <w:name w:val="TOC 标题1"/>
    <w:basedOn w:val="809"/>
    <w:next w:val="808"/>
    <w:uiPriority w:val="39"/>
    <w:qFormat/>
    <w:pPr>
      <w:numPr>
        <w:numId w:val="0"/>
      </w:numPr>
      <w:jc w:val="both"/>
      <w:spacing w:line="576" w:lineRule="auto"/>
      <w:outlineLvl w:val="9"/>
    </w:pPr>
    <w:rPr>
      <w:rFonts w:ascii="Cambria" w:hAnsi="Cambria" w:eastAsia="华文细黑" w:cs="Cambria"/>
    </w:rPr>
  </w:style>
  <w:style w:type="paragraph" w:styleId="1263" w:customStyle="1">
    <w:name w:val="xl35"/>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4" w:customStyle="1">
    <w:name w:val="ZDY正文"/>
    <w:basedOn w:val="808"/>
    <w:qFormat/>
    <w:pPr>
      <w:ind w:firstLine="200"/>
      <w:jc w:val="left"/>
      <w:spacing w:line="360" w:lineRule="auto"/>
    </w:pPr>
    <w:rPr>
      <w:sz w:val="24"/>
    </w:rPr>
  </w:style>
  <w:style w:type="paragraph" w:styleId="1265" w:customStyle="1">
    <w:name w:val="样式 标题 2 + Times New Roman 四号 非加粗 段前: 5 磅 段后: 0 磅 行距: 固定值 20..."/>
    <w:basedOn w:val="81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66" w:customStyle="1">
    <w:name w:val="msolistparagraph"/>
    <w:basedOn w:val="808"/>
    <w:qFormat/>
    <w:pPr>
      <w:ind w:firstLine="420"/>
    </w:pPr>
    <w:rPr>
      <w:rFonts w:ascii="Calibri" w:hAnsi="Calibri"/>
      <w:szCs w:val="22"/>
    </w:rPr>
  </w:style>
  <w:style w:type="paragraph" w:styleId="1267" w:customStyle="1">
    <w:name w:val="表格标题"/>
    <w:basedOn w:val="808"/>
    <w:qFormat/>
    <w:pPr>
      <w:jc w:val="center"/>
      <w:spacing w:before="120" w:line="400" w:lineRule="exact"/>
    </w:pPr>
    <w:rPr>
      <w:rFonts w:eastAsia="文鼎CS中宋"/>
      <w:spacing w:val="8"/>
      <w:sz w:val="24"/>
      <w:szCs w:val="20"/>
    </w:rPr>
  </w:style>
  <w:style w:type="paragraph" w:styleId="1268" w:customStyle="1">
    <w:name w:val="引用1"/>
    <w:basedOn w:val="808"/>
    <w:next w:val="808"/>
    <w:qFormat/>
    <w:rPr>
      <w:i/>
      <w:iCs/>
      <w:color w:val="000000"/>
      <w:szCs w:val="22"/>
    </w:rPr>
  </w:style>
  <w:style w:type="paragraph" w:styleId="1269" w:customStyle="1">
    <w:name w:val="样式1"/>
    <w:basedOn w:val="808"/>
    <w:qFormat/>
    <w:pPr>
      <w:spacing w:before="120" w:after="120" w:line="300" w:lineRule="auto"/>
    </w:pPr>
    <w:rPr>
      <w:b/>
      <w:sz w:val="24"/>
      <w:szCs w:val="20"/>
    </w:rPr>
  </w:style>
  <w:style w:type="paragraph" w:styleId="1270" w:customStyle="1">
    <w:name w:val="flNote"/>
    <w:basedOn w:val="808"/>
    <w:qFormat/>
    <w:pPr>
      <w:jc w:val="center"/>
      <w:spacing w:before="320" w:after="160" w:line="360" w:lineRule="atLeast"/>
    </w:pPr>
    <w:rPr>
      <w:rFonts w:ascii="Tahoma" w:hAnsi="Cambria" w:eastAsia="幼圆" w:cs="Cambria"/>
      <w:sz w:val="30"/>
      <w:szCs w:val="20"/>
    </w:rPr>
  </w:style>
  <w:style w:type="paragraph" w:styleId="1271" w:customStyle="1">
    <w:name w:val="样式 标题 1 + 黑体 三号 非加粗 居中 段前: 6 磅 段后: 6 磅 行距: 固定值 20 磅"/>
    <w:basedOn w:val="809"/>
    <w:qFormat/>
    <w:pPr>
      <w:numPr>
        <w:numId w:val="0"/>
      </w:numPr>
      <w:spacing w:before="120" w:after="120" w:line="400" w:lineRule="exact"/>
    </w:pPr>
    <w:rPr>
      <w:rFonts w:ascii="幼圆" w:hAnsi="幼圆" w:eastAsia="幼圆" w:cs="华文细黑"/>
      <w:b w:val="0"/>
      <w:bCs w:val="0"/>
      <w:sz w:val="32"/>
      <w:szCs w:val="20"/>
    </w:rPr>
  </w:style>
  <w:style w:type="paragraph" w:styleId="1272" w:customStyle="1">
    <w:name w:val="样式12"/>
    <w:basedOn w:val="808"/>
    <w:qFormat/>
    <w:pPr>
      <w:ind w:left="600" w:firstLine="480"/>
      <w:jc w:val="left"/>
      <w:spacing w:line="480" w:lineRule="exact"/>
    </w:pPr>
    <w:rPr>
      <w:sz w:val="24"/>
    </w:rPr>
  </w:style>
  <w:style w:type="paragraph" w:styleId="1273" w:customStyle="1">
    <w:name w:val="重点"/>
    <w:basedOn w:val="808"/>
    <w:qFormat/>
    <w:pPr>
      <w:ind w:firstLine="420"/>
      <w:spacing w:after="20" w:line="288" w:lineRule="auto"/>
      <w:shd w:val="pct10" w:color="auto" w:fill="auto"/>
    </w:pPr>
    <w:rPr>
      <w:rFonts w:eastAsia="黑体"/>
      <w:b/>
    </w:rPr>
  </w:style>
  <w:style w:type="paragraph" w:styleId="1274" w:customStyle="1">
    <w:name w:val="xl25"/>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75" w:customStyle="1">
    <w:name w:val="xl43"/>
    <w:basedOn w:val="808"/>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276" w:customStyle="1">
    <w:name w:val="xl4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277" w:customStyle="1">
    <w:name w:val="样式 (西文) 仿宋_GB2312 居中 行距: 1.5 倍行距"/>
    <w:basedOn w:val="808"/>
    <w:qFormat/>
    <w:pPr>
      <w:jc w:val="center"/>
      <w:spacing w:line="360" w:lineRule="auto"/>
    </w:pPr>
    <w:rPr>
      <w:rFonts w:ascii="华文细黑" w:hAnsi="华文细黑" w:eastAsia="华文细黑" w:cs="华文细黑"/>
      <w:szCs w:val="20"/>
    </w:rPr>
  </w:style>
  <w:style w:type="paragraph" w:styleId="1278" w:customStyle="1">
    <w:name w:val="无间隔1"/>
    <w:qFormat/>
    <w:pPr>
      <w:jc w:val="both"/>
      <w:widowControl w:val="off"/>
    </w:pPr>
    <w:rPr>
      <w:rFonts w:ascii="仿宋_GB2312" w:hAnsi="仿宋_GB2312" w:eastAsia="华文细黑" w:cs="Cambria"/>
      <w:sz w:val="21"/>
      <w:szCs w:val="22"/>
    </w:rPr>
  </w:style>
  <w:style w:type="paragraph" w:styleId="1279" w:customStyle="1">
    <w:name w:val="列表_名词"/>
    <w:basedOn w:val="1251"/>
    <w:qFormat/>
    <w:pPr>
      <w:ind w:left="2745" w:hanging="420"/>
      <w:tabs>
        <w:tab w:val="left" w:pos="2745" w:leader="none"/>
      </w:tabs>
    </w:pPr>
  </w:style>
  <w:style w:type="paragraph" w:styleId="1280" w:customStyle="1">
    <w:name w:val="回信地址"/>
    <w:basedOn w:val="808"/>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281" w:customStyle="1">
    <w:name w:val="明显引用1"/>
    <w:basedOn w:val="808"/>
    <w:next w:val="808"/>
    <w:qFormat/>
    <w:pPr>
      <w:ind w:left="936" w:right="936"/>
      <w:spacing w:before="200" w:after="280"/>
      <w:pBdr>
        <w:bottom w:val="single" w:color="4F81BD" w:sz="4" w:space="4"/>
      </w:pBdr>
    </w:pPr>
    <w:rPr>
      <w:b/>
      <w:bCs/>
      <w:i/>
      <w:iCs/>
      <w:color w:val="4f81bd"/>
      <w:szCs w:val="22"/>
    </w:rPr>
  </w:style>
  <w:style w:type="paragraph" w:styleId="1282" w:customStyle="1">
    <w:name w:val="_Style 12"/>
    <w:basedOn w:val="808"/>
    <w:qFormat/>
    <w:pPr>
      <w:ind w:firstLine="200"/>
      <w:spacing w:line="360" w:lineRule="auto"/>
    </w:pPr>
    <w:rPr>
      <w:sz w:val="24"/>
    </w:rPr>
  </w:style>
  <w:style w:type="paragraph" w:styleId="1283" w:customStyle="1">
    <w:name w:val="font6"/>
    <w:basedOn w:val="808"/>
    <w:qFormat/>
    <w:pPr>
      <w:ind w:firstLine="420"/>
      <w:jc w:val="left"/>
      <w:spacing w:before="100" w:beforeAutospacing="1" w:after="100" w:afterAutospacing="1" w:line="288" w:lineRule="auto"/>
      <w:widowControl/>
    </w:pPr>
    <w:rPr>
      <w:sz w:val="24"/>
    </w:rPr>
  </w:style>
  <w:style w:type="paragraph" w:styleId="1284" w:customStyle="1">
    <w:name w:val="xl29"/>
    <w:basedOn w:val="808"/>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85" w:customStyle="1">
    <w:name w:val="正文1)"/>
    <w:basedOn w:val="808"/>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286" w:customStyle="1">
    <w:name w:val="项目符号1"/>
    <w:basedOn w:val="808"/>
    <w:qFormat/>
    <w:pPr>
      <w:numPr>
        <w:ilvl w:val="1"/>
        <w:numId w:val="9"/>
      </w:numPr>
      <w:tabs>
        <w:tab w:val="left" w:pos="570" w:leader="none"/>
      </w:tabs>
    </w:pPr>
    <w:rPr>
      <w:szCs w:val="20"/>
    </w:rPr>
  </w:style>
  <w:style w:type="character" w:styleId="1287" w:customStyle="1">
    <w:name w:val="标题 1 Char"/>
    <w:qFormat/>
    <w:rPr>
      <w:b/>
      <w:bCs/>
      <w:sz w:val="44"/>
      <w:szCs w:val="44"/>
    </w:rPr>
  </w:style>
  <w:style w:type="paragraph" w:styleId="1288" w:customStyle="1">
    <w:name w:val="标题二、"/>
    <w:basedOn w:val="808"/>
    <w:qFormat/>
    <w:pPr>
      <w:ind w:firstLine="200"/>
      <w:spacing w:line="360" w:lineRule="auto"/>
      <w:outlineLvl w:val="2"/>
    </w:pPr>
    <w:rPr>
      <w:b/>
    </w:rPr>
  </w:style>
  <w:style w:type="paragraph" w:styleId="1289" w:customStyle="1">
    <w:name w:val="纯文本2"/>
    <w:basedOn w:val="808"/>
    <w:qFormat/>
    <w:rPr>
      <w:rFonts w:hAnsi="Courier New" w:eastAsia="楷体_GB2312"/>
      <w:sz w:val="26"/>
      <w:szCs w:val="20"/>
    </w:rPr>
  </w:style>
  <w:style w:type="character" w:styleId="1290" w:customStyle="1">
    <w:name w:val="普通(网站) Char1"/>
    <w:qFormat/>
    <w:rPr>
      <w:rFonts w:ascii="宋体" w:hAnsi="宋体"/>
      <w:sz w:val="24"/>
      <w:szCs w:val="24"/>
    </w:rPr>
  </w:style>
  <w:style w:type="character" w:styleId="1291" w:customStyle="1">
    <w:name w:val="普通(网站) 字符1"/>
    <w:qFormat/>
    <w:rPr>
      <w:rFonts w:ascii="宋体" w:hAnsi="宋体"/>
      <w:sz w:val="24"/>
      <w:szCs w:val="24"/>
    </w:rPr>
  </w:style>
  <w:style w:type="paragraph" w:styleId="1292" w:customStyle="1">
    <w:name w:val="_Style 1"/>
    <w:basedOn w:val="808"/>
    <w:qFormat/>
    <w:pPr>
      <w:ind w:firstLine="420"/>
    </w:pPr>
    <w:rPr>
      <w:rFonts w:ascii="Calibri" w:hAnsi="Calibri"/>
      <w:szCs w:val="22"/>
    </w:rPr>
  </w:style>
  <w:style w:type="paragraph" w:styleId="1293" w:customStyle="1">
    <w:name w:val="纯文本1"/>
    <w:basedOn w:val="808"/>
    <w:qFormat/>
    <w:pPr>
      <w:jc w:val="left"/>
      <w:spacing w:line="120" w:lineRule="auto"/>
      <w:widowControl/>
    </w:pPr>
    <w:rPr>
      <w:rFonts w:hAnsi="Courier New"/>
      <w:sz w:val="24"/>
    </w:rPr>
  </w:style>
  <w:style w:type="paragraph" w:styleId="1294" w:customStyle="1">
    <w:name w:val="Plain Text1"/>
    <w:basedOn w:val="808"/>
    <w:uiPriority w:val="99"/>
    <w:qFormat/>
    <w:rPr>
      <w:rFonts w:hAnsi="Courier New" w:eastAsia="楷体_GB2312"/>
      <w:sz w:val="26"/>
      <w:szCs w:val="20"/>
    </w:rPr>
  </w:style>
  <w:style w:type="paragraph" w:styleId="1295" w:customStyle="1">
    <w:name w:val="Body text|2"/>
    <w:basedOn w:val="808"/>
    <w:qFormat/>
    <w:pPr>
      <w:ind w:firstLine="540"/>
      <w:spacing w:line="487" w:lineRule="exact"/>
    </w:pPr>
    <w:rPr>
      <w:lang w:val="zh-TW" w:eastAsia="zh-TW" w:bidi="zh-TW"/>
    </w:rPr>
  </w:style>
  <w:style w:type="paragraph" w:styleId="1296" w:customStyle="1">
    <w:name w:val="索引 41"/>
    <w:basedOn w:val="808"/>
    <w:next w:val="808"/>
    <w:uiPriority w:val="99"/>
    <w:qFormat/>
    <w:pPr>
      <w:ind w:left="840" w:hanging="210"/>
      <w:jc w:val="left"/>
    </w:pPr>
    <w:rPr>
      <w:sz w:val="20"/>
    </w:rPr>
  </w:style>
  <w:style w:type="paragraph" w:styleId="1297" w:customStyle="1">
    <w:name w:val="List Paragraph1"/>
    <w:basedOn w:val="808"/>
    <w:qFormat/>
    <w:pPr>
      <w:ind w:firstLine="420"/>
    </w:pPr>
    <w:rPr>
      <w:rFonts w:ascii="Times New Roman" w:hAnsi="Times New Roman" w:cs="Times New Roman"/>
    </w:rPr>
  </w:style>
  <w:style w:type="character" w:styleId="1298" w:customStyle="1">
    <w:name w:val="apple-converted-space"/>
    <w:qFormat/>
  </w:style>
  <w:style w:type="table" w:styleId="1299" w:customStyle="1">
    <w:name w:val="网格型5"/>
    <w:basedOn w:val="819"/>
    <w:uiPriority w:val="59"/>
    <w:qFormat/>
    <w:tblPr/>
  </w:style>
  <w:style w:type="table" w:styleId="1300" w:customStyle="1">
    <w:name w:val="网格型1"/>
    <w:basedOn w:val="819"/>
    <w:uiPriority w:val="59"/>
    <w:qFormat/>
    <w:tblPr/>
  </w:style>
  <w:style w:type="table" w:styleId="1301" w:customStyle="1">
    <w:name w:val="Normal Table6507191e"/>
    <w:uiPriority w:val="99"/>
    <w:unhideWhenUsed/>
    <w:qFormat/>
    <w:tblPr>
      <w:tblCellMar>
        <w:left w:w="0" w:type="dxa"/>
        <w:top w:w="0" w:type="dxa"/>
        <w:right w:w="0" w:type="dxa"/>
        <w:bottom w:w="0" w:type="dxa"/>
      </w:tblCellMar>
    </w:tblPr>
  </w:style>
  <w:style w:type="paragraph" w:styleId="1302" w:customStyle="1">
    <w:name w:val="正文文本1"/>
    <w:basedOn w:val="808"/>
    <w:next w:val="833"/>
    <w:unhideWhenUsed/>
    <w:qFormat/>
    <w:pPr>
      <w:ind w:firstLine="200"/>
      <w:spacing w:line="590" w:lineRule="exact"/>
    </w:pPr>
    <w:rPr>
      <w:rFonts w:ascii="Times New Roman" w:hAnsi="Times New Roman" w:eastAsia="方正仿宋_GBK" w:cs="Times New Roman"/>
      <w:sz w:val="32"/>
      <w:szCs w:val="22"/>
    </w:rPr>
  </w:style>
  <w:style w:type="paragraph" w:styleId="1303" w:customStyle="1">
    <w:name w:val="正文文本首行缩进1"/>
    <w:basedOn w:val="833"/>
    <w:next w:val="1067"/>
    <w:link w:val="1304"/>
    <w:uiPriority w:val="99"/>
    <w:unhideWhenUsed/>
    <w:qFormat/>
    <w:pPr>
      <w:ind w:firstLine="420"/>
      <w:spacing w:after="120" w:line="360" w:lineRule="auto"/>
    </w:pPr>
    <w:rPr>
      <w:rFonts w:ascii="Calibri" w:hAnsi="Calibri" w:eastAsia="仿宋"/>
      <w:szCs w:val="22"/>
    </w:rPr>
  </w:style>
  <w:style w:type="character" w:styleId="1304" w:customStyle="1">
    <w:name w:val="正文文本首行缩进 字符"/>
    <w:link w:val="1303"/>
    <w:uiPriority w:val="99"/>
    <w:qFormat/>
    <w:rPr>
      <w:rFonts w:ascii="Calibri" w:hAnsi="Calibri" w:eastAsia="仿宋"/>
      <w:sz w:val="28"/>
      <w:szCs w:val="22"/>
    </w:rPr>
  </w:style>
  <w:style w:type="paragraph" w:styleId="1305" w:customStyle="1">
    <w:name w:val="索引 71"/>
    <w:basedOn w:val="808"/>
    <w:next w:val="808"/>
    <w:qFormat/>
    <w:pPr>
      <w:ind w:left="2520" w:firstLine="200"/>
      <w:spacing w:line="360" w:lineRule="auto"/>
    </w:pPr>
    <w:rPr>
      <w:rFonts w:ascii="Times New Roman" w:hAnsi="Times New Roman" w:eastAsia="仿宋" w:cs="Times New Roman"/>
      <w:sz w:val="28"/>
      <w:szCs w:val="22"/>
    </w:rPr>
  </w:style>
  <w:style w:type="paragraph" w:styleId="1306" w:customStyle="1">
    <w:name w:val="TOC 31"/>
    <w:basedOn w:val="808"/>
    <w:next w:val="808"/>
    <w:uiPriority w:val="39"/>
    <w:unhideWhenUsed/>
    <w:qFormat/>
    <w:pPr>
      <w:ind w:left="840" w:firstLine="200"/>
      <w:spacing w:line="360" w:lineRule="auto"/>
    </w:pPr>
    <w:rPr>
      <w:rFonts w:ascii="Times New Roman" w:hAnsi="Times New Roman" w:eastAsia="仿宋" w:cs="Times New Roman"/>
      <w:sz w:val="28"/>
      <w:szCs w:val="22"/>
    </w:rPr>
  </w:style>
  <w:style w:type="paragraph" w:styleId="1307" w:customStyle="1">
    <w:name w:val="TOC 11"/>
    <w:basedOn w:val="808"/>
    <w:next w:val="808"/>
    <w:uiPriority w:val="39"/>
    <w:unhideWhenUsed/>
    <w:qFormat/>
    <w:pPr>
      <w:ind w:firstLine="200"/>
      <w:spacing w:line="360" w:lineRule="auto"/>
    </w:pPr>
    <w:rPr>
      <w:rFonts w:ascii="Times New Roman" w:hAnsi="Times New Roman" w:eastAsia="仿宋" w:cs="Times New Roman"/>
      <w:sz w:val="28"/>
      <w:szCs w:val="22"/>
    </w:rPr>
  </w:style>
  <w:style w:type="paragraph" w:styleId="1308" w:customStyle="1">
    <w:name w:val="TOC 21"/>
    <w:basedOn w:val="808"/>
    <w:next w:val="808"/>
    <w:uiPriority w:val="39"/>
    <w:unhideWhenUsed/>
    <w:qFormat/>
    <w:pPr>
      <w:ind w:left="420" w:firstLine="200"/>
      <w:spacing w:line="360" w:lineRule="auto"/>
    </w:pPr>
    <w:rPr>
      <w:rFonts w:ascii="Times New Roman" w:hAnsi="Times New Roman" w:eastAsia="仿宋" w:cs="Times New Roman"/>
      <w:sz w:val="28"/>
      <w:szCs w:val="22"/>
    </w:rPr>
  </w:style>
  <w:style w:type="character" w:styleId="1309" w:customStyle="1">
    <w:name w:val="超链接1"/>
    <w:uiPriority w:val="99"/>
    <w:unhideWhenUsed/>
    <w:qFormat/>
    <w:rPr>
      <w:color w:val="0563c1"/>
      <w:u w:val="single"/>
    </w:rPr>
  </w:style>
  <w:style w:type="paragraph" w:styleId="1310" w:customStyle="1">
    <w:name w:val="脚注文本1"/>
    <w:basedOn w:val="808"/>
    <w:next w:val="855"/>
    <w:uiPriority w:val="99"/>
    <w:unhideWhenUsed/>
    <w:qFormat/>
    <w:pPr>
      <w:ind w:firstLine="200"/>
      <w:jc w:val="left"/>
      <w:spacing w:line="360" w:lineRule="auto"/>
    </w:pPr>
    <w:rPr>
      <w:rFonts w:ascii="Calibri" w:hAnsi="Calibri" w:eastAsia="仿宋" w:cs="Times New Roman"/>
      <w:sz w:val="18"/>
      <w:szCs w:val="18"/>
    </w:rPr>
  </w:style>
  <w:style w:type="character" w:styleId="1311" w:customStyle="1">
    <w:name w:val="访问过的超链接1"/>
    <w:uiPriority w:val="99"/>
    <w:unhideWhenUsed/>
    <w:qFormat/>
    <w:rPr>
      <w:color w:val="954f72"/>
      <w:u w:val="single"/>
    </w:rPr>
  </w:style>
  <w:style w:type="paragraph" w:styleId="1312" w:customStyle="1">
    <w:name w:val="TOC 41"/>
    <w:basedOn w:val="808"/>
    <w:next w:val="808"/>
    <w:uiPriority w:val="39"/>
    <w:unhideWhenUsed/>
    <w:qFormat/>
    <w:pPr>
      <w:ind w:left="1260" w:firstLine="0"/>
    </w:pPr>
    <w:rPr>
      <w:rFonts w:ascii="等线" w:hAnsi="等线" w:eastAsia="等线" w:cs="Times New Roman"/>
      <w:szCs w:val="22"/>
    </w:rPr>
  </w:style>
  <w:style w:type="paragraph" w:styleId="1313" w:customStyle="1">
    <w:name w:val="TOC 51"/>
    <w:basedOn w:val="808"/>
    <w:next w:val="808"/>
    <w:uiPriority w:val="39"/>
    <w:unhideWhenUsed/>
    <w:qFormat/>
    <w:pPr>
      <w:ind w:left="1680" w:firstLine="0"/>
    </w:pPr>
    <w:rPr>
      <w:rFonts w:ascii="等线" w:hAnsi="等线" w:eastAsia="等线" w:cs="Times New Roman"/>
      <w:szCs w:val="22"/>
    </w:rPr>
  </w:style>
  <w:style w:type="paragraph" w:styleId="1314" w:customStyle="1">
    <w:name w:val="TOC 61"/>
    <w:basedOn w:val="808"/>
    <w:next w:val="808"/>
    <w:uiPriority w:val="39"/>
    <w:unhideWhenUsed/>
    <w:qFormat/>
    <w:pPr>
      <w:ind w:left="2100" w:firstLine="0"/>
    </w:pPr>
    <w:rPr>
      <w:rFonts w:ascii="等线" w:hAnsi="等线" w:eastAsia="等线" w:cs="Times New Roman"/>
      <w:szCs w:val="22"/>
    </w:rPr>
  </w:style>
  <w:style w:type="paragraph" w:styleId="1315" w:customStyle="1">
    <w:name w:val="TOC 71"/>
    <w:basedOn w:val="808"/>
    <w:next w:val="808"/>
    <w:uiPriority w:val="39"/>
    <w:unhideWhenUsed/>
    <w:qFormat/>
    <w:pPr>
      <w:ind w:left="2520" w:firstLine="0"/>
    </w:pPr>
    <w:rPr>
      <w:rFonts w:ascii="等线" w:hAnsi="等线" w:eastAsia="等线" w:cs="Times New Roman"/>
      <w:szCs w:val="22"/>
    </w:rPr>
  </w:style>
  <w:style w:type="paragraph" w:styleId="1316" w:customStyle="1">
    <w:name w:val="TOC 81"/>
    <w:basedOn w:val="808"/>
    <w:next w:val="808"/>
    <w:uiPriority w:val="39"/>
    <w:unhideWhenUsed/>
    <w:qFormat/>
    <w:pPr>
      <w:ind w:left="2940" w:firstLine="0"/>
    </w:pPr>
    <w:rPr>
      <w:rFonts w:ascii="等线" w:hAnsi="等线" w:eastAsia="等线" w:cs="Times New Roman"/>
      <w:szCs w:val="22"/>
    </w:rPr>
  </w:style>
  <w:style w:type="paragraph" w:styleId="1317" w:customStyle="1">
    <w:name w:val="TOC 91"/>
    <w:basedOn w:val="808"/>
    <w:next w:val="808"/>
    <w:uiPriority w:val="39"/>
    <w:unhideWhenUsed/>
    <w:qFormat/>
    <w:pPr>
      <w:ind w:left="3360" w:firstLine="0"/>
    </w:pPr>
    <w:rPr>
      <w:rFonts w:ascii="等线" w:hAnsi="等线" w:eastAsia="等线" w:cs="Times New Roman"/>
      <w:szCs w:val="22"/>
    </w:rPr>
  </w:style>
  <w:style w:type="character" w:styleId="1318" w:customStyle="1">
    <w:name w:val="未处理的提及1"/>
    <w:uiPriority w:val="99"/>
    <w:unhideWhenUsed/>
    <w:qFormat/>
    <w:rPr>
      <w:color w:val="605e5c"/>
      <w:shd w:val="clear" w:color="auto" w:fill="e1dfdd"/>
    </w:rPr>
  </w:style>
  <w:style w:type="table" w:styleId="1319" w:customStyle="1">
    <w:name w:val="网格型2"/>
    <w:basedOn w:val="819"/>
    <w:uiPriority w:val="39"/>
    <w:qFormat/>
    <w:rPr>
      <w:rFonts w:ascii="等线" w:hAnsi="等线" w:eastAsia="等线"/>
    </w:rPr>
    <w:tblPr/>
  </w:style>
  <w:style w:type="paragraph" w:styleId="1320" w:customStyle="1">
    <w:name w:val="页脚1"/>
    <w:basedOn w:val="808"/>
    <w:next w:val="848"/>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321" w:customStyle="1">
    <w:name w:val="正文文本 字符1"/>
    <w:qFormat/>
    <w:rPr>
      <w:sz w:val="21"/>
      <w:szCs w:val="24"/>
    </w:rPr>
  </w:style>
  <w:style w:type="character" w:styleId="1322" w:customStyle="1">
    <w:name w:val="脚注文本 字符1"/>
    <w:qFormat/>
    <w:rPr>
      <w:sz w:val="18"/>
      <w:szCs w:val="18"/>
    </w:rPr>
  </w:style>
  <w:style w:type="paragraph" w:styleId="1323" w:customStyle="1">
    <w:name w:val="索引 72"/>
    <w:basedOn w:val="808"/>
    <w:next w:val="808"/>
    <w:qFormat/>
    <w:pPr>
      <w:ind w:left="2520" w:firstLine="200"/>
      <w:spacing w:line="360" w:lineRule="auto"/>
    </w:pPr>
    <w:rPr>
      <w:rFonts w:ascii="Times New Roman" w:hAnsi="Times New Roman" w:eastAsia="仿宋" w:cs="Times New Roman"/>
      <w:sz w:val="28"/>
      <w:szCs w:val="22"/>
    </w:rPr>
  </w:style>
  <w:style w:type="paragraph" w:styleId="1324" w:customStyle="1">
    <w:name w:val="TOC 32"/>
    <w:basedOn w:val="808"/>
    <w:next w:val="808"/>
    <w:uiPriority w:val="39"/>
    <w:unhideWhenUsed/>
    <w:qFormat/>
    <w:pPr>
      <w:ind w:left="840" w:firstLine="200"/>
      <w:spacing w:line="360" w:lineRule="auto"/>
    </w:pPr>
    <w:rPr>
      <w:rFonts w:ascii="Times New Roman" w:hAnsi="Times New Roman" w:eastAsia="仿宋" w:cs="Times New Roman"/>
      <w:sz w:val="28"/>
      <w:szCs w:val="22"/>
    </w:rPr>
  </w:style>
  <w:style w:type="paragraph" w:styleId="1325" w:customStyle="1">
    <w:name w:val="TOC 12"/>
    <w:basedOn w:val="808"/>
    <w:next w:val="808"/>
    <w:uiPriority w:val="39"/>
    <w:unhideWhenUsed/>
    <w:qFormat/>
    <w:pPr>
      <w:ind w:firstLine="200"/>
      <w:spacing w:line="360" w:lineRule="auto"/>
    </w:pPr>
    <w:rPr>
      <w:rFonts w:ascii="Times New Roman" w:hAnsi="Times New Roman" w:eastAsia="仿宋" w:cs="Times New Roman"/>
      <w:sz w:val="28"/>
      <w:szCs w:val="22"/>
    </w:rPr>
  </w:style>
  <w:style w:type="paragraph" w:styleId="1326" w:customStyle="1">
    <w:name w:val="TOC 22"/>
    <w:basedOn w:val="808"/>
    <w:next w:val="808"/>
    <w:uiPriority w:val="39"/>
    <w:unhideWhenUsed/>
    <w:qFormat/>
    <w:pPr>
      <w:ind w:left="420" w:firstLine="200"/>
      <w:spacing w:line="360" w:lineRule="auto"/>
    </w:pPr>
    <w:rPr>
      <w:rFonts w:ascii="Times New Roman" w:hAnsi="Times New Roman" w:eastAsia="仿宋" w:cs="Times New Roman"/>
      <w:sz w:val="28"/>
      <w:szCs w:val="22"/>
    </w:rPr>
  </w:style>
  <w:style w:type="table" w:styleId="1327" w:customStyle="1">
    <w:name w:val="网格型3"/>
    <w:basedOn w:val="819"/>
    <w:uiPriority w:val="39"/>
    <w:qFormat/>
    <w:tblPr/>
  </w:style>
  <w:style w:type="paragraph" w:styleId="1328" w:customStyle="1">
    <w:name w:val="TOC 42"/>
    <w:basedOn w:val="808"/>
    <w:next w:val="808"/>
    <w:uiPriority w:val="39"/>
    <w:unhideWhenUsed/>
    <w:qFormat/>
    <w:pPr>
      <w:ind w:left="1260" w:firstLine="0"/>
    </w:pPr>
    <w:rPr>
      <w:rFonts w:ascii="等线" w:hAnsi="等线" w:eastAsia="等线" w:cs="Times New Roman"/>
      <w:szCs w:val="22"/>
    </w:rPr>
  </w:style>
  <w:style w:type="paragraph" w:styleId="1329" w:customStyle="1">
    <w:name w:val="TOC 52"/>
    <w:basedOn w:val="808"/>
    <w:next w:val="808"/>
    <w:uiPriority w:val="39"/>
    <w:unhideWhenUsed/>
    <w:qFormat/>
    <w:pPr>
      <w:ind w:left="1680" w:firstLine="0"/>
    </w:pPr>
    <w:rPr>
      <w:rFonts w:ascii="等线" w:hAnsi="等线" w:eastAsia="等线" w:cs="Times New Roman"/>
      <w:szCs w:val="22"/>
    </w:rPr>
  </w:style>
  <w:style w:type="paragraph" w:styleId="1330" w:customStyle="1">
    <w:name w:val="TOC 62"/>
    <w:basedOn w:val="808"/>
    <w:next w:val="808"/>
    <w:uiPriority w:val="39"/>
    <w:unhideWhenUsed/>
    <w:qFormat/>
    <w:pPr>
      <w:ind w:left="2100" w:firstLine="0"/>
    </w:pPr>
    <w:rPr>
      <w:rFonts w:ascii="等线" w:hAnsi="等线" w:eastAsia="等线" w:cs="Times New Roman"/>
      <w:szCs w:val="22"/>
    </w:rPr>
  </w:style>
  <w:style w:type="paragraph" w:styleId="1331" w:customStyle="1">
    <w:name w:val="TOC 72"/>
    <w:basedOn w:val="808"/>
    <w:next w:val="808"/>
    <w:uiPriority w:val="39"/>
    <w:unhideWhenUsed/>
    <w:qFormat/>
    <w:pPr>
      <w:ind w:left="2520" w:firstLine="0"/>
    </w:pPr>
    <w:rPr>
      <w:rFonts w:ascii="等线" w:hAnsi="等线" w:eastAsia="等线" w:cs="Times New Roman"/>
      <w:szCs w:val="22"/>
    </w:rPr>
  </w:style>
  <w:style w:type="paragraph" w:styleId="1332" w:customStyle="1">
    <w:name w:val="TOC 82"/>
    <w:basedOn w:val="808"/>
    <w:next w:val="808"/>
    <w:uiPriority w:val="39"/>
    <w:unhideWhenUsed/>
    <w:qFormat/>
    <w:pPr>
      <w:ind w:left="2940" w:firstLine="0"/>
    </w:pPr>
    <w:rPr>
      <w:rFonts w:ascii="等线" w:hAnsi="等线" w:eastAsia="等线" w:cs="Times New Roman"/>
      <w:szCs w:val="22"/>
    </w:rPr>
  </w:style>
  <w:style w:type="paragraph" w:styleId="1333" w:customStyle="1">
    <w:name w:val="TOC 92"/>
    <w:basedOn w:val="808"/>
    <w:next w:val="808"/>
    <w:uiPriority w:val="39"/>
    <w:unhideWhenUsed/>
    <w:qFormat/>
    <w:pPr>
      <w:ind w:left="3360" w:firstLine="0"/>
    </w:pPr>
    <w:rPr>
      <w:rFonts w:ascii="等线" w:hAnsi="等线" w:eastAsia="等线" w:cs="Times New Roman"/>
      <w:szCs w:val="22"/>
    </w:rPr>
  </w:style>
  <w:style w:type="table" w:styleId="1334" w:customStyle="1">
    <w:name w:val="网格型21"/>
    <w:basedOn w:val="819"/>
    <w:uiPriority w:val="39"/>
    <w:qFormat/>
    <w:rPr>
      <w:rFonts w:ascii="等线" w:hAnsi="等线" w:eastAsia="等线"/>
    </w:rPr>
    <w:tblPr/>
  </w:style>
  <w:style w:type="table" w:styleId="1335" w:customStyle="1">
    <w:name w:val="网格型4"/>
    <w:basedOn w:val="819"/>
    <w:uiPriority w:val="39"/>
    <w:qFormat/>
    <w:tblPr/>
  </w:style>
  <w:style w:type="character" w:styleId="1336" w:customStyle="1">
    <w:name w:val="Unresolved Mention"/>
    <w:uiPriority w:val="99"/>
    <w:unhideWhenUsed/>
    <w:qFormat/>
    <w:rPr>
      <w:color w:val="605e5c"/>
      <w:shd w:val="clear" w:color="auto" w:fill="e1dfdd"/>
    </w:rPr>
  </w:style>
  <w:style w:type="paragraph" w:styleId="1337" w:customStyle="1">
    <w:name w:val="正文文本缩进1"/>
    <w:basedOn w:val="808"/>
    <w:qFormat/>
    <w:pPr>
      <w:ind w:left="156"/>
      <w:spacing w:line="300" w:lineRule="auto"/>
      <w:widowControl/>
    </w:pPr>
    <w:rPr>
      <w:rFonts w:ascii="仿宋_GB2312" w:hAnsi="Calibri" w:eastAsia="仿宋_GB2312" w:cs="Times New Roman"/>
      <w:sz w:val="28"/>
      <w:szCs w:val="20"/>
    </w:rPr>
  </w:style>
  <w:style w:type="paragraph" w:styleId="1338" w:customStyle="1">
    <w:name w:val="普通(网站)1"/>
    <w:basedOn w:val="808"/>
    <w:qFormat/>
    <w:pPr>
      <w:ind w:firstLine="420"/>
      <w:jc w:val="left"/>
      <w:spacing w:before="100" w:beforeAutospacing="1" w:after="100" w:afterAutospacing="1" w:line="288" w:lineRule="auto"/>
      <w:widowControl/>
    </w:pPr>
    <w:rPr>
      <w:rFonts w:cs="Times New Roman"/>
      <w:sz w:val="24"/>
      <w:szCs w:val="24"/>
    </w:rPr>
  </w:style>
  <w:style w:type="character" w:styleId="1339" w:customStyle="1">
    <w:name w:val="font51"/>
    <w:qFormat/>
    <w:rPr>
      <w:rFonts w:ascii="Calibri" w:hAnsi="Calibri" w:cs="Calibri"/>
      <w:color w:val="000000"/>
      <w:sz w:val="20"/>
      <w:szCs w:val="20"/>
      <w:u w:val="none"/>
    </w:rPr>
  </w:style>
  <w:style w:type="character" w:styleId="1340" w:customStyle="1">
    <w:name w:val="font11"/>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dc:creator>
  <cp:lastModifiedBy>代民安</cp:lastModifiedBy>
  <cp:revision>33</cp:revision>
  <dcterms:created xsi:type="dcterms:W3CDTF">2024-09-04T09:50:00Z</dcterms:created>
  <dcterms:modified xsi:type="dcterms:W3CDTF">2026-10-16T03:07:29Z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6BCEA8545AE34F35AFD0EA222B882F7B_12</vt:lpwstr>
  </property>
</Properties>
</file>