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9"/>
        <w:rPr>
          <w:rFonts w:hint="eastAsia"/>
        </w:rPr>
      </w:pPr>
      <w:r>
        <w:rPr>
          <w:rFonts w:hint="eastAsia"/>
        </w:rPr>
      </w:r>
      <w:r/>
    </w:p>
    <w:p>
      <w:pPr>
        <w:pStyle w:val="976"/>
        <w:ind w:firstLine="0"/>
        <w:jc w:val="center"/>
        <w:rPr>
          <w:rFonts w:hint="eastAsia" w:ascii="Arial" w:hAnsi="Arial" w:eastAsia="黑体" w:cs="Times New Roman"/>
          <w:b/>
          <w:bCs/>
          <w:color w:val="000000"/>
          <w:sz w:val="84"/>
        </w:rPr>
      </w:pPr>
      <w:r>
        <w:rPr>
          <w:rFonts w:hint="eastAsia" w:ascii="Arial" w:hAnsi="Arial" w:eastAsia="黑体" w:cs="Times New Roman"/>
          <w:b/>
          <w:bCs/>
          <w:color w:val="000000"/>
          <w:sz w:val="84"/>
        </w:rPr>
        <w:t xml:space="preserve">竞争性磋商文件</w:t>
      </w:r>
      <w:r/>
    </w:p>
    <w:p>
      <w:pPr>
        <w:ind w:firstLine="1606"/>
        <w:rPr>
          <w:rFonts w:hint="eastAsia" w:ascii="Arial" w:hAnsi="Arial" w:cs="Times New Roman"/>
          <w:b/>
          <w:bCs/>
          <w:sz w:val="32"/>
          <w:szCs w:val="24"/>
          <w:u w:val="single"/>
          <w:lang w:val="en-US" w:eastAsia="zh-CN"/>
        </w:rPr>
      </w:pPr>
      <w:r>
        <w:rPr>
          <w:rFonts w:hint="eastAsia" w:ascii="Arial" w:hAnsi="Arial" w:eastAsia="宋体" w:cs="Times New Roman"/>
          <w:b/>
          <w:bCs/>
          <w:sz w:val="32"/>
          <w:szCs w:val="24"/>
          <w:lang w:eastAsia="zh-CN"/>
        </w:rPr>
        <w:t xml:space="preserve">项目名称：</w:t>
      </w:r>
      <w:r>
        <w:rPr>
          <w:rFonts w:hint="eastAsia" w:cs="Times New Roman"/>
          <w:b/>
          <w:bCs w:val="0"/>
          <w:color w:val="0000ff"/>
          <w:sz w:val="32"/>
          <w:szCs w:val="32"/>
          <w:u w:val="none"/>
          <w:lang w:val="en-US" w:eastAsia="zh-CN"/>
        </w:rPr>
        <w:t xml:space="preserve">《工程项目资金管理系统》国产化升级改造项目</w:t>
      </w:r>
      <w:r>
        <w:rPr>
          <w:rFonts w:hint="eastAsia" w:ascii="Times New Roman" w:hAnsi="Times New Roman" w:eastAsia="宋体" w:cs="Times New Roman"/>
          <w:b/>
          <w:bCs w:val="0"/>
          <w:color w:val="0000ff"/>
          <w:sz w:val="32"/>
          <w:szCs w:val="32"/>
          <w:u w:val="none"/>
          <w:lang w:val="en-US" w:eastAsia="zh-CN"/>
        </w:rPr>
        <w:t xml:space="preserve"> </w:t>
      </w:r>
      <w:r/>
    </w:p>
    <w:p>
      <w:pPr>
        <w:ind w:firstLine="1606"/>
        <w:jc w:val="left"/>
        <w:spacing w:before="120" w:after="120" w:line="360" w:lineRule="auto"/>
      </w:pPr>
      <w:r>
        <w:rPr>
          <w:rFonts w:hint="eastAsia" w:ascii="Arial" w:hAnsi="Arial" w:eastAsia="宋体" w:cs="Times New Roman"/>
          <w:b/>
          <w:bCs/>
          <w:sz w:val="32"/>
          <w:szCs w:val="24"/>
          <w:lang w:eastAsia="zh-CN"/>
        </w:rPr>
        <w:t xml:space="preserve">项目编号：</w:t>
      </w:r>
      <w:r>
        <w:rPr>
          <w:rFonts w:hint="eastAsia" w:cs="Times New Roman"/>
          <w:b/>
          <w:bCs w:val="0"/>
          <w:color w:val="0000ff"/>
          <w:sz w:val="32"/>
          <w:szCs w:val="32"/>
          <w:u w:val="none"/>
          <w:lang w:val="en-US" w:eastAsia="zh-CN"/>
        </w:rPr>
        <w:t xml:space="preserve">JSZC-320111-JZCG-C2026-0049</w:t>
      </w:r>
      <w:r/>
    </w:p>
    <w:p>
      <w:pPr>
        <w:jc w:val="center"/>
        <w:rPr>
          <w:rFonts w:hint="eastAsia" w:ascii="Times New Roman" w:hAnsi="Times New Roman"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t xml:space="preserve">（</w:t>
      </w:r>
      <w:r>
        <w:rPr>
          <w:rFonts w:hint="eastAsia" w:ascii="宋体" w:hAnsi="宋体" w:eastAsia="宋体" w:cs="宋体"/>
          <w:b/>
          <w:bCs/>
          <w:color w:val="0000ff"/>
          <w:sz w:val="30"/>
          <w:szCs w:val="30"/>
          <w:highlight w:val="none"/>
          <w:lang w:eastAsia="zh-CN"/>
        </w:rPr>
        <w:t xml:space="preserve">专门</w:t>
      </w:r>
      <w:r>
        <w:rPr>
          <w:rFonts w:hint="eastAsia" w:ascii="Times New Roman" w:hAnsi="Times New Roman" w:eastAsia="宋体" w:cs="Times New Roman"/>
          <w:b/>
          <w:color w:val="000000"/>
          <w:sz w:val="30"/>
          <w:szCs w:val="30"/>
          <w:lang w:eastAsia="zh-CN"/>
        </w:rPr>
        <w:t xml:space="preserve">面向中小企业）</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pStyle w:val="976"/>
        <w:ind w:firstLine="0"/>
        <w:jc w:val="center"/>
        <w:rPr>
          <w:rFonts w:hint="eastAsia" w:ascii="Arial" w:hAnsi="Arial" w:eastAsia="宋体" w:cs="Times New Roman"/>
          <w:b/>
          <w:bCs/>
          <w:sz w:val="32"/>
          <w:lang w:eastAsia="zh-CN"/>
        </w:rPr>
      </w:pPr>
      <w:r>
        <w:rPr>
          <w:rFonts w:hint="eastAsia" w:cs="Times New Roman"/>
          <w:b/>
          <w:bCs/>
          <w:sz w:val="32"/>
          <w:lang w:eastAsia="zh-CN"/>
        </w:rPr>
        <w:t xml:space="preserve">南京市公共资源交易中心浦口分中心</w:t>
      </w:r>
      <w:r/>
    </w:p>
    <w:p>
      <w:pPr>
        <w:ind w:firstLine="0"/>
        <w:jc w:val="center"/>
        <w:rPr>
          <w:rFonts w:hint="eastAsia" w:ascii="Times New Roman" w:hAnsi="Times New Roman" w:eastAsia="宋体" w:cs="Times New Roman"/>
          <w:b/>
          <w:bCs w:val="0"/>
          <w:color w:val="0000ff"/>
          <w:sz w:val="32"/>
          <w:szCs w:val="32"/>
          <w:u w:val="none"/>
          <w:lang w:val="en-US" w:eastAsia="zh-CN"/>
        </w:rPr>
      </w:pPr>
      <w:r>
        <w:rPr>
          <w:rFonts w:hint="eastAsia" w:cs="Times New Roman"/>
          <w:b/>
          <w:bCs w:val="0"/>
          <w:color w:val="0000ff"/>
          <w:sz w:val="32"/>
          <w:szCs w:val="32"/>
          <w:u w:val="none"/>
          <w:lang w:val="en-US" w:eastAsia="zh-CN"/>
        </w:rPr>
        <w:t xml:space="preserve">2026</w:t>
      </w:r>
      <w:r>
        <w:rPr>
          <w:rFonts w:hint="eastAsia" w:ascii="Times New Roman" w:hAnsi="Times New Roman" w:eastAsia="宋体" w:cs="Times New Roman"/>
          <w:b/>
          <w:bCs w:val="0"/>
          <w:color w:val="0000ff"/>
          <w:sz w:val="32"/>
          <w:szCs w:val="32"/>
          <w:u w:val="none"/>
          <w:lang w:val="en-US" w:eastAsia="zh-CN"/>
        </w:rPr>
        <w:t xml:space="preserve">年</w:t>
      </w:r>
      <w:r>
        <w:rPr>
          <w:rFonts w:hint="eastAsia" w:cs="Times New Roman"/>
          <w:b/>
          <w:bCs w:val="0"/>
          <w:color w:val="0000ff"/>
          <w:sz w:val="32"/>
          <w:szCs w:val="32"/>
          <w:u w:val="none"/>
          <w:lang w:val="en-US" w:eastAsia="zh-CN"/>
        </w:rPr>
        <w:t xml:space="preserve">09</w:t>
      </w:r>
      <w:r>
        <w:rPr>
          <w:rFonts w:hint="eastAsia" w:ascii="Times New Roman" w:hAnsi="Times New Roman" w:eastAsia="宋体" w:cs="Times New Roman"/>
          <w:b/>
          <w:bCs w:val="0"/>
          <w:color w:val="0000ff"/>
          <w:sz w:val="32"/>
          <w:szCs w:val="32"/>
          <w:u w:val="none"/>
          <w:lang w:val="en-US" w:eastAsia="zh-CN"/>
        </w:rPr>
        <w:t xml:space="preserve">月</w:t>
      </w:r>
      <w:r/>
    </w:p>
    <w:p>
      <w:pPr>
        <w:jc w:val="left"/>
        <w:spacing w:before="120" w:after="120" w:line="360" w:lineRule="auto"/>
        <w:rPr>
          <w:rFonts w:hint="eastAsia" w:ascii="Arial" w:hAnsi="Arial"/>
          <w:sz w:val="24"/>
          <w:szCs w:val="24"/>
          <w:u w:val="single"/>
        </w:rPr>
      </w:pPr>
      <w:r>
        <w:rPr>
          <w:rFonts w:hint="eastAsia" w:ascii="Arial" w:hAnsi="Arial"/>
          <w:sz w:val="24"/>
          <w:szCs w:val="24"/>
        </w:rPr>
        <w:t xml:space="preserve">                   </w:t>
      </w:r>
      <w:r/>
    </w:p>
    <w:p>
      <w:pPr>
        <w:jc w:val="center"/>
        <w:spacing w:before="120" w:after="120" w:line="360" w:lineRule="auto"/>
        <w:rPr>
          <w:rFonts w:hint="eastAsia" w:ascii="Arial" w:hAnsi="Arial"/>
          <w:sz w:val="24"/>
          <w:szCs w:val="24"/>
        </w:rPr>
      </w:pPr>
      <w:r>
        <w:rPr>
          <w:rFonts w:hint="eastAsia" w:ascii="Arial" w:hAnsi="Arial"/>
          <w:sz w:val="24"/>
          <w:szCs w:val="24"/>
        </w:rPr>
      </w:r>
      <w:r/>
    </w:p>
    <w:p>
      <w:pPr>
        <w:jc w:val="both"/>
        <w:spacing w:line="480" w:lineRule="exact"/>
        <w:rPr>
          <w:rFonts w:hint="eastAsia" w:ascii="宋体" w:hAnsi="宋体" w:eastAsia="宋体" w:cs="宋体"/>
          <w:b/>
          <w:bCs/>
          <w:color w:val="0000ff"/>
          <w:sz w:val="24"/>
          <w:szCs w:val="24"/>
          <w:lang w:eastAsia="zh-CN"/>
        </w:rPr>
        <w:outlineLvl w:val="0"/>
      </w:pPr>
      <w:r>
        <w:rPr>
          <w:rFonts w:hint="eastAsia" w:ascii="宋体" w:hAnsi="宋体" w:eastAsia="宋体" w:cs="宋体"/>
          <w:b/>
          <w:bCs/>
          <w:color w:val="0000ff"/>
          <w:sz w:val="24"/>
          <w:szCs w:val="24"/>
          <w:lang w:eastAsia="zh-CN"/>
        </w:rPr>
      </w:r>
      <w:r/>
    </w:p>
    <w:p>
      <w:pPr>
        <w:jc w:val="center"/>
        <w:spacing w:line="480" w:lineRule="auto"/>
        <w:rPr>
          <w:rFonts w:hint="eastAsia" w:ascii="黑体" w:hAnsi="Arial" w:eastAsia="黑体"/>
          <w:b/>
          <w:sz w:val="44"/>
          <w:szCs w:val="21"/>
        </w:rPr>
        <w:outlineLvl w:val="0"/>
      </w:pPr>
      <w:r>
        <w:rPr>
          <w:rFonts w:ascii="Times New Roman" w:hAnsi="Times New Roman"/>
          <w:szCs w:val="21"/>
        </w:rPr>
        <w:br w:type="page" w:clear="all"/>
      </w:r>
      <w:r>
        <w:rPr>
          <w:rFonts w:hint="eastAsia" w:ascii="黑体" w:hAnsi="Arial" w:eastAsia="黑体" w:cs="Times New Roman"/>
          <w:b/>
          <w:color w:val="000000"/>
          <w:sz w:val="44"/>
          <w:szCs w:val="21"/>
        </w:rPr>
        <w:t xml:space="preserve">总  目  录</w:t>
      </w:r>
      <w:r/>
    </w:p>
    <w:p>
      <w:pPr>
        <w:spacing w:line="480" w:lineRule="auto"/>
        <w:rPr>
          <w:rFonts w:hint="eastAsia" w:ascii="仿宋_GB2312" w:hAnsi="Arial" w:eastAsia="仿宋_GB2312"/>
          <w:b/>
          <w:sz w:val="28"/>
          <w:szCs w:val="21"/>
        </w:rPr>
      </w:pPr>
      <w:r/>
      <w:bookmarkStart w:id="0" w:name="_Toc523127445"/>
      <w:r/>
      <w:bookmarkStart w:id="1" w:name="_Toc479757206"/>
      <w:r/>
      <w:bookmarkStart w:id="2" w:name="_Toc16938516"/>
      <w:r/>
      <w:bookmarkStart w:id="3" w:name="_Toc513029200"/>
      <w:r/>
      <w:bookmarkStart w:id="4" w:name="_Toc20823272"/>
      <w:r/>
      <w:bookmarkStart w:id="5" w:name="_Toc120614210"/>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磋商邀请…………………………………… </w:t>
      </w:r>
      <w:r>
        <w:rPr>
          <w:rFonts w:hint="eastAsia" w:ascii="黑体" w:hAnsi="宋体" w:eastAsia="黑体" w:cs="Times New Roman"/>
          <w:color w:val="0000ff"/>
          <w:sz w:val="36"/>
          <w:szCs w:val="21"/>
          <w:lang w:val="en-US" w:eastAsia="zh-CN"/>
        </w:rPr>
        <w:t xml:space="preserve">2</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供应商须知………………………………… </w:t>
      </w:r>
      <w:r>
        <w:rPr>
          <w:rFonts w:hint="eastAsia" w:ascii="黑体" w:hAnsi="宋体" w:eastAsia="黑体" w:cs="Times New Roman"/>
          <w:color w:val="0000ff"/>
          <w:sz w:val="36"/>
          <w:szCs w:val="21"/>
          <w:lang w:val="en-US" w:eastAsia="zh-CN"/>
        </w:rPr>
        <w:t xml:space="preserve">4</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ff"/>
          <w:sz w:val="36"/>
          <w:szCs w:val="21"/>
          <w:lang w:val="en-US" w:eastAsia="zh-CN"/>
        </w:rPr>
        <w:t xml:space="preserve">14</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ff"/>
          <w:sz w:val="36"/>
          <w:szCs w:val="21"/>
          <w:lang w:val="en-US" w:eastAsia="zh-CN"/>
        </w:rPr>
        <w:t xml:space="preserve">20</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评审方法与评审标准………………………</w:t>
      </w:r>
      <w:r>
        <w:rPr>
          <w:rFonts w:hint="eastAsia" w:ascii="黑体" w:hAnsi="宋体" w:eastAsia="黑体" w:cs="Times New Roman"/>
          <w:color w:val="0000ff"/>
          <w:sz w:val="36"/>
          <w:szCs w:val="21"/>
          <w:lang w:val="en-US" w:eastAsia="zh-CN"/>
        </w:rPr>
        <w:t xml:space="preserve">25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响应文件格式………………………………</w:t>
      </w:r>
      <w:r>
        <w:rPr>
          <w:rFonts w:hint="eastAsia" w:ascii="黑体" w:hAnsi="宋体" w:eastAsia="黑体" w:cs="Times New Roman"/>
          <w:color w:val="0000ff"/>
          <w:sz w:val="36"/>
          <w:szCs w:val="21"/>
          <w:lang w:val="en-US" w:eastAsia="zh-CN"/>
        </w:rPr>
        <w:t xml:space="preserve">30</w:t>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ind w:right="840"/>
        <w:jc w:val="center"/>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t xml:space="preserve">第一章  磋商邀请</w:t>
      </w:r>
      <w:r/>
    </w:p>
    <w:p>
      <w:pPr>
        <w:ind w:firstLine="480"/>
        <w:pageBreakBefore w:val="0"/>
        <w:spacing w:line="264" w:lineRule="auto"/>
        <w:widowControl w:val="off"/>
        <w:rPr>
          <w:rFonts w:hint="eastAsia" w:ascii="宋体" w:hAnsi="宋体"/>
          <w:sz w:val="24"/>
          <w:szCs w:val="24"/>
        </w:rPr>
      </w:pPr>
      <w:r>
        <w:rPr>
          <w:rFonts w:hint="eastAsia" w:ascii="宋体" w:hAnsi="宋体"/>
          <w:sz w:val="24"/>
          <w:szCs w:val="24"/>
        </w:rPr>
      </w:r>
      <w:r/>
    </w:p>
    <w:p>
      <w:pPr>
        <w:ind w:firstLine="480"/>
        <w:pageBreakBefore w:val="0"/>
        <w:spacing w:line="264" w:lineRule="auto"/>
        <w:widowControl w:val="off"/>
        <w:rPr>
          <w:rFonts w:hint="eastAsia" w:ascii="宋体" w:hAnsi="宋体" w:eastAsia="宋体" w:cs="Times New Roman"/>
          <w:sz w:val="24"/>
          <w:szCs w:val="24"/>
          <w:lang w:val="en-US" w:eastAsia="zh-CN"/>
        </w:rPr>
      </w:pPr>
      <w:r>
        <w:rPr>
          <w:rFonts w:hint="eastAsia" w:ascii="宋体" w:hAnsi="宋体"/>
          <w:sz w:val="24"/>
          <w:szCs w:val="24"/>
        </w:rPr>
        <w:t xml:space="preserve">受</w:t>
      </w:r>
      <w:r>
        <w:rPr>
          <w:rFonts w:hint="eastAsia" w:ascii="宋体" w:hAnsi="宋体"/>
          <w:color w:val="000000"/>
          <w:sz w:val="24"/>
          <w:szCs w:val="24"/>
          <w:u w:val="none"/>
          <w:lang w:val="en-US" w:eastAsia="zh-CN"/>
        </w:rPr>
        <w:t xml:space="preserve">南京市浦口区人民政府江浦街道办事处</w:t>
      </w:r>
      <w:r>
        <w:rPr>
          <w:rFonts w:hint="eastAsia" w:ascii="宋体" w:hAnsi="宋体"/>
          <w:sz w:val="24"/>
          <w:szCs w:val="24"/>
          <w:u w:val="none"/>
          <w:lang w:eastAsia="zh-CN"/>
        </w:rPr>
        <w:t xml:space="preserve">（</w:t>
      </w:r>
      <w:r>
        <w:rPr>
          <w:rFonts w:hint="eastAsia" w:ascii="宋体" w:hAnsi="宋体"/>
          <w:sz w:val="24"/>
          <w:szCs w:val="24"/>
          <w:u w:val="none"/>
          <w:lang w:val="en-US" w:eastAsia="zh-CN"/>
        </w:rPr>
        <w:t xml:space="preserve">采购</w:t>
      </w:r>
      <w:r>
        <w:rPr>
          <w:rFonts w:hint="eastAsia" w:ascii="宋体" w:hAnsi="宋体"/>
          <w:sz w:val="24"/>
          <w:szCs w:val="24"/>
          <w:u w:val="none"/>
        </w:rPr>
        <w:t xml:space="preserve">单位</w:t>
      </w:r>
      <w:r>
        <w:rPr>
          <w:rFonts w:hint="eastAsia" w:ascii="宋体" w:hAnsi="宋体"/>
          <w:sz w:val="24"/>
          <w:szCs w:val="24"/>
          <w:u w:val="none"/>
          <w:lang w:eastAsia="zh-CN"/>
        </w:rPr>
        <w:t xml:space="preserve">）</w:t>
      </w:r>
      <w:r>
        <w:rPr>
          <w:rFonts w:hint="eastAsia" w:ascii="宋体" w:hAnsi="宋体"/>
          <w:sz w:val="24"/>
          <w:szCs w:val="24"/>
        </w:rPr>
        <w:t xml:space="preserve">委托，</w:t>
      </w:r>
      <w:r>
        <w:rPr>
          <w:rFonts w:hint="eastAsia" w:ascii="宋体" w:hAnsi="宋体"/>
          <w:color w:val="000000"/>
          <w:sz w:val="24"/>
          <w:szCs w:val="24"/>
          <w:lang w:eastAsia="zh-CN"/>
        </w:rPr>
        <w:t xml:space="preserve">南京市公共资源交易中心浦口分中心（</w:t>
      </w:r>
      <w:r>
        <w:rPr>
          <w:rFonts w:hint="eastAsia" w:ascii="宋体" w:hAnsi="宋体"/>
          <w:color w:val="000000"/>
          <w:sz w:val="24"/>
          <w:szCs w:val="24"/>
          <w:lang w:val="en-US" w:eastAsia="zh-CN"/>
        </w:rPr>
        <w:t xml:space="preserve">以下简称“交易中心”</w:t>
      </w:r>
      <w:r>
        <w:rPr>
          <w:rFonts w:hint="eastAsia" w:ascii="宋体" w:hAnsi="宋体" w:eastAsia="宋体" w:cs="Times New Roman"/>
          <w:color w:val="000000"/>
          <w:sz w:val="24"/>
          <w:szCs w:val="24"/>
          <w:u w:val="none"/>
          <w:lang w:val="en-US" w:eastAsia="zh-CN"/>
        </w:rPr>
        <w:t xml:space="preserve">）就</w:t>
      </w:r>
      <w:r>
        <w:rPr>
          <w:rFonts w:hint="eastAsia" w:ascii="宋体" w:hAnsi="宋体" w:cs="Times New Roman"/>
          <w:color w:val="000000"/>
          <w:sz w:val="24"/>
          <w:szCs w:val="24"/>
          <w:u w:val="none"/>
          <w:lang w:val="en-US" w:eastAsia="zh-CN"/>
        </w:rPr>
        <w:t xml:space="preserve">《工程项目资金管理系统》国产化升级改造项目</w:t>
      </w:r>
      <w:r>
        <w:rPr>
          <w:rFonts w:hint="eastAsia" w:ascii="宋体" w:hAnsi="宋体" w:eastAsia="宋体" w:cs="Times New Roman"/>
          <w:color w:val="000000"/>
          <w:sz w:val="24"/>
          <w:szCs w:val="24"/>
          <w:u w:val="none"/>
          <w:lang w:val="en-US" w:eastAsia="zh-CN"/>
        </w:rPr>
        <w:t xml:space="preserve">（项目名称）进行竞争性磋商采购，欢迎符合条件的供应商参加磋商。</w:t>
      </w:r>
      <w:r/>
    </w:p>
    <w:p>
      <w:pPr>
        <w:pStyle w:val="888"/>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r/>
    </w:p>
    <w:p>
      <w:pPr>
        <w:ind w:firstLine="480"/>
        <w:pageBreakBefore w:val="0"/>
        <w:spacing w:line="264" w:lineRule="auto"/>
        <w:widowControl w:val="off"/>
        <w:rPr>
          <w:rFonts w:ascii="宋体" w:hAnsi="宋体"/>
          <w:color w:val="0000ff"/>
          <w:sz w:val="24"/>
          <w:szCs w:val="24"/>
        </w:rPr>
      </w:pPr>
      <w:r>
        <w:rPr>
          <w:rFonts w:hint="eastAsia" w:ascii="宋体" w:hAnsi="宋体"/>
          <w:sz w:val="24"/>
          <w:szCs w:val="24"/>
        </w:rPr>
        <w:t xml:space="preserve">1.项目编</w:t>
      </w:r>
      <w:r>
        <w:rPr>
          <w:rFonts w:hint="eastAsia" w:ascii="宋体" w:hAnsi="宋体"/>
          <w:sz w:val="24"/>
          <w:szCs w:val="24"/>
          <w:highlight w:val="none"/>
        </w:rPr>
        <w:t xml:space="preserve">号：</w:t>
      </w:r>
      <w:r>
        <w:rPr>
          <w:rFonts w:hint="eastAsia" w:ascii="宋体" w:hAnsi="宋体" w:cs="Times New Roman"/>
          <w:color w:val="0000ff"/>
          <w:sz w:val="24"/>
          <w:szCs w:val="24"/>
          <w:highlight w:val="none"/>
          <w:lang w:eastAsia="zh-CN"/>
        </w:rPr>
        <w:t xml:space="preserve">JSZC-320111-JZCG-C2026-0049</w:t>
      </w:r>
      <w:r/>
    </w:p>
    <w:p>
      <w:pPr>
        <w:ind w:firstLine="480"/>
        <w:pageBreakBefore w:val="0"/>
        <w:spacing w:line="264" w:lineRule="auto"/>
        <w:widowControl w:val="off"/>
        <w:rPr>
          <w:rFonts w:hint="eastAsia" w:ascii="宋体" w:hAnsi="宋体" w:eastAsia="宋体"/>
          <w:sz w:val="24"/>
          <w:szCs w:val="24"/>
          <w:lang w:eastAsia="zh-CN"/>
        </w:rPr>
      </w:pPr>
      <w:r>
        <w:rPr>
          <w:rFonts w:hint="eastAsia" w:ascii="宋体" w:hAnsi="宋体"/>
          <w:sz w:val="24"/>
          <w:szCs w:val="24"/>
        </w:rPr>
        <w:t xml:space="preserve">2.项目名称：</w:t>
      </w:r>
      <w:r>
        <w:rPr>
          <w:rFonts w:hint="eastAsia" w:ascii="宋体" w:hAnsi="宋体" w:cs="Times New Roman"/>
          <w:color w:val="000000"/>
          <w:sz w:val="24"/>
          <w:szCs w:val="24"/>
          <w:u w:val="none"/>
          <w:lang w:val="en-US" w:eastAsia="zh-CN"/>
        </w:rPr>
        <w:t xml:space="preserve">《工程项目资金管理系统》国产化升级改造项目</w:t>
      </w:r>
      <w:r/>
    </w:p>
    <w:p>
      <w:pPr>
        <w:ind w:firstLine="480"/>
        <w:pageBreakBefore w:val="0"/>
        <w:spacing w:line="264" w:lineRule="auto"/>
        <w:widowControl w:val="off"/>
        <w:rPr>
          <w:rFonts w:hint="eastAsia" w:ascii="宋体" w:hAnsi="宋体"/>
          <w:color w:val="0000ff"/>
          <w:sz w:val="24"/>
          <w:szCs w:val="24"/>
          <w:lang w:val="en-US" w:eastAsia="zh-CN"/>
        </w:rPr>
      </w:pPr>
      <w:r>
        <w:rPr>
          <w:rFonts w:hint="eastAsia" w:ascii="宋体" w:hAnsi="宋体"/>
          <w:color w:val="000000"/>
          <w:sz w:val="24"/>
          <w:szCs w:val="24"/>
        </w:rPr>
        <w:t xml:space="preserve">3.预算金额：</w:t>
      </w:r>
      <w:r>
        <w:rPr>
          <w:rFonts w:hint="eastAsia" w:ascii="宋体" w:hAnsi="宋体"/>
          <w:color w:val="0000ff"/>
          <w:sz w:val="24"/>
          <w:szCs w:val="24"/>
          <w:lang w:val="en-US" w:eastAsia="zh-CN"/>
        </w:rPr>
        <w:t xml:space="preserve">11.56万元 </w:t>
      </w:r>
      <w:r/>
    </w:p>
    <w:p>
      <w:pPr>
        <w:ind w:firstLine="480"/>
        <w:pageBreakBefore w:val="0"/>
        <w:spacing w:line="264" w:lineRule="auto"/>
        <w:widowControl w:val="off"/>
        <w:rPr>
          <w:rFonts w:hint="eastAsia" w:ascii="宋体" w:hAnsi="宋体" w:eastAsia="宋体" w:cs="宋体"/>
          <w:sz w:val="24"/>
          <w:szCs w:val="24"/>
          <w:highlight w:val="yellow"/>
        </w:rPr>
      </w:pPr>
      <w:r>
        <w:rPr>
          <w:rFonts w:hint="eastAsia" w:ascii="宋体" w:hAnsi="宋体"/>
          <w:sz w:val="24"/>
          <w:szCs w:val="24"/>
        </w:rPr>
        <w:t xml:space="preserve">4.</w:t>
      </w:r>
      <w:r>
        <w:rPr>
          <w:rFonts w:hint="eastAsia" w:ascii="宋体" w:hAnsi="宋体"/>
          <w:color w:val="000000"/>
          <w:sz w:val="24"/>
          <w:szCs w:val="24"/>
          <w:lang w:val="en-US" w:eastAsia="zh-CN"/>
        </w:rPr>
        <w:t xml:space="preserve">最高限价：</w:t>
      </w:r>
      <w:r>
        <w:rPr>
          <w:rFonts w:hint="eastAsia" w:ascii="宋体" w:hAnsi="宋体"/>
          <w:color w:val="0000ff"/>
          <w:sz w:val="24"/>
          <w:szCs w:val="24"/>
          <w:lang w:val="en-US" w:eastAsia="zh-CN"/>
        </w:rPr>
        <w:t xml:space="preserve">本项目</w:t>
      </w:r>
      <w:r>
        <w:rPr>
          <w:rFonts w:hint="eastAsia" w:ascii="宋体" w:hAnsi="宋体" w:eastAsia="宋体" w:cs="宋体"/>
          <w:color w:val="0000ff"/>
          <w:sz w:val="24"/>
          <w:szCs w:val="24"/>
          <w:highlight w:val="none"/>
          <w:u w:val="none"/>
          <w:lang w:eastAsia="zh-CN"/>
        </w:rPr>
        <w:t xml:space="preserve">设定</w:t>
      </w:r>
      <w:r>
        <w:rPr>
          <w:rFonts w:hint="eastAsia" w:ascii="宋体" w:hAnsi="宋体" w:eastAsia="宋体" w:cs="宋体"/>
          <w:color w:val="0000ff"/>
          <w:sz w:val="24"/>
          <w:szCs w:val="24"/>
          <w:highlight w:val="none"/>
        </w:rPr>
        <w:t xml:space="preserve">最高限价为</w:t>
      </w:r>
      <w:r>
        <w:rPr>
          <w:rFonts w:hint="eastAsia" w:ascii="宋体" w:hAnsi="宋体"/>
          <w:color w:val="0000ff"/>
          <w:sz w:val="24"/>
          <w:szCs w:val="24"/>
          <w:lang w:val="en-US" w:eastAsia="zh-CN"/>
        </w:rPr>
        <w:t xml:space="preserve">11.56万元</w:t>
      </w:r>
      <w:r>
        <w:rPr>
          <w:rFonts w:hint="eastAsia" w:ascii="宋体" w:hAnsi="宋体" w:eastAsia="宋体" w:cs="宋体"/>
          <w:sz w:val="24"/>
          <w:szCs w:val="24"/>
          <w:highlight w:val="none"/>
        </w:rPr>
        <w:t xml:space="preserve">。</w:t>
      </w:r>
      <w:r/>
    </w:p>
    <w:p>
      <w:pPr>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sz w:val="24"/>
          <w:szCs w:val="24"/>
        </w:rPr>
        <w:t xml:space="preserve">5.采购需求（简</w:t>
      </w:r>
      <w:r>
        <w:rPr>
          <w:rFonts w:hint="eastAsia" w:ascii="宋体" w:hAnsi="宋体" w:eastAsia="宋体" w:cs="Times New Roman"/>
          <w:color w:val="000000"/>
          <w:sz w:val="24"/>
          <w:szCs w:val="24"/>
          <w:u w:val="none"/>
          <w:lang w:val="en-US" w:eastAsia="zh-CN"/>
        </w:rPr>
        <w:t xml:space="preserve">介）：</w:t>
      </w:r>
      <w:r>
        <w:rPr>
          <w:rFonts w:hint="eastAsia" w:ascii="宋体" w:hAnsi="宋体" w:cs="Times New Roman"/>
          <w:color w:val="000000"/>
          <w:sz w:val="24"/>
          <w:szCs w:val="24"/>
          <w:u w:val="none"/>
          <w:lang w:val="en-US" w:eastAsia="zh-CN"/>
        </w:rPr>
        <w:t xml:space="preserve">《工程项目资金管理系统》国产化升级改造项目</w:t>
      </w:r>
      <w:r>
        <w:rPr>
          <w:rFonts w:hint="eastAsia" w:ascii="宋体" w:hAnsi="宋体" w:eastAsia="宋体" w:cs="Times New Roman"/>
          <w:color w:val="000000"/>
          <w:sz w:val="24"/>
          <w:szCs w:val="24"/>
          <w:u w:val="none"/>
          <w:lang w:val="en-US" w:eastAsia="zh-CN"/>
        </w:rPr>
        <w:t xml:space="preserve">。（详细内容见本磋商文件第四章） </w:t>
      </w:r>
      <w:r/>
    </w:p>
    <w:p>
      <w:pPr>
        <w:pStyle w:val="927"/>
        <w:ind w:right="0" w:firstLine="480"/>
        <w:keepLines w:val="0"/>
        <w:keepNext w:val="0"/>
        <w:pageBreakBefore w:val="0"/>
        <w:spacing w:line="240" w:lineRule="auto"/>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6.合同履行期限：合同签订后20天内交付。</w:t>
      </w:r>
      <w:r/>
    </w:p>
    <w:p>
      <w:pPr>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cs="Times New Roman"/>
          <w:sz w:val="24"/>
          <w:szCs w:val="24"/>
          <w:lang w:val="en-US" w:eastAsia="zh-CN"/>
        </w:rPr>
        <w:t xml:space="preserve">7</w:t>
      </w:r>
      <w:r>
        <w:rPr>
          <w:rFonts w:hint="eastAsia" w:ascii="宋体" w:hAnsi="宋体" w:eastAsia="宋体" w:cs="Times New Roman"/>
          <w:sz w:val="24"/>
          <w:szCs w:val="24"/>
          <w:lang w:val="en-US" w:eastAsia="zh-CN"/>
        </w:rPr>
        <w:t xml:space="preserve">.</w:t>
      </w:r>
      <w:r>
        <w:rPr>
          <w:rFonts w:hint="eastAsia" w:ascii="宋体" w:hAnsi="宋体" w:eastAsia="宋体" w:cs="宋体"/>
          <w:sz w:val="24"/>
          <w:szCs w:val="24"/>
          <w:highlight w:val="none"/>
          <w:lang w:val="en-US" w:eastAsia="zh-CN"/>
        </w:rPr>
        <w:t xml:space="preserve">本项目</w:t>
      </w:r>
      <w:r>
        <w:rPr>
          <w:rFonts w:hint="eastAsia" w:ascii="宋体" w:hAnsi="宋体" w:eastAsia="宋体" w:cs="宋体"/>
          <w:color w:val="0000ff"/>
          <w:sz w:val="24"/>
          <w:szCs w:val="24"/>
          <w:highlight w:val="none"/>
          <w:u w:val="none"/>
          <w:lang w:val="en-US" w:eastAsia="zh-CN"/>
        </w:rPr>
        <w:t xml:space="preserve">不接受</w:t>
      </w:r>
      <w:r>
        <w:rPr>
          <w:rFonts w:hint="eastAsia" w:ascii="宋体" w:hAnsi="宋体" w:eastAsia="宋体" w:cs="宋体"/>
          <w:sz w:val="24"/>
          <w:szCs w:val="24"/>
          <w:highlight w:val="none"/>
          <w:lang w:val="en-US" w:eastAsia="zh-CN"/>
        </w:rPr>
        <w:t xml:space="preserve">联合体</w:t>
      </w:r>
      <w:r>
        <w:rPr>
          <w:rFonts w:hint="eastAsia" w:ascii="宋体" w:hAnsi="宋体" w:cs="宋体"/>
          <w:sz w:val="24"/>
          <w:szCs w:val="24"/>
          <w:highlight w:val="none"/>
          <w:lang w:val="en-US" w:eastAsia="zh-CN"/>
        </w:rPr>
        <w:t xml:space="preserve">参加</w:t>
      </w:r>
      <w:r>
        <w:rPr>
          <w:rFonts w:hint="eastAsia" w:ascii="宋体" w:hAnsi="宋体" w:eastAsia="宋体" w:cs="宋体"/>
          <w:sz w:val="24"/>
          <w:szCs w:val="24"/>
          <w:highlight w:val="none"/>
          <w:lang w:val="en-US" w:eastAsia="zh-CN"/>
        </w:rPr>
        <w:t xml:space="preserve">磋商。</w:t>
      </w:r>
      <w:r/>
    </w:p>
    <w:p>
      <w:pPr>
        <w:pStyle w:val="888"/>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r/>
    </w:p>
    <w:p>
      <w:pPr>
        <w:ind w:firstLine="48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p>
    <w:p>
      <w:pPr>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p>
    <w:p>
      <w:pPr>
        <w:ind w:firstLine="480"/>
        <w:pageBreakBefore w:val="0"/>
        <w:spacing w:line="264" w:lineRule="auto"/>
        <w:widowControl w:val="off"/>
        <w:rPr>
          <w:rFonts w:hint="eastAsia" w:ascii="宋体" w:hAnsi="宋体" w:eastAsia="宋体"/>
          <w:color w:val="0000ff"/>
          <w:sz w:val="24"/>
          <w:szCs w:val="24"/>
          <w:lang w:val="zh-CN" w:eastAsia="zh-CN"/>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olor w:val="0000ff"/>
          <w:sz w:val="24"/>
          <w:szCs w:val="24"/>
          <w:lang w:val="zh-CN" w:eastAsia="zh-CN"/>
        </w:rPr>
        <w:t xml:space="preserve">本项目专门面向中小微企业采购，供应商应为中小微企业、监狱企业、残疾人福利性单位。（声明函格式见第六章）</w:t>
      </w:r>
      <w:r/>
    </w:p>
    <w:p>
      <w:pPr>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zh-CN"/>
        </w:rPr>
        <w:t xml:space="preserve">本项目采购标的对应的中小企业划分标准所属行业为：</w:t>
      </w: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rPr>
        <w:t xml:space="preserve">根据《中小企业划型标准规定》</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工信部联企业〔2011〕300号</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00人以下或营业收入</w:t>
      </w:r>
      <w:r>
        <w:rPr>
          <w:rFonts w:hint="eastAsia" w:ascii="宋体" w:hAnsi="宋体" w:eastAsia="宋体" w:cs="Times New Roman"/>
          <w:color w:val="000000"/>
          <w:sz w:val="24"/>
          <w:szCs w:val="24"/>
          <w:lang w:val="en-US" w:eastAsia="zh-CN"/>
        </w:rPr>
        <w:t xml:space="preserve">10</w:t>
      </w:r>
      <w:r>
        <w:rPr>
          <w:rFonts w:hint="eastAsia" w:ascii="宋体" w:hAnsi="宋体" w:eastAsia="宋体" w:cs="Times New Roman"/>
          <w:color w:val="000000"/>
          <w:sz w:val="24"/>
          <w:szCs w:val="24"/>
        </w:rPr>
        <w:t xml:space="preserve">000万元以下的为中小微型企业。其中，从业人员</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00人及以上，且营业收入</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000万元及以上的为中型企业；从业人员</w:t>
      </w:r>
      <w:r>
        <w:rPr>
          <w:rFonts w:hint="eastAsia" w:ascii="宋体" w:hAnsi="宋体" w:eastAsia="宋体" w:cs="Times New Roman"/>
          <w:color w:val="000000"/>
          <w:sz w:val="24"/>
          <w:szCs w:val="24"/>
          <w:lang w:val="en-US" w:eastAsia="zh-CN"/>
        </w:rPr>
        <w:t xml:space="preserve">10</w:t>
      </w:r>
      <w:r>
        <w:rPr>
          <w:rFonts w:hint="eastAsia" w:ascii="宋体" w:hAnsi="宋体" w:eastAsia="宋体" w:cs="Times New Roman"/>
          <w:color w:val="000000"/>
          <w:sz w:val="24"/>
          <w:szCs w:val="24"/>
        </w:rPr>
        <w:t xml:space="preserve">人及以上，且营业收入</w:t>
      </w:r>
      <w:r>
        <w:rPr>
          <w:rFonts w:hint="eastAsia" w:ascii="宋体" w:hAnsi="宋体" w:eastAsia="宋体" w:cs="Times New Roman"/>
          <w:color w:val="000000"/>
          <w:sz w:val="24"/>
          <w:szCs w:val="24"/>
          <w:lang w:val="en-US" w:eastAsia="zh-CN"/>
        </w:rPr>
        <w:t xml:space="preserve">100</w:t>
      </w:r>
      <w:r>
        <w:rPr>
          <w:rFonts w:hint="eastAsia" w:ascii="宋体" w:hAnsi="宋体" w:eastAsia="宋体" w:cs="Times New Roman"/>
          <w:color w:val="000000"/>
          <w:sz w:val="24"/>
          <w:szCs w:val="24"/>
        </w:rPr>
        <w:t xml:space="preserve">万元及以上的为小型企业；从业人员</w:t>
      </w:r>
      <w:r>
        <w:rPr>
          <w:rFonts w:hint="eastAsia" w:ascii="宋体" w:hAnsi="宋体" w:eastAsia="宋体" w:cs="Times New Roman"/>
          <w:color w:val="000000"/>
          <w:sz w:val="24"/>
          <w:szCs w:val="24"/>
          <w:lang w:val="en-US" w:eastAsia="zh-CN"/>
        </w:rPr>
        <w:t xml:space="preserve">10</w:t>
      </w:r>
      <w:r>
        <w:rPr>
          <w:rFonts w:hint="eastAsia" w:ascii="宋体" w:hAnsi="宋体" w:eastAsia="宋体" w:cs="Times New Roman"/>
          <w:color w:val="000000"/>
          <w:sz w:val="24"/>
          <w:szCs w:val="24"/>
        </w:rPr>
        <w:t xml:space="preserve">人以下或营业收入</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00万元以下的为微型企业。</w:t>
      </w:r>
      <w:r/>
    </w:p>
    <w:p>
      <w:pPr>
        <w:ind w:firstLine="480"/>
        <w:pageBreakBefore w:val="0"/>
        <w:spacing w:line="264" w:lineRule="auto"/>
        <w:widowControl w:val="off"/>
        <w:rPr>
          <w:rFonts w:hint="eastAsia" w:ascii="宋体" w:hAnsi="宋体" w:eastAsia="宋体" w:cs="Times New Roman"/>
          <w:color w:val="0000ff"/>
          <w:sz w:val="24"/>
          <w:szCs w:val="24"/>
          <w:highlight w:val="none"/>
          <w:lang w:val="en-US"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s="Times New Roman"/>
          <w:color w:val="0000ff"/>
          <w:sz w:val="24"/>
          <w:szCs w:val="24"/>
          <w:highlight w:val="none"/>
          <w:lang w:val="en-US" w:eastAsia="zh-CN"/>
        </w:rPr>
        <w:t xml:space="preserve">无</w:t>
      </w:r>
      <w:r/>
    </w:p>
    <w:p>
      <w:pPr>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三</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拒绝下述供应商参加本次采购活动</w:t>
      </w:r>
      <w:r/>
    </w:p>
    <w:p>
      <w:pPr>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单位负责人为同一人或者存在直接控股、管理关系的不同供应商，不得参加同一合同项下的政府采购活动</w:t>
      </w:r>
      <w:r>
        <w:rPr>
          <w:rFonts w:hint="eastAsia" w:ascii="宋体" w:hAnsi="宋体" w:eastAsia="宋体" w:cs="Times New Roman"/>
          <w:color w:val="000000"/>
          <w:sz w:val="24"/>
          <w:szCs w:val="24"/>
          <w:lang w:eastAsia="zh-CN"/>
        </w:rPr>
        <w:t xml:space="preserve">。</w:t>
      </w:r>
      <w:r/>
    </w:p>
    <w:p>
      <w:pPr>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为采购项目提供整体设计、规范编制或者项目管理、监理、检测等服务的供应商，不得参加本项目的采购活动</w:t>
      </w:r>
      <w:r>
        <w:rPr>
          <w:rFonts w:hint="eastAsia" w:ascii="宋体" w:hAnsi="宋体" w:eastAsia="宋体" w:cs="Times New Roman"/>
          <w:color w:val="000000"/>
          <w:sz w:val="24"/>
          <w:szCs w:val="24"/>
          <w:lang w:eastAsia="zh-CN"/>
        </w:rPr>
        <w:t xml:space="preserve">。</w:t>
      </w:r>
      <w:r/>
    </w:p>
    <w:p>
      <w:pPr>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lang w:eastAsia="zh-CN"/>
        </w:rPr>
        <w:t xml:space="preserve">。</w:t>
      </w:r>
      <w:r/>
    </w:p>
    <w:p>
      <w:pPr>
        <w:pStyle w:val="888"/>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三、获取磋商文件</w:t>
      </w:r>
      <w:r/>
    </w:p>
    <w:p>
      <w:pPr>
        <w:ind w:firstLine="48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1.时间：自磋商文件公告发布之日起。</w:t>
      </w:r>
      <w:r/>
    </w:p>
    <w:p>
      <w:pPr>
        <w:ind w:firstLine="48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2.方式：在“江苏政府采购网”免费下载。</w:t>
      </w:r>
      <w:r/>
    </w:p>
    <w:p>
      <w:pPr>
        <w:pStyle w:val="888"/>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四、提交响应文件截止时间</w:t>
      </w:r>
      <w:r/>
    </w:p>
    <w:p>
      <w:pPr>
        <w:pStyle w:val="888"/>
        <w:ind w:firstLine="372"/>
        <w:pageBreakBefore w:val="0"/>
        <w:spacing w:before="145" w:after="145" w:line="264" w:lineRule="auto"/>
        <w:widowControl w:val="off"/>
        <w:rPr>
          <w:rFonts w:hint="eastAsia" w:ascii="宋体" w:hAnsi="宋体" w:eastAsia="宋体"/>
          <w:b w:val="0"/>
          <w:bCs w:val="0"/>
          <w:sz w:val="24"/>
          <w:szCs w:val="24"/>
          <w:lang w:eastAsia="zh-CN"/>
        </w:rPr>
      </w:pPr>
      <w:r>
        <w:rPr>
          <w:rFonts w:hint="eastAsia" w:ascii="宋体" w:hAnsi="宋体" w:eastAsia="宋体" w:cs="宋体"/>
          <w:b w:val="0"/>
          <w:bCs w:val="0"/>
          <w:color w:val="0000ff"/>
          <w:sz w:val="24"/>
          <w:szCs w:val="24"/>
          <w:u w:val="none"/>
        </w:rPr>
        <w:t xml:space="preserve"> </w:t>
      </w:r>
      <w:r>
        <w:rPr>
          <w:rFonts w:hint="eastAsia" w:ascii="宋体" w:hAnsi="宋体" w:cs="宋体"/>
          <w:b w:val="0"/>
          <w:bCs w:val="0"/>
          <w:color w:val="0000ff"/>
          <w:sz w:val="24"/>
          <w:szCs w:val="24"/>
          <w:u w:val="none"/>
          <w:lang w:val="en-US" w:eastAsia="zh-CN"/>
        </w:rPr>
        <w:t xml:space="preserve">2026</w:t>
      </w:r>
      <w:r>
        <w:rPr>
          <w:rFonts w:hint="eastAsia" w:ascii="宋体" w:hAnsi="宋体"/>
          <w:b w:val="0"/>
          <w:bCs w:val="0"/>
          <w:color w:val="0000ff"/>
          <w:sz w:val="24"/>
          <w:szCs w:val="24"/>
          <w:u w:val="none"/>
        </w:rPr>
        <w:t xml:space="preserve">年09</w:t>
      </w:r>
      <w:r>
        <w:rPr>
          <w:rFonts w:hint="eastAsia" w:ascii="宋体" w:hAnsi="宋体"/>
          <w:b w:val="0"/>
          <w:bCs w:val="0"/>
          <w:color w:val="0000ff"/>
          <w:sz w:val="24"/>
          <w:szCs w:val="24"/>
          <w:u w:val="none"/>
        </w:rPr>
        <w:t xml:space="preserve">月29</w:t>
      </w:r>
      <w:r>
        <w:rPr>
          <w:rFonts w:hint="eastAsia" w:ascii="宋体" w:hAnsi="宋体"/>
          <w:b w:val="0"/>
          <w:bCs w:val="0"/>
          <w:color w:val="0000ff"/>
          <w:sz w:val="24"/>
          <w:szCs w:val="24"/>
          <w:u w:val="none"/>
        </w:rPr>
        <w:t xml:space="preserve">日</w:t>
      </w:r>
      <w:r>
        <w:rPr>
          <w:rFonts w:hint="eastAsia" w:ascii="宋体" w:hAnsi="宋体" w:eastAsia="宋体" w:cs="宋体"/>
          <w:b w:val="0"/>
          <w:bCs w:val="0"/>
          <w:color w:val="0000ff"/>
          <w:sz w:val="24"/>
          <w:szCs w:val="24"/>
          <w:highlight w:val="none"/>
          <w:u w:val="none"/>
          <w:lang w:val="en-US" w:eastAsia="zh-CN"/>
        </w:rPr>
        <w:t xml:space="preserve">09</w:t>
      </w:r>
      <w:r>
        <w:rPr>
          <w:rFonts w:hint="eastAsia" w:ascii="Times New Roman" w:hAnsi="Times New Roman" w:eastAsia="宋体" w:cs="Times New Roman"/>
          <w:b w:val="0"/>
          <w:bCs w:val="0"/>
          <w:color w:val="0000ff"/>
          <w:sz w:val="24"/>
          <w:szCs w:val="24"/>
          <w:u w:val="none"/>
          <w:lang w:val="en-US" w:eastAsia="zh-CN"/>
        </w:rPr>
        <w:t xml:space="preserve">时</w:t>
      </w:r>
      <w:r>
        <w:rPr>
          <w:rFonts w:hint="eastAsia" w:ascii="宋体" w:hAnsi="宋体" w:eastAsia="宋体" w:cs="宋体"/>
          <w:b w:val="0"/>
          <w:bCs w:val="0"/>
          <w:color w:val="0000ff"/>
          <w:sz w:val="24"/>
          <w:szCs w:val="24"/>
          <w:highlight w:val="none"/>
          <w:u w:val="none"/>
          <w:lang w:val="en-US" w:eastAsia="zh-CN"/>
        </w:rPr>
        <w:t xml:space="preserve">30</w:t>
      </w:r>
      <w:r>
        <w:rPr>
          <w:rFonts w:hint="eastAsia" w:ascii="宋体" w:hAnsi="宋体"/>
          <w:b w:val="0"/>
          <w:bCs w:val="0"/>
          <w:color w:val="0000ff"/>
          <w:sz w:val="24"/>
          <w:szCs w:val="24"/>
          <w:u w:val="none"/>
        </w:rPr>
        <w:t xml:space="preserve">分</w:t>
      </w:r>
      <w:r>
        <w:rPr>
          <w:rFonts w:hint="eastAsia" w:ascii="宋体" w:hAnsi="宋体"/>
          <w:b w:val="0"/>
          <w:bCs w:val="0"/>
          <w:sz w:val="24"/>
          <w:szCs w:val="24"/>
          <w:u w:val="none"/>
        </w:rPr>
        <w:t xml:space="preserve">（</w:t>
      </w:r>
      <w:r>
        <w:rPr>
          <w:rFonts w:hint="eastAsia" w:ascii="宋体" w:hAnsi="宋体"/>
          <w:b w:val="0"/>
          <w:bCs w:val="0"/>
          <w:sz w:val="24"/>
          <w:szCs w:val="24"/>
        </w:rPr>
        <w:t xml:space="preserve">北京时间）</w:t>
      </w:r>
      <w:r>
        <w:rPr>
          <w:rFonts w:hint="eastAsia" w:ascii="宋体" w:hAnsi="宋体"/>
          <w:b w:val="0"/>
          <w:bCs w:val="0"/>
          <w:sz w:val="24"/>
          <w:szCs w:val="24"/>
          <w:lang w:eastAsia="zh-CN"/>
        </w:rPr>
        <w:t xml:space="preserve">。</w:t>
      </w:r>
      <w:r/>
    </w:p>
    <w:p>
      <w:pPr>
        <w:pStyle w:val="888"/>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r/>
    </w:p>
    <w:p>
      <w:pPr>
        <w:ind w:firstLine="480"/>
        <w:pageBreakBefore w:val="0"/>
        <w:spacing w:line="264" w:lineRule="auto"/>
        <w:widowControl w:val="off"/>
        <w:rPr>
          <w:rFonts w:ascii="宋体" w:hAnsi="宋体" w:cs="宋体"/>
          <w:sz w:val="24"/>
          <w:szCs w:val="24"/>
        </w:rPr>
      </w:pPr>
      <w:r>
        <w:rPr>
          <w:rFonts w:hint="eastAsia" w:ascii="宋体" w:hAnsi="宋体" w:cs="宋体"/>
          <w:sz w:val="24"/>
          <w:szCs w:val="24"/>
        </w:rPr>
        <w:t xml:space="preserve">公告期限为自本公告发布</w:t>
      </w:r>
      <w:r>
        <w:rPr>
          <w:rFonts w:hint="eastAsia" w:ascii="宋体" w:hAnsi="宋体" w:cs="宋体"/>
          <w:sz w:val="24"/>
          <w:szCs w:val="24"/>
          <w:highlight w:val="none"/>
        </w:rPr>
        <w:t xml:space="preserve">之日起</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个工作日。</w:t>
      </w:r>
      <w:r/>
    </w:p>
    <w:p>
      <w:pPr>
        <w:pStyle w:val="888"/>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r/>
    </w:p>
    <w:p>
      <w:pPr>
        <w:ind w:firstLine="48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1.本次</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不收取</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保证金。</w:t>
      </w:r>
      <w:r/>
    </w:p>
    <w:p>
      <w:pPr>
        <w:ind w:firstLine="480"/>
        <w:pageBreakBefore w:val="0"/>
        <w:spacing w:line="264" w:lineRule="auto"/>
        <w:widowControl w:val="off"/>
        <w:rPr>
          <w:rFonts w:hint="eastAsia" w:ascii="宋体" w:hAnsi="宋体" w:eastAsia="宋体" w:cs="Times New Roman"/>
          <w:color w:val="0000ff"/>
          <w:sz w:val="24"/>
          <w:szCs w:val="24"/>
          <w:lang w:val="en-US"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ff"/>
          <w:sz w:val="24"/>
          <w:szCs w:val="24"/>
          <w:lang w:val="en-US" w:eastAsia="zh-CN"/>
        </w:rPr>
        <w:t xml:space="preserve">本项目不组织集中勘察及答疑，供应商如对采购需求有疑问，请咨询采购单位联系人。 </w:t>
      </w:r>
      <w:r/>
    </w:p>
    <w:p>
      <w:pPr>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具体详见苏采云系统登录页“新CA办理指南”。供应商</w:t>
      </w:r>
      <w:r>
        <w:rPr>
          <w:rFonts w:hint="eastAsia" w:ascii="宋体" w:hAnsi="宋体" w:eastAsia="宋体" w:cs="宋体"/>
          <w:sz w:val="24"/>
          <w:szCs w:val="24"/>
          <w:highlight w:val="none"/>
          <w:lang w:eastAsia="zh-CN"/>
        </w:rPr>
        <w:t xml:space="preserve">按《苏采云系统供应商操作手册》（</w:t>
      </w:r>
      <w:r>
        <w:rPr>
          <w:rFonts w:hint="eastAsia" w:ascii="宋体" w:hAnsi="宋体" w:eastAsia="宋体" w:cs="宋体"/>
          <w:sz w:val="24"/>
          <w:szCs w:val="24"/>
          <w:highlight w:val="none"/>
          <w:lang w:val="en-US" w:eastAsia="zh-CN"/>
        </w:rPr>
        <w:t xml:space="preserve">以下简称“操作手册”</w:t>
      </w:r>
      <w:r>
        <w:rPr>
          <w:rFonts w:hint="eastAsia" w:ascii="宋体" w:hAnsi="宋体" w:eastAsia="宋体" w:cs="宋体"/>
          <w:sz w:val="24"/>
          <w:szCs w:val="24"/>
          <w:highlight w:val="none"/>
          <w:lang w:eastAsia="zh-CN"/>
        </w:rPr>
        <w:t xml:space="preserve">）进行注册，</w:t>
      </w:r>
      <w:r>
        <w:rPr>
          <w:rFonts w:hint="eastAsia" w:ascii="宋体" w:hAnsi="宋体" w:eastAsia="宋体" w:cs="宋体"/>
          <w:sz w:val="24"/>
          <w:szCs w:val="24"/>
          <w:highlight w:val="none"/>
          <w:lang w:val="en-US" w:eastAsia="zh-CN"/>
        </w:rPr>
        <w:t xml:space="preserve">并</w:t>
      </w:r>
      <w:r>
        <w:rPr>
          <w:rFonts w:hint="eastAsia" w:ascii="宋体" w:hAnsi="宋体" w:eastAsia="宋体" w:cs="宋体"/>
          <w:sz w:val="24"/>
          <w:szCs w:val="24"/>
          <w:highlight w:val="none"/>
          <w:lang w:eastAsia="zh-CN"/>
        </w:rPr>
        <w:t xml:space="preserve">制作上传电子响应文件。《操作手册》</w:t>
      </w:r>
      <w:r>
        <w:rPr>
          <w:rFonts w:hint="eastAsia" w:ascii="宋体" w:hAnsi="宋体" w:eastAsia="宋体" w:cs="宋体"/>
          <w:sz w:val="24"/>
          <w:szCs w:val="24"/>
          <w:highlight w:val="none"/>
          <w:lang w:eastAsia="zh-CN"/>
        </w:rPr>
        <w:fldChar w:fldCharType="begin"/>
      </w:r>
      <w:r>
        <w:rPr>
          <w:rFonts w:hint="eastAsia" w:ascii="宋体" w:hAnsi="宋体" w:eastAsia="宋体" w:cs="宋体"/>
          <w:sz w:val="24"/>
          <w:szCs w:val="24"/>
          <w:highlight w:val="none"/>
          <w:lang w:eastAsia="zh-CN"/>
        </w:rPr>
        <w:instrText xml:space="preserve"> HYPERLINK "http://www.ccgp-jiangsu.gov.cn/jiangsu/zlxz/ee/ee3a4bc5a3454aa2b0d9312230633ce9.html" </w:instrText>
      </w:r>
      <w:r>
        <w:rPr>
          <w:rFonts w:hint="eastAsia" w:ascii="宋体" w:hAnsi="宋体" w:eastAsia="宋体" w:cs="宋体"/>
          <w:sz w:val="24"/>
          <w:szCs w:val="24"/>
          <w:highlight w:val="none"/>
          <w:lang w:eastAsia="zh-CN"/>
        </w:rPr>
        <w:fldChar w:fldCharType="separate"/>
      </w:r>
      <w:r>
        <w:rPr>
          <w:rStyle w:val="900"/>
          <w:rFonts w:hint="eastAsia" w:ascii="宋体" w:hAnsi="宋体" w:eastAsia="宋体" w:cs="宋体"/>
          <w:sz w:val="24"/>
          <w:szCs w:val="24"/>
          <w:highlight w:val="none"/>
          <w:lang w:eastAsia="zh-CN"/>
        </w:rPr>
        <w:t xml:space="preserve">下载地址</w:t>
      </w:r>
      <w:r>
        <w:rPr>
          <w:rFonts w:hint="eastAsia" w:ascii="宋体" w:hAnsi="宋体" w:eastAsia="宋体" w:cs="宋体"/>
          <w:sz w:val="24"/>
          <w:szCs w:val="24"/>
          <w:highlight w:val="none"/>
          <w:lang w:eastAsia="zh-CN"/>
        </w:rPr>
        <w:fldChar w:fldCharType="end"/>
      </w:r>
      <w:r>
        <w:rPr>
          <w:rFonts w:hint="eastAsia" w:ascii="宋体" w:hAnsi="宋体" w:eastAsia="宋体" w:cs="宋体"/>
          <w:sz w:val="24"/>
          <w:szCs w:val="24"/>
          <w:highlight w:val="none"/>
          <w:lang w:eastAsia="zh-CN"/>
        </w:rPr>
        <w:t xml:space="preserve">（CTRL+鼠标左键）。</w:t>
      </w:r>
      <w:r/>
    </w:p>
    <w:p>
      <w:pPr>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.有关本次采购的事项若存在变动或修改，请及时关注“江苏政府采购网”（www.ccgp-jiangsu.gov.cn）更正公告。</w:t>
      </w:r>
      <w:r/>
    </w:p>
    <w:p>
      <w:pPr>
        <w:pStyle w:val="888"/>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七、本次磋商联系方式</w:t>
      </w:r>
      <w:r/>
    </w:p>
    <w:p>
      <w:pPr>
        <w:ind w:firstLine="480"/>
        <w:pageBreakBefore w:val="0"/>
        <w:spacing w:line="264"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1.采购人</w:t>
      </w:r>
      <w:r/>
    </w:p>
    <w:p>
      <w:pPr>
        <w:ind w:firstLine="480"/>
        <w:pageBreakBefore w:val="0"/>
        <w:spacing w:line="264" w:lineRule="auto"/>
        <w:widowControl w:val="off"/>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名  称：</w:t>
      </w:r>
      <w:r>
        <w:rPr>
          <w:rFonts w:hint="eastAsia" w:ascii="宋体" w:hAnsi="宋体" w:eastAsia="宋体" w:cs="Times New Roman"/>
          <w:color w:val="000000"/>
          <w:sz w:val="24"/>
          <w:szCs w:val="24"/>
          <w:highlight w:val="none"/>
          <w:u w:val="none"/>
          <w:lang w:val="en-US" w:eastAsia="zh-CN"/>
        </w:rPr>
        <w:t xml:space="preserve">南京市浦口区人民政府江浦街道办事处</w:t>
      </w:r>
      <w:r>
        <w:rPr>
          <w:rFonts w:hint="eastAsia" w:ascii="宋体" w:hAnsi="宋体" w:eastAsia="宋体" w:cs="Times New Roman"/>
          <w:color w:val="0000ff"/>
          <w:sz w:val="24"/>
          <w:szCs w:val="24"/>
          <w:highlight w:val="none"/>
          <w:u w:val="none"/>
          <w:lang w:val="en-US" w:eastAsia="zh-CN"/>
        </w:rPr>
        <w:t xml:space="preserve">          </w:t>
      </w:r>
      <w:r/>
    </w:p>
    <w:p>
      <w:pPr>
        <w:ind w:firstLine="480"/>
        <w:pageBreakBefore w:val="0"/>
        <w:spacing w:line="264" w:lineRule="auto"/>
        <w:widowControl w:val="off"/>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地  址：</w:t>
      </w:r>
      <w:r>
        <w:rPr>
          <w:rFonts w:hint="eastAsia" w:ascii="宋体" w:hAnsi="宋体" w:eastAsia="宋体" w:cs="Times New Roman"/>
          <w:color w:val="000000"/>
          <w:sz w:val="24"/>
          <w:szCs w:val="24"/>
          <w:highlight w:val="none"/>
          <w:u w:val="none"/>
          <w:lang w:val="en-US" w:eastAsia="zh-CN"/>
        </w:rPr>
        <w:t xml:space="preserve">浦口区江浦街道珠泉西路5号</w:t>
      </w:r>
      <w:r>
        <w:rPr>
          <w:rFonts w:hint="eastAsia" w:ascii="宋体" w:hAnsi="宋体" w:eastAsia="宋体" w:cs="Times New Roman"/>
          <w:color w:val="0000ff"/>
          <w:sz w:val="24"/>
          <w:szCs w:val="24"/>
          <w:highlight w:val="none"/>
          <w:u w:val="none"/>
          <w:lang w:val="en-US" w:eastAsia="zh-CN"/>
        </w:rPr>
        <w:t xml:space="preserve"> </w:t>
      </w:r>
      <w:r>
        <w:rPr>
          <w:rFonts w:hint="eastAsia" w:ascii="宋体" w:hAnsi="宋体" w:eastAsia="宋体" w:cs="Times New Roman"/>
          <w:sz w:val="24"/>
          <w:szCs w:val="24"/>
          <w:highlight w:val="none"/>
          <w:u w:val="none"/>
          <w:lang w:val="en-US" w:eastAsia="zh-CN"/>
        </w:rPr>
        <w:t xml:space="preserve">   </w:t>
      </w:r>
      <w:r/>
    </w:p>
    <w:p>
      <w:pPr>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联系人</w:t>
      </w:r>
      <w:r>
        <w:rPr>
          <w:rFonts w:hint="eastAsia" w:ascii="宋体" w:hAnsi="宋体" w:eastAsia="宋体" w:cs="Times New Roman"/>
          <w:color w:val="000000"/>
          <w:sz w:val="24"/>
          <w:szCs w:val="24"/>
          <w:highlight w:val="none"/>
          <w:u w:val="none"/>
          <w:lang w:val="en-US" w:eastAsia="zh-CN"/>
        </w:rPr>
        <w:t xml:space="preserve">：</w:t>
      </w:r>
      <w:r>
        <w:rPr>
          <w:rFonts w:hint="eastAsia" w:ascii="宋体" w:hAnsi="宋体" w:cs="Times New Roman"/>
          <w:color w:val="000000"/>
          <w:sz w:val="24"/>
          <w:szCs w:val="24"/>
          <w:highlight w:val="none"/>
          <w:u w:val="none"/>
          <w:lang w:val="en-US" w:eastAsia="zh-CN"/>
        </w:rPr>
        <w:t xml:space="preserve">徐女士</w:t>
      </w:r>
      <w:r>
        <w:rPr>
          <w:rFonts w:hint="eastAsia" w:ascii="宋体" w:hAnsi="宋体" w:eastAsia="宋体" w:cs="Times New Roman"/>
          <w:color w:val="000000"/>
          <w:sz w:val="24"/>
          <w:szCs w:val="24"/>
          <w:highlight w:val="none"/>
          <w:u w:val="none"/>
          <w:lang w:val="en-US" w:eastAsia="zh-CN"/>
        </w:rPr>
        <w:t xml:space="preserve"> </w:t>
      </w:r>
      <w:r/>
    </w:p>
    <w:p>
      <w:pPr>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联系电话：025 5853 7644 </w:t>
      </w:r>
      <w:bookmarkStart w:id="6" w:name="_Toc28359086"/>
      <w:r/>
      <w:bookmarkStart w:id="7" w:name="_Toc28359009"/>
      <w:r/>
      <w:r/>
    </w:p>
    <w:p>
      <w:pPr>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2.交易中心</w:t>
      </w:r>
      <w:bookmarkEnd w:id="6"/>
      <w:r/>
      <w:bookmarkEnd w:id="7"/>
      <w:r/>
      <w:r/>
    </w:p>
    <w:p>
      <w:pPr>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址：南京市浦口区象山路4号B座，南京市浦口区江浦街道象山路4号浦口市民中心B幢五楼受理大厅  </w:t>
      </w:r>
      <w:r/>
    </w:p>
    <w:p>
      <w:pPr>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戴</w:t>
      </w:r>
      <w:r>
        <w:rPr>
          <w:rFonts w:hint="eastAsia" w:ascii="宋体" w:hAnsi="宋体" w:eastAsia="宋体" w:cs="Times New Roman"/>
          <w:color w:val="000000"/>
          <w:sz w:val="24"/>
          <w:szCs w:val="24"/>
          <w:highlight w:val="none"/>
          <w:u w:val="none"/>
          <w:lang w:val="en-US" w:eastAsia="zh-CN"/>
        </w:rPr>
        <w:t xml:space="preserve">工</w:t>
      </w:r>
      <w:r/>
    </w:p>
    <w:p>
      <w:pPr>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联系电话：025-6965904</w:t>
      </w:r>
      <w:r>
        <w:rPr>
          <w:rFonts w:hint="eastAsia" w:ascii="宋体" w:hAnsi="宋体" w:cs="Times New Roman"/>
          <w:color w:val="000000"/>
          <w:sz w:val="24"/>
          <w:szCs w:val="24"/>
          <w:highlight w:val="none"/>
          <w:u w:val="none"/>
          <w:lang w:val="en-US" w:eastAsia="zh-CN"/>
        </w:rPr>
        <w:t xml:space="preserve">7</w:t>
      </w:r>
      <w:r/>
    </w:p>
    <w:p>
      <w:pPr>
        <w:ind w:firstLine="480"/>
        <w:pageBreakBefore w:val="0"/>
        <w:spacing w:line="264" w:lineRule="auto"/>
        <w:widowControl w:val="off"/>
        <w:rPr>
          <w:rFonts w:hint="eastAsia"/>
          <w:highlight w:val="none"/>
          <w:u w:val="none"/>
        </w:rPr>
      </w:pPr>
      <w:r>
        <w:rPr>
          <w:rFonts w:hint="eastAsia" w:ascii="宋体" w:hAnsi="宋体" w:eastAsia="宋体" w:cs="Times New Roman"/>
          <w:color w:val="0000ff"/>
          <w:sz w:val="24"/>
          <w:szCs w:val="24"/>
          <w:highlight w:val="none"/>
          <w:u w:val="none"/>
          <w:lang w:val="en-US" w:eastAsia="zh-CN"/>
        </w:rPr>
        <w:t xml:space="preserve"> </w:t>
      </w:r>
      <w:r/>
    </w:p>
    <w:p>
      <w:pPr>
        <w:ind w:firstLine="48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71"/>
        <w:numPr>
          <w:ilvl w:val="0"/>
          <w:numId w:val="0"/>
        </w:numPr>
        <w:jc w:val="both"/>
        <w:pageBreakBefore w:val="0"/>
        <w:spacing w:line="264" w:lineRule="auto"/>
        <w:widowControl w:val="off"/>
        <w:rPr>
          <w:rFonts w:hint="eastAsia"/>
        </w:rPr>
      </w:pPr>
      <w:r>
        <w:rPr>
          <w:rFonts w:hint="eastAsia"/>
        </w:rPr>
      </w:r>
      <w:r/>
    </w:p>
    <w:p>
      <w:pPr>
        <w:rPr>
          <w:rFonts w:hint="eastAsia"/>
        </w:rPr>
      </w:pPr>
      <w:r>
        <w:rPr>
          <w:rFonts w:hint="eastAsia"/>
        </w:rPr>
      </w:r>
      <w:r/>
    </w:p>
    <w:p>
      <w:pPr>
        <w:ind w:right="840"/>
        <w:jc w:val="center"/>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ind w:right="840"/>
        <w:jc w:val="center"/>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ind w:right="840"/>
        <w:jc w:val="center"/>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ind w:right="840"/>
        <w:jc w:val="center"/>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ind w:right="840"/>
        <w:jc w:val="left"/>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ind w:right="840"/>
        <w:jc w:val="center"/>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t xml:space="preserve">第二章  供应商须知</w:t>
      </w:r>
      <w:r/>
    </w:p>
    <w:p>
      <w:pPr>
        <w:pStyle w:val="88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8" w:name="_Toc120614214"/>
      <w:r/>
      <w:bookmarkStart w:id="9" w:name="_Toc20823275"/>
      <w:r/>
      <w:bookmarkStart w:id="10" w:name="_Toc16938519"/>
      <w:r/>
      <w:bookmarkStart w:id="11" w:name="_Toc513029203"/>
      <w:r>
        <w:rPr>
          <w:rFonts w:hint="eastAsia" w:ascii="方正黑体_GBK" w:hAnsi="方正黑体_GBK" w:eastAsia="方正黑体_GBK" w:cs="方正黑体_GBK"/>
          <w:b w:val="0"/>
          <w:bCs w:val="0"/>
          <w:color w:val="000000"/>
          <w:sz w:val="30"/>
          <w:szCs w:val="30"/>
        </w:rPr>
        <w:t xml:space="preserve">一、总则</w:t>
      </w:r>
      <w:r/>
    </w:p>
    <w:p>
      <w:pPr>
        <w:pStyle w:val="88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1.采购方式</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本次政府采购活动采取竞争性磋商(以下简称</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)方式</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本文件仅适用于</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公告中所述项目。</w:t>
      </w:r>
      <w:r/>
    </w:p>
    <w:p>
      <w:pPr>
        <w:pStyle w:val="88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2.合格的供应商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满足</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w:t>
      </w:r>
      <w:r>
        <w:rPr>
          <w:rFonts w:hint="eastAsia" w:ascii="宋体" w:hAnsi="宋体" w:eastAsia="宋体" w:cs="Times New Roman"/>
          <w:color w:val="000000"/>
          <w:sz w:val="24"/>
          <w:szCs w:val="21"/>
          <w:lang w:eastAsia="zh-CN"/>
        </w:rPr>
        <w:t xml:space="preserve">对</w:t>
      </w:r>
      <w:r>
        <w:rPr>
          <w:rFonts w:hint="eastAsia" w:ascii="宋体" w:hAnsi="宋体" w:eastAsia="宋体" w:cs="Times New Roman"/>
          <w:color w:val="000000"/>
          <w:sz w:val="24"/>
          <w:szCs w:val="21"/>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2.2 满足</w:t>
      </w:r>
      <w:r>
        <w:rPr>
          <w:rFonts w:hint="eastAsia" w:ascii="宋体" w:hAnsi="宋体" w:eastAsia="宋体" w:cs="Times New Roman"/>
          <w:color w:val="000000"/>
          <w:sz w:val="24"/>
          <w:szCs w:val="21"/>
          <w:lang w:eastAsia="zh-CN"/>
        </w:rPr>
        <w:t xml:space="preserve">磋商</w:t>
      </w:r>
      <w:r>
        <w:rPr>
          <w:rFonts w:hint="eastAsia" w:ascii="宋体" w:hAnsi="宋体" w:eastAsia="宋体" w:cs="Times New Roman"/>
          <w:color w:val="000000"/>
          <w:sz w:val="24"/>
          <w:szCs w:val="21"/>
        </w:rPr>
        <w:t xml:space="preserve">文件</w:t>
      </w:r>
      <w:r>
        <w:rPr>
          <w:rFonts w:hint="eastAsia" w:ascii="宋体" w:hAnsi="宋体" w:eastAsia="宋体" w:cs="Times New Roman"/>
          <w:color w:val="000000"/>
          <w:sz w:val="24"/>
          <w:szCs w:val="21"/>
          <w:lang w:eastAsia="zh-CN"/>
        </w:rPr>
        <w:t xml:space="preserve">规定的</w:t>
      </w:r>
      <w:r>
        <w:rPr>
          <w:rFonts w:hint="eastAsia" w:ascii="宋体" w:hAnsi="宋体" w:eastAsia="宋体" w:cs="Times New Roman"/>
          <w:color w:val="000000"/>
          <w:sz w:val="24"/>
          <w:szCs w:val="21"/>
        </w:rPr>
        <w:t xml:space="preserve">实质性要求和条件。</w:t>
      </w:r>
      <w:r/>
    </w:p>
    <w:p>
      <w:pPr>
        <w:pStyle w:val="88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3.适用法律</w:t>
      </w:r>
      <w:r/>
    </w:p>
    <w:p>
      <w:pPr>
        <w:ind w:firstLine="420"/>
        <w:pageBreakBefore w:val="0"/>
        <w:spacing w:line="240" w:lineRule="auto"/>
        <w:widowControl w:val="off"/>
        <w:rPr>
          <w:rFonts w:hint="eastAsia" w:ascii="宋体" w:hAnsi="宋体"/>
          <w:sz w:val="24"/>
          <w:szCs w:val="21"/>
        </w:rPr>
      </w:pPr>
      <w:r>
        <w:rPr>
          <w:rFonts w:hint="eastAsia" w:ascii="宋体" w:hAnsi="宋体"/>
          <w:sz w:val="24"/>
          <w:szCs w:val="21"/>
        </w:rPr>
        <w:t xml:space="preserve">3.1 本次</w:t>
      </w:r>
      <w:r>
        <w:rPr>
          <w:rFonts w:hint="eastAsia" w:ascii="宋体" w:hAnsi="宋体"/>
          <w:sz w:val="24"/>
          <w:szCs w:val="21"/>
          <w:lang w:val="en-US" w:eastAsia="zh-CN"/>
        </w:rPr>
        <w:t xml:space="preserve">采购</w:t>
      </w:r>
      <w:r>
        <w:rPr>
          <w:rFonts w:hint="eastAsia" w:ascii="宋体" w:hAnsi="宋体"/>
          <w:sz w:val="24"/>
          <w:szCs w:val="21"/>
        </w:rPr>
        <w:t xml:space="preserve">及由此产生的合同受中华人民共和国有关的法律法规制约和保护</w:t>
      </w:r>
      <w:r>
        <w:rPr>
          <w:rFonts w:ascii="宋体" w:hAnsi="宋体"/>
          <w:sz w:val="24"/>
          <w:szCs w:val="21"/>
        </w:rPr>
        <w:t xml:space="preserve">。</w:t>
      </w:r>
      <w:r/>
    </w:p>
    <w:p>
      <w:pPr>
        <w:pStyle w:val="88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4.磋商费用</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供应商应自行承担所有与参加</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有关的费用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无论</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过程中的做法和结果如何</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szCs w:val="21"/>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和采购人不收取</w:t>
      </w:r>
      <w:r>
        <w:rPr>
          <w:rFonts w:hint="eastAsia" w:ascii="宋体" w:hAnsi="宋体" w:eastAsia="宋体" w:cs="Times New Roman"/>
          <w:color w:val="000000"/>
          <w:sz w:val="24"/>
          <w:szCs w:val="21"/>
          <w:lang w:eastAsia="zh-CN"/>
        </w:rPr>
        <w:t xml:space="preserve">磋商文件</w:t>
      </w:r>
      <w:r>
        <w:rPr>
          <w:rFonts w:hint="eastAsia" w:ascii="宋体" w:hAnsi="宋体" w:eastAsia="宋体" w:cs="Times New Roman"/>
          <w:color w:val="000000"/>
          <w:sz w:val="24"/>
          <w:szCs w:val="21"/>
        </w:rPr>
        <w:t xml:space="preserve">工本费与成交服务费。</w:t>
      </w:r>
      <w:r/>
    </w:p>
    <w:p>
      <w:pPr>
        <w:pStyle w:val="88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5.磋商文件的约束力</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供应商一旦参加本项目采购活动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即被认为接受了本文件的规定和约束。</w:t>
      </w:r>
      <w:r/>
    </w:p>
    <w:p>
      <w:pPr>
        <w:pStyle w:val="88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二、磋商文件</w:t>
      </w:r>
      <w:r/>
    </w:p>
    <w:p>
      <w:pPr>
        <w:pStyle w:val="88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6.磋商文件构成</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磋商文件由以下部分组成：</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（1）磋商邀请</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（2）供应商须知</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（5）评审方法与评审标准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（6）响应文件格式</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eastAsia="zh-CN"/>
        </w:rPr>
        <w:t xml:space="preserve">供应商应</w:t>
      </w:r>
      <w:r>
        <w:rPr>
          <w:rFonts w:hint="eastAsia" w:ascii="宋体" w:hAnsi="宋体" w:eastAsia="宋体" w:cs="Times New Roman"/>
          <w:color w:val="000000"/>
          <w:sz w:val="24"/>
          <w:szCs w:val="21"/>
        </w:rPr>
        <w:t xml:space="preserve">仔细检查磋商文件是否齐全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如有缺漏请立即与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联系。</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并保证所提供的全部资料的真实性</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以使其响应文件对磋商文件作出实质性响应</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否则其风险由供应商自行承担。</w:t>
      </w:r>
      <w:r/>
    </w:p>
    <w:p>
      <w:pPr>
        <w:pStyle w:val="88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7.磋商文件的澄清</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7.1 任何要求对磋商文件进行澄清的供应商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应在磋商截止期</w:t>
      </w:r>
      <w:r>
        <w:rPr>
          <w:rFonts w:hint="eastAsia" w:ascii="宋体" w:hAnsi="宋体" w:eastAsia="宋体" w:cs="Times New Roman"/>
          <w:color w:val="000000"/>
          <w:sz w:val="24"/>
          <w:szCs w:val="21"/>
          <w:lang w:eastAsia="zh-CN"/>
        </w:rPr>
        <w:t xml:space="preserve">五</w:t>
      </w:r>
      <w:r>
        <w:rPr>
          <w:rFonts w:hint="eastAsia" w:ascii="宋体" w:hAnsi="宋体" w:eastAsia="宋体" w:cs="Times New Roman"/>
          <w:color w:val="000000"/>
          <w:sz w:val="24"/>
          <w:szCs w:val="21"/>
        </w:rPr>
        <w:t xml:space="preserve">日前按</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公告中的通讯地址</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以书面形式通知</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w:t>
      </w:r>
      <w:r/>
    </w:p>
    <w:p>
      <w:pPr>
        <w:pStyle w:val="88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8.磋商文件的修改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8.1 在响应文件提交截止时间前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交易中心可以对磋商文件进行修改。磋商文件的修改将在原公告媒体发布更正公告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更正内容将作为磋商文件的组成部分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并对供应商具有约束力。</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关注原公告媒体有关本项目的更正公告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根据更正公告内容自行决定是否需要重新制作和提交响应文件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8.3</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交易中心有权按照法定的要求推迟提交响应文件截止时间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并在原公告媒体发布更正公告。</w:t>
      </w:r>
      <w:r/>
    </w:p>
    <w:p>
      <w:pPr>
        <w:pStyle w:val="88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三、响应文件的编制</w:t>
      </w:r>
      <w:r/>
    </w:p>
    <w:p>
      <w:pPr>
        <w:pStyle w:val="88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9.响应文件的语言及度量衡单位</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供应商提交的响应文件以及供应商与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就有关磋商的所有来往通知、函件和文件均应使用简体中文。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9.2 除技术性能另有规定外</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响应文件所使用的度量衡单位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均须采用国家法定计量单位。</w:t>
      </w:r>
      <w:r/>
    </w:p>
    <w:p>
      <w:pPr>
        <w:pStyle w:val="88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10.响应文件构成</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供应商编写的响应文件应包括资格证明文件、符合性证明文件、</w:t>
      </w:r>
      <w:r>
        <w:rPr>
          <w:rFonts w:hint="eastAsia" w:ascii="宋体" w:hAnsi="宋体" w:eastAsia="宋体" w:cs="Times New Roman"/>
          <w:color w:val="000000"/>
          <w:sz w:val="24"/>
          <w:szCs w:val="21"/>
          <w:lang w:eastAsia="zh-CN"/>
        </w:rPr>
        <w:t xml:space="preserve">分项报价表</w:t>
      </w:r>
      <w:r>
        <w:rPr>
          <w:rFonts w:hint="eastAsia" w:ascii="宋体" w:hAnsi="宋体" w:eastAsia="宋体" w:cs="Times New Roman"/>
          <w:color w:val="000000"/>
          <w:sz w:val="24"/>
          <w:szCs w:val="21"/>
        </w:rPr>
        <w:t xml:space="preserve">、响应及偏离表、其他证明文件、磋商响应函等部分。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如标书制作工具中格式和内容与“江苏政府采购网”发布的磋商文件不一致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以“江苏政府采购网”发布的磋商文件为准。</w:t>
      </w:r>
      <w:r/>
    </w:p>
    <w:p>
      <w:pPr>
        <w:pStyle w:val="88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11.证明磋商响应标的符合磋商文件规定的文件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w:t>
      </w:r>
      <w:r>
        <w:rPr>
          <w:rFonts w:hint="eastAsia" w:ascii="宋体" w:hAnsi="宋体" w:eastAsia="宋体" w:cs="Times New Roman"/>
          <w:color w:val="000000"/>
          <w:sz w:val="24"/>
        </w:rPr>
        <w:t xml:space="preserve">应按照法律、法规、规章和规范性文件以及</w:t>
      </w:r>
      <w:r>
        <w:rPr>
          <w:rFonts w:hint="eastAsia" w:ascii="宋体" w:hAnsi="宋体" w:eastAsia="宋体" w:cs="Times New Roman"/>
          <w:color w:val="000000"/>
          <w:sz w:val="24"/>
          <w:szCs w:val="21"/>
        </w:rPr>
        <w:t xml:space="preserve">磋商文件要求提交证明文件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证明其响应标的符合磋商文件规定。</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磋商文件对证明文件无明确形式要求的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证明文件可以以文字资料、图纸和数据等形式提交。</w:t>
      </w:r>
      <w:r/>
    </w:p>
    <w:p>
      <w:pPr>
        <w:pStyle w:val="88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12.分项报价表</w:t>
      </w:r>
      <w:r>
        <w:rPr>
          <w:rFonts w:hint="eastAsia" w:ascii="方正楷体_GBK" w:hAnsi="方正楷体_GBK" w:eastAsia="方正楷体_GBK" w:cs="方正楷体_GBK"/>
          <w:b/>
          <w:bCs/>
          <w:color w:val="000000"/>
          <w:sz w:val="28"/>
          <w:szCs w:val="28"/>
          <w:lang w:val="zh-CN" w:eastAsia="zh-CN"/>
        </w:rPr>
        <w:t xml:space="preserve">（如有）</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供应商应按照磋商文件规定格式填报</w:t>
      </w:r>
      <w:r>
        <w:rPr>
          <w:rFonts w:hint="eastAsia" w:ascii="宋体" w:hAnsi="宋体" w:eastAsia="宋体" w:cs="Times New Roman"/>
          <w:color w:val="000000"/>
          <w:sz w:val="24"/>
          <w:szCs w:val="21"/>
          <w:lang w:eastAsia="zh-CN"/>
        </w:rPr>
        <w:t xml:space="preserve">分项报价表</w:t>
      </w:r>
      <w:r>
        <w:rPr>
          <w:rFonts w:hint="eastAsia" w:ascii="宋体" w:hAnsi="宋体" w:eastAsia="宋体" w:cs="Times New Roman"/>
          <w:color w:val="000000"/>
          <w:sz w:val="24"/>
          <w:szCs w:val="21"/>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响应文件中的单价和总价无特殊规定的采用人民币报价</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以元为单位标注。磋商文件另有规定的按规定执行。</w:t>
      </w:r>
      <w:r/>
    </w:p>
    <w:p>
      <w:pPr>
        <w:pStyle w:val="88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13.响应及偏离表</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供应商需对磋商文件中的技术要求与商务要求逐项作出响应或偏离说明。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供应商可在响应文件中提供认为需要的其他技术文件或说明。</w:t>
      </w:r>
      <w:r/>
    </w:p>
    <w:p>
      <w:pPr>
        <w:pStyle w:val="88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14.磋商响应函</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供应商应按照磋商文件规定格式完整、正确填报磋商响应函。</w:t>
      </w:r>
      <w:r/>
    </w:p>
    <w:p>
      <w:pPr>
        <w:pStyle w:val="88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15.磋商有效期</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磋商有效期为</w:t>
      </w:r>
      <w:r>
        <w:rPr>
          <w:rFonts w:hint="eastAsia" w:ascii="宋体" w:hAnsi="宋体" w:eastAsia="宋体" w:cs="Times New Roman"/>
          <w:color w:val="000000"/>
          <w:sz w:val="24"/>
          <w:szCs w:val="21"/>
          <w:lang w:eastAsia="zh-CN"/>
        </w:rPr>
        <w:t xml:space="preserve">采购公告</w:t>
      </w:r>
      <w:r>
        <w:rPr>
          <w:rFonts w:hint="eastAsia" w:ascii="宋体" w:hAnsi="宋体" w:eastAsia="宋体" w:cs="Times New Roman"/>
          <w:color w:val="000000"/>
          <w:sz w:val="24"/>
          <w:szCs w:val="21"/>
        </w:rPr>
        <w:t xml:space="preserve">规定的提交响应文件截止之日</w:t>
      </w:r>
      <w:r>
        <w:rPr>
          <w:rFonts w:hint="eastAsia" w:ascii="宋体" w:hAnsi="宋体" w:eastAsia="宋体" w:cs="Times New Roman"/>
          <w:color w:val="000000"/>
          <w:sz w:val="24"/>
          <w:szCs w:val="21"/>
          <w:lang w:eastAsia="zh-CN"/>
        </w:rPr>
        <w:t xml:space="preserve">起</w:t>
      </w:r>
      <w:r>
        <w:rPr>
          <w:rFonts w:hint="eastAsia" w:ascii="宋体" w:hAnsi="宋体" w:eastAsia="宋体" w:cs="Times New Roman"/>
          <w:color w:val="000000"/>
          <w:sz w:val="24"/>
          <w:szCs w:val="21"/>
          <w:lang w:val="zh-CN"/>
        </w:rPr>
        <w:t xml:space="preserve">六十天</w:t>
      </w:r>
      <w:r>
        <w:rPr>
          <w:rFonts w:hint="eastAsia" w:ascii="宋体" w:hAnsi="宋体" w:eastAsia="宋体" w:cs="Times New Roman"/>
          <w:color w:val="000000"/>
          <w:sz w:val="24"/>
          <w:szCs w:val="21"/>
        </w:rPr>
        <w:t xml:space="preserve">。磋商有效期比规定短的将被视为非实质性响应磋商文件而</w:t>
      </w:r>
      <w:r>
        <w:rPr>
          <w:rFonts w:hint="eastAsia" w:ascii="宋体" w:hAnsi="宋体" w:eastAsia="宋体" w:cs="Times New Roman"/>
          <w:color w:val="000000"/>
          <w:sz w:val="24"/>
          <w:szCs w:val="21"/>
          <w:lang w:eastAsia="zh-CN"/>
        </w:rPr>
        <w:t xml:space="preserve">被</w:t>
      </w:r>
      <w:r>
        <w:rPr>
          <w:rFonts w:hint="eastAsia" w:ascii="宋体" w:hAnsi="宋体" w:eastAsia="宋体" w:cs="Times New Roman"/>
          <w:color w:val="000000"/>
          <w:sz w:val="24"/>
          <w:szCs w:val="21"/>
        </w:rPr>
        <w:t xml:space="preserve">拒绝。</w:t>
      </w:r>
      <w:r/>
    </w:p>
    <w:p>
      <w:pPr>
        <w:pStyle w:val="88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16.磋商有效期的延长</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6</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在特殊情况下</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于原磋商有效期满之前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可向供应商提出延长磋商有效期的要求。这种要求与答复均应采用书面形式。供应商可以拒绝</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的这一要求而放弃磋商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同意延长磋商有效期的供应商既不能要求也不允许修改其响应文件</w:t>
      </w:r>
      <w:r>
        <w:rPr>
          <w:rFonts w:hint="eastAsia" w:ascii="宋体" w:hAnsi="宋体" w:eastAsia="宋体" w:cs="Times New Roman"/>
          <w:color w:val="000000"/>
          <w:sz w:val="24"/>
          <w:szCs w:val="21"/>
          <w:lang w:eastAsia="zh-CN"/>
        </w:rPr>
        <w:t xml:space="preserve">，同时</w:t>
      </w:r>
      <w:r>
        <w:rPr>
          <w:rFonts w:hint="eastAsia" w:ascii="宋体" w:hAnsi="宋体" w:eastAsia="宋体" w:cs="Times New Roman"/>
          <w:color w:val="000000"/>
          <w:sz w:val="24"/>
          <w:szCs w:val="21"/>
        </w:rPr>
        <w:t xml:space="preserve">受磋商有效期约束的所有权利与义务均延长至新的有效期</w:t>
      </w:r>
      <w:r>
        <w:rPr>
          <w:rFonts w:hint="eastAsia" w:ascii="宋体" w:hAnsi="宋体" w:eastAsia="宋体" w:cs="Times New Roman"/>
          <w:color w:val="000000"/>
          <w:sz w:val="24"/>
          <w:szCs w:val="21"/>
          <w:lang w:eastAsia="zh-CN"/>
        </w:rPr>
        <w:t xml:space="preserve">满</w:t>
      </w:r>
      <w:r>
        <w:rPr>
          <w:rFonts w:hint="eastAsia" w:ascii="宋体" w:hAnsi="宋体" w:eastAsia="宋体" w:cs="Times New Roman"/>
          <w:color w:val="000000"/>
          <w:sz w:val="24"/>
          <w:szCs w:val="21"/>
        </w:rPr>
        <w:t xml:space="preserve">。</w:t>
      </w:r>
      <w:r/>
    </w:p>
    <w:p>
      <w:pPr>
        <w:pStyle w:val="88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四、响应文件的递交</w:t>
      </w:r>
      <w:r/>
    </w:p>
    <w:p>
      <w:pPr>
        <w:pStyle w:val="88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17.响应文件的递交</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供应商应当按照《操作手册》规定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公告规定的</w:t>
      </w:r>
      <w:r>
        <w:rPr>
          <w:rFonts w:hint="eastAsia" w:ascii="宋体" w:hAnsi="宋体" w:eastAsia="宋体" w:cs="Times New Roman"/>
          <w:color w:val="000000"/>
          <w:sz w:val="24"/>
          <w:szCs w:val="21"/>
        </w:rPr>
        <w:t xml:space="preserve">提交响应文件截止时间前制作并上传电子响应文件。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2 </w:t>
      </w:r>
      <w:r>
        <w:rPr>
          <w:rFonts w:hint="eastAsia" w:ascii="宋体" w:hAnsi="宋体" w:eastAsia="宋体" w:cs="Times New Roman"/>
          <w:color w:val="000000"/>
          <w:sz w:val="24"/>
          <w:szCs w:val="21"/>
        </w:rPr>
        <w:t xml:space="preserve">供应商应充分考虑网络环境、网络带宽等因素</w:t>
      </w:r>
      <w:r>
        <w:rPr>
          <w:rFonts w:hint="eastAsia" w:ascii="宋体" w:hAnsi="宋体" w:eastAsia="宋体" w:cs="Times New Roman"/>
          <w:color w:val="000000"/>
          <w:sz w:val="24"/>
          <w:lang w:val="en-US" w:eastAsia="zh-CN"/>
        </w:rPr>
        <w:t xml:space="preserve">可能产生的影响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如因供应商自身原因造成的电子响应文件上传不成功的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按照本磋商文件第二章第2</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rPr>
        <w:t xml:space="preserve">.3条规定做无效响应处理。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可以按照规定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通过修改磋商文件酌情延长提交响应文件截止日期</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在此情况下</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供应商的所有权利和义务均以延长后新的截止日期为准。</w:t>
      </w:r>
      <w:r/>
    </w:p>
    <w:p>
      <w:pPr>
        <w:pStyle w:val="88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18.响应文件的拒收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18</w:t>
      </w:r>
      <w:r>
        <w:rPr>
          <w:rFonts w:hint="eastAsia" w:ascii="宋体" w:hAnsi="宋体" w:eastAsia="宋体" w:cs="Times New Roman"/>
          <w:color w:val="000000"/>
          <w:sz w:val="24"/>
          <w:szCs w:val="21"/>
        </w:rPr>
        <w:t xml:space="preserve">.1 提交响应文件截止时间后上传的任何响应文件</w:t>
      </w:r>
      <w:r>
        <w:rPr>
          <w:rFonts w:hint="eastAsia" w:ascii="宋体" w:hAnsi="宋体" w:eastAsia="宋体" w:cs="Times New Roman"/>
          <w:color w:val="000000"/>
          <w:sz w:val="24"/>
          <w:szCs w:val="21"/>
          <w:lang w:eastAsia="zh-CN"/>
        </w:rPr>
        <w:t xml:space="preserve">将被拒绝</w:t>
      </w:r>
      <w:r>
        <w:rPr>
          <w:rFonts w:hint="eastAsia" w:ascii="宋体" w:hAnsi="宋体" w:eastAsia="宋体" w:cs="Times New Roman"/>
          <w:color w:val="000000"/>
          <w:sz w:val="24"/>
          <w:szCs w:val="21"/>
        </w:rPr>
        <w:t xml:space="preserve">。</w:t>
      </w:r>
      <w:r/>
    </w:p>
    <w:p>
      <w:pPr>
        <w:pStyle w:val="88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19.响应文件的撤回和修改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响应文件的撤回</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供应商可在提交响应文件截止时间前撤回其电子响应文件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供应商撤回电子响应文件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则认为其不再参与本项目磋商活动。</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响应文件的修改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19.2.1 </w:t>
      </w:r>
      <w:r>
        <w:rPr>
          <w:rFonts w:hint="eastAsia" w:ascii="宋体" w:hAnsi="宋体" w:eastAsia="宋体" w:cs="Times New Roman"/>
          <w:color w:val="000000"/>
          <w:sz w:val="24"/>
          <w:szCs w:val="21"/>
        </w:rPr>
        <w:t xml:space="preserve">供应商可在提交响应文件截止时间前对其电子响应文件进行修改</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19.2.2 </w:t>
      </w:r>
      <w:r>
        <w:rPr>
          <w:rFonts w:hint="eastAsia" w:ascii="宋体" w:hAnsi="宋体" w:eastAsia="宋体" w:cs="Times New Roman"/>
          <w:color w:val="000000"/>
          <w:sz w:val="24"/>
          <w:szCs w:val="21"/>
        </w:rPr>
        <w:t xml:space="preserve">提交响应文件截止时间之后</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供应商不得对其电子响应文件作任何修改。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在提交响应文件截止时间至磋商文件中规定的磋商有效期满之间的这段时间内</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供应商不得撤回其响应文件。</w:t>
      </w:r>
      <w:r/>
    </w:p>
    <w:p>
      <w:pPr>
        <w:pStyle w:val="88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五、响应文件的解密与评审</w:t>
      </w:r>
      <w:r/>
    </w:p>
    <w:p>
      <w:pPr>
        <w:pStyle w:val="88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20.响应文件解密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20.1 供应商应当按照《操作手册》规定，在苏采云系统规定的时间内对响应文件进行解密。</w:t>
      </w:r>
      <w:r/>
    </w:p>
    <w:p>
      <w:pPr>
        <w:pStyle w:val="88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21.磋商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21.1 依法组建的磋商小组对响应文件进行评审。</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21.2 磋商小组由采购人代表和有关技术、经济或法律等方面的专家组成，且人员构成符合政府采购有关规定。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21.3 磋商小组独立工作，负责评审所有响应文件并推荐成交候选人，或根据采购人授权直接确定成交供应商。</w:t>
      </w:r>
      <w:r/>
    </w:p>
    <w:p>
      <w:pPr>
        <w:pStyle w:val="88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22.评审过程的保密与公正</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22.1 磋商小组、采购人和交易中心工作人员、相关监督人员等与评审工作有关的人员，对评审情况以及在评审过程中获悉的国家秘密、商业秘密负有保密责任。</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22.2 供应商不得以任何方式影响评审</w:t>
      </w:r>
      <w:r>
        <w:rPr>
          <w:rFonts w:hint="eastAsia" w:ascii="宋体" w:hAnsi="宋体" w:cs="Times New Roman"/>
          <w:color w:val="000000"/>
          <w:sz w:val="24"/>
          <w:szCs w:val="21"/>
          <w:lang w:val="en-US" w:eastAsia="zh-CN"/>
        </w:rPr>
        <w:t xml:space="preserve">过程</w:t>
      </w:r>
      <w:r>
        <w:rPr>
          <w:rFonts w:hint="eastAsia" w:ascii="宋体" w:hAnsi="宋体" w:eastAsia="宋体" w:cs="Times New Roman"/>
          <w:color w:val="000000"/>
          <w:sz w:val="24"/>
          <w:szCs w:val="21"/>
          <w:lang w:val="en-US" w:eastAsia="zh-CN"/>
        </w:rPr>
        <w:t xml:space="preserve">，否则其响应文件将被作为无效响应文件。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22.3 交易中心和磋商小组不向未成交的供应商解释未成交原因，也不公布评审过程中的相关细节。</w:t>
      </w:r>
      <w:r/>
    </w:p>
    <w:p>
      <w:pPr>
        <w:pStyle w:val="88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23.评审过程中的澄清</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23.1 项目评审期间，磋商小组有权要求供应商对响应文件中含义不明确、同类问题表述不一致或者有明显文字和计算错误的内容等作出必要的澄清、说明或者补正。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供应商的澄清、说明或者补正不得超出响应文件的范围或者改变响应文件的实质性内容。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磋商小组并非对每个供应商都做澄清要求。</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23.2 需要供应商进行澄清、说明和补正的，磋商小组将通过苏采云系统向供应商发出</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，接到</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的供应商应当按照要求在苏采云系统中提交</w:t>
      </w:r>
      <w:r>
        <w:rPr>
          <w:rFonts w:hint="eastAsia" w:ascii="宋体" w:hAnsi="宋体" w:eastAsia="宋体" w:cs="Times New Roman"/>
          <w:color w:val="000000"/>
          <w:sz w:val="24"/>
          <w:lang w:val="zh-CN"/>
        </w:rPr>
        <w:t xml:space="preserve">《澄清</w:t>
      </w:r>
      <w:r>
        <w:rPr>
          <w:rFonts w:hint="eastAsia" w:ascii="宋体" w:hAnsi="宋体" w:cs="Times New Roman"/>
          <w:color w:val="000000"/>
          <w:sz w:val="24"/>
          <w:lang w:val="zh-CN"/>
        </w:rPr>
        <w:t xml:space="preserve">响应</w:t>
      </w:r>
      <w:r>
        <w:rPr>
          <w:rFonts w:hint="eastAsia" w:ascii="宋体" w:hAnsi="宋体" w:eastAsia="宋体" w:cs="Times New Roman"/>
          <w:color w:val="000000"/>
          <w:sz w:val="24"/>
          <w:lang w:val="zh-CN"/>
        </w:rPr>
        <w:t xml:space="preserve">函》</w:t>
      </w:r>
      <w:r>
        <w:rPr>
          <w:rFonts w:hint="eastAsia" w:ascii="宋体" w:hAnsi="宋体" w:eastAsia="宋体" w:cs="Times New Roman"/>
          <w:color w:val="000000"/>
          <w:sz w:val="24"/>
          <w:szCs w:val="21"/>
          <w:lang w:val="en-US" w:eastAsia="zh-CN"/>
        </w:rPr>
        <w:t xml:space="preserve">并加盖电子公章。澄清、说明和补正的内容作为响应文件的补充部分，具体操作方式见《操作手册》。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23.3 接到磋商小组澄清、说明和补正要求的供应商如未按规定做出澄清、说明和补正，其风险由供应商自行承担。</w:t>
      </w:r>
      <w:r/>
    </w:p>
    <w:p>
      <w:pPr>
        <w:pStyle w:val="88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24.响应文件的审查</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 响应文件审查分为资格审查和符合性审查。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24.1.1 资格审查。依据法律法规和磋商文件的规定，磋商小组对响应文件中的资格证明文件进行审查，以确定供应商是否具备参加磋商的资格。</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磋商小组进行资格审查时，将在“信用中国”网站（www.creditchina.gov.cn）查询供应商的信用记录，以确定供应商是否具备磋商资格,查询结果留存并归档。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24.1.2 符合性审查。依据磋商文件的规定，由磋商小组从有效性、完整性和对磋商文件的响应程度等方面对响应文件进行审查，以确定是否对磋商文件的实质性要求作出响应。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24.1.3 未通过资格审查或符合性审查的供应商，磋商小组将通过苏采云系统告知具体原因，评审结束后将不再接受有关询问。</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磋商小组</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lang w:val="en-US" w:eastAsia="zh-CN"/>
        </w:rPr>
        <w:t xml:space="preserve">认</w:t>
      </w:r>
      <w:r>
        <w:rPr>
          <w:rFonts w:hint="eastAsia" w:ascii="宋体" w:hAnsi="宋体" w:eastAsia="宋体" w:cs="Times New Roman"/>
          <w:color w:val="000000"/>
          <w:sz w:val="24"/>
          <w:lang w:val="zh-CN"/>
        </w:rPr>
        <w:t xml:space="preserve">定响应文件的响应性只根据响应文件本身的内容，而不寻求外部的证据。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24.</w:t>
      </w:r>
      <w:r>
        <w:rPr>
          <w:rFonts w:hint="eastAsia" w:ascii="宋体" w:hAnsi="宋体" w:eastAsia="宋体" w:cs="Times New Roman"/>
          <w:color w:val="000000"/>
          <w:sz w:val="24"/>
          <w:szCs w:val="21"/>
          <w:lang w:val="en-US" w:eastAsia="zh-CN"/>
        </w:rPr>
        <w:t xml:space="preserve">3 </w:t>
      </w:r>
      <w:r>
        <w:rPr>
          <w:rFonts w:hint="eastAsia" w:ascii="宋体" w:hAnsi="宋体" w:eastAsia="宋体" w:cs="Times New Roman"/>
          <w:color w:val="000000"/>
          <w:sz w:val="24"/>
          <w:szCs w:val="21"/>
          <w:lang w:val="zh-CN" w:eastAsia="zh-CN"/>
        </w:rPr>
        <w:t xml:space="preserve">异常低价投标审查</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en-US" w:eastAsia="zh-CN"/>
        </w:rPr>
        <w:t xml:space="preserve">4</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zh-CN" w:eastAsia="zh-CN"/>
        </w:rPr>
        <w:t xml:space="preserve">评</w:t>
      </w:r>
      <w:r>
        <w:rPr>
          <w:rFonts w:hint="eastAsia" w:ascii="宋体" w:hAnsi="宋体" w:eastAsia="宋体" w:cs="Times New Roman"/>
          <w:color w:val="000000"/>
          <w:sz w:val="24"/>
          <w:szCs w:val="21"/>
          <w:highlight w:val="none"/>
          <w:lang w:val="en-US" w:eastAsia="zh-CN"/>
        </w:rPr>
        <w:t xml:space="preserve">审</w:t>
      </w:r>
      <w:r>
        <w:rPr>
          <w:rFonts w:hint="eastAsia" w:ascii="宋体" w:hAnsi="宋体" w:eastAsia="宋体" w:cs="Times New Roman"/>
          <w:color w:val="000000"/>
          <w:sz w:val="24"/>
          <w:szCs w:val="21"/>
          <w:highlight w:val="none"/>
          <w:lang w:val="zh-CN" w:eastAsia="zh-CN"/>
        </w:rPr>
        <w:t xml:space="preserve">过程中出现下列情形之一的，</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lang w:val="zh-CN" w:eastAsia="zh-CN"/>
        </w:rPr>
        <w:t xml:space="preserve">应当启动异常低价投标审查程序：</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en-US" w:eastAsia="zh-CN"/>
        </w:rPr>
        <w:t xml:space="preserve">投标（响应）报价低于全部通过符合性审查供应商投标（响应）报价平均值</w:t>
      </w:r>
      <w:r>
        <w:rPr>
          <w:rFonts w:hint="eastAsia" w:ascii="宋体" w:hAnsi="宋体" w:cs="Times New Roman"/>
          <w:color w:val="000000"/>
          <w:sz w:val="24"/>
          <w:szCs w:val="21"/>
          <w:highlight w:val="none"/>
          <w:lang w:val="en-US" w:eastAsia="zh-CN"/>
        </w:rPr>
        <w:t xml:space="preserve">50</w:t>
      </w:r>
      <w:r>
        <w:rPr>
          <w:rFonts w:hint="eastAsia" w:ascii="宋体" w:hAnsi="宋体" w:eastAsia="宋体" w:cs="Times New Roman"/>
          <w:color w:val="000000"/>
          <w:sz w:val="24"/>
          <w:szCs w:val="21"/>
          <w:highlight w:val="none"/>
          <w:lang w:val="en-US" w:eastAsia="zh-CN"/>
        </w:rPr>
        <w:t xml:space="preserve">%的，即投标（响应）报价&lt;全部通过符合性审查供应商投标（响应）报价平均值×</w:t>
      </w:r>
      <w:r>
        <w:rPr>
          <w:rFonts w:hint="eastAsia" w:ascii="宋体" w:hAnsi="宋体" w:cs="Times New Roman"/>
          <w:color w:val="000000"/>
          <w:sz w:val="24"/>
          <w:szCs w:val="21"/>
          <w:highlight w:val="none"/>
          <w:lang w:val="en-US" w:eastAsia="zh-CN"/>
        </w:rPr>
        <w:t xml:space="preserve">50</w:t>
      </w:r>
      <w:r>
        <w:rPr>
          <w:rFonts w:hint="eastAsia" w:ascii="宋体" w:hAnsi="宋体" w:eastAsia="宋体" w:cs="Times New Roman"/>
          <w:color w:val="000000"/>
          <w:sz w:val="24"/>
          <w:szCs w:val="21"/>
          <w:highlight w:val="none"/>
          <w:lang w:val="en-US"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en-US" w:eastAsia="zh-CN"/>
        </w:rPr>
        <w:t xml:space="preserve">投标（响应）报价低于通过符合性审查的次低报价供应商投标（响应）报价</w:t>
      </w:r>
      <w:r>
        <w:rPr>
          <w:rFonts w:hint="eastAsia" w:ascii="宋体" w:hAnsi="宋体" w:cs="Times New Roman"/>
          <w:color w:val="000000"/>
          <w:sz w:val="24"/>
          <w:szCs w:val="21"/>
          <w:highlight w:val="none"/>
          <w:lang w:val="en-US" w:eastAsia="zh-CN"/>
        </w:rPr>
        <w:t xml:space="preserve">50</w:t>
      </w:r>
      <w:r>
        <w:rPr>
          <w:rFonts w:hint="eastAsia" w:ascii="宋体" w:hAnsi="宋体" w:eastAsia="宋体" w:cs="Times New Roman"/>
          <w:color w:val="000000"/>
          <w:sz w:val="24"/>
          <w:szCs w:val="21"/>
          <w:highlight w:val="none"/>
          <w:lang w:val="en-US" w:eastAsia="zh-CN"/>
        </w:rPr>
        <w:t xml:space="preserve">%的，即投标（响应）报价&lt;通过符合性审查的次低报价供应商投标（响应）报价×</w:t>
      </w:r>
      <w:r>
        <w:rPr>
          <w:rFonts w:hint="eastAsia" w:ascii="宋体" w:hAnsi="宋体" w:cs="Times New Roman"/>
          <w:color w:val="000000"/>
          <w:sz w:val="24"/>
          <w:szCs w:val="21"/>
          <w:highlight w:val="none"/>
          <w:lang w:val="en-US" w:eastAsia="zh-CN"/>
        </w:rPr>
        <w:t xml:space="preserve">50</w:t>
      </w:r>
      <w:r>
        <w:rPr>
          <w:rFonts w:hint="eastAsia" w:ascii="宋体" w:hAnsi="宋体" w:eastAsia="宋体" w:cs="Times New Roman"/>
          <w:color w:val="000000"/>
          <w:sz w:val="24"/>
          <w:szCs w:val="21"/>
          <w:highlight w:val="none"/>
          <w:lang w:val="en-US"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lang w:val="en-US" w:eastAsia="zh-CN"/>
        </w:rPr>
        <w:t xml:space="preserve">投标（响应）报价低于采购项目最高限价</w:t>
      </w:r>
      <w:r>
        <w:rPr>
          <w:rFonts w:hint="eastAsia" w:ascii="宋体" w:hAnsi="宋体" w:cs="Times New Roman"/>
          <w:color w:val="000000"/>
          <w:sz w:val="24"/>
          <w:szCs w:val="21"/>
          <w:highlight w:val="none"/>
          <w:lang w:val="en-US" w:eastAsia="zh-CN"/>
        </w:rPr>
        <w:t xml:space="preserve">45</w:t>
      </w:r>
      <w:r>
        <w:rPr>
          <w:rFonts w:hint="eastAsia" w:ascii="宋体" w:hAnsi="宋体" w:eastAsia="宋体" w:cs="Times New Roman"/>
          <w:color w:val="000000"/>
          <w:sz w:val="24"/>
          <w:szCs w:val="21"/>
          <w:highlight w:val="none"/>
          <w:lang w:val="en-US" w:eastAsia="zh-CN"/>
        </w:rPr>
        <w:t xml:space="preserve">%的，即投标（响应）报价&lt;采购项目最高限价×</w:t>
      </w:r>
      <w:r>
        <w:rPr>
          <w:rFonts w:hint="eastAsia" w:ascii="宋体" w:hAnsi="宋体" w:cs="Times New Roman"/>
          <w:color w:val="000000"/>
          <w:sz w:val="24"/>
          <w:szCs w:val="21"/>
          <w:highlight w:val="none"/>
          <w:lang w:val="en-US" w:eastAsia="zh-CN"/>
        </w:rPr>
        <w:t xml:space="preserve">45</w:t>
      </w:r>
      <w:r>
        <w:rPr>
          <w:rFonts w:hint="eastAsia" w:ascii="宋体" w:hAnsi="宋体" w:eastAsia="宋体" w:cs="Times New Roman"/>
          <w:color w:val="000000"/>
          <w:sz w:val="24"/>
          <w:szCs w:val="21"/>
          <w:highlight w:val="none"/>
          <w:lang w:val="en-US"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cs="Times New Roman"/>
          <w:color w:val="000000"/>
          <w:sz w:val="24"/>
          <w:szCs w:val="21"/>
          <w:lang w:val="en-US" w:eastAsia="zh-CN"/>
        </w:rPr>
        <w:t xml:space="preserve">（4）</w:t>
      </w:r>
      <w:r>
        <w:rPr>
          <w:rFonts w:hint="eastAsia" w:ascii="宋体" w:hAnsi="宋体" w:eastAsia="宋体" w:cs="Times New Roman"/>
          <w:color w:val="000000"/>
          <w:sz w:val="24"/>
          <w:szCs w:val="21"/>
          <w:lang w:val="en-US" w:eastAsia="zh-CN"/>
        </w:rPr>
        <w:t xml:space="preserve">评审委员会基于专业判断，认为供应商报价过低，有可能影响产品质量或者不能诚信履约的其他情形。</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采购人可以结合具体项目实际情况，提高上述第1项至第3项中启动异常低价投标（响应）审查的数值标准，但是最高不得超过65%。 </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en-US" w:eastAsia="zh-CN"/>
        </w:rPr>
        <w:t xml:space="preserve">2磋商小组</w:t>
      </w:r>
      <w:r>
        <w:rPr>
          <w:rFonts w:hint="eastAsia" w:ascii="宋体" w:hAnsi="宋体" w:eastAsia="宋体" w:cs="Times New Roman"/>
          <w:color w:val="000000"/>
          <w:sz w:val="24"/>
          <w:szCs w:val="21"/>
          <w:lang w:val="zh-CN" w:eastAsia="zh-CN"/>
        </w:rPr>
        <w:t xml:space="preserve">启动异常低价投标审查后，属于前述第（1）项至第（4）项情形的，应当要求相关供应商在评审现场合理的时间内对</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1"/>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2" w:name="OLE_LINK2"/>
      <w:r>
        <w:rPr>
          <w:rFonts w:hint="eastAsia" w:ascii="宋体" w:hAnsi="宋体" w:eastAsia="宋体" w:cs="Times New Roman"/>
          <w:color w:val="000000"/>
          <w:sz w:val="24"/>
          <w:szCs w:val="21"/>
          <w:lang w:val="zh-CN" w:eastAsia="zh-CN"/>
        </w:rPr>
        <w:t xml:space="preserve">供应商已随</w:t>
      </w:r>
      <w:r>
        <w:rPr>
          <w:rFonts w:hint="eastAsia" w:ascii="宋体" w:hAnsi="宋体" w:eastAsia="宋体" w:cs="Times New Roman"/>
          <w:color w:val="000000"/>
          <w:sz w:val="24"/>
          <w:szCs w:val="21"/>
          <w:lang w:val="en-US" w:eastAsia="zh-CN"/>
        </w:rPr>
        <w:t xml:space="preserve">响应</w:t>
      </w:r>
      <w:r>
        <w:rPr>
          <w:rFonts w:hint="eastAsia" w:ascii="宋体" w:hAnsi="宋体" w:eastAsia="宋体" w:cs="Times New Roman"/>
          <w:color w:val="000000"/>
          <w:sz w:val="24"/>
          <w:szCs w:val="21"/>
          <w:lang w:val="zh-CN" w:eastAsia="zh-CN"/>
        </w:rPr>
        <w:t xml:space="preserve">文件一并提交相关书面说明及必要的证明材料的，在评</w:t>
      </w:r>
      <w:r>
        <w:rPr>
          <w:rFonts w:hint="eastAsia" w:ascii="宋体" w:hAnsi="宋体" w:eastAsia="宋体" w:cs="Times New Roman"/>
          <w:color w:val="000000"/>
          <w:sz w:val="24"/>
          <w:szCs w:val="21"/>
          <w:lang w:val="en-US" w:eastAsia="zh-CN"/>
        </w:rPr>
        <w:t xml:space="preserve">审</w:t>
      </w:r>
      <w:r>
        <w:rPr>
          <w:rFonts w:hint="eastAsia" w:ascii="宋体" w:hAnsi="宋体" w:eastAsia="宋体" w:cs="Times New Roman"/>
          <w:color w:val="000000"/>
          <w:sz w:val="24"/>
          <w:szCs w:val="21"/>
          <w:lang w:val="zh-CN" w:eastAsia="zh-CN"/>
        </w:rPr>
        <w:t xml:space="preserve">现场可不再重复提交</w:t>
      </w:r>
      <w:bookmarkEnd w:id="12"/>
      <w:r>
        <w:rPr>
          <w:rFonts w:hint="eastAsia" w:ascii="宋体" w:hAnsi="宋体" w:eastAsia="宋体" w:cs="Times New Roman"/>
          <w:color w:val="000000"/>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依据专业经验，参考同类项目</w:t>
      </w:r>
      <w:r>
        <w:rPr>
          <w:rFonts w:hint="eastAsia" w:ascii="宋体" w:hAnsi="宋体" w:eastAsia="宋体" w:cs="Times New Roman"/>
          <w:color w:val="000000"/>
          <w:sz w:val="24"/>
          <w:szCs w:val="21"/>
          <w:lang w:val="en-US" w:eastAsia="zh-CN"/>
        </w:rPr>
        <w:t xml:space="preserve">成交</w:t>
      </w:r>
      <w:r>
        <w:rPr>
          <w:rFonts w:hint="eastAsia" w:ascii="宋体" w:hAnsi="宋体" w:eastAsia="宋体" w:cs="Times New Roman"/>
          <w:color w:val="000000"/>
          <w:sz w:val="24"/>
          <w:szCs w:val="21"/>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应当将其作为</w:t>
      </w:r>
      <w:r>
        <w:rPr>
          <w:rFonts w:hint="eastAsia" w:ascii="宋体" w:hAnsi="宋体" w:eastAsia="宋体" w:cs="Times New Roman"/>
          <w:color w:val="000000"/>
          <w:sz w:val="24"/>
          <w:szCs w:val="21"/>
          <w:lang w:val="en-US" w:eastAsia="zh-CN"/>
        </w:rPr>
        <w:t xml:space="preserve">未实质性响应磋商文件</w:t>
      </w:r>
      <w:r>
        <w:rPr>
          <w:rFonts w:hint="eastAsia" w:ascii="宋体" w:hAnsi="宋体" w:eastAsia="宋体" w:cs="Times New Roman"/>
          <w:color w:val="000000"/>
          <w:sz w:val="24"/>
          <w:szCs w:val="21"/>
          <w:lang w:val="zh-CN" w:eastAsia="zh-CN"/>
        </w:rPr>
        <w:t xml:space="preserve">处理。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w:t>
      </w:r>
      <w:r>
        <w:rPr>
          <w:rFonts w:hint="eastAsia" w:ascii="宋体" w:hAnsi="宋体" w:cs="Times New Roman"/>
          <w:color w:val="000000"/>
          <w:sz w:val="24"/>
          <w:szCs w:val="21"/>
          <w:lang w:val="en-US" w:eastAsia="zh-CN"/>
        </w:rPr>
        <w:t xml:space="preserve">4</w:t>
      </w:r>
      <w:r>
        <w:rPr>
          <w:rFonts w:hint="eastAsia" w:ascii="宋体" w:hAnsi="宋体" w:eastAsia="宋体" w:cs="Times New Roman"/>
          <w:color w:val="000000"/>
          <w:sz w:val="24"/>
          <w:szCs w:val="21"/>
          <w:lang w:val="en-US" w:eastAsia="zh-CN"/>
        </w:rPr>
        <w:t xml:space="preserve"> 未实质性响应磋商文件的情形</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w:t>
      </w:r>
      <w:r>
        <w:rPr>
          <w:rFonts w:hint="eastAsia" w:ascii="宋体" w:hAnsi="宋体" w:cs="Times New Roman"/>
          <w:color w:val="000000"/>
          <w:sz w:val="24"/>
          <w:szCs w:val="21"/>
          <w:lang w:val="en-US" w:eastAsia="zh-CN"/>
        </w:rPr>
        <w:t xml:space="preserve">4</w:t>
      </w:r>
      <w:r>
        <w:rPr>
          <w:rFonts w:hint="eastAsia" w:ascii="宋体" w:hAnsi="宋体" w:eastAsia="宋体" w:cs="Times New Roman"/>
          <w:color w:val="000000"/>
          <w:sz w:val="24"/>
          <w:szCs w:val="21"/>
          <w:lang w:val="en-US" w:eastAsia="zh-CN"/>
        </w:rPr>
        <w:t xml:space="preserve">.1 供应商在苏采云系统规定的时间内未成功解密电子响应文件。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w:t>
      </w:r>
      <w:r>
        <w:rPr>
          <w:rFonts w:hint="eastAsia" w:ascii="宋体" w:hAnsi="宋体" w:cs="Times New Roman"/>
          <w:color w:val="000000"/>
          <w:sz w:val="24"/>
          <w:szCs w:val="21"/>
          <w:lang w:val="en-US" w:eastAsia="zh-CN"/>
        </w:rPr>
        <w:t xml:space="preserve">4</w:t>
      </w:r>
      <w:r>
        <w:rPr>
          <w:rFonts w:hint="eastAsia" w:ascii="宋体" w:hAnsi="宋体" w:eastAsia="宋体" w:cs="Times New Roman"/>
          <w:color w:val="000000"/>
          <w:sz w:val="24"/>
          <w:szCs w:val="21"/>
          <w:lang w:val="en-US" w:eastAsia="zh-CN"/>
        </w:rPr>
        <w:t xml:space="preserve">.2 供应商未按照磋商文件要求上传电子响应文件。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w:t>
      </w:r>
      <w:r>
        <w:rPr>
          <w:rFonts w:hint="eastAsia" w:ascii="宋体" w:hAnsi="宋体" w:cs="Times New Roman"/>
          <w:color w:val="000000"/>
          <w:sz w:val="24"/>
          <w:szCs w:val="21"/>
          <w:lang w:val="en-US" w:eastAsia="zh-CN"/>
        </w:rPr>
        <w:t xml:space="preserve">4</w:t>
      </w:r>
      <w:r>
        <w:rPr>
          <w:rFonts w:hint="eastAsia" w:ascii="宋体" w:hAnsi="宋体" w:eastAsia="宋体" w:cs="Times New Roman"/>
          <w:color w:val="000000"/>
          <w:sz w:val="24"/>
          <w:szCs w:val="21"/>
          <w:lang w:val="en-US" w:eastAsia="zh-CN"/>
        </w:rPr>
        <w:t xml:space="preserve">.3 同一供应商提交两个（含两个）以上不同的响应文件或者最后报价。</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w:t>
      </w:r>
      <w:r>
        <w:rPr>
          <w:rFonts w:hint="eastAsia" w:ascii="宋体" w:hAnsi="宋体" w:cs="Times New Roman"/>
          <w:color w:val="000000"/>
          <w:sz w:val="24"/>
          <w:szCs w:val="21"/>
          <w:lang w:val="en-US" w:eastAsia="zh-CN"/>
        </w:rPr>
        <w:t xml:space="preserve">4</w:t>
      </w:r>
      <w:r>
        <w:rPr>
          <w:rFonts w:hint="eastAsia" w:ascii="宋体" w:hAnsi="宋体" w:eastAsia="宋体" w:cs="Times New Roman"/>
          <w:color w:val="000000"/>
          <w:sz w:val="24"/>
          <w:szCs w:val="21"/>
          <w:lang w:val="en-US" w:eastAsia="zh-CN"/>
        </w:rPr>
        <w:t xml:space="preserve">.4 供应商不具备磋商文件中规定的资格要求。</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w:t>
      </w:r>
      <w:r>
        <w:rPr>
          <w:rFonts w:hint="eastAsia" w:ascii="宋体" w:hAnsi="宋体" w:cs="Times New Roman"/>
          <w:color w:val="000000"/>
          <w:sz w:val="24"/>
          <w:szCs w:val="21"/>
          <w:lang w:val="en-US" w:eastAsia="zh-CN"/>
        </w:rPr>
        <w:t xml:space="preserve">4</w:t>
      </w:r>
      <w:r>
        <w:rPr>
          <w:rFonts w:hint="eastAsia" w:ascii="宋体" w:hAnsi="宋体" w:eastAsia="宋体" w:cs="Times New Roman"/>
          <w:color w:val="000000"/>
          <w:sz w:val="24"/>
          <w:szCs w:val="21"/>
          <w:lang w:val="en-US" w:eastAsia="zh-CN"/>
        </w:rPr>
        <w:t xml:space="preserve">.5 供应商的最后报价超过了采购预算或最高限价。</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w:t>
      </w:r>
      <w:r>
        <w:rPr>
          <w:rFonts w:hint="eastAsia" w:ascii="宋体" w:hAnsi="宋体" w:cs="Times New Roman"/>
          <w:color w:val="000000"/>
          <w:sz w:val="24"/>
          <w:szCs w:val="21"/>
          <w:lang w:val="en-US" w:eastAsia="zh-CN"/>
        </w:rPr>
        <w:t xml:space="preserve">4</w:t>
      </w:r>
      <w:r>
        <w:rPr>
          <w:rFonts w:hint="eastAsia" w:ascii="宋体" w:hAnsi="宋体" w:eastAsia="宋体" w:cs="Times New Roman"/>
          <w:color w:val="000000"/>
          <w:sz w:val="24"/>
          <w:szCs w:val="21"/>
          <w:lang w:val="en-US" w:eastAsia="zh-CN"/>
        </w:rPr>
        <w:t xml:space="preserve">.6 不符合磋商文件中规定的实质性要求和条件（</w:t>
      </w:r>
      <w:r>
        <w:rPr>
          <w:rFonts w:hint="eastAsia" w:ascii="宋体" w:hAnsi="宋体" w:eastAsia="宋体" w:cs="Times New Roman"/>
          <w:b/>
          <w:bCs/>
          <w:i w:val="0"/>
          <w:iCs w:val="0"/>
          <w:color w:val="000000"/>
          <w:sz w:val="24"/>
          <w:szCs w:val="21"/>
          <w:u w:val="none"/>
          <w:lang w:val="en-US" w:eastAsia="zh-CN"/>
        </w:rPr>
        <w:t xml:space="preserve">本文件中斜体且有下划线部分</w:t>
      </w:r>
      <w:r>
        <w:rPr>
          <w:rFonts w:hint="eastAsia" w:ascii="宋体" w:hAnsi="宋体" w:eastAsia="宋体" w:cs="Times New Roman"/>
          <w:b/>
          <w:bCs/>
          <w:i w:val="0"/>
          <w:iCs w:val="0"/>
          <w:color w:val="000000"/>
          <w:sz w:val="24"/>
          <w:szCs w:val="21"/>
          <w:u w:val="none"/>
          <w:lang w:val="zh-CN" w:eastAsia="zh-CN"/>
        </w:rPr>
        <w:t xml:space="preserve">或者打“</w:t>
      </w:r>
      <w:r>
        <w:rPr>
          <w:rFonts w:hint="eastAsia" w:ascii="宋体" w:hAnsi="宋体" w:eastAsia="宋体" w:cs="Times New Roman"/>
          <w:b/>
          <w:bCs/>
          <w:i w:val="0"/>
          <w:iCs w:val="0"/>
          <w:color w:val="000000"/>
          <w:sz w:val="24"/>
          <w:szCs w:val="21"/>
          <w:u w:val="none"/>
          <w:lang w:val="en-US" w:eastAsia="zh-CN"/>
        </w:rPr>
        <w:t xml:space="preserve">★</w:t>
      </w:r>
      <w:r>
        <w:rPr>
          <w:rFonts w:hint="eastAsia" w:ascii="宋体" w:hAnsi="宋体" w:eastAsia="宋体" w:cs="Times New Roman"/>
          <w:b/>
          <w:bCs/>
          <w:i w:val="0"/>
          <w:iCs w:val="0"/>
          <w:color w:val="000000"/>
          <w:sz w:val="24"/>
          <w:szCs w:val="21"/>
          <w:u w:val="none"/>
          <w:lang w:val="zh-CN" w:eastAsia="zh-CN"/>
        </w:rPr>
        <w:t xml:space="preserve">”内容，</w:t>
      </w:r>
      <w:r>
        <w:rPr>
          <w:rFonts w:hint="eastAsia" w:ascii="宋体" w:hAnsi="宋体" w:eastAsia="宋体" w:cs="Times New Roman"/>
          <w:b/>
          <w:bCs/>
          <w:i w:val="0"/>
          <w:iCs w:val="0"/>
          <w:color w:val="000000"/>
          <w:sz w:val="24"/>
          <w:szCs w:val="21"/>
          <w:u w:val="none"/>
          <w:lang w:val="en-US" w:eastAsia="zh-CN"/>
        </w:rPr>
        <w:t xml:space="preserve">为实质性要求和条件</w:t>
      </w:r>
      <w:r>
        <w:rPr>
          <w:rFonts w:hint="eastAsia" w:ascii="宋体" w:hAnsi="宋体" w:eastAsia="宋体" w:cs="Times New Roman"/>
          <w:color w:val="000000"/>
          <w:sz w:val="24"/>
          <w:szCs w:val="21"/>
          <w:lang w:val="en-US"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w:t>
      </w:r>
      <w:r>
        <w:rPr>
          <w:rFonts w:hint="eastAsia" w:ascii="宋体" w:hAnsi="宋体" w:cs="Times New Roman"/>
          <w:color w:val="000000"/>
          <w:sz w:val="24"/>
          <w:szCs w:val="21"/>
          <w:lang w:val="en-US" w:eastAsia="zh-CN"/>
        </w:rPr>
        <w:t xml:space="preserve">4</w:t>
      </w:r>
      <w:r>
        <w:rPr>
          <w:rFonts w:hint="eastAsia" w:ascii="宋体" w:hAnsi="宋体" w:eastAsia="宋体" w:cs="Times New Roman"/>
          <w:color w:val="000000"/>
          <w:sz w:val="24"/>
          <w:szCs w:val="21"/>
          <w:lang w:val="en-US" w:eastAsia="zh-CN"/>
        </w:rPr>
        <w:t xml:space="preserve">.7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w:t>
      </w:r>
      <w:r>
        <w:rPr>
          <w:rFonts w:hint="eastAsia" w:ascii="宋体" w:hAnsi="宋体" w:cs="Times New Roman"/>
          <w:color w:val="000000"/>
          <w:sz w:val="24"/>
          <w:szCs w:val="21"/>
          <w:lang w:val="en-US" w:eastAsia="zh-CN"/>
        </w:rPr>
        <w:t xml:space="preserve">4</w:t>
      </w:r>
      <w:r>
        <w:rPr>
          <w:rFonts w:hint="eastAsia" w:ascii="宋体" w:hAnsi="宋体" w:eastAsia="宋体" w:cs="Times New Roman"/>
          <w:color w:val="000000"/>
          <w:sz w:val="24"/>
          <w:szCs w:val="21"/>
          <w:lang w:val="en-US" w:eastAsia="zh-CN"/>
        </w:rPr>
        <w:t xml:space="preserve">.8 响应文件含有采购人不能接受的附加条件。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w:t>
      </w:r>
      <w:r>
        <w:rPr>
          <w:rFonts w:hint="eastAsia" w:ascii="宋体" w:hAnsi="宋体" w:cs="Times New Roman"/>
          <w:color w:val="000000"/>
          <w:sz w:val="24"/>
          <w:szCs w:val="21"/>
          <w:lang w:val="en-US" w:eastAsia="zh-CN"/>
        </w:rPr>
        <w:t xml:space="preserve">4</w:t>
      </w:r>
      <w:r>
        <w:rPr>
          <w:rFonts w:hint="eastAsia" w:ascii="宋体" w:hAnsi="宋体" w:eastAsia="宋体" w:cs="Times New Roman"/>
          <w:color w:val="000000"/>
          <w:sz w:val="24"/>
          <w:szCs w:val="21"/>
          <w:lang w:val="en-US" w:eastAsia="zh-CN"/>
        </w:rPr>
        <w:t xml:space="preserve">.9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w:t>
      </w:r>
      <w:r>
        <w:rPr>
          <w:rFonts w:hint="eastAsia" w:ascii="宋体" w:hAnsi="宋体" w:cs="Times New Roman"/>
          <w:color w:val="000000"/>
          <w:sz w:val="24"/>
          <w:szCs w:val="21"/>
          <w:lang w:val="en-US" w:eastAsia="zh-CN"/>
        </w:rPr>
        <w:t xml:space="preserve">4</w:t>
      </w:r>
      <w:r>
        <w:rPr>
          <w:rFonts w:hint="eastAsia" w:ascii="宋体" w:hAnsi="宋体" w:eastAsia="宋体" w:cs="Times New Roman"/>
          <w:color w:val="000000"/>
          <w:sz w:val="24"/>
          <w:szCs w:val="21"/>
          <w:lang w:val="en-US" w:eastAsia="zh-CN"/>
        </w:rPr>
        <w:t xml:space="preserve">.10 </w:t>
      </w:r>
      <w:r>
        <w:rPr>
          <w:rFonts w:hint="eastAsia" w:ascii="宋体" w:hAnsi="宋体" w:eastAsia="宋体" w:cs="Times New Roman"/>
          <w:color w:val="000000"/>
          <w:sz w:val="24"/>
          <w:szCs w:val="21"/>
          <w:lang w:val="zh-CN" w:eastAsia="zh-CN"/>
        </w:rPr>
        <w:t xml:space="preserve">采购产品被财政部、国家发改委、生态环境部等列入“节能产品品目清单”强制采购范围，而供应商提供的产品不在强制采购范围内。</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w:t>
      </w:r>
      <w:r>
        <w:rPr>
          <w:rFonts w:hint="eastAsia" w:ascii="宋体" w:hAnsi="宋体" w:cs="Times New Roman"/>
          <w:color w:val="000000"/>
          <w:sz w:val="24"/>
          <w:szCs w:val="21"/>
          <w:lang w:val="en-US" w:eastAsia="zh-CN"/>
        </w:rPr>
        <w:t xml:space="preserve">4</w:t>
      </w:r>
      <w:r>
        <w:rPr>
          <w:rFonts w:hint="eastAsia" w:ascii="宋体" w:hAnsi="宋体" w:eastAsia="宋体" w:cs="Times New Roman"/>
          <w:color w:val="000000"/>
          <w:sz w:val="24"/>
          <w:szCs w:val="21"/>
          <w:lang w:val="en-US" w:eastAsia="zh-CN"/>
        </w:rPr>
        <w:t xml:space="preserve">.11 响应文件未按照磋商文件要求加盖电子公章。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w:t>
      </w:r>
      <w:r>
        <w:rPr>
          <w:rFonts w:hint="eastAsia" w:ascii="宋体" w:hAnsi="宋体" w:cs="Times New Roman"/>
          <w:color w:val="000000"/>
          <w:sz w:val="24"/>
          <w:szCs w:val="21"/>
          <w:lang w:val="en-US" w:eastAsia="zh-CN"/>
        </w:rPr>
        <w:t xml:space="preserve">4</w:t>
      </w:r>
      <w:r>
        <w:rPr>
          <w:rFonts w:hint="eastAsia" w:ascii="宋体" w:hAnsi="宋体" w:eastAsia="宋体" w:cs="Times New Roman"/>
          <w:color w:val="000000"/>
          <w:sz w:val="24"/>
          <w:szCs w:val="21"/>
          <w:lang w:val="en-US" w:eastAsia="zh-CN"/>
        </w:rPr>
        <w:t xml:space="preserve">.12 法律法规及本磋商文件规定的其他无效响应的情形。</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w:t>
      </w:r>
      <w:r>
        <w:rPr>
          <w:rFonts w:hint="eastAsia" w:ascii="宋体" w:hAnsi="宋体" w:cs="Times New Roman"/>
          <w:color w:val="000000"/>
          <w:sz w:val="24"/>
          <w:szCs w:val="21"/>
          <w:lang w:val="en-US" w:eastAsia="zh-CN"/>
        </w:rPr>
        <w:t xml:space="preserve">5</w:t>
      </w:r>
      <w:r>
        <w:rPr>
          <w:rFonts w:hint="eastAsia" w:ascii="宋体" w:hAnsi="宋体" w:eastAsia="宋体" w:cs="Times New Roman"/>
          <w:color w:val="000000"/>
          <w:sz w:val="24"/>
          <w:szCs w:val="21"/>
          <w:lang w:val="en-US" w:eastAsia="zh-CN"/>
        </w:rPr>
        <w:t xml:space="preserve"> 未实质性响应磋商文件的响应文件按无效响应处理。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w:t>
      </w:r>
      <w:r>
        <w:rPr>
          <w:rFonts w:hint="eastAsia" w:ascii="宋体" w:hAnsi="宋体" w:cs="Times New Roman"/>
          <w:color w:val="000000"/>
          <w:sz w:val="24"/>
          <w:szCs w:val="21"/>
          <w:lang w:val="en-US" w:eastAsia="zh-CN"/>
        </w:rPr>
        <w:t xml:space="preserve">6</w:t>
      </w:r>
      <w:r>
        <w:rPr>
          <w:rFonts w:hint="eastAsia" w:ascii="宋体" w:hAnsi="宋体" w:eastAsia="宋体" w:cs="Times New Roman"/>
          <w:color w:val="000000"/>
          <w:sz w:val="24"/>
          <w:szCs w:val="21"/>
          <w:lang w:val="en-US" w:eastAsia="zh-CN"/>
        </w:rPr>
        <w:t xml:space="preserve"> 如果响应文件实质上没有响应磋商文件的要求，磋商小组将予以拒绝，供应商不得通过修改或撤销不合要求的偏离或保留而使其成为实质性响应的文件。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w:t>
      </w:r>
      <w:r>
        <w:rPr>
          <w:rFonts w:hint="eastAsia" w:ascii="宋体" w:hAnsi="宋体" w:cs="Times New Roman"/>
          <w:color w:val="000000"/>
          <w:sz w:val="24"/>
          <w:szCs w:val="21"/>
          <w:lang w:val="en-US" w:eastAsia="zh-CN"/>
        </w:rPr>
        <w:t xml:space="preserve">7</w:t>
      </w:r>
      <w:r>
        <w:rPr>
          <w:rFonts w:hint="eastAsia" w:ascii="宋体" w:hAnsi="宋体" w:eastAsia="宋体" w:cs="Times New Roman"/>
          <w:color w:val="000000"/>
          <w:sz w:val="24"/>
          <w:szCs w:val="21"/>
          <w:lang w:val="en-US" w:eastAsia="zh-CN"/>
        </w:rPr>
        <w:t xml:space="preserve"> 供应商在项目评审全过程中应保持通讯畅通，</w:t>
      </w:r>
      <w:r>
        <w:rPr>
          <w:rFonts w:hint="eastAsia" w:ascii="宋体" w:hAnsi="宋体" w:eastAsia="宋体" w:cs="Times New Roman"/>
          <w:color w:val="000000"/>
          <w:sz w:val="24"/>
          <w:lang w:val="zh-CN"/>
        </w:rPr>
        <w:t xml:space="preserve">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及磋商小组联系。</w:t>
      </w:r>
      <w:r/>
    </w:p>
    <w:p>
      <w:pPr>
        <w:pStyle w:val="88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25.磋商程序及评审方法与评审标准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 磋商程序</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结束后，磋商小组将在苏采云系统向所有实质性响应的供应商发出《最后报价要求函》及最后报价格式表，要求所有实质性响应的供应商在规定时间内提交最后报价。最后报价是供应商响应文件的有效组成部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w:t>
      </w:r>
      <w:r>
        <w:rPr>
          <w:rFonts w:hint="eastAsia" w:ascii="宋体" w:hAnsi="宋体" w:cs="Times New Roman"/>
          <w:color w:val="000000"/>
          <w:sz w:val="24"/>
          <w:szCs w:val="21"/>
          <w:lang w:val="en-US" w:eastAsia="zh-CN"/>
        </w:rPr>
        <w:t xml:space="preserve">2</w:t>
      </w:r>
      <w:r>
        <w:rPr>
          <w:rFonts w:hint="eastAsia" w:ascii="宋体" w:hAnsi="宋体" w:eastAsia="宋体" w:cs="Times New Roman"/>
          <w:color w:val="000000"/>
          <w:sz w:val="24"/>
          <w:szCs w:val="21"/>
          <w:lang w:val="en-US" w:eastAsia="zh-CN"/>
        </w:rPr>
        <w:t xml:space="preserve">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 评审方法与评审标准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25.2.1 评审方法。见磋商文件第五章。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25.2.2 评审标准。见磋商文件第五章。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 采购活动终止</w:t>
      </w:r>
      <w:r/>
    </w:p>
    <w:p>
      <w:pPr>
        <w:ind w:firstLine="422"/>
        <w:keepLines w:val="0"/>
        <w:keepNext w:val="0"/>
        <w:pageBreakBefore w:val="0"/>
        <w:spacing w:line="240" w:lineRule="auto"/>
        <w:widowControl w:val="off"/>
        <w:rPr>
          <w:rFonts w:hint="eastAsia" w:ascii="宋体" w:hAnsi="宋体" w:eastAsia="宋体" w:cs="Times New Roman"/>
          <w:b/>
          <w:bCs/>
          <w:color w:val="000000"/>
          <w:sz w:val="24"/>
          <w:szCs w:val="21"/>
          <w:lang w:val="en-US" w:eastAsia="zh-CN"/>
        </w:rPr>
      </w:pPr>
      <w:r>
        <w:rPr>
          <w:rFonts w:hint="eastAsia" w:ascii="宋体" w:hAnsi="宋体" w:eastAsia="宋体" w:cs="Times New Roman"/>
          <w:b/>
          <w:bCs/>
          <w:color w:val="000000"/>
          <w:sz w:val="24"/>
          <w:szCs w:val="21"/>
          <w:lang w:val="en-US" w:eastAsia="zh-CN"/>
        </w:rPr>
        <w:t xml:space="preserve">出现下列情形之一的，本次采购活动终止：</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25.3.1 因情况变化，不再符合竞争性磋商采购方式适用情形。</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25.3.2 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25.3.3 在苏采云系统规定时间内成功解密电子响应文件的供应商不足三家。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25.3.4 磋商过程中符合要求的供应商或者提交最后报价且未超过采购预算或最高限价的供应商不足三家。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.3.5</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法律法规规定的其他应当终止情形。</w:t>
      </w:r>
      <w:r/>
    </w:p>
    <w:p>
      <w:pPr>
        <w:pStyle w:val="88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六、成交</w:t>
      </w:r>
      <w:r/>
    </w:p>
    <w:p>
      <w:pPr>
        <w:pStyle w:val="88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26.确定成交单位</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26.1 成交候选供应商的确定原则和数量见磋商文件第五章。</w:t>
      </w:r>
      <w:r/>
    </w:p>
    <w:p>
      <w:pPr>
        <w:ind w:firstLine="420"/>
        <w:keepLines w:val="0"/>
        <w:keepNext w:val="0"/>
        <w:pageBreakBefore w:val="0"/>
        <w:spacing w:line="240" w:lineRule="auto"/>
        <w:widowControl w:val="off"/>
        <w:rPr>
          <w:rFonts w:ascii="宋体" w:hAnsi="宋体" w:eastAsia="宋体" w:cs="Times New Roman"/>
          <w:color w:val="000000"/>
          <w:sz w:val="24"/>
          <w:szCs w:val="24"/>
          <w:highlight w:val="yellow"/>
          <w:lang w:val="en-US" w:eastAsia="zh-CN"/>
        </w:rPr>
      </w:pPr>
      <w:r>
        <w:rPr>
          <w:rFonts w:hint="eastAsia" w:ascii="宋体" w:hAnsi="宋体" w:eastAsia="宋体" w:cs="Times New Roman"/>
          <w:color w:val="000000"/>
          <w:sz w:val="24"/>
          <w:szCs w:val="21"/>
          <w:lang w:val="en-US" w:eastAsia="zh-CN"/>
        </w:rPr>
        <w:t xml:space="preserve">26.2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直接确定排名第一的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为</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（2）采购人在</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按第二种方式确定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26.3 交易中心将在“江苏政府采购网”发布成交结果公告，公告期限为1个工作日。</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 </w:t>
      </w:r>
      <w:r>
        <w:rPr>
          <w:rFonts w:hint="eastAsia" w:ascii="宋体" w:hAnsi="宋体" w:eastAsia="宋体" w:cs="Times New Roman"/>
          <w:b/>
          <w:bCs/>
          <w:color w:val="000000"/>
          <w:sz w:val="24"/>
          <w:szCs w:val="21"/>
          <w:lang w:val="en-US" w:eastAsia="zh-CN"/>
        </w:rPr>
        <w:t xml:space="preserve">若有充分证据证明成交供应商有下列情况之一的，一经查实将被取消成交资格：</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26.4.1 提供虚假材料谋取成交。</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26.4.2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26.4.3 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26.4.4 不满足本磋商文件规定的实质性要求，但在评审过程中未被磋商小组发现。</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26.4.5 </w:t>
      </w:r>
      <w:r>
        <w:rPr>
          <w:rFonts w:hint="eastAsia" w:ascii="宋体" w:hAnsi="宋体" w:eastAsia="宋体" w:cs="Times New Roman"/>
          <w:color w:val="000000"/>
          <w:sz w:val="24"/>
          <w:szCs w:val="21"/>
          <w:lang w:val="en-US"/>
        </w:rPr>
        <w:t xml:space="preserve">采取不正当手段诋毁、排挤其他供应商。</w:t>
      </w:r>
      <w:r/>
    </w:p>
    <w:p>
      <w:pPr>
        <w:pStyle w:val="88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27.成交通知书</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27.1 成交结果确定后，交易中心将向成交供应商发出《成交通知书》。成交供应商可在成交结果公告届满之日起三十日内，登录苏采云系统下载。    </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88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r/>
    </w:p>
    <w:p>
      <w:pPr>
        <w:pStyle w:val="88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28.签订合同</w:t>
      </w:r>
      <w:r/>
    </w:p>
    <w:p>
      <w:pPr>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szCs w:val="21"/>
          <w:lang w:val="en-US" w:eastAsia="zh-CN"/>
        </w:rPr>
        <w:t xml:space="preserve">28.l 成交供应商应当在《成交通知书》发出之日起三十日内，按照磋商文件确定的事项与采购人签订政府采购合同。</w:t>
      </w:r>
      <w:r>
        <w:rPr>
          <w:rFonts w:hint="eastAsia" w:ascii="宋体" w:hAnsi="宋体" w:eastAsia="宋体" w:cs="Times New Roman"/>
          <w:color w:val="000000"/>
          <w:sz w:val="24"/>
          <w:lang w:val="en-US"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28.2 磋商文件、成交供应商的响应文件及磋商过程中有关澄清、承诺文件均作为合同附件。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28.4 成交供应商因自身原因拒绝与采购人签订合同的，</w:t>
      </w:r>
      <w:r>
        <w:rPr>
          <w:rFonts w:hint="eastAsia" w:ascii="宋体" w:hAnsi="宋体" w:eastAsia="宋体" w:cs="Times New Roman"/>
          <w:color w:val="000000"/>
          <w:sz w:val="24"/>
          <w:lang w:val="zh-CN" w:eastAsia="zh-CN"/>
        </w:rPr>
        <w:t xml:space="preserve">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p>
    <w:p>
      <w:pPr>
        <w:pStyle w:val="88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29.标的物的追加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88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30.政府采购履约资金扶持政策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30.1 成交供应商</w:t>
      </w:r>
      <w:r>
        <w:rPr>
          <w:rFonts w:hint="eastAsia" w:ascii="宋体" w:hAnsi="宋体" w:cs="Times New Roman"/>
          <w:color w:val="000000"/>
          <w:sz w:val="24"/>
          <w:lang w:val="en-US" w:eastAsia="zh-CN"/>
        </w:rPr>
        <w:t xml:space="preserve">通过</w:t>
      </w:r>
      <w:r>
        <w:rPr>
          <w:rFonts w:hint="eastAsia" w:ascii="宋体" w:hAnsi="宋体" w:eastAsia="宋体" w:cs="Times New Roman"/>
          <w:color w:val="000000"/>
          <w:sz w:val="24"/>
          <w:lang w:val="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rPr>
        <w:t xml:space="preserve">网站“小企业融资平台”</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选择相应的金融机构</w:t>
      </w:r>
      <w:r>
        <w:rPr>
          <w:rFonts w:hint="eastAsia" w:ascii="宋体" w:hAnsi="宋体" w:eastAsia="宋体" w:cs="Times New Roman"/>
          <w:color w:val="000000"/>
          <w:sz w:val="24"/>
          <w:lang w:val="zh-CN"/>
        </w:rPr>
        <w:t xml:space="preserve">办理融资贷款。</w:t>
      </w:r>
      <w:r/>
    </w:p>
    <w:p>
      <w:pPr>
        <w:ind w:firstLine="420"/>
        <w:pageBreakBefore w:val="0"/>
        <w:spacing w:line="240" w:lineRule="auto"/>
        <w:widowControl w:val="off"/>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150号），需要缴纳履约保证金的，成交供应商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p>
    <w:p>
      <w:pPr>
        <w:pStyle w:val="88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规定以书面形式向采购人或交易中心提出质疑。</w:t>
      </w:r>
      <w:r>
        <w:rPr>
          <w:rFonts w:hint="eastAsia" w:ascii="宋体" w:hAnsi="宋体" w:eastAsia="宋体" w:cs="Times New Roman"/>
          <w:b/>
          <w:bCs/>
          <w:color w:val="000000"/>
          <w:sz w:val="24"/>
          <w:lang w:val="zh-CN"/>
        </w:rPr>
        <w:t xml:space="preserve">上述应知其权益受到损害之日是指：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对成交结果提出质疑的，为成交结果公告期限届满之日。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rPr>
        <w:t xml:space="preserve">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35.</w:t>
      </w:r>
      <w:r>
        <w:rPr>
          <w:rFonts w:hint="eastAsia" w:ascii="宋体" w:hAnsi="宋体" w:eastAsia="宋体" w:cs="Times New Roman"/>
          <w:b/>
          <w:bCs/>
          <w:color w:val="000000"/>
          <w:sz w:val="24"/>
          <w:lang w:val="zh-CN"/>
        </w:rPr>
        <w:t xml:space="preserve">供应商（含潜在供应商）对采购方式、采购需求、供应商资格条件及审查结果、评审方法与评审标准、合同文本的询问、质疑向采购人提出，由采购人负责答复。</w:t>
      </w:r>
      <w:r>
        <w:rPr>
          <w:rFonts w:hint="eastAsia" w:ascii="宋体" w:hAnsi="宋体" w:eastAsia="宋体" w:cs="Times New Roman"/>
          <w:color w:val="000000"/>
          <w:sz w:val="24"/>
          <w:lang w:val="zh-CN"/>
        </w:rPr>
        <w:t xml:space="preserve">供应商对除上述事项以外其他事项的询问、质疑向</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提出，由</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负责答复。</w:t>
      </w:r>
      <w:r>
        <w:rPr>
          <w:rFonts w:hint="eastAsia" w:ascii="宋体" w:hAnsi="宋体" w:eastAsia="宋体" w:cs="Times New Roman"/>
          <w:color w:val="000000"/>
          <w:sz w:val="24"/>
          <w:lang w:val="en-US" w:eastAsia="zh-CN"/>
        </w:rPr>
        <w:t xml:space="preserve">  </w:t>
      </w:r>
      <w:r/>
    </w:p>
    <w:p>
      <w:pPr>
        <w:ind w:firstLine="422"/>
        <w:keepLines w:val="0"/>
        <w:keepNext w:val="0"/>
        <w:pageBreakBefore w:val="0"/>
        <w:spacing w:line="240" w:lineRule="auto"/>
        <w:widowControl w:val="off"/>
        <w:rPr>
          <w:rFonts w:hint="eastAsia" w:ascii="宋体" w:hAnsi="宋体" w:eastAsia="宋体" w:cs="Times New Roman"/>
          <w:b/>
          <w:bCs/>
          <w:color w:val="000000"/>
          <w:sz w:val="24"/>
          <w:u w:val="none"/>
          <w:lang w:val="zh-CN" w:eastAsia="zh-CN"/>
        </w:rPr>
      </w:pPr>
      <w:r>
        <w:rPr>
          <w:rFonts w:hint="eastAsia" w:ascii="宋体" w:hAnsi="宋体" w:eastAsia="宋体" w:cs="Times New Roman"/>
          <w:b/>
          <w:bCs/>
          <w:color w:val="000000"/>
          <w:sz w:val="24"/>
          <w:u w:val="none"/>
          <w:lang w:val="zh-CN" w:eastAsia="zh-CN"/>
        </w:rPr>
        <w:t xml:space="preserve">采购人《质疑</w:t>
      </w:r>
      <w:r>
        <w:rPr>
          <w:rFonts w:hint="eastAsia" w:ascii="宋体" w:hAnsi="宋体" w:eastAsia="宋体" w:cs="Times New Roman"/>
          <w:b/>
          <w:bCs/>
          <w:color w:val="000000"/>
          <w:sz w:val="24"/>
          <w:u w:val="none"/>
          <w:lang w:val="en-US" w:eastAsia="zh-CN"/>
        </w:rPr>
        <w:t xml:space="preserve">函</w:t>
      </w:r>
      <w:r>
        <w:rPr>
          <w:rFonts w:hint="eastAsia" w:ascii="宋体" w:hAnsi="宋体" w:eastAsia="宋体" w:cs="Times New Roman"/>
          <w:b/>
          <w:bCs/>
          <w:color w:val="000000"/>
          <w:sz w:val="24"/>
          <w:u w:val="none"/>
          <w:lang w:val="zh-CN" w:eastAsia="zh-CN"/>
        </w:rPr>
        <w:t xml:space="preserve">》接收人及联系方式见采购文件第一章。</w:t>
      </w:r>
      <w:r/>
    </w:p>
    <w:p>
      <w:pPr>
        <w:ind w:firstLine="420"/>
        <w:keepLines w:val="0"/>
        <w:keepNext w:val="0"/>
        <w:pageBreakBefore w:val="0"/>
        <w:spacing w:line="240" w:lineRule="auto"/>
        <w:widowControl w:val="off"/>
        <w:rPr>
          <w:rFonts w:hint="eastAsia" w:ascii="宋体" w:hAnsi="宋体" w:eastAsia="宋体" w:cs="Times New Roman"/>
          <w:b/>
          <w:bCs/>
          <w:color w:val="0000ff"/>
          <w:sz w:val="24"/>
          <w:lang w:val="zh-CN"/>
        </w:rPr>
      </w:pPr>
      <w:r>
        <w:rPr>
          <w:rFonts w:hint="eastAsia" w:ascii="宋体" w:hAnsi="宋体" w:eastAsia="宋体" w:cs="Times New Roman"/>
          <w:color w:val="000000"/>
          <w:sz w:val="24"/>
          <w:lang w:val="zh-CN"/>
        </w:rPr>
        <w:t xml:space="preserve">交易中心《质疑函》接收部门为政府采购部（快递运单上的收件人填写“政府采购部”），地址：南京市浦口区象山路4号B座，南京市浦口区江浦街道象山路4号浦口市民中心B幢五楼受理大厅 ，联系电话：025-69659050</w:t>
      </w:r>
      <w:r>
        <w:rPr>
          <w:rFonts w:hint="eastAsia" w:ascii="宋体" w:hAnsi="宋体" w:eastAsia="宋体" w:cs="Times New Roman"/>
          <w:b/>
          <w:bCs/>
          <w:color w:val="000000"/>
          <w:sz w:val="24"/>
          <w:lang w:val="en-US" w:eastAsia="zh-CN"/>
        </w:rPr>
        <w:t xml:space="preserve">由采购人负责答复的质疑，采购人将《质疑答复函》抄送交易中心。</w:t>
      </w:r>
      <w:r/>
    </w:p>
    <w:p>
      <w:pPr>
        <w:ind w:firstLine="422"/>
        <w:jc w:val="both"/>
        <w:keepLines w:val="0"/>
        <w:keepNext w:val="0"/>
        <w:pageBreakBefore w:val="0"/>
        <w:spacing w:line="240" w:lineRule="auto"/>
        <w:widowControl w:val="off"/>
        <w:rPr>
          <w:rFonts w:hint="eastAsia" w:ascii="宋体" w:hAnsi="宋体" w:eastAsia="宋体" w:cs="Times New Roman"/>
          <w:b/>
          <w:bCs/>
          <w:color w:val="000000"/>
          <w:sz w:val="24"/>
          <w:szCs w:val="22"/>
          <w:lang w:val="zh-CN" w:eastAsia="zh-CN" w:bidi="ar-SA"/>
        </w:rPr>
      </w:pPr>
      <w:r>
        <w:rPr>
          <w:rFonts w:hint="eastAsia" w:ascii="宋体" w:hAnsi="宋体" w:eastAsia="宋体" w:cs="Times New Roman"/>
          <w:b/>
          <w:bCs/>
          <w:color w:val="000000"/>
          <w:sz w:val="24"/>
          <w:szCs w:val="22"/>
          <w:lang w:val="en-US" w:eastAsia="zh-CN"/>
        </w:rPr>
        <w:t xml:space="preserve">由采购人负责答复的质疑，采购人将《质疑答复函》抄送交易中心。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内容不符合《政府采购质疑和投诉办法》第十二条规定的质疑。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以传真、电子邮件等方式递交的非原件形式的质疑。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未参加采购活动或在采购活动中自身权益未受到损害的供应商所提出的质疑。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供应商组成联合体参加采购活动，联合体中任何一方或多方未按要求签字或盖章、加盖公章的质疑。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lang w:val="zh-CN" w:eastAsia="zh-CN"/>
        </w:rPr>
        <w:t xml:space="preserve">交易中心或采购人</w:t>
      </w:r>
      <w:r>
        <w:rPr>
          <w:rFonts w:hint="eastAsia" w:ascii="宋体" w:hAnsi="宋体" w:eastAsia="宋体" w:cs="Times New Roman"/>
          <w:color w:val="000000"/>
          <w:sz w:val="24"/>
          <w:lang w:val="zh-CN"/>
        </w:rPr>
        <w:t xml:space="preserve">有权依据政府采购的有关规定，报请政府采购监管部门对该供应商进行相应的行政处罚和记录该供应商的失信信息。</w:t>
      </w:r>
      <w:r/>
    </w:p>
    <w:p>
      <w:pPr>
        <w:pStyle w:val="888"/>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p>
    <w:p>
      <w:pPr>
        <w:pStyle w:val="889"/>
        <w:ind w:firstLine="422"/>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w:t>
      </w:r>
      <w:r>
        <w:rPr>
          <w:rFonts w:hint="eastAsia" w:ascii="宋体" w:hAnsi="宋体" w:eastAsia="宋体" w:cs="Times New Roman"/>
          <w:color w:val="000000"/>
          <w:sz w:val="24"/>
          <w:lang w:val="zh-CN"/>
        </w:rPr>
        <w:t xml:space="preserve">服务由中小企业承接的，</w:t>
      </w:r>
      <w:r>
        <w:rPr>
          <w:rFonts w:hint="eastAsia" w:ascii="宋体" w:hAnsi="宋体" w:eastAsia="宋体" w:cs="Times New Roman"/>
          <w:color w:val="000000"/>
          <w:sz w:val="24"/>
          <w:lang w:val="en-US" w:eastAsia="zh-CN"/>
        </w:rPr>
        <w:t xml:space="preserve">参与磋商的供应商</w:t>
      </w:r>
      <w:r>
        <w:rPr>
          <w:rFonts w:hint="eastAsia" w:ascii="宋体" w:hAnsi="宋体" w:eastAsia="宋体" w:cs="Times New Roman"/>
          <w:color w:val="000000"/>
          <w:sz w:val="24"/>
          <w:lang w:val="zh-CN"/>
        </w:rPr>
        <w:t xml:space="preserve">享受中小企业扶持政策：</w:t>
      </w:r>
      <w:r/>
    </w:p>
    <w:p>
      <w:pPr>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p>
    <w:p>
      <w:pPr>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bookmarkEnd w:id="8"/>
      <w:r/>
      <w:bookmarkEnd w:id="9"/>
      <w:r/>
      <w:bookmarkEnd w:id="10"/>
      <w:r/>
      <w:bookmarkEnd w:id="11"/>
      <w:r/>
      <w:r/>
    </w:p>
    <w:p>
      <w:pPr>
        <w:pStyle w:val="889"/>
        <w:ind w:firstLine="422"/>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39.节能环保产品</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en-US"/>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en-US"/>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en-US"/>
        </w:rPr>
        <w:t xml:space="preserve">）。</w:t>
      </w:r>
      <w:r/>
    </w:p>
    <w:p>
      <w:pPr>
        <w:pStyle w:val="889"/>
        <w:ind w:firstLine="422"/>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40.绿色采购</w:t>
      </w:r>
      <w:r/>
    </w:p>
    <w:p>
      <w:pPr>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hAnsi="宋体" w:eastAsia="宋体" w:cs="Times New Roman"/>
          <w:bCs w:val="0"/>
          <w:color w:val="000000"/>
          <w:sz w:val="24"/>
          <w:szCs w:val="22"/>
          <w:lang w:val="en-US" w:eastAsia="zh-CN"/>
        </w:rPr>
        <w:t xml:space="preserve">中</w:t>
      </w:r>
      <w:r>
        <w:rPr>
          <w:rFonts w:hint="eastAsia" w:ascii="宋体" w:hAnsi="宋体" w:eastAsia="宋体" w:cs="Times New Roman"/>
          <w:bCs w:val="0"/>
          <w:color w:val="000000"/>
          <w:sz w:val="24"/>
          <w:szCs w:val="22"/>
        </w:rPr>
        <w:t xml:space="preserve">涉及商品包装、快递包装要求的</w:t>
      </w:r>
      <w:r>
        <w:rPr>
          <w:rFonts w:hint="eastAsia" w:ascii="宋体" w:hAnsi="宋体" w:eastAsia="宋体" w:cs="Times New Roman"/>
          <w:bCs w:val="0"/>
          <w:color w:val="000000"/>
          <w:sz w:val="24"/>
          <w:szCs w:val="22"/>
          <w:lang w:eastAsia="zh-CN"/>
        </w:rPr>
        <w:t xml:space="preserve">，</w:t>
      </w:r>
      <w:r>
        <w:rPr>
          <w:rFonts w:hint="eastAsia" w:ascii="宋体" w:hAnsi="宋体" w:eastAsia="宋体" w:cs="Times New Roman"/>
          <w:bCs w:val="0"/>
          <w:color w:val="000000"/>
          <w:sz w:val="24"/>
          <w:szCs w:val="22"/>
          <w:lang w:val="en-US" w:eastAsia="zh-CN"/>
        </w:rPr>
        <w:t xml:space="preserve">应按照</w:t>
      </w:r>
      <w:r>
        <w:rPr>
          <w:rFonts w:hint="eastAsia" w:ascii="宋体" w:hAnsi="宋体" w:eastAsia="宋体" w:cs="Times New Roman"/>
          <w:color w:val="000000"/>
          <w:sz w:val="24"/>
          <w:lang w:val="en-US" w:eastAsia="zh-CN"/>
        </w:rPr>
        <w:t xml:space="preserve">《商品包装政府采购需求标准（试行）》《快递包装政府采购需求标准（试行）》（财办库〔2020〕123号）、</w:t>
      </w:r>
      <w:r>
        <w:rPr>
          <w:rFonts w:hint="eastAsia" w:ascii="宋体" w:hAnsi="宋体" w:eastAsia="宋体" w:cs="Times New Roman"/>
          <w:color w:val="000000"/>
          <w:sz w:val="24"/>
          <w:szCs w:val="22"/>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hAnsi="宋体" w:eastAsia="宋体" w:cs="Times New Roman"/>
          <w:bCs w:val="0"/>
          <w:color w:val="000000"/>
          <w:sz w:val="24"/>
          <w:szCs w:val="22"/>
        </w:rPr>
        <w:t xml:space="preserve">商品包装和快递包装</w:t>
      </w:r>
      <w:r>
        <w:rPr>
          <w:rFonts w:hint="eastAsia" w:ascii="宋体" w:hAnsi="宋体" w:eastAsia="宋体" w:cs="Times New Roman"/>
          <w:bCs w:val="0"/>
          <w:color w:val="000000"/>
          <w:sz w:val="24"/>
          <w:szCs w:val="22"/>
          <w:lang w:val="en-US" w:eastAsia="zh-CN"/>
        </w:rPr>
        <w:t xml:space="preserve">有</w:t>
      </w:r>
      <w:r>
        <w:rPr>
          <w:rFonts w:hint="eastAsia" w:ascii="宋体" w:hAnsi="宋体" w:eastAsia="宋体" w:cs="Times New Roman"/>
          <w:bCs w:val="0"/>
          <w:color w:val="000000"/>
          <w:sz w:val="24"/>
          <w:szCs w:val="22"/>
        </w:rPr>
        <w:t xml:space="preserve">具体要求的，政府采购合同中应当载明对供应商提供产品及相关快递服务的具体包装要求和履约验收相关条款，供应商须严格执行，必要时应按照要求在履约验收环节出具检测报告。</w:t>
      </w:r>
      <w:r/>
    </w:p>
    <w:p>
      <w:pPr>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Times New Roman"/>
          <w:color w:val="000000"/>
          <w:sz w:val="24"/>
          <w:szCs w:val="22"/>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进行验收，必要时可以委托依法取得检测、认证资质的机构进行检测、认证。</w:t>
      </w:r>
      <w:r/>
    </w:p>
    <w:p>
      <w:pPr>
        <w:pStyle w:val="889"/>
        <w:ind w:firstLine="422"/>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41.创新产品采购</w:t>
      </w:r>
      <w:r/>
    </w:p>
    <w:p>
      <w:pPr>
        <w:ind w:firstLine="420"/>
        <w:keepLines w:val="0"/>
        <w:keepNext w:val="0"/>
        <w:pageBreakBefore w:val="0"/>
        <w:spacing w:line="240" w:lineRule="auto"/>
        <w:widowControl/>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p>
    <w:p>
      <w:pPr>
        <w:pStyle w:val="889"/>
        <w:ind w:firstLine="422"/>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42.网络产品、市场准入类产品采购</w:t>
      </w:r>
      <w:r/>
    </w:p>
    <w:p>
      <w:pPr>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42.1 本</w:t>
      </w:r>
      <w:r>
        <w:rPr>
          <w:rFonts w:hint="eastAsia" w:ascii="宋体" w:hAnsi="宋体" w:eastAsia="宋体" w:cs="Times New Roman"/>
          <w:color w:val="000000"/>
          <w:sz w:val="24"/>
          <w:lang w:val="en-US"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p>
    <w:p>
      <w:pPr>
        <w:ind w:firstLine="42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lang w:val="en-US" w:eastAsia="zh-CN"/>
        </w:rPr>
        <w:t xml:space="preserve">42.2 本项目中如涉及国家强制性产品认证证书（CCC认证证书）、电信设备进网许可证、无线电发射设备核准证等市场准入类资质的，应严格执行国家相关法律法规的要求。采购人、</w:t>
      </w:r>
      <w:r>
        <w:rPr>
          <w:rFonts w:hint="eastAsia" w:ascii="宋体" w:hAnsi="宋体" w:eastAsia="宋体" w:cs="Times New Roman"/>
          <w:color w:val="000000"/>
          <w:sz w:val="24"/>
          <w:highlight w:val="none"/>
          <w:lang w:val="en-US" w:eastAsia="zh-CN"/>
        </w:rPr>
        <w:t xml:space="preserve">成交供应商双方签订合同及验收环节，应包含上述市场准入类资质要求的条款。</w:t>
      </w:r>
      <w:r/>
    </w:p>
    <w:p>
      <w:pPr>
        <w:pStyle w:val="889"/>
        <w:ind w:firstLine="422"/>
        <w:pageBreakBefore w:val="0"/>
        <w:spacing w:before="0" w:after="0" w:line="240" w:lineRule="auto"/>
        <w:rPr>
          <w:rFonts w:hint="eastAsia" w:ascii="方正楷体_GBK" w:hAnsi="方正楷体_GBK" w:eastAsia="方正楷体_GBK" w:cs="方正楷体_GBK"/>
          <w:color w:val="0000ff"/>
          <w:sz w:val="28"/>
          <w:highlight w:val="none"/>
          <w:lang w:val="zh-CN" w:eastAsia="zh-CN"/>
        </w:rPr>
      </w:pPr>
      <w:r>
        <w:rPr>
          <w:rFonts w:hint="eastAsia" w:ascii="方正楷体_GBK" w:hAnsi="方正楷体_GBK" w:eastAsia="方正楷体_GBK" w:cs="方正楷体_GBK"/>
          <w:color w:val="000000"/>
          <w:sz w:val="28"/>
          <w:highlight w:val="none"/>
          <w:lang w:val="zh-CN" w:eastAsia="zh-CN"/>
        </w:rPr>
        <w:t xml:space="preserve">43.数据交易说明</w:t>
      </w:r>
      <w:r/>
    </w:p>
    <w:p>
      <w:pPr>
        <w:ind w:firstLine="42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43.1 数据交易标的包括数据产品、数据服务、数据工具。</w:t>
      </w:r>
      <w:r/>
    </w:p>
    <w:p>
      <w:pPr>
        <w:ind w:firstLine="42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数据产品是指用于交易的数据和数据衍生产品，包括但不限于数据集、数据分析报告、数据可视化产品、数据指数、API 数据、加密数据等。</w:t>
      </w:r>
      <w:r/>
    </w:p>
    <w:p>
      <w:pPr>
        <w:ind w:firstLine="42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数据服务是指提供数据收集、存储、使用、加工、传输等服务，包括但不限于数据采集和预处理服务、数据建模、分析处理服务、数据可视化服务、数据安全服务等。</w:t>
      </w:r>
      <w:r/>
    </w:p>
    <w:p>
      <w:pPr>
        <w:ind w:firstLine="42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数据工具是指可实现数据服务的软硬件工具，包括但不限于数据存储和管理工具、数据采集工具、数据清洗工具、数据分析工具、数据可视化工具、数据安全工具等。</w:t>
      </w:r>
      <w:r/>
    </w:p>
    <w:p>
      <w:pPr>
        <w:pStyle w:val="737"/>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37"/>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37"/>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rPr>
          <w:rFonts w:hint="eastAsia"/>
          <w:lang w:val="zh-CN" w:eastAsia="zh-CN"/>
        </w:rPr>
      </w:pPr>
      <w:r>
        <w:rPr>
          <w:rFonts w:hint="eastAsia"/>
          <w:lang w:val="zh-CN" w:eastAsia="zh-CN"/>
        </w:rPr>
      </w:r>
      <w:r/>
    </w:p>
    <w:p>
      <w:pPr>
        <w:ind w:right="840"/>
        <w:jc w:val="center"/>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702"/>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702"/>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702"/>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702"/>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rPr>
          <w:rFonts w:hint="eastAsia"/>
          <w:lang w:val="en-US" w:eastAsia="zh-CN"/>
        </w:rPr>
      </w:pPr>
      <w:r>
        <w:rPr>
          <w:rFonts w:hint="eastAsia"/>
          <w:lang w:val="en-US" w:eastAsia="zh-CN"/>
        </w:rPr>
      </w:r>
      <w:r/>
    </w:p>
    <w:p>
      <w:pPr>
        <w:pStyle w:val="971"/>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ind w:right="840"/>
        <w:jc w:val="both"/>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ind w:right="0"/>
        <w:jc w:val="center"/>
        <w:keepLines w:val="0"/>
        <w:keepNext w:val="0"/>
        <w:pageBreakBefore w:val="0"/>
        <w:widowControl w:val="off"/>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t xml:space="preserve">第三章  合同文本</w:t>
      </w:r>
      <w:r/>
    </w:p>
    <w:p>
      <w:pPr>
        <w:jc w:val="center"/>
        <w:keepLines w:val="0"/>
        <w:keepNext w:val="0"/>
        <w:pageBreakBefore w:val="0"/>
        <w:spacing w:before="145" w:after="145" w:line="240" w:lineRule="auto"/>
        <w:widowControl w:val="off"/>
        <w:rPr>
          <w:rFonts w:hint="eastAsia" w:ascii="宋体" w:hAnsi="宋体"/>
          <w:bCs/>
          <w:color w:val="000000"/>
          <w:sz w:val="24"/>
          <w:szCs w:val="21"/>
          <w:lang w:eastAsia="zh-CN"/>
        </w:rPr>
        <w:outlineLvl w:val="0"/>
      </w:pPr>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合同双方不得对磋商、响应文件内容作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p>
    <w:p>
      <w:pPr>
        <w:pStyle w:val="971"/>
        <w:ind w:left="0" w:firstLine="0"/>
        <w:keepLines w:val="0"/>
        <w:keepNext w:val="0"/>
        <w:pageBreakBefore w:val="0"/>
        <w:spacing w:line="240" w:lineRule="auto"/>
        <w:widowControl w:val="off"/>
        <w:rPr>
          <w:rFonts w:hint="eastAsia"/>
          <w:lang w:eastAsia="zh-CN"/>
        </w:rPr>
      </w:pPr>
      <w:r>
        <w:rPr>
          <w:rFonts w:hint="eastAsia"/>
          <w:lang w:eastAsia="zh-CN"/>
        </w:rPr>
      </w:r>
      <w:r/>
    </w:p>
    <w:p>
      <w:pPr>
        <w:jc w:val="center"/>
        <w:keepLines w:val="0"/>
        <w:keepNext w:val="0"/>
        <w:pageBreakBefore w:val="0"/>
        <w:widowControl w:val="off"/>
        <w:rPr>
          <w:rFonts w:hint="eastAsia" w:ascii="方正仿宋_GBK" w:hAnsi="方正仿宋_GBK" w:eastAsia="方正仿宋_GBK" w:cs="方正仿宋_GBK"/>
          <w:sz w:val="44"/>
          <w:szCs w:val="44"/>
          <w:highlight w:val="none"/>
          <w:lang w:eastAsia="zh-CN"/>
        </w:rPr>
      </w:pPr>
      <w:r>
        <w:rPr>
          <w:rFonts w:hint="eastAsia" w:ascii="方正仿宋_GBK" w:hAnsi="方正仿宋_GBK" w:eastAsia="方正仿宋_GBK" w:cs="方正仿宋_GBK"/>
          <w:sz w:val="44"/>
          <w:szCs w:val="44"/>
          <w:highlight w:val="none"/>
          <w:lang w:val="en-US" w:eastAsia="zh-CN"/>
        </w:rPr>
        <w:t xml:space="preserve">南京市政府采购合同</w:t>
      </w:r>
      <w:r/>
    </w:p>
    <w:p>
      <w:pPr>
        <w:spacing w:before="22"/>
        <w:rPr>
          <w:highlight w:val="none"/>
          <w:lang w:eastAsia="zh-CN"/>
        </w:rPr>
      </w:pPr>
      <w:r>
        <w:rPr>
          <w:highlight w:val="none"/>
          <w:lang w:eastAsia="zh-CN"/>
        </w:rPr>
      </w:r>
      <w:r/>
    </w:p>
    <w:p>
      <w:pPr>
        <w:spacing w:before="22"/>
        <w:rPr>
          <w:highlight w:val="none"/>
          <w:lang w:eastAsia="zh-CN"/>
        </w:rPr>
      </w:pPr>
      <w:r>
        <w:rPr>
          <w:highlight w:val="none"/>
          <w:lang w:eastAsia="zh-CN"/>
        </w:rPr>
      </w:r>
      <w:r/>
    </w:p>
    <w:p>
      <w:pPr>
        <w:spacing w:before="22"/>
        <w:rPr>
          <w:highlight w:val="none"/>
          <w:lang w:eastAsia="zh-CN"/>
        </w:rPr>
      </w:pPr>
      <w:r>
        <w:rPr>
          <w:highlight w:val="none"/>
          <w:lang w:eastAsia="zh-CN"/>
        </w:rPr>
      </w:r>
      <w:r/>
    </w:p>
    <w:p>
      <w:pPr>
        <w:pStyle w:val="715"/>
        <w:ind w:left="58"/>
        <w:keepLines w:val="0"/>
        <w:keepNext w:val="0"/>
        <w:pageBreakBefore w:val="0"/>
        <w:spacing w:line="560" w:lineRule="exact"/>
        <w:widowControl/>
        <w:rPr>
          <w:sz w:val="24"/>
          <w:szCs w:val="24"/>
          <w:highlight w:val="none"/>
          <w:lang w:eastAsia="zh-CN"/>
        </w:rPr>
      </w:pPr>
      <w:r>
        <w:rPr>
          <w:spacing w:val="-1"/>
          <w:sz w:val="24"/>
          <w:szCs w:val="24"/>
          <w:highlight w:val="none"/>
          <w:lang w:eastAsia="zh-CN"/>
        </w:rPr>
        <w:t xml:space="preserve">项目编号：</w:t>
      </w:r>
      <w:r/>
    </w:p>
    <w:p>
      <w:pPr>
        <w:pStyle w:val="715"/>
        <w:ind w:left="52"/>
        <w:keepLines w:val="0"/>
        <w:keepNext w:val="0"/>
        <w:pageBreakBefore w:val="0"/>
        <w:spacing w:line="560" w:lineRule="exact"/>
        <w:widowControl/>
        <w:rPr>
          <w:sz w:val="24"/>
          <w:szCs w:val="24"/>
          <w:highlight w:val="none"/>
          <w:lang w:eastAsia="zh-CN"/>
        </w:rPr>
      </w:pPr>
      <w:r>
        <w:rPr>
          <w:spacing w:val="-7"/>
          <w:position w:val="17"/>
          <w:sz w:val="24"/>
          <w:szCs w:val="24"/>
          <w:highlight w:val="none"/>
          <w:lang w:eastAsia="zh-CN"/>
        </w:rPr>
        <w:t xml:space="preserve">项目名称：</w:t>
      </w:r>
      <w:r/>
    </w:p>
    <w:p>
      <w:pPr>
        <w:pStyle w:val="715"/>
        <w:ind w:left="57"/>
        <w:keepLines w:val="0"/>
        <w:keepNext w:val="0"/>
        <w:pageBreakBefore w:val="0"/>
        <w:spacing w:line="560" w:lineRule="exact"/>
        <w:widowControl/>
        <w:rPr>
          <w:sz w:val="24"/>
          <w:szCs w:val="24"/>
          <w:highlight w:val="none"/>
          <w:lang w:eastAsia="zh-CN"/>
        </w:rPr>
      </w:pPr>
      <w:r>
        <w:rPr>
          <w:spacing w:val="-9"/>
          <w:position w:val="20"/>
          <w:sz w:val="24"/>
          <w:szCs w:val="24"/>
          <w:highlight w:val="none"/>
          <w:lang w:eastAsia="zh-CN"/>
        </w:rPr>
        <w:t xml:space="preserve">政府采购计划号：</w:t>
      </w:r>
      <w:r/>
    </w:p>
    <w:p>
      <w:pPr>
        <w:pStyle w:val="715"/>
        <w:keepLines w:val="0"/>
        <w:keepNext w:val="0"/>
        <w:pageBreakBefore w:val="0"/>
        <w:spacing w:line="560" w:lineRule="exact"/>
        <w:widowControl/>
        <w:rPr>
          <w:spacing w:val="-12"/>
          <w:sz w:val="24"/>
          <w:szCs w:val="24"/>
          <w:highlight w:val="none"/>
          <w:lang w:eastAsia="zh-CN"/>
        </w:rPr>
      </w:pPr>
      <w:r>
        <w:rPr>
          <w:spacing w:val="-2"/>
          <w:sz w:val="24"/>
          <w:szCs w:val="24"/>
          <w:highlight w:val="none"/>
          <w:lang w:eastAsia="zh-CN"/>
        </w:rPr>
        <w:t xml:space="preserve">采购人</w:t>
      </w:r>
      <w:r>
        <w:rPr>
          <w:sz w:val="24"/>
          <w:szCs w:val="24"/>
          <w:highlight w:val="none"/>
          <w:lang w:eastAsia="zh-CN"/>
        </w:rPr>
        <w:t xml:space="preserve">：（</w:t>
      </w:r>
      <w:r>
        <w:rPr>
          <w:spacing w:val="-2"/>
          <w:sz w:val="24"/>
          <w:szCs w:val="24"/>
          <w:highlight w:val="none"/>
          <w:lang w:eastAsia="zh-CN"/>
        </w:rPr>
        <w:t xml:space="preserve">以下简称甲方）</w:t>
      </w:r>
      <w:r>
        <w:rPr>
          <w:rFonts w:hint="eastAsia"/>
          <w:spacing w:val="-2"/>
          <w:sz w:val="24"/>
          <w:szCs w:val="24"/>
          <w:highlight w:val="none"/>
          <w:lang w:val="en-US" w:eastAsia="zh-CN"/>
        </w:rPr>
        <w:t xml:space="preserve">                     </w:t>
      </w:r>
      <w:r>
        <w:rPr>
          <w:rFonts w:hint="eastAsia"/>
          <w:spacing w:val="-12"/>
          <w:sz w:val="24"/>
          <w:szCs w:val="24"/>
          <w:highlight w:val="none"/>
          <w:lang w:eastAsia="zh-CN"/>
        </w:rPr>
        <w:t xml:space="preserve">供应商：（以下简称乙方）</w:t>
      </w:r>
      <w:r/>
    </w:p>
    <w:p>
      <w:pPr>
        <w:pStyle w:val="71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r>
      <w:r/>
    </w:p>
    <w:p>
      <w:pPr>
        <w:pStyle w:val="715"/>
        <w:keepLines w:val="0"/>
        <w:keepNext w:val="0"/>
        <w:pageBreakBefore w:val="0"/>
        <w:spacing w:line="560" w:lineRule="exact"/>
        <w:widowControl/>
        <w:rPr>
          <w:sz w:val="24"/>
          <w:szCs w:val="24"/>
          <w:highlight w:val="none"/>
          <w:lang w:eastAsia="zh-CN"/>
        </w:rPr>
      </w:pPr>
      <w:r>
        <w:rPr>
          <w:spacing w:val="-12"/>
          <w:sz w:val="24"/>
          <w:szCs w:val="24"/>
          <w:highlight w:val="none"/>
          <w:lang w:eastAsia="zh-CN"/>
        </w:rPr>
        <w:t xml:space="preserve">住所地：</w:t>
      </w:r>
      <w:r>
        <w:rPr>
          <w:rFonts w:hint="eastAsia"/>
          <w:spacing w:val="-12"/>
          <w:sz w:val="24"/>
          <w:szCs w:val="24"/>
          <w:highlight w:val="none"/>
          <w:lang w:val="en-US" w:eastAsia="zh-CN"/>
        </w:rPr>
        <w:t xml:space="preserve">                                         </w:t>
      </w:r>
      <w:r>
        <w:rPr>
          <w:spacing w:val="-12"/>
          <w:sz w:val="24"/>
          <w:szCs w:val="24"/>
          <w:highlight w:val="none"/>
          <w:lang w:eastAsia="zh-CN"/>
        </w:rPr>
        <w:t xml:space="preserve">住所地：</w:t>
      </w:r>
      <w:r/>
    </w:p>
    <w:p>
      <w:pPr>
        <w:pStyle w:val="715"/>
        <w:ind w:left="53"/>
        <w:keepLines w:val="0"/>
        <w:keepNext w:val="0"/>
        <w:pageBreakBefore w:val="0"/>
        <w:spacing w:line="560" w:lineRule="exact"/>
        <w:widowControl/>
        <w:rPr>
          <w:spacing w:val="-12"/>
          <w:sz w:val="24"/>
          <w:szCs w:val="24"/>
          <w:highlight w:val="none"/>
          <w:lang w:eastAsia="zh-CN"/>
        </w:rPr>
      </w:pPr>
      <w:r>
        <w:rPr>
          <w:spacing w:val="-12"/>
          <w:sz w:val="24"/>
          <w:szCs w:val="24"/>
          <w:highlight w:val="none"/>
          <w:lang w:eastAsia="zh-CN"/>
        </w:rPr>
      </w:r>
      <w:r/>
    </w:p>
    <w:p>
      <w:pPr>
        <w:pStyle w:val="715"/>
        <w:keepLines w:val="0"/>
        <w:keepNext w:val="0"/>
        <w:pageBreakBefore w:val="0"/>
        <w:spacing w:line="560" w:lineRule="exact"/>
        <w:widowControl/>
        <w:rPr>
          <w:rFonts w:hint="eastAsia"/>
          <w:spacing w:val="-5"/>
          <w:position w:val="17"/>
          <w:sz w:val="24"/>
          <w:szCs w:val="24"/>
          <w:highlight w:val="none"/>
          <w:lang w:val="en-US" w:eastAsia="zh-CN"/>
        </w:rPr>
      </w:pPr>
      <w:r>
        <w:rPr>
          <w:spacing w:val="-4"/>
          <w:position w:val="17"/>
          <w:sz w:val="24"/>
          <w:szCs w:val="24"/>
          <w:highlight w:val="none"/>
          <w:lang w:eastAsia="zh-CN"/>
        </w:rPr>
        <w:t xml:space="preserve">根据《中华人民共和国政府采购法》《中华人民共和国民</w:t>
      </w:r>
      <w:r>
        <w:rPr>
          <w:spacing w:val="-5"/>
          <w:position w:val="17"/>
          <w:sz w:val="24"/>
          <w:szCs w:val="24"/>
          <w:highlight w:val="none"/>
          <w:lang w:eastAsia="zh-CN"/>
        </w:rPr>
        <w:t xml:space="preserve">法典》等法律法规的规定，甲乙双方经协商签订本合同。</w:t>
      </w:r>
      <w:r/>
    </w:p>
    <w:p>
      <w:pPr>
        <w:pStyle w:val="715"/>
        <w:numPr>
          <w:ilvl w:val="0"/>
          <w:numId w:val="5"/>
        </w:numPr>
        <w:keepLines w:val="0"/>
        <w:keepNext w:val="0"/>
        <w:pageBreakBefore w:val="0"/>
        <w:spacing w:line="560" w:lineRule="exact"/>
        <w:widowControl/>
        <w:rPr>
          <w:spacing w:val="-1"/>
          <w:position w:val="18"/>
          <w:sz w:val="24"/>
          <w:szCs w:val="24"/>
          <w:highlight w:val="none"/>
          <w:lang w:eastAsia="zh-CN"/>
        </w:rPr>
      </w:pPr>
      <w:r>
        <w:rPr>
          <w:spacing w:val="-1"/>
          <w:position w:val="18"/>
          <w:sz w:val="24"/>
          <w:szCs w:val="24"/>
          <w:highlight w:val="none"/>
          <w:lang w:eastAsia="zh-CN"/>
        </w:rPr>
        <w:t xml:space="preserve"> 合同标的</w:t>
      </w:r>
      <w:r/>
    </w:p>
    <w:p>
      <w:pPr>
        <w:pStyle w:val="715"/>
        <w:numPr>
          <w:ilvl w:val="0"/>
          <w:numId w:val="0"/>
        </w:numPr>
        <w:keepLines w:val="0"/>
        <w:keepNext w:val="0"/>
        <w:pageBreakBefore w:val="0"/>
        <w:spacing w:line="560" w:lineRule="exact"/>
        <w:widowControl/>
        <w:rPr>
          <w:spacing w:val="-1"/>
          <w:position w:val="18"/>
          <w:sz w:val="24"/>
          <w:szCs w:val="24"/>
          <w:highlight w:val="none"/>
          <w:lang w:eastAsia="zh-CN"/>
        </w:rPr>
      </w:pPr>
      <w:r>
        <w:rPr>
          <w:spacing w:val="-1"/>
          <w:position w:val="18"/>
          <w:sz w:val="24"/>
          <w:szCs w:val="24"/>
          <w:highlight w:val="none"/>
          <w:lang w:eastAsia="zh-CN"/>
        </w:rPr>
        <w:t xml:space="preserve">乙方提供下列服务：</w:t>
      </w:r>
      <w:r/>
    </w:p>
    <w:tbl>
      <w:tblPr>
        <w:tblStyle w:val="1005"/>
        <w:tblW w:w="9506" w:type="dxa"/>
        <w:tblInd w:w="7" w:type="dxa"/>
        <w:tblBorders>
          <w:top w:val="single" w:color="808080" w:sz="2" w:space="0"/>
          <w:left w:val="single" w:color="808080" w:sz="2" w:space="0"/>
          <w:bottom w:val="single" w:color="808080" w:sz="2" w:space="0"/>
          <w:right w:val="single" w:color="808080" w:sz="2" w:space="0"/>
          <w:insideH w:val="single" w:color="808080" w:sz="2" w:space="0"/>
          <w:insideV w:val="single" w:color="808080" w:sz="2" w:space="0"/>
        </w:tblBorders>
        <w:tblLayout w:type="fixed"/>
        <w:tblCellMar>
          <w:left w:w="0" w:type="dxa"/>
          <w:top w:w="0" w:type="dxa"/>
          <w:right w:w="0" w:type="dxa"/>
          <w:bottom w:w="0" w:type="dxa"/>
        </w:tblCellMar>
        <w:tblLook w:val="04A0" w:firstRow="1" w:lastRow="0" w:firstColumn="1" w:lastColumn="0" w:noHBand="0" w:noVBand="1"/>
      </w:tblPr>
      <w:tblGrid>
        <w:gridCol w:w="1052"/>
        <w:gridCol w:w="6403"/>
        <w:gridCol w:w="999"/>
        <w:gridCol w:w="1052"/>
      </w:tblGrid>
      <w:tr>
        <w:trPr>
          <w:trHeight w:val="459"/>
        </w:trPr>
        <w:tc>
          <w:tcPr>
            <w:tcW w:w="1052" w:type="dxa"/>
            <w:textDirection w:val="lrTb"/>
            <w:noWrap w:val="false"/>
          </w:tcPr>
          <w:p>
            <w:pPr>
              <w:pStyle w:val="1003"/>
              <w:ind w:left="68"/>
              <w:jc w:val="center"/>
              <w:keepLines w:val="0"/>
              <w:keepNext w:val="0"/>
              <w:pageBreakBefore w:val="0"/>
              <w:spacing w:line="560" w:lineRule="exact"/>
              <w:widowControl/>
              <w:rPr>
                <w:sz w:val="24"/>
                <w:szCs w:val="24"/>
                <w:highlight w:val="none"/>
              </w:rPr>
            </w:pPr>
            <w:r>
              <w:rPr>
                <w:spacing w:val="-2"/>
                <w:sz w:val="24"/>
                <w:szCs w:val="24"/>
                <w:highlight w:val="none"/>
              </w:rPr>
              <w:t xml:space="preserve">序号</w:t>
            </w:r>
            <w:r/>
          </w:p>
        </w:tc>
        <w:tc>
          <w:tcPr>
            <w:tcBorders>
              <w:top w:val="single" w:color="404040" w:sz="2" w:space="0"/>
              <w:left w:val="single" w:color="404040" w:sz="2" w:space="0"/>
              <w:bottom w:val="single" w:color="404040" w:sz="2" w:space="0"/>
              <w:right w:val="single" w:color="404040" w:sz="2" w:space="0"/>
            </w:tcBorders>
            <w:tcW w:w="6403" w:type="dxa"/>
            <w:textDirection w:val="lrTb"/>
            <w:noWrap w:val="false"/>
          </w:tcPr>
          <w:p>
            <w:pPr>
              <w:pStyle w:val="1003"/>
              <w:ind w:left="56"/>
              <w:jc w:val="center"/>
              <w:keepLines w:val="0"/>
              <w:keepNext w:val="0"/>
              <w:pageBreakBefore w:val="0"/>
              <w:spacing w:line="560" w:lineRule="exact"/>
              <w:widowControl/>
              <w:rPr>
                <w:sz w:val="24"/>
                <w:szCs w:val="24"/>
                <w:highlight w:val="none"/>
              </w:rPr>
            </w:pPr>
            <w:r>
              <w:rPr>
                <w:spacing w:val="-3"/>
                <w:sz w:val="24"/>
                <w:szCs w:val="24"/>
                <w:highlight w:val="none"/>
              </w:rPr>
              <w:t xml:space="preserve">名称</w:t>
            </w:r>
            <w:r/>
          </w:p>
        </w:tc>
        <w:tc>
          <w:tcPr>
            <w:tcW w:w="999" w:type="dxa"/>
            <w:textDirection w:val="lrTb"/>
            <w:noWrap w:val="false"/>
          </w:tcPr>
          <w:p>
            <w:pPr>
              <w:pStyle w:val="1003"/>
              <w:ind w:left="5"/>
              <w:jc w:val="center"/>
              <w:keepLines w:val="0"/>
              <w:keepNext w:val="0"/>
              <w:pageBreakBefore w:val="0"/>
              <w:spacing w:line="560" w:lineRule="exact"/>
              <w:widowControl/>
              <w:rPr>
                <w:sz w:val="24"/>
                <w:szCs w:val="24"/>
                <w:highlight w:val="none"/>
              </w:rPr>
            </w:pPr>
            <w:r>
              <w:rPr>
                <w:spacing w:val="-3"/>
                <w:sz w:val="24"/>
                <w:szCs w:val="24"/>
                <w:highlight w:val="none"/>
              </w:rPr>
              <w:t xml:space="preserve">数量</w:t>
            </w:r>
            <w:r/>
          </w:p>
        </w:tc>
        <w:tc>
          <w:tcPr>
            <w:tcW w:w="1052" w:type="dxa"/>
            <w:textDirection w:val="lrTb"/>
            <w:noWrap w:val="false"/>
          </w:tcPr>
          <w:p>
            <w:pPr>
              <w:pStyle w:val="1003"/>
              <w:ind w:left="42"/>
              <w:jc w:val="center"/>
              <w:keepLines w:val="0"/>
              <w:keepNext w:val="0"/>
              <w:pageBreakBefore w:val="0"/>
              <w:spacing w:line="560" w:lineRule="exact"/>
              <w:widowControl/>
              <w:rPr>
                <w:sz w:val="24"/>
                <w:szCs w:val="24"/>
                <w:highlight w:val="none"/>
              </w:rPr>
            </w:pPr>
            <w:r>
              <w:rPr>
                <w:spacing w:val="-3"/>
                <w:sz w:val="24"/>
                <w:szCs w:val="24"/>
                <w:highlight w:val="none"/>
              </w:rPr>
              <w:t xml:space="preserve">单位</w:t>
            </w:r>
            <w:r/>
          </w:p>
        </w:tc>
      </w:tr>
      <w:tr>
        <w:trPr>
          <w:trHeight w:val="528"/>
        </w:trPr>
        <w:tc>
          <w:tcPr>
            <w:tcBorders>
              <w:bottom w:val="single" w:color="404040" w:sz="2" w:space="0"/>
              <w:right w:val="single" w:color="404040" w:sz="2" w:space="0"/>
            </w:tcBorders>
            <w:tcW w:w="1052" w:type="dxa"/>
            <w:textDirection w:val="lrTb"/>
            <w:noWrap w:val="false"/>
          </w:tcPr>
          <w:p>
            <w:pPr>
              <w:pStyle w:val="1003"/>
              <w:ind w:left="87"/>
              <w:keepLines w:val="0"/>
              <w:keepNext w:val="0"/>
              <w:pageBreakBefore w:val="0"/>
              <w:spacing w:line="560" w:lineRule="exact"/>
              <w:widowControl/>
              <w:rPr>
                <w:sz w:val="24"/>
                <w:szCs w:val="24"/>
                <w:highlight w:val="none"/>
              </w:rPr>
            </w:pPr>
            <w:r>
              <w:rPr>
                <w:sz w:val="24"/>
                <w:szCs w:val="24"/>
                <w:highlight w:val="none"/>
              </w:rPr>
              <w:t xml:space="preserve">1</w:t>
            </w:r>
            <w:r/>
          </w:p>
        </w:tc>
        <w:tc>
          <w:tcPr>
            <w:tcBorders>
              <w:top w:val="single" w:color="404040" w:sz="2" w:space="0"/>
              <w:left w:val="single" w:color="404040" w:sz="2" w:space="0"/>
              <w:bottom w:val="single" w:color="404040" w:sz="2" w:space="0"/>
              <w:right w:val="single" w:color="404040" w:sz="2" w:space="0"/>
            </w:tcBorders>
            <w:tcW w:w="6403" w:type="dxa"/>
            <w:textDirection w:val="lrTb"/>
            <w:noWrap w:val="false"/>
          </w:tcPr>
          <w:p>
            <w:pPr>
              <w:pStyle w:val="1003"/>
              <w:ind w:left="54"/>
              <w:keepLines w:val="0"/>
              <w:keepNext w:val="0"/>
              <w:pageBreakBefore w:val="0"/>
              <w:spacing w:line="560" w:lineRule="exact"/>
              <w:widowControl/>
              <w:rPr>
                <w:sz w:val="24"/>
                <w:szCs w:val="24"/>
                <w:highlight w:val="none"/>
                <w:lang w:eastAsia="zh-CN"/>
              </w:rPr>
            </w:pPr>
            <w:r>
              <w:rPr>
                <w:sz w:val="24"/>
                <w:szCs w:val="24"/>
                <w:highlight w:val="none"/>
                <w:lang w:eastAsia="zh-CN"/>
              </w:rPr>
            </w:r>
            <w:r/>
          </w:p>
        </w:tc>
        <w:tc>
          <w:tcPr>
            <w:tcBorders>
              <w:bottom w:val="single" w:color="404040" w:sz="2" w:space="0"/>
              <w:right w:val="single" w:color="404040" w:sz="2" w:space="0"/>
            </w:tcBorders>
            <w:tcW w:w="999" w:type="dxa"/>
            <w:textDirection w:val="lrTb"/>
            <w:noWrap w:val="false"/>
          </w:tcPr>
          <w:p>
            <w:pPr>
              <w:pStyle w:val="1003"/>
              <w:ind w:left="21"/>
              <w:keepLines w:val="0"/>
              <w:keepNext w:val="0"/>
              <w:pageBreakBefore w:val="0"/>
              <w:spacing w:line="560" w:lineRule="exact"/>
              <w:widowControl/>
              <w:rPr>
                <w:rFonts w:hint="eastAsia" w:eastAsia="宋体"/>
                <w:sz w:val="24"/>
                <w:szCs w:val="24"/>
                <w:highlight w:val="none"/>
                <w:lang w:val="en-US" w:eastAsia="zh-CN"/>
              </w:rPr>
            </w:pPr>
            <w:r>
              <w:rPr>
                <w:rFonts w:hint="eastAsia" w:eastAsia="宋体"/>
                <w:sz w:val="24"/>
                <w:szCs w:val="24"/>
                <w:highlight w:val="none"/>
                <w:lang w:val="en-US" w:eastAsia="zh-CN"/>
              </w:rPr>
            </w:r>
            <w:r/>
          </w:p>
        </w:tc>
        <w:tc>
          <w:tcPr>
            <w:tcBorders>
              <w:bottom w:val="single" w:color="404040" w:sz="2" w:space="0"/>
              <w:right w:val="single" w:color="404040" w:sz="2" w:space="0"/>
            </w:tcBorders>
            <w:tcW w:w="1052" w:type="dxa"/>
            <w:textDirection w:val="lrTb"/>
            <w:noWrap w:val="false"/>
          </w:tcPr>
          <w:p>
            <w:pPr>
              <w:pStyle w:val="1003"/>
              <w:ind w:left="44"/>
              <w:keepLines w:val="0"/>
              <w:keepNext w:val="0"/>
              <w:pageBreakBefore w:val="0"/>
              <w:spacing w:line="560" w:lineRule="exact"/>
              <w:widowControl/>
              <w:rPr>
                <w:sz w:val="24"/>
                <w:szCs w:val="24"/>
                <w:highlight w:val="none"/>
              </w:rPr>
            </w:pPr>
            <w:r>
              <w:rPr>
                <w:sz w:val="24"/>
                <w:szCs w:val="24"/>
                <w:highlight w:val="none"/>
              </w:rPr>
            </w:r>
            <w:r/>
          </w:p>
        </w:tc>
      </w:tr>
    </w:tbl>
    <w:p>
      <w:pPr>
        <w:pStyle w:val="715"/>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服务内容详见乙方投标（响应）文件。</w:t>
      </w:r>
      <w:r/>
    </w:p>
    <w:p>
      <w:pPr>
        <w:pStyle w:val="71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第二条  合同总价款</w:t>
      </w:r>
      <w:r/>
    </w:p>
    <w:p>
      <w:pPr>
        <w:pStyle w:val="71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本合同项下总价款为</w:t>
      </w:r>
      <w:r>
        <w:rPr>
          <w:rFonts w:hint="eastAsia"/>
          <w:spacing w:val="-12"/>
          <w:sz w:val="24"/>
          <w:szCs w:val="24"/>
          <w:highlight w:val="none"/>
          <w:u w:val="single"/>
          <w:lang w:eastAsia="zh-CN"/>
        </w:rPr>
        <w:t xml:space="preserve">                         （</w:t>
      </w:r>
      <w:r>
        <w:rPr>
          <w:rFonts w:hint="eastAsia"/>
          <w:spacing w:val="-12"/>
          <w:sz w:val="24"/>
          <w:szCs w:val="24"/>
          <w:highlight w:val="none"/>
          <w:lang w:eastAsia="zh-CN"/>
        </w:rPr>
        <w:t xml:space="preserve">大写）人民币。</w:t>
      </w:r>
      <w:r/>
    </w:p>
    <w:p>
      <w:pPr>
        <w:pStyle w:val="71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如有分项价款，详见《分项报价表》 </w:t>
      </w:r>
      <w:r/>
    </w:p>
    <w:p>
      <w:pPr>
        <w:pStyle w:val="715"/>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本合同总价款包含以下内容：</w:t>
      </w:r>
      <w:r/>
    </w:p>
    <w:p>
      <w:pPr>
        <w:pStyle w:val="71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（1）完成本服务项目发生的所有含税费用；</w:t>
      </w:r>
      <w:r/>
    </w:p>
    <w:p>
      <w:pPr>
        <w:pStyle w:val="71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（2）支付给员工的工资和国家强制缴纳的各种社会保障资金；</w:t>
      </w:r>
      <w:r/>
    </w:p>
    <w:p>
      <w:pPr>
        <w:pStyle w:val="71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（3）乙方应当提供的伴随服务/售后服务费用；</w:t>
      </w:r>
      <w:r/>
    </w:p>
    <w:p>
      <w:pPr>
        <w:pStyle w:val="71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（4）供应商认为需要的其他费用。</w:t>
      </w:r>
      <w:r/>
    </w:p>
    <w:p>
      <w:pPr>
        <w:pStyle w:val="71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第三条  合同期限     </w:t>
      </w:r>
      <w:r/>
    </w:p>
    <w:p>
      <w:pPr>
        <w:pStyle w:val="71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本合同自</w:t>
      </w:r>
      <w:r>
        <w:rPr>
          <w:rFonts w:hint="eastAsia"/>
          <w:spacing w:val="-12"/>
          <w:sz w:val="24"/>
          <w:szCs w:val="24"/>
          <w:highlight w:val="none"/>
          <w:u w:val="single"/>
          <w:lang w:eastAsia="zh-CN"/>
        </w:rPr>
        <w:t xml:space="preserve">           </w:t>
      </w:r>
      <w:r>
        <w:rPr>
          <w:rFonts w:hint="eastAsia"/>
          <w:spacing w:val="-12"/>
          <w:sz w:val="24"/>
          <w:szCs w:val="24"/>
          <w:highlight w:val="none"/>
          <w:lang w:eastAsia="zh-CN"/>
        </w:rPr>
        <w:t xml:space="preserve">起，合同期限为</w:t>
      </w:r>
      <w:r>
        <w:rPr>
          <w:rFonts w:hint="eastAsia"/>
          <w:spacing w:val="-12"/>
          <w:sz w:val="24"/>
          <w:szCs w:val="24"/>
          <w:highlight w:val="none"/>
          <w:u w:val="single"/>
          <w:lang w:eastAsia="zh-CN"/>
        </w:rPr>
        <w:t xml:space="preserve">        </w:t>
      </w:r>
      <w:r>
        <w:rPr>
          <w:rFonts w:hint="eastAsia"/>
          <w:spacing w:val="-12"/>
          <w:sz w:val="24"/>
          <w:szCs w:val="24"/>
          <w:highlight w:val="none"/>
          <w:lang w:eastAsia="zh-CN"/>
        </w:rPr>
        <w:t xml:space="preserve">天</w:t>
      </w:r>
      <w:r/>
    </w:p>
    <w:p>
      <w:pPr>
        <w:pStyle w:val="71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第四条  组成本合同的有关文件</w:t>
      </w:r>
      <w:r/>
    </w:p>
    <w:p>
      <w:pPr>
        <w:pStyle w:val="71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下列关于南京市政府采购的招标（采购）文件、投标（响应）文件，以及与本次采购活动相关的文件及有关附件是本合同不可分割的组成部分，与本合同具有同等法律效力，这些文件包括但不限于：</w:t>
      </w:r>
      <w:r/>
    </w:p>
    <w:p>
      <w:pPr>
        <w:pStyle w:val="71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（1）投标（响应）文件和报价表；</w:t>
      </w:r>
      <w:r/>
    </w:p>
    <w:p>
      <w:pPr>
        <w:pStyle w:val="71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（2）服务一览表；</w:t>
      </w:r>
      <w:r/>
    </w:p>
    <w:p>
      <w:pPr>
        <w:pStyle w:val="71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（3）交付一览表；</w:t>
      </w:r>
      <w:r/>
    </w:p>
    <w:p>
      <w:pPr>
        <w:pStyle w:val="71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（4）技术规格响应表；</w:t>
      </w:r>
      <w:r/>
    </w:p>
    <w:p>
      <w:pPr>
        <w:pStyle w:val="71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（5）投标（响应）承诺；</w:t>
      </w:r>
      <w:r/>
    </w:p>
    <w:p>
      <w:pPr>
        <w:pStyle w:val="71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（6）服务承诺；</w:t>
      </w:r>
      <w:r/>
    </w:p>
    <w:p>
      <w:pPr>
        <w:pStyle w:val="71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（7）中标（成交）通知书；</w:t>
      </w:r>
      <w:r/>
    </w:p>
    <w:p>
      <w:pPr>
        <w:pStyle w:val="71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（8）甲乙双方商定的其他文件。</w:t>
      </w:r>
      <w:r/>
    </w:p>
    <w:p>
      <w:pPr>
        <w:pStyle w:val="71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第五条  权利保证</w:t>
      </w:r>
      <w:r/>
    </w:p>
    <w:p>
      <w:pPr>
        <w:pStyle w:val="71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乙方应保证甲方在使用该服务或其任何一部分时不受第三方提出侵犯其专利权、版权、商标权或其他权利的起诉。一旦出现侵权，乙方应承担全部责任。</w:t>
      </w:r>
      <w:r/>
    </w:p>
    <w:p>
      <w:pPr>
        <w:pStyle w:val="71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第六条  质量保证</w:t>
      </w:r>
      <w:r/>
    </w:p>
    <w:p>
      <w:pPr>
        <w:pStyle w:val="71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乙方所提供的服务的技术规格应与招标（采购）文件规定的技术规格及所附的“技术规格响应表”相一致；若技术性能无特殊说明，则按国家有关部门最新颁布的标准及规范为准。</w:t>
      </w:r>
      <w:r/>
    </w:p>
    <w:p>
      <w:pPr>
        <w:pStyle w:val="71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第七条 交付和验收</w:t>
      </w:r>
      <w:r/>
    </w:p>
    <w:p>
      <w:pPr>
        <w:pStyle w:val="71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1.乙方应当在合同期限内完成服务事项。</w:t>
      </w:r>
      <w:r/>
    </w:p>
    <w:p>
      <w:pPr>
        <w:pStyle w:val="71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2.验收标准：按行业通行标准和乙方投标（响应）文件的承诺（详见合同附件载明的标准，并不低于国家相关标准）。</w:t>
      </w:r>
      <w:r/>
    </w:p>
    <w:p>
      <w:pPr>
        <w:pStyle w:val="71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第八条  履约保证金</w:t>
      </w:r>
      <w:r/>
    </w:p>
    <w:p>
      <w:pPr>
        <w:pStyle w:val="71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1.中标（成交）供应商应按以下第</w:t>
      </w:r>
      <w:r>
        <w:rPr>
          <w:rFonts w:hint="eastAsia"/>
          <w:spacing w:val="-12"/>
          <w:sz w:val="24"/>
          <w:szCs w:val="24"/>
          <w:highlight w:val="none"/>
          <w:u w:val="single"/>
          <w:lang w:eastAsia="zh-CN"/>
        </w:rPr>
        <w:t xml:space="preserve">（1）</w:t>
      </w:r>
      <w:r>
        <w:rPr>
          <w:rFonts w:hint="eastAsia"/>
          <w:spacing w:val="-12"/>
          <w:sz w:val="24"/>
          <w:szCs w:val="24"/>
          <w:highlight w:val="none"/>
          <w:lang w:eastAsia="zh-CN"/>
        </w:rPr>
        <w:t xml:space="preserve">方式向采购人缴纳履约保证金：</w:t>
      </w:r>
      <w:r/>
    </w:p>
    <w:p>
      <w:pPr>
        <w:pStyle w:val="71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（1）无需缴纳履约保证金；</w:t>
      </w:r>
      <w:r/>
    </w:p>
    <w:p>
      <w:pPr>
        <w:pStyle w:val="71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（2）投标保证金转为履约保证金；</w:t>
      </w:r>
      <w:r/>
    </w:p>
    <w:p>
      <w:pPr>
        <w:pStyle w:val="71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（3）以支票、汇票、本票或者金融机构、担保机构出具的保函等非现金形式缴纳履约保证金，金额为。</w:t>
      </w:r>
      <w:r/>
    </w:p>
    <w:p>
      <w:pPr>
        <w:pStyle w:val="71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2.履约保证金的有效期至时止。</w:t>
      </w:r>
      <w:r/>
    </w:p>
    <w:p>
      <w:pPr>
        <w:pStyle w:val="71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3.如乙方未能履行合同规定的义务，甲方有权从履约保证金中取得补偿。</w:t>
      </w:r>
      <w:r/>
    </w:p>
    <w:p>
      <w:pPr>
        <w:pStyle w:val="71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4.履约保证金扣除甲方应得的补偿后的余额，在有效期满后个工作日内无息退还给乙方。</w:t>
      </w:r>
      <w:r/>
    </w:p>
    <w:p>
      <w:pPr>
        <w:pStyle w:val="71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第九条  合同款支付</w:t>
      </w:r>
      <w:r/>
    </w:p>
    <w:p>
      <w:pPr>
        <w:pStyle w:val="71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1.本合同项下所有款项均以人民币支付。</w:t>
      </w:r>
      <w:r/>
    </w:p>
    <w:p>
      <w:pPr>
        <w:pStyle w:val="71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2.本合同项下的采购资金由乙方开具发票，甲方收到发票后按照本条第3款的约定支付，乙方未提供发票或提供发票不合格的，甲方有权拒绝付款并不承担延迟付款的责任，且乙方仍应按约履行合同义务。</w:t>
      </w:r>
      <w:r/>
    </w:p>
    <w:p>
      <w:pPr>
        <w:pStyle w:val="71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3.付款条件： </w:t>
      </w:r>
      <w:r/>
    </w:p>
    <w:p>
      <w:pPr>
        <w:pStyle w:val="715"/>
        <w:ind w:left="53"/>
        <w:keepLines w:val="0"/>
        <w:keepNext w:val="0"/>
        <w:pageBreakBefore w:val="0"/>
        <w:spacing w:line="560" w:lineRule="exact"/>
        <w:widowControl/>
        <w:rPr>
          <w:rFonts w:hint="eastAsia"/>
          <w:spacing w:val="-12"/>
          <w:sz w:val="24"/>
          <w:szCs w:val="24"/>
          <w:highlight w:val="none"/>
          <w:lang w:val="en-US" w:eastAsia="zh-CN"/>
        </w:rPr>
      </w:pPr>
      <w:r>
        <w:rPr>
          <w:rFonts w:hint="eastAsia"/>
          <w:spacing w:val="-12"/>
          <w:sz w:val="24"/>
          <w:szCs w:val="24"/>
          <w:highlight w:val="none"/>
          <w:lang w:val="en-US" w:eastAsia="zh-CN"/>
        </w:rPr>
        <w:t xml:space="preserve">（1）合同签订后7个工作日内付至合同价30%</w:t>
      </w:r>
      <w:r/>
    </w:p>
    <w:p>
      <w:pPr>
        <w:pStyle w:val="715"/>
        <w:ind w:left="53"/>
        <w:keepLines w:val="0"/>
        <w:keepNext w:val="0"/>
        <w:pageBreakBefore w:val="0"/>
        <w:spacing w:line="560" w:lineRule="exact"/>
        <w:widowControl/>
        <w:rPr>
          <w:rFonts w:hint="eastAsia"/>
          <w:spacing w:val="-12"/>
          <w:sz w:val="24"/>
          <w:szCs w:val="24"/>
          <w:highlight w:val="none"/>
          <w:lang w:val="en-US" w:eastAsia="zh-CN"/>
        </w:rPr>
      </w:pPr>
      <w:r>
        <w:rPr>
          <w:rFonts w:hint="eastAsia"/>
          <w:spacing w:val="-12"/>
          <w:sz w:val="24"/>
          <w:szCs w:val="24"/>
          <w:highlight w:val="none"/>
          <w:lang w:val="en-US" w:eastAsia="zh-CN"/>
        </w:rPr>
        <w:t xml:space="preserve">（2）系统验收合格后，测算服务过程中进行的考核相应罚款金额，付至服务价款的90%。服务费计算公式：（合同金额-考核罚款金额）*90%；</w:t>
      </w:r>
      <w:r/>
    </w:p>
    <w:p>
      <w:pPr>
        <w:pStyle w:val="715"/>
        <w:ind w:left="53"/>
        <w:keepLines w:val="0"/>
        <w:keepNext w:val="0"/>
        <w:pageBreakBefore w:val="0"/>
        <w:spacing w:line="560" w:lineRule="exact"/>
        <w:widowControl/>
        <w:rPr>
          <w:rFonts w:hint="eastAsia"/>
          <w:spacing w:val="-12"/>
          <w:sz w:val="24"/>
          <w:szCs w:val="24"/>
          <w:highlight w:val="none"/>
          <w:lang w:val="en-US" w:eastAsia="zh-CN"/>
        </w:rPr>
      </w:pPr>
      <w:r>
        <w:rPr>
          <w:rFonts w:hint="eastAsia"/>
          <w:spacing w:val="-12"/>
          <w:sz w:val="24"/>
          <w:szCs w:val="24"/>
          <w:highlight w:val="none"/>
          <w:lang w:val="en-US" w:eastAsia="zh-CN"/>
        </w:rPr>
        <w:t xml:space="preserve">（3）合同签订一年后，支付剩余服务金额。服务费计算公式（合同金额-考核罚款金额-已支付金额）；</w:t>
      </w:r>
      <w:r/>
    </w:p>
    <w:p>
      <w:pPr>
        <w:pStyle w:val="715"/>
        <w:ind w:left="53"/>
        <w:keepLines w:val="0"/>
        <w:keepNext w:val="0"/>
        <w:pageBreakBefore w:val="0"/>
        <w:spacing w:line="560" w:lineRule="exact"/>
        <w:widowControl/>
        <w:rPr>
          <w:rFonts w:hint="eastAsia"/>
          <w:spacing w:val="-12"/>
          <w:sz w:val="24"/>
          <w:szCs w:val="24"/>
          <w:highlight w:val="none"/>
          <w:lang w:val="en-US" w:eastAsia="zh-CN"/>
        </w:rPr>
      </w:pPr>
      <w:r>
        <w:rPr>
          <w:rFonts w:hint="eastAsia"/>
          <w:spacing w:val="-12"/>
          <w:sz w:val="24"/>
          <w:szCs w:val="24"/>
          <w:highlight w:val="none"/>
          <w:lang w:val="en-US" w:eastAsia="zh-CN"/>
        </w:rPr>
        <w:t xml:space="preserve">注：（考核细则详见附件《工程项目资金管理系统》国产化升级改造项目考核管理办法》）</w:t>
      </w:r>
      <w:r/>
    </w:p>
    <w:p>
      <w:pPr>
        <w:pStyle w:val="715"/>
        <w:ind w:left="53"/>
        <w:keepLines w:val="0"/>
        <w:keepNext w:val="0"/>
        <w:pageBreakBefore w:val="0"/>
        <w:spacing w:line="560" w:lineRule="exact"/>
        <w:widowControl/>
        <w:rPr>
          <w:rFonts w:hint="eastAsia"/>
          <w:spacing w:val="-12"/>
          <w:sz w:val="24"/>
          <w:szCs w:val="24"/>
          <w:highlight w:val="none"/>
          <w:lang w:val="en-US" w:eastAsia="zh-CN"/>
        </w:rPr>
      </w:pPr>
      <w:r>
        <w:rPr>
          <w:rFonts w:hint="eastAsia"/>
          <w:spacing w:val="-12"/>
          <w:sz w:val="24"/>
          <w:szCs w:val="24"/>
          <w:highlight w:val="none"/>
          <w:lang w:val="en-US" w:eastAsia="zh-CN"/>
        </w:rPr>
        <w:t xml:space="preserve">（4）、中标投标人凭以下有效文件与采购人结算：①、合同；②、中标投标人开具的正式发票；③、成交通知书。</w:t>
      </w:r>
      <w:r/>
    </w:p>
    <w:p>
      <w:pPr>
        <w:pStyle w:val="71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第十条  违约责任</w:t>
      </w:r>
      <w:r/>
    </w:p>
    <w:p>
      <w:pPr>
        <w:pStyle w:val="71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1.甲方无正当理由拒收服务、拒付服务款的，甲方向乙方偿付合同总价的5%违约金。</w:t>
      </w:r>
      <w:r/>
    </w:p>
    <w:p>
      <w:pPr>
        <w:pStyle w:val="71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2.甲方未按合同规定的期限向乙方支付服务款的，每逾期1天甲方向乙方偿付欠款总额的5‰滞纳金，但累计滞纳金总额不超过欠款总额的5%。</w:t>
      </w:r>
      <w:r/>
    </w:p>
    <w:p>
      <w:pPr>
        <w:pStyle w:val="71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3.甲方逾期退还履约保证金的，除应当退还履约保证金本金外，还应当按中国人民银行同期贷款基准利率上浮20%后的利率支付超期资金占用费，但因乙方自身原因导致无法及时退还的除外。</w:t>
      </w:r>
      <w:r/>
    </w:p>
    <w:p>
      <w:pPr>
        <w:pStyle w:val="715"/>
        <w:ind w:left="53"/>
        <w:keepLines w:val="0"/>
        <w:keepNext w:val="0"/>
        <w:pageBreakBefore w:val="0"/>
        <w:spacing w:line="560" w:lineRule="exact"/>
        <w:widowControl/>
        <w:rPr>
          <w:rFonts w:hint="eastAsia"/>
          <w:color w:val="auto"/>
          <w:spacing w:val="-12"/>
          <w:sz w:val="24"/>
          <w:szCs w:val="24"/>
          <w:highlight w:val="none"/>
          <w:lang w:eastAsia="zh-CN"/>
        </w:rPr>
      </w:pPr>
      <w:r>
        <w:rPr>
          <w:rFonts w:hint="eastAsia"/>
          <w:spacing w:val="-12"/>
          <w:sz w:val="24"/>
          <w:szCs w:val="24"/>
          <w:highlight w:val="none"/>
          <w:lang w:eastAsia="zh-CN"/>
        </w:rPr>
        <w:t xml:space="preserve">4.如乙方不能交付服务的，甲方有权扣留全部履约保证金；同时乙方应向甲方支付合同总价5%</w:t>
      </w:r>
      <w:r>
        <w:rPr>
          <w:rFonts w:hint="eastAsia"/>
          <w:color w:val="auto"/>
          <w:spacing w:val="-12"/>
          <w:sz w:val="24"/>
          <w:szCs w:val="24"/>
          <w:highlight w:val="none"/>
          <w:lang w:eastAsia="zh-CN"/>
        </w:rPr>
        <w:t xml:space="preserve">的违约金。</w:t>
      </w:r>
      <w:r/>
    </w:p>
    <w:p>
      <w:pPr>
        <w:pStyle w:val="71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5.乙方逾期交付的，每逾期1天，乙方向甲方偿付合同总额的5‰的滞纳金。如乙方逾期交付达10天，甲方有权解除合同，解除合同的通知自到达乙方时生效。</w:t>
      </w:r>
      <w:r/>
    </w:p>
    <w:p>
      <w:pPr>
        <w:pStyle w:val="71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6.乙方所交付的服务不符合合同规定的，甲方有权拒收。甲方拒收的，乙方应向甲方支付合同总款5%的违约金。</w:t>
      </w:r>
      <w:r/>
    </w:p>
    <w:p>
      <w:pPr>
        <w:pStyle w:val="71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7.在乙方承诺的或国家规定的质量保证期内（取两者中最长的期限），如经乙方两次整改仍不能达到合同约定的质量标准，乙方应退回全部合同价款，</w:t>
      </w:r>
      <w:r>
        <w:rPr>
          <w:rFonts w:hint="eastAsia"/>
          <w:color w:val="auto"/>
          <w:spacing w:val="-12"/>
          <w:sz w:val="24"/>
          <w:szCs w:val="24"/>
          <w:highlight w:val="none"/>
          <w:lang w:eastAsia="zh-CN"/>
        </w:rPr>
        <w:t xml:space="preserve">并按本条第</w:t>
      </w:r>
      <w:r>
        <w:rPr>
          <w:rFonts w:hint="eastAsia"/>
          <w:color w:val="auto"/>
          <w:spacing w:val="-12"/>
          <w:sz w:val="24"/>
          <w:szCs w:val="24"/>
          <w:highlight w:val="none"/>
          <w:lang w:val="en-US" w:eastAsia="zh-CN"/>
        </w:rPr>
        <w:t xml:space="preserve">4</w:t>
      </w:r>
      <w:r>
        <w:rPr>
          <w:rFonts w:hint="eastAsia"/>
          <w:color w:val="auto"/>
          <w:spacing w:val="-12"/>
          <w:sz w:val="24"/>
          <w:szCs w:val="24"/>
          <w:highlight w:val="none"/>
          <w:lang w:eastAsia="zh-CN"/>
        </w:rPr>
        <w:t xml:space="preserve">款处理</w:t>
      </w:r>
      <w:r>
        <w:rPr>
          <w:rFonts w:hint="eastAsia"/>
          <w:spacing w:val="-12"/>
          <w:sz w:val="24"/>
          <w:szCs w:val="24"/>
          <w:highlight w:val="none"/>
          <w:lang w:eastAsia="zh-CN"/>
        </w:rPr>
        <w:t xml:space="preserve">，同时，乙方还须赔偿甲方因此遭受的损失。</w:t>
      </w:r>
      <w:r/>
    </w:p>
    <w:p>
      <w:pPr>
        <w:pStyle w:val="71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8.乙方未按本合同的规定和服务承诺提供伴随服务/售后服务的，应按合同总价款的5%向甲方承担违约责任。</w:t>
      </w:r>
      <w:r/>
    </w:p>
    <w:p>
      <w:pPr>
        <w:pStyle w:val="71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9.乙方在承担上述4-8款一项或多项违约责任后，仍应继续履行合同规定的义务（甲方解除合同的除外）。甲方未能及时追究乙方的任何一项违约责任并不表明甲方放弃追究乙方该项或其他违约责任。</w:t>
      </w:r>
      <w:r/>
    </w:p>
    <w:p>
      <w:pPr>
        <w:pStyle w:val="71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10.乙方响应属虚假承诺，或经权威部门检测提供的服务不能满足投标（响应）文件要求，或是由于乙方的过错造成合同无法继续履行的，乙方履约保证金不予退还外，还应向甲方支付不少于合同总价30%赔偿金。</w:t>
      </w:r>
      <w:r/>
    </w:p>
    <w:p>
      <w:pPr>
        <w:pStyle w:val="71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第十一条  合同的变更和终止</w:t>
      </w:r>
      <w:r/>
    </w:p>
    <w:p>
      <w:pPr>
        <w:pStyle w:val="71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1.除《中华人民共和国政府采购法》第 50 条规定的情形外，本合同一经签订，甲乙双方不得擅自变更、中止或终止。</w:t>
      </w:r>
      <w:r/>
    </w:p>
    <w:p>
      <w:pPr>
        <w:pStyle w:val="71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2.除发生法律规定的不能预见、不能避免并不能克服的客观情况外，甲乙双方不得放弃或拒绝履行合同。乙方放弃或拒绝履行合同，履约保证金不予退还，并按规定接受相关部门的处罚。</w:t>
      </w:r>
      <w:r/>
    </w:p>
    <w:p>
      <w:pPr>
        <w:pStyle w:val="71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第十二条  合同的转让</w:t>
      </w:r>
      <w:r/>
    </w:p>
    <w:p>
      <w:pPr>
        <w:pStyle w:val="71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乙方不得擅自部分或全部转让其应履行的合同义务。</w:t>
      </w:r>
      <w:r/>
    </w:p>
    <w:p>
      <w:pPr>
        <w:pStyle w:val="71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第十三条  争议的解决</w:t>
      </w:r>
      <w:r/>
    </w:p>
    <w:p>
      <w:pPr>
        <w:pStyle w:val="71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1.因服务的质量问题发生争议的，应当邀请国家认可的质量检测机构对服务质量进行鉴定。符合标准的，鉴定费由甲方承担；不符合标准的，鉴定费由乙方承担。</w:t>
      </w:r>
      <w:r/>
    </w:p>
    <w:p>
      <w:pPr>
        <w:pStyle w:val="71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2.因履行本合同引起的或与本合同有关的争议，甲、乙双方应首先通过友好协商解决，如果协商不能解决争议，则采取以下第</w:t>
      </w:r>
      <w:r>
        <w:rPr>
          <w:rFonts w:hint="eastAsia"/>
          <w:spacing w:val="-12"/>
          <w:sz w:val="24"/>
          <w:szCs w:val="24"/>
          <w:highlight w:val="none"/>
          <w:u w:val="single"/>
          <w:lang w:eastAsia="zh-CN"/>
        </w:rPr>
        <w:t xml:space="preserve"> 1 </w:t>
      </w:r>
      <w:r>
        <w:rPr>
          <w:rFonts w:hint="eastAsia"/>
          <w:spacing w:val="-12"/>
          <w:sz w:val="24"/>
          <w:szCs w:val="24"/>
          <w:highlight w:val="none"/>
          <w:lang w:eastAsia="zh-CN"/>
        </w:rPr>
        <w:t xml:space="preserve">种方式解决争议：</w:t>
      </w:r>
      <w:r/>
    </w:p>
    <w:p>
      <w:pPr>
        <w:pStyle w:val="71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（1）向甲方所在地有管辖权的人民法院提起诉讼；</w:t>
      </w:r>
      <w:r/>
    </w:p>
    <w:p>
      <w:pPr>
        <w:pStyle w:val="71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（2）向南京仲裁委员会按其仲裁规则申请仲裁。</w:t>
      </w:r>
      <w:r/>
    </w:p>
    <w:p>
      <w:pPr>
        <w:pStyle w:val="71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3.仲裁或诉讼期间，本合同无争议的条款应继续履行。</w:t>
      </w:r>
      <w:r/>
    </w:p>
    <w:p>
      <w:pPr>
        <w:pStyle w:val="71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第十四条  诚实信用</w:t>
      </w:r>
      <w:r/>
    </w:p>
    <w:p>
      <w:pPr>
        <w:pStyle w:val="71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乙方应诚实信用，严格按照招标（采购）文件要求和投标（响应）承诺履行合同，不向甲方进行商业贿赂或者提供不正当利益。</w:t>
      </w:r>
      <w:r/>
    </w:p>
    <w:p>
      <w:pPr>
        <w:pStyle w:val="71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第十五条  合同生效及其他</w:t>
      </w:r>
      <w:r/>
    </w:p>
    <w:p>
      <w:pPr>
        <w:pStyle w:val="71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1.本合同自双方签字盖章后生效；本合同一式肆份，甲乙双方各执贰份。</w:t>
      </w:r>
      <w:r/>
    </w:p>
    <w:p>
      <w:pPr>
        <w:pStyle w:val="71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2.本合同按照中华人民共和国的现行法律进行解释。</w:t>
      </w:r>
      <w:r/>
    </w:p>
    <w:p>
      <w:pPr>
        <w:pStyle w:val="71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val="en-US" w:eastAsia="zh-CN"/>
        </w:rPr>
        <w:t xml:space="preserve">3</w:t>
      </w:r>
      <w:r>
        <w:rPr>
          <w:rFonts w:hint="eastAsia"/>
          <w:spacing w:val="-12"/>
          <w:sz w:val="24"/>
          <w:szCs w:val="24"/>
          <w:highlight w:val="none"/>
          <w:lang w:eastAsia="zh-CN"/>
        </w:rPr>
        <w:t xml:space="preserve">.其他：</w:t>
      </w:r>
      <w:r/>
    </w:p>
    <w:p>
      <w:pPr>
        <w:pStyle w:val="715"/>
        <w:ind w:left="53"/>
        <w:keepLines w:val="0"/>
        <w:keepNext w:val="0"/>
        <w:pageBreakBefore w:val="0"/>
        <w:spacing w:line="560" w:lineRule="exact"/>
        <w:widowControl/>
        <w:rPr>
          <w:rFonts w:hint="eastAsia"/>
          <w:spacing w:val="-12"/>
          <w:sz w:val="24"/>
          <w:szCs w:val="24"/>
          <w:highlight w:val="none"/>
          <w:u w:val="single"/>
          <w:lang w:eastAsia="zh-CN"/>
        </w:rPr>
      </w:pPr>
      <w:r>
        <w:rPr>
          <w:rFonts w:hint="eastAsia"/>
          <w:spacing w:val="-12"/>
          <w:sz w:val="24"/>
          <w:szCs w:val="24"/>
          <w:highlight w:val="none"/>
          <w:lang w:eastAsia="zh-CN"/>
        </w:rPr>
        <w:t xml:space="preserve">履约验收要求</w:t>
      </w:r>
      <w:r>
        <w:rPr>
          <w:rFonts w:hint="eastAsia"/>
          <w:spacing w:val="-12"/>
          <w:sz w:val="24"/>
          <w:szCs w:val="24"/>
          <w:highlight w:val="none"/>
          <w:u w:val="single"/>
          <w:lang w:eastAsia="zh-CN"/>
        </w:rPr>
        <w:t xml:space="preserve">：                                                                      </w:t>
      </w:r>
      <w:r/>
    </w:p>
    <w:p>
      <w:pPr>
        <w:pStyle w:val="715"/>
        <w:ind w:left="53"/>
        <w:keepLines w:val="0"/>
        <w:keepNext w:val="0"/>
        <w:pageBreakBefore w:val="0"/>
        <w:spacing w:line="560" w:lineRule="exact"/>
        <w:widowControl/>
        <w:rPr>
          <w:rFonts w:hint="eastAsia"/>
          <w:spacing w:val="-12"/>
          <w:sz w:val="24"/>
          <w:szCs w:val="24"/>
          <w:highlight w:val="none"/>
          <w:u w:val="single"/>
          <w:lang w:eastAsia="zh-CN"/>
        </w:rPr>
      </w:pPr>
      <w:r>
        <w:rPr>
          <w:rFonts w:hint="eastAsia"/>
          <w:spacing w:val="-12"/>
          <w:sz w:val="24"/>
          <w:szCs w:val="24"/>
          <w:highlight w:val="none"/>
          <w:u w:val="single"/>
          <w:lang w:eastAsia="zh-CN"/>
        </w:rPr>
        <w:t xml:space="preserve">                                                                                    </w:t>
      </w:r>
      <w:r/>
    </w:p>
    <w:p>
      <w:pPr>
        <w:spacing w:before="26"/>
        <w:rPr>
          <w:highlight w:val="none"/>
          <w:u w:val="single"/>
        </w:rPr>
      </w:pPr>
      <w:r>
        <w:rPr>
          <w:highlight w:val="none"/>
          <w:u w:val="single"/>
        </w:rPr>
      </w:r>
      <w:r/>
    </w:p>
    <w:tbl>
      <w:tblPr>
        <w:tblStyle w:val="1005"/>
        <w:tblpPr w:horzAnchor="page" w:tblpX="1161" w:vertAnchor="text" w:tblpY="165" w:leftFromText="180" w:topFromText="0" w:rightFromText="180" w:bottomFromText="0"/>
        <w:tblW w:w="8737"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725"/>
        <w:gridCol w:w="4012"/>
      </w:tblGrid>
      <w:tr>
        <w:trPr>
          <w:trHeight w:val="567"/>
        </w:trPr>
        <w:tc>
          <w:tcPr>
            <w:tcW w:w="4725" w:type="dxa"/>
            <w:vAlign w:val="top"/>
            <w:textDirection w:val="lrTb"/>
            <w:noWrap w:val="false"/>
          </w:tcPr>
          <w:p>
            <w:pPr>
              <w:pStyle w:val="1003"/>
              <w:ind w:left="31"/>
              <w:keepLines w:val="0"/>
              <w:keepNext w:val="0"/>
              <w:pageBreakBefore w:val="0"/>
              <w:spacing w:before="1" w:line="240" w:lineRule="auto"/>
              <w:widowControl w:val="off"/>
              <w:rPr>
                <w:sz w:val="24"/>
                <w:szCs w:val="24"/>
                <w:highlight w:val="none"/>
              </w:rPr>
            </w:pPr>
            <w:r>
              <w:rPr>
                <w:spacing w:val="-12"/>
                <w:sz w:val="24"/>
                <w:szCs w:val="24"/>
                <w:highlight w:val="none"/>
              </w:rPr>
              <w:t xml:space="preserve">甲方（采购人</w:t>
            </w:r>
            <w:r>
              <w:rPr>
                <w:spacing w:val="-5"/>
                <w:sz w:val="24"/>
                <w:szCs w:val="24"/>
                <w:highlight w:val="none"/>
              </w:rPr>
              <w:t xml:space="preserve">）：</w:t>
            </w:r>
            <w:r/>
          </w:p>
        </w:tc>
        <w:tc>
          <w:tcPr>
            <w:tcW w:w="4012" w:type="dxa"/>
            <w:vAlign w:val="top"/>
            <w:textDirection w:val="lrTb"/>
            <w:noWrap w:val="false"/>
          </w:tcPr>
          <w:p>
            <w:pPr>
              <w:pStyle w:val="1003"/>
              <w:jc w:val="left"/>
              <w:keepLines w:val="0"/>
              <w:keepNext w:val="0"/>
              <w:pageBreakBefore w:val="0"/>
              <w:spacing w:before="1" w:line="240" w:lineRule="auto"/>
              <w:widowControl w:val="off"/>
              <w:rPr>
                <w:sz w:val="24"/>
                <w:szCs w:val="24"/>
                <w:highlight w:val="none"/>
              </w:rPr>
            </w:pPr>
            <w:r>
              <w:rPr>
                <w:spacing w:val="-26"/>
                <w:sz w:val="24"/>
                <w:szCs w:val="24"/>
                <w:highlight w:val="none"/>
              </w:rPr>
              <w:t xml:space="preserve">乙方（供应商</w:t>
            </w:r>
            <w:r>
              <w:rPr>
                <w:spacing w:val="-23"/>
                <w:sz w:val="24"/>
                <w:szCs w:val="24"/>
                <w:highlight w:val="none"/>
              </w:rPr>
              <w:t xml:space="preserve">）：</w:t>
            </w:r>
            <w:r/>
          </w:p>
        </w:tc>
      </w:tr>
      <w:tr>
        <w:trPr>
          <w:trHeight w:val="567"/>
        </w:trPr>
        <w:tc>
          <w:tcPr>
            <w:tcW w:w="4725" w:type="dxa"/>
            <w:vAlign w:val="top"/>
            <w:textDirection w:val="lrTb"/>
            <w:noWrap w:val="false"/>
          </w:tcPr>
          <w:p>
            <w:pPr>
              <w:pStyle w:val="1003"/>
              <w:ind w:left="7"/>
              <w:keepLines w:val="0"/>
              <w:keepNext w:val="0"/>
              <w:pageBreakBefore w:val="0"/>
              <w:spacing w:before="78" w:line="240" w:lineRule="auto"/>
              <w:widowControl w:val="off"/>
              <w:rPr>
                <w:sz w:val="24"/>
                <w:szCs w:val="24"/>
                <w:highlight w:val="none"/>
              </w:rPr>
            </w:pPr>
            <w:r>
              <w:rPr>
                <w:spacing w:val="-6"/>
                <w:sz w:val="24"/>
                <w:szCs w:val="24"/>
                <w:highlight w:val="none"/>
              </w:rPr>
              <w:t xml:space="preserve">（盖章）</w:t>
            </w:r>
            <w:r/>
          </w:p>
        </w:tc>
        <w:tc>
          <w:tcPr>
            <w:tcW w:w="4012" w:type="dxa"/>
            <w:vAlign w:val="top"/>
            <w:textDirection w:val="lrTb"/>
            <w:noWrap w:val="false"/>
          </w:tcPr>
          <w:p>
            <w:pPr>
              <w:pStyle w:val="1003"/>
              <w:jc w:val="left"/>
              <w:keepLines w:val="0"/>
              <w:keepNext w:val="0"/>
              <w:pageBreakBefore w:val="0"/>
              <w:spacing w:before="78" w:line="240" w:lineRule="auto"/>
              <w:widowControl w:val="off"/>
              <w:rPr>
                <w:sz w:val="24"/>
                <w:szCs w:val="24"/>
                <w:highlight w:val="none"/>
              </w:rPr>
            </w:pPr>
            <w:r>
              <w:rPr>
                <w:spacing w:val="-6"/>
                <w:sz w:val="24"/>
                <w:szCs w:val="24"/>
                <w:highlight w:val="none"/>
              </w:rPr>
              <w:t xml:space="preserve">（盖章）</w:t>
            </w:r>
            <w:r/>
          </w:p>
        </w:tc>
      </w:tr>
      <w:tr>
        <w:trPr>
          <w:trHeight w:val="567"/>
        </w:trPr>
        <w:tc>
          <w:tcPr>
            <w:tcW w:w="4725" w:type="dxa"/>
            <w:vAlign w:val="top"/>
            <w:textDirection w:val="lrTb"/>
            <w:noWrap w:val="false"/>
          </w:tcPr>
          <w:p>
            <w:pPr>
              <w:pStyle w:val="1003"/>
              <w:keepLines w:val="0"/>
              <w:keepNext w:val="0"/>
              <w:pageBreakBefore w:val="0"/>
              <w:spacing w:before="127" w:line="240" w:lineRule="auto"/>
              <w:widowControl w:val="off"/>
              <w:rPr>
                <w:sz w:val="24"/>
                <w:szCs w:val="24"/>
                <w:highlight w:val="none"/>
              </w:rPr>
            </w:pPr>
            <w:r>
              <w:rPr>
                <w:spacing w:val="-12"/>
                <w:sz w:val="24"/>
                <w:szCs w:val="24"/>
                <w:highlight w:val="none"/>
              </w:rPr>
              <w:t xml:space="preserve">代表人：</w:t>
            </w:r>
            <w:r/>
          </w:p>
        </w:tc>
        <w:tc>
          <w:tcPr>
            <w:tcW w:w="4012" w:type="dxa"/>
            <w:vAlign w:val="top"/>
            <w:textDirection w:val="lrTb"/>
            <w:noWrap w:val="false"/>
          </w:tcPr>
          <w:p>
            <w:pPr>
              <w:pStyle w:val="1003"/>
              <w:jc w:val="left"/>
              <w:keepLines w:val="0"/>
              <w:keepNext w:val="0"/>
              <w:pageBreakBefore w:val="0"/>
              <w:spacing w:before="127" w:line="240" w:lineRule="auto"/>
              <w:widowControl w:val="off"/>
              <w:rPr>
                <w:sz w:val="24"/>
                <w:szCs w:val="24"/>
                <w:highlight w:val="none"/>
              </w:rPr>
            </w:pPr>
            <w:r>
              <w:rPr>
                <w:spacing w:val="-12"/>
                <w:sz w:val="24"/>
                <w:szCs w:val="24"/>
                <w:highlight w:val="none"/>
              </w:rPr>
              <w:t xml:space="preserve">代表人：</w:t>
            </w:r>
            <w:r/>
          </w:p>
        </w:tc>
      </w:tr>
      <w:tr>
        <w:trPr>
          <w:trHeight w:val="567"/>
        </w:trPr>
        <w:tc>
          <w:tcPr>
            <w:tcW w:w="4725" w:type="dxa"/>
            <w:vAlign w:val="top"/>
            <w:textDirection w:val="lrTb"/>
            <w:noWrap w:val="false"/>
          </w:tcPr>
          <w:p>
            <w:pPr>
              <w:pStyle w:val="1003"/>
              <w:ind w:left="29"/>
              <w:keepLines w:val="0"/>
              <w:keepNext w:val="0"/>
              <w:pageBreakBefore w:val="0"/>
              <w:spacing w:before="128" w:line="240" w:lineRule="auto"/>
              <w:widowControl w:val="off"/>
              <w:rPr>
                <w:sz w:val="24"/>
                <w:szCs w:val="24"/>
                <w:highlight w:val="none"/>
              </w:rPr>
            </w:pPr>
            <w:r>
              <w:rPr>
                <w:spacing w:val="-21"/>
                <w:sz w:val="24"/>
                <w:szCs w:val="24"/>
                <w:highlight w:val="none"/>
              </w:rPr>
              <w:t xml:space="preserve">电话：</w:t>
            </w:r>
            <w:r/>
          </w:p>
        </w:tc>
        <w:tc>
          <w:tcPr>
            <w:tcW w:w="4012" w:type="dxa"/>
            <w:vAlign w:val="top"/>
            <w:textDirection w:val="lrTb"/>
            <w:noWrap w:val="false"/>
          </w:tcPr>
          <w:p>
            <w:pPr>
              <w:pStyle w:val="1003"/>
              <w:jc w:val="left"/>
              <w:keepLines w:val="0"/>
              <w:keepNext w:val="0"/>
              <w:pageBreakBefore w:val="0"/>
              <w:spacing w:before="128" w:line="240" w:lineRule="auto"/>
              <w:widowControl w:val="off"/>
              <w:rPr>
                <w:sz w:val="24"/>
                <w:szCs w:val="24"/>
                <w:highlight w:val="none"/>
              </w:rPr>
            </w:pPr>
            <w:r>
              <w:rPr>
                <w:spacing w:val="-21"/>
                <w:sz w:val="24"/>
                <w:szCs w:val="24"/>
                <w:highlight w:val="none"/>
              </w:rPr>
              <w:t xml:space="preserve">电话：</w:t>
            </w:r>
            <w:r/>
          </w:p>
        </w:tc>
      </w:tr>
      <w:tr>
        <w:trPr>
          <w:trHeight w:val="567"/>
        </w:trPr>
        <w:tc>
          <w:tcPr>
            <w:tcW w:w="4725" w:type="dxa"/>
            <w:vAlign w:val="top"/>
            <w:textDirection w:val="lrTb"/>
            <w:noWrap w:val="false"/>
          </w:tcPr>
          <w:p>
            <w:pPr>
              <w:pStyle w:val="1003"/>
              <w:ind w:left="1"/>
              <w:keepLines w:val="0"/>
              <w:keepNext w:val="0"/>
              <w:pageBreakBefore w:val="0"/>
              <w:spacing w:before="136" w:line="240" w:lineRule="auto"/>
              <w:widowControl w:val="off"/>
              <w:rPr>
                <w:sz w:val="24"/>
                <w:szCs w:val="24"/>
                <w:highlight w:val="none"/>
              </w:rPr>
            </w:pPr>
            <w:r>
              <w:rPr>
                <w:spacing w:val="-11"/>
                <w:sz w:val="24"/>
                <w:szCs w:val="24"/>
                <w:highlight w:val="none"/>
              </w:rPr>
              <w:t xml:space="preserve">开户银行：</w:t>
            </w:r>
            <w:r/>
          </w:p>
        </w:tc>
        <w:tc>
          <w:tcPr>
            <w:tcW w:w="4012" w:type="dxa"/>
            <w:vAlign w:val="top"/>
            <w:textDirection w:val="lrTb"/>
            <w:noWrap w:val="false"/>
          </w:tcPr>
          <w:p>
            <w:pPr>
              <w:pStyle w:val="1003"/>
              <w:jc w:val="left"/>
              <w:keepLines w:val="0"/>
              <w:keepNext w:val="0"/>
              <w:pageBreakBefore w:val="0"/>
              <w:spacing w:before="136" w:line="240" w:lineRule="auto"/>
              <w:widowControl w:val="off"/>
              <w:rPr>
                <w:sz w:val="24"/>
                <w:szCs w:val="24"/>
                <w:highlight w:val="none"/>
              </w:rPr>
            </w:pPr>
            <w:r>
              <w:rPr>
                <w:spacing w:val="-11"/>
                <w:sz w:val="24"/>
                <w:szCs w:val="24"/>
                <w:highlight w:val="none"/>
              </w:rPr>
              <w:t xml:space="preserve">开户银行：</w:t>
            </w:r>
            <w:r/>
          </w:p>
        </w:tc>
      </w:tr>
      <w:tr>
        <w:trPr>
          <w:trHeight w:val="567"/>
        </w:trPr>
        <w:tc>
          <w:tcPr>
            <w:tcW w:w="4725" w:type="dxa"/>
            <w:vAlign w:val="top"/>
            <w:textDirection w:val="lrTb"/>
            <w:noWrap w:val="false"/>
          </w:tcPr>
          <w:p>
            <w:pPr>
              <w:pStyle w:val="1003"/>
              <w:ind w:left="4"/>
              <w:keepLines w:val="0"/>
              <w:keepNext w:val="0"/>
              <w:pageBreakBefore w:val="0"/>
              <w:spacing w:before="129" w:line="240" w:lineRule="auto"/>
              <w:widowControl w:val="off"/>
              <w:rPr>
                <w:sz w:val="24"/>
                <w:szCs w:val="24"/>
                <w:highlight w:val="none"/>
              </w:rPr>
            </w:pPr>
            <w:r>
              <w:rPr>
                <w:spacing w:val="-15"/>
                <w:sz w:val="24"/>
                <w:szCs w:val="24"/>
                <w:highlight w:val="none"/>
              </w:rPr>
              <w:t xml:space="preserve">账号：</w:t>
            </w:r>
            <w:r/>
          </w:p>
        </w:tc>
        <w:tc>
          <w:tcPr>
            <w:tcW w:w="4012" w:type="dxa"/>
            <w:vAlign w:val="top"/>
            <w:textDirection w:val="lrTb"/>
            <w:noWrap w:val="false"/>
          </w:tcPr>
          <w:p>
            <w:pPr>
              <w:pStyle w:val="1003"/>
              <w:jc w:val="left"/>
              <w:keepLines w:val="0"/>
              <w:keepNext w:val="0"/>
              <w:pageBreakBefore w:val="0"/>
              <w:spacing w:before="129" w:line="240" w:lineRule="auto"/>
              <w:widowControl w:val="off"/>
              <w:rPr>
                <w:sz w:val="24"/>
                <w:szCs w:val="24"/>
                <w:highlight w:val="none"/>
              </w:rPr>
            </w:pPr>
            <w:r>
              <w:rPr>
                <w:spacing w:val="-15"/>
                <w:sz w:val="24"/>
                <w:szCs w:val="24"/>
                <w:highlight w:val="none"/>
              </w:rPr>
              <w:t xml:space="preserve">账号：</w:t>
            </w:r>
            <w:r/>
          </w:p>
        </w:tc>
      </w:tr>
    </w:tbl>
    <w:p>
      <w:pPr>
        <w:spacing w:before="26"/>
        <w:rPr>
          <w:highlight w:val="none"/>
        </w:rPr>
      </w:pPr>
      <w:r>
        <w:rPr>
          <w:highlight w:val="none"/>
        </w:rPr>
      </w:r>
      <w:r/>
    </w:p>
    <w:p>
      <w:pPr>
        <w:spacing w:before="26"/>
        <w:rPr>
          <w:highlight w:val="none"/>
        </w:rPr>
      </w:pPr>
      <w:r>
        <w:rPr>
          <w:highlight w:val="none"/>
        </w:rPr>
      </w:r>
      <w:r/>
    </w:p>
    <w:p>
      <w:pPr>
        <w:spacing w:before="26"/>
        <w:rPr>
          <w:highlight w:val="none"/>
        </w:rPr>
      </w:pPr>
      <w:r>
        <w:rPr>
          <w:highlight w:val="none"/>
        </w:rPr>
      </w:r>
      <w:r/>
    </w:p>
    <w:p>
      <w:pPr>
        <w:spacing w:before="26"/>
        <w:rPr>
          <w:highlight w:val="none"/>
        </w:rPr>
      </w:pPr>
      <w:r>
        <w:rPr>
          <w:highlight w:val="none"/>
        </w:rPr>
      </w:r>
      <w:r/>
    </w:p>
    <w:p>
      <w:pPr>
        <w:spacing w:before="26"/>
        <w:rPr>
          <w:highlight w:val="none"/>
        </w:rPr>
      </w:pPr>
      <w:r>
        <w:rPr>
          <w:highlight w:val="none"/>
        </w:rPr>
      </w:r>
      <w:r/>
    </w:p>
    <w:p>
      <w:pPr>
        <w:rPr>
          <w:rFonts w:hint="eastAsia"/>
          <w:highlight w:val="none"/>
          <w:lang w:val="en-US" w:eastAsia="zh-CN"/>
        </w:rPr>
      </w:pPr>
      <w:r>
        <w:rPr>
          <w:rFonts w:hint="eastAsia"/>
          <w:highlight w:val="none"/>
          <w:lang w:val="en-US" w:eastAsia="zh-CN"/>
        </w:rPr>
      </w:r>
      <w:r/>
    </w:p>
    <w:p>
      <w:pPr>
        <w:rPr>
          <w:rFonts w:hint="eastAsia"/>
          <w:sz w:val="24"/>
          <w:szCs w:val="24"/>
          <w:highlight w:val="none"/>
          <w:lang w:val="en-US" w:eastAsia="zh-CN"/>
        </w:rPr>
      </w:pPr>
      <w:r>
        <w:rPr>
          <w:rFonts w:hint="eastAsia"/>
          <w:sz w:val="24"/>
          <w:szCs w:val="24"/>
          <w:highlight w:val="none"/>
          <w:lang w:val="en-US" w:eastAsia="zh-CN"/>
        </w:rPr>
      </w:r>
      <w:r/>
    </w:p>
    <w:p>
      <w:pPr>
        <w:rPr>
          <w:rFonts w:hint="eastAsia"/>
          <w:sz w:val="24"/>
          <w:szCs w:val="24"/>
          <w:highlight w:val="none"/>
          <w:lang w:val="en-US" w:eastAsia="zh-CN"/>
        </w:rPr>
      </w:pPr>
      <w:r>
        <w:rPr>
          <w:rFonts w:hint="eastAsia"/>
          <w:sz w:val="24"/>
          <w:szCs w:val="24"/>
          <w:highlight w:val="none"/>
          <w:lang w:val="en-US" w:eastAsia="zh-CN"/>
        </w:rPr>
      </w:r>
      <w:r/>
    </w:p>
    <w:p>
      <w:pPr>
        <w:rPr>
          <w:rFonts w:hint="eastAsia"/>
          <w:sz w:val="24"/>
          <w:szCs w:val="24"/>
          <w:highlight w:val="none"/>
          <w:lang w:val="en-US" w:eastAsia="zh-CN"/>
        </w:rPr>
      </w:pPr>
      <w:r>
        <w:rPr>
          <w:rFonts w:hint="eastAsia"/>
          <w:sz w:val="24"/>
          <w:szCs w:val="24"/>
          <w:highlight w:val="none"/>
          <w:lang w:val="en-US" w:eastAsia="zh-CN"/>
        </w:rPr>
      </w:r>
      <w:r/>
    </w:p>
    <w:p>
      <w:pPr>
        <w:rPr>
          <w:rFonts w:hint="eastAsia"/>
          <w:sz w:val="24"/>
          <w:szCs w:val="24"/>
          <w:highlight w:val="none"/>
          <w:lang w:val="en-US" w:eastAsia="zh-CN"/>
        </w:rPr>
      </w:pPr>
      <w:r>
        <w:rPr>
          <w:rFonts w:hint="eastAsia"/>
          <w:sz w:val="24"/>
          <w:szCs w:val="24"/>
          <w:highlight w:val="none"/>
          <w:lang w:val="en-US" w:eastAsia="zh-CN"/>
        </w:rPr>
      </w:r>
      <w:r/>
    </w:p>
    <w:p>
      <w:pPr>
        <w:rPr>
          <w:rFonts w:hint="eastAsia"/>
          <w:sz w:val="24"/>
          <w:szCs w:val="24"/>
          <w:highlight w:val="none"/>
          <w:lang w:val="en-US" w:eastAsia="zh-CN"/>
        </w:rPr>
      </w:pPr>
      <w:r>
        <w:rPr>
          <w:rFonts w:hint="eastAsia"/>
          <w:sz w:val="24"/>
          <w:szCs w:val="24"/>
          <w:highlight w:val="none"/>
          <w:lang w:val="en-US" w:eastAsia="zh-CN"/>
        </w:rPr>
      </w:r>
      <w:r/>
    </w:p>
    <w:p>
      <w:pPr>
        <w:rPr>
          <w:rFonts w:hint="eastAsia"/>
          <w:sz w:val="24"/>
          <w:szCs w:val="24"/>
          <w:highlight w:val="none"/>
          <w:lang w:val="en-US" w:eastAsia="zh-CN"/>
        </w:rPr>
      </w:pPr>
      <w:r>
        <w:rPr>
          <w:rFonts w:hint="eastAsia"/>
          <w:sz w:val="24"/>
          <w:szCs w:val="24"/>
          <w:highlight w:val="none"/>
          <w:lang w:val="en-US" w:eastAsia="zh-CN"/>
        </w:rPr>
      </w:r>
      <w:r/>
    </w:p>
    <w:p>
      <w:pPr>
        <w:rPr>
          <w:rFonts w:hint="eastAsia"/>
          <w:sz w:val="24"/>
          <w:szCs w:val="24"/>
          <w:highlight w:val="none"/>
          <w:lang w:val="en-US" w:eastAsia="zh-CN"/>
        </w:rPr>
      </w:pPr>
      <w:r>
        <w:rPr>
          <w:rFonts w:hint="eastAsia"/>
          <w:sz w:val="24"/>
          <w:szCs w:val="24"/>
          <w:highlight w:val="none"/>
          <w:lang w:val="en-US" w:eastAsia="zh-CN"/>
        </w:rPr>
      </w:r>
      <w:r/>
    </w:p>
    <w:p>
      <w:pPr>
        <w:rPr>
          <w:rFonts w:hint="eastAsia"/>
          <w:sz w:val="24"/>
          <w:szCs w:val="24"/>
          <w:highlight w:val="none"/>
          <w:lang w:val="en-US" w:eastAsia="zh-CN"/>
        </w:rPr>
      </w:pPr>
      <w:r>
        <w:rPr>
          <w:rFonts w:hint="eastAsia"/>
          <w:sz w:val="24"/>
          <w:szCs w:val="24"/>
          <w:highlight w:val="none"/>
          <w:lang w:val="en-US" w:eastAsia="zh-CN"/>
        </w:rPr>
      </w:r>
      <w:r/>
    </w:p>
    <w:p>
      <w:pPr>
        <w:rPr>
          <w:rFonts w:hint="eastAsia"/>
          <w:sz w:val="24"/>
          <w:szCs w:val="24"/>
          <w:highlight w:val="none"/>
          <w:lang w:val="en-US" w:eastAsia="zh-CN"/>
        </w:rPr>
      </w:pPr>
      <w:r>
        <w:rPr>
          <w:rFonts w:hint="eastAsia"/>
          <w:sz w:val="24"/>
          <w:szCs w:val="24"/>
          <w:highlight w:val="none"/>
          <w:lang w:val="en-US" w:eastAsia="zh-CN"/>
        </w:rPr>
        <w:t xml:space="preserve">签订时间：</w:t>
      </w:r>
      <w:r/>
    </w:p>
    <w:p>
      <w:pPr>
        <w:pStyle w:val="936"/>
        <w:ind w:firstLine="480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r>
      <w:r/>
    </w:p>
    <w:p>
      <w:pPr>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0"/>
      </w:pPr>
      <w:r>
        <w:rPr>
          <w:rFonts w:hint="eastAsia" w:ascii="宋体" w:hAnsi="宋体" w:eastAsia="宋体" w:cs="Times New Roman"/>
          <w:b/>
          <w:bCs w:val="0"/>
          <w:sz w:val="30"/>
          <w:szCs w:val="21"/>
          <w:highlight w:val="none"/>
        </w:rPr>
      </w:r>
      <w:r/>
    </w:p>
    <w:p>
      <w:pPr>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0"/>
      </w:pPr>
      <w:r>
        <w:rPr>
          <w:rFonts w:hint="eastAsia" w:ascii="宋体" w:hAnsi="宋体" w:eastAsia="宋体" w:cs="Times New Roman"/>
          <w:b/>
          <w:bCs w:val="0"/>
          <w:sz w:val="30"/>
          <w:szCs w:val="21"/>
          <w:highlight w:val="none"/>
        </w:rPr>
        <w:t xml:space="preserve">《*******合同》补充协议（合同附件）</w:t>
      </w:r>
      <w:r/>
    </w:p>
    <w:p>
      <w:pPr>
        <w:pStyle w:val="936"/>
        <w:jc w:val="left"/>
        <w:keepLines w:val="0"/>
        <w:keepNext w:val="0"/>
        <w:pageBreakBefore w:val="0"/>
        <w:spacing w:before="120" w:after="120" w:line="240" w:lineRule="auto"/>
        <w:widowControl w:val="off"/>
        <w:rPr>
          <w:rFonts w:hAnsi="宋体"/>
          <w:color w:val="000000"/>
          <w:sz w:val="24"/>
          <w:szCs w:val="24"/>
          <w:highlight w:val="none"/>
        </w:rPr>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磋商文件</w:t>
      </w:r>
      <w:r>
        <w:rPr>
          <w:rFonts w:hint="eastAsia" w:hAnsi="宋体"/>
          <w:color w:val="000000"/>
          <w:sz w:val="24"/>
          <w:szCs w:val="24"/>
          <w:highlight w:val="none"/>
        </w:rPr>
        <w:t xml:space="preserve">及合同未约定事项，双方可友好协商签订补充协议。</w:t>
      </w:r>
      <w:bookmarkEnd w:id="0"/>
      <w:r/>
      <w:bookmarkEnd w:id="1"/>
      <w:r/>
      <w:bookmarkEnd w:id="2"/>
      <w:r/>
      <w:bookmarkEnd w:id="3"/>
      <w:r/>
      <w:bookmarkEnd w:id="4"/>
      <w:r/>
      <w:bookmarkEnd w:id="5"/>
      <w:r/>
      <w:r/>
    </w:p>
    <w:p>
      <w:pPr>
        <w:pStyle w:val="1001"/>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pPr>
      <w:r/>
      <w:bookmarkStart w:id="13" w:name="_Hlt16619350"/>
      <w:r/>
      <w:bookmarkStart w:id="14" w:name="_Toc120614244"/>
      <w:r/>
      <w:bookmarkStart w:id="15" w:name="_Toc20823346"/>
      <w:r/>
      <w:bookmarkStart w:id="16" w:name="_Toc16938590"/>
      <w:r/>
      <w:bookmarkStart w:id="17" w:name="_Toc462564139"/>
      <w:r/>
      <w:bookmarkStart w:id="18" w:name="_Toc479757211"/>
      <w:r>
        <w:rPr>
          <w:rFonts w:hint="eastAsia" w:ascii="宋体" w:hAnsi="宋体" w:eastAsia="宋体" w:cs="Courier New"/>
          <w:color w:val="000000"/>
          <w:sz w:val="24"/>
          <w:szCs w:val="24"/>
          <w:highlight w:val="none"/>
          <w:lang w:val="en-US" w:eastAsia="zh-CN" w:bidi="ar-SA"/>
        </w:rPr>
        <w:br w:type="page" w:clear="all"/>
      </w:r>
      <w:bookmarkEnd w:id="13"/>
      <w:r/>
      <w:bookmarkEnd w:id="14"/>
      <w:r/>
      <w:bookmarkEnd w:id="15"/>
      <w:r/>
      <w:bookmarkEnd w:id="16"/>
      <w:r/>
      <w:bookmarkStart w:id="19" w:name="_Toc49090575"/>
      <w:r/>
      <w:bookmarkStart w:id="20" w:name="_Toc26554093"/>
      <w:r>
        <w:rPr>
          <w:rFonts w:hint="eastAsia" w:ascii="方正小标宋简体" w:hAnsi="方正小标宋简体" w:eastAsia="方正小标宋简体" w:cs="方正小标宋简体"/>
          <w:color w:val="000000"/>
          <w:sz w:val="36"/>
          <w:szCs w:val="36"/>
          <w:lang w:val="en-US" w:eastAsia="zh-CN" w:bidi="ar-SA"/>
        </w:rPr>
        <w:t xml:space="preserve">第四章  采购需求</w:t>
      </w:r>
      <w:r/>
    </w:p>
    <w:p>
      <w:pPr>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一、项目</w:t>
      </w:r>
      <w:r>
        <w:rPr>
          <w:rFonts w:hint="eastAsia" w:ascii="黑体" w:hAnsi="黑体" w:eastAsia="黑体" w:cs="黑体"/>
          <w:color w:val="000000"/>
          <w:sz w:val="24"/>
          <w:szCs w:val="24"/>
          <w:lang w:val="en-US" w:eastAsia="zh-CN"/>
        </w:rPr>
        <w:t xml:space="preserve">名称</w:t>
      </w:r>
      <w:r>
        <w:rPr>
          <w:rFonts w:hint="eastAsia" w:ascii="黑体" w:hAnsi="黑体" w:eastAsia="黑体" w:cs="黑体"/>
          <w:color w:val="000000"/>
          <w:sz w:val="24"/>
          <w:szCs w:val="24"/>
          <w:lang w:eastAsia="zh-CN"/>
        </w:rPr>
        <w:t xml:space="preserve">：</w:t>
      </w:r>
      <w:r>
        <w:rPr>
          <w:rFonts w:hint="eastAsia" w:ascii="宋体" w:hAnsi="宋体"/>
          <w:color w:val="000000" w:themeColor="text1"/>
          <w:sz w:val="24"/>
          <w:szCs w:val="24"/>
          <w:lang w:val="en-US" w:eastAsia="zh-CN"/>
          <w14:textFill>
            <w14:solidFill>
              <w14:schemeClr w14:val="tx1"/>
            </w14:solidFill>
          </w14:textFill>
        </w:rPr>
        <w:t xml:space="preserve">《工程项目资金管理系统》国产化升级改造项目</w:t>
      </w:r>
      <w:r>
        <w:rPr>
          <w:rFonts w:hint="eastAsia" w:ascii="宋体" w:hAnsi="宋体" w:eastAsia="宋体" w:cs="Times New Roman"/>
          <w:color w:val="000000"/>
          <w:sz w:val="24"/>
          <w:szCs w:val="24"/>
          <w:lang w:val="en-US" w:eastAsia="zh-CN"/>
        </w:rPr>
        <w:t xml:space="preserve">。</w:t>
      </w:r>
      <w:r/>
    </w:p>
    <w:p>
      <w:pPr>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二、项目概况</w:t>
      </w:r>
      <w:r/>
    </w:p>
    <w:p>
      <w:pPr>
        <w:ind w:firstLine="480"/>
        <w:spacing w:line="264" w:lineRule="auto"/>
        <w:rPr>
          <w:rFonts w:ascii="宋体" w:hAnsi="宋体"/>
          <w:sz w:val="24"/>
          <w:szCs w:val="24"/>
        </w:rPr>
      </w:pPr>
      <w:r>
        <w:rPr>
          <w:rFonts w:hint="eastAsia" w:ascii="宋体" w:hAnsi="宋体"/>
          <w:sz w:val="24"/>
          <w:szCs w:val="24"/>
        </w:rPr>
        <w:t xml:space="preserve">（一）项目背景</w:t>
      </w:r>
      <w:r/>
    </w:p>
    <w:p>
      <w:pPr>
        <w:ind w:firstLine="480"/>
        <w:spacing w:line="264"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江浦街道工程项目资金管理系统》建成投产于2022年，涵盖基础设置、项目管理、合同管理、合同付款管理、查询分析统计等业务功能菜单。2025年江浦街道已经完成了自建《财政资金综合管理平台》系统的国产化改造升级，搭建了街道财政信息化管理的纯国产化支撑环境：包括使用了浦口区数治中心国产服务器(麒麟操作系统)、购置了武汉达梦数据库、购置了北京东方通中间件、完成了公安备案和二级等保测评、适配安可电脑国产操作系统客户端进行系统的登录访问。</w:t>
      </w:r>
      <w:r/>
    </w:p>
    <w:p>
      <w:pPr>
        <w:ind w:firstLine="480"/>
        <w:spacing w:line="264"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根据各级主管部门对信息化安全及管理要求，本次改造后，需将《工程项目资金管理系统》集成到现有《财政资金综合管理平台》中，实现统一登录，并完成对原有模块的国产化改造升级、迁移历史数据，达到二级等保的安全管理要求。</w:t>
      </w:r>
      <w:r/>
    </w:p>
    <w:p>
      <w:pPr>
        <w:ind w:firstLine="480"/>
        <w:spacing w:line="264"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（二）项目建设遵循标准</w:t>
      </w:r>
      <w:r/>
    </w:p>
    <w:p>
      <w:pPr>
        <w:ind w:firstLine="480"/>
        <w:spacing w:line="264"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遵循国家、行业及地方现行的规范和标准。</w:t>
      </w:r>
      <w:r/>
    </w:p>
    <w:p>
      <w:pPr>
        <w:ind w:firstLine="480"/>
        <w:spacing w:line="264"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（三）项目目标</w:t>
      </w:r>
      <w:r/>
    </w:p>
    <w:p>
      <w:pPr>
        <w:ind w:firstLine="480"/>
        <w:spacing w:line="264"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1.基于全国产化软硬件支撑环境改造系统，实现上级主管部门对信息化系统国产化的要求。</w:t>
      </w:r>
      <w:r/>
    </w:p>
    <w:p>
      <w:pPr>
        <w:ind w:firstLine="480"/>
        <w:spacing w:line="264"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2.完成工程项目资金管理系统历史数据的迁移。</w:t>
      </w:r>
      <w:r/>
    </w:p>
    <w:p>
      <w:pPr>
        <w:ind w:firstLine="480"/>
        <w:spacing w:line="264"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3.完成现有工程项目资金管理系统功能菜单的改造，使新系统适配于国产化环境。 </w:t>
      </w:r>
      <w:r/>
    </w:p>
    <w:p>
      <w:pPr>
        <w:ind w:firstLine="480"/>
        <w:spacing w:line="264"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4.配合二级等保进行复测。</w:t>
      </w:r>
      <w:r/>
    </w:p>
    <w:p>
      <w:pPr>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项目</w:t>
      </w:r>
      <w:r>
        <w:rPr>
          <w:rFonts w:hint="eastAsia" w:ascii="黑体" w:hAnsi="黑体" w:eastAsia="黑体" w:cs="黑体"/>
          <w:color w:val="000000"/>
          <w:sz w:val="24"/>
          <w:szCs w:val="24"/>
          <w:lang w:eastAsia="zh-CN"/>
        </w:rPr>
        <w:t xml:space="preserve">清单</w:t>
      </w:r>
      <w:r/>
    </w:p>
    <w:tbl>
      <w:tblPr>
        <w:tblStyle w:val="1005"/>
        <w:tblW w:w="83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18"/>
        <w:gridCol w:w="1510"/>
        <w:gridCol w:w="644"/>
        <w:gridCol w:w="749"/>
        <w:gridCol w:w="1690"/>
        <w:gridCol w:w="1710"/>
        <w:gridCol w:w="1308"/>
      </w:tblGrid>
      <w:tr>
        <w:trPr>
          <w:jc w:val="center"/>
          <w:trHeight w:val="437"/>
        </w:trPr>
        <w:tc>
          <w:tcPr>
            <w:tcW w:w="718"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序号</w:t>
            </w:r>
            <w:r/>
          </w:p>
        </w:tc>
        <w:tc>
          <w:tcPr>
            <w:tcW w:w="151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分项</w:t>
            </w:r>
            <w:r>
              <w:rPr>
                <w:rFonts w:hint="eastAsia" w:ascii="宋体" w:hAnsi="宋体" w:eastAsia="宋体" w:cs="Times New Roman"/>
                <w:bCs/>
                <w:color w:val="000000"/>
                <w:sz w:val="24"/>
                <w:szCs w:val="24"/>
              </w:rPr>
              <w:t xml:space="preserve">名称</w:t>
            </w:r>
            <w:r/>
          </w:p>
        </w:tc>
        <w:tc>
          <w:tcPr>
            <w:tcW w:w="644"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数量</w:t>
            </w:r>
            <w:r/>
          </w:p>
        </w:tc>
        <w:tc>
          <w:tcPr>
            <w:tcW w:w="74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单位</w:t>
            </w:r>
            <w:r/>
          </w:p>
        </w:tc>
        <w:tc>
          <w:tcPr>
            <w:tcW w:w="169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rPr>
              <w:t xml:space="preserve">产品类型</w:t>
            </w:r>
            <w:r/>
          </w:p>
        </w:tc>
        <w:tc>
          <w:tcPr>
            <w:tcW w:w="171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所属</w:t>
            </w:r>
            <w:r>
              <w:rPr>
                <w:rFonts w:hint="eastAsia" w:ascii="宋体" w:hAnsi="宋体" w:eastAsia="宋体" w:cs="Times New Roman"/>
                <w:bCs/>
                <w:color w:val="000000"/>
                <w:sz w:val="24"/>
                <w:szCs w:val="24"/>
                <w:lang w:eastAsia="zh-CN"/>
              </w:rPr>
              <w:t xml:space="preserve">行业</w:t>
            </w:r>
            <w:r/>
          </w:p>
        </w:tc>
        <w:tc>
          <w:tcPr>
            <w:tcW w:w="1308"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sz w:val="24"/>
                <w:szCs w:val="24"/>
                <w:lang w:eastAsia="zh-CN"/>
              </w:rPr>
            </w:pPr>
            <w:r>
              <w:rPr>
                <w:rFonts w:hint="eastAsia" w:ascii="宋体" w:hAnsi="宋体" w:eastAsia="宋体" w:cs="宋体"/>
                <w:bCs/>
                <w:color w:val="000000"/>
                <w:sz w:val="24"/>
                <w:szCs w:val="24"/>
                <w:lang w:val="en-US" w:eastAsia="zh-CN"/>
              </w:rPr>
              <w:t xml:space="preserve">属性</w:t>
            </w:r>
            <w:r/>
          </w:p>
        </w:tc>
      </w:tr>
      <w:tr>
        <w:trPr>
          <w:jc w:val="center"/>
          <w:trHeight w:val="597"/>
        </w:trPr>
        <w:tc>
          <w:tcPr>
            <w:tcW w:w="718"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W w:w="151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工程项目资金管理系统国产化改造</w:t>
            </w:r>
            <w:r/>
          </w:p>
        </w:tc>
        <w:tc>
          <w:tcPr>
            <w:tcW w:w="644"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W w:w="749"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套</w:t>
            </w:r>
            <w:r/>
          </w:p>
        </w:tc>
        <w:tc>
          <w:tcPr>
            <w:tcW w:w="169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主要产品</w:t>
            </w:r>
            <w:r/>
          </w:p>
        </w:tc>
        <w:tc>
          <w:tcPr>
            <w:tcW w:w="171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软件和信息技术服务业</w:t>
            </w:r>
            <w:r/>
          </w:p>
        </w:tc>
        <w:tc>
          <w:tcPr>
            <w:tcW w:w="1308"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服务</w:t>
            </w:r>
            <w:r/>
          </w:p>
        </w:tc>
      </w:tr>
      <w:tr>
        <w:trPr>
          <w:jc w:val="center"/>
          <w:trHeight w:val="521"/>
        </w:trPr>
        <w:tc>
          <w:tcPr>
            <w:tcW w:w="718"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2</w:t>
            </w:r>
            <w:r/>
          </w:p>
        </w:tc>
        <w:tc>
          <w:tcPr>
            <w:tcW w:w="151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历史数据迁移</w:t>
            </w:r>
            <w:r/>
          </w:p>
        </w:tc>
        <w:tc>
          <w:tcPr>
            <w:tcW w:w="644"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1</w:t>
            </w:r>
            <w:r/>
          </w:p>
        </w:tc>
        <w:tc>
          <w:tcPr>
            <w:tcW w:w="749"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次</w:t>
            </w:r>
            <w:r/>
          </w:p>
        </w:tc>
        <w:tc>
          <w:tcPr>
            <w:tcW w:w="169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数据服务</w:t>
            </w:r>
            <w:r/>
          </w:p>
        </w:tc>
        <w:tc>
          <w:tcPr>
            <w:tcW w:w="171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软件和信息技术服务业</w:t>
            </w:r>
            <w:r/>
          </w:p>
        </w:tc>
        <w:tc>
          <w:tcPr>
            <w:tcW w:w="1308"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服务</w:t>
            </w:r>
            <w:r/>
          </w:p>
        </w:tc>
      </w:tr>
      <w:tr>
        <w:trPr>
          <w:jc w:val="center"/>
          <w:trHeight w:val="597"/>
        </w:trPr>
        <w:tc>
          <w:tcPr>
            <w:tcW w:w="718"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3</w:t>
            </w:r>
            <w:r/>
          </w:p>
        </w:tc>
        <w:tc>
          <w:tcPr>
            <w:tcW w:w="151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现有平台集成</w:t>
            </w:r>
            <w:r/>
          </w:p>
        </w:tc>
        <w:tc>
          <w:tcPr>
            <w:tcW w:w="644"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1</w:t>
            </w:r>
            <w:r/>
          </w:p>
        </w:tc>
        <w:tc>
          <w:tcPr>
            <w:tcW w:w="749"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次</w:t>
            </w:r>
            <w:r/>
          </w:p>
        </w:tc>
        <w:tc>
          <w:tcPr>
            <w:tcW w:w="169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数据工具</w:t>
            </w:r>
            <w:r/>
          </w:p>
        </w:tc>
        <w:tc>
          <w:tcPr>
            <w:tcW w:w="171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软件和信息技术服务业</w:t>
            </w:r>
            <w:r/>
          </w:p>
        </w:tc>
        <w:tc>
          <w:tcPr>
            <w:tcW w:w="1308"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服务</w:t>
            </w:r>
            <w:r/>
          </w:p>
        </w:tc>
      </w:tr>
      <w:tr>
        <w:trPr>
          <w:jc w:val="center"/>
          <w:trHeight w:val="597"/>
        </w:trPr>
        <w:tc>
          <w:tcPr>
            <w:tcW w:w="718"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4</w:t>
            </w:r>
            <w:r/>
          </w:p>
        </w:tc>
        <w:tc>
          <w:tcPr>
            <w:tcW w:w="151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2级等保复测服务</w:t>
            </w:r>
            <w:r/>
          </w:p>
        </w:tc>
        <w:tc>
          <w:tcPr>
            <w:tcW w:w="644"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1</w:t>
            </w:r>
            <w:r/>
          </w:p>
        </w:tc>
        <w:tc>
          <w:tcPr>
            <w:tcW w:w="749" w:type="dxa"/>
            <w:vAlign w:val="center"/>
            <w:textDirection w:val="lrTb"/>
            <w:noWrap w:val="false"/>
          </w:tcPr>
          <w:p>
            <w:pPr>
              <w:jc w:val="center"/>
              <w:keepLines w:val="0"/>
              <w:keepNext w:val="0"/>
              <w:pageBreakBefore w:val="0"/>
              <w:spacing w:line="240" w:lineRule="auto"/>
              <w:widowControl w:val="off"/>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项</w:t>
            </w:r>
            <w:r/>
          </w:p>
        </w:tc>
        <w:tc>
          <w:tcPr>
            <w:tcW w:w="169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数据服务</w:t>
            </w:r>
            <w:r/>
          </w:p>
        </w:tc>
        <w:tc>
          <w:tcPr>
            <w:tcW w:w="171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软件和信息技术服务业</w:t>
            </w:r>
            <w:r/>
          </w:p>
        </w:tc>
        <w:tc>
          <w:tcPr>
            <w:tcW w:w="1308"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eastAsia="zh-CN"/>
              </w:rPr>
              <w:t xml:space="preserve">服务</w:t>
            </w:r>
            <w:r/>
          </w:p>
        </w:tc>
      </w:tr>
    </w:tbl>
    <w:p>
      <w:pPr>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p>
    <w:p>
      <w:pPr>
        <w:ind w:firstLine="480"/>
        <w:keepLines w:val="0"/>
        <w:keepNext w:val="0"/>
        <w:pageBreakBefore w:val="0"/>
        <w:spacing w:line="264" w:lineRule="auto"/>
        <w:widowControl w:val="off"/>
        <w:rPr>
          <w:rFonts w:hint="eastAsia" w:ascii="宋体" w:hAnsi="宋体" w:eastAsia="宋体" w:cs="宋体"/>
          <w:bCs/>
          <w:color w:val="000000"/>
          <w:sz w:val="24"/>
          <w:szCs w:val="24"/>
        </w:rPr>
      </w:pPr>
      <w:r/>
      <w:bookmarkStart w:id="21" w:name="_Toc120614281"/>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（一）技术要求</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此项所有要求供应商须完全响应并提供《技术要求响应及偏离表》，格式见第六章，未提供或提供内容不全的将作无效投标处理。</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★1、功能、性能、配置要求</w:t>
      </w:r>
      <w:r/>
    </w:p>
    <w:tbl>
      <w:tblPr>
        <w:tblStyle w:val="709"/>
        <w:tblpPr w:horzAnchor="page" w:tblpX="1528" w:vertAnchor="text" w:tblpY="256" w:leftFromText="180" w:topFromText="0" w:rightFromText="180" w:bottomFromText="0"/>
        <w:tblW w:w="92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1"/>
        <w:gridCol w:w="1685"/>
        <w:gridCol w:w="6443"/>
      </w:tblGrid>
      <w:tr>
        <w:trPr/>
        <w:tc>
          <w:tcPr>
            <w:tcW w:w="1131" w:type="dxa"/>
            <w:vAlign w:val="center"/>
            <w:textDirection w:val="lrTb"/>
            <w:noWrap/>
          </w:tcPr>
          <w:p>
            <w:pPr>
              <w:ind w:firstLine="0"/>
              <w:jc w:val="center"/>
              <w:keepLines w:val="0"/>
              <w:keepNext w:val="0"/>
              <w:pageBreakBefore w:val="0"/>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序号</w:t>
            </w:r>
            <w:r/>
          </w:p>
        </w:tc>
        <w:tc>
          <w:tcPr>
            <w:tcW w:w="1685" w:type="dxa"/>
            <w:vAlign w:val="center"/>
            <w:textDirection w:val="lrTb"/>
            <w:noWrap/>
          </w:tcPr>
          <w:p>
            <w:pPr>
              <w:ind w:firstLine="0"/>
              <w:jc w:val="center"/>
              <w:keepLines w:val="0"/>
              <w:keepNext w:val="0"/>
              <w:pageBreakBefore w:val="0"/>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名称</w:t>
            </w:r>
            <w:r/>
          </w:p>
        </w:tc>
        <w:tc>
          <w:tcPr>
            <w:tcW w:w="6443" w:type="dxa"/>
            <w:vAlign w:val="center"/>
            <w:textDirection w:val="lrTb"/>
            <w:noWrap/>
          </w:tcPr>
          <w:p>
            <w:pPr>
              <w:ind w:firstLine="0"/>
              <w:jc w:val="center"/>
              <w:keepLines w:val="0"/>
              <w:keepNext w:val="0"/>
              <w:pageBreakBefore w:val="0"/>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功能、性能、配置要求</w:t>
            </w:r>
            <w:r/>
          </w:p>
        </w:tc>
      </w:tr>
      <w:tr>
        <w:trPr/>
        <w:tc>
          <w:tcPr>
            <w:tcW w:w="1131" w:type="dxa"/>
            <w:vAlign w:val="center"/>
            <w:textDirection w:val="lrTb"/>
            <w:noWrap/>
          </w:tcPr>
          <w:p>
            <w:pPr>
              <w:jc w:val="center"/>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w:t>
            </w:r>
            <w:r/>
          </w:p>
        </w:tc>
        <w:tc>
          <w:tcPr>
            <w:tcW w:w="1685" w:type="dxa"/>
            <w:vAlign w:val="center"/>
            <w:textDirection w:val="lrTb"/>
            <w:noWrap/>
          </w:tcPr>
          <w:p>
            <w:pPr>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sz w:val="24"/>
                <w:szCs w:val="24"/>
              </w:rPr>
              <w:t xml:space="preserve">工程项目资金管理系统国产化改造升级</w:t>
            </w:r>
            <w:r/>
          </w:p>
        </w:tc>
        <w:tc>
          <w:tcPr>
            <w:tcW w:w="6443" w:type="dxa"/>
            <w:vAlign w:val="center"/>
            <w:textDirection w:val="lrTb"/>
            <w:noWrap/>
          </w:tcPr>
          <w:p>
            <w:pPr>
              <w:spacing w:line="320" w:lineRule="exact"/>
              <w:rPr>
                <w:rFonts w:ascii="宋体" w:hAnsi="宋体"/>
                <w:b/>
                <w:sz w:val="24"/>
                <w:szCs w:val="24"/>
              </w:rPr>
            </w:pPr>
            <w:r>
              <w:rPr>
                <w:rFonts w:hint="eastAsia" w:ascii="宋体" w:hAnsi="宋体"/>
                <w:b/>
                <w:sz w:val="24"/>
                <w:szCs w:val="24"/>
              </w:rPr>
              <w:t xml:space="preserve">一、基础设置</w:t>
            </w:r>
            <w:r/>
          </w:p>
          <w:p>
            <w:pPr>
              <w:spacing w:line="320" w:lineRule="exact"/>
              <w:rPr>
                <w:rFonts w:ascii="宋体" w:hAnsi="宋体"/>
                <w:sz w:val="24"/>
                <w:szCs w:val="24"/>
              </w:rPr>
            </w:pPr>
            <w:r>
              <w:rPr>
                <w:rFonts w:hint="eastAsia" w:ascii="宋体" w:hAnsi="宋体"/>
                <w:sz w:val="24"/>
                <w:szCs w:val="24"/>
              </w:rPr>
              <w:t xml:space="preserve">1.自定义导入模板：提供页面供用户自行定义导入数据的模板格式；</w:t>
            </w:r>
            <w:r/>
          </w:p>
          <w:p>
            <w:pPr>
              <w:spacing w:line="320" w:lineRule="exact"/>
              <w:rPr>
                <w:rFonts w:ascii="宋体" w:hAnsi="宋体"/>
                <w:sz w:val="24"/>
                <w:szCs w:val="24"/>
              </w:rPr>
            </w:pPr>
            <w:r>
              <w:rPr>
                <w:rFonts w:hint="eastAsia" w:ascii="宋体" w:hAnsi="宋体"/>
                <w:sz w:val="24"/>
                <w:szCs w:val="24"/>
              </w:rPr>
              <w:t xml:space="preserve">2.自定义导出模板：提供用户导出数据自定义格式配置界面；</w:t>
            </w:r>
            <w:r/>
          </w:p>
          <w:p>
            <w:pPr>
              <w:spacing w:line="320" w:lineRule="exact"/>
              <w:rPr>
                <w:rFonts w:ascii="宋体" w:hAnsi="宋体"/>
                <w:b/>
                <w:sz w:val="24"/>
                <w:szCs w:val="24"/>
              </w:rPr>
            </w:pPr>
            <w:r>
              <w:rPr>
                <w:rFonts w:hint="eastAsia" w:ascii="宋体" w:hAnsi="宋体"/>
                <w:b/>
                <w:sz w:val="24"/>
                <w:szCs w:val="24"/>
              </w:rPr>
              <w:t xml:space="preserve">二、项目立项</w:t>
            </w:r>
            <w:r/>
          </w:p>
          <w:p>
            <w:pPr>
              <w:spacing w:line="320" w:lineRule="exact"/>
              <w:rPr>
                <w:rFonts w:ascii="宋体" w:hAnsi="宋体"/>
                <w:sz w:val="24"/>
                <w:szCs w:val="24"/>
              </w:rPr>
            </w:pPr>
            <w:r>
              <w:rPr>
                <w:rFonts w:hint="eastAsia" w:ascii="宋体" w:hAnsi="宋体"/>
                <w:sz w:val="24"/>
                <w:szCs w:val="24"/>
              </w:rPr>
              <w:t xml:space="preserve">1.批量导入：根据定义的模板，批量导入项目基本信息（城建计划）；</w:t>
            </w:r>
            <w:r/>
          </w:p>
          <w:p>
            <w:pPr>
              <w:spacing w:line="320" w:lineRule="exact"/>
              <w:rPr>
                <w:rFonts w:ascii="宋体" w:hAnsi="宋体"/>
                <w:sz w:val="24"/>
                <w:szCs w:val="24"/>
              </w:rPr>
            </w:pPr>
            <w:r>
              <w:rPr>
                <w:rFonts w:hint="eastAsia" w:ascii="宋体" w:hAnsi="宋体"/>
                <w:sz w:val="24"/>
                <w:szCs w:val="24"/>
              </w:rPr>
              <w:t xml:space="preserve">2.项目登记：提供界面供用户单个录入项目名称及基本信息，勾选（复选）本项目涉及到的各类里程碑，包括但不限于可研、勘测、立项、设计、环评、施工、监理等；</w:t>
            </w:r>
            <w:r/>
          </w:p>
          <w:p>
            <w:pPr>
              <w:spacing w:line="320" w:lineRule="exact"/>
              <w:rPr>
                <w:rFonts w:ascii="宋体" w:hAnsi="宋体"/>
                <w:b/>
                <w:sz w:val="24"/>
                <w:szCs w:val="24"/>
              </w:rPr>
            </w:pPr>
            <w:r>
              <w:rPr>
                <w:rFonts w:hint="eastAsia" w:ascii="宋体" w:hAnsi="宋体"/>
                <w:b/>
                <w:sz w:val="24"/>
                <w:szCs w:val="24"/>
              </w:rPr>
              <w:t xml:space="preserve">三、项目过程管理  </w:t>
            </w:r>
            <w:r/>
          </w:p>
          <w:p>
            <w:pPr>
              <w:spacing w:line="320" w:lineRule="exact"/>
              <w:rPr>
                <w:rFonts w:ascii="宋体" w:hAnsi="宋体"/>
                <w:sz w:val="24"/>
                <w:szCs w:val="24"/>
              </w:rPr>
            </w:pPr>
            <w:r>
              <w:rPr>
                <w:rFonts w:hint="eastAsia" w:ascii="宋体" w:hAnsi="宋体"/>
                <w:sz w:val="24"/>
                <w:szCs w:val="24"/>
              </w:rPr>
              <w:t xml:space="preserve">1.项目资料登记：根据项目所涉及的里程碑事件，提供界面供用户补充登记节点事件资料、数据；</w:t>
            </w:r>
            <w:r/>
          </w:p>
          <w:p>
            <w:pPr>
              <w:spacing w:line="320" w:lineRule="exact"/>
              <w:rPr>
                <w:rFonts w:ascii="宋体" w:hAnsi="宋体"/>
                <w:sz w:val="24"/>
                <w:szCs w:val="24"/>
              </w:rPr>
            </w:pPr>
            <w:r>
              <w:rPr>
                <w:rFonts w:hint="eastAsia" w:ascii="宋体" w:hAnsi="宋体"/>
                <w:sz w:val="24"/>
                <w:szCs w:val="24"/>
              </w:rPr>
              <w:t xml:space="preserve">2.合同登记：提供界面供用户登记项目涉及的各类合同，包括但不限于可研合同、造假合同、施工合同、监理合同、跟审合同等；</w:t>
            </w:r>
            <w:r/>
          </w:p>
          <w:p>
            <w:pPr>
              <w:spacing w:line="320" w:lineRule="exact"/>
              <w:rPr>
                <w:rFonts w:ascii="宋体" w:hAnsi="宋体"/>
                <w:sz w:val="24"/>
                <w:szCs w:val="24"/>
              </w:rPr>
            </w:pPr>
            <w:r>
              <w:rPr>
                <w:rFonts w:hint="eastAsia" w:ascii="宋体" w:hAnsi="宋体"/>
                <w:sz w:val="24"/>
                <w:szCs w:val="24"/>
              </w:rPr>
              <w:t xml:space="preserve">3.提供项目一览和合同一览界面，供用户集中查询各类附件上传的资料；</w:t>
            </w:r>
            <w:r/>
          </w:p>
          <w:p>
            <w:pPr>
              <w:spacing w:line="320" w:lineRule="exact"/>
              <w:rPr>
                <w:rFonts w:ascii="宋体" w:hAnsi="宋体"/>
                <w:sz w:val="24"/>
                <w:szCs w:val="24"/>
              </w:rPr>
            </w:pPr>
            <w:r>
              <w:rPr>
                <w:rFonts w:hint="eastAsia" w:ascii="宋体" w:hAnsi="宋体"/>
                <w:sz w:val="24"/>
                <w:szCs w:val="24"/>
              </w:rPr>
              <w:t xml:space="preserve">4.提供合同终止功能，包括正常履约、手工终止、其他等。</w:t>
            </w:r>
            <w:r/>
          </w:p>
          <w:p>
            <w:pPr>
              <w:spacing w:line="320" w:lineRule="exact"/>
              <w:rPr>
                <w:rFonts w:ascii="宋体" w:hAnsi="宋体"/>
                <w:b/>
                <w:sz w:val="24"/>
                <w:szCs w:val="24"/>
              </w:rPr>
            </w:pPr>
            <w:r>
              <w:rPr>
                <w:rFonts w:hint="eastAsia" w:ascii="宋体" w:hAnsi="宋体"/>
                <w:b/>
                <w:sz w:val="24"/>
                <w:szCs w:val="24"/>
              </w:rPr>
              <w:t xml:space="preserve">四、项目资金管理  </w:t>
            </w:r>
            <w:r/>
          </w:p>
          <w:p>
            <w:pPr>
              <w:spacing w:line="320" w:lineRule="exact"/>
              <w:rPr>
                <w:rFonts w:ascii="宋体" w:hAnsi="宋体"/>
                <w:sz w:val="24"/>
                <w:szCs w:val="24"/>
              </w:rPr>
            </w:pPr>
            <w:r>
              <w:rPr>
                <w:rFonts w:hint="eastAsia" w:ascii="宋体" w:hAnsi="宋体"/>
                <w:sz w:val="24"/>
                <w:szCs w:val="24"/>
              </w:rPr>
              <w:t xml:space="preserve">1.项目进度维护：提供界面供用户上传相关工作量清单，维护项目进度；</w:t>
            </w:r>
            <w:r/>
          </w:p>
          <w:p>
            <w:pPr>
              <w:spacing w:line="320" w:lineRule="exact"/>
              <w:rPr>
                <w:rFonts w:ascii="宋体" w:hAnsi="宋体"/>
                <w:sz w:val="24"/>
                <w:szCs w:val="24"/>
              </w:rPr>
            </w:pPr>
            <w:r>
              <w:rPr>
                <w:rFonts w:hint="eastAsia" w:ascii="宋体" w:hAnsi="宋体"/>
                <w:sz w:val="24"/>
                <w:szCs w:val="24"/>
              </w:rPr>
              <w:t xml:space="preserve">2.合同付款申请：供项目实施单位经办人填写对应合同进度款申请；</w:t>
            </w:r>
            <w:r/>
          </w:p>
          <w:p>
            <w:pPr>
              <w:spacing w:line="320" w:lineRule="exact"/>
              <w:rPr>
                <w:rFonts w:ascii="宋体" w:hAnsi="宋体"/>
                <w:sz w:val="24"/>
                <w:szCs w:val="24"/>
              </w:rPr>
            </w:pPr>
            <w:r>
              <w:rPr>
                <w:rFonts w:hint="eastAsia" w:ascii="宋体" w:hAnsi="宋体"/>
                <w:sz w:val="24"/>
                <w:szCs w:val="24"/>
              </w:rPr>
              <w:t xml:space="preserve">3.财政审核：对经办人发起的各类付款申请进行审核；</w:t>
            </w:r>
            <w:r/>
          </w:p>
          <w:p>
            <w:pPr>
              <w:spacing w:line="320" w:lineRule="exact"/>
              <w:rPr>
                <w:rFonts w:ascii="宋体" w:hAnsi="宋体"/>
                <w:sz w:val="24"/>
                <w:szCs w:val="24"/>
              </w:rPr>
            </w:pPr>
            <w:r>
              <w:rPr>
                <w:rFonts w:hint="eastAsia" w:ascii="宋体" w:hAnsi="宋体"/>
                <w:sz w:val="24"/>
                <w:szCs w:val="24"/>
              </w:rPr>
              <w:t xml:space="preserve">4.结算价管理：提供界面供用户上传更新工程合同最终的审定价（结算价）；</w:t>
            </w:r>
            <w:r/>
          </w:p>
          <w:p>
            <w:pPr>
              <w:spacing w:line="320" w:lineRule="exact"/>
              <w:rPr>
                <w:rFonts w:ascii="宋体" w:hAnsi="宋体"/>
                <w:b/>
                <w:sz w:val="24"/>
                <w:szCs w:val="24"/>
              </w:rPr>
            </w:pPr>
            <w:r>
              <w:rPr>
                <w:rFonts w:hint="eastAsia" w:ascii="宋体" w:hAnsi="宋体"/>
                <w:b/>
                <w:sz w:val="24"/>
                <w:szCs w:val="24"/>
              </w:rPr>
              <w:t xml:space="preserve">五、综合查询  </w:t>
            </w:r>
            <w:r/>
          </w:p>
          <w:p>
            <w:pPr>
              <w:spacing w:line="320" w:lineRule="exact"/>
              <w:rPr>
                <w:rFonts w:ascii="宋体" w:hAnsi="宋体"/>
                <w:sz w:val="24"/>
                <w:szCs w:val="24"/>
              </w:rPr>
            </w:pPr>
            <w:r>
              <w:rPr>
                <w:rFonts w:hint="eastAsia" w:ascii="宋体" w:hAnsi="宋体"/>
                <w:sz w:val="24"/>
                <w:szCs w:val="24"/>
              </w:rPr>
              <w:t xml:space="preserve">1.项目查询：提供界面供用户进行项目筛选，查询已上传的各类附件资料；</w:t>
            </w:r>
            <w:r/>
          </w:p>
          <w:p>
            <w:pPr>
              <w:spacing w:line="320" w:lineRule="exact"/>
              <w:rPr>
                <w:rFonts w:ascii="宋体" w:hAnsi="宋体"/>
                <w:sz w:val="24"/>
                <w:szCs w:val="24"/>
              </w:rPr>
            </w:pPr>
            <w:r>
              <w:rPr>
                <w:rFonts w:hint="eastAsia" w:ascii="宋体" w:hAnsi="宋体"/>
                <w:sz w:val="24"/>
                <w:szCs w:val="24"/>
              </w:rPr>
              <w:t xml:space="preserve">2.付款明细表查询：提供界面供用户按照合同名称、付款时间段等事件进行付款明细查询；</w:t>
            </w:r>
            <w:r/>
          </w:p>
          <w:p>
            <w:pPr>
              <w:spacing w:line="320" w:lineRule="exact"/>
              <w:rPr>
                <w:rFonts w:ascii="宋体" w:hAnsi="宋体"/>
                <w:sz w:val="24"/>
                <w:szCs w:val="24"/>
              </w:rPr>
            </w:pPr>
            <w:r>
              <w:rPr>
                <w:rFonts w:hint="eastAsia" w:ascii="宋体" w:hAnsi="宋体"/>
                <w:sz w:val="24"/>
                <w:szCs w:val="24"/>
              </w:rPr>
              <w:t xml:space="preserve">3.付款汇总查询：提供界面按照项目查询该项目下所有涉及合同的应付、已付、审计结算、未付金额。</w:t>
            </w:r>
            <w:r/>
          </w:p>
          <w:p>
            <w:pPr>
              <w:ind w:firstLine="0"/>
              <w:keepLines w:val="0"/>
              <w:keepNext w:val="0"/>
              <w:pageBreakBefore w:val="0"/>
              <w:widowControl w:val="off"/>
              <w:rPr>
                <w:rFonts w:ascii="仿宋" w:hAnsi="仿宋" w:eastAsia="仿宋" w:cs="仿宋"/>
                <w:sz w:val="24"/>
                <w:szCs w:val="24"/>
              </w:rPr>
            </w:pPr>
            <w:r>
              <w:rPr>
                <w:rFonts w:hint="eastAsia" w:ascii="宋体" w:hAnsi="宋体"/>
                <w:sz w:val="24"/>
                <w:szCs w:val="24"/>
              </w:rPr>
              <w:t xml:space="preserve">4.项目资料打包下载：提供界面供用户按照项目集中打包下载所有涉及的项目资料，供导出审计用。</w:t>
            </w:r>
            <w:r/>
          </w:p>
        </w:tc>
      </w:tr>
      <w:tr>
        <w:trPr>
          <w:trHeight w:val="487"/>
        </w:trPr>
        <w:tc>
          <w:tcPr>
            <w:tcW w:w="1131" w:type="dxa"/>
            <w:vAlign w:val="center"/>
            <w:textDirection w:val="lrTb"/>
            <w:noWrap/>
          </w:tcPr>
          <w:p>
            <w:pPr>
              <w:ind w:firstLine="0"/>
              <w:jc w:val="center"/>
              <w:keepLines w:val="0"/>
              <w:keepNext w:val="0"/>
              <w:pageBreakBefore w:val="0"/>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序号</w:t>
            </w:r>
            <w:r/>
          </w:p>
        </w:tc>
        <w:tc>
          <w:tcPr>
            <w:tcW w:w="1685" w:type="dxa"/>
            <w:vAlign w:val="center"/>
            <w:textDirection w:val="lrTb"/>
            <w:noWrap/>
          </w:tcPr>
          <w:p>
            <w:pPr>
              <w:ind w:firstLine="0"/>
              <w:jc w:val="center"/>
              <w:keepLines w:val="0"/>
              <w:keepNext w:val="0"/>
              <w:pageBreakBefore w:val="0"/>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名称</w:t>
            </w:r>
            <w:r/>
          </w:p>
        </w:tc>
        <w:tc>
          <w:tcPr>
            <w:tcW w:w="6443" w:type="dxa"/>
            <w:vAlign w:val="center"/>
            <w:textDirection w:val="lrTb"/>
            <w:noWrap/>
          </w:tcPr>
          <w:p>
            <w:pPr>
              <w:ind w:firstLine="0"/>
              <w:jc w:val="center"/>
              <w:keepLines w:val="0"/>
              <w:keepNext w:val="0"/>
              <w:pageBreakBefore w:val="0"/>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功能、性能、配置要求</w:t>
            </w:r>
            <w:r/>
          </w:p>
        </w:tc>
      </w:tr>
      <w:tr>
        <w:trPr/>
        <w:tc>
          <w:tcPr>
            <w:tcW w:w="1131" w:type="dxa"/>
            <w:vAlign w:val="center"/>
            <w:textDirection w:val="lrTb"/>
            <w:noWrap/>
          </w:tcPr>
          <w:p>
            <w:pPr>
              <w:ind w:firstLine="0"/>
              <w:jc w:val="center"/>
              <w:keepLines w:val="0"/>
              <w:keepNext w:val="0"/>
              <w:pageBreakBefore w:val="0"/>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w:t>
            </w:r>
            <w:r/>
          </w:p>
        </w:tc>
        <w:tc>
          <w:tcPr>
            <w:tcW w:w="1685" w:type="dxa"/>
            <w:vAlign w:val="center"/>
            <w:textDirection w:val="lrTb"/>
            <w:noWrap/>
          </w:tcPr>
          <w:p>
            <w:pPr>
              <w:spacing w:line="320" w:lineRule="exact"/>
              <w:rPr>
                <w:rFonts w:hint="eastAsia" w:ascii="宋体" w:hAnsi="宋体" w:eastAsia="宋体" w:cs="Times New Roman"/>
                <w:color w:val="000000"/>
                <w:sz w:val="24"/>
                <w:szCs w:val="24"/>
                <w:lang w:val="en-US" w:eastAsia="zh-CN" w:bidi="ar-SA"/>
              </w:rPr>
            </w:pPr>
            <w:r>
              <w:rPr>
                <w:rFonts w:hint="eastAsia" w:ascii="宋体" w:hAnsi="宋体"/>
                <w:b/>
                <w:bCs/>
                <w:sz w:val="24"/>
                <w:szCs w:val="24"/>
              </w:rPr>
              <w:t xml:space="preserve">历史数据迁移</w:t>
            </w:r>
            <w:r/>
          </w:p>
        </w:tc>
        <w:tc>
          <w:tcPr>
            <w:tcW w:w="6443" w:type="dxa"/>
            <w:vAlign w:val="center"/>
            <w:textDirection w:val="lrTb"/>
            <w:noWrap/>
          </w:tcPr>
          <w:p>
            <w:pPr>
              <w:spacing w:before="129" w:line="320" w:lineRule="exact"/>
              <w:rPr>
                <w:rFonts w:hint="eastAsia" w:ascii="宋体" w:hAnsi="宋体" w:eastAsia="宋体" w:cs="Times New Roman"/>
                <w:color w:val="000000"/>
                <w:sz w:val="24"/>
                <w:szCs w:val="24"/>
                <w:lang w:val="en-US" w:eastAsia="zh-CN" w:bidi="ar-SA"/>
              </w:rPr>
            </w:pPr>
            <w:r>
              <w:rPr>
                <w:rFonts w:hint="eastAsia" w:ascii="宋体" w:hAnsi="宋体"/>
                <w:sz w:val="24"/>
                <w:szCs w:val="24"/>
              </w:rPr>
              <w:t xml:space="preserve">1.现有历史库表数据迁移。2.电子档案：2022年至今工程项目资金管理环节在各类表单申请时上传的附件（约200G），需与新项目库表数据条目一一对应。</w:t>
            </w:r>
            <w:r/>
          </w:p>
        </w:tc>
      </w:tr>
      <w:tr>
        <w:trPr>
          <w:trHeight w:val="467"/>
        </w:trPr>
        <w:tc>
          <w:tcPr>
            <w:tcW w:w="1131" w:type="dxa"/>
            <w:vAlign w:val="center"/>
            <w:textDirection w:val="lrTb"/>
            <w:noWrap/>
          </w:tcPr>
          <w:p>
            <w:pPr>
              <w:ind w:firstLine="0"/>
              <w:jc w:val="center"/>
              <w:keepLines w:val="0"/>
              <w:keepNext w:val="0"/>
              <w:pageBreakBefore w:val="0"/>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序号</w:t>
            </w:r>
            <w:r/>
          </w:p>
        </w:tc>
        <w:tc>
          <w:tcPr>
            <w:tcW w:w="1685" w:type="dxa"/>
            <w:vAlign w:val="center"/>
            <w:textDirection w:val="lrTb"/>
            <w:noWrap/>
          </w:tcPr>
          <w:p>
            <w:pPr>
              <w:ind w:firstLine="0"/>
              <w:jc w:val="center"/>
              <w:keepLines w:val="0"/>
              <w:keepNext w:val="0"/>
              <w:pageBreakBefore w:val="0"/>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名称</w:t>
            </w:r>
            <w:r/>
          </w:p>
        </w:tc>
        <w:tc>
          <w:tcPr>
            <w:tcW w:w="6443" w:type="dxa"/>
            <w:vAlign w:val="center"/>
            <w:textDirection w:val="lrTb"/>
            <w:noWrap/>
          </w:tcPr>
          <w:p>
            <w:pPr>
              <w:ind w:firstLine="0"/>
              <w:jc w:val="center"/>
              <w:keepLines w:val="0"/>
              <w:keepNext w:val="0"/>
              <w:pageBreakBefore w:val="0"/>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功能、性能、配置要求</w:t>
            </w:r>
            <w:r/>
          </w:p>
        </w:tc>
      </w:tr>
      <w:tr>
        <w:trPr/>
        <w:tc>
          <w:tcPr>
            <w:tcW w:w="1131" w:type="dxa"/>
            <w:vAlign w:val="center"/>
            <w:textDirection w:val="lrTb"/>
            <w:noWrap/>
          </w:tcPr>
          <w:p>
            <w:pPr>
              <w:ind w:firstLine="0"/>
              <w:jc w:val="center"/>
              <w:keepLines w:val="0"/>
              <w:keepNext w:val="0"/>
              <w:pageBreakBefore w:val="0"/>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w:t>
            </w:r>
            <w:r/>
          </w:p>
        </w:tc>
        <w:tc>
          <w:tcPr>
            <w:tcW w:w="1685" w:type="dxa"/>
            <w:vAlign w:val="center"/>
            <w:textDirection w:val="lrTb"/>
            <w:noWrap/>
          </w:tcPr>
          <w:p>
            <w:pPr>
              <w:jc w:val="left"/>
              <w:spacing w:line="320" w:lineRule="exact"/>
              <w:rPr>
                <w:rFonts w:hint="eastAsia" w:ascii="宋体" w:hAnsi="宋体" w:eastAsia="宋体" w:cs="Times New Roman"/>
                <w:color w:val="000000"/>
                <w:sz w:val="24"/>
                <w:szCs w:val="24"/>
                <w:lang w:val="en-US" w:eastAsia="zh-CN" w:bidi="ar-SA"/>
              </w:rPr>
            </w:pPr>
            <w:r>
              <w:rPr>
                <w:rFonts w:hint="eastAsia" w:ascii="宋体" w:hAnsi="宋体"/>
                <w:b/>
                <w:bCs/>
                <w:sz w:val="24"/>
                <w:szCs w:val="24"/>
              </w:rPr>
              <w:t xml:space="preserve">现有平台集成</w:t>
            </w:r>
            <w:r/>
          </w:p>
        </w:tc>
        <w:tc>
          <w:tcPr>
            <w:tcW w:w="6443" w:type="dxa"/>
            <w:vAlign w:val="center"/>
            <w:textDirection w:val="lrTb"/>
            <w:noWrap/>
          </w:tcPr>
          <w:p>
            <w:pPr>
              <w:jc w:val="left"/>
              <w:spacing w:line="320" w:lineRule="exact"/>
              <w:rPr>
                <w:rFonts w:hint="eastAsia" w:ascii="宋体" w:hAnsi="宋体" w:eastAsia="宋体" w:cs="Times New Roman"/>
                <w:color w:val="000000"/>
                <w:sz w:val="24"/>
                <w:szCs w:val="24"/>
                <w:lang w:val="en-US" w:eastAsia="zh-CN" w:bidi="ar-SA"/>
              </w:rPr>
            </w:pPr>
            <w:r>
              <w:rPr>
                <w:rFonts w:ascii="宋体" w:hAnsi="宋体"/>
                <w:bCs/>
                <w:sz w:val="24"/>
                <w:szCs w:val="24"/>
              </w:rPr>
              <w:t xml:space="preserve">与街道现有《财政资金综合管理平台》集成，实现统一登录、统一分配权限。</w:t>
            </w:r>
            <w:r/>
          </w:p>
        </w:tc>
      </w:tr>
      <w:tr>
        <w:trPr/>
        <w:tc>
          <w:tcPr>
            <w:tcW w:w="1131" w:type="dxa"/>
            <w:vAlign w:val="center"/>
            <w:textDirection w:val="lrTb"/>
            <w:noWrap/>
          </w:tcPr>
          <w:p>
            <w:pPr>
              <w:ind w:firstLine="0"/>
              <w:jc w:val="center"/>
              <w:keepLines w:val="0"/>
              <w:keepNext w:val="0"/>
              <w:pageBreakBefore w:val="0"/>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序号</w:t>
            </w:r>
            <w:r/>
          </w:p>
        </w:tc>
        <w:tc>
          <w:tcPr>
            <w:tcW w:w="1685" w:type="dxa"/>
            <w:vAlign w:val="center"/>
            <w:textDirection w:val="lrTb"/>
            <w:noWrap/>
          </w:tcPr>
          <w:p>
            <w:pPr>
              <w:ind w:firstLine="0"/>
              <w:jc w:val="center"/>
              <w:keepLines w:val="0"/>
              <w:keepNext w:val="0"/>
              <w:pageBreakBefore w:val="0"/>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名称</w:t>
            </w:r>
            <w:r/>
          </w:p>
        </w:tc>
        <w:tc>
          <w:tcPr>
            <w:tcW w:w="6443" w:type="dxa"/>
            <w:vAlign w:val="center"/>
            <w:textDirection w:val="lrTb"/>
            <w:noWrap/>
          </w:tcPr>
          <w:p>
            <w:pPr>
              <w:ind w:firstLine="0"/>
              <w:jc w:val="center"/>
              <w:keepLines w:val="0"/>
              <w:keepNext w:val="0"/>
              <w:pageBreakBefore w:val="0"/>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功能、性能、配置要求</w:t>
            </w:r>
            <w:r/>
          </w:p>
        </w:tc>
      </w:tr>
      <w:tr>
        <w:trPr/>
        <w:tc>
          <w:tcPr>
            <w:tcW w:w="1131" w:type="dxa"/>
            <w:vAlign w:val="center"/>
            <w:textDirection w:val="lrTb"/>
            <w:noWrap/>
          </w:tcPr>
          <w:p>
            <w:pPr>
              <w:ind w:firstLine="0"/>
              <w:jc w:val="center"/>
              <w:keepLines w:val="0"/>
              <w:keepNext w:val="0"/>
              <w:pageBreakBefore w:val="0"/>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4</w:t>
            </w:r>
            <w:r/>
          </w:p>
        </w:tc>
        <w:tc>
          <w:tcPr>
            <w:tcW w:w="1685" w:type="dxa"/>
            <w:vAlign w:val="center"/>
            <w:textDirection w:val="lrTb"/>
            <w:noWrap/>
          </w:tcPr>
          <w:p>
            <w:pPr>
              <w:spacing w:line="320" w:lineRule="exact"/>
              <w:rPr>
                <w:rFonts w:hint="eastAsia" w:ascii="宋体" w:hAnsi="宋体" w:eastAsia="宋体" w:cs="Times New Roman"/>
                <w:color w:val="000000"/>
                <w:sz w:val="24"/>
                <w:szCs w:val="24"/>
                <w:lang w:val="en-US" w:eastAsia="zh-CN" w:bidi="ar-SA"/>
              </w:rPr>
            </w:pPr>
            <w:r>
              <w:rPr>
                <w:rFonts w:hint="eastAsia" w:ascii="宋体" w:hAnsi="宋体"/>
                <w:b/>
                <w:bCs/>
                <w:sz w:val="24"/>
                <w:szCs w:val="24"/>
              </w:rPr>
              <w:t xml:space="preserve">2级等保复测服务</w:t>
            </w:r>
            <w:r/>
          </w:p>
        </w:tc>
        <w:tc>
          <w:tcPr>
            <w:tcW w:w="6443" w:type="dxa"/>
            <w:vAlign w:val="center"/>
            <w:textDirection w:val="lrTb"/>
            <w:noWrap/>
          </w:tcPr>
          <w:p>
            <w:pPr>
              <w:spacing w:before="129" w:line="320" w:lineRule="exact"/>
              <w:rPr>
                <w:rFonts w:hint="eastAsia" w:ascii="宋体" w:hAnsi="宋体" w:eastAsia="宋体" w:cs="Times New Roman"/>
                <w:color w:val="000000"/>
                <w:sz w:val="24"/>
                <w:szCs w:val="24"/>
                <w:lang w:val="en-US" w:eastAsia="zh-CN" w:bidi="ar-SA"/>
              </w:rPr>
            </w:pPr>
            <w:r>
              <w:rPr>
                <w:rFonts w:ascii="宋体" w:hAnsi="宋体"/>
                <w:sz w:val="24"/>
                <w:szCs w:val="24"/>
              </w:rPr>
              <w:t xml:space="preserve">《工程项目资金管理》集成到现有平台后，街道安排等保二级复测，费用由中标供应商承担，并完成代码整改工作。</w:t>
            </w:r>
            <w:r/>
          </w:p>
        </w:tc>
      </w:tr>
    </w:tbl>
    <w:p>
      <w:pPr>
        <w:ind w:firstLine="24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ind w:firstLine="24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★2、其他实施服务要求</w:t>
      </w:r>
      <w:r/>
    </w:p>
    <w:tbl>
      <w:tblPr>
        <w:tblStyle w:val="709"/>
        <w:tblpPr w:horzAnchor="margin" w:tblpXSpec="center" w:vertAnchor="text" w:tblpY="251" w:leftFromText="180" w:topFromText="0" w:rightFromText="180" w:bottomFromText="0"/>
        <w:tblW w:w="90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5"/>
        <w:gridCol w:w="2070"/>
        <w:gridCol w:w="5844"/>
      </w:tblGrid>
      <w:tr>
        <w:trPr/>
        <w:tc>
          <w:tcPr>
            <w:tcBorders>
              <w:top w:val="single" w:color="000000" w:sz="4" w:space="0"/>
              <w:left w:val="single" w:color="000000" w:sz="4" w:space="0"/>
              <w:bottom w:val="single" w:color="000000" w:sz="4" w:space="0"/>
              <w:right w:val="single" w:color="000000" w:sz="4" w:space="0"/>
            </w:tcBorders>
            <w:tcW w:w="1125" w:type="dxa"/>
            <w:textDirection w:val="lrTb"/>
            <w:noWrap/>
          </w:tcPr>
          <w:p>
            <w:pPr>
              <w:jc w:val="center"/>
              <w:rPr>
                <w:rFonts w:ascii="宋体" w:hAnsi="宋体"/>
                <w:b/>
                <w:bCs/>
                <w:sz w:val="28"/>
                <w:szCs w:val="28"/>
                <w:lang w:eastAsia="en-US"/>
              </w:rPr>
            </w:pPr>
            <w:r>
              <w:rPr>
                <w:rFonts w:ascii="宋体" w:hAnsi="宋体"/>
                <w:b/>
                <w:bCs/>
                <w:sz w:val="28"/>
                <w:szCs w:val="28"/>
                <w:lang w:val="zh-CN" w:eastAsia="en-US"/>
              </w:rPr>
              <w:t xml:space="preserve">序号</w:t>
            </w:r>
            <w:r/>
          </w:p>
        </w:tc>
        <w:tc>
          <w:tcPr>
            <w:tcBorders>
              <w:top w:val="single" w:color="000000" w:sz="4" w:space="0"/>
              <w:left w:val="none" w:color="000000" w:sz="4" w:space="0"/>
              <w:bottom w:val="single" w:color="000000" w:sz="4" w:space="0"/>
              <w:right w:val="single" w:color="000000" w:sz="4" w:space="0"/>
            </w:tcBorders>
            <w:tcW w:w="2070" w:type="dxa"/>
            <w:textDirection w:val="lrTb"/>
            <w:noWrap/>
          </w:tcPr>
          <w:p>
            <w:pPr>
              <w:jc w:val="center"/>
              <w:rPr>
                <w:rFonts w:ascii="宋体" w:hAnsi="宋体"/>
                <w:b/>
                <w:bCs/>
                <w:sz w:val="28"/>
                <w:szCs w:val="28"/>
                <w:lang w:val="zh-CN" w:eastAsia="en-US"/>
              </w:rPr>
            </w:pPr>
            <w:r>
              <w:rPr>
                <w:rFonts w:ascii="宋体" w:hAnsi="宋体"/>
                <w:b/>
                <w:bCs/>
                <w:sz w:val="28"/>
                <w:szCs w:val="28"/>
                <w:lang w:val="zh-CN" w:eastAsia="en-US"/>
              </w:rPr>
              <w:t xml:space="preserve">名称</w:t>
            </w:r>
            <w:r/>
          </w:p>
        </w:tc>
        <w:tc>
          <w:tcPr>
            <w:tcBorders>
              <w:top w:val="single" w:color="000000" w:sz="4" w:space="0"/>
              <w:left w:val="none" w:color="000000" w:sz="4" w:space="0"/>
              <w:bottom w:val="single" w:color="000000" w:sz="4" w:space="0"/>
              <w:right w:val="single" w:color="000000" w:sz="4" w:space="0"/>
            </w:tcBorders>
            <w:tcW w:w="5844" w:type="dxa"/>
            <w:textDirection w:val="lrTb"/>
            <w:noWrap/>
          </w:tcPr>
          <w:p>
            <w:pPr>
              <w:jc w:val="center"/>
              <w:rPr>
                <w:rFonts w:ascii="宋体" w:hAnsi="宋体"/>
                <w:b/>
                <w:bCs/>
                <w:sz w:val="28"/>
                <w:szCs w:val="28"/>
                <w:lang w:val="zh-CN" w:eastAsia="en-US"/>
              </w:rPr>
            </w:pPr>
            <w:r>
              <w:rPr>
                <w:rFonts w:ascii="宋体" w:hAnsi="宋体"/>
                <w:b/>
                <w:bCs/>
                <w:sz w:val="28"/>
                <w:szCs w:val="28"/>
              </w:rPr>
              <w:t xml:space="preserve">采购</w:t>
            </w:r>
            <w:r>
              <w:rPr>
                <w:rFonts w:ascii="宋体" w:hAnsi="宋体"/>
                <w:b/>
                <w:bCs/>
                <w:sz w:val="28"/>
                <w:szCs w:val="28"/>
                <w:lang w:val="zh-CN" w:eastAsia="en-US"/>
              </w:rPr>
              <w:t xml:space="preserve">要求</w:t>
            </w:r>
            <w:r/>
          </w:p>
        </w:tc>
      </w:tr>
      <w:tr>
        <w:trPr/>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spacing w:line="320" w:lineRule="exact"/>
              <w:rPr>
                <w:rFonts w:ascii="宋体" w:hAnsi="宋体"/>
                <w:sz w:val="24"/>
                <w:szCs w:val="24"/>
              </w:rPr>
            </w:pPr>
            <w:r>
              <w:rPr>
                <w:rFonts w:ascii="宋体" w:hAnsi="宋体"/>
                <w:sz w:val="24"/>
                <w:szCs w:val="24"/>
                <w:lang w:val="zh-CN"/>
              </w:rPr>
              <w:t xml:space="preserve">1</w:t>
            </w:r>
            <w:r/>
          </w:p>
        </w:tc>
        <w:tc>
          <w:tcPr>
            <w:tcBorders>
              <w:top w:val="single" w:color="000000" w:sz="4" w:space="0"/>
              <w:left w:val="none" w:color="000000" w:sz="4" w:space="0"/>
              <w:bottom w:val="single" w:color="000000" w:sz="4" w:space="0"/>
              <w:right w:val="single" w:color="000000" w:sz="4" w:space="0"/>
            </w:tcBorders>
            <w:tcW w:w="2070" w:type="dxa"/>
            <w:vAlign w:val="center"/>
            <w:textDirection w:val="lrTb"/>
            <w:noWrap/>
          </w:tcPr>
          <w:p>
            <w:pPr>
              <w:jc w:val="center"/>
              <w:spacing w:line="320" w:lineRule="exact"/>
              <w:rPr>
                <w:rFonts w:ascii="宋体" w:hAnsi="宋体"/>
                <w:sz w:val="24"/>
                <w:szCs w:val="24"/>
              </w:rPr>
            </w:pPr>
            <w:r>
              <w:rPr>
                <w:rFonts w:hint="eastAsia" w:ascii="宋体" w:hAnsi="宋体"/>
                <w:sz w:val="24"/>
                <w:szCs w:val="24"/>
              </w:rPr>
              <w:t xml:space="preserve">关于</w:t>
            </w:r>
            <w:r>
              <w:rPr>
                <w:rFonts w:ascii="宋体" w:hAnsi="宋体"/>
                <w:sz w:val="24"/>
                <w:szCs w:val="24"/>
              </w:rPr>
              <w:t xml:space="preserve">分包</w:t>
            </w:r>
            <w:r>
              <w:rPr>
                <w:rFonts w:hint="eastAsia" w:ascii="宋体" w:hAnsi="宋体"/>
                <w:sz w:val="24"/>
                <w:szCs w:val="24"/>
              </w:rPr>
              <w:t xml:space="preserve">要求</w:t>
            </w:r>
            <w:r/>
          </w:p>
        </w:tc>
        <w:tc>
          <w:tcPr>
            <w:tcBorders>
              <w:top w:val="single" w:color="000000" w:sz="4" w:space="0"/>
              <w:left w:val="none" w:color="000000" w:sz="4" w:space="0"/>
              <w:bottom w:val="single" w:color="000000" w:sz="4" w:space="0"/>
              <w:right w:val="single" w:color="000000" w:sz="4" w:space="0"/>
            </w:tcBorders>
            <w:tcW w:w="5844" w:type="dxa"/>
            <w:textDirection w:val="lrTb"/>
            <w:noWrap/>
          </w:tcPr>
          <w:p>
            <w:pPr>
              <w:spacing w:line="320" w:lineRule="exact"/>
              <w:rPr>
                <w:rFonts w:ascii="宋体" w:hAnsi="宋体"/>
                <w:sz w:val="24"/>
                <w:szCs w:val="24"/>
              </w:rPr>
            </w:pPr>
            <w:r>
              <w:rPr>
                <w:rFonts w:hint="eastAsia" w:ascii="宋体" w:hAnsi="宋体"/>
                <w:sz w:val="24"/>
                <w:szCs w:val="24"/>
              </w:rPr>
              <w:t xml:space="preserve">未经采购人允许，成交供应商不得私自对本项目中的系统开发部分进行分包。</w:t>
            </w:r>
            <w:r/>
          </w:p>
        </w:tc>
      </w:tr>
      <w:tr>
        <w:trPr/>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spacing w:line="320" w:lineRule="exact"/>
              <w:rPr>
                <w:rFonts w:ascii="宋体" w:hAnsi="宋体"/>
                <w:sz w:val="24"/>
                <w:szCs w:val="24"/>
                <w:lang w:val="zh-CN"/>
              </w:rPr>
            </w:pPr>
            <w:r>
              <w:rPr>
                <w:rFonts w:ascii="宋体" w:hAnsi="宋体"/>
                <w:sz w:val="24"/>
                <w:szCs w:val="24"/>
                <w:lang w:val="zh-CN"/>
              </w:rPr>
              <w:t xml:space="preserve">2</w:t>
            </w:r>
            <w:r/>
          </w:p>
        </w:tc>
        <w:tc>
          <w:tcPr>
            <w:tcBorders>
              <w:top w:val="single" w:color="000000" w:sz="4" w:space="0"/>
              <w:left w:val="none" w:color="000000" w:sz="4" w:space="0"/>
              <w:bottom w:val="single" w:color="000000" w:sz="4" w:space="0"/>
              <w:right w:val="single" w:color="000000" w:sz="4" w:space="0"/>
            </w:tcBorders>
            <w:tcW w:w="2070" w:type="dxa"/>
            <w:vAlign w:val="center"/>
            <w:textDirection w:val="lrTb"/>
            <w:noWrap/>
          </w:tcPr>
          <w:p>
            <w:pPr>
              <w:jc w:val="center"/>
              <w:spacing w:line="320" w:lineRule="exact"/>
              <w:rPr>
                <w:rFonts w:ascii="宋体" w:hAnsi="宋体"/>
                <w:sz w:val="24"/>
                <w:szCs w:val="24"/>
              </w:rPr>
            </w:pPr>
            <w:r>
              <w:rPr>
                <w:rFonts w:ascii="宋体" w:hAnsi="宋体"/>
                <w:sz w:val="24"/>
                <w:szCs w:val="24"/>
              </w:rPr>
              <w:t xml:space="preserve">关于知识产权的要求</w:t>
            </w:r>
            <w:r/>
          </w:p>
        </w:tc>
        <w:tc>
          <w:tcPr>
            <w:tcBorders>
              <w:top w:val="single" w:color="000000" w:sz="4" w:space="0"/>
              <w:left w:val="none" w:color="000000" w:sz="4" w:space="0"/>
              <w:bottom w:val="single" w:color="000000" w:sz="4" w:space="0"/>
              <w:right w:val="single" w:color="000000" w:sz="4" w:space="0"/>
            </w:tcBorders>
            <w:tcW w:w="5844" w:type="dxa"/>
            <w:textDirection w:val="lrTb"/>
            <w:noWrap/>
          </w:tcPr>
          <w:p>
            <w:pPr>
              <w:spacing w:line="320" w:lineRule="exact"/>
              <w:rPr>
                <w:rFonts w:ascii="宋体" w:hAnsi="宋体"/>
                <w:sz w:val="24"/>
                <w:szCs w:val="24"/>
              </w:rPr>
            </w:pPr>
            <w:r/>
            <w:bookmarkStart w:id="22" w:name="OLE_LINK15"/>
            <w:r/>
            <w:bookmarkStart w:id="23" w:name="OLE_LINK14"/>
            <w:r>
              <w:rPr>
                <w:rFonts w:hint="eastAsia" w:ascii="宋体" w:hAnsi="宋体"/>
                <w:sz w:val="24"/>
                <w:szCs w:val="24"/>
              </w:rPr>
              <w:t xml:space="preserve">成交</w:t>
            </w:r>
            <w:bookmarkEnd w:id="22"/>
            <w:r/>
            <w:bookmarkEnd w:id="23"/>
            <w:r>
              <w:rPr>
                <w:rFonts w:ascii="宋体" w:hAnsi="宋体"/>
                <w:sz w:val="24"/>
                <w:szCs w:val="24"/>
              </w:rPr>
              <w:t xml:space="preserve">供应商应保证所提供的</w:t>
            </w:r>
            <w:r>
              <w:rPr>
                <w:rFonts w:hint="eastAsia" w:ascii="宋体" w:hAnsi="宋体"/>
                <w:sz w:val="24"/>
                <w:szCs w:val="24"/>
              </w:rPr>
              <w:t xml:space="preserve">业务应用</w:t>
            </w:r>
            <w:r>
              <w:rPr>
                <w:rFonts w:ascii="宋体" w:hAnsi="宋体"/>
                <w:sz w:val="24"/>
                <w:szCs w:val="24"/>
              </w:rPr>
              <w:t xml:space="preserve">软件为</w:t>
            </w:r>
            <w:r>
              <w:rPr>
                <w:rFonts w:hint="eastAsia" w:ascii="宋体" w:hAnsi="宋体"/>
                <w:sz w:val="24"/>
                <w:szCs w:val="24"/>
              </w:rPr>
              <w:t xml:space="preserve">自行开发</w:t>
            </w:r>
            <w:r>
              <w:rPr>
                <w:rFonts w:ascii="宋体" w:hAnsi="宋体"/>
                <w:sz w:val="24"/>
                <w:szCs w:val="24"/>
              </w:rPr>
              <w:t xml:space="preserve">，涉及到的知识产权是合法取得，并享有完整的知识产权，</w:t>
            </w:r>
            <w:r>
              <w:rPr>
                <w:rFonts w:hint="eastAsia" w:ascii="宋体" w:hAnsi="宋体"/>
                <w:sz w:val="24"/>
                <w:szCs w:val="24"/>
              </w:rPr>
              <w:t xml:space="preserve">不得侵犯第三方权益</w:t>
            </w:r>
            <w:r>
              <w:rPr>
                <w:rFonts w:ascii="宋体" w:hAnsi="宋体"/>
                <w:sz w:val="24"/>
                <w:szCs w:val="24"/>
              </w:rPr>
              <w:t xml:space="preserve">，如出现此情况，一切经济和法律责任均由成交</w:t>
            </w:r>
            <w:r>
              <w:rPr>
                <w:rFonts w:hint="eastAsia" w:ascii="宋体" w:hAnsi="宋体"/>
                <w:sz w:val="24"/>
                <w:szCs w:val="24"/>
              </w:rPr>
              <w:t xml:space="preserve">供应商</w:t>
            </w:r>
            <w:r>
              <w:rPr>
                <w:rFonts w:ascii="宋体" w:hAnsi="宋体"/>
                <w:sz w:val="24"/>
                <w:szCs w:val="24"/>
              </w:rPr>
              <w:t xml:space="preserve">承担。</w:t>
            </w:r>
            <w:r/>
          </w:p>
        </w:tc>
      </w:tr>
      <w:tr>
        <w:trPr/>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spacing w:line="320" w:lineRule="exact"/>
              <w:rPr>
                <w:rFonts w:ascii="宋体" w:hAnsi="宋体"/>
                <w:sz w:val="24"/>
                <w:szCs w:val="24"/>
              </w:rPr>
            </w:pPr>
            <w:r>
              <w:rPr>
                <w:rFonts w:hint="eastAsia" w:ascii="宋体" w:hAnsi="宋体"/>
                <w:sz w:val="24"/>
                <w:szCs w:val="24"/>
              </w:rPr>
              <w:t xml:space="preserve">3</w:t>
            </w:r>
            <w:r/>
          </w:p>
        </w:tc>
        <w:tc>
          <w:tcPr>
            <w:tcBorders>
              <w:top w:val="single" w:color="000000" w:sz="4" w:space="0"/>
              <w:left w:val="none" w:color="000000" w:sz="4" w:space="0"/>
              <w:bottom w:val="single" w:color="000000" w:sz="4" w:space="0"/>
              <w:right w:val="single" w:color="000000" w:sz="4" w:space="0"/>
            </w:tcBorders>
            <w:tcW w:w="2070" w:type="dxa"/>
            <w:vAlign w:val="center"/>
            <w:textDirection w:val="lrTb"/>
            <w:noWrap/>
          </w:tcPr>
          <w:p>
            <w:pPr>
              <w:jc w:val="center"/>
              <w:spacing w:line="320" w:lineRule="exact"/>
              <w:rPr>
                <w:rFonts w:ascii="宋体" w:hAnsi="宋体"/>
                <w:sz w:val="24"/>
                <w:szCs w:val="24"/>
              </w:rPr>
            </w:pPr>
            <w:r>
              <w:rPr>
                <w:rFonts w:hint="eastAsia" w:ascii="宋体" w:hAnsi="宋体"/>
                <w:sz w:val="24"/>
                <w:szCs w:val="24"/>
              </w:rPr>
              <w:t xml:space="preserve">关于验收要求</w:t>
            </w:r>
            <w:r/>
          </w:p>
        </w:tc>
        <w:tc>
          <w:tcPr>
            <w:tcBorders>
              <w:top w:val="single" w:color="000000" w:sz="4" w:space="0"/>
              <w:left w:val="none" w:color="000000" w:sz="4" w:space="0"/>
              <w:bottom w:val="single" w:color="000000" w:sz="4" w:space="0"/>
              <w:right w:val="single" w:color="000000" w:sz="4" w:space="0"/>
            </w:tcBorders>
            <w:tcW w:w="5844" w:type="dxa"/>
            <w:textDirection w:val="lrTb"/>
            <w:noWrap/>
          </w:tcPr>
          <w:p>
            <w:pPr>
              <w:spacing w:line="320" w:lineRule="exact"/>
              <w:rPr>
                <w:rFonts w:ascii="宋体" w:hAnsi="宋体"/>
                <w:sz w:val="24"/>
                <w:szCs w:val="24"/>
              </w:rPr>
            </w:pPr>
            <w:r>
              <w:rPr>
                <w:rFonts w:hint="eastAsia" w:ascii="宋体" w:hAnsi="宋体"/>
                <w:sz w:val="24"/>
                <w:szCs w:val="24"/>
              </w:rPr>
              <w:t xml:space="preserve">本系统上线运行后，供应商方可提出验收申请，验收方式、人员、时间、地点由采购人具体组织，验收组含供应商主要人员。 </w:t>
            </w:r>
            <w:r/>
          </w:p>
        </w:tc>
      </w:tr>
      <w:tr>
        <w:trPr/>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spacing w:line="320" w:lineRule="exact"/>
              <w:rPr>
                <w:rFonts w:ascii="宋体" w:hAnsi="宋体"/>
                <w:sz w:val="24"/>
                <w:szCs w:val="24"/>
              </w:rPr>
            </w:pPr>
            <w:r>
              <w:rPr>
                <w:rFonts w:hint="eastAsia" w:ascii="宋体" w:hAnsi="宋体"/>
                <w:sz w:val="24"/>
                <w:szCs w:val="24"/>
              </w:rPr>
              <w:t xml:space="preserve">4</w:t>
            </w:r>
            <w:r/>
          </w:p>
        </w:tc>
        <w:tc>
          <w:tcPr>
            <w:tcBorders>
              <w:top w:val="single" w:color="000000" w:sz="4" w:space="0"/>
              <w:left w:val="none" w:color="000000" w:sz="4" w:space="0"/>
              <w:bottom w:val="single" w:color="000000" w:sz="4" w:space="0"/>
              <w:right w:val="single" w:color="000000" w:sz="4" w:space="0"/>
            </w:tcBorders>
            <w:tcW w:w="2070" w:type="dxa"/>
            <w:vAlign w:val="center"/>
            <w:textDirection w:val="lrTb"/>
            <w:noWrap/>
          </w:tcPr>
          <w:p>
            <w:pPr>
              <w:jc w:val="center"/>
              <w:spacing w:line="320" w:lineRule="exact"/>
              <w:rPr>
                <w:rFonts w:ascii="宋体" w:hAnsi="宋体"/>
                <w:sz w:val="24"/>
                <w:szCs w:val="24"/>
              </w:rPr>
            </w:pPr>
            <w:r>
              <w:rPr>
                <w:rFonts w:hint="eastAsia" w:ascii="宋体" w:hAnsi="宋体"/>
                <w:sz w:val="24"/>
                <w:szCs w:val="24"/>
              </w:rPr>
              <w:t xml:space="preserve">关于业务数据保密的要求</w:t>
            </w:r>
            <w:r/>
          </w:p>
        </w:tc>
        <w:tc>
          <w:tcPr>
            <w:tcBorders>
              <w:top w:val="single" w:color="000000" w:sz="4" w:space="0"/>
              <w:left w:val="none" w:color="000000" w:sz="4" w:space="0"/>
              <w:bottom w:val="single" w:color="000000" w:sz="4" w:space="0"/>
              <w:right w:val="single" w:color="000000" w:sz="4" w:space="0"/>
            </w:tcBorders>
            <w:tcW w:w="5844" w:type="dxa"/>
            <w:textDirection w:val="lrTb"/>
            <w:noWrap/>
          </w:tcPr>
          <w:p>
            <w:pPr>
              <w:spacing w:line="320" w:lineRule="exact"/>
              <w:rPr>
                <w:rFonts w:ascii="宋体" w:hAnsi="宋体"/>
                <w:sz w:val="24"/>
                <w:szCs w:val="24"/>
              </w:rPr>
            </w:pPr>
            <w:r>
              <w:rPr>
                <w:rFonts w:hint="eastAsia" w:ascii="宋体" w:hAnsi="宋体"/>
                <w:sz w:val="24"/>
                <w:szCs w:val="24"/>
              </w:rPr>
              <w:t xml:space="preserve">供应商对采购人提供的内部资料、数据和采购方相关视频照片等信息予以保密。未经采购人书面许可，不许以任何形式向第三方透露或发布。供应商应与项目实施、服务人员签订保密协议，督促实施、运维服务人员严格遵守保密规定。</w:t>
            </w:r>
            <w:r/>
          </w:p>
        </w:tc>
      </w:tr>
      <w:tr>
        <w:trPr/>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spacing w:line="320" w:lineRule="exact"/>
              <w:rPr>
                <w:rFonts w:ascii="宋体" w:hAnsi="宋体"/>
                <w:sz w:val="24"/>
                <w:szCs w:val="24"/>
              </w:rPr>
            </w:pPr>
            <w:r>
              <w:rPr>
                <w:rFonts w:hint="eastAsia" w:ascii="宋体" w:hAnsi="宋体"/>
                <w:sz w:val="24"/>
                <w:szCs w:val="24"/>
              </w:rPr>
              <w:t xml:space="preserve">5</w:t>
            </w:r>
            <w:r/>
          </w:p>
        </w:tc>
        <w:tc>
          <w:tcPr>
            <w:tcBorders>
              <w:top w:val="single" w:color="000000" w:sz="4" w:space="0"/>
              <w:left w:val="none" w:color="000000" w:sz="4" w:space="0"/>
              <w:bottom w:val="single" w:color="000000" w:sz="4" w:space="0"/>
              <w:right w:val="single" w:color="000000" w:sz="4" w:space="0"/>
            </w:tcBorders>
            <w:tcW w:w="2070" w:type="dxa"/>
            <w:vAlign w:val="center"/>
            <w:textDirection w:val="lrTb"/>
            <w:noWrap/>
          </w:tcPr>
          <w:p>
            <w:pPr>
              <w:jc w:val="center"/>
              <w:spacing w:line="320" w:lineRule="exact"/>
              <w:rPr>
                <w:rFonts w:ascii="宋体" w:hAnsi="宋体"/>
                <w:sz w:val="24"/>
                <w:szCs w:val="24"/>
              </w:rPr>
            </w:pPr>
            <w:r>
              <w:rPr>
                <w:rFonts w:hint="eastAsia" w:ascii="宋体" w:hAnsi="宋体"/>
                <w:sz w:val="24"/>
                <w:szCs w:val="24"/>
              </w:rPr>
              <w:t xml:space="preserve">关于与现有系统平台的对接</w:t>
            </w:r>
            <w:r/>
          </w:p>
        </w:tc>
        <w:tc>
          <w:tcPr>
            <w:tcBorders>
              <w:top w:val="single" w:color="000000" w:sz="4" w:space="0"/>
              <w:left w:val="none" w:color="000000" w:sz="4" w:space="0"/>
              <w:bottom w:val="single" w:color="000000" w:sz="4" w:space="0"/>
              <w:right w:val="single" w:color="000000" w:sz="4" w:space="0"/>
            </w:tcBorders>
            <w:tcW w:w="5844" w:type="dxa"/>
            <w:textDirection w:val="lrTb"/>
            <w:noWrap/>
          </w:tcPr>
          <w:p>
            <w:pPr>
              <w:spacing w:line="320" w:lineRule="exact"/>
              <w:rPr>
                <w:rFonts w:ascii="宋体" w:hAnsi="宋体"/>
                <w:sz w:val="24"/>
                <w:szCs w:val="24"/>
              </w:rPr>
            </w:pPr>
            <w:r>
              <w:rPr>
                <w:rFonts w:hint="eastAsia" w:ascii="宋体" w:hAnsi="宋体"/>
                <w:sz w:val="24"/>
                <w:szCs w:val="24"/>
              </w:rPr>
              <w:t xml:space="preserve">本次改造项目，中标供应商需与现有平台开发厂商对接，涉及到后台数据库表、审批流程、电子档案等内容，由此而产生的各项对接费用由供应商承担。</w:t>
            </w:r>
            <w:r/>
          </w:p>
        </w:tc>
      </w:tr>
    </w:tbl>
    <w:p>
      <w:pPr>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ind w:firstLine="24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p>
    <w:p>
      <w:pPr>
        <w:ind w:firstLine="480"/>
        <w:keepLines w:val="0"/>
        <w:keepNext w:val="0"/>
        <w:pageBreakBefore w:val="0"/>
        <w:spacing w:line="360" w:lineRule="auto"/>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w:t>
      </w:r>
      <w:r>
        <w:rPr>
          <w:rFonts w:ascii="宋体" w:hAnsi="宋体" w:eastAsia="宋体" w:cs="Times New Roman"/>
          <w:color w:val="000000"/>
          <w:sz w:val="24"/>
          <w:szCs w:val="24"/>
          <w:lang w:val="en-US" w:eastAsia="zh-CN" w:bidi="ar-SA"/>
        </w:rPr>
        <w:t xml:space="preserve">报价要求</w:t>
      </w:r>
      <w:r/>
    </w:p>
    <w:p>
      <w:pPr>
        <w:ind w:firstLine="480"/>
        <w:keepLines w:val="0"/>
        <w:keepNext w:val="0"/>
        <w:pageBreakBefore w:val="0"/>
        <w:spacing w:line="36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（1）报价应包含与本次采购项目有关的所有费用</w:t>
      </w:r>
      <w:bookmarkStart w:id="24" w:name="FunCunProofread5257"/>
      <w:r>
        <w:rPr>
          <w:rFonts w:hint="eastAsia" w:ascii="宋体" w:hAnsi="宋体" w:eastAsia="宋体" w:cs="Times New Roman"/>
          <w:color w:val="000000"/>
          <w:sz w:val="24"/>
          <w:szCs w:val="24"/>
          <w:lang w:val="en-US" w:eastAsia="zh-CN" w:bidi="ar-SA"/>
        </w:rPr>
        <w:t xml:space="preserve">。</w:t>
      </w:r>
      <w:bookmarkEnd w:id="24"/>
      <w:r>
        <w:rPr>
          <w:rFonts w:hint="eastAsia" w:ascii="宋体" w:hAnsi="宋体" w:eastAsia="宋体" w:cs="Times New Roman"/>
          <w:color w:val="000000"/>
          <w:sz w:val="24"/>
          <w:szCs w:val="24"/>
          <w:lang w:val="en-US" w:eastAsia="zh-CN" w:bidi="ar-SA"/>
        </w:rPr>
        <w:t xml:space="preserve">包含但不限于人员、设备、安装调试、验收、售后服务、伴随配套第三方服务等所有含税费用。同时，还应包含支付给员工的工资和国家强制缴纳的各种社会保障资金，以及成交供应商认为需要的其他费用等。</w:t>
      </w:r>
      <w:r/>
    </w:p>
    <w:p>
      <w:pPr>
        <w:ind w:firstLine="480"/>
        <w:keepLines w:val="0"/>
        <w:keepNext w:val="0"/>
        <w:pageBreakBefore w:val="0"/>
        <w:spacing w:line="36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（2）成交供应商的任何错漏、优惠、竞争性报价不得作为减轻责任、减少服务、增加收费、降低服务质量的理由。</w:t>
      </w:r>
      <w:r/>
    </w:p>
    <w:p>
      <w:pPr>
        <w:ind w:firstLine="480"/>
        <w:keepLines w:val="0"/>
        <w:keepNext w:val="0"/>
        <w:pageBreakBefore w:val="0"/>
        <w:spacing w:line="36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（3）成交供应商报价除包含采购文件中列明的项目外还应包括保障服务正常运行应当具有的物资和服务，对服务正常运行应当具有的物资和服务理解不一致的以采购人理解为准。</w:t>
      </w:r>
      <w:r/>
    </w:p>
    <w:p>
      <w:pPr>
        <w:ind w:firstLine="480"/>
        <w:keepLines w:val="0"/>
        <w:keepNext w:val="0"/>
        <w:pageBreakBefore w:val="0"/>
        <w:spacing w:line="36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2.实施要求</w:t>
      </w:r>
      <w:r/>
    </w:p>
    <w:p>
      <w:pPr>
        <w:ind w:firstLine="480"/>
        <w:keepLines w:val="0"/>
        <w:keepNext w:val="0"/>
        <w:pageBreakBefore w:val="0"/>
        <w:spacing w:line="36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w:t>
      </w:r>
      <w:r>
        <w:rPr>
          <w:rFonts w:hint="eastAsia" w:ascii="宋体" w:hAnsi="宋体" w:cs="Times New Roman"/>
          <w:color w:val="000000"/>
          <w:sz w:val="24"/>
          <w:szCs w:val="24"/>
          <w:lang w:val="en-US" w:eastAsia="zh-CN" w:bidi="ar-SA"/>
        </w:rPr>
        <w:t xml:space="preserve">过程服务对接</w:t>
      </w:r>
      <w:r>
        <w:rPr>
          <w:rFonts w:hint="eastAsia" w:ascii="宋体" w:hAnsi="宋体" w:eastAsia="宋体" w:cs="Times New Roman"/>
          <w:color w:val="000000"/>
          <w:sz w:val="24"/>
          <w:szCs w:val="24"/>
          <w:lang w:val="en-US" w:eastAsia="zh-CN" w:bidi="ar-SA"/>
        </w:rPr>
        <w:t xml:space="preserve">要求</w:t>
      </w:r>
      <w:r/>
    </w:p>
    <w:p>
      <w:pPr>
        <w:ind w:firstLine="480"/>
        <w:keepLines w:val="0"/>
        <w:keepNext w:val="0"/>
        <w:pageBreakBefore w:val="0"/>
        <w:spacing w:line="36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项目建设开始后，供应商需安排工程师与采购人相关需求部门及具体应用人员做好系统建设、应用过程中的各种协调事项。</w:t>
      </w:r>
      <w:r/>
    </w:p>
    <w:p>
      <w:pPr>
        <w:ind w:firstLine="480"/>
        <w:keepLines w:val="0"/>
        <w:keepNext w:val="0"/>
        <w:pageBreakBefore w:val="0"/>
        <w:spacing w:line="36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系统改造过程中，供应商应配合采购人与新区大数据局进行流程对接，确定相关国产化运行环境；同时无条件配合第三方等保测评厂家进行系统安全改造工作。</w:t>
      </w:r>
      <w:r/>
    </w:p>
    <w:p>
      <w:pPr>
        <w:ind w:firstLine="480"/>
        <w:keepLines w:val="0"/>
        <w:keepNext w:val="0"/>
        <w:pageBreakBefore w:val="0"/>
        <w:spacing w:line="36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（2）知识产权及保密要求</w:t>
      </w:r>
      <w:r/>
    </w:p>
    <w:p>
      <w:pPr>
        <w:ind w:firstLine="480"/>
        <w:keepLines w:val="0"/>
        <w:keepNext w:val="0"/>
        <w:pageBreakBefore w:val="0"/>
        <w:spacing w:line="36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成交供应商应保证所提供的业务应用软件为自行开发，涉及到的知识产权是合法取得，并享有完整的知识产权，不得侵犯第三方权益，如出现此情况，一切经济和法律责任均由成交供应商承担。</w:t>
      </w:r>
      <w:r/>
    </w:p>
    <w:p>
      <w:pPr>
        <w:ind w:firstLine="480"/>
        <w:keepLines w:val="0"/>
        <w:keepNext w:val="0"/>
        <w:pageBreakBefore w:val="0"/>
        <w:spacing w:line="36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供应商对采购人提供的内部资料、数据和采购方相关视频照片等信息予以保密。未经采购人书面许可，不许以任何形式向第三方透露或发布。供应商应与项目实施、服务人员签订保密协议，督促实施、运维服务人员严格遵守保密规定。</w:t>
      </w:r>
      <w:r/>
    </w:p>
    <w:p>
      <w:pPr>
        <w:ind w:firstLine="480"/>
        <w:keepLines w:val="0"/>
        <w:keepNext w:val="0"/>
        <w:pageBreakBefore w:val="0"/>
        <w:spacing w:line="36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（3）建设成果要求</w:t>
      </w:r>
      <w:r/>
    </w:p>
    <w:p>
      <w:pPr>
        <w:ind w:firstLine="480"/>
        <w:keepLines w:val="0"/>
        <w:keepNext w:val="0"/>
        <w:pageBreakBefore w:val="0"/>
        <w:spacing w:line="36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供应商在项目建设的各个阶段及时提交建设成果，主要包括但不限于以下内容：</w:t>
      </w:r>
      <w:r/>
    </w:p>
    <w:p>
      <w:pPr>
        <w:ind w:firstLine="480"/>
        <w:keepLines w:val="0"/>
        <w:keepNext w:val="0"/>
        <w:pageBreakBefore w:val="0"/>
        <w:spacing w:line="36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①项目启动阶段：项目实施方案。 </w:t>
      </w:r>
      <w:r/>
    </w:p>
    <w:p>
      <w:pPr>
        <w:ind w:firstLine="480"/>
        <w:keepLines w:val="0"/>
        <w:keepNext w:val="0"/>
        <w:pageBreakBefore w:val="0"/>
        <w:spacing w:line="36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②业务需求分析阶段：需求调研方案、需求分析说明书。</w:t>
      </w:r>
      <w:r/>
    </w:p>
    <w:p>
      <w:pPr>
        <w:ind w:firstLine="480"/>
        <w:keepLines w:val="0"/>
        <w:keepNext w:val="0"/>
        <w:pageBreakBefore w:val="0"/>
        <w:spacing w:line="36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③系统设计、开发阶段：需求规格说明书、概要设计说明书、详细设计说明书、数据库设计说明书、系统接口说明书。 </w:t>
      </w:r>
      <w:r/>
    </w:p>
    <w:p>
      <w:pPr>
        <w:ind w:firstLine="480"/>
        <w:keepLines w:val="0"/>
        <w:keepNext w:val="0"/>
        <w:pageBreakBefore w:val="0"/>
        <w:spacing w:line="36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④系统实施阶段：系统上线部署方案、软件安装说明书、软件使用说明书、系统安装光盘、系统培训方案、系统培训手册。 </w:t>
      </w:r>
      <w:r/>
    </w:p>
    <w:p>
      <w:pPr>
        <w:ind w:firstLine="480"/>
        <w:keepLines w:val="0"/>
        <w:keepNext w:val="0"/>
        <w:pageBreakBefore w:val="0"/>
        <w:spacing w:line="36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⑤项目验收阶段：测试报告、项目验收方案、系统运行报告、项目验收报告。 </w:t>
      </w:r>
      <w:r/>
    </w:p>
    <w:p>
      <w:pPr>
        <w:numPr>
          <w:ilvl w:val="0"/>
          <w:numId w:val="0"/>
        </w:numPr>
        <w:ind w:firstLine="480"/>
        <w:keepLines w:val="0"/>
        <w:keepNext w:val="0"/>
        <w:pageBreakBefore w:val="0"/>
        <w:spacing w:line="360" w:lineRule="auto"/>
        <w:widowControl w:val="off"/>
        <w:rPr>
          <w:rFonts w:hint="eastAsia" w:ascii="宋体" w:hAnsi="宋体" w:eastAsia="宋体" w:cs="Times New Roman"/>
          <w:color w:val="000000"/>
          <w:sz w:val="24"/>
          <w:szCs w:val="24"/>
          <w:lang w:val="en-US" w:eastAsia="zh-CN" w:bidi="ar-SA"/>
        </w:rPr>
      </w:pPr>
      <w:r>
        <w:rPr>
          <w:rFonts w:hint="eastAsia" w:ascii="宋体" w:hAnsi="宋体" w:cs="Times New Roman"/>
          <w:color w:val="000000"/>
          <w:sz w:val="24"/>
          <w:szCs w:val="24"/>
          <w:lang w:val="en-US" w:eastAsia="zh-CN" w:bidi="ar-SA"/>
        </w:rPr>
        <w:t xml:space="preserve">（4）</w:t>
      </w:r>
      <w:r>
        <w:rPr>
          <w:rFonts w:hint="eastAsia" w:ascii="宋体" w:hAnsi="宋体" w:eastAsia="宋体" w:cs="Times New Roman"/>
          <w:color w:val="000000"/>
          <w:sz w:val="24"/>
          <w:szCs w:val="24"/>
          <w:lang w:val="en-US" w:eastAsia="zh-CN" w:bidi="ar-SA"/>
        </w:rPr>
        <w:t xml:space="preserve">售后服务要求：</w:t>
      </w:r>
      <w:r/>
    </w:p>
    <w:p>
      <w:pPr>
        <w:ind w:firstLine="480"/>
        <w:keepLines w:val="0"/>
        <w:keepNext w:val="0"/>
        <w:pageBreakBefore w:val="0"/>
        <w:spacing w:line="360" w:lineRule="auto"/>
        <w:widowControl w:val="off"/>
        <w:rPr>
          <w:rFonts w:ascii="宋体" w:hAnsi="宋体" w:eastAsia="宋体" w:cs="Times New Roman"/>
          <w:color w:val="000000"/>
          <w:sz w:val="24"/>
          <w:szCs w:val="24"/>
          <w:lang w:val="en-US" w:eastAsia="zh-CN" w:bidi="ar-SA"/>
        </w:rPr>
      </w:pPr>
      <w:r>
        <w:rPr>
          <w:rFonts w:hint="eastAsia" w:ascii="宋体" w:hAnsi="宋体" w:cs="宋体"/>
          <w:bCs/>
          <w:sz w:val="24"/>
          <w:szCs w:val="24"/>
        </w:rPr>
        <w:t xml:space="preserve">系统上线后，供应商应在采购人系统应用出现问题后4小时内到达现场，如不到场，采购人有权自行处理，因此产生的相关费用由成交供应商承担</w:t>
      </w:r>
      <w:r>
        <w:rPr>
          <w:rFonts w:hint="eastAsia" w:ascii="宋体" w:hAnsi="宋体" w:eastAsia="宋体" w:cs="Times New Roman"/>
          <w:color w:val="000000"/>
          <w:sz w:val="24"/>
          <w:szCs w:val="24"/>
          <w:lang w:val="en-US" w:eastAsia="zh-CN" w:bidi="ar-SA"/>
        </w:rPr>
        <w:t xml:space="preserve">。</w:t>
      </w:r>
      <w:r/>
    </w:p>
    <w:p>
      <w:pPr>
        <w:ind w:firstLine="480"/>
        <w:keepLines w:val="0"/>
        <w:keepNext w:val="0"/>
        <w:pageBreakBefore w:val="0"/>
        <w:spacing w:line="360" w:lineRule="auto"/>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w:t>
      </w:r>
      <w:r>
        <w:rPr>
          <w:rFonts w:ascii="宋体" w:hAnsi="宋体" w:eastAsia="宋体" w:cs="Times New Roman"/>
          <w:color w:val="000000"/>
          <w:sz w:val="24"/>
          <w:szCs w:val="24"/>
          <w:lang w:val="en-US" w:eastAsia="zh-CN" w:bidi="ar-SA"/>
        </w:rPr>
        <w:t xml:space="preserve">付款条件</w:t>
      </w:r>
      <w:r/>
    </w:p>
    <w:p>
      <w:pPr>
        <w:pStyle w:val="927"/>
        <w:ind w:left="0" w:right="0" w:firstLine="480"/>
        <w:keepLines w:val="0"/>
        <w:keepNext w:val="0"/>
        <w:pageBreakBefore w:val="0"/>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（1）合同签订后7个工作日内付至合同价30%</w:t>
      </w:r>
      <w:r/>
    </w:p>
    <w:p>
      <w:pPr>
        <w:pStyle w:val="927"/>
        <w:ind w:left="0" w:right="0" w:firstLine="480"/>
        <w:keepLines w:val="0"/>
        <w:keepNext w:val="0"/>
        <w:pageBreakBefore w:val="0"/>
        <w:spacing w:line="360" w:lineRule="auto"/>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（2）系统验收合格后，测算服务过程中进行的考核相应罚款金额，付至服务价款的90%。服务费计算公式：（合同金额-考核罚款金额）*90%；</w:t>
      </w:r>
      <w:r/>
    </w:p>
    <w:p>
      <w:pPr>
        <w:pStyle w:val="927"/>
        <w:ind w:left="0" w:right="0" w:firstLine="480"/>
        <w:keepLines w:val="0"/>
        <w:keepNext w:val="0"/>
        <w:pageBreakBefore w:val="0"/>
        <w:spacing w:line="360" w:lineRule="auto"/>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（3）合同签订一年后，支付剩余服务金额。服务费计算公式（合同金额-考核罚款金额-已支付金额）；</w:t>
      </w:r>
      <w:r/>
    </w:p>
    <w:p>
      <w:pPr>
        <w:pStyle w:val="927"/>
        <w:ind w:left="0" w:right="0" w:firstLine="480"/>
        <w:keepLines w:val="0"/>
        <w:keepNext w:val="0"/>
        <w:pageBreakBefore w:val="0"/>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注：（考核细则详见附件《工程项目资金管理系统》国产化升级改造项目考核管理办法》）</w:t>
      </w:r>
      <w:r/>
    </w:p>
    <w:p>
      <w:pPr>
        <w:pStyle w:val="927"/>
        <w:ind w:left="0" w:right="0" w:firstLine="480"/>
        <w:keepLines w:val="0"/>
        <w:keepNext w:val="0"/>
        <w:pageBreakBefore w:val="0"/>
        <w:spacing w:line="360" w:lineRule="auto"/>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（4）、中标投标人凭以下有效文件与采购人结算：①、合同；②、中标投标人开具的正式发票；③、成交通知书。</w:t>
      </w:r>
      <w:r/>
    </w:p>
    <w:p>
      <w:pPr>
        <w:pStyle w:val="927"/>
        <w:ind w:left="0" w:right="0" w:firstLine="480"/>
        <w:keepLines w:val="0"/>
        <w:keepNext w:val="0"/>
        <w:pageBreakBefore w:val="0"/>
        <w:spacing w:line="360" w:lineRule="auto"/>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4.</w:t>
      </w:r>
      <w:r>
        <w:rPr>
          <w:rFonts w:ascii="宋体" w:hAnsi="宋体" w:eastAsia="宋体" w:cs="Times New Roman"/>
          <w:color w:val="000000"/>
          <w:sz w:val="24"/>
          <w:szCs w:val="24"/>
          <w:lang w:val="en-US" w:eastAsia="zh-CN" w:bidi="ar-SA"/>
        </w:rPr>
        <w:t xml:space="preserve">交付时间及地点</w:t>
      </w:r>
      <w:r/>
    </w:p>
    <w:p>
      <w:pPr>
        <w:pStyle w:val="927"/>
        <w:ind w:left="0" w:right="0" w:firstLine="480"/>
        <w:keepLines w:val="0"/>
        <w:keepNext w:val="0"/>
        <w:pageBreakBefore w:val="0"/>
        <w:spacing w:line="360" w:lineRule="auto"/>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（1）交付时间：合同签订后</w:t>
      </w:r>
      <w:r>
        <w:rPr>
          <w:rFonts w:hint="eastAsia" w:ascii="宋体" w:hAnsi="宋体" w:eastAsia="宋体" w:cs="Times New Roman"/>
          <w:color w:val="000000"/>
          <w:sz w:val="24"/>
          <w:szCs w:val="24"/>
          <w:lang w:val="en-US" w:eastAsia="zh-CN" w:bidi="ar-SA"/>
        </w:rPr>
        <w:t xml:space="preserve">20</w:t>
      </w:r>
      <w:r>
        <w:rPr>
          <w:rFonts w:ascii="宋体" w:hAnsi="宋体" w:eastAsia="宋体" w:cs="Times New Roman"/>
          <w:color w:val="000000"/>
          <w:sz w:val="24"/>
          <w:szCs w:val="24"/>
          <w:lang w:val="en-US" w:eastAsia="zh-CN" w:bidi="ar-SA"/>
        </w:rPr>
        <w:t xml:space="preserve">天内</w:t>
      </w:r>
      <w:r>
        <w:rPr>
          <w:rFonts w:hint="eastAsia" w:ascii="宋体" w:hAnsi="宋体" w:eastAsia="宋体" w:cs="Times New Roman"/>
          <w:color w:val="000000"/>
          <w:sz w:val="24"/>
          <w:szCs w:val="24"/>
          <w:lang w:val="en-US" w:eastAsia="zh-CN" w:bidi="ar-SA"/>
        </w:rPr>
        <w:t xml:space="preserve">交付</w:t>
      </w:r>
      <w:r>
        <w:rPr>
          <w:rFonts w:ascii="宋体" w:hAnsi="宋体" w:eastAsia="宋体" w:cs="Times New Roman"/>
          <w:color w:val="000000"/>
          <w:sz w:val="24"/>
          <w:szCs w:val="24"/>
          <w:lang w:val="en-US" w:eastAsia="zh-CN" w:bidi="ar-SA"/>
        </w:rPr>
        <w:t xml:space="preserve">。</w:t>
      </w:r>
      <w:r/>
    </w:p>
    <w:p>
      <w:pPr>
        <w:pStyle w:val="927"/>
        <w:ind w:left="0" w:right="0" w:firstLine="480"/>
        <w:keepLines w:val="0"/>
        <w:keepNext w:val="0"/>
        <w:pageBreakBefore w:val="0"/>
        <w:spacing w:line="360" w:lineRule="auto"/>
        <w:rPr>
          <w:rFonts w:hint="eastAsia"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（2）交付地点：采购人指定地点</w:t>
      </w:r>
      <w:r>
        <w:rPr>
          <w:rFonts w:hint="eastAsia" w:ascii="宋体" w:hAnsi="宋体" w:eastAsia="宋体" w:cs="Times New Roman"/>
          <w:color w:val="000000"/>
          <w:sz w:val="24"/>
          <w:szCs w:val="24"/>
          <w:lang w:val="en-US" w:eastAsia="zh-CN" w:bidi="ar-SA"/>
        </w:rPr>
        <w:t xml:space="preserve">。</w:t>
      </w:r>
      <w:r/>
    </w:p>
    <w:p>
      <w:pPr>
        <w:pStyle w:val="927"/>
        <w:ind w:left="0" w:right="0" w:firstLine="480"/>
        <w:keepLines w:val="0"/>
        <w:keepNext w:val="0"/>
        <w:pageBreakBefore w:val="0"/>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（三）演示要求</w:t>
      </w:r>
      <w:r/>
    </w:p>
    <w:p>
      <w:pPr>
        <w:pStyle w:val="927"/>
        <w:ind w:left="0" w:right="0" w:firstLine="480"/>
        <w:keepLines w:val="0"/>
        <w:keepNext w:val="0"/>
        <w:pageBreakBefore w:val="0"/>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视频文件的格式为*.mp4或*.avi，供应商须将视频文件分段压缩为*.zip文件上传（单个文件不得大于50M，所有文件合计不得大于300M）。文件上传方式见《操作手册》，上传的演示视频将作为响应文件的组成部分。视频时长总计不超过20分钟。</w:t>
      </w:r>
      <w:r/>
    </w:p>
    <w:p>
      <w:pPr>
        <w:pStyle w:val="927"/>
        <w:ind w:left="0" w:right="0" w:firstLine="480"/>
        <w:keepLines w:val="0"/>
        <w:keepNext w:val="0"/>
        <w:pageBreakBefore w:val="0"/>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2.演示内容详见“第五章  评审方法与评审标准”。</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710"/>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710"/>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1001"/>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pPr>
      <w:r>
        <w:rPr>
          <w:rFonts w:hint="eastAsia" w:ascii="方正小标宋简体" w:hAnsi="方正小标宋简体" w:eastAsia="方正小标宋简体" w:cs="方正小标宋简体"/>
          <w:color w:val="000000"/>
          <w:sz w:val="36"/>
          <w:szCs w:val="36"/>
          <w:lang w:val="en-US" w:eastAsia="zh-CN" w:bidi="ar-SA"/>
        </w:rPr>
        <w:t xml:space="preserve">第五章  评审方法与评审标准</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w:t>
      </w:r>
      <w:r>
        <w:rPr>
          <w:rFonts w:hint="eastAsia" w:ascii="黑体" w:hAnsi="黑体" w:eastAsia="黑体" w:cs="黑体"/>
          <w:b w:val="0"/>
          <w:bCs w:val="0"/>
          <w:color w:val="000000"/>
          <w:sz w:val="24"/>
          <w:szCs w:val="24"/>
          <w:lang w:val="en-US" w:eastAsia="zh-CN"/>
        </w:rPr>
        <w:t xml:space="preserve">审</w:t>
      </w:r>
      <w:r>
        <w:rPr>
          <w:rFonts w:hint="eastAsia" w:ascii="黑体" w:hAnsi="黑体" w:eastAsia="黑体" w:cs="黑体"/>
          <w:b w:val="0"/>
          <w:bCs w:val="0"/>
          <w:color w:val="000000"/>
          <w:sz w:val="24"/>
          <w:szCs w:val="24"/>
          <w:lang w:eastAsia="zh-CN"/>
        </w:rPr>
        <w:t xml:space="preserve">方法</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采用</w:t>
      </w:r>
      <w:r>
        <w:rPr>
          <w:rFonts w:hint="eastAsia" w:ascii="宋体" w:hAnsi="宋体" w:eastAsia="宋体" w:cs="宋体"/>
          <w:sz w:val="24"/>
          <w:szCs w:val="24"/>
        </w:rPr>
        <w:t xml:space="preserve">综合评分法，对满足磋商文件全部实质性要求的响应文件按评审因素的量化指标评审总分对供应商进行排序。</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经磋商确定最终采购需求和提交最后报价的供应商后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磋商小组</w:t>
      </w:r>
      <w:r>
        <w:rPr>
          <w:rFonts w:hint="eastAsia" w:ascii="宋体" w:hAnsi="宋体" w:eastAsia="宋体" w:cs="宋体"/>
          <w:sz w:val="24"/>
          <w:szCs w:val="24"/>
          <w:lang w:eastAsia="zh-CN"/>
        </w:rPr>
        <w:t xml:space="preserve">成员</w:t>
      </w: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独立</w:t>
      </w:r>
      <w:r>
        <w:rPr>
          <w:rFonts w:hint="eastAsia" w:ascii="宋体" w:hAnsi="宋体" w:eastAsia="宋体" w:cs="宋体"/>
          <w:sz w:val="24"/>
          <w:szCs w:val="24"/>
        </w:rPr>
        <w:t xml:space="preserve">对提交最后报价的供应商的响应文件和最后报价进行</w:t>
      </w:r>
      <w:r>
        <w:rPr>
          <w:rFonts w:hint="eastAsia" w:ascii="宋体" w:hAnsi="宋体" w:eastAsia="宋体" w:cs="宋体"/>
          <w:sz w:val="24"/>
          <w:szCs w:val="24"/>
          <w:lang w:eastAsia="zh-CN"/>
        </w:rPr>
        <w:t xml:space="preserve">综合</w:t>
      </w:r>
      <w:r>
        <w:rPr>
          <w:rFonts w:hint="eastAsia" w:ascii="宋体" w:hAnsi="宋体" w:eastAsia="宋体" w:cs="宋体"/>
          <w:sz w:val="24"/>
          <w:szCs w:val="24"/>
        </w:rPr>
        <w:t xml:space="preserve">评分。</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磋商小组按照评审</w:t>
      </w:r>
      <w:r>
        <w:rPr>
          <w:rFonts w:hint="eastAsia" w:ascii="宋体" w:hAnsi="宋体" w:cs="宋体"/>
          <w:sz w:val="24"/>
          <w:szCs w:val="24"/>
          <w:lang w:val="en-US" w:eastAsia="zh-CN"/>
        </w:rPr>
        <w:t xml:space="preserve">总</w:t>
      </w:r>
      <w:r>
        <w:rPr>
          <w:rFonts w:hint="eastAsia" w:ascii="宋体" w:hAnsi="宋体" w:eastAsia="宋体" w:cs="宋体"/>
          <w:sz w:val="24"/>
          <w:szCs w:val="24"/>
        </w:rPr>
        <w:t xml:space="preserve">分由高到低顺序推荐</w:t>
      </w:r>
      <w:r>
        <w:rPr>
          <w:rFonts w:hint="eastAsia" w:ascii="宋体" w:hAnsi="宋体" w:cs="Times New Roman"/>
          <w:b w:val="0"/>
          <w:bCs w:val="0"/>
          <w:color w:val="0000ff"/>
          <w:sz w:val="24"/>
          <w:szCs w:val="24"/>
          <w:highlight w:val="none"/>
          <w:u w:val="none"/>
          <w:lang w:val="en-US" w:eastAsia="zh-CN"/>
        </w:rPr>
        <w:t xml:space="preserve">3</w:t>
      </w:r>
      <w:r>
        <w:rPr>
          <w:rFonts w:hint="eastAsia" w:ascii="宋体" w:hAnsi="宋体" w:eastAsia="宋体" w:cs="Times New Roman"/>
          <w:b w:val="0"/>
          <w:bCs w:val="0"/>
          <w:color w:val="000000"/>
          <w:sz w:val="24"/>
          <w:szCs w:val="24"/>
          <w:highlight w:val="none"/>
          <w:u w:val="none"/>
          <w:lang w:val="en-US" w:eastAsia="zh-CN"/>
        </w:rPr>
        <w:t xml:space="preserve">名</w:t>
      </w:r>
      <w:r>
        <w:rPr>
          <w:rFonts w:hint="eastAsia" w:ascii="宋体" w:hAnsi="宋体" w:eastAsia="宋体" w:cs="宋体"/>
          <w:color w:val="000000"/>
          <w:sz w:val="24"/>
          <w:szCs w:val="24"/>
          <w:highlight w:val="none"/>
          <w:lang w:eastAsia="zh-CN"/>
        </w:rPr>
        <w:t xml:space="preserve">成交候选供应商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并编写评审报告。评审得分相同的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按照最后报价由低到高的顺序推荐。评审得分且最后报价相同的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按照</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highlight w:val="none"/>
          <w:lang w:eastAsia="zh-CN"/>
        </w:rPr>
        <w:t xml:space="preserve">三、评审标准中</w:t>
      </w:r>
      <w:r>
        <w:rPr>
          <w:rFonts w:hint="eastAsia" w:ascii="宋体" w:hAnsi="宋体" w:cs="宋体"/>
          <w:color w:val="0000ff"/>
          <w:sz w:val="24"/>
          <w:szCs w:val="24"/>
          <w:highlight w:val="none"/>
          <w:lang w:val="en-US" w:eastAsia="zh-CN"/>
        </w:rPr>
        <w:t xml:space="preserve">2.7</w:t>
      </w:r>
      <w:r>
        <w:rPr>
          <w:rFonts w:hint="eastAsia" w:ascii="宋体" w:hAnsi="宋体" w:eastAsia="宋体" w:cs="宋体"/>
          <w:color w:val="000000"/>
          <w:sz w:val="24"/>
          <w:szCs w:val="24"/>
          <w:highlight w:val="none"/>
          <w:lang w:val="en-US" w:eastAsia="zh-CN"/>
        </w:rPr>
        <w:t xml:space="preserve">项</w:t>
      </w:r>
      <w:r>
        <w:rPr>
          <w:rFonts w:hint="eastAsia" w:ascii="宋体" w:hAnsi="宋体" w:eastAsia="宋体" w:cs="宋体"/>
          <w:sz w:val="24"/>
          <w:szCs w:val="24"/>
          <w:lang w:eastAsia="zh-CN"/>
        </w:rPr>
        <w:t xml:space="preserve">”得分由高到低顺序</w:t>
      </w:r>
      <w:r>
        <w:rPr>
          <w:rFonts w:hint="eastAsia" w:ascii="宋体" w:hAnsi="宋体" w:eastAsia="宋体" w:cs="宋体"/>
          <w:sz w:val="24"/>
          <w:szCs w:val="24"/>
        </w:rPr>
        <w:t xml:space="preserve">推荐。</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p>
    <w:p>
      <w:pPr>
        <w:ind w:firstLine="480"/>
        <w:keepLines w:val="0"/>
        <w:keepNext w:val="0"/>
        <w:pageBreakBefore w:val="0"/>
        <w:spacing w:line="264"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本项目服务全部由小微企业承接</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对报价给予</w:t>
      </w:r>
      <w:r>
        <w:rPr>
          <w:rFonts w:hint="eastAsia" w:ascii="宋体" w:hAnsi="宋体" w:cs="Times New Roman"/>
          <w:b w:val="0"/>
          <w:bCs w:val="0"/>
          <w:color w:val="0000ff"/>
          <w:sz w:val="24"/>
          <w:szCs w:val="24"/>
          <w:highlight w:val="none"/>
          <w:u w:val="none"/>
          <w:lang w:val="en-US" w:eastAsia="zh-CN"/>
        </w:rPr>
        <w:t xml:space="preserve">20</w:t>
      </w:r>
      <w:r>
        <w:rPr>
          <w:rFonts w:hint="eastAsia" w:ascii="宋体" w:hAnsi="宋体" w:eastAsia="宋体" w:cs="Times New Roman"/>
          <w:b w:val="0"/>
          <w:bCs w:val="0"/>
          <w:color w:val="0000ff"/>
          <w:sz w:val="24"/>
          <w:szCs w:val="24"/>
          <w:highlight w:val="none"/>
          <w:u w:val="none"/>
          <w:lang w:val="zh-CN" w:eastAsia="zh-CN"/>
        </w:rPr>
        <w:t xml:space="preserve">%</w:t>
      </w:r>
      <w:r>
        <w:rPr>
          <w:rFonts w:hint="eastAsia" w:ascii="宋体" w:hAnsi="宋体" w:eastAsia="宋体" w:cs="宋体"/>
          <w:sz w:val="24"/>
          <w:szCs w:val="24"/>
        </w:rPr>
        <w:t xml:space="preserve">的扣除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p>
    <w:p>
      <w:pPr>
        <w:ind w:firstLine="482"/>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b/>
          <w:bCs/>
          <w:sz w:val="24"/>
          <w:szCs w:val="24"/>
          <w:u w:val="none"/>
          <w:lang w:val="en-US" w:eastAsia="zh-CN"/>
        </w:rPr>
        <w:t xml:space="preserve">3.</w:t>
      </w:r>
      <w:r>
        <w:rPr>
          <w:rFonts w:hint="eastAsia" w:ascii="宋体" w:hAnsi="宋体" w:eastAsia="宋体" w:cs="宋体"/>
          <w:b/>
          <w:bCs/>
          <w:sz w:val="24"/>
          <w:szCs w:val="24"/>
          <w:u w:val="none"/>
          <w:lang w:eastAsia="zh-CN"/>
        </w:rPr>
        <w:t xml:space="preserve">上述价格扣除政策仅适用</w:t>
      </w:r>
      <w:r>
        <w:rPr>
          <w:rFonts w:hint="eastAsia" w:ascii="宋体" w:hAnsi="宋体" w:eastAsia="宋体" w:cs="宋体"/>
          <w:b/>
          <w:bCs/>
          <w:sz w:val="24"/>
          <w:szCs w:val="24"/>
          <w:u w:val="none"/>
          <w:lang w:val="en-US" w:eastAsia="zh-CN"/>
        </w:rPr>
        <w:t xml:space="preserve">于</w:t>
      </w:r>
      <w:r>
        <w:rPr>
          <w:rFonts w:hint="eastAsia" w:ascii="宋体" w:hAnsi="宋体" w:eastAsia="宋体" w:cs="宋体"/>
          <w:b/>
          <w:bCs/>
          <w:sz w:val="24"/>
          <w:szCs w:val="24"/>
          <w:u w:val="none"/>
          <w:lang w:eastAsia="zh-CN"/>
        </w:rPr>
        <w:t xml:space="preserve">“</w:t>
      </w:r>
      <w:r>
        <w:rPr>
          <w:rFonts w:hint="eastAsia" w:ascii="宋体" w:hAnsi="宋体" w:eastAsia="宋体" w:cs="宋体"/>
          <w:b/>
          <w:bCs/>
          <w:sz w:val="24"/>
          <w:szCs w:val="24"/>
          <w:u w:val="none"/>
          <w:lang w:val="en-US" w:eastAsia="zh-CN"/>
        </w:rPr>
        <w:t xml:space="preserve">非</w:t>
      </w:r>
      <w:r>
        <w:rPr>
          <w:rFonts w:hint="eastAsia" w:ascii="宋体" w:hAnsi="宋体" w:eastAsia="宋体" w:cs="宋体"/>
          <w:b/>
          <w:bCs/>
          <w:sz w:val="24"/>
          <w:szCs w:val="24"/>
          <w:u w:val="none"/>
          <w:lang w:eastAsia="zh-CN"/>
        </w:rPr>
        <w:t xml:space="preserve">专门面向中小企业采购项目”</w:t>
      </w:r>
      <w:r>
        <w:rPr>
          <w:rFonts w:hint="eastAsia" w:ascii="宋体" w:hAnsi="宋体" w:eastAsia="宋体" w:cs="宋体"/>
          <w:sz w:val="24"/>
          <w:szCs w:val="24"/>
          <w:lang w:eastAsia="zh-CN"/>
        </w:rPr>
        <w:t xml:space="preserve">。</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w:t>
      </w:r>
      <w:r/>
    </w:p>
    <w:p>
      <w:pPr>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（1）本项目如专门面向中小企业采购，则不执行价格扣除政策，</w:t>
      </w:r>
      <w:r>
        <w:rPr>
          <w:rFonts w:hint="eastAsia" w:ascii="宋体" w:hAnsi="宋体" w:eastAsia="宋体" w:cs="宋体"/>
          <w:color w:val="000000"/>
          <w:sz w:val="24"/>
          <w:szCs w:val="24"/>
          <w:highlight w:val="none"/>
          <w:lang w:val="zh-CN" w:eastAsia="zh-CN"/>
        </w:rPr>
        <w:t xml:space="preserve">供应商应为中小微企业、监狱企业、残疾人福利性单位。</w:t>
      </w:r>
      <w:r/>
    </w:p>
    <w:p>
      <w:pPr>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lang w:val="en-US" w:eastAsia="zh-CN"/>
        </w:rPr>
        <w:t xml:space="preserve">如允许</w:t>
      </w:r>
      <w:r>
        <w:rPr>
          <w:rFonts w:hint="eastAsia" w:ascii="宋体" w:hAnsi="宋体" w:eastAsia="宋体" w:cs="宋体"/>
          <w:color w:val="000000"/>
          <w:sz w:val="24"/>
          <w:szCs w:val="24"/>
          <w:highlight w:val="none"/>
        </w:rPr>
        <w:t xml:space="preserve">联合体参加</w:t>
      </w:r>
      <w:r>
        <w:rPr>
          <w:rFonts w:hint="eastAsia" w:ascii="宋体" w:hAnsi="宋体" w:eastAsia="宋体" w:cs="宋体"/>
          <w:color w:val="000000"/>
          <w:sz w:val="24"/>
          <w:szCs w:val="24"/>
          <w:highlight w:val="none"/>
          <w:lang w:eastAsia="zh-CN"/>
        </w:rPr>
        <w:t xml:space="preserve">磋商</w:t>
      </w:r>
      <w:r>
        <w:rPr>
          <w:rFonts w:hint="eastAsia" w:ascii="宋体" w:hAnsi="宋体" w:eastAsia="宋体" w:cs="宋体"/>
          <w:color w:val="000000"/>
          <w:sz w:val="24"/>
          <w:szCs w:val="24"/>
          <w:highlight w:val="none"/>
        </w:rPr>
        <w:t xml:space="preserve">或</w:t>
      </w:r>
      <w:r>
        <w:rPr>
          <w:rFonts w:hint="eastAsia" w:ascii="宋体" w:hAnsi="宋体" w:eastAsia="宋体" w:cs="宋体"/>
          <w:color w:val="000000"/>
          <w:sz w:val="24"/>
          <w:szCs w:val="24"/>
          <w:highlight w:val="none"/>
          <w:lang w:val="en-US" w:eastAsia="zh-CN"/>
        </w:rPr>
        <w:t xml:space="preserve">允许</w:t>
      </w:r>
      <w:r>
        <w:rPr>
          <w:rFonts w:hint="eastAsia" w:ascii="宋体" w:hAnsi="宋体" w:eastAsia="宋体" w:cs="宋体"/>
          <w:color w:val="000000"/>
          <w:sz w:val="24"/>
          <w:szCs w:val="24"/>
          <w:highlight w:val="none"/>
        </w:rPr>
        <w:t xml:space="preserve">分包履行合同,大中型企业与小微型企业（</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残疾人福利</w:t>
      </w:r>
      <w:r>
        <w:rPr>
          <w:rFonts w:hint="eastAsia" w:ascii="宋体" w:hAnsi="宋体" w:eastAsia="宋体" w:cs="宋体"/>
          <w:color w:val="000000"/>
          <w:sz w:val="24"/>
          <w:szCs w:val="24"/>
          <w:highlight w:val="none"/>
          <w:lang w:val="en-US" w:eastAsia="zh-CN"/>
        </w:rPr>
        <w:t xml:space="preserve">性</w:t>
      </w:r>
      <w:r>
        <w:rPr>
          <w:rFonts w:hint="eastAsia" w:ascii="宋体" w:hAnsi="宋体" w:eastAsia="宋体" w:cs="宋体"/>
          <w:color w:val="000000"/>
          <w:sz w:val="24"/>
          <w:szCs w:val="24"/>
          <w:highlight w:val="none"/>
        </w:rPr>
        <w:t xml:space="preserve">单位、监狱企业）组成联合体</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或者向一家或多家小微型企业（</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残疾人福利</w:t>
      </w:r>
      <w:r>
        <w:rPr>
          <w:rFonts w:hint="eastAsia" w:ascii="宋体" w:hAnsi="宋体" w:eastAsia="宋体" w:cs="宋体"/>
          <w:color w:val="000000"/>
          <w:sz w:val="24"/>
          <w:szCs w:val="24"/>
          <w:highlight w:val="none"/>
          <w:lang w:val="en-US" w:eastAsia="zh-CN"/>
        </w:rPr>
        <w:t xml:space="preserve">性</w:t>
      </w:r>
      <w:r>
        <w:rPr>
          <w:rFonts w:hint="eastAsia" w:ascii="宋体" w:hAnsi="宋体" w:eastAsia="宋体" w:cs="宋体"/>
          <w:color w:val="000000"/>
          <w:sz w:val="24"/>
          <w:szCs w:val="24"/>
          <w:highlight w:val="none"/>
        </w:rPr>
        <w:t xml:space="preserve">单位、监狱企业）分包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联合</w:t>
      </w:r>
      <w:r>
        <w:rPr>
          <w:rFonts w:hint="eastAsia" w:ascii="宋体" w:hAnsi="宋体" w:eastAsia="宋体" w:cs="宋体"/>
          <w:b w:val="0"/>
          <w:bCs w:val="0"/>
          <w:color w:val="000000"/>
          <w:sz w:val="24"/>
          <w:szCs w:val="24"/>
          <w:highlight w:val="none"/>
          <w:lang w:val="en-US" w:eastAsia="zh-CN"/>
        </w:rPr>
        <w:t xml:space="preserve">体</w:t>
      </w:r>
      <w:r>
        <w:rPr>
          <w:rFonts w:hint="eastAsia" w:ascii="宋体" w:hAnsi="宋体" w:eastAsia="宋体" w:cs="宋体"/>
          <w:b w:val="0"/>
          <w:bCs w:val="0"/>
          <w:color w:val="000000"/>
          <w:sz w:val="24"/>
          <w:szCs w:val="24"/>
          <w:highlight w:val="none"/>
        </w:rPr>
        <w:t xml:space="preserve">协议或者分包意向协议中约定小微型企业（</w:t>
      </w:r>
      <w:r>
        <w:rPr>
          <w:rFonts w:hint="eastAsia" w:ascii="宋体" w:hAnsi="宋体" w:eastAsia="宋体" w:cs="宋体"/>
          <w:b w:val="0"/>
          <w:bCs w:val="0"/>
          <w:color w:val="000000"/>
          <w:sz w:val="24"/>
          <w:szCs w:val="24"/>
          <w:highlight w:val="none"/>
          <w:lang w:val="en-US" w:eastAsia="zh-CN"/>
        </w:rPr>
        <w:t xml:space="preserve">或</w:t>
      </w:r>
      <w:r>
        <w:rPr>
          <w:rFonts w:hint="eastAsia" w:ascii="宋体" w:hAnsi="宋体" w:eastAsia="宋体" w:cs="宋体"/>
          <w:b w:val="0"/>
          <w:bCs w:val="0"/>
          <w:color w:val="000000"/>
          <w:sz w:val="24"/>
          <w:szCs w:val="24"/>
          <w:highlight w:val="none"/>
        </w:rPr>
        <w:t xml:space="preserve">残疾人福利</w:t>
      </w:r>
      <w:r>
        <w:rPr>
          <w:rFonts w:hint="eastAsia" w:ascii="宋体" w:hAnsi="宋体" w:eastAsia="宋体" w:cs="宋体"/>
          <w:b w:val="0"/>
          <w:bCs w:val="0"/>
          <w:color w:val="000000"/>
          <w:sz w:val="24"/>
          <w:szCs w:val="24"/>
          <w:highlight w:val="none"/>
          <w:lang w:val="en-US" w:eastAsia="zh-CN"/>
        </w:rPr>
        <w:t xml:space="preserve">性</w:t>
      </w:r>
      <w:r>
        <w:rPr>
          <w:rFonts w:hint="eastAsia" w:ascii="宋体" w:hAnsi="宋体" w:eastAsia="宋体" w:cs="宋体"/>
          <w:b w:val="0"/>
          <w:bCs w:val="0"/>
          <w:color w:val="000000"/>
          <w:sz w:val="24"/>
          <w:szCs w:val="24"/>
          <w:highlight w:val="none"/>
        </w:rPr>
        <w:t xml:space="preserve">单位、监狱企业）的合同份额占合同总金额</w:t>
      </w:r>
      <w:r>
        <w:rPr>
          <w:rFonts w:hint="eastAsia" w:ascii="宋体" w:hAnsi="宋体" w:eastAsia="宋体" w:cs="宋体"/>
          <w:b w:val="0"/>
          <w:bCs w:val="0"/>
          <w:color w:val="000000"/>
          <w:sz w:val="24"/>
          <w:szCs w:val="24"/>
          <w:highlight w:val="none"/>
          <w:u w:val="none"/>
        </w:rPr>
        <w:t xml:space="preserve">30%</w:t>
      </w:r>
      <w:r>
        <w:rPr>
          <w:rFonts w:hint="eastAsia" w:ascii="宋体" w:hAnsi="宋体" w:eastAsia="宋体" w:cs="宋体"/>
          <w:b w:val="0"/>
          <w:bCs w:val="0"/>
          <w:color w:val="000000"/>
          <w:sz w:val="24"/>
          <w:szCs w:val="24"/>
          <w:highlight w:val="none"/>
        </w:rPr>
        <w:t xml:space="preserve">以上的</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给予联合体或者大中型企业</w:t>
      </w:r>
      <w:r>
        <w:rPr>
          <w:rFonts w:hint="eastAsia" w:ascii="宋体" w:hAnsi="宋体" w:eastAsia="宋体" w:cs="宋体"/>
          <w:b w:val="0"/>
          <w:bCs w:val="0"/>
          <w:color w:val="000000"/>
          <w:sz w:val="24"/>
          <w:szCs w:val="24"/>
          <w:highlight w:val="none"/>
          <w:lang w:val="en-US" w:eastAsia="zh-CN"/>
        </w:rPr>
        <w:t xml:space="preserve">报价</w:t>
      </w:r>
      <w:r>
        <w:rPr>
          <w:rFonts w:hint="eastAsia" w:ascii="宋体" w:hAnsi="宋体" w:eastAsia="宋体" w:cs="宋体"/>
          <w:color w:val="0000ff"/>
          <w:sz w:val="24"/>
          <w:szCs w:val="24"/>
          <w:highlight w:val="none"/>
          <w:lang w:eastAsia="zh-CN"/>
        </w:rPr>
        <w:t xml:space="preserve">4%</w:t>
      </w:r>
      <w:r>
        <w:rPr>
          <w:rFonts w:hint="eastAsia" w:ascii="宋体" w:hAnsi="宋体" w:eastAsia="宋体" w:cs="宋体"/>
          <w:color w:val="0000ff"/>
          <w:sz w:val="24"/>
          <w:szCs w:val="24"/>
          <w:highlight w:val="none"/>
          <w:lang w:val="en-US" w:eastAsia="zh-CN"/>
        </w:rPr>
        <w:t xml:space="preserve">/</w:t>
      </w:r>
      <w:r>
        <w:rPr>
          <w:rFonts w:hint="eastAsia" w:ascii="宋体" w:hAnsi="宋体" w:eastAsia="宋体" w:cs="宋体"/>
          <w:color w:val="0000ff"/>
          <w:sz w:val="24"/>
          <w:szCs w:val="24"/>
          <w:highlight w:val="none"/>
          <w:lang w:eastAsia="zh-CN"/>
        </w:rPr>
        <w:t xml:space="preserve">6%</w:t>
      </w:r>
      <w:r>
        <w:rPr>
          <w:rFonts w:hint="eastAsia" w:ascii="宋体" w:hAnsi="宋体" w:eastAsia="宋体" w:cs="Times New Roman"/>
          <w:color w:val="000000"/>
          <w:sz w:val="24"/>
          <w:szCs w:val="24"/>
          <w:highlight w:val="none"/>
          <w:lang w:eastAsia="zh-CN"/>
        </w:rPr>
        <w:t xml:space="preserve">的扣除</w:t>
      </w:r>
      <w:r>
        <w:rPr>
          <w:rFonts w:hint="eastAsia" w:ascii="宋体" w:hAnsi="宋体" w:eastAsia="宋体" w:cs="Times New Roman"/>
          <w:color w:val="0000ff"/>
          <w:sz w:val="24"/>
          <w:szCs w:val="24"/>
          <w:highlight w:val="none"/>
          <w:lang w:eastAsia="zh-CN"/>
        </w:rPr>
        <w:t xml:space="preserve">（500万元（含）以上的项目</w:t>
      </w:r>
      <w:r>
        <w:rPr>
          <w:rFonts w:hint="eastAsia" w:ascii="宋体" w:hAnsi="宋体" w:eastAsia="宋体" w:cs="Times New Roman"/>
          <w:color w:val="0000ff"/>
          <w:sz w:val="24"/>
          <w:szCs w:val="24"/>
          <w:highlight w:val="none"/>
          <w:lang w:val="en-US" w:eastAsia="zh-CN"/>
        </w:rPr>
        <w:t xml:space="preserve">为4%，</w:t>
      </w:r>
      <w:r>
        <w:rPr>
          <w:rFonts w:hint="eastAsia" w:ascii="宋体" w:hAnsi="宋体" w:eastAsia="宋体" w:cs="Times New Roman"/>
          <w:color w:val="0000ff"/>
          <w:sz w:val="24"/>
          <w:szCs w:val="24"/>
          <w:highlight w:val="none"/>
          <w:lang w:eastAsia="zh-CN"/>
        </w:rPr>
        <w:t xml:space="preserve">500万元以内的项目</w:t>
      </w:r>
      <w:r>
        <w:rPr>
          <w:rFonts w:hint="eastAsia" w:ascii="宋体" w:hAnsi="宋体" w:eastAsia="宋体" w:cs="Times New Roman"/>
          <w:color w:val="0000ff"/>
          <w:sz w:val="24"/>
          <w:szCs w:val="24"/>
          <w:highlight w:val="none"/>
          <w:lang w:val="en-US" w:eastAsia="zh-CN"/>
        </w:rPr>
        <w:t xml:space="preserve">为6%</w:t>
      </w:r>
      <w:r>
        <w:rPr>
          <w:rFonts w:hint="eastAsia" w:ascii="宋体" w:hAnsi="宋体" w:eastAsia="宋体" w:cs="Times New Roman"/>
          <w:color w:val="0000ff"/>
          <w:sz w:val="24"/>
          <w:szCs w:val="24"/>
          <w:highlight w:val="none"/>
          <w:lang w:eastAsia="zh-CN"/>
        </w:rPr>
        <w:t xml:space="preserve">）</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用扣除后的价格参与评审。</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联合体各方均为小型、微型企业（</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lang w:eastAsia="zh-CN"/>
        </w:rPr>
        <w:t xml:space="preserve">残疾人福利</w:t>
      </w:r>
      <w:r>
        <w:rPr>
          <w:rFonts w:hint="eastAsia" w:ascii="宋体" w:hAnsi="宋体" w:eastAsia="宋体" w:cs="宋体"/>
          <w:color w:val="000000"/>
          <w:sz w:val="24"/>
          <w:szCs w:val="24"/>
          <w:highlight w:val="none"/>
          <w:lang w:val="en-US" w:eastAsia="zh-CN"/>
        </w:rPr>
        <w:t xml:space="preserve">性</w:t>
      </w:r>
      <w:r>
        <w:rPr>
          <w:rFonts w:hint="eastAsia" w:ascii="宋体" w:hAnsi="宋体" w:eastAsia="宋体" w:cs="宋体"/>
          <w:color w:val="000000"/>
          <w:sz w:val="24"/>
          <w:szCs w:val="24"/>
          <w:highlight w:val="none"/>
          <w:lang w:eastAsia="zh-CN"/>
        </w:rPr>
        <w:t xml:space="preserve">单位、监狱企业）的，给予</w:t>
      </w:r>
      <w:r>
        <w:rPr>
          <w:rFonts w:hint="eastAsia" w:ascii="宋体" w:hAnsi="宋体" w:eastAsia="宋体" w:cs="宋体"/>
          <w:color w:val="000000"/>
          <w:sz w:val="24"/>
          <w:szCs w:val="24"/>
          <w:highlight w:val="none"/>
          <w:lang w:val="en-US" w:eastAsia="zh-CN"/>
        </w:rPr>
        <w:t xml:space="preserve">与小微企业相同</w:t>
      </w:r>
      <w:r>
        <w:rPr>
          <w:rFonts w:hint="eastAsia" w:ascii="宋体" w:hAnsi="宋体" w:eastAsia="宋体" w:cs="宋体"/>
          <w:color w:val="000000"/>
          <w:sz w:val="24"/>
          <w:szCs w:val="24"/>
          <w:highlight w:val="none"/>
          <w:lang w:eastAsia="zh-CN"/>
        </w:rPr>
        <w:t xml:space="preserve">的价格扣除，用扣除后的价格参与评审。</w:t>
      </w:r>
      <w:r/>
    </w:p>
    <w:p>
      <w:pPr>
        <w:ind w:firstLine="480"/>
        <w:keepLines w:val="0"/>
        <w:keepNext w:val="0"/>
        <w:pageBreakBefore w:val="0"/>
        <w:spacing w:line="264" w:lineRule="auto"/>
        <w:widowControl w:val="off"/>
        <w:rPr>
          <w:rFonts w:hint="eastAsia" w:ascii="黑体" w:hAnsi="黑体" w:eastAsia="黑体" w:cs="黑体"/>
          <w:b w:val="0"/>
          <w:bCs w:val="0"/>
          <w:color w:val="0000ff"/>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三、评审标准</w:t>
      </w:r>
      <w:r/>
    </w:p>
    <w:tbl>
      <w:tblPr>
        <w:tblStyle w:val="1005"/>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793"/>
          <w:tblHeader/>
        </w:trPr>
        <w:tc>
          <w:tcPr>
            <w:tcW w:w="519" w:type="dxa"/>
            <w:vAlign w:val="top"/>
            <w:textDirection w:val="lrTb"/>
            <w:noWrap w:val="false"/>
          </w:tcPr>
          <w:p>
            <w:pPr>
              <w:jc w:val="center"/>
              <w:keepLines w:val="0"/>
              <w:keepNext w:val="0"/>
              <w:pageBreakBefore w:val="0"/>
              <w:spacing w:before="264" w:line="264" w:lineRule="auto"/>
              <w:widowControl w:val="off"/>
              <w:rPr>
                <w:rFonts w:ascii="宋体" w:hAnsi="宋体" w:eastAsia="宋体" w:cs="宋体"/>
                <w:b/>
                <w:bCs/>
                <w:spacing w:val="-2"/>
              </w:rPr>
            </w:pPr>
            <w:r>
              <w:rPr>
                <w:rFonts w:ascii="宋体" w:hAnsi="宋体" w:eastAsia="宋体" w:cs="宋体"/>
                <w:b/>
                <w:bCs/>
                <w:spacing w:val="-2"/>
              </w:rPr>
              <w:t xml:space="preserve">序号</w:t>
            </w:r>
            <w:r/>
          </w:p>
        </w:tc>
        <w:tc>
          <w:tcPr>
            <w:tcW w:w="1179" w:type="dxa"/>
            <w:vAlign w:val="top"/>
            <w:textDirection w:val="lrTb"/>
            <w:noWrap w:val="false"/>
          </w:tcPr>
          <w:p>
            <w:pPr>
              <w:jc w:val="center"/>
              <w:keepLines w:val="0"/>
              <w:keepNext w:val="0"/>
              <w:pageBreakBefore w:val="0"/>
              <w:spacing w:before="264" w:line="264" w:lineRule="auto"/>
              <w:widowControl w:val="off"/>
              <w:rPr>
                <w:rFonts w:ascii="宋体" w:hAnsi="宋体" w:eastAsia="宋体" w:cs="宋体"/>
                <w:b/>
                <w:bCs/>
                <w:spacing w:val="-2"/>
              </w:rPr>
            </w:pPr>
            <w:r>
              <w:rPr>
                <w:rFonts w:ascii="宋体" w:hAnsi="宋体" w:eastAsia="宋体" w:cs="宋体"/>
                <w:b/>
                <w:bCs/>
                <w:spacing w:val="-2"/>
              </w:rPr>
              <w:t xml:space="preserve">评审因素</w:t>
            </w:r>
            <w:r/>
          </w:p>
        </w:tc>
        <w:tc>
          <w:tcPr>
            <w:tcW w:w="6330" w:type="dxa"/>
            <w:vAlign w:val="top"/>
            <w:textDirection w:val="lrTb"/>
            <w:noWrap w:val="false"/>
          </w:tcPr>
          <w:p>
            <w:pPr>
              <w:jc w:val="center"/>
              <w:keepLines w:val="0"/>
              <w:keepNext w:val="0"/>
              <w:pageBreakBefore w:val="0"/>
              <w:spacing w:before="264" w:line="264" w:lineRule="auto"/>
              <w:widowControl w:val="off"/>
              <w:rPr>
                <w:rFonts w:ascii="宋体" w:hAnsi="宋体" w:eastAsia="宋体" w:cs="宋体"/>
                <w:b/>
                <w:bCs/>
                <w:spacing w:val="-2"/>
              </w:rPr>
            </w:pPr>
            <w:r>
              <w:rPr>
                <w:rFonts w:ascii="宋体" w:hAnsi="宋体" w:eastAsia="宋体" w:cs="宋体"/>
                <w:b/>
                <w:bCs/>
                <w:spacing w:val="-2"/>
              </w:rPr>
              <w:t xml:space="preserve">评审细则</w:t>
            </w:r>
            <w:r/>
          </w:p>
        </w:tc>
        <w:tc>
          <w:tcPr>
            <w:tcW w:w="647" w:type="dxa"/>
            <w:vAlign w:val="top"/>
            <w:textDirection w:val="lrTb"/>
            <w:noWrap w:val="false"/>
          </w:tcPr>
          <w:p>
            <w:pPr>
              <w:jc w:val="center"/>
              <w:keepLines w:val="0"/>
              <w:keepNext w:val="0"/>
              <w:pageBreakBefore w:val="0"/>
              <w:spacing w:before="264" w:line="264" w:lineRule="auto"/>
              <w:widowControl w:val="off"/>
              <w:rPr>
                <w:rFonts w:ascii="宋体" w:hAnsi="宋体" w:eastAsia="宋体" w:cs="宋体"/>
                <w:b/>
                <w:bCs/>
                <w:spacing w:val="-2"/>
              </w:rPr>
            </w:pPr>
            <w:r>
              <w:rPr>
                <w:rFonts w:ascii="宋体" w:hAnsi="宋体" w:eastAsia="宋体" w:cs="宋体"/>
                <w:b/>
                <w:bCs/>
                <w:spacing w:val="-2"/>
              </w:rPr>
              <w:t xml:space="preserve">分值</w:t>
            </w:r>
            <w:r/>
          </w:p>
        </w:tc>
        <w:tc>
          <w:tcPr>
            <w:tcW w:w="900" w:type="dxa"/>
            <w:vAlign w:val="top"/>
            <w:textDirection w:val="lrTb"/>
            <w:noWrap w:val="false"/>
          </w:tcPr>
          <w:p>
            <w:pPr>
              <w:jc w:val="center"/>
              <w:keepLines w:val="0"/>
              <w:keepNext w:val="0"/>
              <w:pageBreakBefore w:val="0"/>
              <w:spacing w:before="264" w:line="264" w:lineRule="auto"/>
              <w:widowControl w:val="off"/>
              <w:rPr>
                <w:rFonts w:ascii="宋体" w:hAnsi="宋体" w:eastAsia="宋体" w:cs="宋体"/>
                <w:b/>
                <w:bCs/>
                <w:spacing w:val="-2"/>
              </w:rPr>
            </w:pPr>
            <w:r>
              <w:rPr>
                <w:rFonts w:ascii="宋体" w:hAnsi="宋体" w:eastAsia="宋体" w:cs="宋体"/>
                <w:b/>
                <w:bCs/>
                <w:spacing w:val="-2"/>
              </w:rPr>
              <w:t xml:space="preserve">类型</w:t>
            </w:r>
            <w:r/>
          </w:p>
        </w:tc>
      </w:tr>
      <w:tr>
        <w:trPr>
          <w:jc w:val="center"/>
          <w:trHeight w:val="460"/>
        </w:trPr>
        <w:tc>
          <w:tcPr>
            <w:gridSpan w:val="5"/>
            <w:tcW w:w="9575" w:type="dxa"/>
            <w:vAlign w:val="top"/>
            <w:textDirection w:val="lrTb"/>
            <w:noWrap w:val="false"/>
          </w:tcPr>
          <w:p>
            <w:pPr>
              <w:ind w:left="114"/>
              <w:keepLines w:val="0"/>
              <w:keepNext w:val="0"/>
              <w:pageBreakBefore w:val="0"/>
              <w:spacing w:before="122" w:line="264" w:lineRule="auto"/>
              <w:widowControl w:val="off"/>
              <w:rPr>
                <w:rFonts w:ascii="宋体" w:hAnsi="宋体" w:eastAsia="宋体" w:cs="宋体"/>
              </w:rPr>
            </w:pPr>
            <w:r>
              <w:rPr>
                <w:rFonts w:hint="eastAsia" w:ascii="宋体" w:hAnsi="宋体" w:eastAsia="宋体" w:cs="宋体"/>
                <w:b/>
                <w:bCs/>
                <w:spacing w:val="-3"/>
                <w:lang w:val="en-US" w:eastAsia="zh-CN"/>
              </w:rPr>
              <w:t xml:space="preserve">1.</w:t>
            </w:r>
            <w:r>
              <w:rPr>
                <w:rFonts w:ascii="宋体" w:hAnsi="宋体" w:eastAsia="宋体" w:cs="宋体"/>
                <w:b/>
                <w:bCs/>
                <w:spacing w:val="-3"/>
              </w:rPr>
              <w:t xml:space="preserve">价</w:t>
            </w:r>
            <w:r>
              <w:rPr>
                <w:rFonts w:ascii="宋体" w:hAnsi="宋体" w:eastAsia="宋体" w:cs="宋体"/>
                <w:b/>
                <w:bCs/>
                <w:spacing w:val="-2"/>
              </w:rPr>
              <w:t xml:space="preserve">格</w:t>
            </w:r>
            <w:r/>
          </w:p>
        </w:tc>
      </w:tr>
      <w:tr>
        <w:trPr>
          <w:jc w:val="center"/>
          <w:trHeight w:val="90"/>
        </w:trPr>
        <w:tc>
          <w:tcPr>
            <w:tcW w:w="519" w:type="dxa"/>
            <w:vAlign w:val="center"/>
            <w:textDirection w:val="lrTb"/>
            <w:noWrap w:val="false"/>
          </w:tcPr>
          <w:p>
            <w:pPr>
              <w:jc w:val="center"/>
              <w:keepLines w:val="0"/>
              <w:keepNext w:val="0"/>
              <w:pageBreakBefore w:val="0"/>
              <w:spacing w:beforeAutospacing="0" w:afterAutospacing="0"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1.1</w:t>
            </w:r>
            <w:r/>
          </w:p>
        </w:tc>
        <w:tc>
          <w:tcPr>
            <w:tcW w:w="1179" w:type="dxa"/>
            <w:vAlign w:val="center"/>
            <w:textDirection w:val="lrTb"/>
            <w:noWrap w:val="false"/>
          </w:tcPr>
          <w:p>
            <w:pPr>
              <w:jc w:val="center"/>
              <w:keepLines w:val="0"/>
              <w:keepNext w:val="0"/>
              <w:pageBreakBefore w:val="0"/>
              <w:spacing w:beforeAutospacing="0" w:afterAutospacing="0"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价格分</w:t>
            </w:r>
            <w:r/>
          </w:p>
        </w:tc>
        <w:tc>
          <w:tcPr>
            <w:tcW w:w="6330" w:type="dxa"/>
            <w:vAlign w:val="center"/>
            <w:textDirection w:val="lrTb"/>
            <w:noWrap w:val="false"/>
          </w:tcPr>
          <w:p>
            <w:pPr>
              <w:keepLines w:val="0"/>
              <w:keepNext w:val="0"/>
              <w:pageBreakBefore w:val="0"/>
              <w:spacing w:beforeAutospacing="0" w:afterAutospacing="0" w:line="240" w:lineRule="auto"/>
              <w:rPr>
                <w:rFonts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采用低价优先法计算，即满足采购文件要求且投标价格最低的投标报价为评标基准价，其价格分为满分。其他供应商的价格分统一按照下列公式计算：投标报价得分=(评标基准价/投标报价)×10分</w:t>
            </w:r>
            <w:r/>
          </w:p>
        </w:tc>
        <w:tc>
          <w:tcPr>
            <w:tcW w:w="647" w:type="dxa"/>
            <w:vAlign w:val="center"/>
            <w:textDirection w:val="lrTb"/>
            <w:noWrap w:val="false"/>
          </w:tcPr>
          <w:p>
            <w:pPr>
              <w:jc w:val="center"/>
              <w:keepLines w:val="0"/>
              <w:keepNext w:val="0"/>
              <w:pageBreakBefore w:val="0"/>
              <w:spacing w:beforeAutospacing="0" w:afterAutospacing="0" w:line="240" w:lineRule="auto"/>
              <w:rPr>
                <w:rFonts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10</w:t>
            </w:r>
            <w:r/>
          </w:p>
        </w:tc>
        <w:tc>
          <w:tcPr>
            <w:tcW w:w="900" w:type="dxa"/>
            <w:vAlign w:val="center"/>
            <w:textDirection w:val="lrTb"/>
            <w:noWrap w:val="false"/>
          </w:tcPr>
          <w:p>
            <w:pPr>
              <w:jc w:val="center"/>
              <w:keepLines w:val="0"/>
              <w:keepNext w:val="0"/>
              <w:pageBreakBefore w:val="0"/>
              <w:spacing w:beforeAutospacing="0" w:afterAutospacing="0"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价格分</w:t>
            </w:r>
            <w:r/>
          </w:p>
        </w:tc>
      </w:tr>
      <w:tr>
        <w:trPr>
          <w:jc w:val="center"/>
          <w:trHeight w:val="460"/>
        </w:trPr>
        <w:tc>
          <w:tcPr>
            <w:gridSpan w:val="5"/>
            <w:tcW w:w="9575" w:type="dxa"/>
            <w:vAlign w:val="top"/>
            <w:textDirection w:val="lrTb"/>
            <w:noWrap w:val="false"/>
          </w:tcPr>
          <w:p>
            <w:pPr>
              <w:ind w:left="114"/>
              <w:keepLines w:val="0"/>
              <w:keepNext w:val="0"/>
              <w:pageBreakBefore w:val="0"/>
              <w:spacing w:before="122" w:line="264" w:lineRule="auto"/>
              <w:widowControl w:val="off"/>
            </w:pPr>
            <w:r>
              <w:rPr>
                <w:rFonts w:hint="eastAsia" w:ascii="宋体" w:hAnsi="宋体" w:eastAsia="宋体" w:cs="宋体"/>
                <w:b/>
                <w:bCs/>
                <w:spacing w:val="-3"/>
                <w:lang w:val="en-US" w:eastAsia="zh-CN"/>
              </w:rPr>
              <w:t xml:space="preserve">2.技术</w:t>
            </w:r>
            <w:r/>
          </w:p>
        </w:tc>
      </w:tr>
      <w:tr>
        <w:trPr>
          <w:jc w:val="center"/>
          <w:trHeight w:val="90"/>
        </w:trPr>
        <w:tc>
          <w:tcPr>
            <w:tcW w:w="519" w:type="dxa"/>
            <w:vAlign w:val="center"/>
            <w:textDirection w:val="lrTb"/>
            <w:noWrap w:val="false"/>
          </w:tcPr>
          <w:p>
            <w:pPr>
              <w:jc w:val="center"/>
              <w:keepLines w:val="0"/>
              <w:keepNext w:val="0"/>
              <w:pageBreakBefore w:val="0"/>
              <w:spacing w:beforeAutospacing="0" w:afterAutospacing="0" w:line="240" w:lineRule="auto"/>
              <w:widowControl w:val="off"/>
              <w:rPr>
                <w:rFonts w:hint="eastAsia" w:ascii="仿宋" w:hAnsi="仿宋" w:eastAsia="仿宋" w:cs="仿宋"/>
                <w:color w:val="000000"/>
                <w:spacing w:val="-2"/>
                <w:sz w:val="24"/>
                <w:szCs w:val="24"/>
              </w:rPr>
            </w:pPr>
            <w:r>
              <w:rPr>
                <w:rFonts w:hint="eastAsia" w:ascii="仿宋" w:hAnsi="仿宋" w:eastAsia="仿宋" w:cs="仿宋"/>
                <w:color w:val="000000"/>
                <w:spacing w:val="-2"/>
                <w:sz w:val="24"/>
                <w:szCs w:val="24"/>
              </w:rPr>
              <w:t xml:space="preserve">2.1</w:t>
            </w:r>
            <w:r/>
          </w:p>
        </w:tc>
        <w:tc>
          <w:tcPr>
            <w:tcW w:w="1179" w:type="dxa"/>
            <w:vAlign w:val="center"/>
            <w:textDirection w:val="lrTb"/>
            <w:noWrap w:val="false"/>
          </w:tcPr>
          <w:p>
            <w:pPr>
              <w:pStyle w:val="951"/>
              <w:jc w:val="center"/>
              <w:keepLines w:val="0"/>
              <w:keepNext w:val="0"/>
              <w:pageBreakBefore w:val="0"/>
              <w:spacing w:before="0" w:beforeAutospacing="0" w:after="0" w:afterAutospacing="0"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总体设计思路</w:t>
            </w:r>
            <w:r/>
          </w:p>
        </w:tc>
        <w:tc>
          <w:tcPr>
            <w:tcW w:w="6330" w:type="dxa"/>
            <w:vAlign w:val="center"/>
            <w:textDirection w:val="lrTb"/>
            <w:noWrap w:val="false"/>
          </w:tcPr>
          <w:p>
            <w:pPr>
              <w:keepLines w:val="0"/>
              <w:keepNext w:val="0"/>
              <w:pageBreakBefore w:val="0"/>
              <w:spacing w:beforeAutospacing="0" w:afterAutospacing="0"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供应商提供总体设计思路，包括但不限于对项目背景的理解、建设目标、系统架构的设计思路。</w:t>
            </w:r>
            <w:r/>
          </w:p>
          <w:p>
            <w:pPr>
              <w:numPr>
                <w:ilvl w:val="0"/>
                <w:numId w:val="0"/>
              </w:numPr>
              <w:keepLines w:val="0"/>
              <w:keepNext w:val="0"/>
              <w:pageBreakBefore w:val="0"/>
              <w:spacing w:beforeAutospacing="0" w:afterAutospacing="0"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（1）总体设计思路科学性和前瞻性强，系统架构设计科学合理，得7分；</w:t>
            </w:r>
            <w:r/>
          </w:p>
          <w:p>
            <w:pPr>
              <w:numPr>
                <w:ilvl w:val="0"/>
                <w:numId w:val="0"/>
              </w:numPr>
              <w:keepLines w:val="0"/>
              <w:keepNext w:val="0"/>
              <w:pageBreakBefore w:val="0"/>
              <w:spacing w:beforeAutospacing="0" w:afterAutospacing="0"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（2）总体设计思路科学性和前瞻性较强，系统架构设计较为科学合理，得5分；</w:t>
            </w:r>
            <w:r/>
          </w:p>
          <w:p>
            <w:pPr>
              <w:numPr>
                <w:ilvl w:val="0"/>
                <w:numId w:val="0"/>
              </w:numPr>
              <w:keepLines w:val="0"/>
              <w:keepNext w:val="0"/>
              <w:pageBreakBefore w:val="0"/>
              <w:spacing w:beforeAutospacing="0" w:afterAutospacing="0"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（3）总体设计思路能基本满足现有需求，系统架构设计基本可行，得3分；</w:t>
            </w:r>
            <w:r/>
          </w:p>
          <w:p>
            <w:pPr>
              <w:numPr>
                <w:ilvl w:val="0"/>
                <w:numId w:val="0"/>
              </w:numPr>
              <w:keepLines w:val="0"/>
              <w:keepNext w:val="0"/>
              <w:pageBreakBefore w:val="0"/>
              <w:spacing w:beforeAutospacing="0" w:afterAutospacing="0"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（4）总体思路混乱，合理性和条理性差，内容陈旧，系统架构设计不合理，得1分；</w:t>
            </w:r>
            <w:r/>
          </w:p>
          <w:p>
            <w:pPr>
              <w:numPr>
                <w:ilvl w:val="0"/>
                <w:numId w:val="0"/>
              </w:numPr>
              <w:keepLines w:val="0"/>
              <w:keepNext w:val="0"/>
              <w:pageBreakBefore w:val="0"/>
              <w:spacing w:beforeAutospacing="0" w:afterAutospacing="0"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（5）未提供不得分。</w:t>
            </w:r>
            <w:r/>
          </w:p>
        </w:tc>
        <w:tc>
          <w:tcPr>
            <w:tcW w:w="647" w:type="dxa"/>
            <w:vAlign w:val="center"/>
            <w:textDirection w:val="lrTb"/>
            <w:noWrap w:val="false"/>
          </w:tcPr>
          <w:p>
            <w:pPr>
              <w:pStyle w:val="951"/>
              <w:jc w:val="center"/>
              <w:keepLines w:val="0"/>
              <w:keepNext w:val="0"/>
              <w:pageBreakBefore w:val="0"/>
              <w:spacing w:before="0" w:beforeAutospacing="0" w:after="0" w:afterAutospacing="0" w:line="240" w:lineRule="auto"/>
              <w:rPr>
                <w:rFonts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7</w:t>
            </w:r>
            <w:r/>
          </w:p>
        </w:tc>
        <w:tc>
          <w:tcPr>
            <w:tcW w:w="900" w:type="dxa"/>
            <w:vAlign w:val="center"/>
            <w:textDirection w:val="lrTb"/>
            <w:noWrap w:val="false"/>
          </w:tcPr>
          <w:p>
            <w:pPr>
              <w:jc w:val="center"/>
              <w:keepLines w:val="0"/>
              <w:keepNext w:val="0"/>
              <w:pageBreakBefore w:val="0"/>
              <w:spacing w:beforeAutospacing="0" w:afterAutospacing="0"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主</w:t>
            </w:r>
            <w:r>
              <w:rPr>
                <w:rFonts w:hint="eastAsia" w:ascii="仿宋" w:hAnsi="仿宋" w:eastAsia="仿宋" w:cs="仿宋"/>
                <w:sz w:val="24"/>
                <w:szCs w:val="24"/>
                <w:lang w:val="en-US" w:eastAsia="zh-CN" w:bidi="ar-SA"/>
              </w:rPr>
              <w:t xml:space="preserve">观分</w:t>
            </w:r>
            <w:r/>
          </w:p>
        </w:tc>
      </w:tr>
      <w:tr>
        <w:trPr>
          <w:jc w:val="center"/>
          <w:trHeight w:val="889"/>
        </w:trPr>
        <w:tc>
          <w:tcPr>
            <w:tcW w:w="519" w:type="dxa"/>
            <w:vAlign w:val="center"/>
            <w:textDirection w:val="lrTb"/>
            <w:noWrap w:val="false"/>
          </w:tcPr>
          <w:p>
            <w:pPr>
              <w:jc w:val="center"/>
              <w:keepLines w:val="0"/>
              <w:keepNext w:val="0"/>
              <w:pageBreakBefore w:val="0"/>
              <w:spacing w:beforeAutospacing="0" w:afterAutospacing="0" w:line="240" w:lineRule="auto"/>
              <w:widowControl w:val="off"/>
              <w:rPr>
                <w:rFonts w:hint="eastAsia" w:ascii="仿宋" w:hAnsi="仿宋" w:eastAsia="仿宋" w:cs="仿宋"/>
                <w:spacing w:val="-2"/>
                <w:sz w:val="24"/>
                <w:szCs w:val="24"/>
              </w:rPr>
            </w:pPr>
            <w:r>
              <w:rPr>
                <w:rFonts w:hint="eastAsia" w:ascii="仿宋" w:hAnsi="仿宋" w:eastAsia="仿宋" w:cs="仿宋"/>
                <w:spacing w:val="-2"/>
                <w:sz w:val="24"/>
                <w:szCs w:val="24"/>
              </w:rPr>
              <w:t xml:space="preserve">2.2</w:t>
            </w:r>
            <w:r/>
          </w:p>
        </w:tc>
        <w:tc>
          <w:tcPr>
            <w:tcW w:w="1179" w:type="dxa"/>
            <w:vAlign w:val="center"/>
            <w:textDirection w:val="lrTb"/>
            <w:noWrap w:val="false"/>
          </w:tcPr>
          <w:p>
            <w:pPr>
              <w:pStyle w:val="951"/>
              <w:jc w:val="center"/>
              <w:keepLines w:val="0"/>
              <w:keepNext w:val="0"/>
              <w:pageBreakBefore w:val="0"/>
              <w:spacing w:before="0" w:beforeAutospacing="0" w:after="0" w:afterAutospacing="0"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性能设计方案</w:t>
            </w:r>
            <w:r/>
          </w:p>
        </w:tc>
        <w:tc>
          <w:tcPr>
            <w:tcW w:w="6330" w:type="dxa"/>
            <w:vAlign w:val="center"/>
            <w:textDirection w:val="lrTb"/>
            <w:noWrap w:val="false"/>
          </w:tcPr>
          <w:p>
            <w:pPr>
              <w:keepLines w:val="0"/>
              <w:keepNext w:val="0"/>
              <w:pageBreakBefore w:val="0"/>
              <w:spacing w:beforeAutospacing="0" w:afterAutospacing="0"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供应商提供对项目国产化支撑环境的性能设计方案，包括但不限于国产服务器操作系统、国产数据库、国产中间件等方面。</w:t>
            </w:r>
            <w:r/>
          </w:p>
          <w:p>
            <w:pPr>
              <w:numPr>
                <w:ilvl w:val="0"/>
                <w:numId w:val="6"/>
              </w:numPr>
              <w:keepLines w:val="0"/>
              <w:keepNext w:val="0"/>
              <w:pageBreakBefore w:val="0"/>
              <w:spacing w:beforeAutospacing="0" w:afterAutospacing="0"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性能设计方案对于采购需求的性能要求针对性强，对系统后续用户增长带来的性能要求提高前瞻性考虑强，得7分；</w:t>
            </w:r>
            <w:r/>
          </w:p>
          <w:p>
            <w:pPr>
              <w:numPr>
                <w:ilvl w:val="0"/>
                <w:numId w:val="6"/>
              </w:numPr>
              <w:keepLines w:val="0"/>
              <w:keepNext w:val="0"/>
              <w:pageBreakBefore w:val="0"/>
              <w:spacing w:beforeAutospacing="0" w:afterAutospacing="0"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性能设计方案对于采购需求的性能要求有较强针对性，对系统后续用户增长带来的性能要求提高有较强前瞻性考虑，得5分</w:t>
            </w:r>
            <w:r/>
          </w:p>
          <w:p>
            <w:pPr>
              <w:numPr>
                <w:ilvl w:val="0"/>
                <w:numId w:val="6"/>
              </w:numPr>
              <w:keepLines w:val="0"/>
              <w:keepNext w:val="0"/>
              <w:pageBreakBefore w:val="0"/>
              <w:spacing w:beforeAutospacing="0" w:afterAutospacing="0"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性能设计方案对于采购需求的性能要求针对性一般，未考虑系统后续用户增长带来的性能要求提高，得3分；</w:t>
            </w:r>
            <w:r/>
          </w:p>
          <w:p>
            <w:pPr>
              <w:numPr>
                <w:ilvl w:val="0"/>
                <w:numId w:val="6"/>
              </w:numPr>
              <w:keepLines w:val="0"/>
              <w:keepNext w:val="0"/>
              <w:pageBreakBefore w:val="0"/>
              <w:spacing w:beforeAutospacing="0" w:afterAutospacing="0"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性能设计方案对于采购需求的性能要求没有针对性，未考虑系统后续用户增长带来的性能要求提高，得1分；</w:t>
            </w:r>
            <w:r/>
          </w:p>
          <w:p>
            <w:pPr>
              <w:numPr>
                <w:ilvl w:val="0"/>
                <w:numId w:val="6"/>
              </w:numPr>
              <w:keepLines w:val="0"/>
              <w:keepNext w:val="0"/>
              <w:pageBreakBefore w:val="0"/>
              <w:spacing w:beforeAutospacing="0" w:afterAutospacing="0"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未提供不得分。</w:t>
            </w:r>
            <w:r/>
          </w:p>
        </w:tc>
        <w:tc>
          <w:tcPr>
            <w:tcW w:w="647" w:type="dxa"/>
            <w:vAlign w:val="center"/>
            <w:textDirection w:val="lrTb"/>
            <w:noWrap w:val="false"/>
          </w:tcPr>
          <w:p>
            <w:pPr>
              <w:pStyle w:val="951"/>
              <w:jc w:val="center"/>
              <w:keepLines w:val="0"/>
              <w:keepNext w:val="0"/>
              <w:pageBreakBefore w:val="0"/>
              <w:spacing w:before="0" w:beforeAutospacing="0" w:after="0" w:afterAutospacing="0" w:line="240" w:lineRule="auto"/>
              <w:rPr>
                <w:rFonts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7</w:t>
            </w:r>
            <w:r/>
          </w:p>
        </w:tc>
        <w:tc>
          <w:tcPr>
            <w:tcW w:w="900" w:type="dxa"/>
            <w:vAlign w:val="center"/>
            <w:textDirection w:val="lrTb"/>
            <w:noWrap w:val="false"/>
          </w:tcPr>
          <w:p>
            <w:pPr>
              <w:jc w:val="center"/>
              <w:keepLines w:val="0"/>
              <w:keepNext w:val="0"/>
              <w:pageBreakBefore w:val="0"/>
              <w:spacing w:beforeAutospacing="0" w:afterAutospacing="0"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主观分</w:t>
            </w:r>
            <w:r/>
          </w:p>
        </w:tc>
      </w:tr>
      <w:tr>
        <w:trPr>
          <w:jc w:val="center"/>
          <w:trHeight w:val="889"/>
        </w:trPr>
        <w:tc>
          <w:tcPr>
            <w:tcW w:w="519" w:type="dxa"/>
            <w:vAlign w:val="center"/>
            <w:textDirection w:val="lrTb"/>
            <w:noWrap w:val="false"/>
          </w:tcPr>
          <w:p>
            <w:pPr>
              <w:jc w:val="center"/>
              <w:keepLines w:val="0"/>
              <w:keepNext w:val="0"/>
              <w:pageBreakBefore w:val="0"/>
              <w:spacing w:beforeAutospacing="0" w:afterAutospacing="0" w:line="240" w:lineRule="auto"/>
              <w:widowControl w:val="off"/>
              <w:rPr>
                <w:rFonts w:hint="eastAsia" w:ascii="仿宋" w:hAnsi="仿宋" w:eastAsia="仿宋" w:cs="仿宋"/>
                <w:spacing w:val="-2"/>
                <w:sz w:val="24"/>
                <w:szCs w:val="24"/>
                <w:lang w:val="en-US" w:eastAsia="zh-CN"/>
              </w:rPr>
            </w:pPr>
            <w:r>
              <w:rPr>
                <w:rFonts w:hint="eastAsia" w:ascii="仿宋" w:hAnsi="仿宋" w:eastAsia="仿宋" w:cs="仿宋"/>
                <w:spacing w:val="-2"/>
                <w:sz w:val="24"/>
                <w:szCs w:val="24"/>
                <w:lang w:val="en-US" w:eastAsia="zh-CN"/>
              </w:rPr>
              <w:t xml:space="preserve">2.3</w:t>
            </w:r>
            <w:r/>
          </w:p>
        </w:tc>
        <w:tc>
          <w:tcPr>
            <w:tcW w:w="1179" w:type="dxa"/>
            <w:vAlign w:val="center"/>
            <w:textDirection w:val="lrTb"/>
            <w:noWrap w:val="false"/>
          </w:tcPr>
          <w:p>
            <w:pPr>
              <w:pStyle w:val="951"/>
              <w:jc w:val="center"/>
              <w:keepLines w:val="0"/>
              <w:keepNext w:val="0"/>
              <w:pageBreakBefore w:val="0"/>
              <w:spacing w:before="0" w:beforeAutospacing="0" w:after="0" w:afterAutospacing="0"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安全性设计方案</w:t>
            </w:r>
            <w:r/>
          </w:p>
        </w:tc>
        <w:tc>
          <w:tcPr>
            <w:tcW w:w="6330" w:type="dxa"/>
            <w:vAlign w:val="center"/>
            <w:textDirection w:val="lrTb"/>
            <w:noWrap w:val="false"/>
          </w:tcPr>
          <w:p>
            <w:pPr>
              <w:keepLines w:val="0"/>
              <w:keepNext w:val="0"/>
              <w:pageBreakBefore w:val="0"/>
              <w:spacing w:beforeAutospacing="0" w:afterAutospacing="0"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供应商提供安全性设计方案，针对系统合规性、数据安全、身份验证等方面提供解决方案。</w:t>
            </w:r>
            <w:r/>
          </w:p>
          <w:p>
            <w:pPr>
              <w:numPr>
                <w:ilvl w:val="0"/>
                <w:numId w:val="7"/>
              </w:numPr>
              <w:keepLines w:val="0"/>
              <w:keepNext w:val="0"/>
              <w:pageBreakBefore w:val="0"/>
              <w:spacing w:beforeAutospacing="0" w:afterAutospacing="0"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安全性设计全面科学，关键性技术问题的认识清晰，应对措施合理可行性好，得7分；</w:t>
            </w:r>
            <w:r/>
          </w:p>
          <w:p>
            <w:pPr>
              <w:numPr>
                <w:ilvl w:val="0"/>
                <w:numId w:val="7"/>
              </w:numPr>
              <w:keepLines w:val="0"/>
              <w:keepNext w:val="0"/>
              <w:pageBreakBefore w:val="0"/>
              <w:spacing w:beforeAutospacing="0" w:afterAutospacing="0"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安全性设计全面科学，关键性技术问题的认识较为清晰，应对措施合理可行性较好，得5分</w:t>
            </w:r>
            <w:r/>
          </w:p>
          <w:p>
            <w:pPr>
              <w:numPr>
                <w:ilvl w:val="0"/>
                <w:numId w:val="7"/>
              </w:numPr>
              <w:keepLines w:val="0"/>
              <w:keepNext w:val="0"/>
              <w:pageBreakBefore w:val="0"/>
              <w:spacing w:beforeAutospacing="0" w:afterAutospacing="0"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安全设计基本合理，关键性技术问题的认识基本了解，应对措施基本可行，得3分；</w:t>
            </w:r>
            <w:r/>
          </w:p>
          <w:p>
            <w:pPr>
              <w:numPr>
                <w:ilvl w:val="0"/>
                <w:numId w:val="7"/>
              </w:numPr>
              <w:keepLines w:val="0"/>
              <w:keepNext w:val="0"/>
              <w:pageBreakBefore w:val="0"/>
              <w:spacing w:beforeAutospacing="0" w:afterAutospacing="0"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安全设计不合理，关键性技术问题的认识不了解，无有效应对措施，得1分；</w:t>
            </w:r>
            <w:r/>
          </w:p>
          <w:p>
            <w:pPr>
              <w:numPr>
                <w:ilvl w:val="0"/>
                <w:numId w:val="7"/>
              </w:numPr>
              <w:keepLines w:val="0"/>
              <w:keepNext w:val="0"/>
              <w:pageBreakBefore w:val="0"/>
              <w:spacing w:beforeAutospacing="0" w:afterAutospacing="0"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未提供不得分。</w:t>
            </w:r>
            <w:r/>
          </w:p>
        </w:tc>
        <w:tc>
          <w:tcPr>
            <w:tcW w:w="647" w:type="dxa"/>
            <w:vAlign w:val="center"/>
            <w:textDirection w:val="lrTb"/>
            <w:noWrap w:val="false"/>
          </w:tcPr>
          <w:p>
            <w:pPr>
              <w:pStyle w:val="951"/>
              <w:jc w:val="center"/>
              <w:keepLines w:val="0"/>
              <w:keepNext w:val="0"/>
              <w:pageBreakBefore w:val="0"/>
              <w:spacing w:before="0" w:beforeAutospacing="0" w:after="0" w:afterAutospacing="0" w:line="240" w:lineRule="auto"/>
              <w:rPr>
                <w:rFonts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7</w:t>
            </w:r>
            <w:r/>
          </w:p>
        </w:tc>
        <w:tc>
          <w:tcPr>
            <w:tcW w:w="900" w:type="dxa"/>
            <w:vAlign w:val="center"/>
            <w:textDirection w:val="lrTb"/>
            <w:noWrap w:val="false"/>
          </w:tcPr>
          <w:p>
            <w:pPr>
              <w:pStyle w:val="951"/>
              <w:jc w:val="center"/>
              <w:keepLines w:val="0"/>
              <w:keepNext w:val="0"/>
              <w:pageBreakBefore w:val="0"/>
              <w:spacing w:before="0" w:beforeAutospacing="0" w:after="0" w:afterAutospacing="0"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主观分</w:t>
            </w:r>
            <w:r/>
          </w:p>
        </w:tc>
      </w:tr>
      <w:tr>
        <w:trPr>
          <w:jc w:val="center"/>
          <w:trHeight w:val="672"/>
        </w:trPr>
        <w:tc>
          <w:tcPr>
            <w:tcW w:w="519" w:type="dxa"/>
            <w:vAlign w:val="center"/>
            <w:textDirection w:val="lrTb"/>
            <w:noWrap w:val="false"/>
          </w:tcPr>
          <w:p>
            <w:pPr>
              <w:jc w:val="center"/>
              <w:keepLines w:val="0"/>
              <w:keepNext w:val="0"/>
              <w:pageBreakBefore w:val="0"/>
              <w:spacing w:beforeAutospacing="0" w:afterAutospacing="0" w:line="24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2.4</w:t>
            </w:r>
            <w:r/>
          </w:p>
        </w:tc>
        <w:tc>
          <w:tcPr>
            <w:tcW w:w="1179" w:type="dxa"/>
            <w:vAlign w:val="center"/>
            <w:textDirection w:val="lrTb"/>
            <w:noWrap w:val="false"/>
          </w:tcPr>
          <w:p>
            <w:pPr>
              <w:pStyle w:val="951"/>
              <w:jc w:val="center"/>
              <w:keepLines w:val="0"/>
              <w:keepNext w:val="0"/>
              <w:pageBreakBefore w:val="0"/>
              <w:spacing w:before="0" w:beforeAutospacing="0" w:after="0" w:afterAutospacing="0"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功能菜单设计、解决</w:t>
            </w:r>
            <w:r/>
          </w:p>
        </w:tc>
        <w:tc>
          <w:tcPr>
            <w:tcW w:w="6330" w:type="dxa"/>
            <w:vAlign w:val="center"/>
            <w:textDirection w:val="lrTb"/>
            <w:noWrap w:val="false"/>
          </w:tcPr>
          <w:p>
            <w:pPr>
              <w:keepLines w:val="0"/>
              <w:keepNext w:val="0"/>
              <w:pageBreakBefore w:val="0"/>
              <w:spacing w:beforeAutospacing="0" w:afterAutospacing="0"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供应商提供功能模块设计方案，包括但不限于①基础设置②项目及合同登记③项目资金管理④查询导出几个核心模块详细的设计解决方案。</w:t>
            </w:r>
            <w:r/>
          </w:p>
          <w:p>
            <w:pPr>
              <w:numPr>
                <w:ilvl w:val="0"/>
                <w:numId w:val="8"/>
              </w:numPr>
              <w:keepLines w:val="0"/>
              <w:keepNext w:val="0"/>
              <w:pageBreakBefore w:val="0"/>
              <w:spacing w:beforeAutospacing="0" w:afterAutospacing="0"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功能模块设计科学合理，易用性强，能完全满足采购文件所列功能需求，得7分；</w:t>
            </w:r>
            <w:r/>
          </w:p>
          <w:p>
            <w:pPr>
              <w:numPr>
                <w:ilvl w:val="0"/>
                <w:numId w:val="8"/>
              </w:numPr>
              <w:keepLines w:val="0"/>
              <w:keepNext w:val="0"/>
              <w:pageBreakBefore w:val="0"/>
              <w:spacing w:beforeAutospacing="0" w:afterAutospacing="0"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功能模块设计科学合理，易用性较强，能基本满足采购文件所列功能需求，得5分</w:t>
            </w:r>
            <w:r/>
          </w:p>
          <w:p>
            <w:pPr>
              <w:numPr>
                <w:ilvl w:val="0"/>
                <w:numId w:val="8"/>
              </w:numPr>
              <w:keepLines w:val="0"/>
              <w:keepNext w:val="0"/>
              <w:pageBreakBefore w:val="0"/>
              <w:spacing w:beforeAutospacing="0" w:afterAutospacing="0"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功能模块设计基本合理，不够人性化，能基本满足采购文件所列功能需求，得3分；</w:t>
            </w:r>
            <w:r/>
          </w:p>
          <w:p>
            <w:pPr>
              <w:numPr>
                <w:ilvl w:val="0"/>
                <w:numId w:val="8"/>
              </w:numPr>
              <w:keepLines w:val="0"/>
              <w:keepNext w:val="0"/>
              <w:pageBreakBefore w:val="0"/>
              <w:spacing w:beforeAutospacing="0" w:afterAutospacing="0"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功能模块设计不合理，不人性化，无法有效满足采购需求的，得1分；</w:t>
            </w:r>
            <w:r/>
          </w:p>
          <w:p>
            <w:pPr>
              <w:numPr>
                <w:ilvl w:val="0"/>
                <w:numId w:val="8"/>
              </w:numPr>
              <w:keepLines w:val="0"/>
              <w:keepNext w:val="0"/>
              <w:pageBreakBefore w:val="0"/>
              <w:spacing w:beforeAutospacing="0" w:afterAutospacing="0"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未提供不得分。</w:t>
            </w:r>
            <w:r/>
          </w:p>
        </w:tc>
        <w:tc>
          <w:tcPr>
            <w:tcW w:w="647" w:type="dxa"/>
            <w:vAlign w:val="center"/>
            <w:textDirection w:val="lrTb"/>
            <w:noWrap w:val="false"/>
          </w:tcPr>
          <w:p>
            <w:pPr>
              <w:pStyle w:val="951"/>
              <w:jc w:val="center"/>
              <w:keepLines w:val="0"/>
              <w:keepNext w:val="0"/>
              <w:pageBreakBefore w:val="0"/>
              <w:spacing w:before="0" w:beforeAutospacing="0" w:after="0" w:afterAutospacing="0" w:line="240" w:lineRule="auto"/>
              <w:rPr>
                <w:rFonts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7</w:t>
            </w:r>
            <w:r/>
          </w:p>
        </w:tc>
        <w:tc>
          <w:tcPr>
            <w:tcW w:w="900" w:type="dxa"/>
            <w:vAlign w:val="center"/>
            <w:textDirection w:val="lrTb"/>
            <w:noWrap w:val="false"/>
          </w:tcPr>
          <w:p>
            <w:pPr>
              <w:pStyle w:val="951"/>
              <w:jc w:val="center"/>
              <w:keepLines w:val="0"/>
              <w:keepNext w:val="0"/>
              <w:pageBreakBefore w:val="0"/>
              <w:spacing w:before="0" w:beforeAutospacing="0" w:after="0" w:afterAutospacing="0"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主观分</w:t>
            </w:r>
            <w:r/>
          </w:p>
        </w:tc>
      </w:tr>
      <w:tr>
        <w:trPr>
          <w:jc w:val="center"/>
          <w:trHeight w:val="672"/>
        </w:trPr>
        <w:tc>
          <w:tcPr>
            <w:tcW w:w="519" w:type="dxa"/>
            <w:vAlign w:val="center"/>
            <w:textDirection w:val="lrTb"/>
            <w:noWrap w:val="false"/>
          </w:tcPr>
          <w:p>
            <w:pPr>
              <w:jc w:val="center"/>
              <w:keepLines w:val="0"/>
              <w:keepNext w:val="0"/>
              <w:pageBreakBefore w:val="0"/>
              <w:spacing w:beforeAutospacing="0" w:afterAutospacing="0" w:line="240" w:lineRule="auto"/>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2.5</w:t>
            </w:r>
            <w:r/>
          </w:p>
        </w:tc>
        <w:tc>
          <w:tcPr>
            <w:tcW w:w="1179" w:type="dxa"/>
            <w:vAlign w:val="center"/>
            <w:textDirection w:val="lrTb"/>
            <w:noWrap w:val="false"/>
          </w:tcPr>
          <w:p>
            <w:pPr>
              <w:jc w:val="center"/>
              <w:keepLines w:val="0"/>
              <w:keepNext w:val="0"/>
              <w:pageBreakBefore w:val="0"/>
              <w:spacing w:beforeAutospacing="0" w:afterAutospacing="0"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现有平台集成方案</w:t>
            </w:r>
            <w:r/>
          </w:p>
        </w:tc>
        <w:tc>
          <w:tcPr>
            <w:tcW w:w="6330" w:type="dxa"/>
            <w:vAlign w:val="center"/>
            <w:textDirection w:val="lrTb"/>
            <w:noWrap w:val="false"/>
          </w:tcPr>
          <w:p>
            <w:pPr>
              <w:keepLines w:val="0"/>
              <w:keepNext w:val="0"/>
              <w:pageBreakBefore w:val="0"/>
              <w:spacing w:beforeAutospacing="0" w:afterAutospacing="0" w:line="24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评委根据投标人提出的现有平台集成方案（数据需求或共享，包括数据源说明、实施路径、对接方式、数据字段以及对接后在本系统内的具体应用）</w:t>
            </w:r>
            <w:r/>
          </w:p>
          <w:p>
            <w:pPr>
              <w:keepLines w:val="0"/>
              <w:keepNext w:val="0"/>
              <w:pageBreakBefore w:val="0"/>
              <w:spacing w:beforeAutospacing="0" w:afterAutospacing="0" w:line="24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（1）方案紧贴采购需求、详尽合理、针对性强、技术先进可行的，得7分； </w:t>
            </w:r>
            <w:r/>
          </w:p>
          <w:p>
            <w:pPr>
              <w:keepLines w:val="0"/>
              <w:keepNext w:val="0"/>
              <w:pageBreakBefore w:val="0"/>
              <w:spacing w:beforeAutospacing="0" w:afterAutospacing="0" w:line="24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（2）方案满足采购需求、较为详尽合理、针对性较强、技术较先进可行的，得5分； </w:t>
            </w:r>
            <w:r/>
          </w:p>
          <w:p>
            <w:pPr>
              <w:keepLines w:val="0"/>
              <w:keepNext w:val="0"/>
              <w:pageBreakBefore w:val="0"/>
              <w:spacing w:beforeAutospacing="0" w:afterAutospacing="0" w:line="24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（3）方案基本符合采购需求、基本详尽合理、具有一定的针对性、基本可行的，得3分；</w:t>
            </w:r>
            <w:r/>
          </w:p>
          <w:p>
            <w:pPr>
              <w:keepLines w:val="0"/>
              <w:keepNext w:val="0"/>
              <w:pageBreakBefore w:val="0"/>
              <w:spacing w:beforeAutospacing="0" w:afterAutospacing="0" w:line="24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（4） 方案难以满足采购需求、方案简洁粗滤、实施可行性困难，得1分</w:t>
            </w:r>
            <w:r/>
          </w:p>
          <w:p>
            <w:pPr>
              <w:keepLines w:val="0"/>
              <w:keepNext w:val="0"/>
              <w:pageBreakBefore w:val="0"/>
              <w:spacing w:beforeAutospacing="0" w:afterAutospacing="0" w:line="24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未提供不得分。</w:t>
            </w:r>
            <w:r/>
          </w:p>
        </w:tc>
        <w:tc>
          <w:tcPr>
            <w:tcW w:w="647" w:type="dxa"/>
            <w:vAlign w:val="center"/>
            <w:textDirection w:val="lrTb"/>
            <w:noWrap w:val="false"/>
          </w:tcPr>
          <w:p>
            <w:pPr>
              <w:pStyle w:val="951"/>
              <w:jc w:val="center"/>
              <w:keepLines w:val="0"/>
              <w:keepNext w:val="0"/>
              <w:pageBreakBefore w:val="0"/>
              <w:spacing w:before="0" w:beforeAutospacing="0" w:after="0" w:afterAutospacing="0" w:line="240" w:lineRule="auto"/>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7</w:t>
            </w:r>
            <w:r/>
          </w:p>
        </w:tc>
        <w:tc>
          <w:tcPr>
            <w:tcW w:w="900" w:type="dxa"/>
            <w:vAlign w:val="center"/>
            <w:textDirection w:val="lrTb"/>
            <w:noWrap w:val="false"/>
          </w:tcPr>
          <w:p>
            <w:pPr>
              <w:pStyle w:val="951"/>
              <w:jc w:val="center"/>
              <w:keepLines w:val="0"/>
              <w:keepNext w:val="0"/>
              <w:pageBreakBefore w:val="0"/>
              <w:spacing w:before="0" w:beforeAutospacing="0" w:after="0" w:afterAutospacing="0"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主观分</w:t>
            </w:r>
            <w:r/>
          </w:p>
        </w:tc>
      </w:tr>
      <w:tr>
        <w:trPr>
          <w:jc w:val="center"/>
          <w:trHeight w:val="889"/>
        </w:trPr>
        <w:tc>
          <w:tcPr>
            <w:tcW w:w="519" w:type="dxa"/>
            <w:vAlign w:val="center"/>
            <w:textDirection w:val="lrTb"/>
            <w:noWrap w:val="false"/>
          </w:tcPr>
          <w:p>
            <w:pPr>
              <w:jc w:val="center"/>
              <w:keepLines w:val="0"/>
              <w:keepNext w:val="0"/>
              <w:pageBreakBefore w:val="0"/>
              <w:spacing w:beforeAutospacing="0" w:afterAutospacing="0" w:line="240" w:lineRule="auto"/>
              <w:widowControl w:val="off"/>
              <w:rPr>
                <w:rFonts w:hint="eastAsia" w:ascii="仿宋" w:hAnsi="仿宋" w:eastAsia="仿宋" w:cs="仿宋"/>
                <w:spacing w:val="-2"/>
                <w:sz w:val="24"/>
                <w:szCs w:val="24"/>
                <w:highlight w:val="none"/>
                <w:lang w:val="en-US" w:eastAsia="zh-CN" w:bidi="ar-SA"/>
              </w:rPr>
            </w:pPr>
            <w:r>
              <w:rPr>
                <w:rFonts w:hint="eastAsia" w:ascii="仿宋" w:hAnsi="仿宋" w:eastAsia="仿宋" w:cs="仿宋"/>
                <w:spacing w:val="-2"/>
                <w:sz w:val="24"/>
                <w:szCs w:val="24"/>
                <w:highlight w:val="none"/>
                <w:lang w:val="en-US" w:eastAsia="zh-CN"/>
              </w:rPr>
              <w:t xml:space="preserve">2.6</w:t>
            </w:r>
            <w:r/>
          </w:p>
        </w:tc>
        <w:tc>
          <w:tcPr>
            <w:tcW w:w="1179" w:type="dxa"/>
            <w:vAlign w:val="center"/>
            <w:textDirection w:val="lrTb"/>
            <w:noWrap w:val="false"/>
          </w:tcPr>
          <w:p>
            <w:pPr>
              <w:pStyle w:val="951"/>
              <w:jc w:val="center"/>
              <w:keepLines w:val="0"/>
              <w:keepNext w:val="0"/>
              <w:pageBreakBefore w:val="0"/>
              <w:spacing w:before="0" w:beforeAutospacing="0" w:after="0" w:afterAutospacing="0"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实施方案</w:t>
            </w:r>
            <w:r/>
          </w:p>
        </w:tc>
        <w:tc>
          <w:tcPr>
            <w:tcW w:w="6330" w:type="dxa"/>
            <w:vAlign w:val="center"/>
            <w:textDirection w:val="lrTb"/>
            <w:noWrap w:val="false"/>
          </w:tcPr>
          <w:p>
            <w:pPr>
              <w:keepLines w:val="0"/>
              <w:keepNext w:val="0"/>
              <w:pageBreakBefore w:val="0"/>
              <w:spacing w:beforeAutospacing="0" w:afterAutospacing="0"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供应商提供实施方案，包括但不限于进度安排、组织架构、风险控制管理、质量保障措施、资源配置。</w:t>
            </w:r>
            <w:r/>
          </w:p>
          <w:p>
            <w:pPr>
              <w:numPr>
                <w:ilvl w:val="0"/>
                <w:numId w:val="9"/>
              </w:numPr>
              <w:keepLines w:val="0"/>
              <w:keepNext w:val="0"/>
              <w:pageBreakBefore w:val="0"/>
              <w:spacing w:beforeAutospacing="0" w:afterAutospacing="0"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实施方案全面，具有合理的进度安排、组织架构，具有良好的进度控制、风险控制管理、质量保障措施、资源配置，得7分；</w:t>
            </w:r>
            <w:r/>
          </w:p>
          <w:p>
            <w:pPr>
              <w:numPr>
                <w:ilvl w:val="0"/>
                <w:numId w:val="9"/>
              </w:numPr>
              <w:keepLines w:val="0"/>
              <w:keepNext w:val="0"/>
              <w:pageBreakBefore w:val="0"/>
              <w:spacing w:beforeAutospacing="0" w:afterAutospacing="0" w:line="240" w:lineRule="auto"/>
              <w:rPr>
                <w:rFonts w:hint="eastAsia" w:ascii="仿宋" w:hAnsi="仿宋" w:eastAsia="仿宋" w:cs="仿宋"/>
                <w:sz w:val="24"/>
                <w:szCs w:val="24"/>
                <w:lang w:val="zh-CN" w:eastAsia="zh-CN" w:bidi="ar-SA"/>
              </w:rPr>
            </w:pPr>
            <w:r>
              <w:rPr>
                <w:rFonts w:hint="eastAsia" w:ascii="仿宋" w:hAnsi="仿宋" w:eastAsia="仿宋" w:cs="仿宋"/>
                <w:sz w:val="24"/>
                <w:szCs w:val="24"/>
                <w:lang w:val="en-US" w:eastAsia="zh-CN" w:bidi="ar-SA"/>
              </w:rPr>
              <w:t xml:space="preserve">实施方案较为全面，具有较为合理的进度安排、组织架构，具有良好的进度控制、风险控制管理、质量保障措施、资源配置，得5分</w:t>
            </w:r>
            <w:r/>
          </w:p>
          <w:p>
            <w:pPr>
              <w:numPr>
                <w:ilvl w:val="0"/>
                <w:numId w:val="9"/>
              </w:numPr>
              <w:keepLines w:val="0"/>
              <w:keepNext w:val="0"/>
              <w:pageBreakBefore w:val="0"/>
              <w:spacing w:beforeAutospacing="0" w:afterAutospacing="0" w:line="240" w:lineRule="auto"/>
              <w:rPr>
                <w:rFonts w:hint="eastAsia" w:ascii="仿宋" w:hAnsi="仿宋" w:eastAsia="仿宋" w:cs="仿宋"/>
                <w:sz w:val="24"/>
                <w:szCs w:val="24"/>
                <w:lang w:val="zh-CN" w:eastAsia="zh-CN" w:bidi="ar-SA"/>
              </w:rPr>
            </w:pPr>
            <w:r>
              <w:rPr>
                <w:rFonts w:hint="eastAsia" w:ascii="仿宋" w:hAnsi="仿宋" w:eastAsia="仿宋" w:cs="仿宋"/>
                <w:sz w:val="24"/>
                <w:szCs w:val="24"/>
                <w:lang w:val="en-US" w:eastAsia="zh-CN" w:bidi="ar-SA"/>
              </w:rPr>
              <w:t xml:space="preserve">实施方案不够全面，进度安排、组织架构不够合理，进度控制、风险控制管理、质量保障措施、资源配置不全，得3分；</w:t>
            </w:r>
            <w:r/>
          </w:p>
          <w:p>
            <w:pPr>
              <w:numPr>
                <w:ilvl w:val="0"/>
                <w:numId w:val="9"/>
              </w:numPr>
              <w:keepLines w:val="0"/>
              <w:keepNext w:val="0"/>
              <w:pageBreakBefore w:val="0"/>
              <w:spacing w:beforeAutospacing="0" w:afterAutospacing="0" w:line="240" w:lineRule="auto"/>
              <w:rPr>
                <w:rFonts w:hint="eastAsia" w:ascii="仿宋" w:hAnsi="仿宋" w:eastAsia="仿宋" w:cs="仿宋"/>
                <w:sz w:val="24"/>
                <w:szCs w:val="24"/>
                <w:lang w:val="zh-CN" w:eastAsia="zh-CN" w:bidi="ar-SA"/>
              </w:rPr>
            </w:pPr>
            <w:r>
              <w:rPr>
                <w:rFonts w:hint="eastAsia" w:ascii="仿宋" w:hAnsi="仿宋" w:eastAsia="仿宋" w:cs="仿宋"/>
                <w:sz w:val="24"/>
                <w:szCs w:val="24"/>
                <w:lang w:val="en-US" w:eastAsia="zh-CN" w:bidi="ar-SA"/>
              </w:rPr>
              <w:t xml:space="preserve">实施方案不全面，进度安排、组织架构不合理，没有进度控制、风险控制管理、质量保障措施、资源配置，得1分；</w:t>
            </w:r>
            <w:r/>
          </w:p>
          <w:p>
            <w:pPr>
              <w:numPr>
                <w:ilvl w:val="0"/>
                <w:numId w:val="9"/>
              </w:numPr>
              <w:keepLines w:val="0"/>
              <w:keepNext w:val="0"/>
              <w:pageBreakBefore w:val="0"/>
              <w:spacing w:beforeAutospacing="0" w:afterAutospacing="0" w:line="240" w:lineRule="auto"/>
              <w:rPr>
                <w:rFonts w:hint="eastAsia" w:ascii="仿宋" w:hAnsi="仿宋" w:eastAsia="仿宋" w:cs="仿宋"/>
                <w:sz w:val="24"/>
                <w:szCs w:val="24"/>
                <w:lang w:val="zh-CN" w:eastAsia="zh-CN" w:bidi="ar-SA"/>
              </w:rPr>
            </w:pPr>
            <w:r>
              <w:rPr>
                <w:rFonts w:hint="eastAsia" w:ascii="仿宋" w:hAnsi="仿宋" w:eastAsia="仿宋" w:cs="仿宋"/>
                <w:sz w:val="24"/>
                <w:szCs w:val="24"/>
                <w:lang w:val="en-US" w:eastAsia="zh-CN" w:bidi="ar-SA"/>
              </w:rPr>
              <w:t xml:space="preserve">未提供不得分。</w:t>
            </w:r>
            <w:r/>
          </w:p>
        </w:tc>
        <w:tc>
          <w:tcPr>
            <w:tcW w:w="647" w:type="dxa"/>
            <w:vAlign w:val="center"/>
            <w:textDirection w:val="lrTb"/>
            <w:noWrap w:val="false"/>
          </w:tcPr>
          <w:p>
            <w:pPr>
              <w:pStyle w:val="951"/>
              <w:jc w:val="center"/>
              <w:keepLines w:val="0"/>
              <w:keepNext w:val="0"/>
              <w:pageBreakBefore w:val="0"/>
              <w:spacing w:before="0" w:beforeAutospacing="0" w:after="0" w:afterAutospacing="0"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7</w:t>
            </w:r>
            <w:r/>
          </w:p>
        </w:tc>
        <w:tc>
          <w:tcPr>
            <w:tcW w:w="900" w:type="dxa"/>
            <w:vAlign w:val="center"/>
            <w:textDirection w:val="lrTb"/>
            <w:noWrap w:val="false"/>
          </w:tcPr>
          <w:p>
            <w:pPr>
              <w:pStyle w:val="951"/>
              <w:jc w:val="center"/>
              <w:keepLines w:val="0"/>
              <w:keepNext w:val="0"/>
              <w:pageBreakBefore w:val="0"/>
              <w:spacing w:before="0" w:beforeAutospacing="0" w:after="0" w:afterAutospacing="0"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主观分</w:t>
            </w:r>
            <w:r/>
          </w:p>
        </w:tc>
      </w:tr>
      <w:tr>
        <w:trPr>
          <w:jc w:val="center"/>
          <w:trHeight w:val="424"/>
        </w:trPr>
        <w:tc>
          <w:tcPr>
            <w:tcW w:w="519" w:type="dxa"/>
            <w:vAlign w:val="center"/>
            <w:textDirection w:val="lrTb"/>
            <w:noWrap w:val="false"/>
          </w:tcPr>
          <w:p>
            <w:pPr>
              <w:jc w:val="center"/>
              <w:keepLines w:val="0"/>
              <w:keepNext w:val="0"/>
              <w:pageBreakBefore w:val="0"/>
              <w:spacing w:beforeAutospacing="0" w:afterAutospacing="0" w:line="240" w:lineRule="auto"/>
              <w:widowControl w:val="off"/>
              <w:rPr>
                <w:rFonts w:hint="default" w:ascii="仿宋" w:hAnsi="仿宋" w:eastAsia="仿宋" w:cs="仿宋"/>
                <w:spacing w:val="-2"/>
                <w:sz w:val="24"/>
                <w:szCs w:val="24"/>
                <w:highlight w:val="none"/>
                <w:lang w:val="en-US" w:eastAsia="zh-CN"/>
              </w:rPr>
            </w:pPr>
            <w:r>
              <w:rPr>
                <w:rFonts w:hint="eastAsia" w:ascii="仿宋" w:hAnsi="仿宋" w:eastAsia="仿宋" w:cs="仿宋"/>
                <w:spacing w:val="-2"/>
                <w:sz w:val="24"/>
                <w:szCs w:val="24"/>
                <w:highlight w:val="none"/>
                <w:lang w:val="en-US" w:eastAsia="zh-CN" w:bidi="ar-SA"/>
              </w:rPr>
              <w:t xml:space="preserve">2.7</w:t>
            </w:r>
            <w:r/>
          </w:p>
        </w:tc>
        <w:tc>
          <w:tcPr>
            <w:tcW w:w="1179" w:type="dxa"/>
            <w:vAlign w:val="center"/>
            <w:textDirection w:val="lrTb"/>
            <w:noWrap w:val="false"/>
          </w:tcPr>
          <w:p>
            <w:pPr>
              <w:pStyle w:val="951"/>
              <w:jc w:val="center"/>
              <w:keepLines w:val="0"/>
              <w:keepNext w:val="0"/>
              <w:pageBreakBefore w:val="0"/>
              <w:spacing w:before="0" w:beforeAutospacing="0" w:after="0" w:afterAutospacing="0"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系统演示</w:t>
            </w:r>
            <w:r/>
          </w:p>
        </w:tc>
        <w:tc>
          <w:tcPr>
            <w:tcW w:w="6330" w:type="dxa"/>
            <w:vAlign w:val="center"/>
            <w:textDirection w:val="lrTb"/>
            <w:noWrap w:val="false"/>
          </w:tcPr>
          <w:p>
            <w:pPr>
              <w:keepLines w:val="0"/>
              <w:keepNext w:val="0"/>
              <w:pageBreakBefore w:val="0"/>
              <w:spacing w:beforeAutospacing="0" w:afterAutospacing="0" w:line="24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工程项目资金管理系统演示：供应商需按照招标文件规定的演示内容制作演示视频文件，视频文件的格式为*.mp4或*.avi，投标人须将视频文件分段压缩为*.zip文件上传（单个文件不得大于50M）。文件上传方式见《操作手册》规定，上传的演示视频将作为投标文件的组成部分，视频时长总计不超过20分钟。</w:t>
            </w:r>
            <w:r/>
          </w:p>
          <w:p>
            <w:pPr>
              <w:keepLines w:val="0"/>
              <w:keepNext w:val="0"/>
              <w:pageBreakBefore w:val="0"/>
              <w:spacing w:beforeAutospacing="0" w:afterAutospacing="0" w:line="24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（使用在</w:t>
            </w:r>
            <w:r>
              <w:rPr>
                <w:rFonts w:hint="eastAsia" w:ascii="仿宋" w:hAnsi="仿宋" w:eastAsia="仿宋" w:cs="仿宋"/>
                <w:b/>
                <w:bCs/>
                <w:sz w:val="24"/>
                <w:szCs w:val="24"/>
                <w:highlight w:val="none"/>
                <w:lang w:val="en-US" w:eastAsia="zh-CN" w:bidi="ar-SA"/>
              </w:rPr>
              <w:t xml:space="preserve">真实的国产化支撑环境下进行的系统演示</w:t>
            </w:r>
            <w:r>
              <w:rPr>
                <w:rFonts w:hint="eastAsia" w:ascii="仿宋" w:hAnsi="仿宋" w:eastAsia="仿宋" w:cs="仿宋"/>
                <w:sz w:val="24"/>
                <w:szCs w:val="24"/>
                <w:highlight w:val="none"/>
                <w:lang w:val="en-US" w:eastAsia="zh-CN" w:bidi="ar-SA"/>
              </w:rPr>
              <w:t xml:space="preserve">最多得 20 分，使用 DEMO、 PPT等方式演示相关功能操作最多得 8 分，未演示不得分）</w:t>
            </w:r>
            <w:r/>
          </w:p>
          <w:p>
            <w:pPr>
              <w:keepLines w:val="0"/>
              <w:keepNext w:val="0"/>
              <w:pageBreakBefore w:val="0"/>
              <w:spacing w:beforeAutospacing="0" w:afterAutospacing="0" w:line="240" w:lineRule="auto"/>
              <w:rPr>
                <w:rFonts w:hint="eastAsia" w:ascii="仿宋" w:hAnsi="仿宋" w:eastAsia="仿宋" w:cs="仿宋"/>
                <w:b/>
                <w:bCs/>
                <w:sz w:val="24"/>
                <w:szCs w:val="24"/>
                <w:highlight w:val="none"/>
                <w:lang w:val="en-US" w:eastAsia="zh-CN" w:bidi="ar-SA"/>
              </w:rPr>
            </w:pPr>
            <w:r>
              <w:rPr>
                <w:rFonts w:hint="eastAsia" w:ascii="仿宋" w:hAnsi="仿宋" w:eastAsia="仿宋" w:cs="仿宋"/>
                <w:b/>
                <w:bCs/>
                <w:sz w:val="24"/>
                <w:szCs w:val="24"/>
                <w:highlight w:val="none"/>
                <w:lang w:val="en-US" w:eastAsia="zh-CN" w:bidi="ar-SA"/>
              </w:rPr>
              <w:t xml:space="preserve">1.国产化支撑环境（6分）</w:t>
            </w:r>
            <w:r/>
          </w:p>
          <w:p>
            <w:pPr>
              <w:keepLines w:val="0"/>
              <w:keepNext w:val="0"/>
              <w:pageBreakBefore w:val="0"/>
              <w:spacing w:beforeAutospacing="0" w:afterAutospacing="0" w:line="240" w:lineRule="auto"/>
              <w:rPr>
                <w:rFonts w:hint="default"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通过命令行或者shell工具，连接服务器展示①服务器国产CPU芯片型号及架构、②国产服务器操作系统、③系统搭载的国产数据库、④国产中间件、⑤国产台式机、⑥国产浏览器访问真实系统得6分, 使用 DEMO演示得3分，使用PPT或其他方式演示得1.5 分，演示不完整或未演示</w:t>
            </w:r>
            <w:bookmarkStart w:id="25" w:name="OLE_LINK13"/>
            <w:r/>
            <w:bookmarkStart w:id="26" w:name="OLE_LINK12"/>
            <w:r>
              <w:rPr>
                <w:rFonts w:hint="eastAsia" w:ascii="仿宋" w:hAnsi="仿宋" w:eastAsia="仿宋" w:cs="仿宋"/>
                <w:sz w:val="24"/>
                <w:szCs w:val="24"/>
                <w:highlight w:val="none"/>
                <w:lang w:val="en-US" w:eastAsia="zh-CN" w:bidi="ar-SA"/>
              </w:rPr>
              <w:t xml:space="preserve">不得分</w:t>
            </w:r>
            <w:bookmarkEnd w:id="25"/>
            <w:r/>
            <w:bookmarkEnd w:id="26"/>
            <w:r>
              <w:rPr>
                <w:rFonts w:hint="eastAsia" w:ascii="仿宋" w:hAnsi="仿宋" w:eastAsia="仿宋" w:cs="仿宋"/>
                <w:sz w:val="24"/>
                <w:szCs w:val="24"/>
                <w:highlight w:val="none"/>
                <w:lang w:val="en-US" w:eastAsia="zh-CN" w:bidi="ar-SA"/>
              </w:rPr>
              <w:t xml:space="preserve">，最多得6分。</w:t>
            </w:r>
            <w:r/>
          </w:p>
          <w:p>
            <w:pPr>
              <w:keepLines w:val="0"/>
              <w:keepNext w:val="0"/>
              <w:pageBreakBefore w:val="0"/>
              <w:spacing w:beforeAutospacing="0" w:afterAutospacing="0" w:line="240" w:lineRule="auto"/>
              <w:rPr>
                <w:rFonts w:hint="eastAsia" w:ascii="仿宋" w:hAnsi="仿宋" w:eastAsia="仿宋" w:cs="仿宋"/>
                <w:b/>
                <w:bCs/>
                <w:sz w:val="24"/>
                <w:szCs w:val="24"/>
                <w:highlight w:val="none"/>
                <w:lang w:val="en-US" w:eastAsia="zh-CN" w:bidi="ar-SA"/>
              </w:rPr>
            </w:pPr>
            <w:r>
              <w:rPr>
                <w:rFonts w:hint="eastAsia" w:ascii="仿宋" w:hAnsi="仿宋" w:eastAsia="仿宋" w:cs="仿宋"/>
                <w:b/>
                <w:bCs/>
                <w:sz w:val="24"/>
                <w:szCs w:val="24"/>
                <w:highlight w:val="none"/>
                <w:lang w:val="en-US" w:eastAsia="zh-CN" w:bidi="ar-SA"/>
              </w:rPr>
              <w:t xml:space="preserve">2.自定义导入模板设置（2分）</w:t>
            </w:r>
            <w:r/>
          </w:p>
          <w:p>
            <w:pPr>
              <w:keepLines w:val="0"/>
              <w:keepNext w:val="0"/>
              <w:pageBreakBefore w:val="0"/>
              <w:spacing w:beforeAutospacing="0" w:afterAutospacing="0" w:line="24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在上述1环境下搭建发布的系统里，使用真实类似系统演示①模板字段设置、②根据设置的模板导入excel表得2分，</w:t>
            </w:r>
            <w:bookmarkStart w:id="27" w:name="OLE_LINK11"/>
            <w:r>
              <w:rPr>
                <w:rFonts w:hint="eastAsia" w:ascii="仿宋" w:hAnsi="仿宋" w:eastAsia="仿宋" w:cs="仿宋"/>
                <w:sz w:val="24"/>
                <w:szCs w:val="24"/>
                <w:highlight w:val="none"/>
                <w:lang w:val="en-US" w:eastAsia="zh-CN" w:bidi="ar-SA"/>
              </w:rPr>
              <w:t xml:space="preserve">使用 DEMO 演示得1 分，使用PPT或其他方式演示</w:t>
            </w:r>
            <w:bookmarkEnd w:id="27"/>
            <w:r>
              <w:rPr>
                <w:rFonts w:hint="eastAsia" w:ascii="仿宋" w:hAnsi="仿宋" w:eastAsia="仿宋" w:cs="仿宋"/>
                <w:sz w:val="24"/>
                <w:szCs w:val="24"/>
                <w:highlight w:val="none"/>
                <w:lang w:val="en-US" w:eastAsia="zh-CN" w:bidi="ar-SA"/>
              </w:rPr>
              <w:t xml:space="preserve">得0.5 分,演示不完整或未演示不得分，最多得2分。</w:t>
            </w:r>
            <w:r/>
          </w:p>
          <w:p>
            <w:pPr>
              <w:keepLines w:val="0"/>
              <w:keepNext w:val="0"/>
              <w:pageBreakBefore w:val="0"/>
              <w:spacing w:beforeAutospacing="0" w:afterAutospacing="0" w:line="240" w:lineRule="auto"/>
              <w:rPr>
                <w:rFonts w:hint="eastAsia" w:ascii="仿宋" w:hAnsi="仿宋" w:eastAsia="仿宋" w:cs="仿宋"/>
                <w:b/>
                <w:bCs/>
                <w:sz w:val="24"/>
                <w:szCs w:val="24"/>
                <w:highlight w:val="none"/>
                <w:lang w:val="en-US" w:eastAsia="zh-CN" w:bidi="ar-SA"/>
              </w:rPr>
            </w:pPr>
            <w:r>
              <w:rPr>
                <w:rFonts w:hint="eastAsia" w:ascii="仿宋" w:hAnsi="仿宋" w:eastAsia="仿宋" w:cs="仿宋"/>
                <w:b/>
                <w:bCs/>
                <w:sz w:val="24"/>
                <w:szCs w:val="24"/>
                <w:highlight w:val="none"/>
                <w:lang w:val="en-US" w:eastAsia="zh-CN" w:bidi="ar-SA"/>
              </w:rPr>
              <w:t xml:space="preserve">3.编辑项目里程碑（2分）</w:t>
            </w:r>
            <w:r/>
          </w:p>
          <w:p>
            <w:pPr>
              <w:keepLines w:val="0"/>
              <w:keepNext w:val="0"/>
              <w:pageBreakBefore w:val="0"/>
              <w:spacing w:beforeAutospacing="0" w:afterAutospacing="0" w:line="24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在上述1环境下搭建发布的系统里，使用真实类似系统演示①添加项目里程碑事件②登记新增加的里程碑事件对应资料得2分,使用 DEMO 演示得1 分，使用PPT或其他方式演示得0.5 分,演示不完整或未演示不得分，最多得2分。</w:t>
            </w:r>
            <w:r/>
          </w:p>
          <w:p>
            <w:pPr>
              <w:keepLines w:val="0"/>
              <w:keepNext w:val="0"/>
              <w:pageBreakBefore w:val="0"/>
              <w:spacing w:beforeAutospacing="0" w:afterAutospacing="0" w:line="240" w:lineRule="auto"/>
              <w:rPr>
                <w:rFonts w:hint="eastAsia" w:ascii="仿宋" w:hAnsi="仿宋" w:eastAsia="仿宋" w:cs="仿宋"/>
                <w:b/>
                <w:bCs/>
                <w:sz w:val="24"/>
                <w:szCs w:val="24"/>
                <w:highlight w:val="none"/>
                <w:lang w:val="en-US" w:eastAsia="zh-CN" w:bidi="ar-SA"/>
              </w:rPr>
            </w:pPr>
            <w:r>
              <w:rPr>
                <w:rFonts w:hint="eastAsia" w:ascii="仿宋" w:hAnsi="仿宋" w:eastAsia="仿宋" w:cs="仿宋"/>
                <w:b/>
                <w:bCs/>
                <w:sz w:val="24"/>
                <w:szCs w:val="24"/>
                <w:highlight w:val="none"/>
                <w:lang w:val="en-US" w:eastAsia="zh-CN" w:bidi="ar-SA"/>
              </w:rPr>
              <w:t xml:space="preserve">4.合同登记（2分）</w:t>
            </w:r>
            <w:r/>
          </w:p>
          <w:p>
            <w:pPr>
              <w:keepLines w:val="0"/>
              <w:keepNext w:val="0"/>
              <w:pageBreakBefore w:val="0"/>
              <w:spacing w:beforeAutospacing="0" w:afterAutospacing="0" w:line="24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在上述1环境下搭建发布的系统里，使用真实类似系统演示①合同基本信息登记②合同附件上传得2分,使用 DEMO 演示得1 分，使用PPT或其他方式演示得0.5 分,演示不完整或未演示不得分，最多得2分。</w:t>
            </w:r>
            <w:r/>
          </w:p>
          <w:p>
            <w:pPr>
              <w:keepLines w:val="0"/>
              <w:keepNext w:val="0"/>
              <w:pageBreakBefore w:val="0"/>
              <w:spacing w:beforeAutospacing="0" w:afterAutospacing="0" w:line="240" w:lineRule="auto"/>
              <w:rPr>
                <w:rFonts w:hint="eastAsia" w:ascii="仿宋" w:hAnsi="仿宋" w:eastAsia="仿宋" w:cs="仿宋"/>
                <w:b/>
                <w:bCs/>
                <w:sz w:val="24"/>
                <w:szCs w:val="24"/>
                <w:highlight w:val="none"/>
                <w:lang w:val="en-US" w:eastAsia="zh-CN" w:bidi="ar-SA"/>
              </w:rPr>
            </w:pPr>
            <w:r>
              <w:rPr>
                <w:rFonts w:hint="eastAsia" w:ascii="仿宋" w:hAnsi="仿宋" w:eastAsia="仿宋" w:cs="仿宋"/>
                <w:b/>
                <w:bCs/>
                <w:sz w:val="24"/>
                <w:szCs w:val="24"/>
                <w:highlight w:val="none"/>
                <w:lang w:val="en-US" w:eastAsia="zh-CN" w:bidi="ar-SA"/>
              </w:rPr>
              <w:t xml:space="preserve">5.合同付款申请及审核审批（2分）</w:t>
            </w:r>
            <w:r/>
          </w:p>
          <w:p>
            <w:pPr>
              <w:keepLines w:val="0"/>
              <w:keepNext w:val="0"/>
              <w:pageBreakBefore w:val="0"/>
              <w:spacing w:beforeAutospacing="0" w:afterAutospacing="0" w:line="24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在上述1环境下搭建发布的系统里，使用真实类似系统演示①付款申请、②付款审批得2分,使用 DEMO 演示得1 分，使用PPT或其他方式演示得0.5 分,演示不完整或未演示不得分，最多得2分。</w:t>
            </w:r>
            <w:r/>
          </w:p>
          <w:p>
            <w:pPr>
              <w:keepLines w:val="0"/>
              <w:keepNext w:val="0"/>
              <w:pageBreakBefore w:val="0"/>
              <w:spacing w:beforeAutospacing="0" w:afterAutospacing="0" w:line="240" w:lineRule="auto"/>
              <w:rPr>
                <w:rFonts w:hint="eastAsia" w:ascii="仿宋" w:hAnsi="仿宋" w:eastAsia="仿宋" w:cs="仿宋"/>
                <w:b/>
                <w:bCs/>
                <w:sz w:val="24"/>
                <w:szCs w:val="24"/>
                <w:highlight w:val="none"/>
                <w:lang w:val="en-US" w:eastAsia="zh-CN" w:bidi="ar-SA"/>
              </w:rPr>
            </w:pPr>
            <w:r>
              <w:rPr>
                <w:rFonts w:hint="eastAsia" w:ascii="仿宋" w:hAnsi="仿宋" w:eastAsia="仿宋" w:cs="仿宋"/>
                <w:b/>
                <w:bCs/>
                <w:sz w:val="24"/>
                <w:szCs w:val="24"/>
                <w:highlight w:val="none"/>
                <w:lang w:val="en-US" w:eastAsia="zh-CN" w:bidi="ar-SA"/>
              </w:rPr>
              <w:t xml:space="preserve">6.工程量清单及审计核定价（2分）</w:t>
            </w:r>
            <w:r/>
          </w:p>
          <w:p>
            <w:pPr>
              <w:keepLines w:val="0"/>
              <w:keepNext w:val="0"/>
              <w:pageBreakBefore w:val="0"/>
              <w:spacing w:beforeAutospacing="0" w:afterAutospacing="0" w:line="24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在上述1环境下搭建发布的系统里，使用真实类似系统演示①工程量清单上传编辑②审计核定价（结算价）编辑得2分,使用 DEMO 演示得1 分，使用PPT或其他方式演示得0.5 分,演示不完整或未演示不得分，最多得2分。</w:t>
            </w:r>
            <w:r/>
          </w:p>
          <w:p>
            <w:pPr>
              <w:keepLines w:val="0"/>
              <w:keepNext w:val="0"/>
              <w:pageBreakBefore w:val="0"/>
              <w:spacing w:beforeAutospacing="0" w:afterAutospacing="0" w:line="240" w:lineRule="auto"/>
              <w:rPr>
                <w:rFonts w:hint="eastAsia" w:ascii="仿宋" w:hAnsi="仿宋" w:eastAsia="仿宋" w:cs="仿宋"/>
                <w:b/>
                <w:bCs/>
                <w:sz w:val="24"/>
                <w:szCs w:val="24"/>
                <w:highlight w:val="none"/>
                <w:lang w:val="en-US" w:eastAsia="zh-CN" w:bidi="ar-SA"/>
              </w:rPr>
            </w:pPr>
            <w:r>
              <w:rPr>
                <w:rFonts w:hint="eastAsia" w:ascii="仿宋" w:hAnsi="仿宋" w:eastAsia="仿宋" w:cs="仿宋"/>
                <w:b/>
                <w:bCs/>
                <w:sz w:val="24"/>
                <w:szCs w:val="24"/>
                <w:highlight w:val="none"/>
                <w:lang w:val="en-US" w:eastAsia="zh-CN" w:bidi="ar-SA"/>
              </w:rPr>
              <w:t xml:space="preserve">7.综合查询（2分）</w:t>
            </w:r>
            <w:r/>
          </w:p>
          <w:p>
            <w:pPr>
              <w:keepLines w:val="0"/>
              <w:keepNext w:val="0"/>
              <w:pageBreakBefore w:val="0"/>
              <w:spacing w:beforeAutospacing="0" w:afterAutospacing="0" w:line="24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在上述1环境下搭建发布的系统里，使用真实类似系统演示①付款明细查询②付款汇总查询、③查询结果表格导出得2分,使用 DEMO 演示得1 分，使用PPT或其他方式演示得0.5 分,演示不完整或未演示不得分，最多得2分。</w:t>
            </w:r>
            <w:r/>
          </w:p>
          <w:p>
            <w:pPr>
              <w:keepLines w:val="0"/>
              <w:keepNext w:val="0"/>
              <w:pageBreakBefore w:val="0"/>
              <w:spacing w:beforeAutospacing="0" w:afterAutospacing="0" w:line="240" w:lineRule="auto"/>
              <w:rPr>
                <w:rFonts w:hint="eastAsia" w:ascii="仿宋" w:hAnsi="仿宋" w:eastAsia="仿宋" w:cs="仿宋"/>
                <w:b/>
                <w:bCs/>
                <w:sz w:val="24"/>
                <w:szCs w:val="24"/>
                <w:highlight w:val="none"/>
                <w:lang w:val="en-US" w:eastAsia="zh-CN" w:bidi="ar-SA"/>
              </w:rPr>
            </w:pPr>
            <w:r>
              <w:rPr>
                <w:rFonts w:hint="eastAsia" w:ascii="仿宋" w:hAnsi="仿宋" w:eastAsia="仿宋" w:cs="仿宋"/>
                <w:b/>
                <w:bCs/>
                <w:sz w:val="24"/>
                <w:szCs w:val="24"/>
                <w:highlight w:val="none"/>
                <w:lang w:val="en-US" w:eastAsia="zh-CN" w:bidi="ar-SA"/>
              </w:rPr>
              <w:t xml:space="preserve">8.项目资料打包下载（2分）</w:t>
            </w:r>
            <w:r/>
          </w:p>
          <w:p>
            <w:pPr>
              <w:keepLines w:val="0"/>
              <w:keepNext w:val="0"/>
              <w:pageBreakBefore w:val="0"/>
              <w:spacing w:beforeAutospacing="0" w:afterAutospacing="0" w:line="24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在上述1环境下搭建发布的系统里，使用真实类似系统演示①项目资料附件集中打包下载 得1分,使用 DEMO 演示得1 分，使用PPT或其他方式演示得0.5 分,演示不完整或未演示不得分，最多得2分。</w:t>
            </w:r>
            <w:r/>
          </w:p>
        </w:tc>
        <w:tc>
          <w:tcPr>
            <w:tcW w:w="647" w:type="dxa"/>
            <w:vAlign w:val="center"/>
            <w:textDirection w:val="lrTb"/>
            <w:noWrap w:val="false"/>
          </w:tcPr>
          <w:p>
            <w:pPr>
              <w:pStyle w:val="951"/>
              <w:jc w:val="center"/>
              <w:keepLines w:val="0"/>
              <w:keepNext w:val="0"/>
              <w:pageBreakBefore w:val="0"/>
              <w:spacing w:before="0" w:beforeAutospacing="0" w:after="0" w:afterAutospacing="0" w:line="240" w:lineRule="auto"/>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20</w:t>
            </w:r>
            <w:r/>
          </w:p>
        </w:tc>
        <w:tc>
          <w:tcPr>
            <w:tcW w:w="900" w:type="dxa"/>
            <w:vAlign w:val="center"/>
            <w:textDirection w:val="lrTb"/>
            <w:noWrap w:val="false"/>
          </w:tcPr>
          <w:p>
            <w:pPr>
              <w:pStyle w:val="951"/>
              <w:jc w:val="center"/>
              <w:keepLines w:val="0"/>
              <w:keepNext w:val="0"/>
              <w:pageBreakBefore w:val="0"/>
              <w:spacing w:before="0" w:beforeAutospacing="0" w:after="0" w:afterAutospacing="0"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客观分</w:t>
            </w:r>
            <w:r/>
          </w:p>
        </w:tc>
      </w:tr>
      <w:tr>
        <w:trPr>
          <w:jc w:val="center"/>
          <w:trHeight w:val="472"/>
        </w:trPr>
        <w:tc>
          <w:tcPr>
            <w:gridSpan w:val="5"/>
            <w:tcW w:w="9575" w:type="dxa"/>
            <w:vAlign w:val="center"/>
            <w:textDirection w:val="lrTb"/>
            <w:noWrap w:val="false"/>
          </w:tcPr>
          <w:p>
            <w:pPr>
              <w:jc w:val="both"/>
              <w:keepLines w:val="0"/>
              <w:keepNext w:val="0"/>
              <w:pageBreakBefore w:val="0"/>
              <w:spacing w:before="68" w:line="264" w:lineRule="auto"/>
              <w:widowControl w:val="off"/>
              <w:rPr>
                <w:rFonts w:hint="eastAsia" w:ascii="宋体" w:hAnsi="宋体" w:eastAsia="宋体" w:cs="宋体"/>
                <w:lang w:eastAsia="zh-CN"/>
              </w:rPr>
            </w:pPr>
            <w:r>
              <w:rPr>
                <w:rFonts w:hint="eastAsia" w:ascii="宋体" w:hAnsi="宋体" w:eastAsia="宋体" w:cs="宋体"/>
                <w:b/>
                <w:bCs/>
                <w:spacing w:val="-3"/>
                <w:lang w:val="en-US" w:eastAsia="zh-CN"/>
              </w:rPr>
              <w:t xml:space="preserve">3.服务</w:t>
            </w:r>
            <w:r/>
          </w:p>
        </w:tc>
      </w:tr>
      <w:tr>
        <w:trPr>
          <w:jc w:val="center"/>
          <w:trHeight w:val="1083"/>
        </w:trPr>
        <w:tc>
          <w:tcPr>
            <w:tcW w:w="519" w:type="dxa"/>
            <w:vAlign w:val="center"/>
            <w:textDirection w:val="lrTb"/>
            <w:noWrap w:val="false"/>
          </w:tcPr>
          <w:p>
            <w:pPr>
              <w:rPr>
                <w:rFonts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3.1</w:t>
            </w:r>
            <w:r/>
          </w:p>
        </w:tc>
        <w:tc>
          <w:tcPr>
            <w:tcW w:w="1179" w:type="dxa"/>
            <w:vAlign w:val="center"/>
            <w:textDirection w:val="lrTb"/>
            <w:noWrap w:val="false"/>
          </w:tcPr>
          <w:p>
            <w:pPr>
              <w:keepLines w:val="0"/>
              <w:keepNext w:val="0"/>
              <w:pageBreakBefore w:val="0"/>
              <w:spacing w:line="24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培训方案</w:t>
            </w:r>
            <w:r/>
          </w:p>
        </w:tc>
        <w:tc>
          <w:tcPr>
            <w:tcW w:w="6330" w:type="dxa"/>
            <w:vAlign w:val="top"/>
            <w:textDirection w:val="lrTb"/>
            <w:noWrap w:val="false"/>
          </w:tcPr>
          <w:p>
            <w:pPr>
              <w:keepLines w:val="0"/>
              <w:keepNext w:val="0"/>
              <w:pageBreakBefore w:val="0"/>
              <w:spacing w:beforeAutospacing="0" w:afterAutospacing="0" w:line="24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供应商提供培训方案，包含但不限于培训计划、培训师资力量、培训内容等。</w:t>
            </w:r>
            <w:r/>
          </w:p>
          <w:p>
            <w:pPr>
              <w:keepLines w:val="0"/>
              <w:keepNext w:val="0"/>
              <w:pageBreakBefore w:val="0"/>
              <w:spacing w:beforeAutospacing="0" w:afterAutospacing="0" w:line="24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（1）培训方案全面合理有效，具有详细的培训计划、培训师资力量、培训内容，得5分；</w:t>
            </w:r>
            <w:r/>
          </w:p>
          <w:p>
            <w:pPr>
              <w:keepLines w:val="0"/>
              <w:keepNext w:val="0"/>
              <w:pageBreakBefore w:val="0"/>
              <w:spacing w:beforeAutospacing="0" w:afterAutospacing="0" w:line="24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（2）培训方案不够全面，有效性欠缺，培训计划、培训师资力量、培训内容不够详细，得3分；</w:t>
            </w:r>
            <w:r/>
          </w:p>
          <w:p>
            <w:pPr>
              <w:keepLines w:val="0"/>
              <w:keepNext w:val="0"/>
              <w:pageBreakBefore w:val="0"/>
              <w:spacing w:beforeAutospacing="0" w:afterAutospacing="0" w:line="24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（3）培训方案片面，不具有执行有效性，培训计划、培训师资力量、培训内容不详细得1分；</w:t>
            </w:r>
            <w:r/>
          </w:p>
          <w:p>
            <w:pPr>
              <w:keepLines w:val="0"/>
              <w:keepNext w:val="0"/>
              <w:pageBreakBefore w:val="0"/>
              <w:spacing w:beforeAutospacing="0" w:afterAutospacing="0" w:line="240" w:lineRule="auto"/>
              <w:rPr>
                <w:highlight w:val="none"/>
                <w:lang w:val="en-US" w:eastAsia="zh-CN"/>
              </w:rPr>
            </w:pPr>
            <w:r>
              <w:rPr>
                <w:rFonts w:hint="eastAsia" w:ascii="仿宋" w:hAnsi="仿宋" w:eastAsia="仿宋" w:cs="仿宋"/>
                <w:sz w:val="24"/>
                <w:szCs w:val="24"/>
                <w:highlight w:val="none"/>
                <w:lang w:val="en-US" w:eastAsia="zh-CN" w:bidi="ar-SA"/>
              </w:rPr>
              <w:t xml:space="preserve">（4）未提供方案得0分。</w:t>
            </w:r>
            <w:r/>
          </w:p>
        </w:tc>
        <w:tc>
          <w:tcPr>
            <w:tcW w:w="647" w:type="dxa"/>
            <w:vAlign w:val="center"/>
            <w:textDirection w:val="lrTb"/>
            <w:noWrap w:val="false"/>
          </w:tcPr>
          <w:p>
            <w:pPr>
              <w:jc w:val="center"/>
              <w:keepLines w:val="0"/>
              <w:keepNext w:val="0"/>
              <w:pageBreakBefore w:val="0"/>
              <w:spacing w:beforeAutospacing="0" w:afterAutospacing="0" w:line="240" w:lineRule="auto"/>
              <w:rPr>
                <w:rFonts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5</w:t>
            </w:r>
            <w:r/>
          </w:p>
        </w:tc>
        <w:tc>
          <w:tcPr>
            <w:tcW w:w="900" w:type="dxa"/>
            <w:vAlign w:val="center"/>
            <w:textDirection w:val="lrTb"/>
            <w:noWrap w:val="false"/>
          </w:tcPr>
          <w:p>
            <w:pPr>
              <w:jc w:val="center"/>
              <w:keepLines w:val="0"/>
              <w:keepNext w:val="0"/>
              <w:pageBreakBefore w:val="0"/>
              <w:spacing w:beforeAutospacing="0" w:afterAutospacing="0" w:line="240" w:lineRule="auto"/>
              <w:rPr>
                <w:rFonts w:ascii="仿宋" w:hAnsi="仿宋" w:eastAsia="仿宋" w:cs="仿宋"/>
                <w:sz w:val="24"/>
                <w:szCs w:val="24"/>
                <w:lang w:val="en-US" w:eastAsia="zh-CN" w:bidi="ar-SA"/>
              </w:rPr>
            </w:pPr>
            <w:r>
              <w:rPr>
                <w:rFonts w:ascii="仿宋" w:hAnsi="仿宋" w:eastAsia="仿宋" w:cs="仿宋"/>
                <w:sz w:val="24"/>
                <w:szCs w:val="24"/>
                <w:lang w:val="en-US" w:eastAsia="zh-CN" w:bidi="ar-SA"/>
              </w:rPr>
              <w:t xml:space="preserve">主观分</w:t>
            </w:r>
            <w:r/>
          </w:p>
        </w:tc>
      </w:tr>
      <w:tr>
        <w:trPr>
          <w:jc w:val="center"/>
          <w:trHeight w:val="133"/>
        </w:trPr>
        <w:tc>
          <w:tcPr>
            <w:tcW w:w="519" w:type="dxa"/>
            <w:vAlign w:val="center"/>
            <w:textDirection w:val="lrTb"/>
            <w:noWrap w:val="false"/>
          </w:tcPr>
          <w:p>
            <w:pPr>
              <w:rPr>
                <w:rFonts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3.2</w:t>
            </w:r>
            <w:r/>
          </w:p>
        </w:tc>
        <w:tc>
          <w:tcPr>
            <w:tcW w:w="1179" w:type="dxa"/>
            <w:vAlign w:val="center"/>
            <w:textDirection w:val="lrTb"/>
            <w:noWrap w:val="false"/>
          </w:tcPr>
          <w:p>
            <w:pPr>
              <w:keepLines w:val="0"/>
              <w:keepNext w:val="0"/>
              <w:pageBreakBefore w:val="0"/>
              <w:spacing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售后服务</w:t>
            </w:r>
            <w:r/>
          </w:p>
          <w:p>
            <w:pPr>
              <w:keepLines w:val="0"/>
              <w:keepNext w:val="0"/>
              <w:pageBreakBefore w:val="0"/>
              <w:spacing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方案</w:t>
            </w:r>
            <w:r/>
          </w:p>
        </w:tc>
        <w:tc>
          <w:tcPr>
            <w:tcW w:w="6330" w:type="dxa"/>
            <w:vAlign w:val="top"/>
            <w:textDirection w:val="lrTb"/>
            <w:noWrap w:val="false"/>
          </w:tcPr>
          <w:p>
            <w:pPr>
              <w:keepLines w:val="0"/>
              <w:keepNext w:val="0"/>
              <w:pageBreakBefore w:val="0"/>
              <w:spacing w:beforeAutospacing="0" w:afterAutospacing="0"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供应商提供售后服务方案，包括但不限于服务流程及内容、响应时间、服务人员等。</w:t>
            </w:r>
            <w:r/>
          </w:p>
          <w:p>
            <w:pPr>
              <w:keepLines w:val="0"/>
              <w:keepNext w:val="0"/>
              <w:pageBreakBefore w:val="0"/>
              <w:spacing w:beforeAutospacing="0" w:afterAutospacing="0"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（1）售后服务方案全面合理，服务流程及内容具体，响应时间迅速，服务人员齐备，得4分；</w:t>
            </w:r>
            <w:r/>
          </w:p>
          <w:p>
            <w:pPr>
              <w:keepLines w:val="0"/>
              <w:keepNext w:val="0"/>
              <w:pageBreakBefore w:val="0"/>
              <w:spacing w:beforeAutospacing="0" w:afterAutospacing="0"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（2）售后服务方案较全面，有基本服务流程及内容，响应时间较为迅速，服务人员匹配基本满足需求，得2分；</w:t>
            </w:r>
            <w:r/>
          </w:p>
          <w:p>
            <w:pPr>
              <w:keepLines w:val="0"/>
              <w:keepNext w:val="0"/>
              <w:pageBreakBefore w:val="0"/>
              <w:spacing w:beforeAutospacing="0" w:afterAutospacing="0" w:line="240" w:lineRule="auto"/>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（3）售后服务方案较片面，服务流程及内容空洞或欠缺，响应时间缓慢，服务人员匹配欠缺得1分。</w:t>
            </w:r>
            <w:r/>
          </w:p>
          <w:p>
            <w:pPr>
              <w:keepLines w:val="0"/>
              <w:keepNext w:val="0"/>
              <w:pageBreakBefore w:val="0"/>
              <w:spacing w:beforeAutospacing="0" w:afterAutospacing="0" w:line="240" w:lineRule="auto"/>
              <w:rPr>
                <w:rFonts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（4）</w:t>
            </w:r>
            <w:r>
              <w:rPr>
                <w:rFonts w:hint="eastAsia" w:ascii="仿宋" w:hAnsi="仿宋" w:eastAsia="仿宋" w:cs="仿宋"/>
                <w:sz w:val="24"/>
                <w:szCs w:val="24"/>
                <w:highlight w:val="none"/>
                <w:lang w:val="en-US" w:eastAsia="zh-CN" w:bidi="ar-SA"/>
              </w:rPr>
              <w:t xml:space="preserve">未提供方案得0分</w:t>
            </w:r>
            <w:r>
              <w:rPr>
                <w:rFonts w:hint="eastAsia" w:ascii="仿宋" w:hAnsi="仿宋" w:eastAsia="仿宋" w:cs="仿宋"/>
                <w:sz w:val="24"/>
                <w:szCs w:val="24"/>
                <w:lang w:val="en-US" w:eastAsia="zh-CN" w:bidi="ar-SA"/>
              </w:rPr>
              <w:t xml:space="preserve">。</w:t>
            </w:r>
            <w:r/>
          </w:p>
        </w:tc>
        <w:tc>
          <w:tcPr>
            <w:tcW w:w="647" w:type="dxa"/>
            <w:vAlign w:val="center"/>
            <w:textDirection w:val="lrTb"/>
            <w:noWrap w:val="false"/>
          </w:tcPr>
          <w:p>
            <w:pPr>
              <w:jc w:val="center"/>
              <w:keepLines w:val="0"/>
              <w:keepNext w:val="0"/>
              <w:pageBreakBefore w:val="0"/>
              <w:spacing w:beforeAutospacing="0" w:afterAutospacing="0" w:line="240" w:lineRule="auto"/>
              <w:rPr>
                <w:rFonts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4</w:t>
            </w:r>
            <w:r/>
          </w:p>
        </w:tc>
        <w:tc>
          <w:tcPr>
            <w:tcW w:w="900" w:type="dxa"/>
            <w:vAlign w:val="center"/>
            <w:textDirection w:val="lrTb"/>
            <w:noWrap w:val="false"/>
          </w:tcPr>
          <w:p>
            <w:pPr>
              <w:jc w:val="center"/>
              <w:keepLines w:val="0"/>
              <w:keepNext w:val="0"/>
              <w:pageBreakBefore w:val="0"/>
              <w:spacing w:beforeAutospacing="0" w:afterAutospacing="0" w:line="240" w:lineRule="auto"/>
              <w:rPr>
                <w:rFonts w:ascii="仿宋" w:hAnsi="仿宋" w:eastAsia="仿宋" w:cs="仿宋"/>
                <w:sz w:val="24"/>
                <w:szCs w:val="24"/>
                <w:lang w:val="en-US" w:eastAsia="zh-CN" w:bidi="ar-SA"/>
              </w:rPr>
            </w:pPr>
            <w:r>
              <w:rPr>
                <w:rFonts w:ascii="仿宋" w:hAnsi="仿宋" w:eastAsia="仿宋" w:cs="仿宋"/>
                <w:sz w:val="24"/>
                <w:szCs w:val="24"/>
                <w:lang w:val="en-US" w:eastAsia="zh-CN" w:bidi="ar-SA"/>
              </w:rPr>
              <w:t xml:space="preserve">主观分</w:t>
            </w:r>
            <w:r/>
          </w:p>
        </w:tc>
      </w:tr>
      <w:tr>
        <w:trPr>
          <w:jc w:val="center"/>
          <w:trHeight w:val="455"/>
        </w:trPr>
        <w:tc>
          <w:tcPr>
            <w:gridSpan w:val="5"/>
            <w:tcW w:w="9575" w:type="dxa"/>
            <w:vAlign w:val="center"/>
            <w:textDirection w:val="lrTb"/>
            <w:noWrap w:val="false"/>
          </w:tcPr>
          <w:p>
            <w:pPr>
              <w:keepLines w:val="0"/>
              <w:keepNext w:val="0"/>
              <w:pageBreakBefore w:val="0"/>
              <w:spacing w:line="264" w:lineRule="auto"/>
              <w:widowControl w:val="off"/>
              <w:rPr>
                <w:rFonts w:ascii="宋体" w:hAnsi="宋体" w:eastAsia="宋体" w:cs="宋体"/>
              </w:rPr>
            </w:pPr>
            <w:r>
              <w:rPr>
                <w:rFonts w:hint="eastAsia" w:ascii="宋体" w:hAnsi="宋体" w:eastAsia="宋体" w:cs="宋体"/>
                <w:b/>
                <w:bCs/>
                <w:spacing w:val="-3"/>
                <w:lang w:val="en-US" w:eastAsia="zh-CN"/>
              </w:rPr>
              <w:t xml:space="preserve">4.业绩</w:t>
            </w:r>
            <w:r/>
          </w:p>
        </w:tc>
      </w:tr>
      <w:tr>
        <w:trPr>
          <w:jc w:val="center"/>
          <w:trHeight w:val="146"/>
        </w:trPr>
        <w:tc>
          <w:tcPr>
            <w:tcW w:w="519" w:type="dxa"/>
            <w:vAlign w:val="center"/>
            <w:textDirection w:val="lrTb"/>
            <w:noWrap w:val="false"/>
          </w:tcPr>
          <w:p>
            <w:pPr>
              <w:keepLines w:val="0"/>
              <w:keepNext w:val="0"/>
              <w:pageBreakBefore w:val="0"/>
              <w:spacing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4.1</w:t>
            </w:r>
            <w:r/>
          </w:p>
        </w:tc>
        <w:tc>
          <w:tcPr>
            <w:tcW w:w="1179"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供应商</w:t>
            </w:r>
            <w:r/>
          </w:p>
          <w:p>
            <w:pPr>
              <w:jc w:val="center"/>
              <w:keepLines w:val="0"/>
              <w:keepNext w:val="0"/>
              <w:pageBreakBefore w:val="0"/>
              <w:spacing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业绩</w:t>
            </w:r>
            <w:r/>
          </w:p>
        </w:tc>
        <w:tc>
          <w:tcPr>
            <w:tcW w:w="6330" w:type="dxa"/>
            <w:vAlign w:val="center"/>
            <w:textDirection w:val="lrTb"/>
            <w:noWrap w:val="false"/>
          </w:tcPr>
          <w:p>
            <w:pPr>
              <w:keepLines w:val="0"/>
              <w:keepNext w:val="0"/>
              <w:pageBreakBefore w:val="0"/>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供应商提供自2023年9月1日（含）以来类似系统开发业绩，有一个得3分，最多得9分。</w:t>
            </w:r>
            <w:r/>
          </w:p>
          <w:p>
            <w:pPr>
              <w:keepLines w:val="0"/>
              <w:keepNext w:val="0"/>
              <w:pageBreakBefore w:val="0"/>
              <w:widowControl w:val="off"/>
              <w:rPr>
                <w:rFonts w:ascii="Times New Roman" w:hAnsi="Times New Roman" w:eastAsia="宋体" w:cs="Times New Roman"/>
                <w:sz w:val="21"/>
                <w:szCs w:val="22"/>
                <w:lang w:val="en-US" w:eastAsia="zh-CN" w:bidi="ar-SA"/>
              </w:rPr>
            </w:pPr>
            <w:r>
              <w:rPr>
                <w:rFonts w:hint="eastAsia" w:ascii="仿宋" w:hAnsi="仿宋" w:eastAsia="仿宋" w:cs="仿宋"/>
                <w:sz w:val="24"/>
                <w:szCs w:val="24"/>
                <w:lang w:val="en-US" w:eastAsia="zh-CN" w:bidi="ar-SA"/>
              </w:rPr>
              <w:t xml:space="preserve">（供应商须提供合同复印件加盖公章，时间以合同签订时间为准，须能反映项目名称、主要标的）</w:t>
            </w:r>
            <w:r/>
          </w:p>
        </w:tc>
        <w:tc>
          <w:tcPr>
            <w:tcW w:w="647" w:type="dxa"/>
            <w:vAlign w:val="center"/>
            <w:textDirection w:val="lrTb"/>
            <w:noWrap w:val="false"/>
          </w:tcPr>
          <w:p>
            <w:pPr>
              <w:pStyle w:val="1003"/>
              <w:jc w:val="center"/>
              <w:rPr>
                <w:rFonts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9</w:t>
            </w:r>
            <w:r/>
          </w:p>
        </w:tc>
        <w:tc>
          <w:tcPr>
            <w:tcW w:w="900" w:type="dxa"/>
            <w:vAlign w:val="center"/>
            <w:textDirection w:val="lrTb"/>
            <w:noWrap w:val="false"/>
          </w:tcPr>
          <w:p>
            <w:pPr>
              <w:pStyle w:val="1003"/>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客观分</w:t>
            </w:r>
            <w:r/>
          </w:p>
        </w:tc>
      </w:tr>
      <w:tr>
        <w:trPr>
          <w:jc w:val="center"/>
          <w:trHeight w:val="269"/>
        </w:trPr>
        <w:tc>
          <w:tcPr>
            <w:gridSpan w:val="5"/>
            <w:tcW w:w="9575" w:type="dxa"/>
            <w:vAlign w:val="top"/>
            <w:textDirection w:val="lrTb"/>
            <w:noWrap w:val="false"/>
          </w:tcPr>
          <w:p>
            <w:pPr>
              <w:keepLines w:val="0"/>
              <w:keepNext w:val="0"/>
              <w:pageBreakBefore w:val="0"/>
              <w:spacing w:before="123" w:line="264" w:lineRule="auto"/>
              <w:widowControl w:val="off"/>
              <w:rPr>
                <w:rFonts w:ascii="宋体" w:hAnsi="宋体" w:eastAsia="宋体" w:cs="宋体"/>
              </w:rPr>
            </w:pPr>
            <w:r>
              <w:rPr>
                <w:rFonts w:hint="eastAsia" w:ascii="宋体" w:hAnsi="宋体" w:eastAsia="宋体" w:cs="宋体"/>
                <w:b/>
                <w:bCs/>
                <w:spacing w:val="-3"/>
                <w:lang w:val="en-US" w:eastAsia="zh-CN"/>
              </w:rPr>
              <w:t xml:space="preserve">5.履约能力</w:t>
            </w:r>
            <w:r/>
          </w:p>
        </w:tc>
      </w:tr>
      <w:tr>
        <w:trPr>
          <w:jc w:val="center"/>
          <w:trHeight w:val="387"/>
        </w:trPr>
        <w:tc>
          <w:tcPr>
            <w:tcW w:w="519" w:type="dxa"/>
            <w:vAlign w:val="center"/>
            <w:textDirection w:val="lrTb"/>
            <w:noWrap w:val="false"/>
          </w:tcPr>
          <w:p>
            <w:pPr>
              <w:jc w:val="center"/>
              <w:keepLines w:val="0"/>
              <w:keepNext w:val="0"/>
              <w:pageBreakBefore w:val="0"/>
              <w:spacing w:beforeAutospacing="0" w:afterAutospacing="0" w:line="240" w:lineRule="auto"/>
              <w:rPr>
                <w:rFonts w:hint="eastAsia" w:ascii="仿宋" w:hAnsi="仿宋" w:eastAsia="仿宋" w:cs="仿宋"/>
                <w:sz w:val="24"/>
                <w:szCs w:val="24"/>
                <w:lang w:val="en-US" w:eastAsia="zh-CN" w:bidi="ar-SA"/>
              </w:rPr>
            </w:pPr>
            <w:r/>
            <w:bookmarkStart w:id="46" w:name="_GoBack"/>
            <w:r>
              <w:rPr>
                <w:rFonts w:hint="eastAsia" w:ascii="仿宋" w:hAnsi="仿宋" w:eastAsia="仿宋" w:cs="仿宋"/>
                <w:sz w:val="24"/>
                <w:szCs w:val="24"/>
                <w:lang w:val="en-US" w:eastAsia="zh-CN" w:bidi="ar-SA"/>
              </w:rPr>
              <w:t xml:space="preserve">5.1</w:t>
            </w:r>
            <w:r/>
          </w:p>
        </w:tc>
        <w:tc>
          <w:tcPr>
            <w:tcW w:w="1179" w:type="dxa"/>
            <w:vAlign w:val="center"/>
            <w:textDirection w:val="lrTb"/>
            <w:noWrap w:val="false"/>
          </w:tcPr>
          <w:p>
            <w:pPr>
              <w:jc w:val="center"/>
              <w:keepLines w:val="0"/>
              <w:keepNext w:val="0"/>
              <w:pageBreakBefore w:val="0"/>
              <w:spacing w:beforeAutospacing="0" w:afterAutospacing="0" w:line="240" w:lineRule="auto"/>
              <w:rPr>
                <w:rFonts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履约能力1</w:t>
            </w:r>
            <w:r/>
          </w:p>
        </w:tc>
        <w:tc>
          <w:tcPr>
            <w:tcW w:w="6330" w:type="dxa"/>
            <w:vAlign w:val="top"/>
            <w:textDirection w:val="lrTb"/>
            <w:noWrap w:val="false"/>
          </w:tcPr>
          <w:p>
            <w:pPr>
              <w:keepLines w:val="0"/>
              <w:keepNext w:val="0"/>
              <w:pageBreakBefore w:val="0"/>
              <w:widowControl w:val="off"/>
              <w:rPr>
                <w:rFonts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供应商所投软件或系统具有：与国产服务器操作系统、国产数据库、国产中间件3种基础支撑环境完成互认适配，提供适配或兼容或互认证书的，每种得2分，重复类型不多得分，最多6分，未提供适配互认证书的不得分。（供应商须提供适配证书复印件加盖公章）</w:t>
            </w:r>
            <w:r/>
          </w:p>
        </w:tc>
        <w:tc>
          <w:tcPr>
            <w:tcW w:w="647" w:type="dxa"/>
            <w:vAlign w:val="center"/>
            <w:textDirection w:val="lrTb"/>
            <w:noWrap w:val="false"/>
          </w:tcPr>
          <w:p>
            <w:pPr>
              <w:pStyle w:val="1003"/>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6</w:t>
            </w:r>
            <w:r/>
          </w:p>
        </w:tc>
        <w:tc>
          <w:tcPr>
            <w:tcW w:w="900"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客观分</w:t>
            </w:r>
            <w:r/>
          </w:p>
        </w:tc>
      </w:tr>
      <w:tr>
        <w:trPr>
          <w:jc w:val="center"/>
          <w:trHeight w:val="383"/>
        </w:trPr>
        <w:tc>
          <w:tcPr>
            <w:tcW w:w="519" w:type="dxa"/>
            <w:vAlign w:val="center"/>
            <w:textDirection w:val="lrTb"/>
            <w:noWrap w:val="false"/>
          </w:tcPr>
          <w:p>
            <w:pPr>
              <w:jc w:val="center"/>
              <w:keepLines w:val="0"/>
              <w:keepNext w:val="0"/>
              <w:pageBreakBefore w:val="0"/>
              <w:spacing w:beforeAutospacing="0" w:afterAutospacing="0"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5.2</w:t>
            </w:r>
            <w:r/>
          </w:p>
        </w:tc>
        <w:tc>
          <w:tcPr>
            <w:tcW w:w="1179" w:type="dxa"/>
            <w:vAlign w:val="center"/>
            <w:textDirection w:val="lrTb"/>
            <w:noWrap w:val="false"/>
          </w:tcPr>
          <w:p>
            <w:pPr>
              <w:jc w:val="center"/>
              <w:keepLines w:val="0"/>
              <w:keepNext w:val="0"/>
              <w:pageBreakBefore w:val="0"/>
              <w:spacing w:beforeAutospacing="0" w:afterAutospacing="0" w:line="240" w:lineRule="auto"/>
              <w:rPr>
                <w:rFonts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履约能力2</w:t>
            </w:r>
            <w:r/>
          </w:p>
        </w:tc>
        <w:tc>
          <w:tcPr>
            <w:tcW w:w="6330" w:type="dxa"/>
            <w:vAlign w:val="top"/>
            <w:textDirection w:val="lrTb"/>
            <w:noWrap w:val="false"/>
          </w:tcPr>
          <w:p>
            <w:pPr>
              <w:keepLines w:val="0"/>
              <w:keepNext w:val="0"/>
              <w:pageBreakBefore w:val="0"/>
              <w:widowControl w:val="off"/>
              <w:rPr>
                <w:rFonts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供应商提供与本项目相关所投软件或系统软件著作权证书，有1个得2分，最多4分；（提供证书复印件加盖公章，未提供不得分）。</w:t>
            </w:r>
            <w:r/>
          </w:p>
        </w:tc>
        <w:tc>
          <w:tcPr>
            <w:tcW w:w="647" w:type="dxa"/>
            <w:vAlign w:val="center"/>
            <w:textDirection w:val="lrTb"/>
            <w:noWrap w:val="false"/>
          </w:tcPr>
          <w:p>
            <w:pPr>
              <w:pStyle w:val="1003"/>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4</w:t>
            </w:r>
            <w:r/>
          </w:p>
        </w:tc>
        <w:tc>
          <w:tcPr>
            <w:tcW w:w="900"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客观分</w:t>
            </w:r>
            <w:bookmarkEnd w:id="46"/>
            <w:r/>
            <w:r/>
          </w:p>
        </w:tc>
      </w:tr>
      <w:tr>
        <w:trPr>
          <w:jc w:val="center"/>
          <w:trHeight w:val="464"/>
        </w:trPr>
        <w:tc>
          <w:tcPr>
            <w:tcW w:w="519" w:type="dxa"/>
            <w:vAlign w:val="center"/>
            <w:textDirection w:val="lrTb"/>
            <w:noWrap w:val="false"/>
          </w:tcPr>
          <w:p>
            <w:pPr>
              <w:jc w:val="center"/>
              <w:keepLines w:val="0"/>
              <w:keepNext w:val="0"/>
              <w:pageBreakBefore w:val="0"/>
              <w:spacing w:line="264" w:lineRule="auto"/>
              <w:widowControl w:val="off"/>
              <w:rPr>
                <w:color w:val="ff0000"/>
              </w:rPr>
            </w:pPr>
            <w:r>
              <w:rPr>
                <w:rFonts w:ascii="宋体" w:hAnsi="宋体" w:eastAsia="宋体" w:cs="宋体"/>
                <w:spacing w:val="-3"/>
              </w:rPr>
              <w:t xml:space="preserve">合</w:t>
            </w:r>
            <w:r>
              <w:rPr>
                <w:rFonts w:ascii="宋体" w:hAnsi="宋体" w:eastAsia="宋体" w:cs="宋体"/>
                <w:spacing w:val="-2"/>
              </w:rPr>
              <w:t xml:space="preserve">计</w:t>
            </w:r>
            <w:r/>
          </w:p>
        </w:tc>
        <w:tc>
          <w:tcPr>
            <w:gridSpan w:val="2"/>
            <w:tcW w:w="7509" w:type="dxa"/>
            <w:vAlign w:val="center"/>
            <w:textDirection w:val="lrTb"/>
            <w:noWrap w:val="false"/>
          </w:tcPr>
          <w:p>
            <w:pPr>
              <w:ind w:left="172"/>
              <w:jc w:val="center"/>
              <w:keepLines w:val="0"/>
              <w:keepNext w:val="0"/>
              <w:pageBreakBefore w:val="0"/>
              <w:spacing w:before="123" w:line="264" w:lineRule="auto"/>
              <w:widowControl w:val="off"/>
              <w:rPr>
                <w:rFonts w:ascii="宋体" w:hAnsi="宋体" w:eastAsia="宋体" w:cs="宋体"/>
                <w:color w:val="ff0000"/>
                <w:spacing w:val="-2"/>
              </w:rPr>
            </w:pPr>
            <w:r>
              <w:rPr>
                <w:rFonts w:ascii="宋体" w:hAnsi="宋体" w:eastAsia="宋体" w:cs="宋体"/>
                <w:color w:val="ff0000"/>
                <w:spacing w:val="-2"/>
              </w:rPr>
            </w:r>
            <w:r/>
          </w:p>
        </w:tc>
        <w:tc>
          <w:tcPr>
            <w:gridSpan w:val="2"/>
            <w:tcW w:w="1547" w:type="dxa"/>
            <w:vAlign w:val="center"/>
            <w:textDirection w:val="lrTb"/>
            <w:noWrap w:val="false"/>
          </w:tcPr>
          <w:p>
            <w:pPr>
              <w:jc w:val="center"/>
              <w:keepLines w:val="0"/>
              <w:keepNext w:val="0"/>
              <w:pageBreakBefore w:val="0"/>
              <w:spacing w:line="264" w:lineRule="auto"/>
              <w:widowControl w:val="off"/>
              <w:rPr>
                <w:color w:val="000000"/>
              </w:rPr>
            </w:pPr>
            <w:r>
              <w:rPr>
                <w:rFonts w:ascii="宋体" w:hAnsi="宋体" w:eastAsia="宋体" w:cs="宋体"/>
                <w:color w:val="000000"/>
                <w:spacing w:val="-11"/>
              </w:rPr>
              <w:t xml:space="preserve">100分</w:t>
            </w:r>
            <w:r/>
          </w:p>
        </w:tc>
      </w:tr>
    </w:tbl>
    <w:p>
      <w:pPr>
        <w:keepLines w:val="0"/>
        <w:keepNext w:val="0"/>
        <w:pageBreakBefore w:val="0"/>
        <w:spacing w:line="264" w:lineRule="auto"/>
        <w:widowControl w:val="off"/>
        <w:rPr>
          <w:rFonts w:hint="eastAsia"/>
        </w:rPr>
      </w:pPr>
      <w:r>
        <w:rPr>
          <w:rFonts w:hint="eastAsia"/>
        </w:rPr>
      </w:r>
      <w:r/>
    </w:p>
    <w:p>
      <w:pPr>
        <w:keepLines w:val="0"/>
        <w:keepNext w:val="0"/>
        <w:pageBreakBefore w:val="0"/>
        <w:spacing w:line="288" w:lineRule="auto"/>
        <w:widowControl w:val="off"/>
        <w:rPr>
          <w:rFonts w:hint="eastAsia"/>
        </w:rPr>
      </w:pPr>
      <w:r>
        <w:rPr>
          <w:rFonts w:hint="eastAsia"/>
        </w:rPr>
      </w:r>
      <w:r/>
    </w:p>
    <w:p>
      <w:pPr>
        <w:keepLines w:val="0"/>
        <w:keepNext w:val="0"/>
        <w:pageBreakBefore w:val="0"/>
        <w:spacing w:line="288" w:lineRule="auto"/>
        <w:widowControl w:val="off"/>
        <w:rPr>
          <w:rFonts w:hint="eastAsia"/>
        </w:rPr>
      </w:pPr>
      <w:r>
        <w:rPr>
          <w:rFonts w:hint="eastAsia"/>
        </w:rPr>
      </w:r>
      <w:r/>
    </w:p>
    <w:p>
      <w:pPr>
        <w:pStyle w:val="971"/>
        <w:keepLines w:val="0"/>
        <w:keepNext w:val="0"/>
        <w:pageBreakBefore w:val="0"/>
        <w:spacing w:line="288" w:lineRule="auto"/>
        <w:widowControl w:val="off"/>
        <w:rPr>
          <w:rFonts w:hint="eastAsia"/>
        </w:rPr>
      </w:pPr>
      <w:r>
        <w:rPr>
          <w:rFonts w:hint="eastAsia"/>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t xml:space="preserve">第六章  </w:t>
      </w:r>
      <w:bookmarkEnd w:id="19"/>
      <w:r/>
      <w:bookmarkEnd w:id="20"/>
      <w:r/>
      <w:bookmarkEnd w:id="21"/>
      <w:r>
        <w:rPr>
          <w:rFonts w:hint="eastAsia" w:ascii="方正小标宋简体" w:hAnsi="方正小标宋简体" w:eastAsia="方正小标宋简体" w:cs="方正小标宋简体"/>
          <w:color w:val="000000"/>
          <w:sz w:val="36"/>
          <w:szCs w:val="36"/>
          <w:lang w:val="en-US" w:eastAsia="zh-CN"/>
        </w:rPr>
        <w:t xml:space="preserve">响应文件格式</w:t>
      </w:r>
      <w:r/>
    </w:p>
    <w:p>
      <w:pPr>
        <w:jc w:val="center"/>
        <w:rPr>
          <w:rFonts w:hint="eastAsia" w:ascii="宋体" w:hAnsi="宋体"/>
          <w:b/>
          <w:sz w:val="72"/>
          <w:szCs w:val="21"/>
        </w:rPr>
      </w:pPr>
      <w:r/>
      <w:bookmarkStart w:id="28" w:name="_Hlt26955039"/>
      <w:r/>
      <w:bookmarkEnd w:id="28"/>
      <w:r/>
      <w:bookmarkStart w:id="29" w:name="_Hlt26671244"/>
      <w:r/>
      <w:bookmarkEnd w:id="29"/>
      <w:r/>
      <w:bookmarkStart w:id="30" w:name="_Toc120614282"/>
      <w:r/>
      <w:bookmarkStart w:id="31" w:name="_Toc49090576"/>
      <w:r/>
      <w:bookmarkStart w:id="32" w:name="_Toc26554094"/>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ascii="宋体" w:hAnsi="宋体" w:eastAsia="宋体"/>
          <w:b/>
          <w:sz w:val="36"/>
          <w:szCs w:val="21"/>
          <w:lang w:val="en-US" w:eastAsia="zh-CN"/>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p>
    <w:p>
      <w:pPr>
        <w:ind w:firstLine="1084"/>
        <w:rPr>
          <w:rFonts w:ascii="宋体" w:hAnsi="宋体" w:eastAsia="宋体"/>
          <w:b/>
          <w:sz w:val="36"/>
          <w:szCs w:val="21"/>
          <w:u w:val="single"/>
          <w:lang w:val="en-US" w:eastAsia="zh-CN"/>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p>
    <w:p>
      <w:pPr>
        <w:rPr>
          <w:rFonts w:ascii="宋体" w:hAnsi="宋体" w:eastAsia="宋体"/>
          <w:b/>
          <w:sz w:val="36"/>
          <w:szCs w:val="21"/>
          <w:u w:val="single"/>
          <w:lang w:val="en-US" w:eastAsia="zh-CN"/>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w:t>
      </w:r>
      <w:r>
        <w:rPr>
          <w:rFonts w:hint="eastAsia" w:ascii="宋体" w:hAnsi="宋体"/>
          <w:b/>
          <w:sz w:val="36"/>
          <w:szCs w:val="21"/>
          <w:u w:val="single"/>
          <w:lang w:val="en-US" w:eastAsia="zh-CN"/>
        </w:rPr>
        <w:t xml:space="preserve">   </w:t>
      </w:r>
      <w:r/>
    </w:p>
    <w:p>
      <w:pPr>
        <w:rPr>
          <w:rFonts w:ascii="宋体" w:hAnsi="宋体" w:eastAsia="宋体"/>
          <w:b/>
          <w:sz w:val="36"/>
          <w:szCs w:val="21"/>
          <w:u w:val="single"/>
          <w:lang w:val="en-US" w:eastAsia="zh-CN"/>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szCs w:val="21"/>
        </w:rPr>
      </w:pPr>
      <w:r>
        <w:rPr>
          <w:rFonts w:ascii="宋体" w:hAnsi="宋体"/>
          <w:szCs w:val="21"/>
        </w:rPr>
      </w:r>
      <w:r/>
    </w:p>
    <w:p>
      <w:pPr>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val="en-US" w:eastAsia="zh-CN"/>
        </w:rPr>
        <w:t xml:space="preserve">一、</w:t>
      </w:r>
      <w:r>
        <w:rPr>
          <w:rFonts w:hint="eastAsia" w:ascii="宋体" w:hAnsi="宋体" w:eastAsia="宋体" w:cs="宋体"/>
          <w:b w:val="0"/>
          <w:bCs w:val="0"/>
          <w:i w:val="0"/>
          <w:sz w:val="28"/>
          <w:szCs w:val="28"/>
          <w:u w:val="none"/>
          <w:lang w:val="en-US"/>
        </w:rPr>
        <w:t xml:space="preserve">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二</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u w:val="none"/>
          <w:lang w:val="en-US" w:eastAsia="zh-CN"/>
        </w:rPr>
        <w:t xml:space="preserve">满足</w:t>
      </w:r>
      <w:r>
        <w:rPr>
          <w:rFonts w:hint="eastAsia" w:ascii="宋体" w:hAnsi="宋体" w:eastAsia="宋体" w:cs="宋体"/>
          <w:b w:val="0"/>
          <w:bCs w:val="0"/>
          <w:i w:val="0"/>
          <w:sz w:val="28"/>
          <w:szCs w:val="28"/>
          <w:u w:val="none"/>
        </w:rPr>
        <w:t xml:space="preserve">特定资格要求的证明文件</w:t>
      </w:r>
      <w:r>
        <w:rPr>
          <w:rFonts w:hint="eastAsia" w:ascii="宋体" w:hAnsi="宋体" w:eastAsia="宋体" w:cs="宋体"/>
          <w:b w:val="0"/>
          <w:bCs w:val="0"/>
          <w:i w:val="0"/>
          <w:sz w:val="28"/>
          <w:szCs w:val="28"/>
          <w:u w:val="none"/>
          <w:lang w:val="en-US" w:eastAsia="zh-CN"/>
        </w:rPr>
        <w:t xml:space="preserve">（如有特定资格要求）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三</w:t>
      </w:r>
      <w:r>
        <w:rPr>
          <w:rFonts w:hint="eastAsia" w:ascii="宋体" w:hAnsi="宋体" w:eastAsia="宋体" w:cs="宋体"/>
          <w:b w:val="0"/>
          <w:bCs w:val="0"/>
          <w:i w:val="0"/>
          <w:sz w:val="28"/>
          <w:szCs w:val="28"/>
          <w:u w:val="none"/>
        </w:rPr>
        <w:t xml:space="preserve">、法人授权书</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四</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u w:val="none"/>
          <w:lang w:val="en-US" w:eastAsia="zh-CN"/>
        </w:rPr>
        <w:t xml:space="preserve">磋商响应</w:t>
      </w:r>
      <w:r>
        <w:rPr>
          <w:rFonts w:hint="eastAsia" w:ascii="宋体" w:hAnsi="宋体" w:eastAsia="宋体" w:cs="宋体"/>
          <w:b w:val="0"/>
          <w:bCs w:val="0"/>
          <w:i w:val="0"/>
          <w:sz w:val="28"/>
          <w:szCs w:val="28"/>
          <w:u w:val="none"/>
        </w:rPr>
        <w:t xml:space="preserve">函</w:t>
      </w:r>
      <w:r/>
    </w:p>
    <w:p>
      <w:pPr>
        <w:ind w:firstLine="560"/>
        <w:keepLines w:val="0"/>
        <w:keepNext w:val="0"/>
        <w:pageBreakBefore w:val="0"/>
        <w:spacing w:line="600" w:lineRule="exact"/>
        <w:widowControl w:val="off"/>
        <w:rPr>
          <w:rFonts w:ascii="宋体" w:hAnsi="宋体" w:eastAsia="宋体" w:cs="宋体"/>
          <w:b w:val="0"/>
          <w:bCs w:val="0"/>
          <w:i w:val="0"/>
          <w:sz w:val="28"/>
          <w:szCs w:val="28"/>
          <w:u w:val="none"/>
          <w:lang w:val="en-US" w:eastAsia="zh-CN"/>
        </w:rPr>
      </w:pPr>
      <w:r>
        <w:rPr>
          <w:rFonts w:ascii="宋体" w:hAnsi="宋体" w:eastAsia="宋体" w:cs="宋体"/>
          <w:b w:val="0"/>
          <w:bCs w:val="0"/>
          <w:i w:val="0"/>
          <w:sz w:val="28"/>
          <w:szCs w:val="28"/>
          <w:u w:val="none"/>
          <w:lang w:eastAsia="zh-CN"/>
        </w:rPr>
        <w:t xml:space="preserve">五、</w:t>
      </w:r>
      <w:r>
        <w:rPr>
          <w:rFonts w:hint="eastAsia" w:ascii="宋体" w:hAnsi="宋体" w:eastAsia="宋体" w:cs="宋体"/>
          <w:b w:val="0"/>
          <w:bCs w:val="0"/>
          <w:i w:val="0"/>
          <w:sz w:val="28"/>
          <w:szCs w:val="28"/>
          <w:u w:val="none"/>
          <w:lang w:val="en-US" w:eastAsia="zh-CN"/>
        </w:rPr>
        <w:t xml:space="preserve">磋商报价表</w:t>
      </w:r>
      <w:r/>
    </w:p>
    <w:p>
      <w:pPr>
        <w:ind w:firstLine="560"/>
        <w:keepLines w:val="0"/>
        <w:keepNext w:val="0"/>
        <w:pageBreakBefore w:val="0"/>
        <w:spacing w:line="600" w:lineRule="exact"/>
        <w:widowControl w:val="off"/>
        <w:rPr>
          <w:rFonts w:ascii="宋体" w:hAnsi="宋体" w:eastAsia="宋体" w:cs="宋体"/>
          <w:b w:val="0"/>
          <w:bCs w:val="0"/>
          <w:i w:val="0"/>
          <w:sz w:val="28"/>
          <w:szCs w:val="28"/>
          <w:u w:val="none"/>
          <w:lang w:eastAsia="zh-CN"/>
        </w:rPr>
      </w:pPr>
      <w:r>
        <w:rPr>
          <w:rFonts w:ascii="宋体" w:hAnsi="宋体" w:eastAsia="宋体" w:cs="宋体"/>
          <w:b w:val="0"/>
          <w:bCs w:val="0"/>
          <w:i w:val="0"/>
          <w:sz w:val="28"/>
          <w:szCs w:val="28"/>
          <w:u w:val="none"/>
          <w:lang w:eastAsia="zh-CN"/>
        </w:rPr>
        <w:t xml:space="preserve">六</w:t>
      </w:r>
      <w:r>
        <w:rPr>
          <w:rFonts w:hint="eastAsia" w:ascii="宋体" w:hAnsi="宋体" w:eastAsia="宋体" w:cs="宋体"/>
          <w:b w:val="0"/>
          <w:bCs w:val="0"/>
          <w:i w:val="0"/>
          <w:sz w:val="28"/>
          <w:szCs w:val="28"/>
          <w:u w:val="none"/>
        </w:rPr>
        <w:t xml:space="preserve">、分项报价表</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p>
    <w:p>
      <w:pPr>
        <w:ind w:firstLine="560"/>
        <w:keepLines w:val="0"/>
        <w:keepNext w:val="0"/>
        <w:pageBreakBefore w:val="0"/>
        <w:spacing w:line="600" w:lineRule="exact"/>
        <w:widowControl w:val="off"/>
        <w:rPr>
          <w:rFonts w:ascii="宋体" w:hAnsi="宋体"/>
          <w:sz w:val="24"/>
        </w:rPr>
      </w:pPr>
      <w:r>
        <w:rPr>
          <w:rFonts w:hint="eastAsia" w:ascii="宋体" w:hAnsi="宋体" w:eastAsia="宋体" w:cs="宋体"/>
          <w:sz w:val="28"/>
          <w:szCs w:val="28"/>
          <w:lang w:eastAsia="zh-CN"/>
        </w:rPr>
        <w:t xml:space="preserve">七</w:t>
      </w:r>
      <w:r>
        <w:rPr>
          <w:rFonts w:hint="eastAsia" w:ascii="宋体" w:hAnsi="宋体" w:eastAsia="宋体" w:cs="宋体"/>
          <w:sz w:val="28"/>
          <w:szCs w:val="28"/>
        </w:rPr>
        <w:t xml:space="preserve">、</w:t>
      </w:r>
      <w:r>
        <w:rPr>
          <w:rFonts w:hint="eastAsia" w:ascii="宋体" w:hAnsi="宋体" w:eastAsia="宋体" w:cs="宋体"/>
          <w:b w:val="0"/>
          <w:bCs w:val="0"/>
          <w:iCs w:val="0"/>
          <w:sz w:val="28"/>
          <w:szCs w:val="28"/>
        </w:rPr>
        <w:t xml:space="preserve">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lang w:eastAsia="zh-CN"/>
        </w:rPr>
        <w:t xml:space="preserve">八</w:t>
      </w:r>
      <w:r>
        <w:rPr>
          <w:rFonts w:hint="eastAsia" w:ascii="宋体" w:hAnsi="宋体" w:eastAsia="宋体" w:cs="宋体"/>
          <w:b w:val="0"/>
          <w:bCs w:val="0"/>
          <w:iCs w:val="0"/>
          <w:sz w:val="28"/>
          <w:szCs w:val="28"/>
        </w:rPr>
        <w:t xml:space="preserve">、商务要求响应及偏离表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lang w:eastAsia="zh-CN"/>
        </w:rPr>
        <w:t xml:space="preserve">九</w:t>
      </w:r>
      <w:r>
        <w:rPr>
          <w:rFonts w:hint="eastAsia" w:ascii="宋体" w:hAnsi="宋体" w:eastAsia="宋体" w:cs="宋体"/>
          <w:b w:val="0"/>
          <w:bCs w:val="0"/>
          <w:iCs w:val="0"/>
          <w:sz w:val="28"/>
          <w:szCs w:val="28"/>
        </w:rPr>
        <w:t xml:space="preserve">、</w:t>
      </w:r>
      <w:r>
        <w:rPr>
          <w:rFonts w:hint="eastAsia" w:ascii="宋体" w:hAnsi="宋体" w:eastAsia="宋体" w:cs="宋体"/>
          <w:b w:val="0"/>
          <w:bCs w:val="0"/>
          <w:i w:val="0"/>
          <w:sz w:val="28"/>
          <w:szCs w:val="28"/>
          <w:u w:val="none"/>
          <w:lang w:val="en-US" w:eastAsia="zh-CN"/>
        </w:rPr>
        <w:t xml:space="preserve">中</w:t>
      </w:r>
      <w:r>
        <w:rPr>
          <w:rFonts w:hint="eastAsia" w:ascii="宋体" w:hAnsi="宋体" w:eastAsia="宋体" w:cs="宋体"/>
          <w:b w:val="0"/>
          <w:bCs w:val="0"/>
          <w:i w:val="0"/>
          <w:sz w:val="28"/>
          <w:szCs w:val="28"/>
          <w:u w:val="none"/>
        </w:rPr>
        <w:t xml:space="preserve">小企业声明函</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val="en-US" w:eastAsia="zh-CN"/>
        </w:rPr>
        <w:t xml:space="preserve">十、</w:t>
      </w:r>
      <w:r>
        <w:rPr>
          <w:rFonts w:hint="eastAsia" w:ascii="宋体" w:hAnsi="宋体" w:eastAsia="宋体" w:cs="宋体"/>
          <w:b w:val="0"/>
          <w:bCs w:val="0"/>
          <w:i w:val="0"/>
          <w:sz w:val="28"/>
          <w:szCs w:val="28"/>
          <w:u w:val="none"/>
        </w:rPr>
        <w:t xml:space="preserve">残疾人福利性单位声明函</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eastAsia="zh-CN"/>
        </w:rPr>
        <w:t xml:space="preserve">十一</w:t>
      </w:r>
      <w:r>
        <w:rPr>
          <w:rFonts w:hint="eastAsia" w:ascii="宋体" w:hAnsi="宋体" w:eastAsia="宋体" w:cs="宋体"/>
          <w:b w:val="0"/>
          <w:bCs w:val="0"/>
          <w:i w:val="0"/>
          <w:sz w:val="28"/>
          <w:szCs w:val="28"/>
          <w:u w:val="none"/>
        </w:rPr>
        <w:t xml:space="preserve">、联合体协议</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十二、分包承诺书（如有）</w:t>
      </w:r>
      <w:r/>
    </w:p>
    <w:p>
      <w:pPr>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br w:type="page" w:clear="all"/>
      </w:r>
      <w:r>
        <w:rPr>
          <w:rFonts w:hint="eastAsia" w:ascii="黑体" w:hAnsi="黑体" w:eastAsia="黑体" w:cs="Times New Roman"/>
          <w:i w:val="0"/>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南京市公共资源交易中心浦口分中心</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p>
    <w:p>
      <w:pPr>
        <w:ind w:firstLine="492"/>
        <w:spacing w:line="460" w:lineRule="exact"/>
        <w:rPr>
          <w:color w:val="000000"/>
          <w:sz w:val="24"/>
          <w:szCs w:val="24"/>
        </w:rPr>
      </w:pPr>
      <w:r>
        <w:rPr>
          <w:color w:val="000000"/>
          <w:sz w:val="24"/>
          <w:szCs w:val="24"/>
        </w:rPr>
      </w:r>
      <w:r/>
    </w:p>
    <w:p>
      <w:pPr>
        <w:pStyle w:val="999"/>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lang w:eastAsia="zh-CN"/>
        </w:rPr>
      </w:pPr>
      <w:r>
        <w:rPr>
          <w:rFonts w:hint="eastAsia" w:ascii="宋体" w:hAnsi="宋体"/>
          <w:sz w:val="24"/>
          <w:szCs w:val="24"/>
          <w:lang w:eastAsia="zh-CN"/>
        </w:rPr>
      </w:r>
      <w:r/>
    </w:p>
    <w:p>
      <w:pPr>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spacing w:line="440" w:lineRule="exact"/>
        <w:rPr>
          <w:rFonts w:hint="eastAsia" w:ascii="宋体" w:hAnsi="宋体"/>
          <w:b/>
          <w:bCs/>
          <w:sz w:val="21"/>
          <w:szCs w:val="21"/>
          <w:lang w:eastAsia="zh-CN"/>
        </w:rPr>
      </w:pPr>
      <w:r>
        <w:rPr>
          <w:rFonts w:hint="eastAsia" w:ascii="宋体" w:hAnsi="宋体"/>
          <w:b/>
          <w:bCs/>
          <w:sz w:val="21"/>
          <w:szCs w:val="21"/>
          <w:lang w:eastAsia="zh-CN"/>
        </w:rPr>
      </w:r>
      <w:r/>
    </w:p>
    <w:p>
      <w:pPr>
        <w:pStyle w:val="971"/>
        <w:rPr>
          <w:rFonts w:hint="eastAsia"/>
        </w:rPr>
      </w:pPr>
      <w:r>
        <w:rPr>
          <w:rFonts w:hint="eastAsia"/>
        </w:rPr>
      </w:r>
      <w:bookmarkEnd w:id="30"/>
      <w:r/>
      <w:bookmarkEnd w:id="31"/>
      <w:r/>
      <w:bookmarkEnd w:id="32"/>
      <w:r/>
      <w:r/>
    </w:p>
    <w:p>
      <w:pPr>
        <w:rPr>
          <w:rFonts w:hint="eastAsia" w:ascii="黑体" w:hAnsi="黑体" w:eastAsia="黑体" w:cs="Times New Roman"/>
          <w:i w:val="0"/>
          <w:color w:val="000000"/>
          <w:sz w:val="32"/>
          <w:szCs w:val="32"/>
          <w:u w:val="none"/>
          <w:lang w:val="en-US" w:eastAsia="zh-CN"/>
        </w:rPr>
      </w:pPr>
      <w:r/>
      <w:bookmarkStart w:id="33" w:name="_Toc120614284"/>
      <w:r>
        <w:rPr>
          <w:rFonts w:hint="eastAsia" w:ascii="黑体" w:hAnsi="黑体" w:eastAsia="黑体" w:cs="Times New Roman"/>
          <w:i w:val="0"/>
          <w:color w:val="000000"/>
          <w:sz w:val="32"/>
          <w:szCs w:val="32"/>
          <w:u w:val="none"/>
          <w:lang w:val="en-US" w:eastAsia="zh-CN"/>
        </w:rPr>
        <w:t xml:space="preserve">二、特定资格要求的证明文件</w:t>
      </w:r>
      <w:r/>
    </w:p>
    <w:p>
      <w:pPr>
        <w:spacing w:line="460" w:lineRule="exact"/>
        <w:rPr>
          <w:rFonts w:hint="eastAsia" w:ascii="宋体" w:hAnsi="宋体"/>
          <w:bCs/>
          <w:sz w:val="24"/>
          <w:szCs w:val="21"/>
        </w:rPr>
      </w:pPr>
      <w:r>
        <w:rPr>
          <w:rFonts w:hint="eastAsia" w:ascii="宋体" w:hAnsi="宋体"/>
          <w:sz w:val="24"/>
          <w:szCs w:val="21"/>
        </w:rPr>
        <w:t xml:space="preserve">  本项目申请人的特定资格要求中要求提供的</w:t>
      </w:r>
      <w:r>
        <w:rPr>
          <w:rFonts w:hint="eastAsia" w:ascii="宋体" w:hAnsi="宋体"/>
          <w:sz w:val="24"/>
          <w:szCs w:val="21"/>
          <w:lang w:val="en-US" w:eastAsia="zh-CN"/>
        </w:rPr>
        <w:t xml:space="preserve">材料</w:t>
      </w:r>
      <w:r>
        <w:rPr>
          <w:rFonts w:hint="eastAsia" w:ascii="宋体" w:hAnsi="宋体"/>
          <w:sz w:val="24"/>
          <w:szCs w:val="21"/>
        </w:rPr>
        <w:t xml:space="preserve">。</w:t>
      </w:r>
      <w:r/>
    </w:p>
    <w:p>
      <w:pPr>
        <w:spacing w:line="460" w:lineRule="exact"/>
        <w:rPr>
          <w:rFonts w:hint="eastAsia" w:ascii="宋体" w:hAnsi="宋体"/>
          <w:bCs/>
          <w:sz w:val="24"/>
          <w:szCs w:val="21"/>
        </w:rPr>
      </w:pPr>
      <w:r>
        <w:rPr>
          <w:rFonts w:hint="eastAsia" w:ascii="宋体" w:hAnsi="宋体"/>
          <w:bCs/>
          <w:sz w:val="24"/>
          <w:szCs w:val="21"/>
        </w:rPr>
      </w:r>
      <w:r/>
    </w:p>
    <w:p>
      <w:pPr>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三、法人授权书</w:t>
      </w:r>
      <w:r/>
    </w:p>
    <w:p>
      <w:pPr>
        <w:jc w:val="center"/>
        <w:spacing w:line="360" w:lineRule="auto"/>
        <w:rPr>
          <w:rFonts w:hint="eastAsia" w:ascii="方正小标宋简体" w:hAnsi="方正小标宋简体" w:eastAsia="方正小标宋简体" w:cs="方正小标宋简体"/>
          <w:color w:val="000000"/>
          <w:sz w:val="32"/>
          <w:szCs w:val="32"/>
          <w:lang w:val="zh-CN" w:eastAsia="zh-CN"/>
        </w:rPr>
        <w:outlineLvl w:val="0"/>
      </w:pPr>
      <w:r>
        <w:rPr>
          <w:rFonts w:hint="eastAsia" w:ascii="方正小标宋简体" w:hAnsi="方正小标宋简体" w:eastAsia="方正小标宋简体" w:cs="方正小标宋简体"/>
          <w:color w:val="000000"/>
          <w:sz w:val="32"/>
          <w:szCs w:val="32"/>
          <w:lang w:val="zh-CN" w:eastAsia="zh-CN"/>
        </w:rPr>
        <w:t xml:space="preserve">法人授权书</w:t>
      </w:r>
      <w:r/>
    </w:p>
    <w:p>
      <w:pPr>
        <w:pStyle w:val="972"/>
        <w:ind w:firstLine="480"/>
        <w:keepLines w:val="0"/>
        <w:keepNext w:val="0"/>
        <w:pageBreakBefore w:val="0"/>
        <w:spacing w:line="480" w:lineRule="auto"/>
        <w:widowControl w:val="off"/>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w:t>
      </w:r>
      <w:r>
        <w:rPr>
          <w:rFonts w:hint="eastAsia"/>
          <w:sz w:val="24"/>
          <w:szCs w:val="24"/>
          <w:lang w:eastAsia="zh-CN"/>
        </w:rPr>
        <w:t xml:space="preserve">供应商</w:t>
      </w:r>
      <w:r>
        <w:rPr>
          <w:rFonts w:hint="eastAsia"/>
          <w:sz w:val="24"/>
          <w:szCs w:val="24"/>
        </w:rPr>
        <w:t xml:space="preserve">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（被授权人的姓名）</w:t>
      </w:r>
      <w:r>
        <w:rPr>
          <w:rFonts w:hint="eastAsia"/>
          <w:sz w:val="24"/>
          <w:szCs w:val="24"/>
          <w:lang w:val="en-US" w:eastAsia="zh-CN"/>
        </w:rPr>
        <w:t xml:space="preserve">作</w:t>
      </w:r>
      <w:r>
        <w:rPr>
          <w:rFonts w:hint="eastAsia"/>
          <w:sz w:val="24"/>
          <w:szCs w:val="24"/>
        </w:rPr>
        <w:t xml:space="preserve">为我方就</w:t>
      </w:r>
      <w:r>
        <w:rPr>
          <w:rFonts w:hint="eastAsia"/>
          <w:sz w:val="24"/>
          <w:szCs w:val="24"/>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sz w:val="24"/>
          <w:szCs w:val="24"/>
        </w:rPr>
        <w:t xml:space="preserve">项目采购活动的合法代理人，以本单位名义全权处理一切与该项目采购有关的事务。</w:t>
      </w:r>
      <w:r/>
    </w:p>
    <w:p>
      <w:pPr>
        <w:pStyle w:val="972"/>
        <w:ind w:firstLine="480"/>
        <w:keepLines w:val="0"/>
        <w:keepNext w:val="0"/>
        <w:pageBreakBefore w:val="0"/>
        <w:spacing w:line="480" w:lineRule="auto"/>
        <w:widowControl w:val="off"/>
        <w:rPr>
          <w:rFonts w:hint="eastAsia"/>
          <w:sz w:val="24"/>
          <w:szCs w:val="24"/>
        </w:rPr>
      </w:pPr>
      <w:r>
        <w:rPr>
          <w:rFonts w:hint="eastAsia"/>
          <w:sz w:val="24"/>
          <w:szCs w:val="24"/>
        </w:rPr>
        <w:t xml:space="preserve">本授权书于______年____月____日起生效，特此声明。</w:t>
      </w:r>
      <w:r/>
    </w:p>
    <w:p>
      <w:pPr>
        <w:pStyle w:val="972"/>
        <w:ind w:firstLine="0"/>
        <w:keepLines w:val="0"/>
        <w:keepNext w:val="0"/>
        <w:pageBreakBefore w:val="0"/>
        <w:spacing w:line="480" w:lineRule="auto"/>
        <w:widowControl w:val="off"/>
        <w:rPr>
          <w:rFonts w:hint="eastAsia"/>
          <w:sz w:val="24"/>
          <w:szCs w:val="24"/>
          <w:u w:val="single"/>
        </w:rPr>
      </w:pPr>
      <w:r>
        <w:rPr>
          <w:rFonts w:hint="eastAsia"/>
          <w:sz w:val="24"/>
          <w:szCs w:val="24"/>
        </w:rPr>
        <w:t xml:space="preserve">    被授权人身份证号码：</w:t>
      </w:r>
      <w:r/>
    </w:p>
    <w:p>
      <w:pPr>
        <w:pStyle w:val="972"/>
        <w:ind w:firstLine="480"/>
        <w:keepLines w:val="0"/>
        <w:keepNext w:val="0"/>
        <w:pageBreakBefore w:val="0"/>
        <w:spacing w:line="480" w:lineRule="auto"/>
        <w:widowControl w:val="off"/>
        <w:rPr>
          <w:rFonts w:hint="eastAsia" w:ascii="宋体" w:hAnsi="宋体" w:eastAsia="宋体" w:cs="宋体"/>
          <w:sz w:val="24"/>
          <w:szCs w:val="24"/>
          <w:u w:val="single"/>
        </w:rPr>
      </w:pPr>
      <w:r>
        <w:rPr>
          <w:rFonts w:hint="eastAsia"/>
          <w:sz w:val="24"/>
          <w:szCs w:val="24"/>
        </w:rPr>
        <w:t xml:space="preserve">被授权人联系电话：（手机）</w:t>
      </w:r>
      <w:r/>
    </w:p>
    <w:p>
      <w:pPr>
        <w:pStyle w:val="972"/>
        <w:ind w:firstLine="480"/>
        <w:keepLines w:val="0"/>
        <w:keepNext w:val="0"/>
        <w:pageBreakBefore w:val="0"/>
        <w:spacing w:line="480" w:lineRule="auto"/>
        <w:widowControl w:val="off"/>
        <w:rPr>
          <w:rFonts w:eastAsia="宋体"/>
          <w:sz w:val="24"/>
          <w:szCs w:val="24"/>
          <w:lang w:val="en-US" w:eastAsia="zh-CN"/>
        </w:rPr>
      </w:pPr>
      <w:r>
        <w:rPr>
          <w:rFonts w:hint="eastAsia"/>
          <w:sz w:val="24"/>
          <w:szCs w:val="24"/>
          <w:lang w:val="en-US" w:eastAsia="zh-CN"/>
        </w:rPr>
        <w:t xml:space="preserve">授权单位</w:t>
      </w:r>
      <w:r>
        <w:rPr>
          <w:rFonts w:hint="eastAsia"/>
          <w:sz w:val="24"/>
          <w:szCs w:val="24"/>
        </w:rPr>
        <w:t xml:space="preserve">名称：</w:t>
      </w:r>
      <w:r>
        <w:rPr>
          <w:rFonts w:hint="eastAsia" w:ascii="宋体" w:hAnsi="宋体" w:eastAsia="宋体" w:cs="宋体"/>
          <w:sz w:val="24"/>
          <w:szCs w:val="24"/>
          <w:u w:val="none"/>
        </w:rPr>
        <w:t xml:space="preserve">（加盖电子公章）</w:t>
      </w:r>
      <w:r/>
    </w:p>
    <w:p>
      <w:pPr>
        <w:pStyle w:val="972"/>
        <w:ind w:firstLine="480"/>
        <w:keepLines w:val="0"/>
        <w:keepNext w:val="0"/>
        <w:pageBreakBefore w:val="0"/>
        <w:spacing w:line="480" w:lineRule="auto"/>
        <w:widowControl w:val="off"/>
        <w:rPr>
          <w:rFonts w:hint="eastAsia"/>
          <w:sz w:val="24"/>
          <w:szCs w:val="24"/>
          <w:u w:val="single"/>
        </w:rPr>
      </w:pPr>
      <w:r>
        <w:rPr>
          <w:rFonts w:hint="eastAsia"/>
          <w:sz w:val="24"/>
          <w:szCs w:val="24"/>
        </w:rPr>
        <w:t xml:space="preserve">单位地址：</w:t>
      </w:r>
      <w:r/>
    </w:p>
    <w:p>
      <w:pPr>
        <w:pStyle w:val="972"/>
        <w:ind w:firstLine="480"/>
        <w:keepLines w:val="0"/>
        <w:keepNext w:val="0"/>
        <w:pageBreakBefore w:val="0"/>
        <w:spacing w:line="480" w:lineRule="auto"/>
        <w:widowControl w:val="off"/>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34" w:name="_格式3__银行出具的资信证明"/>
      <w:r/>
      <w:bookmarkEnd w:id="34"/>
      <w:r/>
      <w:bookmarkStart w:id="35" w:name="_Hlt26955070"/>
      <w:r/>
      <w:bookmarkEnd w:id="35"/>
      <w:r/>
      <w:bookmarkStart w:id="36" w:name="_Hlt26671380"/>
      <w:r/>
      <w:bookmarkEnd w:id="36"/>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四、磋商响应函</w:t>
      </w:r>
      <w:r/>
    </w:p>
    <w:p>
      <w:pPr>
        <w:jc w:val="center"/>
        <w:spacing w:line="360" w:lineRule="auto"/>
        <w:rPr>
          <w:rFonts w:hint="eastAsia" w:ascii="方正小标宋简体" w:hAnsi="方正小标宋简体" w:eastAsia="方正小标宋简体" w:cs="方正小标宋简体"/>
          <w:color w:val="000000"/>
          <w:sz w:val="32"/>
          <w:szCs w:val="32"/>
          <w:lang w:val="zh-CN"/>
        </w:rPr>
        <w:outlineLvl w:val="0"/>
      </w:pPr>
      <w:r>
        <w:rPr>
          <w:rFonts w:hint="eastAsia" w:ascii="方正小标宋简体" w:hAnsi="方正小标宋简体" w:eastAsia="方正小标宋简体" w:cs="方正小标宋简体"/>
          <w:color w:val="000000"/>
          <w:sz w:val="32"/>
          <w:szCs w:val="32"/>
          <w:lang w:val="en-US" w:eastAsia="zh-CN"/>
        </w:rPr>
        <w:t xml:space="preserve">磋商响应函</w:t>
      </w:r>
      <w:r/>
    </w:p>
    <w:p>
      <w:pPr>
        <w:jc w:val="left"/>
        <w:keepLines w:val="0"/>
        <w:keepNext w:val="0"/>
        <w:pageBreakBefore w:val="0"/>
        <w:spacing w:line="360" w:lineRule="auto"/>
        <w:widowControl w:val="off"/>
        <w:rPr>
          <w:rFonts w:hint="eastAsia" w:ascii="宋体" w:hAnsi="宋体" w:eastAsia="宋体"/>
          <w:sz w:val="24"/>
          <w:szCs w:val="21"/>
          <w:lang w:eastAsia="zh-CN"/>
        </w:rPr>
      </w:pPr>
      <w:r>
        <w:rPr>
          <w:rFonts w:hint="eastAsia" w:ascii="宋体" w:hAnsi="宋体"/>
          <w:sz w:val="24"/>
          <w:szCs w:val="21"/>
        </w:rPr>
        <w:t xml:space="preserve">致：</w:t>
      </w:r>
      <w:r>
        <w:rPr>
          <w:rFonts w:hint="eastAsia" w:ascii="宋体" w:hAnsi="宋体"/>
          <w:sz w:val="24"/>
          <w:szCs w:val="21"/>
          <w:lang w:eastAsia="zh-CN"/>
        </w:rPr>
        <w:t xml:space="preserve">南京市公共资源交易中心浦口分中心</w:t>
      </w:r>
      <w:r/>
    </w:p>
    <w:p>
      <w:pPr>
        <w:pStyle w:val="976"/>
        <w:ind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eastAsia="宋体"/>
          <w:szCs w:val="21"/>
          <w:lang w:eastAsia="zh-CN"/>
        </w:rPr>
        <w:t xml:space="preserve">磋商</w:t>
      </w:r>
      <w:r>
        <w:rPr>
          <w:rFonts w:hint="eastAsia" w:ascii="宋体" w:hAnsi="宋体"/>
          <w:szCs w:val="21"/>
        </w:rPr>
        <w:t xml:space="preserve">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交磋商响应函，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p>
    <w:p>
      <w:pPr>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1.按磋商文件规定的各项要求</w:t>
      </w:r>
      <w:r>
        <w:rPr>
          <w:rFonts w:hint="eastAsia" w:ascii="宋体" w:hAnsi="宋体"/>
          <w:sz w:val="24"/>
          <w:szCs w:val="21"/>
          <w:lang w:eastAsia="zh-CN"/>
        </w:rPr>
        <w:t xml:space="preserve">，</w:t>
      </w:r>
      <w:r>
        <w:rPr>
          <w:rFonts w:hint="eastAsia" w:ascii="宋体" w:hAnsi="宋体"/>
          <w:sz w:val="24"/>
          <w:szCs w:val="21"/>
        </w:rPr>
        <w:t xml:space="preserve">向买方提供所需服务（包含与货物相关的服务及与服务相关的货物）。</w:t>
      </w:r>
      <w:r/>
    </w:p>
    <w:p>
      <w:pPr>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3.我们已详细审核全部磋商文件及其有效补充文件</w:t>
      </w:r>
      <w:r>
        <w:rPr>
          <w:rFonts w:hint="eastAsia" w:ascii="宋体" w:hAnsi="宋体"/>
          <w:sz w:val="24"/>
          <w:szCs w:val="21"/>
          <w:lang w:eastAsia="zh-CN"/>
        </w:rPr>
        <w:t xml:space="preserve">，</w:t>
      </w:r>
      <w:r>
        <w:rPr>
          <w:rFonts w:hint="eastAsia" w:ascii="宋体" w:hAnsi="宋体"/>
          <w:sz w:val="24"/>
          <w:szCs w:val="21"/>
        </w:rPr>
        <w:t xml:space="preserve">我们知道必须放弃提出含糊不清或误解问题的权利。</w:t>
      </w:r>
      <w:r/>
    </w:p>
    <w:p>
      <w:pPr>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4.我们同意从规定的</w:t>
      </w:r>
      <w:r>
        <w:rPr>
          <w:rFonts w:hint="eastAsia" w:ascii="宋体" w:hAnsi="宋体"/>
          <w:sz w:val="24"/>
          <w:szCs w:val="21"/>
          <w:lang w:val="en-US" w:eastAsia="zh-CN"/>
        </w:rPr>
        <w:t xml:space="preserve">磋商</w:t>
      </w:r>
      <w:r>
        <w:rPr>
          <w:rFonts w:hint="eastAsia" w:ascii="宋体" w:hAnsi="宋体"/>
          <w:sz w:val="24"/>
          <w:szCs w:val="21"/>
        </w:rPr>
        <w:t xml:space="preserve">日期起遵循本响应文件</w:t>
      </w:r>
      <w:r>
        <w:rPr>
          <w:rFonts w:hint="eastAsia" w:ascii="宋体" w:hAnsi="宋体"/>
          <w:sz w:val="24"/>
          <w:szCs w:val="21"/>
          <w:lang w:eastAsia="zh-CN"/>
        </w:rPr>
        <w:t xml:space="preserve">，</w:t>
      </w:r>
      <w:r>
        <w:rPr>
          <w:rFonts w:hint="eastAsia" w:ascii="宋体" w:hAnsi="宋体"/>
          <w:sz w:val="24"/>
          <w:szCs w:val="21"/>
        </w:rPr>
        <w:t xml:space="preserve">并在规定的磋商有效期期满之前均具有约束力。</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5.同意向贵方提供贵方可能另外要求的与磋商有关的任何证据或资料</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并保证我方已提供和将要提供的文件是真实的、准确的。</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6.一旦我方成交</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我方将根据磋商文件的规定</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严格履行合同的责任和义务,并保证在磋商文件规定的时间完成项目</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交付买方验收、使用。</w:t>
      </w:r>
      <w:r/>
    </w:p>
    <w:p>
      <w:pPr>
        <w:ind w:firstLine="480"/>
        <w:jc w:val="left"/>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lang w:val="en-US" w:eastAsia="zh-CN"/>
        </w:rPr>
        <w:t xml:space="preserve">8</w:t>
      </w:r>
      <w:r>
        <w:rPr>
          <w:rFonts w:hint="eastAsia" w:ascii="宋体" w:hAnsi="宋体" w:eastAsia="宋体" w:cs="Times New Roman"/>
          <w:sz w:val="24"/>
          <w:szCs w:val="21"/>
        </w:rPr>
        <w:t xml:space="preserve">.我方与本磋商有关的正式通讯地址为：</w:t>
      </w:r>
      <w:r/>
    </w:p>
    <w:p>
      <w:pPr>
        <w:pStyle w:val="976"/>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地  址：</w:t>
      </w:r>
      <w:r/>
    </w:p>
    <w:p>
      <w:pPr>
        <w:pStyle w:val="976"/>
        <w:ind w:left="0" w:firstLine="480"/>
        <w:keepLines w:val="0"/>
        <w:keepNext w:val="0"/>
        <w:pageBreakBefore w:val="0"/>
        <w:spacing w:before="0" w:after="0" w:line="360" w:lineRule="auto"/>
        <w:widowControl w:val="off"/>
        <w:rPr>
          <w:rFonts w:hint="eastAsia" w:ascii="宋体" w:hAnsi="宋体"/>
          <w:szCs w:val="21"/>
          <w:u w:val="none"/>
          <w:lang w:val="en-US" w:eastAsia="zh-CN"/>
        </w:rPr>
      </w:pPr>
      <w:r>
        <w:rPr>
          <w:rFonts w:hint="eastAsia" w:ascii="宋体" w:hAnsi="宋体"/>
          <w:szCs w:val="21"/>
        </w:rPr>
        <w:t xml:space="preserve">邮  编：</w:t>
      </w:r>
      <w:r/>
    </w:p>
    <w:p>
      <w:pPr>
        <w:pStyle w:val="976"/>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电  话：</w:t>
      </w:r>
      <w:r/>
    </w:p>
    <w:p>
      <w:pPr>
        <w:pStyle w:val="976"/>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传  真：</w:t>
      </w:r>
      <w:r/>
    </w:p>
    <w:p>
      <w:pPr>
        <w:pStyle w:val="976"/>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开户行：</w:t>
      </w:r>
      <w:r/>
    </w:p>
    <w:p>
      <w:pPr>
        <w:pStyle w:val="976"/>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账  号：</w:t>
      </w:r>
      <w:r/>
    </w:p>
    <w:p>
      <w:pPr>
        <w:ind w:right="180" w:firstLine="480"/>
        <w:jc w:val="both"/>
        <w:keepLines w:val="0"/>
        <w:keepNext w:val="0"/>
        <w:pageBreakBefore w:val="0"/>
        <w:spacing w:line="360" w:lineRule="auto"/>
        <w:widowControl w:val="off"/>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976"/>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日  期：</w:t>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五、磋商报价表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磋商报价表</w:t>
      </w:r>
      <w:r/>
    </w:p>
    <w:p>
      <w:pPr>
        <w:rPr>
          <w:rFonts w:hint="eastAsia" w:ascii="宋体" w:hAnsi="宋体"/>
          <w:sz w:val="24"/>
          <w:szCs w:val="24"/>
        </w:rPr>
      </w:pPr>
      <w:r>
        <w:rPr>
          <w:rFonts w:hint="eastAsia" w:ascii="宋体" w:hAnsi="宋体"/>
          <w:sz w:val="24"/>
          <w:szCs w:val="24"/>
          <w:lang w:val="en-US" w:eastAsia="zh-CN"/>
        </w:rPr>
        <w:t xml:space="preserve">供应商名称：（加盖电子公章）</w:t>
      </w:r>
      <w:r>
        <w:rPr>
          <w:rFonts w:hint="eastAsia" w:ascii="宋体" w:hAnsi="宋体"/>
          <w:sz w:val="24"/>
          <w:szCs w:val="24"/>
        </w:rPr>
        <w:t xml:space="preserve"> </w:t>
      </w:r>
      <w:r/>
    </w:p>
    <w:p>
      <w:pPr>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分包号：                                 </w:t>
      </w:r>
      <w:r/>
    </w:p>
    <w:tbl>
      <w:tblPr>
        <w:tblStyle w:val="709"/>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总报价</w:t>
            </w:r>
            <w:r/>
          </w:p>
        </w:tc>
      </w:tr>
      <w:tr>
        <w:trPr>
          <w:cantSplit/>
          <w:trHeight w:val="780"/>
        </w:trPr>
        <w:tc>
          <w:tcPr>
            <w:tcW w:w="9748" w:type="dxa"/>
            <w:vAlign w:val="center"/>
            <w:textDirection w:val="lrTb"/>
            <w:noWrap w:val="false"/>
          </w:tcPr>
          <w:p>
            <w:pPr>
              <w:pStyle w:val="976"/>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keepLines w:val="0"/>
        <w:keepNext w:val="0"/>
        <w:pageBreakBefore w:val="0"/>
        <w:spacing w:line="480" w:lineRule="auto"/>
        <w:widowControl w:val="off"/>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971"/>
        <w:rPr>
          <w:rFonts w:hint="eastAsia" w:ascii="黑体" w:hAnsi="黑体" w:eastAsia="黑体"/>
          <w:b/>
          <w:i/>
          <w:sz w:val="32"/>
          <w:szCs w:val="32"/>
          <w:u w:val="single"/>
        </w:rPr>
      </w:pPr>
      <w:r>
        <w:rPr>
          <w:rFonts w:hint="eastAsia" w:ascii="黑体" w:hAnsi="黑体" w:eastAsia="黑体"/>
          <w:b/>
          <w:i/>
          <w:sz w:val="32"/>
          <w:szCs w:val="32"/>
          <w:u w:val="single"/>
        </w:rPr>
      </w:r>
      <w:r/>
    </w:p>
    <w:p>
      <w:pPr>
        <w:rPr>
          <w:rFonts w:hint="eastAsia"/>
        </w:rPr>
      </w:pPr>
      <w:r>
        <w:rPr>
          <w:rFonts w:hint="eastAsia"/>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71"/>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71"/>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71"/>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71"/>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37"/>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37"/>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37"/>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lang w:val="en-US" w:eastAsia="zh-CN"/>
        </w:rPr>
      </w:pPr>
      <w:r>
        <w:rPr>
          <w:rFonts w:hint="eastAsia"/>
          <w:lang w:val="en-US" w:eastAsia="zh-CN"/>
        </w:rPr>
      </w:r>
      <w:r/>
    </w:p>
    <w:p>
      <w:pPr>
        <w:pStyle w:val="971"/>
        <w:ind w:left="0" w:firstLine="0"/>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六、分项报价表</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分项报价表</w:t>
      </w:r>
      <w:r/>
    </w:p>
    <w:tbl>
      <w:tblPr>
        <w:tblStyle w:val="709"/>
        <w:tblW w:w="96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190"/>
        <w:gridCol w:w="1327"/>
        <w:gridCol w:w="1155"/>
        <w:gridCol w:w="1350"/>
        <w:gridCol w:w="1320"/>
        <w:gridCol w:w="1695"/>
      </w:tblGrid>
      <w:tr>
        <w:trPr>
          <w:cantSplit/>
          <w:trHeight w:val="544"/>
        </w:trPr>
        <w:tc>
          <w:tcPr>
            <w:tcW w:w="581"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21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327" w:type="dxa"/>
            <w:vAlign w:val="center"/>
            <w:textDirection w:val="lrTb"/>
            <w:noWrap w:val="false"/>
          </w:tcPr>
          <w:p>
            <w:pPr>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p>
        </w:tc>
        <w:tc>
          <w:tcPr>
            <w:tcW w:w="1155"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p>
        </w:tc>
        <w:tc>
          <w:tcPr>
            <w:tcW w:w="135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p>
        </w:tc>
        <w:tc>
          <w:tcPr>
            <w:tcW w:w="132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p>
        </w:tc>
        <w:tc>
          <w:tcPr>
            <w:tcW w:w="1695" w:type="dxa"/>
            <w:vAlign w:val="center"/>
            <w:textDirection w:val="lrTb"/>
            <w:noWrap w:val="false"/>
          </w:tcPr>
          <w:p>
            <w:pPr>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6</w:t>
            </w:r>
            <w:r/>
          </w:p>
        </w:tc>
      </w:tr>
      <w:tr>
        <w:trPr>
          <w:cantSplit/>
          <w:trHeight w:val="436"/>
        </w:trPr>
        <w:tc>
          <w:tcPr>
            <w:tcW w:w="581"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1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lang w:val="en-US" w:eastAsia="zh-CN"/>
              </w:rPr>
              <w:t xml:space="preserve">分项</w:t>
            </w:r>
            <w:r>
              <w:rPr>
                <w:rFonts w:hint="eastAsia" w:ascii="宋体" w:hAnsi="宋体"/>
                <w:sz w:val="24"/>
                <w:szCs w:val="24"/>
              </w:rPr>
              <w:t xml:space="preserve">名称</w:t>
            </w:r>
            <w:r/>
          </w:p>
        </w:tc>
        <w:tc>
          <w:tcPr>
            <w:tcW w:w="1327"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eastAsia="宋体" w:cs="Times New Roman"/>
                <w:sz w:val="24"/>
                <w:szCs w:val="24"/>
                <w:lang w:val="en-US" w:eastAsia="zh-CN"/>
              </w:rPr>
              <w:t xml:space="preserve">交付期（天）</w:t>
            </w:r>
            <w:r/>
          </w:p>
        </w:tc>
        <w:tc>
          <w:tcPr>
            <w:tcW w:w="1155"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数量</w:t>
            </w:r>
            <w:r/>
          </w:p>
        </w:tc>
        <w:tc>
          <w:tcPr>
            <w:tcW w:w="135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lang w:val="en-US" w:eastAsia="zh-CN"/>
              </w:rPr>
              <w:t xml:space="preserve">单位</w:t>
            </w:r>
            <w:r/>
          </w:p>
        </w:tc>
        <w:tc>
          <w:tcPr>
            <w:tcW w:w="1320" w:type="dxa"/>
            <w:vAlign w:val="center"/>
            <w:textDirection w:val="lrTb"/>
            <w:noWrap w:val="false"/>
          </w:tcPr>
          <w:p>
            <w:pPr>
              <w:jc w:val="center"/>
              <w:spacing w:line="0" w:lineRule="atLeast"/>
              <w:rPr>
                <w:lang w:val="en-US" w:eastAsia="zh-CN"/>
              </w:rPr>
            </w:pPr>
            <w:r>
              <w:rPr>
                <w:rFonts w:hint="eastAsia" w:ascii="宋体" w:hAnsi="宋体" w:cs="Times New Roman"/>
                <w:sz w:val="24"/>
                <w:szCs w:val="24"/>
                <w:lang w:val="en-US" w:eastAsia="zh-CN"/>
              </w:rPr>
              <w:t xml:space="preserve">单</w:t>
            </w:r>
            <w:r>
              <w:rPr>
                <w:rFonts w:hint="eastAsia" w:ascii="宋体" w:hAnsi="宋体" w:eastAsia="宋体" w:cs="Times New Roman"/>
                <w:sz w:val="24"/>
                <w:szCs w:val="24"/>
                <w:lang w:val="en-US" w:eastAsia="zh-CN"/>
              </w:rPr>
              <w:t xml:space="preserve">价</w:t>
            </w:r>
            <w:r/>
          </w:p>
        </w:tc>
        <w:tc>
          <w:tcPr>
            <w:tcW w:w="1695"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eastAsia="宋体" w:cs="Times New Roman"/>
                <w:sz w:val="24"/>
                <w:szCs w:val="24"/>
                <w:lang w:val="en-US" w:eastAsia="zh-CN"/>
              </w:rPr>
              <w:t xml:space="preserve">总价</w:t>
            </w:r>
            <w:r/>
          </w:p>
        </w:tc>
      </w:tr>
      <w:tr>
        <w:trPr>
          <w:cantSplit/>
          <w:trHeight w:val="556"/>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21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工程项目资金管理系统国产化改造升级</w:t>
            </w:r>
            <w:r/>
          </w:p>
        </w:tc>
        <w:tc>
          <w:tcPr>
            <w:tcW w:w="1327" w:type="dxa"/>
            <w:vAlign w:val="center"/>
            <w:textDirection w:val="lrTb"/>
            <w:noWrap w:val="false"/>
          </w:tcPr>
          <w:p>
            <w:pPr>
              <w:pStyle w:val="1002"/>
              <w:jc w:val="left"/>
              <w:keepLines w:val="0"/>
              <w:keepNext w:val="0"/>
              <w:pageBreakBefore w:val="0"/>
              <w:spacing w:line="24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115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w:t>
            </w:r>
            <w:r/>
          </w:p>
        </w:tc>
        <w:tc>
          <w:tcPr>
            <w:tcW w:w="135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套</w:t>
            </w:r>
            <w:r/>
          </w:p>
        </w:tc>
        <w:tc>
          <w:tcPr>
            <w:tcW w:w="13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7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21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历史数据迁移</w:t>
            </w:r>
            <w:r/>
          </w:p>
        </w:tc>
        <w:tc>
          <w:tcPr>
            <w:tcW w:w="1327" w:type="dxa"/>
            <w:vAlign w:val="center"/>
            <w:textDirection w:val="lrTb"/>
            <w:noWrap w:val="false"/>
          </w:tcPr>
          <w:p>
            <w:pPr>
              <w:pStyle w:val="1002"/>
              <w:jc w:val="left"/>
              <w:keepLines w:val="0"/>
              <w:keepNext w:val="0"/>
              <w:pageBreakBefore w:val="0"/>
              <w:spacing w:line="24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115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w:t>
            </w:r>
            <w:r/>
          </w:p>
        </w:tc>
        <w:tc>
          <w:tcPr>
            <w:tcW w:w="135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次</w:t>
            </w:r>
            <w:r/>
          </w:p>
        </w:tc>
        <w:tc>
          <w:tcPr>
            <w:tcW w:w="13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69"/>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shd w:val="clear" w:color="auto" w:fill="auto"/>
            <w:tcW w:w="21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现有平台集成</w:t>
            </w:r>
            <w:r/>
          </w:p>
        </w:tc>
        <w:tc>
          <w:tcPr>
            <w:tcW w:w="1327" w:type="dxa"/>
            <w:vAlign w:val="center"/>
            <w:textDirection w:val="lrTb"/>
            <w:noWrap w:val="false"/>
          </w:tcPr>
          <w:p>
            <w:pPr>
              <w:pStyle w:val="1002"/>
              <w:jc w:val="left"/>
              <w:keepLines w:val="0"/>
              <w:keepNext w:val="0"/>
              <w:pageBreakBefore w:val="0"/>
              <w:spacing w:line="24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115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w:t>
            </w:r>
            <w:r/>
          </w:p>
        </w:tc>
        <w:tc>
          <w:tcPr>
            <w:tcW w:w="135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套</w:t>
            </w:r>
            <w:r/>
          </w:p>
        </w:tc>
        <w:tc>
          <w:tcPr>
            <w:tcW w:w="13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4</w:t>
            </w:r>
            <w:r/>
          </w:p>
        </w:tc>
        <w:tc>
          <w:tcPr>
            <w:shd w:val="clear" w:color="auto" w:fill="auto"/>
            <w:tcW w:w="21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2级等保复测服务</w:t>
            </w:r>
            <w:r/>
          </w:p>
        </w:tc>
        <w:tc>
          <w:tcPr>
            <w:tcW w:w="1327" w:type="dxa"/>
            <w:vAlign w:val="center"/>
            <w:textDirection w:val="lrTb"/>
            <w:noWrap w:val="false"/>
          </w:tcPr>
          <w:p>
            <w:pPr>
              <w:pStyle w:val="1002"/>
              <w:jc w:val="left"/>
              <w:keepLines w:val="0"/>
              <w:keepNext w:val="0"/>
              <w:pageBreakBefore w:val="0"/>
              <w:spacing w:line="24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115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w:t>
            </w:r>
            <w:r/>
          </w:p>
        </w:tc>
        <w:tc>
          <w:tcPr>
            <w:tcW w:w="135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套</w:t>
            </w:r>
            <w:r/>
          </w:p>
        </w:tc>
        <w:tc>
          <w:tcPr>
            <w:tcW w:w="13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2190" w:type="dxa"/>
            <w:vAlign w:val="center"/>
            <w:textDirection w:val="lrTb"/>
            <w:noWrap w:val="false"/>
          </w:tcPr>
          <w:p>
            <w:pPr>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总报价（元）</w:t>
            </w:r>
            <w:r/>
          </w:p>
        </w:tc>
        <w:tc>
          <w:tcPr>
            <w:gridSpan w:val="5"/>
            <w:tcW w:w="684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bl>
    <w:p>
      <w:pPr>
        <w:pStyle w:val="951"/>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ind w:right="180" w:firstLine="480"/>
        <w:jc w:val="both"/>
        <w:keepLines w:val="0"/>
        <w:keepNext w:val="0"/>
        <w:pageBreakBefore w:val="0"/>
        <w:spacing w:line="360" w:lineRule="auto"/>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keepLines w:val="0"/>
        <w:keepNext w:val="0"/>
        <w:pageBreakBefore w:val="0"/>
        <w:spacing w:line="360" w:lineRule="auto"/>
        <w:rPr>
          <w:rFonts w:ascii="宋体" w:hAnsi="宋体" w:eastAsia="宋体" w:cs="Times New Roman"/>
          <w:sz w:val="24"/>
          <w:lang w:val="en-US" w:eastAsia="zh-CN"/>
        </w:rPr>
      </w:pPr>
      <w:r>
        <w:rPr>
          <w:rFonts w:ascii="宋体" w:hAnsi="宋体" w:eastAsia="宋体" w:cs="Times New Roman"/>
          <w:sz w:val="24"/>
          <w:lang w:val="en-US" w:eastAsia="zh-CN"/>
        </w:rPr>
      </w:r>
      <w:r/>
    </w:p>
    <w:p>
      <w:pPr>
        <w:pStyle w:val="951"/>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p>
    <w:p>
      <w:pPr>
        <w:pStyle w:val="951"/>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1.“总报价”应包括为完成整个项目所产生的所有费用，采购文件另有规定的除外。</w:t>
      </w:r>
      <w:r/>
    </w:p>
    <w:p>
      <w:pPr>
        <w:pStyle w:val="951"/>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2.《分项报价表》中“总</w:t>
      </w:r>
      <w:r>
        <w:rPr>
          <w:rFonts w:hint="eastAsia" w:cs="宋体"/>
          <w:color w:val="000000"/>
          <w:sz w:val="24"/>
          <w:szCs w:val="24"/>
          <w:lang w:val="en-US" w:eastAsia="zh-CN"/>
        </w:rPr>
        <w:t xml:space="preserve">报</w:t>
      </w:r>
      <w:r>
        <w:rPr>
          <w:rFonts w:hint="eastAsia" w:ascii="宋体" w:hAnsi="宋体" w:eastAsia="宋体" w:cs="宋体"/>
          <w:color w:val="000000"/>
          <w:sz w:val="24"/>
          <w:szCs w:val="24"/>
          <w:lang w:val="en-US" w:eastAsia="zh-CN"/>
        </w:rPr>
        <w:t xml:space="preserve">价”应当与《磋商报价表》中“总</w:t>
      </w:r>
      <w:r>
        <w:rPr>
          <w:rFonts w:hint="eastAsia" w:cs="宋体"/>
          <w:color w:val="000000"/>
          <w:sz w:val="24"/>
          <w:szCs w:val="24"/>
          <w:lang w:val="en-US" w:eastAsia="zh-CN"/>
        </w:rPr>
        <w:t xml:space="preserve">报</w:t>
      </w:r>
      <w:r>
        <w:rPr>
          <w:rFonts w:hint="eastAsia" w:ascii="宋体" w:hAnsi="宋体" w:eastAsia="宋体" w:cs="宋体"/>
          <w:color w:val="000000"/>
          <w:sz w:val="24"/>
          <w:szCs w:val="24"/>
          <w:lang w:val="en-US" w:eastAsia="zh-CN"/>
        </w:rPr>
        <w:t xml:space="preserve">价”一致。</w:t>
      </w:r>
      <w:r/>
    </w:p>
    <w:p>
      <w:pPr>
        <w:pStyle w:val="951"/>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3.《分项报价表》中的分项名称须与“第四章-</w:t>
      </w:r>
      <w:r>
        <w:rPr>
          <w:rFonts w:hint="eastAsia" w:cs="宋体"/>
          <w:color w:val="000000"/>
          <w:sz w:val="24"/>
          <w:szCs w:val="24"/>
          <w:lang w:val="en-US" w:eastAsia="zh-CN"/>
        </w:rPr>
        <w:t xml:space="preserve">项目</w:t>
      </w:r>
      <w:r>
        <w:rPr>
          <w:rFonts w:hint="eastAsia" w:ascii="宋体" w:hAnsi="宋体" w:eastAsia="宋体" w:cs="宋体"/>
          <w:color w:val="000000"/>
          <w:sz w:val="24"/>
          <w:szCs w:val="24"/>
          <w:lang w:val="en-US" w:eastAsia="zh-CN"/>
        </w:rPr>
        <w:t xml:space="preserve">清单”中的名称一一对应，如有缺项、漏项</w:t>
      </w:r>
      <w:r>
        <w:rPr>
          <w:rFonts w:hint="eastAsia" w:cs="宋体"/>
          <w:color w:val="000000"/>
          <w:sz w:val="24"/>
          <w:szCs w:val="24"/>
          <w:lang w:val="en-US" w:eastAsia="zh-CN"/>
        </w:rPr>
        <w:t xml:space="preserve">或者超出单价上限的</w:t>
      </w:r>
      <w:r>
        <w:rPr>
          <w:rFonts w:hint="eastAsia" w:ascii="宋体" w:hAnsi="宋体" w:eastAsia="宋体" w:cs="宋体"/>
          <w:color w:val="000000"/>
          <w:sz w:val="24"/>
          <w:szCs w:val="24"/>
          <w:lang w:val="en-US" w:eastAsia="zh-CN"/>
        </w:rPr>
        <w:t xml:space="preserve">，视为无效响应。</w:t>
      </w:r>
      <w:r>
        <w:rPr>
          <w:rFonts w:hint="eastAsia" w:ascii="宋体" w:hAnsi="宋体" w:eastAsia="宋体" w:cs="宋体"/>
          <w:b w:val="0"/>
          <w:bCs w:val="0"/>
          <w:color w:val="000000"/>
          <w:sz w:val="24"/>
          <w:szCs w:val="24"/>
          <w:lang w:val="en-US" w:eastAsia="zh-CN"/>
        </w:rPr>
        <w:t xml:space="preserve">“项目清单”中分项仅为一项的，此表无需提供。</w:t>
      </w:r>
      <w:r/>
    </w:p>
    <w:p>
      <w:pPr>
        <w:pStyle w:val="951"/>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p>
    <w:p>
      <w:pPr>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sz w:val="32"/>
          <w:szCs w:val="32"/>
          <w:u w:val="single"/>
          <w:lang w:val="en-US" w:eastAsia="zh-CN"/>
        </w:rPr>
        <w:br w:type="page" w:clear="all"/>
      </w:r>
      <w:bookmarkEnd w:id="17"/>
      <w:r/>
      <w:bookmarkEnd w:id="18"/>
      <w:r/>
      <w:bookmarkEnd w:id="33"/>
      <w:r>
        <w:rPr>
          <w:rFonts w:hint="eastAsia" w:ascii="黑体" w:hAnsi="黑体" w:eastAsia="黑体" w:cs="Times New Roman"/>
          <w:i w:val="0"/>
          <w:iCs/>
          <w:color w:val="000000"/>
          <w:sz w:val="32"/>
          <w:szCs w:val="32"/>
          <w:u w:val="none"/>
          <w:lang w:val="en-US" w:eastAsia="zh-CN"/>
        </w:rPr>
        <w:t xml:space="preserve">七、技术要求响应及偏离表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p>
    <w:tbl>
      <w:tblPr>
        <w:tblStyle w:val="709"/>
        <w:tblW w:w="987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92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3365" w:type="dxa"/>
            <w:vAlign w:val="center"/>
            <w:textDirection w:val="lrTb"/>
            <w:noWrap w:val="false"/>
          </w:tcPr>
          <w:p>
            <w:pPr>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pStyle w:val="951"/>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p>
    <w:p>
      <w:pPr>
        <w:rPr>
          <w:rFonts w:hint="eastAsia" w:ascii="宋体" w:hAnsi="宋体"/>
          <w:color w:val="000000"/>
          <w:sz w:val="24"/>
          <w:szCs w:val="24"/>
        </w:rPr>
      </w:pPr>
      <w:r>
        <w:rPr>
          <w:rFonts w:hint="eastAsia" w:ascii="宋体" w:hAnsi="宋体"/>
          <w:color w:val="000000"/>
          <w:sz w:val="24"/>
          <w:szCs w:val="24"/>
        </w:rPr>
      </w:r>
      <w:r/>
    </w:p>
    <w:p>
      <w:pPr>
        <w:pStyle w:val="951"/>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p>
    <w:p>
      <w:pPr>
        <w:pStyle w:val="951"/>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1.供应商须对磋商文件技术要求中的实质性要求（斜体下划线内容或打“★”内容）及其他要求做出明确响应，否则视为无效响应。</w:t>
      </w:r>
      <w:r/>
    </w:p>
    <w:p>
      <w:pPr>
        <w:pStyle w:val="951"/>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的实质性要求或打“▲”要求，成交供应商签订合同时应按磋商文件要求和响应文件响应内容向采购人提供相应证明材料核验（如：白皮书、彩页、手册、网站截图、具有CMA标识的检测报告等）。成交供应商未按磋商文件要求和响应文件响应内容提供相应证明材料或者提供的证明材料不符合磋商文件要求的，视为提供虚假材料谋取成交，采购人将取消其成交资格。</w:t>
      </w:r>
      <w:r/>
    </w:p>
    <w:p>
      <w:pPr>
        <w:pStyle w:val="951"/>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p>
    <w:p>
      <w:pPr>
        <w:jc w:val="center"/>
        <w:rPr>
          <w:rFonts w:hint="eastAsia" w:ascii="黑体" w:hAnsi="Arial" w:eastAsia="黑体"/>
          <w:b/>
          <w:color w:val="0000ff"/>
          <w:sz w:val="36"/>
          <w:szCs w:val="21"/>
        </w:rPr>
      </w:pPr>
      <w:r>
        <w:rPr>
          <w:rFonts w:hint="eastAsia" w:ascii="黑体" w:hAnsi="Arial" w:eastAsia="黑体"/>
          <w:b/>
          <w:color w:val="0000ff"/>
          <w:sz w:val="36"/>
          <w:szCs w:val="21"/>
        </w:rPr>
      </w:r>
      <w:r/>
    </w:p>
    <w:p>
      <w:pPr>
        <w:pStyle w:val="737"/>
        <w:rPr>
          <w:rFonts w:hint="eastAsia" w:ascii="黑体" w:hAnsi="Arial" w:eastAsia="黑体"/>
          <w:b/>
          <w:color w:val="0000ff"/>
          <w:sz w:val="36"/>
          <w:szCs w:val="21"/>
        </w:rPr>
      </w:pPr>
      <w:r>
        <w:rPr>
          <w:rFonts w:hint="eastAsia" w:ascii="黑体" w:hAnsi="Arial" w:eastAsia="黑体"/>
          <w:b/>
          <w:color w:val="0000ff"/>
          <w:sz w:val="36"/>
          <w:szCs w:val="21"/>
        </w:rPr>
      </w:r>
      <w:r/>
    </w:p>
    <w:p>
      <w:pPr>
        <w:rPr>
          <w:rFonts w:hint="eastAsia" w:ascii="黑体" w:hAnsi="Arial" w:eastAsia="黑体"/>
          <w:b/>
          <w:color w:val="0000ff"/>
          <w:sz w:val="36"/>
          <w:szCs w:val="21"/>
        </w:rPr>
      </w:pPr>
      <w:r>
        <w:rPr>
          <w:rFonts w:hint="eastAsia" w:ascii="黑体" w:hAnsi="Arial" w:eastAsia="黑体"/>
          <w:b/>
          <w:color w:val="0000ff"/>
          <w:sz w:val="36"/>
          <w:szCs w:val="21"/>
        </w:rPr>
      </w:r>
      <w:r/>
    </w:p>
    <w:p>
      <w:pPr>
        <w:pStyle w:val="737"/>
        <w:rPr>
          <w:rFonts w:hint="eastAsia"/>
        </w:rPr>
      </w:pPr>
      <w:r>
        <w:rPr>
          <w:rFonts w:hint="eastAsia"/>
        </w:rPr>
      </w:r>
      <w:r/>
    </w:p>
    <w:p>
      <w:pPr>
        <w:rPr>
          <w:rFonts w:hint="eastAsia" w:ascii="黑体" w:hAnsi="黑体" w:eastAsia="黑体" w:cs="Times New Roman"/>
          <w:i w:val="0"/>
          <w:iCs/>
          <w:color w:val="000000"/>
          <w:sz w:val="32"/>
          <w:szCs w:val="32"/>
          <w:u w:val="none"/>
          <w:lang w:val="en-US" w:eastAsia="zh-CN"/>
        </w:rPr>
      </w:pPr>
      <w:r/>
      <w:bookmarkStart w:id="37" w:name="_Hlt26955054"/>
      <w:r/>
      <w:bookmarkEnd w:id="37"/>
      <w:r>
        <w:rPr>
          <w:rFonts w:hint="eastAsia" w:ascii="黑体" w:hAnsi="黑体" w:eastAsia="黑体" w:cs="Times New Roman"/>
          <w:i w:val="0"/>
          <w:iCs/>
          <w:color w:val="000000"/>
          <w:sz w:val="32"/>
          <w:szCs w:val="32"/>
          <w:u w:val="none"/>
          <w:lang w:val="en-US" w:eastAsia="zh-CN"/>
        </w:rPr>
        <w:t xml:space="preserve">八、商务要求响应及偏离表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p>
    <w:tbl>
      <w:tblPr>
        <w:tblStyle w:val="709"/>
        <w:tblW w:w="98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jc w:val="center"/>
              <w:rPr>
                <w:rFonts w:hint="eastAsia" w:ascii="宋体" w:hAnsi="宋体"/>
                <w:color w:val="000000"/>
                <w:sz w:val="24"/>
                <w:szCs w:val="24"/>
              </w:rPr>
            </w:pPr>
            <w:r/>
            <w:bookmarkStart w:id="38" w:name="_Hlt26782999"/>
            <w:r/>
            <w:bookmarkEnd w:id="38"/>
            <w:r/>
            <w:bookmarkStart w:id="39" w:name="_Hlt26609391"/>
            <w:r/>
            <w:bookmarkEnd w:id="39"/>
            <w:r/>
            <w:bookmarkStart w:id="40" w:name="_Hlt26671372"/>
            <w:r/>
            <w:bookmarkEnd w:id="40"/>
            <w:r/>
            <w:bookmarkStart w:id="41" w:name="_Hlt26671343"/>
            <w:r/>
            <w:bookmarkEnd w:id="41"/>
            <w:r/>
            <w:bookmarkStart w:id="42" w:name="_Hlt26955056"/>
            <w:r/>
            <w:bookmarkEnd w:id="42"/>
            <w:r/>
            <w:bookmarkStart w:id="43" w:name="_Hlt26955064"/>
            <w:r/>
            <w:bookmarkEnd w:id="43"/>
            <w:r/>
            <w:bookmarkStart w:id="44" w:name="_Hlt24879081"/>
            <w:r/>
            <w:bookmarkEnd w:id="44"/>
            <w:r/>
            <w:bookmarkStart w:id="45" w:name="_Hlt26580838"/>
            <w:r/>
            <w:bookmarkEnd w:id="45"/>
            <w:r>
              <w:rPr>
                <w:rFonts w:hint="eastAsia" w:ascii="宋体" w:hAnsi="宋体"/>
                <w:color w:val="000000"/>
                <w:sz w:val="24"/>
                <w:szCs w:val="24"/>
              </w:rPr>
              <w:t xml:space="preserve">序号</w:t>
            </w:r>
            <w:r/>
          </w:p>
        </w:tc>
        <w:tc>
          <w:tcPr>
            <w:tcW w:w="283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3345" w:type="dxa"/>
            <w:vAlign w:val="center"/>
            <w:textDirection w:val="lrTb"/>
            <w:noWrap w:val="false"/>
          </w:tcPr>
          <w:p>
            <w:pPr>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pStyle w:val="951"/>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p>
    <w:p>
      <w:pPr>
        <w:rPr>
          <w:rFonts w:hint="eastAsia" w:ascii="宋体" w:hAnsi="宋体"/>
          <w:color w:val="000000"/>
          <w:sz w:val="24"/>
          <w:szCs w:val="24"/>
        </w:rPr>
      </w:pPr>
      <w:r>
        <w:rPr>
          <w:rFonts w:hint="eastAsia" w:ascii="宋体" w:hAnsi="宋体"/>
          <w:color w:val="000000"/>
          <w:sz w:val="24"/>
          <w:szCs w:val="24"/>
        </w:rPr>
      </w:r>
      <w:r/>
    </w:p>
    <w:p>
      <w:pPr>
        <w:pStyle w:val="951"/>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p>
    <w:p>
      <w:pPr>
        <w:pStyle w:val="951"/>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1.供应商须对磋商文件商务要求中的实质性要求（斜体下划线内容或打“★”内容）做出明确响应，否则视为无效响应。</w:t>
      </w:r>
      <w:r/>
    </w:p>
    <w:p>
      <w:pPr>
        <w:pStyle w:val="951"/>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p>
    <w:p>
      <w:r/>
      <w:r/>
    </w:p>
    <w:p>
      <w:pPr>
        <w:pStyle w:val="737"/>
      </w:pPr>
      <w:r/>
      <w:r/>
    </w:p>
    <w:p>
      <w:r/>
      <w:r/>
    </w:p>
    <w:p>
      <w:pPr>
        <w:pStyle w:val="737"/>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737"/>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737"/>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jc w:val="center"/>
        <w:rPr>
          <w:rFonts w:hint="eastAsia" w:ascii="宋体" w:hAnsi="宋体" w:cs="仿宋"/>
          <w:b/>
          <w:bCs/>
          <w:sz w:val="32"/>
          <w:szCs w:val="32"/>
        </w:rPr>
      </w:pPr>
      <w:r>
        <w:rPr>
          <w:rFonts w:hint="eastAsia" w:ascii="宋体" w:hAnsi="宋体" w:cs="仿宋"/>
          <w:b/>
          <w:bCs/>
          <w:sz w:val="32"/>
          <w:szCs w:val="32"/>
        </w:rPr>
      </w:r>
      <w:r/>
    </w:p>
    <w:p>
      <w:pPr>
        <w:pStyle w:val="971"/>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p>
    <w:p>
      <w:pPr>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p>
    <w:p>
      <w:pPr>
        <w:pStyle w:val="971"/>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3.供应商</w:t>
      </w:r>
      <w:r>
        <w:rPr>
          <w:rFonts w:hint="eastAsia" w:ascii="宋体" w:hAnsi="宋体" w:eastAsia="宋体" w:cs="Times New Roman"/>
          <w:sz w:val="24"/>
          <w:szCs w:val="24"/>
          <w:lang w:eastAsia="zh-CN"/>
        </w:rPr>
        <w:t xml:space="preserve">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清单中列示的所有服务，供应商须在声明函中逐项列示并明确承接企业的类型，如有缺失将按“不提供声明函”处理。此声明函将随成交结果同时公告，接受社会监督。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p>
    <w:p>
      <w:pPr>
        <w:ind w:firstLine="0"/>
        <w:jc w:val="left"/>
        <w:spacing w:line="360" w:lineRule="auto"/>
        <w:rPr>
          <w:rFonts w:hint="eastAsia" w:ascii="黑体" w:hAnsi="黑体" w:eastAsia="黑体"/>
          <w:b w:val="0"/>
          <w:sz w:val="32"/>
          <w:szCs w:val="32"/>
        </w:rPr>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p>
    <w:p>
      <w:pPr>
        <w:pStyle w:val="971"/>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widowControl w:val="off"/>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供应商</w:t>
      </w:r>
      <w:r>
        <w:rPr>
          <w:rFonts w:hint="eastAsia" w:ascii="宋体" w:hAnsi="宋体"/>
          <w:sz w:val="24"/>
        </w:rPr>
        <w:t xml:space="preserve">如不提供此声明函，价格将不做相应扣除。</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lang w:eastAsia="zh-CN"/>
        </w:rPr>
        <w:t xml:space="preserve">成交供应商</w:t>
      </w:r>
      <w:r>
        <w:rPr>
          <w:rFonts w:hint="eastAsia" w:ascii="宋体" w:hAnsi="宋体"/>
          <w:sz w:val="24"/>
        </w:rPr>
        <w:t xml:space="preserve">为残疾人福利</w:t>
      </w:r>
      <w:r>
        <w:rPr>
          <w:rFonts w:hint="eastAsia" w:ascii="宋体" w:hAnsi="宋体"/>
          <w:sz w:val="24"/>
          <w:lang w:val="en-US" w:eastAsia="zh-CN"/>
        </w:rPr>
        <w:t xml:space="preserve">性</w:t>
      </w:r>
      <w:r>
        <w:rPr>
          <w:rFonts w:hint="eastAsia" w:ascii="宋体" w:hAnsi="宋体"/>
          <w:sz w:val="24"/>
        </w:rPr>
        <w:t xml:space="preserve">单位的，此声明函将随</w:t>
      </w:r>
      <w:r>
        <w:rPr>
          <w:rFonts w:hint="eastAsia" w:ascii="宋体" w:hAnsi="宋体"/>
          <w:sz w:val="24"/>
          <w:lang w:eastAsia="zh-CN"/>
        </w:rPr>
        <w:t xml:space="preserve">成交</w:t>
      </w:r>
      <w:r>
        <w:rPr>
          <w:rFonts w:hint="eastAsia" w:ascii="宋体" w:hAnsi="宋体"/>
          <w:sz w:val="24"/>
        </w:rPr>
        <w:t xml:space="preserve">结果同时公告，接受社会监督</w:t>
      </w:r>
      <w:r>
        <w:rPr>
          <w:rFonts w:hint="eastAsia" w:ascii="宋体" w:hAnsi="宋体"/>
          <w:sz w:val="24"/>
          <w:lang w:eastAsia="zh-CN"/>
        </w:rPr>
        <w:t xml:space="preserve">。</w:t>
      </w:r>
      <w:r/>
    </w:p>
    <w:p>
      <w:pPr>
        <w:ind w:firstLine="480"/>
        <w:spacing w:line="480" w:lineRule="exact"/>
        <w:rPr>
          <w:rFonts w:ascii="宋体" w:hAnsi="宋体"/>
          <w:sz w:val="24"/>
        </w:rPr>
      </w:pPr>
      <w:r>
        <w:rPr>
          <w:rFonts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十一、联合体协议</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p>
    <w:p>
      <w:pPr>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w:t>
      </w:r>
      <w:r>
        <w:rPr>
          <w:rFonts w:hint="eastAsia" w:ascii="宋体" w:hAnsi="宋体"/>
          <w:sz w:val="24"/>
          <w:lang w:eastAsia="zh-CN"/>
        </w:rPr>
        <w:t xml:space="preserve">成交</w:t>
      </w:r>
      <w:r>
        <w:rPr>
          <w:rFonts w:hint="eastAsia" w:ascii="宋体" w:hAnsi="宋体"/>
          <w:sz w:val="24"/>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p>
    <w:p>
      <w:pPr>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p>
    <w:p>
      <w:pPr>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p>
    <w:p>
      <w:pPr>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p>
    <w:p>
      <w:pPr>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lang w:eastAsia="zh-CN"/>
        </w:rPr>
        <w:t xml:space="preserve">磋商</w:t>
      </w:r>
      <w:r>
        <w:rPr>
          <w:rFonts w:hint="eastAsia" w:ascii="宋体" w:hAnsi="宋体" w:eastAsia="宋体" w:cs="Times New Roman"/>
          <w:sz w:val="24"/>
        </w:rPr>
        <w:t xml:space="preserve">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p>
    <w:p>
      <w:pPr>
        <w:pStyle w:val="737"/>
        <w:rPr>
          <w:rFonts w:hint="eastAsia" w:ascii="宋体" w:hAnsi="宋体" w:eastAsia="宋体" w:cs="Times New Roman"/>
          <w:sz w:val="24"/>
        </w:rPr>
      </w:pPr>
      <w:r>
        <w:rPr>
          <w:rFonts w:hint="eastAsia" w:ascii="宋体" w:hAnsi="宋体" w:eastAsia="宋体" w:cs="Times New Roman"/>
          <w:sz w:val="24"/>
        </w:rPr>
      </w:r>
      <w:r/>
    </w:p>
    <w:p>
      <w:pPr>
        <w:rPr>
          <w:rFonts w:hint="eastAsia"/>
        </w:rPr>
      </w:pPr>
      <w:r>
        <w:rPr>
          <w:rFonts w:hint="eastAsia"/>
        </w:rPr>
      </w:r>
      <w:r/>
    </w:p>
    <w:p>
      <w:pPr>
        <w:ind w:firstLine="645"/>
        <w:spacing w:line="560" w:lineRule="exact"/>
        <w:rPr>
          <w:rFonts w:ascii="宋体" w:hAnsi="宋体"/>
          <w:sz w:val="24"/>
        </w:rPr>
      </w:pPr>
      <w:r>
        <w:rPr>
          <w:rFonts w:ascii="宋体" w:hAnsi="宋体"/>
          <w:sz w:val="24"/>
        </w:rPr>
      </w:r>
      <w:r/>
    </w:p>
    <w:p>
      <w:pPr>
        <w:ind w:firstLine="645"/>
        <w:spacing w:line="560" w:lineRule="exact"/>
        <w:rPr>
          <w:rFonts w:hint="eastAsia" w:ascii="宋体" w:hAnsi="宋体"/>
          <w:sz w:val="24"/>
        </w:rPr>
      </w:pPr>
      <w:r>
        <w:rPr>
          <w:rFonts w:hint="eastAsia" w:ascii="宋体" w:hAnsi="宋体"/>
          <w:sz w:val="24"/>
        </w:rPr>
      </w:r>
      <w:r/>
    </w:p>
    <w:p>
      <w:pPr>
        <w:pStyle w:val="971"/>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pStyle w:val="971"/>
        <w:rPr>
          <w:rFonts w:hint="eastAsia"/>
        </w:rPr>
      </w:pPr>
      <w:r>
        <w:rPr>
          <w:rFonts w:hint="eastAsia"/>
        </w:rPr>
      </w:r>
      <w:r/>
    </w:p>
    <w:p>
      <w:pPr>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十二、分包承诺书</w:t>
      </w:r>
      <w:r/>
    </w:p>
    <w:p>
      <w:pPr>
        <w:rPr>
          <w:rFonts w:hint="eastAsia"/>
        </w:rPr>
      </w:pPr>
      <w:r>
        <w:rPr>
          <w:rFonts w:hint="eastAsia"/>
        </w:rPr>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zh-CN" w:eastAsia="zh-CN"/>
        </w:rPr>
      </w:pPr>
      <w:r>
        <w:rPr>
          <w:rFonts w:hint="eastAsia" w:ascii="方正小标宋简体" w:hAnsi="方正小标宋简体" w:eastAsia="方正小标宋简体" w:cs="方正小标宋简体"/>
          <w:b w:val="0"/>
          <w:bCs w:val="0"/>
          <w:sz w:val="32"/>
          <w:szCs w:val="32"/>
          <w:lang w:val="zh-CN" w:eastAsia="zh-CN"/>
        </w:rPr>
        <w:t xml:space="preserve">分包承诺书</w:t>
      </w:r>
      <w:r/>
    </w:p>
    <w:p>
      <w:pPr>
        <w:ind w:firstLine="2640"/>
        <w:keepLines w:val="0"/>
        <w:keepNext w:val="0"/>
        <w:pageBreakBefore w:val="0"/>
        <w:spacing w:line="480" w:lineRule="auto"/>
        <w:widowControl w:val="off"/>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lang w:eastAsia="zh-CN"/>
        </w:rPr>
      </w:r>
      <w:r/>
    </w:p>
    <w:p>
      <w:pPr>
        <w:ind w:firstLine="0"/>
        <w:keepLines w:val="0"/>
        <w:keepNext w:val="0"/>
        <w:pageBreakBefore w:val="0"/>
        <w:spacing w:line="48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lang w:val="en-US" w:eastAsia="zh-CN"/>
        </w:rPr>
        <w:t xml:space="preserve">采购人名称</w:t>
      </w:r>
      <w:r>
        <w:rPr>
          <w:rFonts w:hint="eastAsia" w:ascii="宋体" w:hAnsi="宋体" w:eastAsia="宋体" w:cs="宋体"/>
          <w:color w:val="000000"/>
          <w:sz w:val="24"/>
          <w:szCs w:val="24"/>
          <w:u w:val="none"/>
          <w:lang w:eastAsia="zh-CN"/>
        </w:rPr>
        <w:t xml:space="preserve">）</w:t>
      </w:r>
      <w:r/>
    </w:p>
    <w:p>
      <w:pPr>
        <w:ind w:firstLine="480"/>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我公司</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（供应商名称）郑重承诺：</w:t>
      </w:r>
      <w:r/>
    </w:p>
    <w:p>
      <w:pPr>
        <w:ind w:firstLine="480"/>
        <w:jc w:val="left"/>
        <w:keepLines w:val="0"/>
        <w:keepNext w:val="0"/>
        <w:pageBreakBefore w:val="0"/>
        <w:spacing w:line="48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如我公司中标（成交）</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lang w:val="en-US" w:eastAsia="zh-CN"/>
        </w:rPr>
        <w:t xml:space="preserve">（项目名称）项目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拟将项目中的</w:t>
      </w:r>
      <w:r/>
    </w:p>
    <w:p>
      <w:pPr>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建设内容，分包给具有相应资质</w:t>
      </w:r>
      <w:r>
        <w:rPr>
          <w:rFonts w:hint="eastAsia" w:ascii="宋体" w:hAnsi="宋体" w:eastAsia="宋体" w:cs="宋体"/>
          <w:color w:val="000000"/>
          <w:sz w:val="24"/>
          <w:szCs w:val="24"/>
          <w:lang w:eastAsia="zh-CN"/>
        </w:rPr>
        <w:t xml:space="preserve">的</w:t>
      </w:r>
      <w:r>
        <w:rPr>
          <w:rFonts w:hint="eastAsia" w:ascii="宋体" w:hAnsi="宋体" w:eastAsia="宋体" w:cs="宋体"/>
          <w:color w:val="000000"/>
          <w:sz w:val="24"/>
          <w:szCs w:val="24"/>
        </w:rPr>
        <w:t xml:space="preserve">供应商实施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并在签订合同时提供分包意向协议</w:t>
      </w:r>
      <w:r>
        <w:rPr>
          <w:rFonts w:hint="eastAsia" w:ascii="宋体" w:hAnsi="宋体" w:eastAsia="宋体" w:cs="宋体"/>
          <w:color w:val="000000"/>
          <w:sz w:val="24"/>
          <w:szCs w:val="24"/>
        </w:rPr>
        <w:t xml:space="preserve">。</w:t>
      </w:r>
      <w:r/>
    </w:p>
    <w:p>
      <w:pPr>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right="180" w:firstLine="360"/>
        <w:jc w:val="right"/>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（加盖电子公章）</w:t>
      </w:r>
      <w:r/>
    </w:p>
    <w:p>
      <w:pPr>
        <w:jc w:val="center"/>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  期：</w:t>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737"/>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737"/>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737"/>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737"/>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737"/>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rPr>
          <w:rFonts w:hint="eastAsia"/>
        </w:rPr>
      </w:pPr>
      <w:r>
        <w:rPr>
          <w:rFonts w:hint="eastAsia"/>
        </w:r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分</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对项目的某一分包进行质疑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rPr>
        <w:t xml:space="preserve">分包号。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rPr>
        <w:rStyle w:val="898"/>
        <w:rFonts w:ascii="宋体" w:hAnsi="宋体"/>
      </w:rPr>
      <w:framePr w:wrap="around" w:vAnchor="text" w:hAnchor="margin" w:xAlign="center" w:y="1"/>
    </w:pPr>
    <w:r>
      <w:rPr>
        <w:rFonts w:ascii="宋体" w:hAnsi="宋体"/>
      </w:rPr>
      <w:fldChar w:fldCharType="begin"/>
    </w:r>
    <w:r>
      <w:rPr>
        <w:rStyle w:val="898"/>
        <w:rFonts w:ascii="宋体" w:hAnsi="宋体"/>
      </w:rPr>
      <w:instrText xml:space="preserve">PAGE  </w:instrText>
    </w:r>
    <w:r>
      <w:rPr>
        <w:rFonts w:ascii="宋体" w:hAnsi="宋体"/>
      </w:rPr>
      <w:fldChar w:fldCharType="separate"/>
    </w:r>
    <w:r>
      <w:rPr>
        <w:rStyle w:val="898"/>
        <w:rFonts w:ascii="宋体" w:hAnsi="宋体"/>
      </w:rPr>
      <w:t xml:space="preserve">３９</w:t>
    </w:r>
    <w:r>
      <w:rPr>
        <w:rFonts w:ascii="宋体" w:hAnsi="宋体"/>
      </w:rPr>
      <w:fldChar w:fldCharType="end"/>
    </w:r>
    <w:r/>
  </w:p>
  <w:p>
    <w:pPr>
      <w:pStyle w:val="915"/>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rPr>
        <w:rStyle w:val="898"/>
      </w:rPr>
      <w:framePr w:wrap="around" w:vAnchor="text" w:hAnchor="margin" w:xAlign="center" w:y="1"/>
    </w:pPr>
    <w:r>
      <w:fldChar w:fldCharType="begin"/>
    </w:r>
    <w:r>
      <w:rPr>
        <w:rStyle w:val="898"/>
      </w:rPr>
      <w:instrText xml:space="preserve">PAGE  </w:instrText>
    </w:r>
    <w:r>
      <w:fldChar w:fldCharType="separate"/>
    </w:r>
    <w:r>
      <w:rPr>
        <w:rStyle w:val="898"/>
      </w:rPr>
      <w:t xml:space="preserve">1</w:t>
    </w:r>
    <w:r>
      <w:fldChar w:fldCharType="end"/>
    </w:r>
    <w:r/>
  </w:p>
  <w:p>
    <w:pPr>
      <w:pStyle w:val="91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upperLetter"/>
      <w:pStyle w:val="97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1"/>
      <w:isLgl w:val="false"/>
      <w:suff w:val="nothing"/>
      <w:lvlText w:val=""/>
      <w:lvlJc w:val="left"/>
      <w:pPr>
        <w:ind w:left="0" w:firstLine="0"/>
      </w:pPr>
      <w:rPr>
        <w:rFonts w:hint="eastAsia"/>
      </w:rPr>
    </w:lvl>
    <w:lvl w:ilvl="6">
      <w:start w:val="1"/>
      <w:numFmt w:val="decimal"/>
      <w:pStyle w:val="892"/>
      <w:isLgl w:val="false"/>
      <w:suff w:val="nothing"/>
      <w:lvlText w:val=""/>
      <w:lvlJc w:val="left"/>
      <w:pPr>
        <w:ind w:left="0" w:firstLine="0"/>
      </w:pPr>
      <w:rPr>
        <w:rFonts w:hint="eastAsia"/>
      </w:rPr>
    </w:lvl>
    <w:lvl w:ilvl="7">
      <w:start w:val="1"/>
      <w:numFmt w:val="decimal"/>
      <w:pStyle w:val="893"/>
      <w:isLgl w:val="false"/>
      <w:suff w:val="nothing"/>
      <w:lvlText w:val=""/>
      <w:lvlJc w:val="left"/>
      <w:pPr>
        <w:ind w:left="0" w:firstLine="0"/>
      </w:pPr>
      <w:rPr>
        <w:rFonts w:hint="eastAsia"/>
      </w:rPr>
    </w:lvl>
    <w:lvl w:ilvl="8">
      <w:start w:val="1"/>
      <w:numFmt w:val="decimal"/>
      <w:pStyle w:val="894"/>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8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7"/>
  </w:num>
  <w:num w:numId="4">
    <w:abstractNumId w:val="1"/>
  </w:num>
  <w:num w:numId="5">
    <w:abstractNumId w:val="3"/>
  </w:num>
  <w:num w:numId="6">
    <w:abstractNumId w:val="6"/>
  </w:num>
  <w:num w:numId="7">
    <w:abstractNumId w:val="8"/>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default="1">
    <w:name w:val="Normal"/>
    <w:next w:val="710"/>
    <w:link w:val="92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9">
    <w:name w:val="Heading 1"/>
    <w:basedOn w:val="698"/>
    <w:next w:val="698"/>
    <w:link w:val="740"/>
    <w:uiPriority w:val="9"/>
    <w:qFormat/>
    <w:pPr>
      <w:keepLines/>
      <w:keepNext/>
      <w:spacing w:before="480" w:after="200"/>
      <w:outlineLvl w:val="0"/>
    </w:pPr>
    <w:rPr>
      <w:rFonts w:ascii="Arial" w:hAnsi="Arial" w:eastAsia="Arial" w:cs="Arial"/>
      <w:sz w:val="40"/>
      <w:szCs w:val="40"/>
    </w:rPr>
  </w:style>
  <w:style w:type="paragraph" w:styleId="700">
    <w:name w:val="Heading 2"/>
    <w:basedOn w:val="698"/>
    <w:next w:val="698"/>
    <w:link w:val="741"/>
    <w:uiPriority w:val="9"/>
    <w:unhideWhenUsed/>
    <w:qFormat/>
    <w:pPr>
      <w:keepLines/>
      <w:keepNext/>
      <w:spacing w:before="360" w:after="200"/>
      <w:outlineLvl w:val="1"/>
    </w:pPr>
    <w:rPr>
      <w:rFonts w:ascii="Arial" w:hAnsi="Arial" w:eastAsia="Arial" w:cs="Arial"/>
      <w:sz w:val="34"/>
    </w:rPr>
  </w:style>
  <w:style w:type="paragraph" w:styleId="701">
    <w:name w:val="Heading 3"/>
    <w:basedOn w:val="698"/>
    <w:next w:val="698"/>
    <w:link w:val="742"/>
    <w:uiPriority w:val="9"/>
    <w:unhideWhenUsed/>
    <w:qFormat/>
    <w:pPr>
      <w:keepLines/>
      <w:keepNext/>
      <w:spacing w:before="320" w:after="200"/>
      <w:outlineLvl w:val="2"/>
    </w:pPr>
    <w:rPr>
      <w:rFonts w:ascii="Arial" w:hAnsi="Arial" w:eastAsia="Arial" w:cs="Arial"/>
      <w:sz w:val="30"/>
      <w:szCs w:val="30"/>
    </w:rPr>
  </w:style>
  <w:style w:type="paragraph" w:styleId="702">
    <w:name w:val="Heading 4"/>
    <w:basedOn w:val="698"/>
    <w:next w:val="698"/>
    <w:link w:val="743"/>
    <w:uiPriority w:val="9"/>
    <w:unhideWhenUsed/>
    <w:qFormat/>
    <w:pPr>
      <w:keepLines/>
      <w:keepNext/>
      <w:spacing w:before="320" w:after="200"/>
      <w:outlineLvl w:val="3"/>
    </w:pPr>
    <w:rPr>
      <w:rFonts w:ascii="Arial" w:hAnsi="Arial" w:eastAsia="Arial" w:cs="Arial"/>
      <w:b/>
      <w:bCs/>
      <w:sz w:val="26"/>
      <w:szCs w:val="26"/>
    </w:rPr>
  </w:style>
  <w:style w:type="paragraph" w:styleId="703">
    <w:name w:val="Heading 5"/>
    <w:basedOn w:val="698"/>
    <w:next w:val="698"/>
    <w:link w:val="744"/>
    <w:uiPriority w:val="9"/>
    <w:unhideWhenUsed/>
    <w:qFormat/>
    <w:pPr>
      <w:keepLines/>
      <w:keepNext/>
      <w:spacing w:before="320" w:after="200"/>
      <w:outlineLvl w:val="4"/>
    </w:pPr>
    <w:rPr>
      <w:rFonts w:ascii="Arial" w:hAnsi="Arial" w:eastAsia="Arial" w:cs="Arial"/>
      <w:b/>
      <w:bCs/>
      <w:sz w:val="24"/>
      <w:szCs w:val="24"/>
    </w:rPr>
  </w:style>
  <w:style w:type="paragraph" w:styleId="704">
    <w:name w:val="Heading 6"/>
    <w:basedOn w:val="698"/>
    <w:next w:val="698"/>
    <w:link w:val="745"/>
    <w:uiPriority w:val="9"/>
    <w:unhideWhenUsed/>
    <w:qFormat/>
    <w:pPr>
      <w:keepLines/>
      <w:keepNext/>
      <w:spacing w:before="320" w:after="200"/>
      <w:outlineLvl w:val="5"/>
    </w:pPr>
    <w:rPr>
      <w:rFonts w:ascii="Arial" w:hAnsi="Arial" w:eastAsia="Arial" w:cs="Arial"/>
      <w:b/>
      <w:bCs/>
      <w:sz w:val="22"/>
      <w:szCs w:val="22"/>
    </w:rPr>
  </w:style>
  <w:style w:type="paragraph" w:styleId="705">
    <w:name w:val="Heading 7"/>
    <w:basedOn w:val="698"/>
    <w:next w:val="698"/>
    <w:link w:val="746"/>
    <w:uiPriority w:val="9"/>
    <w:unhideWhenUsed/>
    <w:qFormat/>
    <w:pPr>
      <w:keepLines/>
      <w:keepNext/>
      <w:spacing w:before="320" w:after="200"/>
      <w:outlineLvl w:val="6"/>
    </w:pPr>
    <w:rPr>
      <w:rFonts w:ascii="Arial" w:hAnsi="Arial" w:eastAsia="Arial" w:cs="Arial"/>
      <w:b/>
      <w:bCs/>
      <w:i/>
      <w:iCs/>
      <w:sz w:val="22"/>
      <w:szCs w:val="22"/>
    </w:rPr>
  </w:style>
  <w:style w:type="paragraph" w:styleId="706">
    <w:name w:val="Heading 8"/>
    <w:basedOn w:val="698"/>
    <w:next w:val="698"/>
    <w:link w:val="747"/>
    <w:uiPriority w:val="9"/>
    <w:unhideWhenUsed/>
    <w:qFormat/>
    <w:pPr>
      <w:keepLines/>
      <w:keepNext/>
      <w:spacing w:before="320" w:after="200"/>
      <w:outlineLvl w:val="7"/>
    </w:pPr>
    <w:rPr>
      <w:rFonts w:ascii="Arial" w:hAnsi="Arial" w:eastAsia="Arial" w:cs="Arial"/>
      <w:i/>
      <w:iCs/>
      <w:sz w:val="22"/>
      <w:szCs w:val="22"/>
    </w:rPr>
  </w:style>
  <w:style w:type="paragraph" w:styleId="707">
    <w:name w:val="Heading 9"/>
    <w:basedOn w:val="698"/>
    <w:next w:val="698"/>
    <w:link w:val="748"/>
    <w:uiPriority w:val="9"/>
    <w:unhideWhenUsed/>
    <w:qFormat/>
    <w:pPr>
      <w:keepLines/>
      <w:keepNext/>
      <w:spacing w:before="320" w:after="200"/>
      <w:outlineLvl w:val="8"/>
    </w:pPr>
    <w:rPr>
      <w:rFonts w:ascii="Arial" w:hAnsi="Arial" w:eastAsia="Arial" w:cs="Arial"/>
      <w:i/>
      <w:iCs/>
      <w:sz w:val="21"/>
      <w:szCs w:val="21"/>
    </w:rPr>
  </w:style>
  <w:style w:type="character" w:styleId="708" w:default="1">
    <w:name w:val="Default Paragraph Font"/>
    <w:uiPriority w:val="1"/>
    <w:semiHidden/>
    <w:unhideWhenUsed/>
    <w:qFormat/>
  </w:style>
  <w:style w:type="table" w:styleId="709" w:default="1">
    <w:name w:val="Normal Table"/>
    <w:uiPriority w:val="99"/>
    <w:semiHidden/>
    <w:unhideWhenUsed/>
    <w:qFormat/>
    <w:tblPr>
      <w:tblCellMar>
        <w:left w:w="108" w:type="dxa"/>
        <w:top w:w="0" w:type="dxa"/>
        <w:right w:w="108" w:type="dxa"/>
        <w:bottom w:w="0" w:type="dxa"/>
      </w:tblCellMar>
    </w:tblPr>
  </w:style>
  <w:style w:type="paragraph" w:styleId="710">
    <w:name w:val="Body Text First Indent 2"/>
    <w:basedOn w:val="711"/>
    <w:next w:val="698"/>
    <w:uiPriority w:val="0"/>
    <w:qFormat/>
    <w:pPr>
      <w:ind w:left="0" w:firstLine="420"/>
      <w:spacing w:after="0" w:line="360" w:lineRule="auto"/>
    </w:pPr>
    <w:rPr>
      <w:rFonts w:ascii="宋体" w:hAnsi="宋体"/>
      <w:sz w:val="20"/>
      <w:szCs w:val="20"/>
    </w:rPr>
  </w:style>
  <w:style w:type="paragraph" w:styleId="711">
    <w:name w:val="Body Text Indent"/>
    <w:basedOn w:val="698"/>
    <w:next w:val="712"/>
    <w:uiPriority w:val="0"/>
    <w:unhideWhenUsed/>
    <w:qFormat/>
    <w:pPr>
      <w:ind w:left="420"/>
      <w:spacing w:after="120"/>
    </w:pPr>
  </w:style>
  <w:style w:type="paragraph" w:styleId="712">
    <w:name w:val="envelope return"/>
    <w:basedOn w:val="698"/>
    <w:uiPriority w:val="0"/>
    <w:qFormat/>
    <w:rPr>
      <w:rFonts w:ascii="Arial" w:hAnsi="Arial" w:cs="宋体"/>
    </w:rPr>
  </w:style>
  <w:style w:type="paragraph" w:styleId="713">
    <w:name w:val="toc 7"/>
    <w:basedOn w:val="698"/>
    <w:next w:val="698"/>
    <w:uiPriority w:val="39"/>
    <w:unhideWhenUsed/>
    <w:qFormat/>
    <w:pPr>
      <w:ind w:left="1701" w:right="0" w:firstLine="0"/>
      <w:spacing w:after="57"/>
    </w:pPr>
  </w:style>
  <w:style w:type="paragraph" w:styleId="714">
    <w:name w:val="Caption"/>
    <w:basedOn w:val="698"/>
    <w:next w:val="6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5">
    <w:name w:val="Body Text"/>
    <w:basedOn w:val="698"/>
    <w:uiPriority w:val="0"/>
    <w:qFormat/>
    <w:rPr>
      <w:rFonts w:ascii="宋体" w:hAnsi="宋体" w:eastAsia="宋体" w:cs="宋体"/>
      <w:sz w:val="37"/>
      <w:szCs w:val="37"/>
    </w:rPr>
  </w:style>
  <w:style w:type="paragraph" w:styleId="716">
    <w:name w:val="toc 5"/>
    <w:basedOn w:val="698"/>
    <w:next w:val="698"/>
    <w:uiPriority w:val="39"/>
    <w:unhideWhenUsed/>
    <w:qFormat/>
    <w:pPr>
      <w:ind w:left="1134" w:right="0" w:firstLine="0"/>
      <w:spacing w:after="57"/>
    </w:pPr>
  </w:style>
  <w:style w:type="paragraph" w:styleId="717">
    <w:name w:val="toc 3"/>
    <w:basedOn w:val="698"/>
    <w:next w:val="698"/>
    <w:uiPriority w:val="39"/>
    <w:unhideWhenUsed/>
    <w:qFormat/>
    <w:pPr>
      <w:ind w:left="567" w:right="0" w:firstLine="0"/>
      <w:spacing w:after="57"/>
    </w:pPr>
  </w:style>
  <w:style w:type="paragraph" w:styleId="718">
    <w:name w:val="toc 8"/>
    <w:basedOn w:val="698"/>
    <w:next w:val="698"/>
    <w:uiPriority w:val="39"/>
    <w:unhideWhenUsed/>
    <w:qFormat/>
    <w:pPr>
      <w:ind w:left="1984" w:right="0" w:firstLine="0"/>
      <w:spacing w:after="57"/>
    </w:pPr>
  </w:style>
  <w:style w:type="paragraph" w:styleId="719">
    <w:name w:val="endnote text"/>
    <w:basedOn w:val="698"/>
    <w:link w:val="884"/>
    <w:uiPriority w:val="99"/>
    <w:semiHidden/>
    <w:unhideWhenUsed/>
    <w:qFormat/>
    <w:pPr>
      <w:spacing w:after="0" w:line="240" w:lineRule="auto"/>
    </w:pPr>
    <w:rPr>
      <w:sz w:val="20"/>
    </w:rPr>
  </w:style>
  <w:style w:type="paragraph" w:styleId="720">
    <w:name w:val="Footer"/>
    <w:basedOn w:val="698"/>
    <w:link w:val="757"/>
    <w:uiPriority w:val="99"/>
    <w:unhideWhenUsed/>
    <w:qFormat/>
    <w:pPr>
      <w:spacing w:after="0" w:line="240" w:lineRule="auto"/>
      <w:tabs>
        <w:tab w:val="center" w:pos="7143" w:leader="none"/>
        <w:tab w:val="right" w:pos="14287" w:leader="none"/>
      </w:tabs>
    </w:pPr>
  </w:style>
  <w:style w:type="paragraph" w:styleId="721">
    <w:name w:val="Header"/>
    <w:basedOn w:val="698"/>
    <w:link w:val="755"/>
    <w:uiPriority w:val="99"/>
    <w:unhideWhenUsed/>
    <w:qFormat/>
    <w:pPr>
      <w:spacing w:after="0" w:line="240" w:lineRule="auto"/>
      <w:tabs>
        <w:tab w:val="center" w:pos="7143" w:leader="none"/>
        <w:tab w:val="right" w:pos="14287" w:leader="none"/>
      </w:tabs>
    </w:pPr>
  </w:style>
  <w:style w:type="paragraph" w:styleId="722">
    <w:name w:val="toc 1"/>
    <w:basedOn w:val="698"/>
    <w:next w:val="698"/>
    <w:uiPriority w:val="39"/>
    <w:unhideWhenUsed/>
    <w:qFormat/>
    <w:pPr>
      <w:ind w:left="0" w:right="0" w:firstLine="0"/>
      <w:spacing w:after="57"/>
    </w:pPr>
  </w:style>
  <w:style w:type="paragraph" w:styleId="723">
    <w:name w:val="toc 4"/>
    <w:basedOn w:val="698"/>
    <w:next w:val="698"/>
    <w:uiPriority w:val="39"/>
    <w:unhideWhenUsed/>
    <w:qFormat/>
    <w:pPr>
      <w:ind w:left="850" w:right="0" w:firstLine="0"/>
      <w:spacing w:after="57"/>
    </w:pPr>
  </w:style>
  <w:style w:type="paragraph" w:styleId="724">
    <w:name w:val="Subtitle"/>
    <w:basedOn w:val="698"/>
    <w:next w:val="698"/>
    <w:link w:val="750"/>
    <w:uiPriority w:val="11"/>
    <w:qFormat/>
    <w:pPr>
      <w:spacing w:before="200" w:after="200"/>
    </w:pPr>
    <w:rPr>
      <w:sz w:val="24"/>
      <w:szCs w:val="24"/>
    </w:rPr>
  </w:style>
  <w:style w:type="paragraph" w:styleId="725">
    <w:name w:val="footnote text"/>
    <w:basedOn w:val="698"/>
    <w:link w:val="883"/>
    <w:uiPriority w:val="99"/>
    <w:semiHidden/>
    <w:unhideWhenUsed/>
    <w:qFormat/>
    <w:pPr>
      <w:spacing w:after="40" w:line="240" w:lineRule="auto"/>
    </w:pPr>
    <w:rPr>
      <w:sz w:val="18"/>
    </w:rPr>
  </w:style>
  <w:style w:type="paragraph" w:styleId="726">
    <w:name w:val="toc 6"/>
    <w:basedOn w:val="698"/>
    <w:next w:val="698"/>
    <w:uiPriority w:val="39"/>
    <w:unhideWhenUsed/>
    <w:qFormat/>
    <w:pPr>
      <w:ind w:left="1417" w:right="0" w:firstLine="0"/>
      <w:spacing w:after="57"/>
    </w:pPr>
  </w:style>
  <w:style w:type="paragraph" w:styleId="727">
    <w:name w:val="table of figures"/>
    <w:basedOn w:val="698"/>
    <w:next w:val="698"/>
    <w:uiPriority w:val="99"/>
    <w:unhideWhenUsed/>
    <w:qFormat/>
    <w:pPr>
      <w:spacing w:after="0" w:afterAutospacing="0"/>
    </w:pPr>
  </w:style>
  <w:style w:type="paragraph" w:styleId="728">
    <w:name w:val="toc 2"/>
    <w:basedOn w:val="698"/>
    <w:next w:val="698"/>
    <w:uiPriority w:val="39"/>
    <w:unhideWhenUsed/>
    <w:qFormat/>
    <w:pPr>
      <w:ind w:left="283" w:right="0" w:firstLine="0"/>
      <w:spacing w:after="57"/>
    </w:pPr>
  </w:style>
  <w:style w:type="paragraph" w:styleId="729">
    <w:name w:val="toc 9"/>
    <w:basedOn w:val="698"/>
    <w:next w:val="698"/>
    <w:uiPriority w:val="39"/>
    <w:unhideWhenUsed/>
    <w:qFormat/>
    <w:pPr>
      <w:ind w:left="2268" w:right="0" w:firstLine="0"/>
      <w:spacing w:after="57"/>
    </w:pPr>
  </w:style>
  <w:style w:type="paragraph" w:styleId="730">
    <w:name w:val="Title"/>
    <w:basedOn w:val="698"/>
    <w:next w:val="698"/>
    <w:link w:val="749"/>
    <w:uiPriority w:val="10"/>
    <w:qFormat/>
    <w:pPr>
      <w:contextualSpacing/>
      <w:spacing w:before="300" w:after="200"/>
    </w:pPr>
    <w:rPr>
      <w:sz w:val="48"/>
      <w:szCs w:val="48"/>
    </w:rPr>
  </w:style>
  <w:style w:type="table" w:styleId="73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2">
    <w:name w:val="endnote reference"/>
    <w:uiPriority w:val="99"/>
    <w:semiHidden/>
    <w:unhideWhenUsed/>
    <w:qFormat/>
    <w:rPr>
      <w:vertAlign w:val="superscript"/>
    </w:rPr>
  </w:style>
  <w:style w:type="character" w:styleId="733">
    <w:name w:val="Hyperlink"/>
    <w:uiPriority w:val="99"/>
    <w:unhideWhenUsed/>
    <w:qFormat/>
    <w:rPr>
      <w:color w:val="0000ff" w:themeColor="hyperlink"/>
      <w:u w:val="single"/>
      <w14:textFill>
        <w14:solidFill>
          <w14:schemeClr w14:val="hlink"/>
        </w14:solidFill>
      </w14:textFill>
    </w:rPr>
  </w:style>
  <w:style w:type="character" w:styleId="734">
    <w:name w:val="footnote reference"/>
    <w:uiPriority w:val="99"/>
    <w:unhideWhenUsed/>
    <w:qFormat/>
    <w:rPr>
      <w:vertAlign w:val="superscript"/>
    </w:rPr>
  </w:style>
  <w:style w:type="character" w:styleId="735" w:customStyle="1">
    <w:name w:val="标题 1 Char"/>
    <w:link w:val="736"/>
    <w:uiPriority w:val="0"/>
    <w:qFormat/>
    <w:rPr>
      <w:rFonts w:ascii="楷体_GB2312" w:hAnsi="Times New Roman" w:eastAsia="楷体_GB2312" w:cs="Times New Roman"/>
      <w:sz w:val="28"/>
      <w:szCs w:val="28"/>
    </w:rPr>
  </w:style>
  <w:style w:type="paragraph" w:styleId="736" w:customStyle="1">
    <w:name w:val="标题 11"/>
    <w:basedOn w:val="698"/>
    <w:next w:val="698"/>
    <w:link w:val="735"/>
    <w:uiPriority w:val="0"/>
    <w:qFormat/>
    <w:pPr>
      <w:jc w:val="center"/>
      <w:keepNext/>
      <w:outlineLvl w:val="0"/>
    </w:pPr>
    <w:rPr>
      <w:rFonts w:ascii="楷体_GB2312" w:hAnsi="Times New Roman" w:eastAsia="楷体_GB2312" w:cs="Times New Roman"/>
      <w:sz w:val="28"/>
      <w:szCs w:val="28"/>
    </w:rPr>
  </w:style>
  <w:style w:type="paragraph" w:styleId="737" w:customStyle="1">
    <w:name w:val="正文首行缩进 21"/>
    <w:basedOn w:val="738"/>
    <w:next w:val="698"/>
    <w:link w:val="925"/>
    <w:uiPriority w:val="0"/>
    <w:qFormat/>
    <w:pPr>
      <w:ind w:left="0" w:firstLine="420"/>
      <w:spacing w:after="0" w:line="360" w:lineRule="auto"/>
    </w:pPr>
    <w:rPr>
      <w:rFonts w:ascii="宋体" w:hAnsi="宋体" w:eastAsia="宋体" w:cs="Times New Roman"/>
      <w:szCs w:val="20"/>
    </w:rPr>
  </w:style>
  <w:style w:type="paragraph" w:styleId="738" w:customStyle="1">
    <w:name w:val="正文文本缩进11"/>
    <w:basedOn w:val="698"/>
    <w:next w:val="739"/>
    <w:link w:val="922"/>
    <w:uiPriority w:val="0"/>
    <w:unhideWhenUsed/>
    <w:qFormat/>
    <w:pPr>
      <w:ind w:left="420"/>
      <w:spacing w:after="120"/>
    </w:pPr>
  </w:style>
  <w:style w:type="paragraph" w:styleId="739" w:customStyle="1">
    <w:name w:val="寄信人地址1"/>
    <w:basedOn w:val="698"/>
    <w:uiPriority w:val="0"/>
    <w:qFormat/>
    <w:rPr>
      <w:rFonts w:ascii="Arial" w:hAnsi="Arial" w:eastAsia="宋体" w:cs="宋体"/>
    </w:rPr>
  </w:style>
  <w:style w:type="character" w:styleId="740" w:customStyle="1">
    <w:name w:val="Heading 1 Char"/>
    <w:link w:val="699"/>
    <w:uiPriority w:val="9"/>
    <w:qFormat/>
    <w:rPr>
      <w:rFonts w:ascii="Arial" w:hAnsi="Arial" w:eastAsia="Arial" w:cs="Arial"/>
      <w:sz w:val="40"/>
      <w:szCs w:val="40"/>
    </w:rPr>
  </w:style>
  <w:style w:type="character" w:styleId="741" w:customStyle="1">
    <w:name w:val="Heading 2 Char"/>
    <w:link w:val="700"/>
    <w:uiPriority w:val="9"/>
    <w:qFormat/>
    <w:rPr>
      <w:rFonts w:ascii="Arial" w:hAnsi="Arial" w:eastAsia="Arial" w:cs="Arial"/>
      <w:sz w:val="34"/>
    </w:rPr>
  </w:style>
  <w:style w:type="character" w:styleId="742" w:customStyle="1">
    <w:name w:val="Heading 3 Char"/>
    <w:link w:val="701"/>
    <w:uiPriority w:val="9"/>
    <w:qFormat/>
    <w:rPr>
      <w:rFonts w:ascii="Arial" w:hAnsi="Arial" w:eastAsia="Arial" w:cs="Arial"/>
      <w:sz w:val="30"/>
      <w:szCs w:val="30"/>
    </w:rPr>
  </w:style>
  <w:style w:type="character" w:styleId="743" w:customStyle="1">
    <w:name w:val="Heading 4 Char"/>
    <w:link w:val="702"/>
    <w:uiPriority w:val="9"/>
    <w:qFormat/>
    <w:rPr>
      <w:rFonts w:ascii="Arial" w:hAnsi="Arial" w:eastAsia="Arial" w:cs="Arial"/>
      <w:b/>
      <w:bCs/>
      <w:sz w:val="26"/>
      <w:szCs w:val="26"/>
    </w:rPr>
  </w:style>
  <w:style w:type="character" w:styleId="744" w:customStyle="1">
    <w:name w:val="Heading 5 Char"/>
    <w:link w:val="703"/>
    <w:uiPriority w:val="9"/>
    <w:qFormat/>
    <w:rPr>
      <w:rFonts w:ascii="Arial" w:hAnsi="Arial" w:eastAsia="Arial" w:cs="Arial"/>
      <w:b/>
      <w:bCs/>
      <w:sz w:val="24"/>
      <w:szCs w:val="24"/>
    </w:rPr>
  </w:style>
  <w:style w:type="character" w:styleId="745" w:customStyle="1">
    <w:name w:val="Heading 6 Char"/>
    <w:link w:val="704"/>
    <w:uiPriority w:val="9"/>
    <w:qFormat/>
    <w:rPr>
      <w:rFonts w:ascii="Arial" w:hAnsi="Arial" w:eastAsia="Arial" w:cs="Arial"/>
      <w:b/>
      <w:bCs/>
      <w:sz w:val="22"/>
      <w:szCs w:val="22"/>
    </w:rPr>
  </w:style>
  <w:style w:type="character" w:styleId="746" w:customStyle="1">
    <w:name w:val="Heading 7 Char"/>
    <w:link w:val="705"/>
    <w:uiPriority w:val="9"/>
    <w:qFormat/>
    <w:rPr>
      <w:rFonts w:ascii="Arial" w:hAnsi="Arial" w:eastAsia="Arial" w:cs="Arial"/>
      <w:b/>
      <w:bCs/>
      <w:i/>
      <w:iCs/>
      <w:sz w:val="22"/>
      <w:szCs w:val="22"/>
    </w:rPr>
  </w:style>
  <w:style w:type="character" w:styleId="747" w:customStyle="1">
    <w:name w:val="Heading 8 Char"/>
    <w:link w:val="706"/>
    <w:uiPriority w:val="9"/>
    <w:qFormat/>
    <w:rPr>
      <w:rFonts w:ascii="Arial" w:hAnsi="Arial" w:eastAsia="Arial" w:cs="Arial"/>
      <w:i/>
      <w:iCs/>
      <w:sz w:val="22"/>
      <w:szCs w:val="22"/>
    </w:rPr>
  </w:style>
  <w:style w:type="character" w:styleId="748" w:customStyle="1">
    <w:name w:val="Heading 9 Char"/>
    <w:link w:val="707"/>
    <w:uiPriority w:val="9"/>
    <w:qFormat/>
    <w:rPr>
      <w:rFonts w:ascii="Arial" w:hAnsi="Arial" w:eastAsia="Arial" w:cs="Arial"/>
      <w:i/>
      <w:iCs/>
      <w:sz w:val="21"/>
      <w:szCs w:val="21"/>
    </w:rPr>
  </w:style>
  <w:style w:type="character" w:styleId="749" w:customStyle="1">
    <w:name w:val="Title Char"/>
    <w:link w:val="730"/>
    <w:uiPriority w:val="10"/>
    <w:qFormat/>
    <w:rPr>
      <w:sz w:val="48"/>
      <w:szCs w:val="48"/>
    </w:rPr>
  </w:style>
  <w:style w:type="character" w:styleId="750" w:customStyle="1">
    <w:name w:val="Subtitle Char"/>
    <w:link w:val="724"/>
    <w:uiPriority w:val="11"/>
    <w:qFormat/>
    <w:rPr>
      <w:sz w:val="24"/>
      <w:szCs w:val="24"/>
    </w:rPr>
  </w:style>
  <w:style w:type="paragraph" w:styleId="751">
    <w:name w:val="Quote"/>
    <w:basedOn w:val="698"/>
    <w:next w:val="698"/>
    <w:link w:val="752"/>
    <w:uiPriority w:val="29"/>
    <w:qFormat/>
    <w:pPr>
      <w:ind w:left="720" w:right="720"/>
    </w:pPr>
    <w:rPr>
      <w:i/>
    </w:rPr>
  </w:style>
  <w:style w:type="character" w:styleId="752" w:customStyle="1">
    <w:name w:val="Quote Char"/>
    <w:link w:val="751"/>
    <w:uiPriority w:val="29"/>
    <w:qFormat/>
    <w:rPr>
      <w:i/>
    </w:rPr>
  </w:style>
  <w:style w:type="paragraph" w:styleId="753">
    <w:name w:val="Intense Quote"/>
    <w:basedOn w:val="698"/>
    <w:next w:val="698"/>
    <w:link w:val="7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customStyle="1">
    <w:name w:val="Intense Quote Char"/>
    <w:link w:val="753"/>
    <w:uiPriority w:val="30"/>
    <w:qFormat/>
    <w:rPr>
      <w:i/>
    </w:rPr>
  </w:style>
  <w:style w:type="character" w:styleId="755" w:customStyle="1">
    <w:name w:val="Header Char"/>
    <w:link w:val="721"/>
    <w:uiPriority w:val="99"/>
    <w:qFormat/>
  </w:style>
  <w:style w:type="character" w:styleId="756" w:customStyle="1">
    <w:name w:val="Footer Char"/>
    <w:link w:val="720"/>
    <w:uiPriority w:val="99"/>
    <w:qFormat/>
  </w:style>
  <w:style w:type="character" w:styleId="757" w:customStyle="1">
    <w:name w:val="Caption Char"/>
    <w:link w:val="720"/>
    <w:uiPriority w:val="99"/>
    <w:qFormat/>
  </w:style>
  <w:style w:type="table" w:styleId="75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3" w:customStyle="1">
    <w:name w:val="Footnote Text Char"/>
    <w:link w:val="725"/>
    <w:uiPriority w:val="99"/>
    <w:qFormat/>
    <w:rPr>
      <w:sz w:val="18"/>
    </w:rPr>
  </w:style>
  <w:style w:type="character" w:styleId="884" w:customStyle="1">
    <w:name w:val="Endnote Text Char"/>
    <w:link w:val="719"/>
    <w:uiPriority w:val="99"/>
    <w:qFormat/>
    <w:rPr>
      <w:sz w:val="20"/>
    </w:rPr>
  </w:style>
  <w:style w:type="paragraph" w:styleId="885" w:customStyle="1">
    <w:name w:val="TOC Heading"/>
    <w:uiPriority w:val="39"/>
    <w:unhideWhenUsed/>
    <w:qFormat/>
    <w:rPr>
      <w:rFonts w:hint="default" w:ascii="Times New Roman" w:hAnsi="Times New Roman" w:eastAsia="宋体" w:cs="Times New Roman"/>
    </w:rPr>
  </w:style>
  <w:style w:type="paragraph" w:styleId="886" w:customStyle="1">
    <w:name w:val="标题 21"/>
    <w:basedOn w:val="698"/>
    <w:next w:val="887"/>
    <w:link w:val="91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87" w:customStyle="1">
    <w:name w:val="正文缩进1"/>
    <w:basedOn w:val="698"/>
    <w:link w:val="912"/>
    <w:uiPriority w:val="0"/>
    <w:qFormat/>
    <w:pPr>
      <w:ind w:firstLine="420"/>
    </w:pPr>
    <w:rPr>
      <w:szCs w:val="21"/>
    </w:rPr>
  </w:style>
  <w:style w:type="paragraph" w:styleId="888" w:customStyle="1">
    <w:name w:val="标题 31"/>
    <w:basedOn w:val="698"/>
    <w:next w:val="887"/>
    <w:link w:val="928"/>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89" w:customStyle="1">
    <w:name w:val="标题 41"/>
    <w:basedOn w:val="698"/>
    <w:next w:val="887"/>
    <w:link w:val="929"/>
    <w:uiPriority w:val="0"/>
    <w:qFormat/>
    <w:pPr>
      <w:keepLines/>
      <w:keepNext/>
      <w:spacing w:before="280" w:after="290" w:line="376" w:lineRule="auto"/>
      <w:outlineLvl w:val="3"/>
    </w:pPr>
    <w:rPr>
      <w:rFonts w:ascii="Arial" w:hAnsi="Arial" w:eastAsia="黑体" w:cs="Arial"/>
      <w:b/>
      <w:bCs/>
      <w:sz w:val="28"/>
      <w:szCs w:val="28"/>
    </w:rPr>
  </w:style>
  <w:style w:type="paragraph" w:styleId="890" w:customStyle="1">
    <w:name w:val="标题 51"/>
    <w:basedOn w:val="698"/>
    <w:next w:val="887"/>
    <w:link w:val="906"/>
    <w:uiPriority w:val="0"/>
    <w:qFormat/>
    <w:pPr>
      <w:keepNext/>
      <w:outlineLvl w:val="4"/>
    </w:pPr>
    <w:rPr>
      <w:rFonts w:ascii="宋体" w:hAnsi="Times New Roman" w:eastAsia="宋体" w:cs="Times New Roman"/>
      <w:color w:val="000000"/>
      <w:sz w:val="28"/>
      <w:szCs w:val="28"/>
    </w:rPr>
  </w:style>
  <w:style w:type="paragraph" w:styleId="891" w:customStyle="1">
    <w:name w:val="标题 61"/>
    <w:basedOn w:val="698"/>
    <w:next w:val="698"/>
    <w:link w:val="917"/>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92" w:customStyle="1">
    <w:name w:val="标题 71"/>
    <w:basedOn w:val="698"/>
    <w:next w:val="698"/>
    <w:link w:val="920"/>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93" w:customStyle="1">
    <w:name w:val="标题 81"/>
    <w:basedOn w:val="698"/>
    <w:next w:val="698"/>
    <w:link w:val="911"/>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94" w:customStyle="1">
    <w:name w:val="标题 91"/>
    <w:basedOn w:val="698"/>
    <w:next w:val="698"/>
    <w:link w:val="930"/>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95" w:customStyle="1">
    <w:name w:val="默认段落字体1"/>
    <w:link w:val="698"/>
    <w:uiPriority w:val="1"/>
    <w:unhideWhenUsed/>
    <w:qFormat/>
  </w:style>
  <w:style w:type="table" w:styleId="896" w:customStyle="1">
    <w:name w:val="普通表格11"/>
    <w:uiPriority w:val="99"/>
    <w:unhideWhenUsed/>
    <w:qFormat/>
    <w:tblPr/>
  </w:style>
  <w:style w:type="character" w:styleId="897" w:customStyle="1">
    <w:name w:val="要点1"/>
    <w:link w:val="698"/>
    <w:uiPriority w:val="0"/>
    <w:qFormat/>
    <w:rPr>
      <w:b/>
      <w:bCs/>
    </w:rPr>
  </w:style>
  <w:style w:type="character" w:styleId="898" w:customStyle="1">
    <w:name w:val="页码1"/>
    <w:link w:val="698"/>
    <w:uiPriority w:val="0"/>
    <w:qFormat/>
  </w:style>
  <w:style w:type="character" w:styleId="899" w:customStyle="1">
    <w:name w:val="批注引用1"/>
    <w:link w:val="698"/>
    <w:uiPriority w:val="0"/>
    <w:semiHidden/>
    <w:qFormat/>
    <w:rPr>
      <w:sz w:val="21"/>
      <w:szCs w:val="21"/>
    </w:rPr>
  </w:style>
  <w:style w:type="character" w:styleId="900" w:customStyle="1">
    <w:name w:val="已访问的超链接1"/>
    <w:link w:val="698"/>
    <w:uiPriority w:val="0"/>
    <w:qFormat/>
    <w:rPr>
      <w:color w:val="800080"/>
      <w:u w:val="single"/>
    </w:rPr>
  </w:style>
  <w:style w:type="character" w:styleId="901" w:customStyle="1">
    <w:name w:val="超链接1"/>
    <w:link w:val="698"/>
    <w:uiPriority w:val="0"/>
    <w:qFormat/>
    <w:rPr>
      <w:color w:val="0000ff"/>
      <w:u w:val="single"/>
    </w:rPr>
  </w:style>
  <w:style w:type="character" w:styleId="902" w:customStyle="1">
    <w:name w:val="列出段落 Char"/>
    <w:link w:val="903"/>
    <w:uiPriority w:val="0"/>
    <w:qFormat/>
    <w:rPr>
      <w:rFonts w:ascii="Calibri" w:hAnsi="Calibri"/>
      <w:sz w:val="24"/>
      <w:szCs w:val="24"/>
      <w:lang w:eastAsia="en-US" w:bidi="en-US"/>
    </w:rPr>
  </w:style>
  <w:style w:type="paragraph" w:styleId="903" w:customStyle="1">
    <w:name w:val="列出段落1"/>
    <w:basedOn w:val="698"/>
    <w:link w:val="902"/>
    <w:uiPriority w:val="0"/>
    <w:qFormat/>
    <w:pPr>
      <w:contextualSpacing/>
      <w:ind w:left="720"/>
      <w:jc w:val="left"/>
      <w:widowControl/>
    </w:pPr>
    <w:rPr>
      <w:rFonts w:ascii="Calibri" w:hAnsi="Calibri"/>
      <w:sz w:val="24"/>
      <w:szCs w:val="24"/>
      <w:lang w:eastAsia="en-US" w:bidi="en-US"/>
    </w:rPr>
  </w:style>
  <w:style w:type="character" w:styleId="904" w:customStyle="1">
    <w:name w:val="正文文本缩进 2 Char"/>
    <w:link w:val="905"/>
    <w:uiPriority w:val="0"/>
    <w:qFormat/>
    <w:rPr>
      <w:rFonts w:ascii="Arial" w:hAnsi="Arial" w:eastAsia="仿宋_GB2312" w:cs="Arial"/>
      <w:sz w:val="32"/>
      <w:szCs w:val="32"/>
    </w:rPr>
  </w:style>
  <w:style w:type="paragraph" w:styleId="905" w:customStyle="1">
    <w:name w:val="正文文本缩进 21"/>
    <w:basedOn w:val="698"/>
    <w:link w:val="904"/>
    <w:uiPriority w:val="0"/>
    <w:qFormat/>
    <w:pPr>
      <w:ind w:left="630" w:firstLine="645"/>
    </w:pPr>
    <w:rPr>
      <w:rFonts w:ascii="Arial" w:hAnsi="Arial" w:eastAsia="仿宋_GB2312" w:cs="Arial"/>
      <w:sz w:val="32"/>
      <w:szCs w:val="32"/>
    </w:rPr>
  </w:style>
  <w:style w:type="character" w:styleId="906" w:customStyle="1">
    <w:name w:val="标题 5 Char"/>
    <w:link w:val="890"/>
    <w:uiPriority w:val="0"/>
    <w:qFormat/>
    <w:rPr>
      <w:rFonts w:ascii="宋体" w:hAnsi="Times New Roman" w:eastAsia="宋体" w:cs="Times New Roman"/>
      <w:color w:val="000000"/>
      <w:sz w:val="28"/>
      <w:szCs w:val="28"/>
    </w:rPr>
  </w:style>
  <w:style w:type="character" w:styleId="907" w:customStyle="1">
    <w:name w:val="正文文本 2 Char"/>
    <w:link w:val="908"/>
    <w:uiPriority w:val="0"/>
    <w:qFormat/>
    <w:rPr>
      <w:rFonts w:ascii="楷体_GB2312" w:hAnsi="Times New Roman" w:eastAsia="楷体_GB2312" w:cs="Times New Roman"/>
      <w:sz w:val="28"/>
      <w:szCs w:val="28"/>
    </w:rPr>
  </w:style>
  <w:style w:type="paragraph" w:styleId="908" w:customStyle="1">
    <w:name w:val="正文文本 21"/>
    <w:basedOn w:val="698"/>
    <w:link w:val="907"/>
    <w:uiPriority w:val="0"/>
    <w:qFormat/>
    <w:pPr>
      <w:jc w:val="center"/>
      <w:widowControl/>
    </w:pPr>
    <w:rPr>
      <w:rFonts w:ascii="楷体_GB2312" w:hAnsi="Times New Roman" w:eastAsia="楷体_GB2312" w:cs="Times New Roman"/>
      <w:sz w:val="28"/>
      <w:szCs w:val="28"/>
    </w:rPr>
  </w:style>
  <w:style w:type="character" w:styleId="909" w:customStyle="1">
    <w:name w:val="批注文字 Char"/>
    <w:basedOn w:val="895"/>
    <w:link w:val="910"/>
    <w:uiPriority w:val="99"/>
    <w:semiHidden/>
    <w:qFormat/>
  </w:style>
  <w:style w:type="paragraph" w:styleId="910" w:customStyle="1">
    <w:name w:val="批注文字1"/>
    <w:basedOn w:val="698"/>
    <w:link w:val="909"/>
    <w:uiPriority w:val="0"/>
    <w:unhideWhenUsed/>
    <w:qFormat/>
    <w:pPr>
      <w:jc w:val="left"/>
    </w:pPr>
  </w:style>
  <w:style w:type="character" w:styleId="911" w:customStyle="1">
    <w:name w:val="标题 8 Char"/>
    <w:link w:val="893"/>
    <w:uiPriority w:val="0"/>
    <w:qFormat/>
    <w:rPr>
      <w:rFonts w:ascii="Arial" w:hAnsi="Arial" w:eastAsia="黑体" w:cs="Times New Roman"/>
      <w:sz w:val="24"/>
      <w:szCs w:val="24"/>
    </w:rPr>
  </w:style>
  <w:style w:type="character" w:styleId="912" w:customStyle="1">
    <w:name w:val="正文缩进 Char"/>
    <w:link w:val="887"/>
    <w:uiPriority w:val="0"/>
    <w:qFormat/>
    <w:rPr>
      <w:szCs w:val="21"/>
    </w:rPr>
  </w:style>
  <w:style w:type="character" w:styleId="913" w:customStyle="1">
    <w:name w:val="标题 2 Char"/>
    <w:link w:val="886"/>
    <w:uiPriority w:val="0"/>
    <w:qFormat/>
    <w:rPr>
      <w:rFonts w:ascii="Arial" w:hAnsi="Arial" w:eastAsia="幼圆" w:cs="Arial"/>
      <w:b/>
      <w:bCs/>
      <w:sz w:val="44"/>
      <w:szCs w:val="44"/>
    </w:rPr>
  </w:style>
  <w:style w:type="character" w:styleId="914" w:customStyle="1">
    <w:name w:val="页脚 Char"/>
    <w:link w:val="915"/>
    <w:uiPriority w:val="0"/>
    <w:qFormat/>
    <w:rPr>
      <w:rFonts w:ascii="Times New Roman" w:hAnsi="Times New Roman" w:eastAsia="宋体" w:cs="Times New Roman"/>
      <w:sz w:val="18"/>
      <w:szCs w:val="18"/>
    </w:rPr>
  </w:style>
  <w:style w:type="paragraph" w:styleId="915" w:customStyle="1">
    <w:name w:val="页脚1"/>
    <w:basedOn w:val="698"/>
    <w:link w:val="914"/>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16" w:customStyle="1">
    <w:name w:val="NormalCharacter1"/>
    <w:link w:val="698"/>
    <w:uiPriority w:val="0"/>
    <w:semiHidden/>
    <w:qFormat/>
  </w:style>
  <w:style w:type="character" w:styleId="917" w:customStyle="1">
    <w:name w:val="标题 6 Char"/>
    <w:link w:val="891"/>
    <w:uiPriority w:val="0"/>
    <w:qFormat/>
    <w:rPr>
      <w:rFonts w:ascii="Arial" w:hAnsi="Arial" w:eastAsia="黑体" w:cs="Times New Roman"/>
      <w:b/>
      <w:bCs/>
      <w:sz w:val="24"/>
      <w:szCs w:val="24"/>
    </w:rPr>
  </w:style>
  <w:style w:type="character" w:styleId="918" w:customStyle="1">
    <w:name w:val="批注主题 Char"/>
    <w:link w:val="919"/>
    <w:uiPriority w:val="0"/>
    <w:semiHidden/>
    <w:qFormat/>
    <w:rPr>
      <w:rFonts w:ascii="Times New Roman" w:hAnsi="Times New Roman" w:eastAsia="宋体" w:cs="Times New Roman"/>
      <w:b/>
      <w:bCs/>
      <w:szCs w:val="21"/>
    </w:rPr>
  </w:style>
  <w:style w:type="paragraph" w:styleId="919" w:customStyle="1">
    <w:name w:val="批注主题1"/>
    <w:basedOn w:val="910"/>
    <w:next w:val="910"/>
    <w:link w:val="918"/>
    <w:uiPriority w:val="0"/>
    <w:semiHidden/>
    <w:qFormat/>
    <w:rPr>
      <w:rFonts w:ascii="Times New Roman" w:hAnsi="Times New Roman" w:eastAsia="宋体" w:cs="Times New Roman"/>
      <w:b/>
      <w:bCs/>
      <w:szCs w:val="21"/>
    </w:rPr>
  </w:style>
  <w:style w:type="character" w:styleId="920" w:customStyle="1">
    <w:name w:val="标题 7 Char"/>
    <w:link w:val="892"/>
    <w:uiPriority w:val="0"/>
    <w:qFormat/>
    <w:rPr>
      <w:rFonts w:ascii="Times New Roman" w:hAnsi="Times New Roman" w:eastAsia="宋体" w:cs="Times New Roman"/>
      <w:b/>
      <w:bCs/>
      <w:sz w:val="24"/>
      <w:szCs w:val="24"/>
    </w:rPr>
  </w:style>
  <w:style w:type="character" w:styleId="921" w:customStyle="1">
    <w:name w:val="font5 Char"/>
    <w:link w:val="698"/>
    <w:uiPriority w:val="0"/>
    <w:qFormat/>
    <w:rPr>
      <w:rFonts w:ascii="宋体" w:hAnsi="宋体" w:eastAsia="宋体"/>
      <w:sz w:val="28"/>
      <w:szCs w:val="28"/>
      <w:lang w:val="en-US" w:eastAsia="zh-CN" w:bidi="ar-SA"/>
    </w:rPr>
  </w:style>
  <w:style w:type="character" w:styleId="922" w:customStyle="1">
    <w:name w:val="正文文本缩进 Char"/>
    <w:basedOn w:val="895"/>
    <w:link w:val="738"/>
    <w:uiPriority w:val="99"/>
    <w:semiHidden/>
    <w:qFormat/>
  </w:style>
  <w:style w:type="character" w:styleId="923" w:customStyle="1">
    <w:name w:val="日期 Char"/>
    <w:link w:val="924"/>
    <w:uiPriority w:val="0"/>
    <w:qFormat/>
    <w:rPr>
      <w:rFonts w:ascii="Times New Roman" w:hAnsi="Times New Roman" w:eastAsia="宋体" w:cs="Times New Roman"/>
      <w:sz w:val="24"/>
      <w:szCs w:val="24"/>
    </w:rPr>
  </w:style>
  <w:style w:type="paragraph" w:styleId="924" w:customStyle="1">
    <w:name w:val="日期1"/>
    <w:basedOn w:val="698"/>
    <w:next w:val="698"/>
    <w:link w:val="923"/>
    <w:uiPriority w:val="0"/>
    <w:qFormat/>
    <w:rPr>
      <w:rFonts w:ascii="Times New Roman" w:hAnsi="Times New Roman" w:eastAsia="宋体" w:cs="Times New Roman"/>
      <w:sz w:val="24"/>
      <w:szCs w:val="24"/>
    </w:rPr>
  </w:style>
  <w:style w:type="character" w:styleId="925" w:customStyle="1">
    <w:name w:val="正文首行缩进 2 Char"/>
    <w:link w:val="737"/>
    <w:uiPriority w:val="0"/>
    <w:qFormat/>
    <w:rPr>
      <w:rFonts w:ascii="宋体" w:hAnsi="宋体" w:eastAsia="宋体" w:cs="Times New Roman"/>
      <w:szCs w:val="20"/>
    </w:rPr>
  </w:style>
  <w:style w:type="character" w:styleId="926" w:customStyle="1">
    <w:name w:val="正文文本 Char"/>
    <w:link w:val="927"/>
    <w:uiPriority w:val="0"/>
    <w:qFormat/>
    <w:rPr>
      <w:rFonts w:ascii="楷体_GB2312" w:hAnsi="Arial" w:eastAsia="楷体_GB2312" w:cs="Times New Roman"/>
      <w:sz w:val="28"/>
      <w:szCs w:val="28"/>
    </w:rPr>
  </w:style>
  <w:style w:type="paragraph" w:styleId="927" w:customStyle="1">
    <w:name w:val="正文文本11"/>
    <w:basedOn w:val="698"/>
    <w:link w:val="926"/>
    <w:uiPriority w:val="0"/>
    <w:qFormat/>
    <w:rPr>
      <w:rFonts w:ascii="楷体_GB2312" w:hAnsi="Arial" w:eastAsia="楷体_GB2312" w:cs="Times New Roman"/>
      <w:sz w:val="28"/>
      <w:szCs w:val="28"/>
    </w:rPr>
  </w:style>
  <w:style w:type="character" w:styleId="928" w:customStyle="1">
    <w:name w:val="标题 3 Char"/>
    <w:link w:val="888"/>
    <w:uiPriority w:val="0"/>
    <w:qFormat/>
    <w:rPr>
      <w:rFonts w:ascii="Times New Roman" w:hAnsi="Times New Roman" w:eastAsia="宋体" w:cs="Times New Roman"/>
      <w:b/>
      <w:bCs/>
      <w:sz w:val="32"/>
      <w:szCs w:val="32"/>
    </w:rPr>
  </w:style>
  <w:style w:type="character" w:styleId="929" w:customStyle="1">
    <w:name w:val="标题 4 Char"/>
    <w:link w:val="889"/>
    <w:uiPriority w:val="0"/>
    <w:qFormat/>
    <w:rPr>
      <w:rFonts w:ascii="Arial" w:hAnsi="Arial" w:eastAsia="黑体" w:cs="Arial"/>
      <w:b/>
      <w:bCs/>
      <w:sz w:val="28"/>
      <w:szCs w:val="28"/>
    </w:rPr>
  </w:style>
  <w:style w:type="character" w:styleId="930" w:customStyle="1">
    <w:name w:val="标题 9 Char"/>
    <w:link w:val="894"/>
    <w:uiPriority w:val="0"/>
    <w:qFormat/>
    <w:rPr>
      <w:rFonts w:ascii="Arial" w:hAnsi="Arial" w:eastAsia="黑体" w:cs="Times New Roman"/>
      <w:szCs w:val="21"/>
    </w:rPr>
  </w:style>
  <w:style w:type="character" w:styleId="931" w:customStyle="1">
    <w:name w:val="文档结构图 Char"/>
    <w:link w:val="932"/>
    <w:uiPriority w:val="0"/>
    <w:semiHidden/>
    <w:qFormat/>
    <w:rPr>
      <w:rFonts w:ascii="Times New Roman" w:hAnsi="Times New Roman" w:eastAsia="宋体" w:cs="Times New Roman"/>
      <w:szCs w:val="21"/>
      <w:shd w:val="clear" w:color="auto" w:fill="000080"/>
    </w:rPr>
  </w:style>
  <w:style w:type="paragraph" w:styleId="932" w:customStyle="1">
    <w:name w:val="文档结构图1"/>
    <w:basedOn w:val="698"/>
    <w:link w:val="931"/>
    <w:uiPriority w:val="0"/>
    <w:semiHidden/>
    <w:qFormat/>
    <w:pPr>
      <w:shd w:val="clear" w:color="auto" w:fill="000080"/>
    </w:pPr>
    <w:rPr>
      <w:rFonts w:ascii="Times New Roman" w:hAnsi="Times New Roman" w:eastAsia="宋体" w:cs="Times New Roman"/>
      <w:szCs w:val="21"/>
    </w:rPr>
  </w:style>
  <w:style w:type="character" w:styleId="933" w:customStyle="1">
    <w:name w:val="正文文本 3 Char"/>
    <w:link w:val="934"/>
    <w:uiPriority w:val="0"/>
    <w:qFormat/>
    <w:rPr>
      <w:rFonts w:ascii="仿宋_GB2312" w:hAnsi="Arial" w:eastAsia="仿宋_GB2312" w:cs="Times New Roman"/>
      <w:sz w:val="32"/>
      <w:szCs w:val="32"/>
    </w:rPr>
  </w:style>
  <w:style w:type="paragraph" w:styleId="934" w:customStyle="1">
    <w:name w:val="正文文本 31"/>
    <w:basedOn w:val="698"/>
    <w:link w:val="933"/>
    <w:uiPriority w:val="0"/>
    <w:qFormat/>
    <w:rPr>
      <w:rFonts w:ascii="仿宋_GB2312" w:hAnsi="Arial" w:eastAsia="仿宋_GB2312" w:cs="Times New Roman"/>
      <w:sz w:val="32"/>
      <w:szCs w:val="32"/>
    </w:rPr>
  </w:style>
  <w:style w:type="character" w:styleId="935" w:customStyle="1">
    <w:name w:val="纯文本 Char"/>
    <w:link w:val="936"/>
    <w:uiPriority w:val="0"/>
    <w:qFormat/>
    <w:rPr>
      <w:rFonts w:ascii="宋体" w:hAnsi="Courier New" w:eastAsia="宋体" w:cs="Courier New"/>
      <w:szCs w:val="21"/>
    </w:rPr>
  </w:style>
  <w:style w:type="paragraph" w:styleId="936" w:customStyle="1">
    <w:name w:val="纯文本11"/>
    <w:basedOn w:val="698"/>
    <w:link w:val="935"/>
    <w:uiPriority w:val="0"/>
    <w:qFormat/>
    <w:rPr>
      <w:rFonts w:ascii="宋体" w:hAnsi="Courier New" w:eastAsia="宋体" w:cs="Courier New"/>
      <w:szCs w:val="21"/>
    </w:rPr>
  </w:style>
  <w:style w:type="character" w:styleId="937" w:customStyle="1">
    <w:name w:val="批注框文本 Char"/>
    <w:link w:val="938"/>
    <w:uiPriority w:val="0"/>
    <w:semiHidden/>
    <w:qFormat/>
    <w:rPr>
      <w:rFonts w:ascii="Times New Roman" w:hAnsi="Times New Roman" w:eastAsia="宋体" w:cs="Times New Roman"/>
      <w:sz w:val="18"/>
      <w:szCs w:val="18"/>
    </w:rPr>
  </w:style>
  <w:style w:type="paragraph" w:styleId="938" w:customStyle="1">
    <w:name w:val="批注框文本1"/>
    <w:basedOn w:val="698"/>
    <w:link w:val="937"/>
    <w:uiPriority w:val="0"/>
    <w:semiHidden/>
    <w:qFormat/>
    <w:rPr>
      <w:rFonts w:ascii="Times New Roman" w:hAnsi="Times New Roman" w:eastAsia="宋体" w:cs="Times New Roman"/>
      <w:sz w:val="18"/>
      <w:szCs w:val="18"/>
    </w:rPr>
  </w:style>
  <w:style w:type="character" w:styleId="939" w:customStyle="1">
    <w:name w:val="页眉 Char"/>
    <w:link w:val="940"/>
    <w:uiPriority w:val="0"/>
    <w:qFormat/>
    <w:rPr>
      <w:rFonts w:ascii="Times New Roman" w:hAnsi="Times New Roman" w:eastAsia="宋体" w:cs="Times New Roman"/>
      <w:sz w:val="18"/>
      <w:szCs w:val="18"/>
    </w:rPr>
  </w:style>
  <w:style w:type="paragraph" w:styleId="940" w:customStyle="1">
    <w:name w:val="页眉1"/>
    <w:basedOn w:val="698"/>
    <w:link w:val="939"/>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41" w:customStyle="1">
    <w:name w:val="正文文本缩进 3 Char"/>
    <w:link w:val="942"/>
    <w:uiPriority w:val="0"/>
    <w:qFormat/>
    <w:rPr>
      <w:rFonts w:ascii="Arial" w:hAnsi="Arial" w:eastAsia="仿宋_GB2312" w:cs="Arial"/>
      <w:color w:val="ffff00"/>
      <w:sz w:val="32"/>
      <w:szCs w:val="32"/>
    </w:rPr>
  </w:style>
  <w:style w:type="paragraph" w:styleId="942" w:customStyle="1">
    <w:name w:val="正文文本缩进 31"/>
    <w:basedOn w:val="698"/>
    <w:link w:val="941"/>
    <w:uiPriority w:val="0"/>
    <w:qFormat/>
    <w:pPr>
      <w:ind w:left="645" w:firstLine="645"/>
    </w:pPr>
    <w:rPr>
      <w:rFonts w:ascii="Arial" w:hAnsi="Arial" w:eastAsia="仿宋_GB2312" w:cs="Arial"/>
      <w:color w:val="ffff00"/>
      <w:sz w:val="32"/>
      <w:szCs w:val="32"/>
    </w:rPr>
  </w:style>
  <w:style w:type="character" w:styleId="943" w:customStyle="1">
    <w:name w:val="正文首行缩进 Char"/>
    <w:link w:val="944"/>
    <w:uiPriority w:val="0"/>
    <w:qFormat/>
    <w:rPr>
      <w:rFonts w:ascii="仿宋_GB2312" w:hAnsi="Times New Roman" w:eastAsia="仿宋_GB2312" w:cs="Times New Roman"/>
      <w:sz w:val="30"/>
      <w:szCs w:val="30"/>
    </w:rPr>
  </w:style>
  <w:style w:type="paragraph" w:styleId="944" w:customStyle="1">
    <w:name w:val="正文首行缩进1"/>
    <w:basedOn w:val="698"/>
    <w:link w:val="943"/>
    <w:uiPriority w:val="0"/>
    <w:qFormat/>
    <w:pPr>
      <w:ind w:firstLine="200"/>
      <w:spacing w:line="360" w:lineRule="auto"/>
    </w:pPr>
    <w:rPr>
      <w:rFonts w:ascii="仿宋_GB2312" w:hAnsi="Times New Roman" w:eastAsia="仿宋_GB2312" w:cs="Times New Roman"/>
      <w:sz w:val="30"/>
      <w:szCs w:val="30"/>
    </w:rPr>
  </w:style>
  <w:style w:type="character" w:styleId="945" w:customStyle="1">
    <w:name w:val="二级目录 Char"/>
    <w:link w:val="946"/>
    <w:uiPriority w:val="0"/>
    <w:qFormat/>
    <w:rPr>
      <w:b/>
      <w:sz w:val="30"/>
      <w:szCs w:val="28"/>
    </w:rPr>
  </w:style>
  <w:style w:type="paragraph" w:styleId="946" w:customStyle="1">
    <w:name w:val="二级目录"/>
    <w:next w:val="698"/>
    <w:link w:val="945"/>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paragraph" w:styleId="947" w:customStyle="1">
    <w:name w:val="目录 61"/>
    <w:basedOn w:val="698"/>
    <w:next w:val="698"/>
    <w:uiPriority w:val="0"/>
    <w:semiHidden/>
    <w:qFormat/>
    <w:pPr>
      <w:ind w:left="1050"/>
      <w:jc w:val="left"/>
    </w:pPr>
    <w:rPr>
      <w:rFonts w:ascii="Times New Roman" w:hAnsi="Times New Roman" w:eastAsia="宋体" w:cs="Times New Roman"/>
      <w:szCs w:val="21"/>
    </w:rPr>
  </w:style>
  <w:style w:type="paragraph" w:styleId="948" w:customStyle="1">
    <w:name w:val="列表 21"/>
    <w:basedOn w:val="698"/>
    <w:uiPriority w:val="0"/>
    <w:qFormat/>
    <w:pPr>
      <w:ind w:left="100" w:hanging="200"/>
    </w:pPr>
    <w:rPr>
      <w:rFonts w:ascii="Times New Roman" w:hAnsi="Times New Roman" w:eastAsia="宋体" w:cs="Times New Roman"/>
      <w:szCs w:val="21"/>
    </w:rPr>
  </w:style>
  <w:style w:type="paragraph" w:styleId="949" w:customStyle="1">
    <w:name w:val="目录 31"/>
    <w:basedOn w:val="698"/>
    <w:next w:val="698"/>
    <w:uiPriority w:val="0"/>
    <w:semiHidden/>
    <w:qFormat/>
    <w:pPr>
      <w:ind w:left="420"/>
      <w:jc w:val="left"/>
    </w:pPr>
    <w:rPr>
      <w:rFonts w:ascii="Times New Roman" w:hAnsi="Times New Roman" w:eastAsia="宋体" w:cs="Times New Roman"/>
      <w:i/>
      <w:iCs/>
      <w:szCs w:val="24"/>
    </w:rPr>
  </w:style>
  <w:style w:type="paragraph" w:styleId="950" w:customStyle="1">
    <w:name w:val="目录 51"/>
    <w:basedOn w:val="698"/>
    <w:next w:val="698"/>
    <w:uiPriority w:val="0"/>
    <w:semiHidden/>
    <w:qFormat/>
    <w:pPr>
      <w:ind w:left="840"/>
      <w:jc w:val="left"/>
    </w:pPr>
    <w:rPr>
      <w:rFonts w:ascii="Times New Roman" w:hAnsi="Times New Roman" w:eastAsia="宋体" w:cs="Times New Roman"/>
      <w:szCs w:val="21"/>
    </w:rPr>
  </w:style>
  <w:style w:type="paragraph" w:styleId="951" w:customStyle="1">
    <w:name w:val="普通(网站)1"/>
    <w:basedOn w:val="698"/>
    <w:uiPriority w:val="99"/>
    <w:qFormat/>
    <w:pPr>
      <w:jc w:val="left"/>
      <w:spacing w:before="100" w:beforeAutospacing="1" w:after="100" w:afterAutospacing="1"/>
      <w:widowControl/>
    </w:pPr>
    <w:rPr>
      <w:rFonts w:ascii="宋体" w:hAnsi="宋体" w:eastAsia="宋体" w:cs="宋体"/>
      <w:sz w:val="24"/>
      <w:szCs w:val="24"/>
    </w:rPr>
  </w:style>
  <w:style w:type="paragraph" w:styleId="952" w:customStyle="1">
    <w:name w:val="目录 91"/>
    <w:basedOn w:val="698"/>
    <w:next w:val="698"/>
    <w:uiPriority w:val="0"/>
    <w:semiHidden/>
    <w:qFormat/>
    <w:pPr>
      <w:ind w:left="1680"/>
      <w:jc w:val="left"/>
    </w:pPr>
    <w:rPr>
      <w:rFonts w:ascii="Times New Roman" w:hAnsi="Times New Roman" w:eastAsia="宋体" w:cs="Times New Roman"/>
      <w:szCs w:val="21"/>
    </w:rPr>
  </w:style>
  <w:style w:type="paragraph" w:styleId="953" w:customStyle="1">
    <w:name w:val="索引 11"/>
    <w:basedOn w:val="698"/>
    <w:next w:val="698"/>
    <w:uiPriority w:val="0"/>
    <w:semiHidden/>
    <w:qFormat/>
    <w:pPr>
      <w:spacing w:line="240" w:lineRule="atLeast"/>
    </w:pPr>
    <w:rPr>
      <w:rFonts w:ascii="Times New Roman" w:hAnsi="Times New Roman" w:eastAsia="宋体" w:cs="Times New Roman"/>
      <w:b/>
      <w:bCs/>
      <w:szCs w:val="21"/>
    </w:rPr>
  </w:style>
  <w:style w:type="paragraph" w:styleId="954" w:customStyle="1">
    <w:name w:val="索引 411"/>
    <w:basedOn w:val="698"/>
    <w:next w:val="698"/>
    <w:uiPriority w:val="0"/>
    <w:semiHidden/>
    <w:qFormat/>
    <w:pPr>
      <w:ind w:left="1260"/>
    </w:pPr>
    <w:rPr>
      <w:rFonts w:ascii="Calibri" w:hAnsi="Calibri" w:eastAsia="Calibri" w:cs="宋体"/>
      <w:sz w:val="20"/>
      <w:lang w:val="zh-CN"/>
    </w:rPr>
  </w:style>
  <w:style w:type="paragraph" w:styleId="955" w:customStyle="1">
    <w:name w:val="列表 31"/>
    <w:basedOn w:val="698"/>
    <w:uiPriority w:val="0"/>
    <w:qFormat/>
    <w:pPr>
      <w:ind w:left="100" w:hanging="200"/>
    </w:pPr>
    <w:rPr>
      <w:rFonts w:ascii="Times New Roman" w:hAnsi="Times New Roman" w:eastAsia="宋体" w:cs="Times New Roman"/>
      <w:szCs w:val="21"/>
    </w:rPr>
  </w:style>
  <w:style w:type="paragraph" w:styleId="956" w:customStyle="1">
    <w:name w:val="目录 71"/>
    <w:basedOn w:val="698"/>
    <w:next w:val="698"/>
    <w:uiPriority w:val="0"/>
    <w:semiHidden/>
    <w:qFormat/>
    <w:pPr>
      <w:ind w:left="1260"/>
      <w:jc w:val="left"/>
    </w:pPr>
    <w:rPr>
      <w:rFonts w:ascii="Times New Roman" w:hAnsi="Times New Roman" w:eastAsia="宋体" w:cs="Times New Roman"/>
      <w:szCs w:val="21"/>
    </w:rPr>
  </w:style>
  <w:style w:type="paragraph" w:styleId="957" w:customStyle="1">
    <w:name w:val="图表目录1"/>
    <w:basedOn w:val="698"/>
    <w:next w:val="698"/>
    <w:uiPriority w:val="0"/>
    <w:semiHidden/>
    <w:qFormat/>
    <w:pPr>
      <w:ind w:left="840" w:hanging="420"/>
    </w:pPr>
    <w:rPr>
      <w:rFonts w:ascii="Times New Roman" w:hAnsi="Times New Roman" w:eastAsia="宋体" w:cs="Times New Roman"/>
      <w:szCs w:val="21"/>
    </w:rPr>
  </w:style>
  <w:style w:type="paragraph" w:styleId="958" w:customStyle="1">
    <w:name w:val="目录 41"/>
    <w:basedOn w:val="698"/>
    <w:next w:val="698"/>
    <w:uiPriority w:val="0"/>
    <w:semiHidden/>
    <w:qFormat/>
    <w:pPr>
      <w:ind w:left="630"/>
      <w:jc w:val="left"/>
    </w:pPr>
    <w:rPr>
      <w:rFonts w:ascii="Times New Roman" w:hAnsi="Times New Roman" w:eastAsia="宋体" w:cs="Times New Roman"/>
      <w:szCs w:val="21"/>
    </w:rPr>
  </w:style>
  <w:style w:type="paragraph" w:styleId="959" w:customStyle="1">
    <w:name w:val="目录 21"/>
    <w:basedOn w:val="698"/>
    <w:next w:val="698"/>
    <w:uiPriority w:val="0"/>
    <w:semiHidden/>
    <w:qFormat/>
    <w:pPr>
      <w:ind w:left="210"/>
      <w:jc w:val="left"/>
    </w:pPr>
    <w:rPr>
      <w:rFonts w:ascii="Times New Roman" w:hAnsi="Times New Roman" w:eastAsia="宋体" w:cs="Times New Roman"/>
      <w:smallCaps/>
      <w:szCs w:val="24"/>
    </w:rPr>
  </w:style>
  <w:style w:type="paragraph" w:styleId="960" w:customStyle="1">
    <w:name w:val="列表1"/>
    <w:basedOn w:val="698"/>
    <w:uiPriority w:val="0"/>
    <w:qFormat/>
    <w:pPr>
      <w:ind w:left="200" w:hanging="200"/>
    </w:pPr>
    <w:rPr>
      <w:rFonts w:ascii="Times New Roman" w:hAnsi="Times New Roman" w:eastAsia="宋体" w:cs="Times New Roman"/>
      <w:szCs w:val="21"/>
    </w:rPr>
  </w:style>
  <w:style w:type="paragraph" w:styleId="961" w:customStyle="1">
    <w:name w:val="目录 11"/>
    <w:basedOn w:val="698"/>
    <w:next w:val="698"/>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62" w:customStyle="1">
    <w:name w:val="目录 81"/>
    <w:basedOn w:val="698"/>
    <w:next w:val="698"/>
    <w:uiPriority w:val="0"/>
    <w:semiHidden/>
    <w:qFormat/>
    <w:pPr>
      <w:ind w:left="1470"/>
      <w:jc w:val="left"/>
    </w:pPr>
    <w:rPr>
      <w:rFonts w:ascii="Times New Roman" w:hAnsi="Times New Roman" w:eastAsia="宋体" w:cs="Times New Roman"/>
      <w:szCs w:val="21"/>
    </w:rPr>
  </w:style>
  <w:style w:type="paragraph" w:styleId="963" w:customStyle="1">
    <w:name w:val="xl24"/>
    <w:basedOn w:val="69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4" w:customStyle="1">
    <w:name w:val=" Char"/>
    <w:basedOn w:val="932"/>
    <w:uiPriority w:val="0"/>
    <w:qFormat/>
    <w:rPr>
      <w:rFonts w:ascii="Tahoma" w:hAnsi="Tahoma"/>
      <w:sz w:val="24"/>
      <w:szCs w:val="24"/>
    </w:rPr>
  </w:style>
  <w:style w:type="paragraph" w:styleId="965" w:customStyle="1">
    <w:name w:val="正文文本12"/>
    <w:basedOn w:val="698"/>
    <w:uiPriority w:val="1"/>
    <w:qFormat/>
    <w:pPr>
      <w:ind w:left="120"/>
    </w:pPr>
    <w:rPr>
      <w:rFonts w:ascii="宋体" w:hAnsi="宋体" w:eastAsia="宋体" w:cs="宋体"/>
      <w:sz w:val="21"/>
      <w:szCs w:val="21"/>
      <w:lang w:val="zh-CN" w:eastAsia="zh-CN" w:bidi="zh-CN"/>
    </w:rPr>
  </w:style>
  <w:style w:type="paragraph" w:styleId="966" w:customStyle="1">
    <w:name w:val="正文文本缩进1"/>
    <w:basedOn w:val="698"/>
    <w:next w:val="967"/>
    <w:uiPriority w:val="0"/>
    <w:unhideWhenUsed/>
    <w:qFormat/>
    <w:pPr>
      <w:ind w:left="420"/>
      <w:spacing w:after="120"/>
    </w:pPr>
  </w:style>
  <w:style w:type="paragraph" w:styleId="967" w:customStyle="1">
    <w:name w:val="正文文本首行缩进 2"/>
    <w:basedOn w:val="966"/>
    <w:uiPriority w:val="0"/>
    <w:qFormat/>
    <w:pPr>
      <w:ind w:left="0" w:firstLine="420"/>
      <w:spacing w:after="0" w:line="360" w:lineRule="auto"/>
    </w:pPr>
    <w:rPr>
      <w:rFonts w:ascii="宋体" w:hAnsi="宋体"/>
      <w:sz w:val="20"/>
      <w:szCs w:val="20"/>
      <w:lang w:val="en-US" w:eastAsia="en-US"/>
    </w:rPr>
  </w:style>
  <w:style w:type="paragraph" w:styleId="968" w:customStyle="1">
    <w:name w:val="xl26"/>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9" w:customStyle="1">
    <w:name w:val="Body Text(ch)"/>
    <w:basedOn w:val="698"/>
    <w:next w:val="927"/>
    <w:uiPriority w:val="0"/>
    <w:qFormat/>
    <w:pPr>
      <w:spacing w:after="120"/>
    </w:pPr>
    <w:rPr>
      <w:rFonts w:ascii="宋体" w:hAnsi="Arial" w:eastAsia="宋体" w:cs="Times New Roman"/>
      <w:bCs/>
      <w:iCs/>
      <w:szCs w:val="24"/>
    </w:rPr>
  </w:style>
  <w:style w:type="paragraph" w:styleId="97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71" w:customStyle="1">
    <w:name w:val="索引 41"/>
    <w:basedOn w:val="698"/>
    <w:next w:val="698"/>
    <w:uiPriority w:val="0"/>
    <w:semiHidden/>
    <w:qFormat/>
    <w:pPr>
      <w:ind w:left="1260"/>
    </w:pPr>
    <w:rPr>
      <w:rFonts w:ascii="Calibri" w:hAnsi="Calibri" w:eastAsia="Calibri" w:cs="宋体"/>
      <w:sz w:val="20"/>
      <w:lang w:val="zh-CN"/>
    </w:rPr>
  </w:style>
  <w:style w:type="paragraph" w:styleId="972" w:customStyle="1">
    <w:name w:val="Char"/>
    <w:basedOn w:val="698"/>
    <w:uiPriority w:val="0"/>
    <w:qFormat/>
    <w:pPr>
      <w:ind w:firstLine="200"/>
      <w:tabs>
        <w:tab w:val="left" w:pos="360" w:leader="none"/>
      </w:tabs>
    </w:pPr>
    <w:rPr>
      <w:rFonts w:ascii="Times New Roman" w:hAnsi="Times New Roman" w:eastAsia="宋体" w:cs="Times New Roman"/>
      <w:sz w:val="28"/>
      <w:szCs w:val="30"/>
    </w:rPr>
  </w:style>
  <w:style w:type="paragraph" w:styleId="973" w:customStyle="1">
    <w:name w:val="179"/>
    <w:basedOn w:val="698"/>
    <w:uiPriority w:val="0"/>
    <w:qFormat/>
    <w:pPr>
      <w:ind w:firstLine="420"/>
    </w:pPr>
  </w:style>
  <w:style w:type="paragraph" w:styleId="974" w:customStyle="1">
    <w:name w:val="table_lines"/>
    <w:basedOn w:val="698"/>
    <w:uiPriority w:val="0"/>
    <w:qFormat/>
    <w:pPr>
      <w:jc w:val="left"/>
      <w:widowControl/>
    </w:pPr>
    <w:rPr>
      <w:rFonts w:ascii="Times New Roman" w:hAnsi="Times New Roman" w:eastAsia="宋体" w:cs="Times New Roman"/>
      <w:sz w:val="20"/>
      <w:szCs w:val="20"/>
      <w:lang w:val="de-DE" w:eastAsia="de-DE"/>
    </w:rPr>
  </w:style>
  <w:style w:type="paragraph" w:styleId="975" w:customStyle="1">
    <w:name w:val="xl27"/>
    <w:basedOn w:val="69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6" w:customStyle="1">
    <w:name w:val="普通正文"/>
    <w:basedOn w:val="698"/>
    <w:uiPriority w:val="0"/>
    <w:qFormat/>
    <w:pPr>
      <w:ind w:firstLine="480"/>
      <w:jc w:val="left"/>
      <w:spacing w:before="120" w:after="120" w:line="360" w:lineRule="auto"/>
    </w:pPr>
    <w:rPr>
      <w:rFonts w:ascii="Arial" w:hAnsi="Arial" w:eastAsia="宋体" w:cs="Times New Roman"/>
      <w:sz w:val="24"/>
      <w:szCs w:val="24"/>
    </w:rPr>
  </w:style>
  <w:style w:type="paragraph" w:styleId="977" w:customStyle="1">
    <w:name w:val="font7"/>
    <w:basedOn w:val="698"/>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78" w:customStyle="1">
    <w:name w:val=" Char Char Char Char"/>
    <w:basedOn w:val="932"/>
    <w:uiPriority w:val="0"/>
    <w:qFormat/>
    <w:pPr>
      <w:spacing w:line="360" w:lineRule="auto"/>
    </w:pPr>
    <w:rPr>
      <w:rFonts w:ascii="Tahoma" w:hAnsi="Tahoma"/>
      <w:sz w:val="24"/>
      <w:szCs w:val="24"/>
    </w:rPr>
  </w:style>
  <w:style w:type="paragraph" w:styleId="979">
    <w:name w:val="List Paragraph"/>
    <w:basedOn w:val="698"/>
    <w:uiPriority w:val="0"/>
    <w:qFormat/>
    <w:pPr>
      <w:contextualSpacing/>
      <w:ind w:left="720"/>
      <w:jc w:val="left"/>
      <w:widowControl/>
    </w:pPr>
    <w:rPr>
      <w:rFonts w:ascii="Calibri" w:hAnsi="Calibri" w:eastAsia="宋体" w:cs="Times New Roman"/>
      <w:sz w:val="24"/>
      <w:szCs w:val="24"/>
      <w:lang w:eastAsia="en-US" w:bidi="en-US"/>
    </w:rPr>
  </w:style>
  <w:style w:type="paragraph" w:styleId="980" w:customStyle="1">
    <w:name w:val="4"/>
    <w:basedOn w:val="698"/>
    <w:next w:val="942"/>
    <w:uiPriority w:val="0"/>
    <w:qFormat/>
    <w:pPr>
      <w:ind w:firstLine="420"/>
      <w:spacing w:line="360" w:lineRule="auto"/>
    </w:pPr>
    <w:rPr>
      <w:rFonts w:ascii="Times New Roman" w:hAnsi="Times New Roman" w:eastAsia="宋体" w:cs="Times New Roman"/>
      <w:color w:val="ff0000"/>
      <w:sz w:val="24"/>
      <w:szCs w:val="24"/>
    </w:rPr>
  </w:style>
  <w:style w:type="paragraph" w:styleId="981" w:customStyle="1">
    <w:name w:val="普通 (Web)"/>
    <w:basedOn w:val="698"/>
    <w:uiPriority w:val="0"/>
    <w:qFormat/>
    <w:pPr>
      <w:jc w:val="left"/>
      <w:spacing w:before="100" w:beforeAutospacing="1" w:after="100" w:afterAutospacing="1"/>
      <w:widowControl/>
    </w:pPr>
    <w:rPr>
      <w:rFonts w:ascii="宋体" w:hAnsi="宋体" w:eastAsia="宋体" w:cs="Times New Roman"/>
      <w:sz w:val="24"/>
      <w:szCs w:val="24"/>
    </w:rPr>
  </w:style>
  <w:style w:type="paragraph" w:styleId="982" w:customStyle="1">
    <w:name w:val="table_1stline"/>
    <w:basedOn w:val="698"/>
    <w:uiPriority w:val="0"/>
    <w:qFormat/>
    <w:pPr>
      <w:jc w:val="left"/>
      <w:spacing w:before="120"/>
      <w:widowControl/>
    </w:pPr>
    <w:rPr>
      <w:rFonts w:ascii="Times New Roman" w:hAnsi="Times New Roman" w:eastAsia="宋体" w:cs="Times New Roman"/>
      <w:bCs/>
      <w:sz w:val="20"/>
      <w:szCs w:val="20"/>
      <w:lang w:val="de-DE" w:eastAsia="de-DE"/>
    </w:rPr>
  </w:style>
  <w:style w:type="paragraph" w:styleId="983" w:customStyle="1">
    <w:name w:val=" Char Char Char Char Char Char Char Char Char Char"/>
    <w:basedOn w:val="698"/>
    <w:uiPriority w:val="0"/>
    <w:qFormat/>
    <w:pPr>
      <w:spacing w:line="360" w:lineRule="auto"/>
    </w:pPr>
    <w:rPr>
      <w:rFonts w:ascii="Times New Roman" w:hAnsi="Times New Roman" w:eastAsia="宋体" w:cs="Times New Roman"/>
      <w:sz w:val="24"/>
      <w:szCs w:val="20"/>
    </w:rPr>
  </w:style>
  <w:style w:type="paragraph" w:styleId="984" w:customStyle="1">
    <w:name w:val=" Char Char Char Char Char Char Char Char"/>
    <w:basedOn w:val="698"/>
    <w:uiPriority w:val="0"/>
    <w:qFormat/>
    <w:pPr>
      <w:jc w:val="left"/>
      <w:spacing w:after="160" w:line="240" w:lineRule="exact"/>
      <w:widowControl/>
    </w:pPr>
    <w:rPr>
      <w:rFonts w:ascii="Verdana" w:hAnsi="Verdana" w:eastAsia="宋体" w:cs="Times New Roman"/>
      <w:sz w:val="20"/>
      <w:szCs w:val="20"/>
      <w:lang w:eastAsia="en-US"/>
    </w:rPr>
  </w:style>
  <w:style w:type="paragraph" w:styleId="985" w:customStyle="1">
    <w:name w:val="样式1"/>
    <w:basedOn w:val="698"/>
    <w:uiPriority w:val="0"/>
    <w:qFormat/>
    <w:pPr>
      <w:numPr>
        <w:ilvl w:val="0"/>
        <w:numId w:val="3"/>
      </w:numPr>
    </w:pPr>
    <w:rPr>
      <w:rFonts w:ascii="宋体" w:hAnsi="宋体" w:eastAsia="宋体" w:cs="Times New Roman"/>
      <w:szCs w:val="21"/>
    </w:rPr>
  </w:style>
  <w:style w:type="paragraph" w:styleId="986" w:customStyle="1">
    <w:name w:val="font6"/>
    <w:basedOn w:val="698"/>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87" w:customStyle="1">
    <w:name w:val="xl25"/>
    <w:basedOn w:val="69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8" w:customStyle="1">
    <w:name w:val="图标"/>
    <w:basedOn w:val="698"/>
    <w:next w:val="69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9" w:customStyle="1">
    <w:name w:val="标题3"/>
    <w:basedOn w:val="698"/>
    <w:next w:val="698"/>
    <w:uiPriority w:val="0"/>
    <w:qFormat/>
    <w:pPr>
      <w:ind w:firstLine="624"/>
      <w:spacing w:line="590" w:lineRule="atLeast"/>
    </w:pPr>
    <w:rPr>
      <w:rFonts w:ascii="方正黑体_GBK" w:hAnsi="Times New Roman" w:eastAsia="方正黑体_GBK" w:cs="Times New Roman"/>
      <w:sz w:val="32"/>
      <w:szCs w:val="32"/>
    </w:rPr>
  </w:style>
  <w:style w:type="paragraph" w:styleId="990" w:customStyle="1">
    <w:name w:val="xl29"/>
    <w:basedOn w:val="698"/>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91" w:customStyle="1">
    <w:name w:val="Char Char Char Char Char Char Char Char"/>
    <w:basedOn w:val="698"/>
    <w:uiPriority w:val="0"/>
    <w:qFormat/>
    <w:pPr>
      <w:jc w:val="left"/>
      <w:spacing w:after="160" w:line="240" w:lineRule="exact"/>
      <w:widowControl/>
    </w:pPr>
    <w:rPr>
      <w:rFonts w:ascii="Verdana" w:hAnsi="Verdana" w:eastAsia="宋体" w:cs="Times New Roman"/>
      <w:sz w:val="20"/>
      <w:szCs w:val="20"/>
      <w:lang w:eastAsia="en-US"/>
    </w:rPr>
  </w:style>
  <w:style w:type="paragraph" w:styleId="992" w:customStyle="1">
    <w:name w:val="xl28"/>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93" w:customStyle="1">
    <w:name w:val="xl30"/>
    <w:basedOn w:val="698"/>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94" w:customStyle="1">
    <w:name w:val="Char Char Char Char"/>
    <w:basedOn w:val="932"/>
    <w:uiPriority w:val="0"/>
    <w:qFormat/>
    <w:pPr>
      <w:spacing w:line="360" w:lineRule="auto"/>
    </w:pPr>
    <w:rPr>
      <w:rFonts w:ascii="Tahoma" w:hAnsi="Tahoma"/>
      <w:sz w:val="24"/>
      <w:szCs w:val="24"/>
    </w:rPr>
  </w:style>
  <w:style w:type="paragraph" w:styleId="995" w:customStyle="1">
    <w:name w:val="font5"/>
    <w:basedOn w:val="698"/>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96" w:customStyle="1">
    <w:name w:val="标题1"/>
    <w:basedOn w:val="698"/>
    <w:next w:val="698"/>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7" w:customStyle="1">
    <w:name w:val="_Style 112"/>
    <w:uiPriority w:val="99"/>
    <w:semiHidden/>
    <w:qFormat/>
    <w:rPr>
      <w:rFonts w:hint="default" w:ascii="Times New Roman" w:hAnsi="Times New Roman" w:eastAsia="宋体" w:cs="Times New Roman"/>
      <w:sz w:val="21"/>
      <w:szCs w:val="21"/>
      <w:lang w:val="en-US" w:eastAsia="zh-CN" w:bidi="ar-SA"/>
    </w:rPr>
  </w:style>
  <w:style w:type="paragraph" w:styleId="998">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99" w:customStyle="1">
    <w:name w:val="正文文本 211"/>
    <w:basedOn w:val="698"/>
    <w:uiPriority w:val="99"/>
    <w:qFormat/>
    <w:pPr>
      <w:jc w:val="center"/>
    </w:pPr>
    <w:rPr>
      <w:b/>
      <w:bCs/>
      <w:sz w:val="20"/>
      <w:szCs w:val="20"/>
    </w:rPr>
  </w:style>
  <w:style w:type="paragraph" w:styleId="1000" w:customStyle="1">
    <w:name w:val="正文文本1"/>
    <w:basedOn w:val="698"/>
    <w:next w:val="698"/>
    <w:uiPriority w:val="0"/>
    <w:semiHidden/>
    <w:qFormat/>
    <w:rPr>
      <w:rFonts w:ascii="Arial" w:hAnsi="Arial" w:eastAsia="Arial" w:cs="Arial"/>
      <w:sz w:val="21"/>
      <w:szCs w:val="21"/>
      <w:lang w:val="en-US" w:eastAsia="en-US" w:bidi="ar-SA"/>
    </w:rPr>
  </w:style>
  <w:style w:type="paragraph" w:styleId="1001" w:customStyle="1">
    <w:name w:val="纯文本1"/>
    <w:basedOn w:val="698"/>
    <w:uiPriority w:val="0"/>
    <w:qFormat/>
    <w:rPr>
      <w:rFonts w:ascii="宋体" w:hAnsi="Courier New" w:cs="Courier New"/>
    </w:rPr>
  </w:style>
  <w:style w:type="paragraph" w:styleId="1002" w:customStyle="1">
    <w:name w:val="Table Paragraph"/>
    <w:basedOn w:val="698"/>
    <w:uiPriority w:val="1"/>
    <w:qFormat/>
    <w:pPr>
      <w:jc w:val="both"/>
      <w:widowControl w:val="off"/>
    </w:pPr>
    <w:rPr>
      <w:szCs w:val="22"/>
    </w:rPr>
  </w:style>
  <w:style w:type="paragraph" w:styleId="1003" w:customStyle="1">
    <w:name w:val="Table Text"/>
    <w:basedOn w:val="698"/>
    <w:uiPriority w:val="0"/>
    <w:semiHidden/>
    <w:qFormat/>
    <w:rPr>
      <w:rFonts w:ascii="宋体" w:hAnsi="宋体" w:cs="宋体"/>
    </w:rPr>
  </w:style>
  <w:style w:type="table" w:styleId="1004" w:customStyle="1">
    <w:name w:val="网格型11"/>
    <w:basedOn w:val="896"/>
    <w:uiPriority w:val="0"/>
    <w:qFormat/>
    <w:pPr>
      <w:jc w:val="both"/>
      <w:widowControl w:val="off"/>
    </w:pPr>
    <w:rPr>
      <w:rFonts w:ascii="Times New Roman" w:hAnsi="Times New Roman" w:eastAsia="宋体" w:cs="Times New Roman"/>
      <w:sz w:val="20"/>
      <w:szCs w:val="20"/>
    </w:rPr>
    <w:tblPr/>
  </w:style>
  <w:style w:type="table" w:styleId="1005" w:customStyle="1">
    <w:name w:val="Table Normal"/>
    <w:uiPriority w:val="0"/>
    <w:qFormat/>
    <w:tblPr/>
  </w:style>
  <w:style w:type="table" w:styleId="1006" w:customStyle="1">
    <w:name w:val="网格型1"/>
    <w:basedOn w:val="1007"/>
    <w:uiPriority w:val="0"/>
    <w:qFormat/>
    <w:pPr>
      <w:jc w:val="both"/>
      <w:widowControl w:val="off"/>
    </w:pPr>
    <w:tblPr/>
  </w:style>
  <w:style w:type="table" w:styleId="1007" w:customStyle="1">
    <w:name w:val="普通表格1"/>
    <w:uiPriority w:val="99"/>
    <w:unhideWhenUsed/>
    <w:qFormat/>
    <w:tblPr/>
  </w:style>
  <w:style w:type="numbering" w:styleId="10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戴霜霜</cp:lastModifiedBy>
  <cp:revision>6</cp:revision>
  <dcterms:created xsi:type="dcterms:W3CDTF">2023-03-27T07:28:00Z</dcterms:created>
  <dcterms:modified xsi:type="dcterms:W3CDTF">2026-09-17T09:40:40Z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eyJoZGlkIjoiMzlmY2RiNTRlNTI5MzU3ZWRlOGY0OTBkNWJmMmZmZGIiLCJ1c2VySWQiOiIzODg1MDM2MzYifQ==</vt:lpwstr>
  </property>
  <property fmtid="{D5CDD505-2E9C-101B-9397-08002B2CF9AE}" pid="3" name="KSOProductBuildVer">
    <vt:lpwstr>2052-12.1.0.28043</vt:lpwstr>
  </property>
  <property fmtid="{D5CDD505-2E9C-101B-9397-08002B2CF9AE}" pid="4" name="ICV">
    <vt:lpwstr>5D2EACA9A72E4D2082FE0E042ABEB39F_12</vt:lpwstr>
  </property>
</Properties>
</file>