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ascii="宋体" w:hAnsi="宋体" w:eastAsia="宋体" w:cs="宋体"/>
          <w:b/>
          <w:color w:val="auto"/>
          <w:sz w:val="48"/>
          <w:highlight w:val="none"/>
        </w:rPr>
        <w:t xml:space="preserve"> </w:t>
      </w:r>
      <w:r/>
    </w:p>
    <w:p>
      <w:pPr>
        <w:ind w:left="0" w:right="0" w:firstLine="0"/>
        <w:jc w:val="center"/>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ind w:left="0" w:right="0" w:firstLine="0"/>
        <w:jc w:val="both"/>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南京市江宁妇幼保健院采购口腔设备及器械一批</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JSZC-320115-JCEC-G2026-0405</w:t>
      </w:r>
      <w:r>
        <w:rPr>
          <w:rFonts w:ascii="宋体" w:hAnsi="宋体" w:eastAsia="宋体" w:cs="宋体"/>
          <w:b/>
          <w:color w:val="auto"/>
          <w:sz w:val="36"/>
          <w:highlight w:val="none"/>
        </w:rPr>
        <w:t xml:space="preserve"> </w:t>
      </w: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rFonts w:ascii="宋体" w:hAnsi="宋体" w:eastAsia="宋体" w:cs="宋体"/>
          <w:b/>
          <w:color w:val="auto"/>
          <w:sz w:val="30"/>
          <w:highlight w:val="none"/>
        </w:rPr>
        <w:t xml:space="preserve">（非专门面向中小企业）</w:t>
      </w:r>
      <w:r/>
    </w:p>
    <w:p>
      <w:pPr>
        <w:ind w:left="0" w:right="0" w:firstLine="0"/>
        <w:jc w:val="both"/>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江苏省设备成套股份有限公司</w:t>
      </w:r>
      <w:r/>
    </w:p>
    <w:p>
      <w:pPr>
        <w:ind w:left="0" w:right="0" w:firstLine="0"/>
        <w:jc w:val="center"/>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2026年10月</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w:instrText>
      </w:r>
      <w:r>
        <w:rPr>
          <w:color w:val="auto"/>
          <w:highlight w:val="none"/>
        </w:rPr>
        <w:instrText xml:space="preserve">tps://jszfcg.jsczt.cn/jszc/onlyoffice/7.2.1-34/web-apps/apps/documenteditor/main/index_loader.html?_dc=7.2.1-34&amp;lang=zh&amp;customer=%20&amp;logo=%20&amp;headerlogo=%2Ffavicon.ico&amp;frameEditorId=iframePage&amp;compact=true&amp;parentOrigin=https://jszfcg.jsczt.cn#_Toc11866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637"/>
          <w:rFonts w:ascii="宋体" w:hAnsi="宋体" w:eastAsia="宋体" w:cs="宋体"/>
          <w:color w:val="auto"/>
          <w:sz w:val="24"/>
          <w:highlight w:val="none"/>
          <w:u w:val="single"/>
        </w:rPr>
        <w:t xml:space="preserve">第一章</w:t>
      </w:r>
      <w:r>
        <w:rPr>
          <w:rStyle w:val="637"/>
          <w:rFonts w:ascii="宋体" w:hAnsi="宋体" w:eastAsia="宋体" w:cs="宋体"/>
          <w:color w:val="auto"/>
          <w:sz w:val="24"/>
          <w:highlight w:val="none"/>
          <w:u w:val="none"/>
        </w:rPr>
        <w:t xml:space="preserve"> </w:t>
      </w:r>
      <w:r>
        <w:rPr>
          <w:rStyle w:val="637"/>
          <w:rFonts w:ascii="宋体" w:hAnsi="宋体" w:eastAsia="宋体" w:cs="宋体"/>
          <w:color w:val="auto"/>
          <w:sz w:val="24"/>
          <w:highlight w:val="none"/>
          <w:u w:val="single"/>
        </w:rPr>
        <w:t xml:space="preserve">招标公告</w:t>
      </w:r>
      <w:r>
        <w:rPr>
          <w:rStyle w:val="637"/>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w:instrText>
      </w:r>
      <w:r>
        <w:rPr>
          <w:color w:val="auto"/>
          <w:highlight w:val="none"/>
        </w:rPr>
        <w:instrText xml:space="preserve">https://jszfcg.jsczt.cn/jszc/onlyoffice/7.2.1-34/web-apps/apps/documenteditor/main/index_loader.html?_dc=7.2.1-34&amp;lang=zh&amp;customer=%20&amp;logo=%20&amp;headerlogo=%2Ffavicon.ico&amp;frameEditorId=iframePage&amp;compact=true&amp;parentOrigin=https://jszfcg.jsczt.cn#_Toc7593"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637"/>
          <w:rFonts w:ascii="宋体" w:hAnsi="宋体" w:eastAsia="宋体" w:cs="宋体"/>
          <w:color w:val="auto"/>
          <w:sz w:val="24"/>
          <w:highlight w:val="none"/>
          <w:u w:val="single"/>
        </w:rPr>
        <w:t xml:space="preserve">第二章</w:t>
      </w:r>
      <w:r>
        <w:rPr>
          <w:rStyle w:val="637"/>
          <w:rFonts w:ascii="宋体" w:hAnsi="宋体" w:eastAsia="宋体" w:cs="宋体"/>
          <w:color w:val="auto"/>
          <w:sz w:val="24"/>
          <w:highlight w:val="none"/>
          <w:u w:val="none"/>
        </w:rPr>
        <w:t xml:space="preserve"> </w:t>
      </w:r>
      <w:r>
        <w:rPr>
          <w:rStyle w:val="637"/>
          <w:rFonts w:ascii="宋体" w:hAnsi="宋体" w:eastAsia="宋体" w:cs="宋体"/>
          <w:color w:val="auto"/>
          <w:sz w:val="24"/>
          <w:highlight w:val="none"/>
          <w:u w:val="single"/>
        </w:rPr>
        <w:t xml:space="preserve">投标人须知</w:t>
      </w:r>
      <w:r>
        <w:rPr>
          <w:rStyle w:val="637"/>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w:instrText>
      </w:r>
      <w:r>
        <w:rPr>
          <w:color w:val="auto"/>
          <w:highlight w:val="none"/>
        </w:rPr>
        <w:instrText xml:space="preserve">tps://jszfcg.jsczt.cn/jszc/onlyoffice/7.2.1-34/web-apps/apps/documenteditor/main/index_loader.html?_dc=7.2.1-34&amp;lang=zh&amp;customer=%20&amp;logo=%20&amp;headerlogo=%2Ffavicon.ico&amp;frameEditorId=iframePage&amp;compact=true&amp;parentOrigin=https://jszfcg.jsczt.cn#_Toc11112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637"/>
          <w:rFonts w:ascii="宋体" w:hAnsi="宋体" w:eastAsia="宋体" w:cs="宋体"/>
          <w:color w:val="auto"/>
          <w:sz w:val="24"/>
          <w:highlight w:val="none"/>
          <w:u w:val="single"/>
        </w:rPr>
        <w:t xml:space="preserve">第三章</w:t>
      </w:r>
      <w:r>
        <w:rPr>
          <w:rStyle w:val="637"/>
          <w:rFonts w:ascii="宋体" w:hAnsi="宋体" w:eastAsia="宋体" w:cs="宋体"/>
          <w:color w:val="auto"/>
          <w:sz w:val="24"/>
          <w:highlight w:val="none"/>
          <w:u w:val="none"/>
        </w:rPr>
        <w:t xml:space="preserve"> </w:t>
      </w:r>
      <w:r>
        <w:rPr>
          <w:rStyle w:val="637"/>
          <w:rFonts w:ascii="宋体" w:hAnsi="宋体" w:eastAsia="宋体" w:cs="宋体"/>
          <w:color w:val="auto"/>
          <w:sz w:val="24"/>
          <w:highlight w:val="none"/>
          <w:u w:val="single"/>
        </w:rPr>
        <w:t xml:space="preserve">评标标准</w:t>
      </w:r>
      <w:r>
        <w:rPr>
          <w:rStyle w:val="637"/>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w:instrText>
      </w:r>
      <w:r>
        <w:rPr>
          <w:color w:val="auto"/>
          <w:highlight w:val="none"/>
        </w:rPr>
        <w:instrText xml:space="preserve">tps://jszfcg.jsczt.cn/jszc/onlyoffice/7.2.1-34/web-apps/apps/documenteditor/main/index_loader.html?_dc=7.2.1-34&amp;lang=zh&amp;customer=%20&amp;logo=%20&amp;headerlogo=%2Ffavicon.ico&amp;frameEditorId=iframePage&amp;compact=true&amp;parentOrigin=https://jszfcg.jsczt.cn#_Toc23380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637"/>
          <w:rFonts w:ascii="宋体" w:hAnsi="宋体" w:eastAsia="宋体" w:cs="宋体"/>
          <w:color w:val="auto"/>
          <w:sz w:val="24"/>
          <w:highlight w:val="none"/>
          <w:u w:val="single"/>
        </w:rPr>
        <w:t xml:space="preserve">第四章</w:t>
      </w:r>
      <w:r>
        <w:rPr>
          <w:rStyle w:val="637"/>
          <w:rFonts w:ascii="宋体" w:hAnsi="宋体" w:eastAsia="宋体" w:cs="宋体"/>
          <w:color w:val="auto"/>
          <w:sz w:val="24"/>
          <w:highlight w:val="none"/>
          <w:u w:val="none"/>
        </w:rPr>
        <w:t xml:space="preserve"> </w:t>
      </w:r>
      <w:r>
        <w:rPr>
          <w:rStyle w:val="637"/>
          <w:rFonts w:ascii="宋体" w:hAnsi="宋体" w:eastAsia="宋体" w:cs="宋体"/>
          <w:color w:val="auto"/>
          <w:sz w:val="24"/>
          <w:highlight w:val="none"/>
          <w:u w:val="single"/>
        </w:rPr>
        <w:t xml:space="preserve">采购需求</w:t>
      </w:r>
      <w:r>
        <w:rPr>
          <w:rStyle w:val="637"/>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w:instrText>
      </w:r>
      <w:r>
        <w:rPr>
          <w:color w:val="auto"/>
          <w:highlight w:val="none"/>
        </w:rPr>
        <w:instrText xml:space="preserve">tps://jszfcg.jsczt.cn/jszc/onlyoffice/7.2.1-34/web-apps/apps/documenteditor/main/index_loader.html?_dc=7.2.1-34&amp;lang=zh&amp;customer=%20&amp;logo=%20&amp;headerlogo=%2Ffavicon.ico&amp;frameEditorId=iframePage&amp;compact=true&amp;parentOrigin=https://jszfcg.jsczt.cn#_Toc15239"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637"/>
          <w:rFonts w:ascii="宋体" w:hAnsi="宋体" w:eastAsia="宋体" w:cs="宋体"/>
          <w:color w:val="auto"/>
          <w:sz w:val="24"/>
          <w:highlight w:val="none"/>
          <w:u w:val="single"/>
        </w:rPr>
        <w:t xml:space="preserve">第五章</w:t>
      </w:r>
      <w:r>
        <w:rPr>
          <w:rStyle w:val="637"/>
          <w:rFonts w:ascii="宋体" w:hAnsi="宋体" w:eastAsia="宋体" w:cs="宋体"/>
          <w:color w:val="auto"/>
          <w:sz w:val="24"/>
          <w:highlight w:val="none"/>
          <w:u w:val="none"/>
        </w:rPr>
        <w:t xml:space="preserve"> </w:t>
      </w:r>
      <w:r>
        <w:rPr>
          <w:rStyle w:val="637"/>
          <w:rFonts w:ascii="宋体" w:hAnsi="宋体" w:eastAsia="宋体" w:cs="宋体"/>
          <w:color w:val="auto"/>
          <w:sz w:val="24"/>
          <w:highlight w:val="none"/>
          <w:u w:val="single"/>
        </w:rPr>
        <w:t xml:space="preserve">合同主要条款及格式</w:t>
      </w:r>
      <w:r>
        <w:rPr>
          <w:rStyle w:val="637"/>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w:instrText>
      </w:r>
      <w:r>
        <w:rPr>
          <w:color w:val="auto"/>
          <w:highlight w:val="none"/>
        </w:rPr>
        <w:instrText xml:space="preserve">https://jszfcg.jsczt.cn/jszc/onlyoffice/7.2.1-34/web-apps/apps/documenteditor/main/index_loader.html?_dc=7.2.1-34&amp;lang=zh&amp;customer=%20&amp;logo=%20&amp;headerlogo=%2Ffavicon.ico&amp;frameEditorId=iframePage&amp;compact=true&amp;parentOrigin=https://jszfcg.jsczt.cn#_Toc6328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637"/>
          <w:rFonts w:ascii="宋体" w:hAnsi="宋体" w:eastAsia="宋体" w:cs="宋体"/>
          <w:color w:val="auto"/>
          <w:sz w:val="24"/>
          <w:highlight w:val="none"/>
          <w:u w:val="single"/>
        </w:rPr>
        <w:t xml:space="preserve">第六章</w:t>
      </w:r>
      <w:r>
        <w:rPr>
          <w:rStyle w:val="637"/>
          <w:rFonts w:ascii="宋体" w:hAnsi="宋体" w:eastAsia="宋体" w:cs="宋体"/>
          <w:color w:val="auto"/>
          <w:sz w:val="24"/>
          <w:highlight w:val="none"/>
          <w:u w:val="none"/>
        </w:rPr>
        <w:t xml:space="preserve"> </w:t>
      </w:r>
      <w:r>
        <w:rPr>
          <w:rStyle w:val="637"/>
          <w:rFonts w:ascii="宋体" w:hAnsi="宋体" w:eastAsia="宋体" w:cs="宋体"/>
          <w:color w:val="auto"/>
          <w:sz w:val="24"/>
          <w:highlight w:val="none"/>
          <w:u w:val="single"/>
        </w:rPr>
        <w:t xml:space="preserve">投标文件格式及附件</w:t>
      </w:r>
      <w:r>
        <w:rPr>
          <w:rStyle w:val="637"/>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0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第一章 招标公告</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项目概况</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u w:val="single"/>
        </w:rPr>
        <w:t xml:space="preserve">南京市江宁妇幼保健院采购口腔设备及器械一批的潜在投标人应在江苏政府采购网获取招标文件，并于</w:t>
      </w:r>
      <w:r>
        <w:rPr>
          <w:rFonts w:hint="eastAsia" w:ascii="宋体" w:hAnsi="宋体" w:eastAsia="宋体" w:cs="宋体"/>
          <w:color w:val="auto"/>
          <w:spacing w:val="8"/>
          <w:sz w:val="21"/>
          <w:szCs w:val="21"/>
          <w:highlight w:val="none"/>
          <w:u w:val="single"/>
        </w:rPr>
        <w:t xml:space="preserve">2026年1</w:t>
      </w:r>
      <w:r>
        <w:rPr>
          <w:rFonts w:hint="eastAsia" w:ascii="宋体" w:hAnsi="宋体" w:eastAsia="宋体" w:cs="宋体"/>
          <w:color w:val="auto"/>
          <w:spacing w:val="8"/>
          <w:sz w:val="21"/>
          <w:szCs w:val="21"/>
          <w:highlight w:val="none"/>
          <w:u w:val="single"/>
          <w:lang w:val="en-US" w:eastAsia="zh-CN"/>
        </w:rPr>
        <w:t xml:space="preserve">1</w:t>
      </w:r>
      <w:r>
        <w:rPr>
          <w:rFonts w:hint="eastAsia" w:ascii="宋体" w:hAnsi="宋体" w:eastAsia="宋体" w:cs="宋体"/>
          <w:color w:val="auto"/>
          <w:spacing w:val="8"/>
          <w:sz w:val="21"/>
          <w:szCs w:val="21"/>
          <w:highlight w:val="none"/>
          <w:u w:val="single"/>
        </w:rPr>
        <w:t xml:space="preserve">月05</w:t>
      </w:r>
      <w:r>
        <w:rPr>
          <w:rFonts w:hint="eastAsia" w:ascii="宋体" w:hAnsi="宋体" w:eastAsia="宋体" w:cs="宋体"/>
          <w:color w:val="auto"/>
          <w:spacing w:val="8"/>
          <w:sz w:val="21"/>
          <w:szCs w:val="21"/>
          <w:highlight w:val="none"/>
          <w:u w:val="single"/>
        </w:rPr>
        <w:t xml:space="preserve">日9点</w:t>
      </w:r>
      <w:r>
        <w:rPr>
          <w:rFonts w:hint="eastAsia" w:ascii="宋体" w:hAnsi="宋体" w:eastAsia="宋体" w:cs="宋体"/>
          <w:color w:val="auto"/>
          <w:spacing w:val="8"/>
          <w:sz w:val="21"/>
          <w:szCs w:val="21"/>
          <w:highlight w:val="none"/>
          <w:u w:val="single"/>
          <w:lang w:val="en-US" w:eastAsia="zh-CN"/>
        </w:rPr>
        <w:t xml:space="preserve">3</w:t>
      </w:r>
      <w:r>
        <w:rPr>
          <w:rFonts w:hint="eastAsia" w:ascii="宋体" w:hAnsi="宋体" w:eastAsia="宋体" w:cs="宋体"/>
          <w:color w:val="auto"/>
          <w:spacing w:val="8"/>
          <w:sz w:val="21"/>
          <w:szCs w:val="21"/>
          <w:highlight w:val="none"/>
          <w:u w:val="single"/>
        </w:rPr>
        <w:t xml:space="preserve">0分</w:t>
      </w:r>
      <w:r>
        <w:rPr>
          <w:rFonts w:hint="eastAsia" w:ascii="宋体" w:hAnsi="宋体" w:eastAsia="宋体" w:cs="宋体"/>
          <w:color w:val="auto"/>
          <w:spacing w:val="8"/>
          <w:sz w:val="21"/>
          <w:szCs w:val="21"/>
          <w:highlight w:val="none"/>
          <w:u w:val="single"/>
        </w:rPr>
        <w:t xml:space="preserve">（北京时间）前递交投标文件。</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w:t>
      </w:r>
      <w:r>
        <w:rPr>
          <w:rFonts w:hint="eastAsia" w:ascii="宋体" w:hAnsi="宋体" w:eastAsia="宋体" w:cs="宋体"/>
          <w:b/>
          <w:color w:val="auto"/>
          <w:spacing w:val="8"/>
          <w:sz w:val="21"/>
          <w:szCs w:val="21"/>
          <w:highlight w:val="none"/>
        </w:rPr>
        <w:t xml:space="preserve">一、项目基本情况</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1.1项目编号：</w:t>
      </w:r>
      <w:r>
        <w:rPr>
          <w:rFonts w:hint="eastAsia" w:ascii="宋体" w:hAnsi="宋体" w:eastAsia="宋体" w:cs="宋体"/>
          <w:color w:val="auto"/>
          <w:spacing w:val="8"/>
          <w:sz w:val="21"/>
          <w:szCs w:val="21"/>
          <w:highlight w:val="none"/>
          <w:lang w:eastAsia="zh-CN"/>
        </w:rPr>
        <w:t xml:space="preserve">JSZC-320115-JCEC-G2026-0405</w:t>
      </w:r>
      <w:r>
        <w:rPr>
          <w:rFonts w:hint="eastAsia" w:ascii="宋体" w:hAnsi="宋体" w:eastAsia="宋体" w:cs="宋体"/>
          <w:color w:val="auto"/>
          <w:spacing w:val="8"/>
          <w:sz w:val="21"/>
          <w:szCs w:val="21"/>
          <w:highlight w:val="none"/>
        </w:rPr>
        <w:t xml:space="preserve"> </w:t>
      </w:r>
      <w:r>
        <w:rPr>
          <w:rFonts w:hint="eastAsia" w:ascii="宋体" w:hAnsi="宋体" w:eastAsia="宋体" w:cs="宋体"/>
          <w:color w:val="auto"/>
          <w:spacing w:val="8"/>
          <w:sz w:val="21"/>
          <w:szCs w:val="21"/>
          <w:highlight w:val="none"/>
        </w:rPr>
        <w:t xml:space="preserve">     </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1.2项目名称：南京市江宁妇幼保健院采购口腔设备及器械一批</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1.3预算金额：371.78万元；其中：</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包1：口腔数字印模仪、牙齿冷光漂白仪等55.25万元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包2：</w:t>
      </w:r>
      <w:r>
        <w:rPr>
          <w:rFonts w:hint="eastAsia" w:ascii="宋体" w:hAnsi="宋体" w:eastAsia="宋体" w:cs="宋体"/>
          <w:color w:val="auto"/>
          <w:spacing w:val="8"/>
          <w:sz w:val="21"/>
          <w:szCs w:val="21"/>
          <w:highlight w:val="none"/>
        </w:rPr>
        <w:t xml:space="preserve">手术显微镜、</w:t>
      </w:r>
      <w:r>
        <w:rPr>
          <w:rFonts w:hint="eastAsia" w:ascii="宋体" w:hAnsi="宋体" w:eastAsia="宋体" w:cs="宋体"/>
          <w:color w:val="auto"/>
          <w:spacing w:val="8"/>
          <w:sz w:val="21"/>
          <w:szCs w:val="21"/>
          <w:highlight w:val="none"/>
          <w:lang w:val="en-US" w:eastAsia="zh-CN"/>
        </w:rPr>
        <w:t xml:space="preserve">（椅装式）牙科治疗设备</w:t>
      </w:r>
      <w:r>
        <w:rPr>
          <w:rFonts w:hint="eastAsia" w:ascii="宋体" w:hAnsi="宋体" w:eastAsia="宋体" w:cs="宋体"/>
          <w:color w:val="auto"/>
          <w:spacing w:val="8"/>
          <w:sz w:val="21"/>
          <w:szCs w:val="21"/>
          <w:highlight w:val="none"/>
        </w:rPr>
        <w:t xml:space="preserve">等219.45万元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包3：</w:t>
      </w:r>
      <w:r>
        <w:rPr>
          <w:rFonts w:hint="eastAsia" w:ascii="宋体" w:hAnsi="宋体" w:eastAsia="宋体" w:cs="宋体"/>
          <w:color w:val="auto"/>
          <w:spacing w:val="8"/>
          <w:sz w:val="21"/>
          <w:szCs w:val="21"/>
          <w:highlight w:val="none"/>
          <w:lang w:val="en-US" w:eastAsia="zh-CN"/>
        </w:rPr>
        <w:t xml:space="preserve">超声骨切割系统</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color w:val="auto"/>
          <w:spacing w:val="8"/>
          <w:sz w:val="21"/>
          <w:szCs w:val="21"/>
          <w:highlight w:val="none"/>
          <w:lang w:val="en-US" w:eastAsia="zh-CN"/>
        </w:rPr>
        <w:t xml:space="preserve">口腔颌面锥形束计算机体层摄影设备</w:t>
      </w:r>
      <w:r>
        <w:rPr>
          <w:rFonts w:hint="eastAsia" w:ascii="宋体" w:hAnsi="宋体" w:eastAsia="宋体" w:cs="宋体"/>
          <w:color w:val="auto"/>
          <w:spacing w:val="8"/>
          <w:sz w:val="21"/>
          <w:szCs w:val="21"/>
          <w:highlight w:val="none"/>
        </w:rPr>
        <w:t xml:space="preserve">等97.08万元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1.4最高限价：371.78万元；其中：</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包1：口腔数字印模仪、牙齿冷光漂白仪等55.25万元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包2：</w:t>
      </w:r>
      <w:r>
        <w:rPr>
          <w:rFonts w:hint="eastAsia" w:ascii="宋体" w:hAnsi="宋体" w:eastAsia="宋体" w:cs="宋体"/>
          <w:color w:val="auto"/>
          <w:spacing w:val="8"/>
          <w:sz w:val="21"/>
          <w:szCs w:val="21"/>
          <w:highlight w:val="none"/>
        </w:rPr>
        <w:t xml:space="preserve">手术显微镜、</w:t>
      </w:r>
      <w:r>
        <w:rPr>
          <w:rFonts w:hint="eastAsia" w:ascii="宋体" w:hAnsi="宋体" w:eastAsia="宋体" w:cs="宋体"/>
          <w:color w:val="auto"/>
          <w:spacing w:val="8"/>
          <w:sz w:val="21"/>
          <w:szCs w:val="21"/>
          <w:highlight w:val="none"/>
          <w:lang w:val="en-US" w:eastAsia="zh-CN"/>
        </w:rPr>
        <w:t xml:space="preserve">（椅装式）牙科治疗设备</w:t>
      </w:r>
      <w:r>
        <w:rPr>
          <w:rFonts w:hint="eastAsia" w:ascii="宋体" w:hAnsi="宋体" w:eastAsia="宋体" w:cs="宋体"/>
          <w:color w:val="auto"/>
          <w:spacing w:val="8"/>
          <w:sz w:val="21"/>
          <w:szCs w:val="21"/>
          <w:highlight w:val="none"/>
        </w:rPr>
        <w:t xml:space="preserve">等219.45万元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包3：</w:t>
      </w:r>
      <w:r>
        <w:rPr>
          <w:rFonts w:hint="eastAsia" w:ascii="宋体" w:hAnsi="宋体" w:eastAsia="宋体" w:cs="宋体"/>
          <w:color w:val="auto"/>
          <w:spacing w:val="8"/>
          <w:sz w:val="21"/>
          <w:szCs w:val="21"/>
          <w:highlight w:val="none"/>
          <w:lang w:val="en-US" w:eastAsia="zh-CN"/>
        </w:rPr>
        <w:t xml:space="preserve">超声骨切割系统</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color w:val="auto"/>
          <w:spacing w:val="8"/>
          <w:sz w:val="21"/>
          <w:szCs w:val="21"/>
          <w:highlight w:val="none"/>
          <w:lang w:val="en-US" w:eastAsia="zh-CN"/>
        </w:rPr>
        <w:t xml:space="preserve">口腔颌面锥形束计算机体层摄影设备</w:t>
      </w:r>
      <w:r>
        <w:rPr>
          <w:rFonts w:hint="eastAsia" w:ascii="宋体" w:hAnsi="宋体" w:eastAsia="宋体" w:cs="宋体"/>
          <w:color w:val="auto"/>
          <w:spacing w:val="8"/>
          <w:sz w:val="21"/>
          <w:szCs w:val="21"/>
          <w:highlight w:val="none"/>
        </w:rPr>
        <w:t xml:space="preserve">等97.08万元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1.5采购需求：南京市江宁妇幼保健院采购口腔设备及器械一批，具体要求见本招标文件第四章。</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1.6合同履行期限：自合同签订后15日内设备供货并完成安装调试交付使用。</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1.7行业划分：工业</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1.8本项目（非专门）面向中小企业（或监狱企业或残疾人福利性单位）采购。</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1.9</w:t>
      </w:r>
      <w:r>
        <w:rPr>
          <w:rFonts w:hint="eastAsia" w:ascii="宋体" w:hAnsi="宋体" w:eastAsia="宋体" w:cs="宋体"/>
          <w:color w:val="auto"/>
          <w:spacing w:val="8"/>
          <w:sz w:val="21"/>
          <w:szCs w:val="21"/>
          <w:highlight w:val="none"/>
        </w:rPr>
        <w:t xml:space="preserve">本项目</w:t>
      </w:r>
      <w:r>
        <w:rPr>
          <w:rFonts w:hint="eastAsia" w:ascii="宋体" w:hAnsi="宋体" w:eastAsia="宋体" w:cs="宋体"/>
          <w:color w:val="auto"/>
          <w:sz w:val="21"/>
          <w:szCs w:val="21"/>
          <w:highlight w:val="none"/>
          <w:lang w:val="en-US" w:eastAsia="zh-CN"/>
        </w:rPr>
        <w:t xml:space="preserve">包</w:t>
      </w:r>
      <w:r>
        <w:rPr>
          <w:rFonts w:hint="eastAsia" w:ascii="宋体" w:hAnsi="宋体" w:eastAsia="宋体" w:cs="宋体"/>
          <w:color w:val="auto"/>
          <w:spacing w:val="8"/>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包</w:t>
      </w:r>
      <w:r>
        <w:rPr>
          <w:rFonts w:hint="eastAsia" w:ascii="宋体" w:hAnsi="宋体" w:eastAsia="宋体" w:cs="宋体"/>
          <w:color w:val="auto"/>
          <w:spacing w:val="8"/>
          <w:sz w:val="21"/>
          <w:szCs w:val="21"/>
          <w:highlight w:val="none"/>
          <w:lang w:val="en-US" w:eastAsia="zh-CN"/>
        </w:rPr>
        <w:t xml:space="preserve">2</w:t>
      </w:r>
      <w:r>
        <w:rPr>
          <w:rFonts w:hint="eastAsia" w:ascii="宋体" w:hAnsi="宋体" w:eastAsia="宋体" w:cs="宋体"/>
          <w:color w:val="auto"/>
          <w:spacing w:val="8"/>
          <w:sz w:val="21"/>
          <w:szCs w:val="21"/>
          <w:highlight w:val="none"/>
        </w:rPr>
        <w:t xml:space="preserve">不接受进口产品投标</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w:t>
      </w:r>
      <w:r>
        <w:rPr>
          <w:rFonts w:hint="eastAsia" w:ascii="宋体" w:hAnsi="宋体" w:eastAsia="宋体" w:cs="宋体"/>
          <w:color w:val="auto"/>
          <w:spacing w:val="8"/>
          <w:sz w:val="21"/>
          <w:szCs w:val="21"/>
          <w:highlight w:val="none"/>
          <w:lang w:val="en-US" w:eastAsia="zh-CN"/>
        </w:rPr>
        <w:t xml:space="preserve">3接受进口产品投标</w:t>
      </w:r>
      <w:r>
        <w:rPr>
          <w:rFonts w:hint="eastAsia" w:ascii="宋体" w:hAnsi="宋体" w:eastAsia="宋体" w:cs="宋体"/>
          <w:color w:val="auto"/>
          <w:spacing w:val="8"/>
          <w:sz w:val="21"/>
          <w:szCs w:val="21"/>
          <w:highlight w:val="none"/>
        </w:rPr>
        <w:t xml:space="preserve">。</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1.10本项目不接受联合体投标。</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二、申请人的资格要求</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2.1满足《中华人民共和国政府采购法》第二十二条规定；</w:t>
      </w:r>
      <w:r/>
    </w:p>
    <w:p>
      <w:pPr>
        <w:numPr>
          <w:ilvl w:val="0"/>
          <w:numId w:val="0"/>
        </w:numPr>
        <w:ind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符合《中华人民共和国政府采购法》第二十二条规定，提供《南京市政府采购供应商信用记录表暨信用承诺书》。</w:t>
      </w:r>
      <w:r/>
    </w:p>
    <w:p>
      <w:pPr>
        <w:ind w:left="0" w:right="0" w:firstLine="454"/>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2.2落实政府采购政策需满足的资格要求：</w:t>
      </w:r>
      <w:r>
        <w:rPr>
          <w:rFonts w:hint="eastAsia" w:ascii="宋体" w:hAnsi="宋体" w:eastAsia="宋体" w:cs="宋体"/>
          <w:color w:val="auto"/>
          <w:sz w:val="21"/>
          <w:szCs w:val="21"/>
          <w:highlight w:val="none"/>
        </w:rPr>
        <w:t xml:space="preserve">(如属于专门面向中小企业采购的项目，供应商应为中小微企业、监狱企业、残疾人福利性单位)本项目按照采用以下第(4)种方式落实政府采购促进中小企业发展的要求:</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(1)本项目整体专门面向中小企业采购服务。</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(2)本项目整体专门面向小微企业采购服务。</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(3)本项目通过以下第()种方式预留部分采购份额采购中小企业服务:</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1本项目要求供应商以联合体形式参加，中小企业合同金额应当达到的比例为 %。</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2本项目要求供应商进行合同分包，中小企业合同金额应当达到的比例为 %。</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(4)本项目为非预留份额的采购项目或采购包，执行价格扣除优惠政策，具体详见评标办法与标准。</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2.3</w:t>
      </w:r>
      <w:r>
        <w:rPr>
          <w:rFonts w:hint="eastAsia" w:ascii="宋体" w:hAnsi="宋体" w:eastAsia="宋体" w:cs="宋体"/>
          <w:b/>
          <w:color w:val="auto"/>
          <w:sz w:val="21"/>
          <w:szCs w:val="21"/>
          <w:highlight w:val="none"/>
        </w:rPr>
        <w:t xml:space="preserve">采购人根据采购项目的特殊要求规定的特定条件，并提供符合特殊要求的证明材料或者情况说明：</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(1)投标产品如果属于医疗器械注册范畴的，须具有《医疗器械注册证》或者《医疗器械备案凭证》(原件扫描加盖电子公章);</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(2)若投标供应商为代理商，须具有有效的《医疗器械经营许可证》或《医疗器械经营备案凭证》(原件扫描加盖电子公章);</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(3)若投标供应商为生产商</w:t>
      </w:r>
      <w:r>
        <w:rPr>
          <w:rFonts w:hint="eastAsia" w:ascii="宋体" w:hAnsi="宋体" w:eastAsia="宋体" w:cs="宋体"/>
          <w:color w:val="auto"/>
          <w:sz w:val="21"/>
          <w:szCs w:val="21"/>
          <w:highlight w:val="none"/>
        </w:rPr>
        <w:t xml:space="preserve">，须具有有效的《医疗器械生产许可证》或《生产备案凭证》(如有医疗器械生产产品登记表的须一并提供)(原件扫描加盖电子公章)。</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本项仅适用标包3：投标产品若为进口设备，供应商须提供代理商/经销商证书或制造商专项授权书。</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2.4拒绝下述供应商参加本次招标活动：</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（1）单位负责人为同一人或者存在直接控股、管理关系的不同供应商，不得参加同一合同项下的政府采购活动。</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（2）为采购项目提供整体设计、规范编制或者项目管理、监理、检测等服务的供应商，不得参加本项目的采购活动。</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（3）供应商被“信用中国”网站（www.creditchina.gov.cn）、“中国政府采购网”(www.ccgp.gov.cn)列入失信被执行人、重大税收违法失信主体名单、政府采购严重违法失信行为记录名单。</w:t>
      </w:r>
      <w:r/>
    </w:p>
    <w:p>
      <w:pPr>
        <w:ind w:left="0" w:right="0" w:firstLine="454"/>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三、获取招标文件</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3.1时间：自招标文件公告发布之日起5个工作日</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3.2地点：在“江苏政府采购网”免费下载</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3.3方式：本项目采用网上注册登记方式免费获取</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四、提交投标文件截止时间、开标时间和地点</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4.1</w:t>
      </w:r>
      <w:r>
        <w:rPr>
          <w:rFonts w:hint="eastAsia" w:ascii="宋体" w:hAnsi="宋体" w:eastAsia="宋体" w:cs="宋体"/>
          <w:color w:val="auto"/>
          <w:spacing w:val="8"/>
          <w:sz w:val="21"/>
          <w:szCs w:val="21"/>
          <w:highlight w:val="none"/>
        </w:rPr>
        <w:t xml:space="preserve"> 2026年1</w:t>
      </w:r>
      <w:r>
        <w:rPr>
          <w:rFonts w:hint="eastAsia" w:ascii="宋体" w:hAnsi="宋体" w:eastAsia="宋体" w:cs="宋体"/>
          <w:color w:val="auto"/>
          <w:spacing w:val="8"/>
          <w:sz w:val="21"/>
          <w:szCs w:val="21"/>
          <w:highlight w:val="none"/>
          <w:lang w:val="en-US" w:eastAsia="zh-CN"/>
        </w:rPr>
        <w:t xml:space="preserve">1</w:t>
      </w:r>
      <w:r>
        <w:rPr>
          <w:rFonts w:hint="eastAsia" w:ascii="宋体" w:hAnsi="宋体" w:eastAsia="宋体" w:cs="宋体"/>
          <w:color w:val="auto"/>
          <w:spacing w:val="8"/>
          <w:sz w:val="21"/>
          <w:szCs w:val="21"/>
          <w:highlight w:val="none"/>
        </w:rPr>
        <w:t xml:space="preserve">月</w:t>
      </w:r>
      <w:r>
        <w:rPr>
          <w:rFonts w:hint="eastAsia" w:ascii="宋体" w:hAnsi="宋体" w:eastAsia="宋体" w:cs="宋体"/>
          <w:color w:val="auto"/>
          <w:spacing w:val="8"/>
          <w:sz w:val="21"/>
          <w:szCs w:val="21"/>
          <w:highlight w:val="none"/>
          <w:lang w:val="en-US" w:eastAsia="zh-CN"/>
        </w:rPr>
        <w:t xml:space="preserve">05</w:t>
      </w:r>
      <w:r>
        <w:rPr>
          <w:rFonts w:hint="eastAsia" w:ascii="宋体" w:hAnsi="宋体" w:eastAsia="宋体" w:cs="宋体"/>
          <w:color w:val="auto"/>
          <w:spacing w:val="8"/>
          <w:sz w:val="21"/>
          <w:szCs w:val="21"/>
          <w:highlight w:val="none"/>
        </w:rPr>
        <w:t xml:space="preserve">日9点</w:t>
      </w:r>
      <w:r>
        <w:rPr>
          <w:rFonts w:hint="eastAsia" w:ascii="宋体" w:hAnsi="宋体" w:eastAsia="宋体" w:cs="宋体"/>
          <w:color w:val="auto"/>
          <w:spacing w:val="8"/>
          <w:sz w:val="21"/>
          <w:szCs w:val="21"/>
          <w:highlight w:val="none"/>
          <w:lang w:val="en-US" w:eastAsia="zh-CN"/>
        </w:rPr>
        <w:t xml:space="preserve">3</w:t>
      </w:r>
      <w:r>
        <w:rPr>
          <w:rFonts w:hint="eastAsia" w:ascii="宋体" w:hAnsi="宋体" w:eastAsia="宋体" w:cs="宋体"/>
          <w:color w:val="auto"/>
          <w:spacing w:val="8"/>
          <w:sz w:val="21"/>
          <w:szCs w:val="21"/>
          <w:highlight w:val="none"/>
        </w:rPr>
        <w:t xml:space="preserve">0分</w:t>
      </w:r>
      <w:r>
        <w:rPr>
          <w:rFonts w:hint="eastAsia" w:ascii="宋体" w:hAnsi="宋体" w:eastAsia="宋体" w:cs="宋体"/>
          <w:color w:val="auto"/>
          <w:spacing w:val="8"/>
          <w:sz w:val="21"/>
          <w:szCs w:val="21"/>
          <w:highlight w:val="none"/>
        </w:rPr>
        <w:t xml:space="preserve">（北京时间）</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4.2 提交投标文件地点：江苏省政府采购管理交易系统（苏采云）（以下简称“苏采云”）（网址：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"http://jszfcg.jsczt.cn/%EF%BC%89" \o "http://jszfcg.jsczt.cn/%EF%BC%89" </w:instrText>
      </w:r>
      <w:r>
        <w:rPr>
          <w:rFonts w:hint="eastAsia" w:ascii="宋体" w:hAnsi="宋体" w:eastAsia="宋体" w:cs="宋体"/>
          <w:color w:val="auto"/>
          <w:sz w:val="21"/>
          <w:szCs w:val="21"/>
          <w:highlight w:val="none"/>
        </w:rPr>
        <w:fldChar w:fldCharType="separate"/>
      </w:r>
      <w:r>
        <w:rPr>
          <w:rStyle w:val="637"/>
          <w:rFonts w:hint="eastAsia" w:ascii="宋体" w:hAnsi="宋体" w:eastAsia="宋体" w:cs="宋体"/>
          <w:color w:val="auto"/>
          <w:spacing w:val="8"/>
          <w:sz w:val="21"/>
          <w:szCs w:val="21"/>
          <w:highlight w:val="none"/>
          <w:u w:val="single"/>
        </w:rPr>
        <w:t xml:space="preserve">http://jszfcg.jsczt.cn/）</w:t>
      </w:r>
      <w:r>
        <w:rPr>
          <w:rStyle w:val="637"/>
          <w:rFonts w:hint="eastAsia" w:ascii="宋体" w:hAnsi="宋体" w:eastAsia="宋体" w:cs="宋体"/>
          <w:color w:val="auto"/>
          <w:spacing w:val="8"/>
          <w:sz w:val="21"/>
          <w:szCs w:val="21"/>
          <w:highlight w:val="none"/>
          <w:u w:val="single"/>
        </w:rPr>
        <w:fldChar w:fldCharType="end"/>
      </w:r>
      <w:r/>
    </w:p>
    <w:p>
      <w:pPr>
        <w:ind w:left="0" w:right="0" w:firstLine="452"/>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4.3开标地点：“苏采云”开标大厅</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五、公告期限</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自本公告发布之日起5个工作日。</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六、其他补充事宜</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6.1本项目在 南京公共采购信息网、江苏政府采购网、中国政府采购网 网站发布公告。</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6.2投标人通过“苏采云”（网址：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"http://jszfcg.jsczt.cn/%EF%BC%89%E5%8F%82%E4%B8%8E%E6%94%BF%E5%BA%9C%E9%87%87%E8%B4%AD%E9%A1%B9%E7%9B%AE%EF%BC%8C%E9%9C%80%E8%A6%81%E5%8A%9E%E7%90%86%E6%B1%9F%E8%8B</w:instrText>
      </w:r>
      <w:r>
        <w:rPr>
          <w:rFonts w:hint="eastAsia" w:ascii="宋体" w:hAnsi="宋体" w:eastAsia="宋体" w:cs="宋体"/>
          <w:color w:val="auto"/>
          <w:sz w:val="21"/>
          <w:szCs w:val="21"/>
          <w:highlight w:val="none"/>
        </w:rPr>
        <w:instrText xml:space="preserve">%8F%E7%9C%81%E6%94%BF%E5%BA%9C%E9%87%87%E8%B4%AD%E6%95%B0%E5%AD%97%E8%AF%81%E4%B9%A6%E5%8F%8A%E7%94%B5%E5%AD%90%E7%AD%BE%E7%AB%A0%E7%9A%84%EF%BC%8C%E8%AF%A6%E8%A7%81%E8%8B%8F%E9%87%87%E4%BA%91%E5%AE%98%E7%BD%91%E9%A6%96%E9%A1%B5%E2%80%9C%E6%96%B0CA%E5%8A%9</w:instrText>
      </w:r>
      <w:r>
        <w:rPr>
          <w:rFonts w:hint="eastAsia" w:ascii="宋体" w:hAnsi="宋体" w:eastAsia="宋体" w:cs="宋体"/>
          <w:color w:val="auto"/>
          <w:sz w:val="21"/>
          <w:szCs w:val="21"/>
          <w:highlight w:val="none"/>
        </w:rPr>
        <w:instrText xml:space="preserve">E%E7%90%86%E6%8C%87%E5%8D%97%E2%80%9D%E3%80%82%E4%BE%9B%E5%BA%94%E5%95%86%E9%80%9A%E8%BF%87%E8%8B%8F%E9%87%87%E4%BA%91%E5%AE%98%E7%BD%91%E9%A6%96%E9%A1%B5%E8%BF%9B%E8%A1%8C%E4%BE%9B%E5%BA%94%E5%95%86%E6%B3%A8%E5%86%8C%E5%8F%8ACA%E7%BB%91%E5%AE%9A%E3%80%82C</w:instrText>
      </w:r>
      <w:r>
        <w:rPr>
          <w:rFonts w:hint="eastAsia" w:ascii="宋体" w:hAnsi="宋体" w:eastAsia="宋体" w:cs="宋体"/>
          <w:color w:val="auto"/>
          <w:sz w:val="21"/>
          <w:szCs w:val="21"/>
          <w:highlight w:val="none"/>
        </w:rPr>
        <w:instrText xml:space="preserve">A%E7%99%BB%E5%BD%95%E5%90%8E%EF%BC%8C%E4%BE%9B%E5%BA%94%E5%95%86%E6%8C%89%E3%80%8A%E8%8B%8F%E9%87%87%E4%BA%91%E7%B3%BB%E7%BB%9F%E4%BE%9B%E5%BA%94%E5%95%86%E6%93%8D%E4%BD%9C%E6%89%8B%E5%86%8C%E3%80%8B%E8%BF%9B%E8%A1%8C%E6%93%8D%E4%BD%9C%E3%80%82" \o "http:/</w:instrText>
      </w:r>
      <w:r>
        <w:rPr>
          <w:rFonts w:hint="eastAsia" w:ascii="宋体" w:hAnsi="宋体" w:eastAsia="宋体" w:cs="宋体"/>
          <w:color w:val="auto"/>
          <w:sz w:val="21"/>
          <w:szCs w:val="21"/>
          <w:highlight w:val="none"/>
        </w:rPr>
        <w:instrText xml:space="preserve">/jszfcg.jsczt.cn/%EF%BC%89%E5%8F%82%E4%B8%8E%E6%94%BF%E5%BA%9C%E9%87%87%E8%B4%AD%E9%A1%B9%E7%9B%AE%EF%BC%8C%E9%9C%80%E8%A6%81%E5%8A%9E%E7%90%86%E6%B1%9F%E8%8B%8F%E7%9C%81%E6%94%BF%E5%BA%9C%E9%87%87%E8%B4%AD%E6%95%B0%E5%AD%97%E8%AF%81%E4%B9%A6%E5%8F%8A%E7" </w:instrText>
      </w:r>
      <w:r>
        <w:rPr>
          <w:rFonts w:hint="eastAsia" w:ascii="宋体" w:hAnsi="宋体" w:eastAsia="宋体" w:cs="宋体"/>
          <w:color w:val="auto"/>
          <w:sz w:val="21"/>
          <w:szCs w:val="21"/>
          <w:highlight w:val="none"/>
        </w:rPr>
        <w:fldChar w:fldCharType="separate"/>
      </w:r>
      <w:r>
        <w:rPr>
          <w:rStyle w:val="637"/>
          <w:rFonts w:hint="eastAsia" w:ascii="宋体" w:hAnsi="宋体" w:eastAsia="宋体" w:cs="宋体"/>
          <w:color w:val="auto"/>
          <w:sz w:val="21"/>
          <w:szCs w:val="21"/>
          <w:highlight w:val="none"/>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637"/>
          <w:rFonts w:hint="eastAsia" w:ascii="宋体" w:hAnsi="宋体" w:eastAsia="宋体" w:cs="宋体"/>
          <w:color w:val="auto"/>
          <w:sz w:val="21"/>
          <w:szCs w:val="21"/>
          <w:highlight w:val="none"/>
          <w:u w:val="single"/>
        </w:rPr>
        <w:fldChar w:fldCharType="end"/>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操作手册下载地址：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sz w:val="21"/>
          <w:szCs w:val="21"/>
          <w:highlight w:val="none"/>
        </w:rPr>
        <w:fldChar w:fldCharType="separate"/>
      </w:r>
      <w:r>
        <w:rPr>
          <w:rStyle w:val="637"/>
          <w:rFonts w:hint="eastAsia" w:ascii="宋体" w:hAnsi="宋体" w:eastAsia="宋体" w:cs="宋体"/>
          <w:color w:val="auto"/>
          <w:sz w:val="21"/>
          <w:szCs w:val="21"/>
          <w:highlight w:val="none"/>
          <w:u w:val="single"/>
        </w:rPr>
        <w:t xml:space="preserve">http://www.ccgp-jiangsu.gov.cn/jiangsu/zlxz/ee/ee3a4bc5a3454aa2b0d9312230633ce9.html</w:t>
      </w:r>
      <w:r>
        <w:rPr>
          <w:rStyle w:val="637"/>
          <w:rFonts w:hint="eastAsia" w:ascii="宋体" w:hAnsi="宋体" w:eastAsia="宋体" w:cs="宋体"/>
          <w:color w:val="auto"/>
          <w:sz w:val="21"/>
          <w:szCs w:val="21"/>
          <w:highlight w:val="none"/>
          <w:u w:val="single"/>
        </w:rPr>
        <w:fldChar w:fldCharType="end"/>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首次登录“苏采云”系统的新用户，登录网址后，点击“用户注册”--“新CA办理指南”--获取CA后绑定、登录系统--采购项目参与--下载采购文件（文件后缀名为“.kedt”）。</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“苏采云”南京地区客服热线025-83633744、025-83633743。</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有关本次招标的事项若存在变动或修改，请及时关注“江苏政府采购网”（www.ccgp-jiangsu.gov.cn）更正公告。</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6.3 勘察现场：无</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6.4根据《关于在政府采购活动中推行信用承诺制的通知》宁财购通〔2021〕5号规定，参加南京地区政府采购活动的供应商，应以书面形式向采购人或政府采购代理机构作出信用承诺。详见第六章附件十四《南京市政府采购供应商信用记录表暨信用承诺书》，由法定代表人签字并盖单位公章，随投标文件一并递交。</w:t>
      </w:r>
      <w:r>
        <w:rPr>
          <w:rFonts w:hint="eastAsia" w:ascii="宋体" w:hAnsi="宋体" w:eastAsia="宋体" w:cs="宋体"/>
          <w:b/>
          <w:color w:val="auto"/>
          <w:sz w:val="21"/>
          <w:szCs w:val="21"/>
          <w:highlight w:val="none"/>
        </w:rPr>
        <w:t xml:space="preserve">未按要求提供《南京市政府采购供应商信用记录表暨信用承诺书》则该供应商投标文件按无效投标处理。</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在政府采购资格审查环节，供应商只需提供书面《南京市政府采购供应商信用记录表暨信用承诺书》，即可替代以下证明材料：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符合国家相关规定的财务状况报告</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依法缴纳税收的证明材料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依法缴纳社会保障资金的证明材料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具备履行政府采购合同所必需的设备和专业技术能力的证明材料；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参加政府采购活动前三年内在经营活动中没有重大违法记录的证明材料；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未被列入失信被执行人、重大税收违法失信主体名单、政府采购严重违法失信行为记录名单的证明材料。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供应商涉及以下情形的，不适用信用承诺：</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供应商被列入严重失信主体名单；</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被相关监管部门做出行政处罚且尚在处罚有效期内；</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被其他法律、行政法规规定的不适用信用承诺的情形。</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供应商对信用承诺内容的真实性、合法性、有效性负责。如作出虚假信用承诺，视同为“提供虚假材料谋取中标、成交”的违法行为。</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七、对本次招标提出询问，请按以下方式联系</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7.1采购人信息</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名 称：南京市江宁妇幼保健院</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地址：南京市江宁区秣陵街道双金社区佑宁路1号 </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联系方式： 沙老师025-52289689</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7.2采购代理机构信息</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名 称： 江苏省设备成套股份有限公司</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地　址：南京市鼓楼区清江南路18号鼓楼创新广场D栋1004室</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联系方式：汪惠子、刘寅</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电子邮箱：2277893572@qq.com</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7.3项目联系方式</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项目联系人：汪惠子</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电　话：13655172889 </w:t>
      </w:r>
      <w:r/>
    </w:p>
    <w:p>
      <w:pPr>
        <w:ind w:left="0" w:right="0" w:firstLine="452"/>
        <w:jc w:val="right"/>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1"/>
          <w:highlight w:val="none"/>
        </w:rPr>
        <w:t xml:space="preserve">采购代理机构：江苏省设备成套股份有限公司</w:t>
      </w:r>
      <w:r/>
    </w:p>
    <w:p>
      <w:pPr>
        <w:ind w:left="0" w:right="0" w:firstLine="452"/>
        <w:jc w:val="center"/>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1"/>
          <w:highlight w:val="none"/>
        </w:rPr>
        <w:t xml:space="preserve">                                                 </w:t>
      </w:r>
      <w:r>
        <w:rPr>
          <w:rFonts w:ascii="宋体" w:hAnsi="宋体" w:eastAsia="宋体" w:cs="宋体"/>
          <w:color w:val="auto"/>
          <w:spacing w:val="8"/>
          <w:sz w:val="21"/>
          <w:highlight w:val="none"/>
        </w:rPr>
        <w:t xml:space="preserve">2026年10月</w:t>
      </w:r>
      <w:r>
        <w:rPr>
          <w:rFonts w:hint="eastAsia" w:ascii="宋体" w:hAnsi="宋体" w:eastAsia="宋体" w:cs="宋体"/>
          <w:color w:val="auto"/>
          <w:spacing w:val="8"/>
          <w:sz w:val="21"/>
          <w:highlight w:val="none"/>
          <w:lang w:val="en-US" w:eastAsia="zh-CN"/>
        </w:rPr>
        <w:t xml:space="preserve">14</w:t>
      </w:r>
      <w:r>
        <w:rPr>
          <w:rFonts w:ascii="宋体" w:hAnsi="宋体" w:eastAsia="宋体" w:cs="宋体"/>
          <w:color w:val="auto"/>
          <w:spacing w:val="8"/>
          <w:sz w:val="21"/>
          <w:highlight w:val="none"/>
        </w:rPr>
        <w:t xml:space="preserve">日</w:t>
      </w:r>
      <w:r/>
    </w:p>
    <w:p>
      <w:pPr>
        <w:ind w:left="0" w:right="0" w:firstLine="45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0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一、总则</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rPr>
          <w:rFonts w:hint="eastAsia" w:ascii="宋体" w:hAnsi="宋体" w:eastAsia="宋体" w:cs="宋体"/>
          <w:b/>
          <w:color w:val="auto"/>
          <w:sz w:val="21"/>
          <w:szCs w:val="21"/>
          <w:highlight w:val="none"/>
        </w:rPr>
        <w:t xml:space="preserve">.招标方式</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本次招标采取公开招标方式，本文件仅适用于招标公告中所述项目。</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2.合格的投标人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满足招标公告对供应商资格要求的规定。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 满足招标文件规定的实质性要求和条件。</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3.适用法律</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4.投标费用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 投标人应自行承担所有与参加投标有关的费用，无论投标过程中的做法和结果如何，招标代理在任何情况下均无义务和责任承担这些费用。</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5.招标文件的约束力</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5.1 投标人一旦参加本项目采购活动，即被认为接受了本文件的规定和约束。</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二、招标文件</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6.招标文件构成</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招标文件由以下部分组成：</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（1）招标公告</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（2）投标人须知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（3）评标标准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（4）采购需求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（5）合同主要条款及格式</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（6）投标文件格式及附件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投标人应仔细检查招标文件是否齐全，如有缺漏请立即与招标代理联系。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7.招标文件的澄清</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 任何要求对招标文件进行澄清的投标人，应在投标截止期十日前按招标公告中的通讯地址，以书面形式通知招标代理。</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8.招标文件的修改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8.1 在投标截止时间前，</w:t>
      </w:r>
      <w:r>
        <w:rPr>
          <w:rFonts w:hint="eastAsia" w:ascii="宋体" w:hAnsi="宋体" w:eastAsia="宋体" w:cs="宋体"/>
          <w:color w:val="auto"/>
          <w:sz w:val="21"/>
          <w:szCs w:val="21"/>
          <w:highlight w:val="none"/>
        </w:rPr>
        <w:t xml:space="preserve">招标代理可以对招标文件进行修改。招标文件的修改将在原公告媒体发布更正公告，更正内容将作为招标文件的组成部分，并对投标人具有约束力。</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8.3 招标代理有权按照法定的要求推迟投标截止日期和开标日期，并在原公告媒体发布更正公告。</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三、投标文件的编制</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9.投标文件的语言及度量衡单位</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 投标人提交的投标文件以及投标人与招标代理就有关投标的所有来往通知、函件和文件均应使用简体中文。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9.2 除技术性能另有规定外，投标文件所使用的度量衡单位，均须采用国家法定计量单位。</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10.投标文件构成</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10.1 投标人编写的投标文件应包括资格证明文件、符合性证明文件、投标分项报价表、响应及偏离表、其他证明文件、投标函、开标一览表等部分。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10.2 如标书制作工具中格式和内容与“江苏政府采购网”发布的招标文件不一致，以“江苏政府采购网”发布的招标文件为准。</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11.证明投标人及投标标的符合招标文件规定的文件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 投标人应按照法律、法规、规章和规范性文件以及招标文件要求提交证明文件，证明其投标标的符合招标文件规定。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 招标文件对证明文件无明确形式要求的，证明文件可以以文字资料、图纸和数据等形式提交。</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12.投标分项报价表（如有）</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 投标人应按照招标文件规定格式填报投标分项报价表。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 投标文件中的单价和总价无特殊规定的采用人民币报价，以元为单位标注。招标文件另有规定的按规定执行。</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13.响应及偏离表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 投标人需对招标文件中的技术要求与商务要求逐项作出响应或偏离说明。</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13.2 投标人可以在投标文件中提供认为需要的其他技术文件或说明。</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14.投标函和开标一览表及核心产品品牌一览表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 投标人应按照招标文件规定格式完整、正确填报投标函、开标一览表及核心产品品牌一览表。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 对于采用货币报价的项目，开标一览表中的投标总报价应与投标分项报价表中的投标总报价一致，如不一致评标时以开标一览表中价格为准。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 核心产品品牌一览表中所投核心产品品牌缺项的将视为无效投标。</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15.投标有效期</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15.1 投标有效期为招标公告规定的开标之日起六十天。投标有效期比规定短的将被视为未实质性响应招标文件而被拒绝。</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16.投标有效期的延长</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四、投标文件的递交</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17.投标文件</w:t>
      </w:r>
      <w:r>
        <w:rPr>
          <w:rFonts w:hint="eastAsia" w:ascii="宋体" w:hAnsi="宋体" w:eastAsia="宋体" w:cs="宋体"/>
          <w:b/>
          <w:color w:val="auto"/>
          <w:sz w:val="21"/>
          <w:szCs w:val="21"/>
          <w:highlight w:val="none"/>
        </w:rPr>
        <w:t xml:space="preserve">的递交</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17.1 投标人应当按照《操作手册》规定，在招标公告规定的投标截止时间前制作并上传电子投标文件。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17.3 招标代理可以按照规定，通过修改招标文件酌情延长投标截止时间，在此情况下，投标人的所有权利和义务均以延长后新的截止时间为准。</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18.投标文件</w:t>
      </w:r>
      <w:r>
        <w:rPr>
          <w:rFonts w:hint="eastAsia" w:ascii="宋体" w:hAnsi="宋体" w:eastAsia="宋体" w:cs="宋体"/>
          <w:b/>
          <w:color w:val="auto"/>
          <w:sz w:val="21"/>
          <w:szCs w:val="21"/>
          <w:highlight w:val="none"/>
        </w:rPr>
        <w:t xml:space="preserve">的拒收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18.1 投标截止时间后上传的任何投标文件将被拒绝。</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19.投标文件的撤回和修改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 投标文件的撤回</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19.1.1 投标人可在投标截止时间前撤回其电子投标文件，具体操作方法见《操作手册》。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19.1.2 投标人撤回电子投标文件，则认为其不再参与本项目投标活动。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19.2 投标文件的修改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19.2.1 投标人可在投标截止时间前对其电子投标文件进行修改，具体操作方法见《操作手册》。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19.2.2 投标截止时间之后，投标人不得对其电子投标文件作任何修改。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19.3 在投标截止时间至招标文件中规定的投标有效期满之间的这段时间内，投标人不得撤回其投标。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五、开标与评标</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20.开标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20.1 招标代理在招标公告中规定的时间和地点组织公开开标。投标人按照《操作手册》规定参加开标活动，并在苏采云系统规定的时间内对投标文件进行解密。苏采云系统公布各投标人名称和投标价格。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20.2 投标人在开标过程中涉及到的投标文件解密、开标结果确认等工作，应按照《操作手册》规定执行。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20.3 投标人如果对开标过程和开标结果有疑义，应当根据《操作手册》规定提出，苏采云系统中《开标记录表》公布后5分钟内未提出的，视同认可开标结果。</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21.评标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21.1 评标由依法组建的评标委员会（以下简称“评委会”）进行。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21.2 评委会由采购人代表和有关方面专家组成，人员构成符合政府采购有关规定。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21.3 评委会独立工作，负责评审所有投标文件并推荐中标候选人，或根据采购人授权直接确定中标人。</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22.评标过程的保密与公正</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22.1 凡是与审查、澄清、评价和比较投标的有关资料以及授标建议等，采购人、评委、招标代理均不得向投标人或与评标无关的其他人员透露。</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 投标人不得以任何方式影响评标，否则其投标文件将被作为无效投标文件。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22.3 招标代理和评委会不向未中标的投标人解释未中标原因，也不公布评标过程中的相关细节。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22.4 采用综合评分法的项目，未中标的投标人可于中标结果公告期限届满之日起通过苏采云系统查看本单位的评审得分及排名情况。</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23.投标文件的澄清</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23.1 评标期间，评委会对投标文件中含义不明确、同类问题表述不一致或者有明显文字和计算错误的内容，有权要求投标人作出必要的澄清、说明或者补正。</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评委会并非对每个投标人都做澄清要求。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23.3 接到评委会澄清、说明和补正要求的，投标人如未按规定作出澄清、说明和补正，其风险由投标人自行承担。</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24.投标文件的</w:t>
      </w:r>
      <w:r>
        <w:rPr>
          <w:rFonts w:hint="eastAsia" w:ascii="宋体" w:hAnsi="宋体" w:eastAsia="宋体" w:cs="宋体"/>
          <w:b/>
          <w:color w:val="auto"/>
          <w:sz w:val="21"/>
          <w:szCs w:val="21"/>
          <w:highlight w:val="none"/>
        </w:rPr>
        <w:t xml:space="preserve">审查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 投标文件审查分为资格审查和符合性审查。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24.1.1 资格审查。依据法律法规和招标文件规定，由采购人对投标文件中的资格证明文件进行审查，并向评委会反馈审查结论。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采购人进行资格审查时，将在“信用中国”网站（www.creditchina.gov.cn）查询投标人的信用记录，以确定投标人是否具备投标资格，查询结果留存并归档。</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接受联合体的项目，联合体成员存在不良信用记录的，视同联合体存在不良信用记录。</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24.1.3 未通过资格审查或符合性审查的投标人，招标代理将通过苏采云系统告知其具体原因，评标结束后不再接受有关询问。</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24.3 如果投标文件实质上没有响应招标文件的要求，评委会将予以拒绝，投标人不得通过修改或撤销不合要求的偏离或保留而使其投标成为实质性响应的投标。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24.4 评委会将对确定为实质性响应的投标进行进一步审核，确定其是否有计算上或累加上的算术错误。修正错误的原则如下：</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（2）大写金额和小写金额不一致的，以大写金额为准；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同时出现两种以上错误的，按照前款规定的顺序修正。</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2</w:t>
      </w:r>
      <w:r>
        <w:rPr>
          <w:rFonts w:hint="eastAsia" w:ascii="宋体" w:hAnsi="宋体" w:eastAsia="宋体" w:cs="宋体"/>
          <w:color w:val="auto"/>
          <w:sz w:val="21"/>
          <w:szCs w:val="21"/>
          <w:highlight w:val="none"/>
        </w:rPr>
        <w:t xml:space="preserve">4.6 投标人在开、评标全过程中应保持通讯畅通，及时登录苏采云系统查阅、答复相关信息，并安排专人与招标代理及评委会联系。</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25.无效投标和废标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2</w:t>
      </w:r>
      <w:r>
        <w:rPr>
          <w:rFonts w:hint="eastAsia" w:ascii="宋体" w:hAnsi="宋体" w:eastAsia="宋体" w:cs="宋体"/>
          <w:color w:val="auto"/>
          <w:sz w:val="21"/>
          <w:szCs w:val="21"/>
          <w:highlight w:val="none"/>
        </w:rPr>
        <w:t xml:space="preserve">5.1 无效投标情形</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 投标人在苏采云系统规定的时间内未成功解密电子投标文件。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25.1.2 投标人未按照招标文件要求上传电子投标文件。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25.1.3 同一投标人提交两个（含两个）以上不同的投标报价。</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25.1.4 投标人不具备招标文件中规定资格要求。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25.1.5 投标人的报价超过了采购预算或最高限价或单价上限。</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25.1.6 未通过符合性审查。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25.1.7 不符合招标文件中实质性要求和条件（</w:t>
      </w:r>
      <w:r>
        <w:rPr>
          <w:rFonts w:hint="eastAsia" w:ascii="宋体" w:hAnsi="宋体" w:eastAsia="宋体" w:cs="宋体"/>
          <w:b/>
          <w:color w:val="auto"/>
          <w:sz w:val="21"/>
          <w:szCs w:val="21"/>
          <w:highlight w:val="none"/>
        </w:rPr>
        <w:t xml:space="preserve">本文件中斜体且有下划线部分，或者打“★”内容为实质性要求和条件</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25.1.9 投标文件含有采购人不能接受的附加条件。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25.1.10评委会启动异常低价响应审查的情形和具体要求：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25.1.10.1</w:t>
      </w:r>
      <w:r>
        <w:rPr>
          <w:rFonts w:ascii="Segoe UI" w:hAnsi="Segoe UI" w:eastAsia="Segoe UI" w:cs="Segoe UI"/>
          <w:i w:val="0"/>
          <w:iCs w:val="0"/>
          <w:caps w:val="0"/>
          <w:color w:val="auto"/>
          <w:spacing w:val="0"/>
          <w:sz w:val="21"/>
          <w:szCs w:val="21"/>
          <w:highlight w:val="none"/>
          <w:shd w:val="clear" w:color="auto" w:fill="ffffff"/>
        </w:rPr>
        <w:t xml:space="preserve">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25.1.10.2 评委会启动异常低价响应审查后，应当要求相关供应商在评审现场合理的时间内对投标报价作出解释，提供项目具体成本测算等与报价合理性相关的书面说明及必要的证明材料，包括但不限于原材料成本、人工成本、制造费用等，给予相关供应商30分钟。</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25.1.11 采购产品被财政部、国家发改委、生态环境部等列入“节能产品品目清单”强制采购范围，而投标人提供的产品不在强制采购范围内。</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25.1.12 投标文件未按照招标文件要求加盖电子公章。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25.1.13 法律法规及本招标文件规定的其他无效投标情形。</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 废标情形</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25.2.1 符合资格条件的供应商或者对招标文件作实质响应的供应商不足三家。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25.2.2 出现影响采购公正的违法、违规行为。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25.2.3 因重大变故采购任务取消。</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25.2.4 评委会认定招标文件存在歧义、重大缺陷导致评审工作无法进行。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25.2.5 因苏采云系统故障造成开标不成功。</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25.3 如出现投标截止时间后参加投标的供应商或者对招标文件作出实质性响应的供应商不足三家的情况，按政府采购相关规定执行。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25.4 如出现25.2.1或25.3情形，招标活动失败，评审委员会应对招标文件是否存在不合理条款进行论证，并在评审报告中写明论证意见。</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六、定标</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w:t>
      </w:r>
      <w:r>
        <w:rPr>
          <w:rFonts w:hint="eastAsia" w:ascii="宋体" w:hAnsi="宋体" w:eastAsia="宋体" w:cs="宋体"/>
          <w:b/>
          <w:color w:val="auto"/>
          <w:sz w:val="21"/>
          <w:szCs w:val="21"/>
          <w:highlight w:val="none"/>
        </w:rPr>
        <w:t xml:space="preserve">6.确定中标单位</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26.1 中标候选人的确定原则和数量见招标文件第五章。 </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26.2 按以下第（2）种方式确定中标人：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（1）评委会直接确定排名第一的中标候选人为中标人；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（2）采购人在评委会推荐的中标候选人中按顺序确定中标人。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按第二种方式确定中标人的，招标代理自评审结束之日起两个工作日内将评审报告送达采购人，采购人自收到评审报告之日起五个工作日内，在评审报告推荐的中标候选人中按顺序确定中标人。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26.3 招标代理将在“江苏政府采购网”发布中标公告，公告期限为1个工作日。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26.4 </w:t>
      </w:r>
      <w:r>
        <w:rPr>
          <w:rFonts w:hint="eastAsia" w:ascii="宋体" w:hAnsi="宋体" w:eastAsia="宋体" w:cs="宋体"/>
          <w:b/>
          <w:color w:val="auto"/>
          <w:sz w:val="21"/>
          <w:szCs w:val="21"/>
          <w:highlight w:val="none"/>
        </w:rPr>
        <w:t xml:space="preserve">若有充分证据证明中标人有下列情况之一的，一经查实将被取消中标资格：</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26.4.1 提供虚假材料谋取中标。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26.4.2 向评审专家、采购人或招标代理工作人员行贿或者提供其他不正当利益。</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26.4.3 与其他供应商、评审专家、采购人或招标代理工作人员恶意串通。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26.4.4 属于本文件规定的无效投标情形，但在评标过程中未被评委会发现。</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26.4.5 采取不正当手段诋毁、排挤其他供应商。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26.5 </w:t>
      </w:r>
      <w:r>
        <w:rPr>
          <w:rFonts w:hint="eastAsia" w:ascii="宋体" w:hAnsi="宋体" w:eastAsia="宋体" w:cs="宋体"/>
          <w:b/>
          <w:color w:val="auto"/>
          <w:sz w:val="21"/>
          <w:szCs w:val="21"/>
          <w:highlight w:val="none"/>
        </w:rPr>
        <w:t xml:space="preserve">有下列情形之一的视为投标人串通投标，投标无效：</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26.5.1 不同投标人的投标文件由同一单位或者个人编制。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26.5.2 不同投标人委托同一单位或者个人办理投标事宜。</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26.5.3 不同投标人的投标文件载明的项目管理成员或者联系人员为同一人。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26.5.4 不同投标人的投标文件异常一致或者投标报价呈规律性差异。</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27.中标通知书</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27.l 中标结果确定后，招标代理将向中标人发出《中标通知书》。中标人可在中标结果公告届满之日起三十日内，登录苏采云系统下载。</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七、授予合同</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28.签订合同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28.l 中标人应当在《中标通知书》发出之日起三十日内，按照招标文件确定的事项与采购人签订政府采购合同。采购人于合同签订后2个工作日内通过苏采云系统进行公示。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28.2 招标文件、中标人的投标文件及招标过程中有关澄清、承诺文件均作为合同附件。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28.4 中标人因自身原因拒绝与采购人签订合同的，不得参加采购人重新组织的采购活动，且将可能被拒绝参加该采购人一年内的其他政府采购活动。</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29.标的物的追加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30.政府采购履约资金扶持政策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30.1 中标供应商可通过南京市公共资源交易平台网站“小企业融资平台”，选择相应的金融机构办理融资贷款。</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八、质疑</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31.提出质疑的供应商应当是参与所质疑项目采购活动的供应商，潜在供应商依法获取其可质疑的采购文件的，可以对采购文件提出质疑。</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32.供应商认为采购文件、采购过程和采购结果使自己的权益受到损害的，可以在知道或应知其权益受到损害之日起七个工作日内，按照第34条、第35条之规定以书面形式向采购人或招标代理提出质疑。</w:t>
      </w:r>
      <w:r>
        <w:rPr>
          <w:rFonts w:hint="eastAsia" w:ascii="宋体" w:hAnsi="宋体" w:eastAsia="宋体" w:cs="宋体"/>
          <w:b/>
          <w:color w:val="auto"/>
          <w:sz w:val="21"/>
          <w:szCs w:val="21"/>
          <w:highlight w:val="none"/>
        </w:rPr>
        <w:t xml:space="preserve">上述应知其权益受到损害之日是指</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32.1 对采购文件提出质疑的，为收到采购文件之日或者采购文件公告期限届满之日。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32.2 对采购过程提出质疑的，为各采购程序环节结束之日。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32.3 对中标或者成交结果提出质疑的，为中标或者成交结果公告期限届满之日。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33.供应商应当在法定质疑期内一次性提出针对同一采购程序环节的质疑。供应商如在法定期限内对同一采购程序环节提出多次质疑的，招标代理或采购人将只对供应商第一次质疑作出答复。</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34.供应商提出质疑应提交《质疑函》原件，且尽可能通过邮寄方式送达，招标代理和采购人不接受无运单的快件。《质疑函》应按照本招标文件中《质疑函范本》的格式和内容填写。</w:t>
      </w:r>
      <w:r>
        <w:rPr>
          <w:rFonts w:hint="eastAsia" w:ascii="宋体" w:hAnsi="宋体" w:eastAsia="宋体" w:cs="宋体"/>
          <w:b/>
          <w:color w:val="auto"/>
          <w:sz w:val="21"/>
          <w:szCs w:val="21"/>
          <w:highlight w:val="none"/>
        </w:rPr>
        <w:t xml:space="preserve">由授权代表负责质疑事宜的，《质疑函》附件中应提交由质疑供应商法定代表人或主要负责人签署的《授权委托书》。</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供应商如组成联合体参加采购活动，《质疑函范本》中要求加盖公章之处，联合体各方均须按要求加盖公章。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35.</w:t>
      </w:r>
      <w:r>
        <w:rPr>
          <w:rFonts w:hint="eastAsia" w:ascii="宋体" w:hAnsi="宋体" w:eastAsia="宋体" w:cs="宋体"/>
          <w:b/>
          <w:color w:val="auto"/>
          <w:sz w:val="21"/>
          <w:szCs w:val="21"/>
          <w:highlight w:val="none"/>
        </w:rPr>
        <w:t xml:space="preserve">供应商根据质疑事项向相应的质疑答复主体提出质疑，具体详见招标文件第一章。由采购人负责答复的质疑，采购人将《质疑答复函》抄送招标代理。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36.以下情形的质疑不予受理：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36.1 超出政府采购法定期限的质疑；</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36.2 在法定期限内对同一采购程序环节提出第一次质疑之外的多次质疑；</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36.3 法律法规规定的其他不予受理情形。</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37.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九、政策功能落实</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38.促进中小企业发展</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38.1 本项目中的货物全部由中小企业制造的，投标供应商享受中小企业扶持政策。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38.3 中小企业参加政府采购活动，应当出具《中小企业声明函》，否则不享受相关中小企业支持政策。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38.4 以联合体形式参加政府采购活动，联合体各方均为中小企业的，联合体视同中小企业。其中，联合体各方均为小微企业的，联合体视同小微企业。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38.6 残疾人福利性单位视同小型、微型企业。按照《关于促进残疾人就业政府采购政策的通知》（财库〔2017〕141号）规定，残疾人福利单位需提供《残疾人福利性单位声明函》。</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39.节能环保产品</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40.绿色采购</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41.创新产品采购</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41.1 优先采购各级政府部门公开发布的有效期内的创新产品、首台套等《目录》内的创新产品。创新产品自进入《目录》起2年内视同具备相应销售业绩。</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42.网络产品、市场准入类产品采购</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42.1 本</w:t>
      </w:r>
      <w:r>
        <w:rPr>
          <w:rFonts w:hint="eastAsia" w:ascii="宋体" w:hAnsi="宋体" w:eastAsia="宋体" w:cs="宋体"/>
          <w:color w:val="auto"/>
          <w:sz w:val="21"/>
          <w:szCs w:val="21"/>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43.实施本国产品标准及相关政策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43.2本国产品应当符合以下条件：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（1）在中国境内生产</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（2）在中国境内生产的组件成本占比达到规定比例</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（3）特定产品的关键组件、关键工序符合相关要求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43.3本国产品标准的适用范围</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43.4对本国产品的支持政策</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本项目如既有本国产品又有非本国产品参与竞争，依法对本国产品给予价格评审优惠，具体详见第三章。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43.5政策执行要求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（1）产品在中国境内生产的组件成本核算规则。产品在中国境内生产的组件成本，按照《中国境内生产的组件成本核算基本规则》计算，详见</w:t>
      </w:r>
      <w:r>
        <w:rPr>
          <w:rFonts w:hint="eastAsia" w:ascii="宋体" w:hAnsi="宋体" w:eastAsia="宋体" w:cs="宋体"/>
          <w:color w:val="auto"/>
          <w:sz w:val="21"/>
          <w:szCs w:val="21"/>
          <w:highlight w:val="none"/>
        </w:rPr>
        <w:t xml:space="preserve">《国务院办公厅关于在政府采购中实施本国产品标准及相关政策的通知》（国办发〔2025〕34号）规定。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（2）有关证明文件。</w:t>
      </w:r>
      <w:r>
        <w:rPr>
          <w:rFonts w:hint="eastAsia" w:ascii="宋体" w:hAnsi="宋体" w:eastAsia="宋体" w:cs="宋体"/>
          <w:b/>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费用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招标代理服务费：本次招标，中标人按《江苏省政府采购代理服务收费指导意见》苏政采协【2024】20号文招标收费基准费率的 40% 向招标代理机构支付招标服务费。本项费用无需单列。</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0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第三章 评标标准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bl>
      <w:tblPr>
        <w:tblStyle w:val="6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1145"/>
        <w:gridCol w:w="6141"/>
        <w:gridCol w:w="629"/>
        <w:gridCol w:w="875"/>
      </w:tblGrid>
      <w:tr>
        <w:trPr>
          <w:trHeight w:val="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类型</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1.价</w:t>
            </w:r>
            <w:r>
              <w:rPr>
                <w:rFonts w:ascii="宋体" w:hAnsi="宋体" w:eastAsia="宋体" w:cs="宋体"/>
                <w:b/>
                <w:color w:val="auto"/>
                <w:spacing w:val="-2"/>
                <w:sz w:val="21"/>
                <w:szCs w:val="21"/>
                <w:highlight w:val="none"/>
              </w:rPr>
              <w:t xml:space="preserve">格</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1</w:t>
            </w:r>
            <w:r>
              <w:rPr>
                <w:rFonts w:ascii="宋体" w:hAnsi="宋体" w:eastAsia="宋体" w:cs="宋体"/>
                <w:color w:val="auto"/>
                <w:spacing w:val="-5"/>
                <w:sz w:val="21"/>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szCs w:val="21"/>
                <w:highlight w:val="none"/>
              </w:rPr>
              <w:t xml:space="preserve">采用低价优先</w:t>
            </w:r>
            <w:r>
              <w:rPr>
                <w:rFonts w:ascii="宋体" w:hAnsi="宋体" w:eastAsia="宋体" w:cs="宋体"/>
                <w:color w:val="auto"/>
                <w:sz w:val="21"/>
                <w:szCs w:val="21"/>
                <w:highlight w:val="none"/>
              </w:rPr>
              <w:t xml:space="preserve">法计算，即满足招标文件要求且投标价格最低的投标</w:t>
            </w:r>
            <w:r>
              <w:rPr>
                <w:rFonts w:ascii="宋体" w:hAnsi="宋体" w:eastAsia="宋体" w:cs="宋体"/>
                <w:color w:val="auto"/>
                <w:spacing w:val="1"/>
                <w:sz w:val="21"/>
                <w:szCs w:val="21"/>
                <w:highlight w:val="none"/>
              </w:rPr>
              <w:t xml:space="preserve">报价为评标基准</w:t>
            </w:r>
            <w:r>
              <w:rPr>
                <w:rFonts w:ascii="宋体" w:hAnsi="宋体" w:eastAsia="宋体" w:cs="宋体"/>
                <w:color w:val="auto"/>
                <w:sz w:val="21"/>
                <w:szCs w:val="21"/>
                <w:highlight w:val="none"/>
              </w:rPr>
              <w:t xml:space="preserve">价，其价格分为满分。其他投标人的价格分统一按</w:t>
            </w:r>
            <w:r>
              <w:rPr>
                <w:rFonts w:ascii="宋体" w:hAnsi="宋体" w:eastAsia="宋体" w:cs="宋体"/>
                <w:color w:val="auto"/>
                <w:spacing w:val="-1"/>
                <w:sz w:val="21"/>
                <w:szCs w:val="21"/>
                <w:highlight w:val="none"/>
              </w:rPr>
              <w:t xml:space="preserve">照下列公</w:t>
            </w:r>
            <w:r>
              <w:rPr>
                <w:rFonts w:ascii="宋体" w:hAnsi="宋体" w:eastAsia="宋体" w:cs="宋体"/>
                <w:color w:val="auto"/>
                <w:sz w:val="21"/>
                <w:szCs w:val="21"/>
                <w:highlight w:val="none"/>
              </w:rPr>
              <w:t xml:space="preserve">式计算：投标报价得分=(评标基准价/投标报价)×价格分值（小数点保留两位）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价格分</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2.技术</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包1：产品技术参数全部满足招标要求的得满分，打★指标为必须满足项，如有负偏离将作为无效投标，打▲指标为重要指标，有1项负偏离扣2分，其余指标有1项负偏离扣0.3分，扣完为止。</w:t>
            </w:r>
            <w:r/>
          </w:p>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包2：产品技术参数全部满足招标要求的得满分，打★指标为必须满足项，如有负偏离将作为无效投标，打▲指标为重要指标，有1项负偏离扣0.5分，其余指标有1项负偏离扣0.1分，扣完为止。</w:t>
            </w:r>
            <w:r/>
          </w:p>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包3：产品技术参数全部满足招标要求的得满分，打★指标为必须满足项，如有负偏离将作为无效投标，打▲指标为重要指标，有1项负偏离扣2分，其余指标有1项负偏离扣0.4分，扣完为止。</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客</w:t>
            </w:r>
            <w:r>
              <w:rPr>
                <w:rFonts w:ascii="宋体" w:hAnsi="宋体" w:eastAsia="宋体" w:cs="宋体"/>
                <w:color w:val="auto"/>
                <w:spacing w:val="-4"/>
                <w:sz w:val="21"/>
                <w:szCs w:val="21"/>
                <w:highlight w:val="none"/>
              </w:rPr>
              <w:t xml:space="preserve">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所投产品综合性能评价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ascii="Arial" w:hAnsi="Arial" w:eastAsia="Arial" w:cs="Arial"/>
                <w:color w:val="auto"/>
                <w:sz w:val="21"/>
                <w:szCs w:val="21"/>
                <w:highlight w:val="none"/>
              </w:rPr>
              <w:t xml:space="preserve">7</w:t>
            </w:r>
            <w:r>
              <w:rPr>
                <w:rFonts w:ascii="宋体" w:hAnsi="宋体" w:eastAsia="宋体" w:cs="宋体"/>
                <w:color w:val="auto"/>
                <w:sz w:val="21"/>
                <w:szCs w:val="21"/>
                <w:highlight w:val="none"/>
              </w:rPr>
              <w:t xml:space="preserve">分；产品安全性较高、稳定性较好，操作界面较为简便流畅，操作流程基本符合临床需要，配置较高，功能较全面，完全符合采购需求的得</w:t>
            </w:r>
            <w:r>
              <w:rPr>
                <w:rFonts w:ascii="Arial" w:hAnsi="Arial" w:eastAsia="Arial" w:cs="Arial"/>
                <w:color w:val="auto"/>
                <w:sz w:val="21"/>
                <w:szCs w:val="21"/>
                <w:highlight w:val="none"/>
              </w:rPr>
              <w:t xml:space="preserve">4</w:t>
            </w:r>
            <w:r>
              <w:rPr>
                <w:rFonts w:ascii="宋体" w:hAnsi="宋体" w:eastAsia="宋体" w:cs="宋体"/>
                <w:color w:val="auto"/>
                <w:sz w:val="21"/>
                <w:szCs w:val="21"/>
                <w:highlight w:val="none"/>
              </w:rPr>
              <w:t xml:space="preserve">分；产品安全性一般、稳定性一般，操作界面较为复杂，操作流程不太符合临床需要，配置一般，功能不太全面，基本符合采购需求但有待改进的得</w:t>
            </w:r>
            <w:r>
              <w:rPr>
                <w:rFonts w:ascii="Arial" w:hAnsi="Arial" w:eastAsia="Arial" w:cs="Arial"/>
                <w:color w:val="auto"/>
                <w:sz w:val="21"/>
                <w:szCs w:val="21"/>
                <w:highlight w:val="none"/>
              </w:rPr>
              <w:t xml:space="preserve">1</w:t>
            </w:r>
            <w:r>
              <w:rPr>
                <w:rFonts w:ascii="宋体" w:hAnsi="宋体" w:eastAsia="宋体" w:cs="宋体"/>
                <w:color w:val="auto"/>
                <w:sz w:val="21"/>
                <w:szCs w:val="21"/>
                <w:highlight w:val="none"/>
              </w:rPr>
              <w:t xml:space="preserve">分；其余或不提供不得分。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主观分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项目实施方案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评委根据投标人提供的项目实施方案综合评分，包含：1.货物的包装与运输；2.供货进度保证措施；3.质量体系与措施；4.安全管理体系与措施；5.协调配合措施。以上每项内容逐条阐述。</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（1）上述每项内容完整，科学合理、操作性强的，得2分；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（2）上述每项内容较完整，较科学合理，有可操作性的，得1分； </w:t>
            </w:r>
            <w:r/>
          </w:p>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rPr>
                <w:rFonts w:ascii="Arial" w:hAnsi="Arial" w:eastAsia="Arial" w:cs="Arial"/>
                <w:color w:val="auto"/>
                <w:sz w:val="21"/>
                <w:szCs w:val="21"/>
                <w:highlight w:val="none"/>
              </w:rPr>
              <w:t xml:space="preserve">3</w:t>
            </w:r>
            <w:r>
              <w:rPr>
                <w:rFonts w:ascii="宋体" w:hAnsi="宋体" w:eastAsia="宋体" w:cs="宋体"/>
                <w:color w:val="auto"/>
                <w:sz w:val="21"/>
                <w:szCs w:val="21"/>
                <w:highlight w:val="none"/>
              </w:rPr>
              <w:t xml:space="preserve">）上述每项内容不科学合理、无操作性或未提供的不得分。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主观分</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3.服务</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评委根据投标人提供的项目售后服务方案综合评分，包含：1.服务内容；2.故障解决方案；3.预防性维护方案；4、售后服务流程；5、服务人员配备。以上每项内容逐条阐述。</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（1）上述每项内容完整，科学合理、操作性强的，得2分；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（2）上述每项内容较完整，较科学合理，有可操作性的，得1分；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（3）上述每项内容不科学合理、无操作性或未提供的不得分。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主观分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调试和应急维护方案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评委根据投标人提供的项目实施方案综合评分，包含：1.设备调试方案；2.应急维护方案；3. 应急保证措施；4.验收计划；5、调试和应急人员配备。以上每项内容逐条阐述。</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（1）上述每项内容完整，科学合理、操作性强的，得1分；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（2）上述每项内容较完整，较科学合理，有可操作性的，得0.5分；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（3）上述每项内容不科学合理、无操作性或未提供的不得分。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主观分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评委根据投标人提供的项目培训方案评分, 包含：1.培训内容；2.培训培训日程安排；3.培训人数及培训时长；4.培训师资力量。以上每项内容逐条阐述。</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（1）上述每项内容全面合理、针对性及操作性强的，得1分；</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（2）上述每项内容较合理、针对性及操作性较强的，得0.5分；</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（3）上述每项内容不合理、缺乏针对性及操作性或未提供方案的不得分。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主观分</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4.业绩</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szCs w:val="21"/>
                <w:highlight w:val="none"/>
              </w:rPr>
              <w:t xml:space="preserve">产品业绩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提供2023年1月1日（含）以来（时间以合同签订时间为准）所投产品（至少包含核心产品的同品牌同型号）业绩，每提供1个得1分，最多得3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客</w:t>
            </w:r>
            <w:r>
              <w:rPr>
                <w:rFonts w:ascii="宋体" w:hAnsi="宋体" w:eastAsia="宋体" w:cs="宋体"/>
                <w:color w:val="auto"/>
                <w:spacing w:val="-4"/>
                <w:sz w:val="21"/>
                <w:szCs w:val="21"/>
                <w:highlight w:val="none"/>
              </w:rPr>
              <w:t xml:space="preserve">观分</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5.履约能力</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5.1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szCs w:val="21"/>
                <w:highlight w:val="none"/>
              </w:rPr>
              <w:t xml:space="preserve">履约能力</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投标人承诺所投产品5年（含）以上原厂质保得3分，所有质保服务及配件等费用包含在总报价中；未提供的不得分（提供承诺函，格式自拟）。</w:t>
            </w:r>
            <w:r/>
          </w:p>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备注:投标时提供产品原厂公章的质保承诺函原件，格式自拟。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客</w:t>
            </w:r>
            <w:r>
              <w:rPr>
                <w:rFonts w:ascii="宋体" w:hAnsi="宋体" w:eastAsia="宋体" w:cs="宋体"/>
                <w:color w:val="auto"/>
                <w:spacing w:val="-4"/>
                <w:sz w:val="21"/>
                <w:szCs w:val="21"/>
                <w:highlight w:val="none"/>
              </w:rPr>
              <w:t xml:space="preserve">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3"/>
                <w:sz w:val="21"/>
                <w:szCs w:val="21"/>
                <w:highlight w:val="none"/>
              </w:rPr>
              <w:t xml:space="preserve">合</w:t>
            </w:r>
            <w:r>
              <w:rPr>
                <w:rFonts w:ascii="宋体" w:hAnsi="宋体" w:eastAsia="宋体" w:cs="宋体"/>
                <w:color w:val="auto"/>
                <w:spacing w:val="-2"/>
                <w:sz w:val="21"/>
                <w:szCs w:val="21"/>
                <w:highlight w:val="none"/>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4"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1"/>
                <w:sz w:val="21"/>
                <w:szCs w:val="21"/>
                <w:highlight w:val="none"/>
              </w:rPr>
              <w:t xml:space="preserve">100分</w:t>
            </w:r>
            <w:r/>
          </w:p>
        </w:tc>
      </w:tr>
    </w:tbl>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1.所有认证、证明和业绩均以有效清晰的证明文件的复印件为依据，原件备查。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2.小微企业价格扣除</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3.监狱和戒毒企业的价格扣除</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 本项目对监狱和戒毒企业，给予10%的价格扣除，用扣除后的价格参与评审。</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 监狱企业需提供由省级以上监狱管理局、戒毒管理局（含新疆生产建设兵团）出具的属于监狱企业的证明文件。</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 监狱企业标准请参照《关于政府采购支持监狱企业发展有关问题的通知》（财库〔2014〕68号）。</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4.残疾人福利性单位的价格扣除</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 本项目对残疾人福利性单位，给予10%的价格扣除，用扣除后的价格参与评审。</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4.2 残疾人福利性单位需提供《残疾人福利性单位声明函》。</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 残疾人福利性单位标准请参照《关于促进残疾人就业政府采购政策的通知》（财库〔2017〕141号）。</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 监狱企业、残疾人福利性单位属于小型、微型企业的，不重复享受政策。</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6.6.本国产品的价格扣除</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6.1本国产品标准、本国产品标准的适用范围、对本国产品的支持政策等详见《国务院办公厅关于在政府采购中实施本国产品标准及相关政策的通知》（国办发〔2025〕34号）。</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6.2 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highlight w:val="none"/>
        </w:rPr>
        <w:br w:type="page" w:clear="all"/>
      </w:r>
      <w:r/>
    </w:p>
    <w:p>
      <w:pPr>
        <w:pStyle w:val="60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 采购需求</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一、货物需求一览表</w:t>
      </w:r>
      <w:r/>
    </w:p>
    <w:tbl>
      <w:tblPr>
        <w:tblStyle w:val="611"/>
        <w:tblW w:w="1059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25"/>
        <w:gridCol w:w="2032"/>
        <w:gridCol w:w="1898"/>
        <w:gridCol w:w="2589"/>
        <w:gridCol w:w="1122"/>
        <w:gridCol w:w="1257"/>
        <w:gridCol w:w="1071"/>
      </w:tblGrid>
      <w:tr>
        <w:trPr>
          <w:jc w:val="center"/>
          <w:trHeight w:val="23"/>
        </w:trPr>
        <w:tc>
          <w:tcPr>
            <w:shd w:val="clear" w:color="auto" w:fill="ffffff" w:themeFill="background1"/>
            <w:tcBorders>
              <w:top w:val="single" w:color="000000" w:sz="4" w:space="0"/>
              <w:left w:val="single" w:color="000000" w:sz="4" w:space="0"/>
              <w:bottom w:val="single" w:color="auto"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设备名称</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89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18"/>
                <w:szCs w:val="18"/>
                <w:highlight w:val="none"/>
                <w:u w:val="none"/>
              </w:rPr>
              <w:outlineLvl w:val="9"/>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rPr>
                <w:rFonts w:hint="eastAsia" w:ascii="宋体" w:hAnsi="宋体" w:eastAsia="宋体" w:cs="宋体"/>
                <w:b/>
                <w:bCs/>
                <w:i w:val="0"/>
                <w:iCs w:val="0"/>
                <w:color w:val="auto"/>
                <w:sz w:val="18"/>
                <w:szCs w:val="18"/>
                <w:highlight w:val="none"/>
                <w:u w:val="none"/>
                <w:lang w:val="en-US" w:eastAsia="zh-CN" w:bidi="ar"/>
              </w:rPr>
              <w:t xml:space="preserve">(台、套、批)</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25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color w:val="auto"/>
                <w:sz w:val="21"/>
                <w:szCs w:val="21"/>
                <w:highlight w:val="none"/>
                <w:lang w:eastAsia="zh-CN"/>
              </w:rPr>
              <w:t xml:space="preserve">科</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室</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12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color w:val="auto"/>
                <w:sz w:val="21"/>
                <w:szCs w:val="21"/>
                <w:highlight w:val="none"/>
                <w:lang w:eastAsia="zh-CN"/>
              </w:rPr>
              <w:t xml:space="preserve">最高限价</w:t>
            </w:r>
            <w:r>
              <w:rPr>
                <w:rFonts w:hint="eastAsia" w:ascii="宋体" w:hAnsi="宋体" w:eastAsia="宋体" w:cs="宋体"/>
                <w:b/>
                <w:bCs/>
                <w:i w:val="0"/>
                <w:iCs w:val="0"/>
                <w:color w:val="auto"/>
                <w:sz w:val="18"/>
                <w:szCs w:val="18"/>
                <w:highlight w:val="none"/>
                <w:u w:val="none"/>
                <w:lang w:val="en-US" w:eastAsia="zh-CN" w:bidi="ar"/>
              </w:rPr>
              <w:t xml:space="preserve"> （万元）</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257" w:type="dxa"/>
            <w:vAlign w:val="center"/>
            <w:textDirection w:val="lrTb"/>
            <w:noWrap w:val="false"/>
          </w:tcPr>
          <w:p>
            <w:pPr>
              <w:ind w:firstLine="0"/>
              <w:jc w:val="center"/>
              <w:keepLines w:val="0"/>
              <w:keepNext w:val="0"/>
              <w:pageBreakBefore w:val="0"/>
              <w:widowControl/>
              <w:rPr>
                <w:rFonts w:hint="eastAsia" w:ascii="宋体" w:hAnsi="宋体" w:eastAsia="宋体" w:cs="宋体"/>
                <w:b/>
                <w:bCs w:val="0"/>
                <w:i w:val="0"/>
                <w:iCs w:val="0"/>
                <w:color w:val="auto"/>
                <w:sz w:val="18"/>
                <w:szCs w:val="18"/>
                <w:highlight w:val="none"/>
                <w:u w:val="none"/>
                <w:lang w:val="en-US" w:eastAsia="zh-CN" w:bidi="ar"/>
              </w:rPr>
            </w:pPr>
            <w:r>
              <w:rPr>
                <w:rFonts w:hint="eastAsia" w:ascii="宋体" w:hAnsi="宋体" w:eastAsia="宋体" w:cs="宋体"/>
                <w:b/>
                <w:bCs w:val="0"/>
                <w:color w:val="auto"/>
                <w:sz w:val="21"/>
                <w:szCs w:val="21"/>
                <w:highlight w:val="none"/>
              </w:rPr>
              <w:t xml:space="preserve">交货期</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071" w:type="dxa"/>
            <w:vAlign w:val="center"/>
            <w:textDirection w:val="lrTb"/>
            <w:noWrap w:val="false"/>
          </w:tcPr>
          <w:p>
            <w:pPr>
              <w:ind w:firstLine="0"/>
              <w:jc w:val="center"/>
              <w:keepLines w:val="0"/>
              <w:keepNext w:val="0"/>
              <w:pageBreakBefore w:val="0"/>
              <w:widowControl/>
              <w:rPr>
                <w:rFonts w:hint="eastAsia" w:ascii="宋体" w:hAnsi="宋体" w:eastAsia="宋体" w:cs="宋体"/>
                <w:b/>
                <w:bCs w:val="0"/>
                <w:i w:val="0"/>
                <w:iCs w:val="0"/>
                <w:color w:val="auto"/>
                <w:sz w:val="18"/>
                <w:szCs w:val="18"/>
                <w:highlight w:val="none"/>
                <w:u w:val="none"/>
                <w:lang w:val="en-US" w:eastAsia="zh-CN" w:bidi="ar"/>
              </w:rPr>
            </w:pPr>
            <w:r>
              <w:rPr>
                <w:rFonts w:hint="eastAsia" w:ascii="宋体" w:hAnsi="宋体" w:eastAsia="宋体" w:cs="宋体"/>
                <w:b/>
                <w:bCs w:val="0"/>
                <w:color w:val="auto"/>
                <w:sz w:val="21"/>
                <w:szCs w:val="21"/>
                <w:highlight w:val="none"/>
              </w:rPr>
              <w:t xml:space="preserve">交货地点</w:t>
            </w:r>
            <w:r/>
          </w:p>
        </w:tc>
      </w:tr>
      <w:tr>
        <w:trPr>
          <w:jc w:val="center"/>
          <w:trHeight w:val="397" w:hRule="exact"/>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5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bCs/>
                <w:color w:val="auto"/>
                <w:spacing w:val="8"/>
                <w:sz w:val="18"/>
                <w:szCs w:val="18"/>
                <w:highlight w:val="none"/>
              </w:rPr>
              <w:t xml:space="preserve">包1：</w:t>
            </w:r>
            <w:r>
              <w:rPr>
                <w:rFonts w:hint="eastAsia" w:ascii="宋体" w:hAnsi="宋体" w:eastAsia="宋体" w:cs="宋体"/>
                <w:b/>
                <w:bCs/>
                <w:color w:val="auto"/>
                <w:spacing w:val="8"/>
                <w:sz w:val="18"/>
                <w:szCs w:val="18"/>
                <w:highlight w:val="none"/>
                <w:lang w:eastAsia="zh-CN"/>
              </w:rPr>
              <w:t xml:space="preserve">口腔数字印模仪、牙齿冷光漂白仪</w:t>
            </w:r>
            <w:r>
              <w:rPr>
                <w:rFonts w:hint="eastAsia" w:ascii="宋体" w:hAnsi="宋体" w:eastAsia="宋体" w:cs="宋体"/>
                <w:b/>
                <w:bCs/>
                <w:color w:val="auto"/>
                <w:spacing w:val="8"/>
                <w:sz w:val="18"/>
                <w:szCs w:val="18"/>
                <w:highlight w:val="none"/>
              </w:rPr>
              <w:t xml:space="preserve">等</w:t>
            </w:r>
            <w:r/>
          </w:p>
        </w:tc>
      </w:tr>
      <w:tr>
        <w:trPr>
          <w:jc w:val="center"/>
          <w:trHeight w:val="582"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口腔数字印模仪</w:t>
            </w:r>
            <w:r>
              <w:rPr>
                <w:rFonts w:hint="eastAsia" w:ascii="宋体" w:hAnsi="宋体" w:eastAsia="宋体" w:cs="宋体"/>
                <w:i w:val="0"/>
                <w:iCs w:val="0"/>
                <w:color w:val="auto"/>
                <w:sz w:val="18"/>
                <w:szCs w:val="18"/>
                <w:highlight w:val="none"/>
                <w:u w:val="none"/>
                <w:lang w:val="en-US" w:eastAsia="zh-CN"/>
              </w:rPr>
              <w:t xml:space="preserve">  </w:t>
            </w:r>
            <w:r>
              <w:rPr>
                <w:rFonts w:hint="eastAsia" w:ascii="宋体" w:hAnsi="宋体" w:eastAsia="宋体" w:cs="宋体"/>
                <w:b/>
                <w:bCs/>
                <w:i w:val="0"/>
                <w:iCs w:val="0"/>
                <w:color w:val="auto"/>
                <w:sz w:val="18"/>
                <w:szCs w:val="18"/>
                <w:highlight w:val="none"/>
                <w:u w:val="none"/>
                <w:lang w:eastAsia="zh-CN"/>
              </w:rPr>
              <w:t xml:space="preserve">（核心产品）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55.25</w:t>
            </w:r>
            <w:r/>
          </w:p>
        </w:tc>
        <w:tc>
          <w:tcPr>
            <w:shd w:val="clear" w:color="auto" w:fill="ffffff" w:themeFill="background1"/>
            <w:tcBorders>
              <w:top w:val="single" w:color="000000" w:sz="4" w:space="0"/>
              <w:left w:val="single" w:color="000000" w:sz="4" w:space="0"/>
              <w:right w:val="single" w:color="000000" w:sz="4" w:space="0"/>
            </w:tcBorders>
            <w:tcW w:w="1257" w:type="dxa"/>
            <w:vAlign w:val="center"/>
            <w:vMerge w:val="restart"/>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pacing w:val="8"/>
                <w:sz w:val="18"/>
                <w:szCs w:val="18"/>
                <w:highlight w:val="none"/>
              </w:rPr>
              <w:t xml:space="preserve">自合同签订后</w:t>
            </w:r>
            <w:r>
              <w:rPr>
                <w:rFonts w:hint="eastAsia" w:ascii="宋体" w:hAnsi="宋体" w:eastAsia="宋体" w:cs="宋体"/>
                <w:color w:val="auto"/>
                <w:spacing w:val="8"/>
                <w:sz w:val="18"/>
                <w:szCs w:val="18"/>
                <w:highlight w:val="none"/>
                <w:lang w:val="en-US" w:eastAsia="zh-CN"/>
              </w:rPr>
              <w:t xml:space="preserve">15</w:t>
            </w:r>
            <w:r>
              <w:rPr>
                <w:rFonts w:hint="eastAsia" w:ascii="宋体" w:hAnsi="宋体" w:eastAsia="宋体" w:cs="宋体"/>
                <w:color w:val="auto"/>
                <w:spacing w:val="8"/>
                <w:sz w:val="18"/>
                <w:szCs w:val="18"/>
                <w:highlight w:val="none"/>
              </w:rPr>
              <w:t xml:space="preserve">日内设备供货并完成安装调试交付使用</w:t>
            </w:r>
            <w:r/>
          </w:p>
        </w:tc>
        <w:tc>
          <w:tcPr>
            <w:shd w:val="clear" w:color="auto" w:fill="ffffff" w:themeFill="background1"/>
            <w:tcBorders>
              <w:top w:val="single" w:color="000000" w:sz="4" w:space="0"/>
              <w:left w:val="single" w:color="000000" w:sz="4" w:space="0"/>
              <w:right w:val="single" w:color="000000" w:sz="4" w:space="0"/>
            </w:tcBorders>
            <w:tcW w:w="1071" w:type="dxa"/>
            <w:vAlign w:val="center"/>
            <w:vMerge w:val="restart"/>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val="0"/>
                <w:bCs/>
                <w:color w:val="auto"/>
                <w:sz w:val="18"/>
                <w:szCs w:val="18"/>
                <w:highlight w:val="none"/>
                <w:lang w:eastAsia="zh-CN"/>
              </w:rPr>
              <w:t xml:space="preserve">南京市江宁妇幼保健院</w:t>
            </w:r>
            <w:r>
              <w:rPr>
                <w:rFonts w:hint="eastAsia" w:ascii="宋体" w:hAnsi="宋体" w:eastAsia="宋体" w:cs="宋体"/>
                <w:b w:val="0"/>
                <w:bCs/>
                <w:color w:val="auto"/>
                <w:sz w:val="18"/>
                <w:szCs w:val="18"/>
                <w:highlight w:val="none"/>
              </w:rPr>
              <w:t xml:space="preserve">指定地点</w:t>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牙齿冷光漂白仪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无痛口腔推麻仪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口腔科，3台；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7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口腔图像处理软件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w:t>
            </w:r>
            <w:r>
              <w:rPr>
                <w:rFonts w:hint="eastAsia" w:ascii="宋体" w:hAnsi="宋体" w:eastAsia="宋体" w:cs="宋体"/>
                <w:i w:val="0"/>
                <w:iCs w:val="0"/>
                <w:color w:val="auto"/>
                <w:sz w:val="18"/>
                <w:szCs w:val="18"/>
                <w:highlight w:val="none"/>
                <w:u w:val="none"/>
                <w:lang w:val="en-US" w:eastAsia="zh-CN" w:bidi="ar"/>
              </w:rPr>
              <w:t xml:space="preserve">套</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hRule="exact"/>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5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bCs/>
                <w:color w:val="auto"/>
                <w:spacing w:val="8"/>
                <w:sz w:val="18"/>
                <w:szCs w:val="18"/>
                <w:highlight w:val="none"/>
              </w:rPr>
              <w:t xml:space="preserve">包2：</w:t>
            </w:r>
            <w:r>
              <w:rPr>
                <w:rFonts w:hint="eastAsia" w:ascii="宋体" w:hAnsi="宋体" w:eastAsia="宋体" w:cs="宋体"/>
                <w:b/>
                <w:bCs/>
                <w:color w:val="auto"/>
                <w:spacing w:val="8"/>
                <w:sz w:val="18"/>
                <w:szCs w:val="18"/>
                <w:highlight w:val="none"/>
                <w:lang w:eastAsia="zh-CN"/>
              </w:rPr>
              <w:t xml:space="preserve">手术显微镜、</w:t>
            </w:r>
            <w:r>
              <w:rPr>
                <w:rFonts w:hint="eastAsia" w:ascii="宋体" w:hAnsi="宋体" w:eastAsia="宋体" w:cs="宋体"/>
                <w:b/>
                <w:bCs/>
                <w:color w:val="auto"/>
                <w:spacing w:val="8"/>
                <w:sz w:val="18"/>
                <w:szCs w:val="18"/>
                <w:highlight w:val="none"/>
                <w:lang w:val="en-US" w:eastAsia="zh-CN"/>
              </w:rPr>
              <w:t xml:space="preserve">（椅装式）牙科治疗设备</w:t>
            </w:r>
            <w:r>
              <w:rPr>
                <w:rFonts w:hint="eastAsia" w:ascii="宋体" w:hAnsi="宋体" w:eastAsia="宋体" w:cs="宋体"/>
                <w:b/>
                <w:bCs/>
                <w:color w:val="auto"/>
                <w:spacing w:val="8"/>
                <w:sz w:val="18"/>
                <w:szCs w:val="18"/>
                <w:highlight w:val="none"/>
                <w:lang w:eastAsia="zh-CN"/>
              </w:rPr>
              <w:t xml:space="preserve">等</w:t>
            </w:r>
            <w:r/>
          </w:p>
        </w:tc>
      </w:tr>
      <w:tr>
        <w:trPr>
          <w:jc w:val="center"/>
          <w:trHeight w:val="582"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手术显微镜</w:t>
            </w:r>
            <w:r/>
          </w:p>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eastAsia="zh-CN"/>
              </w:rPr>
              <w:t xml:space="preserve">（核心产品）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219.45</w:t>
            </w:r>
            <w:r/>
          </w:p>
        </w:tc>
        <w:tc>
          <w:tcPr>
            <w:shd w:val="clear" w:color="auto" w:fill="ffffff" w:themeFill="background1"/>
            <w:tcBorders>
              <w:top w:val="single" w:color="000000" w:sz="4" w:space="0"/>
              <w:left w:val="single" w:color="000000" w:sz="4" w:space="0"/>
              <w:right w:val="single" w:color="000000" w:sz="4" w:space="0"/>
            </w:tcBorders>
            <w:tcW w:w="1257" w:type="dxa"/>
            <w:vAlign w:val="center"/>
            <w:vMerge w:val="restart"/>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pacing w:val="8"/>
                <w:sz w:val="18"/>
                <w:szCs w:val="18"/>
                <w:highlight w:val="none"/>
              </w:rPr>
              <w:t xml:space="preserve">自合同签订后</w:t>
            </w:r>
            <w:r>
              <w:rPr>
                <w:rFonts w:hint="eastAsia" w:ascii="宋体" w:hAnsi="宋体" w:eastAsia="宋体" w:cs="宋体"/>
                <w:color w:val="auto"/>
                <w:spacing w:val="8"/>
                <w:sz w:val="18"/>
                <w:szCs w:val="18"/>
                <w:highlight w:val="none"/>
                <w:lang w:val="en-US" w:eastAsia="zh-CN"/>
              </w:rPr>
              <w:t xml:space="preserve">15</w:t>
            </w:r>
            <w:r>
              <w:rPr>
                <w:rFonts w:hint="eastAsia" w:ascii="宋体" w:hAnsi="宋体" w:eastAsia="宋体" w:cs="宋体"/>
                <w:color w:val="auto"/>
                <w:spacing w:val="8"/>
                <w:sz w:val="18"/>
                <w:szCs w:val="18"/>
                <w:highlight w:val="none"/>
              </w:rPr>
              <w:t xml:space="preserve">日内设备供货并完成安装调试交付使用</w:t>
            </w:r>
            <w:r/>
          </w:p>
        </w:tc>
        <w:tc>
          <w:tcPr>
            <w:shd w:val="clear" w:color="auto" w:fill="ffffff" w:themeFill="background1"/>
            <w:tcBorders>
              <w:top w:val="single" w:color="000000" w:sz="4" w:space="0"/>
              <w:left w:val="single" w:color="000000" w:sz="4" w:space="0"/>
              <w:right w:val="single" w:color="000000" w:sz="4" w:space="0"/>
            </w:tcBorders>
            <w:tcW w:w="1071" w:type="dxa"/>
            <w:vAlign w:val="center"/>
            <w:vMerge w:val="restart"/>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val="0"/>
                <w:bCs/>
                <w:color w:val="auto"/>
                <w:sz w:val="18"/>
                <w:szCs w:val="18"/>
                <w:highlight w:val="none"/>
                <w:lang w:eastAsia="zh-CN"/>
              </w:rPr>
              <w:t xml:space="preserve">南京市江宁妇幼保健院</w:t>
            </w:r>
            <w:r>
              <w:rPr>
                <w:rFonts w:hint="eastAsia" w:ascii="宋体" w:hAnsi="宋体" w:eastAsia="宋体" w:cs="宋体"/>
                <w:b w:val="0"/>
                <w:bCs/>
                <w:color w:val="auto"/>
                <w:sz w:val="18"/>
                <w:szCs w:val="18"/>
                <w:highlight w:val="none"/>
              </w:rPr>
              <w:t xml:space="preserve">指定地点</w:t>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牙周袋深度探测仪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超声喷砂牙周治疗仪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口腔科，2台；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超声洁牙机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口腔科，2台；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根管预备机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牙科微动力系统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种植修复面弓颌架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牙科印模粉搅拌机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模型打磨机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根管长度测量仪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显微根管器械套装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w:t>
            </w:r>
            <w:r>
              <w:rPr>
                <w:rFonts w:hint="eastAsia" w:ascii="宋体" w:hAnsi="宋体" w:eastAsia="宋体" w:cs="宋体"/>
                <w:i w:val="0"/>
                <w:iCs w:val="0"/>
                <w:color w:val="auto"/>
                <w:sz w:val="18"/>
                <w:szCs w:val="18"/>
                <w:highlight w:val="none"/>
                <w:u w:val="none"/>
                <w:lang w:val="en-US" w:eastAsia="zh-CN" w:bidi="ar"/>
              </w:rPr>
              <w:t xml:space="preserve">1套</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面部3D扫描仪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牙科修复设计软件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w:t>
            </w:r>
            <w:r>
              <w:rPr>
                <w:rFonts w:hint="eastAsia" w:ascii="宋体" w:hAnsi="宋体" w:eastAsia="宋体" w:cs="宋体"/>
                <w:i w:val="0"/>
                <w:iCs w:val="0"/>
                <w:color w:val="auto"/>
                <w:sz w:val="18"/>
                <w:szCs w:val="18"/>
                <w:highlight w:val="none"/>
                <w:u w:val="none"/>
                <w:lang w:val="en-US" w:eastAsia="zh-CN" w:bidi="ar"/>
              </w:rPr>
              <w:t xml:space="preserve">1套</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7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手术放大镜        </w:t>
            </w:r>
            <w:r>
              <w:rPr>
                <w:rFonts w:hint="eastAsia" w:ascii="宋体" w:hAnsi="宋体" w:eastAsia="宋体" w:cs="宋体"/>
                <w:i w:val="0"/>
                <w:iCs w:val="0"/>
                <w:color w:val="auto"/>
                <w:sz w:val="18"/>
                <w:szCs w:val="18"/>
                <w:highlight w:val="none"/>
                <w:u w:val="none"/>
                <w:lang w:val="en-US" w:eastAsia="zh-CN"/>
              </w:rPr>
              <w:t xml:space="preserve">（医用头灯）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2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口腔器械一批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w:t>
            </w:r>
            <w:r>
              <w:rPr>
                <w:rFonts w:hint="eastAsia" w:ascii="宋体" w:hAnsi="宋体" w:eastAsia="宋体" w:cs="宋体"/>
                <w:i w:val="0"/>
                <w:iCs w:val="0"/>
                <w:color w:val="auto"/>
                <w:sz w:val="18"/>
                <w:szCs w:val="18"/>
                <w:highlight w:val="none"/>
                <w:u w:val="none"/>
                <w:lang w:val="en-US" w:eastAsia="zh-CN" w:bidi="ar"/>
              </w:rPr>
              <w:t xml:space="preserve">1批</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1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（椅装式）牙科治疗设备</w:t>
            </w:r>
            <w:r>
              <w:rPr>
                <w:rFonts w:hint="eastAsia" w:ascii="宋体" w:hAnsi="宋体" w:eastAsia="宋体" w:cs="宋体"/>
                <w:b/>
                <w:bCs/>
                <w:i w:val="0"/>
                <w:iCs w:val="0"/>
                <w:color w:val="auto"/>
                <w:sz w:val="18"/>
                <w:szCs w:val="18"/>
                <w:highlight w:val="none"/>
                <w:u w:val="none"/>
                <w:lang w:eastAsia="zh-CN"/>
              </w:rPr>
              <w:t xml:space="preserve">（核心产品）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口腔科，7台；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7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（机装式）牙科治疗设备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口腔科，3台；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7"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1" w:type="dxa"/>
            <w:vAlign w:val="center"/>
            <w:vMerge w:val="continue"/>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hRule="exact"/>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5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bCs/>
                <w:color w:val="auto"/>
                <w:spacing w:val="8"/>
                <w:sz w:val="18"/>
                <w:szCs w:val="18"/>
                <w:highlight w:val="none"/>
              </w:rPr>
              <w:t xml:space="preserve">包3：</w:t>
            </w:r>
            <w:r>
              <w:rPr>
                <w:rFonts w:hint="eastAsia" w:ascii="宋体" w:hAnsi="宋体" w:eastAsia="宋体" w:cs="宋体"/>
                <w:b/>
                <w:bCs/>
                <w:color w:val="auto"/>
                <w:spacing w:val="8"/>
                <w:sz w:val="18"/>
                <w:szCs w:val="18"/>
                <w:highlight w:val="none"/>
                <w:lang w:val="en-US" w:eastAsia="zh-CN"/>
              </w:rPr>
              <w:t xml:space="preserve">超声骨切割系统</w:t>
            </w:r>
            <w:r>
              <w:rPr>
                <w:rFonts w:hint="eastAsia" w:ascii="宋体" w:hAnsi="宋体" w:eastAsia="宋体" w:cs="宋体"/>
                <w:b/>
                <w:bCs/>
                <w:color w:val="auto"/>
                <w:spacing w:val="8"/>
                <w:sz w:val="18"/>
                <w:szCs w:val="18"/>
                <w:highlight w:val="none"/>
                <w:lang w:eastAsia="zh-CN"/>
              </w:rPr>
              <w:t xml:space="preserve">、</w:t>
            </w:r>
            <w:r>
              <w:rPr>
                <w:rFonts w:hint="eastAsia" w:ascii="宋体" w:hAnsi="宋体" w:eastAsia="宋体" w:cs="宋体"/>
                <w:b/>
                <w:bCs/>
                <w:color w:val="auto"/>
                <w:spacing w:val="8"/>
                <w:sz w:val="18"/>
                <w:szCs w:val="18"/>
                <w:highlight w:val="none"/>
                <w:lang w:val="en-US" w:eastAsia="zh-CN"/>
              </w:rPr>
              <w:t xml:space="preserve">口腔颌面锥形束计算机体层摄影设备</w:t>
            </w:r>
            <w:r>
              <w:rPr>
                <w:rFonts w:hint="eastAsia" w:ascii="宋体" w:hAnsi="宋体" w:eastAsia="宋体" w:cs="宋体"/>
                <w:b/>
                <w:bCs/>
                <w:color w:val="auto"/>
                <w:spacing w:val="8"/>
                <w:sz w:val="18"/>
                <w:szCs w:val="18"/>
                <w:highlight w:val="none"/>
                <w:lang w:eastAsia="zh-CN"/>
              </w:rPr>
              <w:t xml:space="preserve">等</w:t>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口腔高频电刀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top w:val="single" w:color="000000" w:sz="4" w:space="0"/>
              <w:left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97.08</w:t>
            </w:r>
            <w:r/>
          </w:p>
        </w:tc>
        <w:tc>
          <w:tcPr>
            <w:shd w:val="clear" w:color="auto" w:fill="ffffff" w:themeFill="background1"/>
            <w:tcBorders>
              <w:top w:val="single" w:color="000000" w:sz="4" w:space="0"/>
              <w:left w:val="single" w:color="000000" w:sz="4" w:space="0"/>
              <w:right w:val="single" w:color="000000" w:sz="4" w:space="0"/>
            </w:tcBorders>
            <w:tcW w:w="12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pacing w:val="8"/>
                <w:sz w:val="18"/>
                <w:szCs w:val="18"/>
                <w:highlight w:val="none"/>
              </w:rPr>
              <w:t xml:space="preserve">自合同签订后</w:t>
            </w:r>
            <w:r>
              <w:rPr>
                <w:rFonts w:hint="eastAsia" w:ascii="宋体" w:hAnsi="宋体" w:eastAsia="宋体" w:cs="宋体"/>
                <w:color w:val="auto"/>
                <w:spacing w:val="8"/>
                <w:sz w:val="18"/>
                <w:szCs w:val="18"/>
                <w:highlight w:val="none"/>
                <w:lang w:val="en-US" w:eastAsia="zh-CN"/>
              </w:rPr>
              <w:t xml:space="preserve">15</w:t>
            </w:r>
            <w:r>
              <w:rPr>
                <w:rFonts w:hint="eastAsia" w:ascii="宋体" w:hAnsi="宋体" w:eastAsia="宋体" w:cs="宋体"/>
                <w:color w:val="auto"/>
                <w:spacing w:val="8"/>
                <w:sz w:val="18"/>
                <w:szCs w:val="18"/>
                <w:highlight w:val="none"/>
              </w:rPr>
              <w:t xml:space="preserve">日内设备供货并完成安装调试交付使用</w:t>
            </w:r>
            <w:r/>
          </w:p>
        </w:tc>
        <w:tc>
          <w:tcPr>
            <w:shd w:val="clear" w:color="auto" w:fill="ffffff" w:themeFill="background1"/>
            <w:tcBorders>
              <w:top w:val="single" w:color="000000" w:sz="4" w:space="0"/>
              <w:left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val="0"/>
                <w:bCs/>
                <w:color w:val="auto"/>
                <w:sz w:val="18"/>
                <w:szCs w:val="18"/>
                <w:highlight w:val="none"/>
                <w:lang w:eastAsia="zh-CN"/>
              </w:rPr>
              <w:t xml:space="preserve">南京市江宁妇幼保健院</w:t>
            </w:r>
            <w:r>
              <w:rPr>
                <w:rFonts w:hint="eastAsia" w:ascii="宋体" w:hAnsi="宋体" w:eastAsia="宋体" w:cs="宋体"/>
                <w:b w:val="0"/>
                <w:bCs/>
                <w:color w:val="auto"/>
                <w:sz w:val="18"/>
                <w:szCs w:val="18"/>
                <w:highlight w:val="none"/>
              </w:rPr>
              <w:t xml:space="preserve">指定地点</w:t>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根尖定位仪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口腔科，2台；</w:t>
            </w:r>
            <w:r/>
          </w:p>
        </w:tc>
        <w:tc>
          <w:tcPr>
            <w:shd w:val="clear" w:color="auto" w:fill="ffffff" w:themeFill="background1"/>
            <w:tcBorders>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r>
            <w:r/>
          </w:p>
        </w:tc>
        <w:tc>
          <w:tcPr>
            <w:shd w:val="clear" w:color="auto" w:fill="ffffff" w:themeFill="background1"/>
            <w:tcBorders>
              <w:left w:val="single" w:color="000000" w:sz="4" w:space="0"/>
              <w:bottom w:val="single" w:color="000000" w:sz="4" w:space="0"/>
              <w:right w:val="single" w:color="000000" w:sz="4" w:space="0"/>
            </w:tcBorders>
            <w:tcW w:w="125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ffffff" w:themeFill="background1"/>
            <w:tcBorders>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39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超声骨切割系统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r>
            <w:r/>
          </w:p>
        </w:tc>
        <w:tc>
          <w:tcPr>
            <w:shd w:val="clear" w:color="auto" w:fill="ffffff" w:themeFill="background1"/>
            <w:tcBorders>
              <w:left w:val="single" w:color="000000" w:sz="4" w:space="0"/>
              <w:bottom w:val="single" w:color="000000" w:sz="4" w:space="0"/>
              <w:right w:val="single" w:color="000000" w:sz="4" w:space="0"/>
            </w:tcBorders>
            <w:tcW w:w="125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ffffff" w:themeFill="background1"/>
            <w:tcBorders>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91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牙科X射线机+口腔数字化X射线成像系统（牙片机）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w:t>
            </w:r>
            <w:r>
              <w:rPr>
                <w:rFonts w:hint="eastAsia" w:ascii="宋体" w:hAnsi="宋体" w:eastAsia="宋体" w:cs="宋体"/>
                <w:i w:val="0"/>
                <w:iCs w:val="0"/>
                <w:color w:val="auto"/>
                <w:sz w:val="18"/>
                <w:szCs w:val="18"/>
                <w:highlight w:val="none"/>
                <w:u w:val="none"/>
                <w:lang w:val="en-US" w:eastAsia="zh-CN" w:bidi="ar"/>
              </w:rPr>
              <w:t xml:space="preserve">1套</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ffffff" w:themeFill="background1"/>
            <w:tcBorders>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r>
            <w:r/>
          </w:p>
        </w:tc>
        <w:tc>
          <w:tcPr>
            <w:shd w:val="clear" w:color="auto" w:fill="ffffff" w:themeFill="background1"/>
            <w:tcBorders>
              <w:left w:val="single" w:color="000000" w:sz="4" w:space="0"/>
              <w:bottom w:val="single" w:color="000000" w:sz="4" w:space="0"/>
              <w:right w:val="single" w:color="000000" w:sz="4" w:space="0"/>
            </w:tcBorders>
            <w:tcW w:w="125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ffffff" w:themeFill="background1"/>
            <w:tcBorders>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147" w:hRule="exact"/>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口腔颌面锥形束计算机体层摄影设备  </w:t>
            </w:r>
            <w:r>
              <w:rPr>
                <w:rFonts w:hint="eastAsia" w:ascii="宋体" w:hAnsi="宋体" w:eastAsia="宋体" w:cs="宋体"/>
                <w:b/>
                <w:bCs/>
                <w:i w:val="0"/>
                <w:iCs w:val="0"/>
                <w:color w:val="auto"/>
                <w:sz w:val="18"/>
                <w:szCs w:val="18"/>
                <w:highlight w:val="none"/>
                <w:u w:val="none"/>
                <w:lang w:eastAsia="zh-CN"/>
              </w:rPr>
              <w:t xml:space="preserve">（核心产品）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89"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口腔科，1台；</w:t>
            </w:r>
            <w:r/>
          </w:p>
        </w:tc>
        <w:tc>
          <w:tcPr>
            <w:shd w:val="clear" w:color="auto" w:fill="ffffff" w:themeFill="background1"/>
            <w:tcBorders>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r>
            <w:r/>
          </w:p>
        </w:tc>
        <w:tc>
          <w:tcPr>
            <w:shd w:val="clear" w:color="auto" w:fill="ffffff" w:themeFill="background1"/>
            <w:tcBorders>
              <w:left w:val="single" w:color="000000" w:sz="4" w:space="0"/>
              <w:bottom w:val="single" w:color="000000" w:sz="4" w:space="0"/>
              <w:right w:val="single" w:color="000000" w:sz="4" w:space="0"/>
            </w:tcBorders>
            <w:tcW w:w="125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ffffff" w:themeFill="background1"/>
            <w:tcBorders>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bl>
    <w:p>
      <w:pPr>
        <w:ind w:left="0" w:right="0" w:firstLine="0"/>
        <w:spacing w:before="0" w:after="0"/>
        <w:rPr>
          <w:rFonts w:ascii="黑体" w:hAnsi="黑体" w:eastAsia="黑体" w:cs="黑体"/>
          <w:b/>
          <w:color w:val="auto"/>
          <w:sz w:val="28"/>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二</w:t>
      </w:r>
      <w:r>
        <w:rPr>
          <w:rFonts w:ascii="黑体" w:hAnsi="黑体" w:eastAsia="黑体" w:cs="黑体"/>
          <w:b/>
          <w:color w:val="auto"/>
          <w:sz w:val="28"/>
          <w:highlight w:val="none"/>
        </w:rPr>
        <w:t xml:space="preserve">、</w:t>
      </w:r>
      <w:r>
        <w:rPr>
          <w:rFonts w:ascii="黑体" w:hAnsi="黑体" w:eastAsia="黑体" w:cs="黑体"/>
          <w:b/>
          <w:color w:val="auto"/>
          <w:sz w:val="28"/>
          <w:highlight w:val="none"/>
        </w:rPr>
        <w:t xml:space="preserve">技术参数及要求</w:t>
      </w:r>
      <w:r/>
    </w:p>
    <w:p>
      <w:pPr>
        <w:ind w:left="0" w:right="0" w:firstLine="370"/>
        <w:jc w:val="both"/>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包1：口腔数字印模仪、牙齿冷光漂白仪等技术参数及要求</w:t>
      </w:r>
      <w:r/>
    </w:p>
    <w:tbl>
      <w:tblPr>
        <w:tblStyle w:val="611"/>
        <w:tblW w:w="10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960"/>
        <w:gridCol w:w="960"/>
        <w:gridCol w:w="8640"/>
      </w:tblGrid>
      <w:tr>
        <w:trPr>
          <w:jc w:val="center"/>
          <w:trHeight w:val="1300"/>
        </w:trPr>
        <w:tc>
          <w:tcPr>
            <w:shd w:val="clear" w:color="auto" w:fill="ffffff" w:themeFill="background1"/>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产品序号</w:t>
            </w:r>
            <w:r/>
          </w:p>
        </w:tc>
        <w:tc>
          <w:tcPr>
            <w:shd w:val="clear" w:color="auto" w:fill="ffffff" w:themeFill="background1"/>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货物名称</w:t>
            </w:r>
            <w:r/>
          </w:p>
        </w:tc>
        <w:tc>
          <w:tcPr>
            <w:shd w:val="clear" w:color="auto" w:fill="ffffff" w:themeFill="background1"/>
            <w:tcW w:w="86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w:t>
            </w:r>
            <w:r/>
          </w:p>
        </w:tc>
      </w:tr>
      <w:tr>
        <w:trPr>
          <w:jc w:val="center"/>
          <w:trHeight w:val="300"/>
        </w:trPr>
        <w:tc>
          <w:tcPr>
            <w:shd w:val="clear" w:color="auto" w:fill="ffffff" w:themeFill="background1"/>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ffffff" w:themeFill="background1"/>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口腔数字印模仪</w:t>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▲1.口内扫描精度：全口≤0.25%，局部≤1%。（平均相对误差，可提供ADA标准比对数据作为佐证）</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2.深区扫描：≥25mm深区捕捉，可覆盖上颚深部、缺牙间隙区域扫描。</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3.扫描时间：全口扫描≤180 秒（正畸扫描≤60 秒，修复扫描≤120 秒）。</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4.成像方式：连续彩色成像，连续数据采集，生成逼真3D 模型。</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5.成像色彩：帧彩（真彩）扫描，逼真3D 模型，可区分牙齿、牙龈、粘膜的颜色。</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6.触摸屏主机：牙科用口腔数字印模仪主机，主机配套终端支持彩色3D模型可视化，支持触控操作或专业显示终端查看模型。</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7.口腔数字印模仪车轮支架设计：移动便捷，可在不同诊间、椅位间等自由移动。</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8.内置锂电池：续航持久的可充电电池，无需插电，便于携带，满足临床连续不间断扫描需求。</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9.手持的快速3D 扫描枪：常规临床扫描场景无需喷粉、无需遮色剂。</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10.扫描头：防雾化功能，防止镜头使用中起雾。</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11.近红外线成像NIRI：设备支持近红外检测龈上邻面龋成像功能。</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787"/>
                <w:color w:val="auto"/>
                <w:highlight w:val="none"/>
                <w:lang w:val="en-US" w:eastAsia="zh-CN" w:bidi="ar"/>
              </w:rPr>
              <w:t xml:space="preserve">12.直接导出</w:t>
            </w:r>
            <w:r>
              <w:rPr>
                <w:rStyle w:val="788"/>
                <w:color w:val="auto"/>
                <w:highlight w:val="none"/>
                <w:lang w:val="en-US" w:eastAsia="zh-CN" w:bidi="ar"/>
              </w:rPr>
              <w:t xml:space="preserve">STL、PLY </w:t>
            </w:r>
            <w:r>
              <w:rPr>
                <w:rStyle w:val="787"/>
                <w:color w:val="auto"/>
                <w:highlight w:val="none"/>
                <w:lang w:val="en-US" w:eastAsia="zh-CN" w:bidi="ar"/>
              </w:rPr>
              <w:t xml:space="preserve">文件：可传输至CAD/CAM 系统，提升牙科修复体设计和加工精度。</w:t>
            </w:r>
            <w:r/>
          </w:p>
        </w:tc>
      </w:tr>
      <w:tr>
        <w:trPr>
          <w:jc w:val="center"/>
          <w:trHeight w:val="52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▲13.动态3D 视图：全方位展示患者口腔内部情况，包括牙齿全貌、咬合关系等，可用于口腔健康沟通（包括青少年牙弓宽度分析、生长发育预测等）。</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14.患者模拟器功能：支持正畸效果模拟预览，免费支持导出、传输数据，可直接进行病例设计、修改及提交方案。</w:t>
            </w:r>
            <w:r/>
          </w:p>
        </w:tc>
      </w:tr>
      <w:tr>
        <w:trPr>
          <w:jc w:val="center"/>
          <w:trHeight w:val="52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▲15.复诊监控功能：可在治疗过程中实时获取牙齿及周围软、硬组织信息，对比每一步方案，有效评估并把控治疗进展，同时利于患者依从性管理。</w:t>
            </w:r>
            <w:r/>
          </w:p>
        </w:tc>
      </w:tr>
      <w:tr>
        <w:trPr>
          <w:jc w:val="center"/>
          <w:trHeight w:val="52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16.时间轴功能：作为辅助诊断工具，可进行不同时间点的口内情况对比，并通过可视化界面让患者清晰了解病情发展，做出进一步治疗的决定。</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17.微信报告及截屏快照功能：可用于生成口内扫描报告。</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★18.配置： 1) 主机 1 台2) 扫描棒 1 个3) 配套车轮支架 1 套4) 一次性保护套 1 盒（25 个）5) 扫描棒支架 1 个 </w:t>
            </w:r>
            <w:r/>
          </w:p>
        </w:tc>
      </w:tr>
      <w:tr>
        <w:trPr>
          <w:jc w:val="center"/>
          <w:trHeight w:val="300"/>
        </w:trPr>
        <w:tc>
          <w:tcPr>
            <w:shd w:val="clear" w:color="auto" w:fill="ffffff" w:themeFill="background1"/>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ffffff" w:themeFill="background1"/>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牙齿冷光漂白仪</w:t>
            </w:r>
            <w:r/>
          </w:p>
        </w:tc>
        <w:tc>
          <w:tcPr>
            <w:shd w:val="clear" w:color="auto" w:fill="ffffff" w:themeFill="background1"/>
            <w:tcW w:w="864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Style w:val="788"/>
                <w:color w:val="auto"/>
                <w:highlight w:val="none"/>
                <w:lang w:val="en-US" w:eastAsia="zh-CN" w:bidi="ar"/>
              </w:rPr>
              <w:t xml:space="preserve">1.</w:t>
            </w:r>
            <w:r>
              <w:rPr>
                <w:rStyle w:val="789"/>
                <w:rFonts w:eastAsia="宋体"/>
                <w:color w:val="auto"/>
                <w:highlight w:val="none"/>
                <w:lang w:val="en-US" w:eastAsia="zh-CN" w:bidi="ar"/>
              </w:rPr>
              <w:t xml:space="preserve"> </w:t>
            </w:r>
            <w:r>
              <w:rPr>
                <w:rStyle w:val="788"/>
                <w:color w:val="auto"/>
                <w:highlight w:val="none"/>
                <w:lang w:val="en-US" w:eastAsia="zh-CN" w:bidi="ar"/>
              </w:rPr>
              <w:t xml:space="preserve">波长：工作波长应在 400nm- 650nm 范围内。</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2.温升：在距灯面25mm 处,最大温升≤15℃。</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3.照度：在距灯面25mm 处，光斑中心处用度≥120000Lx，且光班中心两旁15mm 处的限度应≥中心照度的 70%。</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4.辐射照度：400nm-650nm范围内的辐射。</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Style w:val="790"/>
                <w:color w:val="auto"/>
                <w:highlight w:val="none"/>
                <w:lang w:val="en-US" w:eastAsia="zh-CN" w:bidi="ar"/>
              </w:rPr>
              <w:t xml:space="preserve">5.在距灯面25mm 处,光斑中心辐射照度应：≥48mW/cm</w:t>
            </w:r>
            <w:r>
              <w:rPr>
                <w:rStyle w:val="791"/>
                <w:color w:val="auto"/>
                <w:highlight w:val="none"/>
                <w:lang w:val="en-US" w:eastAsia="zh-CN" w:bidi="ar"/>
              </w:rPr>
              <w:t xml:space="preserve">2</w:t>
            </w:r>
            <w:r>
              <w:rPr>
                <w:rStyle w:val="790"/>
                <w:color w:val="auto"/>
                <w:highlight w:val="none"/>
                <w:lang w:val="en-US" w:eastAsia="zh-CN" w:bidi="ar"/>
              </w:rPr>
              <w:t xml:space="preserve"> ,≤200mW/cm</w:t>
            </w:r>
            <w:r>
              <w:rPr>
                <w:rStyle w:val="791"/>
                <w:color w:val="auto"/>
                <w:highlight w:val="none"/>
                <w:lang w:val="en-US" w:eastAsia="zh-CN" w:bidi="ar"/>
              </w:rPr>
              <w:t xml:space="preserve">2</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6.最大工作噪音：漂白仪正常工作时,最大燥声应：≤55dB ( A 计数)。</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▲7.光源可采用卤素灯和LED复合光源结合；</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▲8.光线支持光纤进行传导；</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9.具备有害紫外线、红外线滤除功能，避免有害波段灼伤组织；</w:t>
            </w:r>
            <w:r/>
          </w:p>
        </w:tc>
      </w:tr>
      <w:tr>
        <w:trPr>
          <w:jc w:val="center"/>
          <w:trHeight w:val="42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10.自带牙齿美白治疗方案指导、语音功能、触摸屏、主机自带光固化机等。</w:t>
            </w:r>
            <w:r/>
          </w:p>
        </w:tc>
      </w:tr>
      <w:tr>
        <w:trPr>
          <w:jc w:val="center"/>
          <w:trHeight w:val="300"/>
        </w:trPr>
        <w:tc>
          <w:tcPr>
            <w:shd w:val="clear" w:color="auto" w:fill="ffffff" w:themeFill="background1"/>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ffffff" w:themeFill="background1"/>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无痛口腔推麻仪</w:t>
            </w:r>
            <w:r/>
          </w:p>
        </w:tc>
        <w:tc>
          <w:tcPr>
            <w:shd w:val="clear" w:color="auto" w:fill="ffffff" w:themeFill="background1"/>
            <w:tcW w:w="864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1.适配市面通用1.8ml卡式局麻药剂型及一次性使用麻醉导管。</w:t>
            </w:r>
            <w:r/>
          </w:p>
        </w:tc>
      </w:tr>
      <w:tr>
        <w:trPr>
          <w:jc w:val="center"/>
          <w:trHeight w:val="28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配套麻醉导管可提供多种规格针头可选，满足不同口腔临床注射需求，主要用于口腔局部麻醉注射。</w:t>
            </w:r>
            <w:r/>
          </w:p>
        </w:tc>
      </w:tr>
      <w:tr>
        <w:trPr>
          <w:jc w:val="center"/>
          <w:trHeight w:val="28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3.▲步进电机驱动，注射流量控制精准，运行低噪音。</w:t>
            </w:r>
            <w:r/>
          </w:p>
        </w:tc>
      </w:tr>
      <w:tr>
        <w:trPr>
          <w:jc w:val="center"/>
          <w:trHeight w:val="28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4.电控脚踏控制器进行半自动匀速模式的控制。</w:t>
            </w:r>
            <w:r/>
          </w:p>
        </w:tc>
      </w:tr>
      <w:tr>
        <w:trPr>
          <w:jc w:val="center"/>
          <w:trHeight w:val="52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5.▲具备回吸功能；全自动模式支持脚踏松开触发回吸，半自动模式支持回吸按键触发回吸，回吸响应快速，满足口腔局麻防回血临床要求。</w:t>
            </w:r>
            <w:r/>
          </w:p>
        </w:tc>
      </w:tr>
      <w:tr>
        <w:trPr>
          <w:jc w:val="center"/>
          <w:trHeight w:val="28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6.设备具备有效的医疗器械注册证，符合医用电气设备相关国家标准，完成EMC电磁兼容检测。</w:t>
            </w:r>
            <w:r/>
          </w:p>
        </w:tc>
      </w:tr>
      <w:tr>
        <w:trPr>
          <w:jc w:val="center"/>
          <w:trHeight w:val="52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7.设备适用于普通环境场所，工作环境温度5℃～40℃，相对湿度≤70%（无凝露），大气压力86kPa～106kPa；I类B型接地设备；电源： 220V  50Hz ；快速熔断器：FUSE; 1.5A</w:t>
            </w:r>
            <w:r/>
          </w:p>
        </w:tc>
      </w:tr>
      <w:tr>
        <w:trPr>
          <w:jc w:val="center"/>
          <w:trHeight w:val="300"/>
        </w:trPr>
        <w:tc>
          <w:tcPr>
            <w:shd w:val="clear" w:color="auto" w:fill="ffffff" w:themeFill="background1"/>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ffffff" w:themeFill="background1"/>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口腔图像处理软件</w:t>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▲1.自动定点：支持头颅侧位片自动识别定位解剖点、标尺点。</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2.点位调整：支持手动调整校准解剖关键点与标尺点位。</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787"/>
                <w:color w:val="auto"/>
                <w:highlight w:val="none"/>
                <w:lang w:val="en-US" w:eastAsia="zh-CN" w:bidi="ar"/>
              </w:rPr>
              <w:t xml:space="preserve">▲</w:t>
            </w:r>
            <w:r>
              <w:rPr>
                <w:rStyle w:val="792"/>
                <w:rFonts w:eastAsia="宋体"/>
                <w:color w:val="auto"/>
                <w:highlight w:val="none"/>
                <w:lang w:val="en-US" w:eastAsia="zh-CN" w:bidi="ar"/>
              </w:rPr>
              <w:t xml:space="preserve"> </w:t>
            </w:r>
            <w:r>
              <w:rPr>
                <w:rStyle w:val="787"/>
                <w:color w:val="auto"/>
                <w:highlight w:val="none"/>
                <w:lang w:val="en-US" w:eastAsia="zh-CN" w:bidi="ar"/>
              </w:rPr>
              <w:t xml:space="preserve">3.气道分析：支持气道、腺样体自动分段测量分析评估；支持舌骨位置自动测量并进行分析评估。</w:t>
            </w:r>
            <w:r/>
          </w:p>
        </w:tc>
      </w:tr>
      <w:tr>
        <w:trPr>
          <w:jc w:val="center"/>
          <w:trHeight w:val="52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4.颈椎姿势分析：支持颈椎姿态分析，可自动测量颅、颈角度，颅面形态，下颌支与颈椎倾斜关系以及颈椎倾斜度的各项参数并进行分析评估。</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5.报告查看下载：可查看各种分析报告，报告支持下载excel、pdf格式。</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6.测量：提供多种测量工具，包括三点测量、角度测量、距离测量，可以使用测量工具进行角度、距离等测量。</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7.校准：支持自动校准图像和取消校准。</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8.自定义分析法：可添加自定义分析方法。同时支持医生自定义选择所需的分析法。</w:t>
            </w:r>
            <w:r/>
          </w:p>
        </w:tc>
      </w:tr>
      <w:tr>
        <w:trPr>
          <w:jc w:val="center"/>
          <w:trHeight w:val="52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9.显隐控制：支持对侧位片、轮廓、点位、点名称、气道、气道测量以及舌骨测量的显隐展示。支持SN、FH、PP、OP、MP辅助线显隐。</w:t>
            </w:r>
            <w:r/>
          </w:p>
        </w:tc>
      </w:tr>
      <w:tr>
        <w:trPr>
          <w:jc w:val="center"/>
          <w:trHeight w:val="30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10.辅助设置：允许用户自定义轮廓、气道、牙齿颜色显示属性，支持对侧位片亮度、对比度、角度以及标尺的调节。</w:t>
            </w:r>
            <w:r/>
          </w:p>
        </w:tc>
      </w:tr>
      <w:tr>
        <w:trPr>
          <w:jc w:val="center"/>
          <w:trHeight w:val="520"/>
        </w:trPr>
        <w:tc>
          <w:tcPr>
            <w:shd w:val="clear" w:color="auto" w:fill="ffffff" w:themeFill="background1"/>
            <w:tcW w:w="0" w:type="auto"/>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96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ffffff" w:themeFill="background1"/>
            <w:tcW w:w="86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11.影像重叠：支持影像重叠分析，包含轮廓重叠、X光片重叠等多种重叠模式；可同时加载不少于10张头颅侧位片进行轮廓对比重叠；支持基于SN平面、FH平面等常用头影参考平面设置重叠基准，支持标尺重叠等。</w:t>
            </w:r>
            <w:r/>
          </w:p>
        </w:tc>
      </w:tr>
    </w:tbl>
    <w:p>
      <w:pPr>
        <w:ind w:left="0" w:right="0" w:firstLine="370"/>
        <w:jc w:val="both"/>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包2：</w:t>
      </w:r>
      <w:r>
        <w:rPr>
          <w:rFonts w:hint="eastAsia" w:ascii="黑体" w:hAnsi="黑体" w:eastAsia="黑体" w:cs="黑体"/>
          <w:b/>
          <w:color w:val="auto"/>
          <w:sz w:val="28"/>
          <w:highlight w:val="none"/>
          <w:lang w:eastAsia="zh-CN"/>
        </w:rPr>
        <w:t xml:space="preserve">手术显微镜、</w:t>
      </w:r>
      <w:r>
        <w:rPr>
          <w:rFonts w:hint="eastAsia" w:ascii="黑体" w:hAnsi="黑体" w:eastAsia="黑体" w:cs="黑体"/>
          <w:b/>
          <w:color w:val="auto"/>
          <w:sz w:val="28"/>
          <w:highlight w:val="none"/>
          <w:lang w:val="en-US" w:eastAsia="zh-CN"/>
        </w:rPr>
        <w:t xml:space="preserve">（椅装式）牙科治疗设备</w:t>
      </w:r>
      <w:r>
        <w:rPr>
          <w:rFonts w:hint="eastAsia" w:ascii="黑体" w:hAnsi="黑体" w:eastAsia="黑体" w:cs="黑体"/>
          <w:b/>
          <w:color w:val="auto"/>
          <w:sz w:val="28"/>
          <w:highlight w:val="none"/>
          <w:lang w:eastAsia="zh-CN"/>
        </w:rPr>
        <w:t xml:space="preserve">等</w:t>
      </w:r>
      <w:r>
        <w:rPr>
          <w:rFonts w:ascii="黑体" w:hAnsi="黑体" w:eastAsia="黑体" w:cs="黑体"/>
          <w:b/>
          <w:color w:val="auto"/>
          <w:sz w:val="28"/>
          <w:highlight w:val="none"/>
        </w:rPr>
        <w:t xml:space="preserve">技术参数及要求</w:t>
      </w:r>
      <w:r/>
      <w:r>
        <w:rPr>
          <w:rFonts w:hint="eastAsia" w:ascii="黑体" w:hAnsi="黑体" w:eastAsia="黑体" w:cs="黑体"/>
          <w:b/>
          <w:color w:val="auto"/>
          <w:sz w:val="28"/>
          <w:highlight w:val="none"/>
          <w:lang w:eastAsia="zh-CN"/>
        </w:rPr>
      </w:r>
      <w:r/>
    </w:p>
    <w:tbl>
      <w:tblPr>
        <w:tblStyle w:val="611"/>
        <w:tblW w:w="105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7"/>
        <w:gridCol w:w="825"/>
        <w:gridCol w:w="855"/>
        <w:gridCol w:w="8226"/>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产品序号</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手术显微镜</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主镜部分</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1.变角双目镜筒，角度调节范围≥0-190°；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2.双目镜筒瞳距可调，瞳距覆盖范围≥55mm-75mm，带精确瞳距调节旋钮，可显示瞳距数值，调节精度小于1mm，调节旋钮带消毒罩；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3.高眼点广角目镜，护眼杯高度可调,视度调节范围≥±7D；</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4.视场直径范围不小于12mm~120mm；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5.连续变倍系统：快速、方便地连续调整放大倍率，放大倍数至少覆盖2倍-19倍；</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6.带光学延长器与分光器，分光比例可支持2:8、5:5等可选方案）；</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7.双目镜筒倾摆功能装置：在医生坐姿不变的情况下，镜身向左向右倾摆时可保持双目镜筒保持水平观察位置；</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8.内置一体式变焦系统：焦距覆盖范围≥F200mm-450mm,带物镜防溅罩，左右手柄部位集成变焦旋钮，操作方便；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照明部分</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1.光源:LED照明系统，亮度连续可调。大物镜工作距离为200mm时，物面照度≥80,000Lx，平均使用寿命≥60000小时；</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2.光阑：三档可调，小光阑、中光阑、大光阑；</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3.滤光片：黄色滤光片、绿色滤光片、偏振片；</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793"/>
                <w:rFonts w:hint="eastAsia" w:ascii="宋体" w:hAnsi="宋体" w:eastAsia="宋体" w:cs="宋体"/>
                <w:color w:val="auto"/>
                <w:sz w:val="21"/>
                <w:szCs w:val="21"/>
                <w:highlight w:val="none"/>
                <w:lang w:val="en-US" w:eastAsia="zh-CN" w:bidi="ar"/>
              </w:rPr>
              <w:t xml:space="preserve">4.照明光斑直径：大物镜工作距离为250mm时，照明光斑直径为</w:t>
            </w:r>
            <w:r>
              <w:rPr>
                <w:rStyle w:val="794"/>
                <w:rFonts w:hint="eastAsia" w:ascii="宋体" w:hAnsi="宋体" w:eastAsia="宋体" w:cs="宋体"/>
                <w:color w:val="auto"/>
                <w:sz w:val="21"/>
                <w:szCs w:val="21"/>
                <w:highlight w:val="none"/>
                <w:lang w:val="en-US" w:eastAsia="zh-CN" w:bidi="ar"/>
              </w:rPr>
              <w:t xml:space="preserve">Φ</w:t>
            </w:r>
            <w:r>
              <w:rPr>
                <w:rStyle w:val="793"/>
                <w:rFonts w:hint="eastAsia" w:ascii="宋体" w:hAnsi="宋体" w:eastAsia="宋体" w:cs="宋体"/>
                <w:color w:val="auto"/>
                <w:sz w:val="21"/>
                <w:szCs w:val="21"/>
                <w:highlight w:val="none"/>
                <w:lang w:val="en-US" w:eastAsia="zh-CN" w:bidi="ar"/>
              </w:rPr>
              <w:t xml:space="preserve">90mm，误差±15%；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5.▲配备荧光模块，可用于辅助龋齿探查、树脂材料识别；</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6.▲具备偏振消反光功能，降低术区反光干扰，提升细节观察效果。</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影像部分</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1.内置4K超高清影像摄录系统，分辨率≥3840x2160，支持术中图像视频采集；</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2.影像存储:双USB3.0影像储存，双USB2.0功能控制，图片、视频记录格式：JPEG;MP4;</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3.配套高清显示器,含显示器支架、显微镜立柱固定组件;</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4.配置无线脚控开关，用于拍照与录像。</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支架部分</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1.落地式支架，轻便，便于移动；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793"/>
                <w:rFonts w:hint="eastAsia" w:ascii="宋体" w:hAnsi="宋体" w:eastAsia="宋体" w:cs="宋体"/>
                <w:color w:val="auto"/>
                <w:sz w:val="21"/>
                <w:szCs w:val="21"/>
                <w:highlight w:val="none"/>
                <w:lang w:val="en-US" w:eastAsia="zh-CN" w:bidi="ar"/>
              </w:rPr>
              <w:t xml:space="preserve">2.支架臂伸展范围不小于1500mm，小横臂与镜身连接，长度不低于600mm，旋转角度：±150º，上下移动不小于±300mm；大横臂与立柱连接，长度不小于500mm，</w:t>
            </w:r>
            <w:r>
              <w:rPr>
                <w:rFonts w:hint="eastAsia" w:ascii="宋体" w:hAnsi="宋体" w:eastAsia="宋体" w:cs="宋体"/>
                <w:i w:val="0"/>
                <w:iCs w:val="0"/>
                <w:color w:val="auto"/>
                <w:sz w:val="21"/>
                <w:szCs w:val="21"/>
                <w:highlight w:val="none"/>
                <w:u w:val="none"/>
                <w:lang w:val="en-US" w:eastAsia="zh-CN" w:bidi="ar"/>
              </w:rPr>
              <w:t xml:space="preserve">旋转角度：≥300°</w:t>
            </w:r>
            <w:r>
              <w:rPr>
                <w:rStyle w:val="793"/>
                <w:rFonts w:hint="eastAsia" w:ascii="宋体" w:hAnsi="宋体" w:eastAsia="宋体" w:cs="宋体"/>
                <w:color w:val="auto"/>
                <w:sz w:val="21"/>
                <w:szCs w:val="21"/>
                <w:highlight w:val="none"/>
                <w:lang w:val="en-US" w:eastAsia="zh-CN" w:bidi="ar"/>
              </w:rPr>
              <w:t xml:space="preserve">；大横臂位于小横臂上方，以有效减少显微镜支架与牙椅支架的干涉；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平衡系统:可根据镜头负荷分别调节左右、前后扭矩旋钮以及左右、前后阻尼旋钮，有效提高显微镜操作顺滑性和舒适度。在加载照相机、摄像机等附件后，镜头仍可在任意角度悬停，单手轻触即可调节镜头角度与位置，操作舒适、移动顺畅；</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4.手柄：360°可旋转手柄，集成一键拍照录像按钮与变焦旋钮。</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牙周袋深度探测仪</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793"/>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探针测量过程中工作尖端可承受探诊压力15gf左右，误差±2gf；</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2.测量数据可按照2018年牙周病国际新分类进行数据归类，辅助评估；</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3.深度测量范围：0mm-12mm；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4.测量显示精度：0.1mm；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793"/>
                <w:rFonts w:hint="eastAsia" w:ascii="宋体" w:hAnsi="宋体" w:eastAsia="宋体" w:cs="宋体"/>
                <w:color w:val="auto"/>
                <w:sz w:val="21"/>
                <w:szCs w:val="21"/>
                <w:highlight w:val="none"/>
                <w:lang w:val="en-US" w:eastAsia="zh-CN" w:bidi="ar"/>
              </w:rPr>
              <w:t xml:space="preserve">5.探针直径：</w:t>
            </w:r>
            <w:r>
              <w:rPr>
                <w:rFonts w:hint="eastAsia" w:ascii="宋体" w:hAnsi="宋体" w:eastAsia="宋体" w:cs="宋体"/>
                <w:i w:val="0"/>
                <w:iCs w:val="0"/>
                <w:color w:val="auto"/>
                <w:sz w:val="21"/>
                <w:szCs w:val="21"/>
                <w:highlight w:val="none"/>
                <w:u w:val="none"/>
                <w:lang w:val="en-US" w:eastAsia="zh-CN" w:bidi="ar"/>
              </w:rPr>
              <w:t xml:space="preserve">≤0.5mm,</w:t>
            </w:r>
            <w:r>
              <w:rPr>
                <w:rStyle w:val="793"/>
                <w:rFonts w:hint="eastAsia" w:ascii="宋体" w:hAnsi="宋体" w:eastAsia="宋体" w:cs="宋体"/>
                <w:color w:val="auto"/>
                <w:sz w:val="21"/>
                <w:szCs w:val="21"/>
                <w:highlight w:val="none"/>
                <w:lang w:val="en-US" w:eastAsia="zh-CN" w:bidi="ar"/>
              </w:rPr>
              <w:t xml:space="preserve">探针材料：钛合金材质（可探测种植体）；</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793"/>
                <w:rFonts w:hint="eastAsia" w:ascii="宋体" w:hAnsi="宋体" w:eastAsia="宋体" w:cs="宋体"/>
                <w:color w:val="auto"/>
                <w:sz w:val="21"/>
                <w:szCs w:val="21"/>
                <w:highlight w:val="none"/>
                <w:lang w:val="en-US" w:eastAsia="zh-CN" w:bidi="ar"/>
              </w:rPr>
              <w:t xml:space="preserve">6.测量结果显示方式:</w:t>
            </w:r>
            <w:r>
              <w:rPr>
                <w:rFonts w:hint="eastAsia" w:ascii="宋体" w:hAnsi="宋体" w:eastAsia="宋体" w:cs="宋体"/>
                <w:i w:val="0"/>
                <w:iCs w:val="0"/>
                <w:color w:val="auto"/>
                <w:sz w:val="21"/>
                <w:szCs w:val="21"/>
                <w:highlight w:val="none"/>
                <w:u w:val="none"/>
                <w:lang w:val="en-US" w:eastAsia="zh-CN" w:bidi="ar"/>
              </w:rPr>
              <w:t xml:space="preserve">探针手柄自带OLED屏幕，测量结果可在电脑实时显示；</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7.探针手柄与电脑连接方式：无线连接；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793"/>
                <w:rFonts w:hint="eastAsia" w:ascii="宋体" w:hAnsi="宋体" w:eastAsia="宋体" w:cs="宋体"/>
                <w:color w:val="auto"/>
                <w:sz w:val="21"/>
                <w:szCs w:val="21"/>
                <w:highlight w:val="none"/>
                <w:lang w:val="en-US" w:eastAsia="zh-CN" w:bidi="ar"/>
              </w:rPr>
              <w:t xml:space="preserve">▲8</w:t>
            </w:r>
            <w:r>
              <w:rPr>
                <w:rStyle w:val="795"/>
                <w:rFonts w:hint="eastAsia" w:ascii="宋体" w:hAnsi="宋体" w:eastAsia="宋体" w:cs="宋体"/>
                <w:color w:val="auto"/>
                <w:sz w:val="21"/>
                <w:szCs w:val="21"/>
                <w:highlight w:val="none"/>
                <w:lang w:val="en-US" w:eastAsia="zh-CN" w:bidi="ar"/>
              </w:rPr>
              <w:t xml:space="preserve">.针对系统性牙周检查而设计。</w:t>
            </w:r>
            <w:r>
              <w:rPr>
                <w:rStyle w:val="796"/>
                <w:rFonts w:hint="eastAsia" w:ascii="宋体" w:hAnsi="宋体" w:eastAsia="宋体" w:cs="宋体"/>
                <w:color w:val="auto"/>
                <w:sz w:val="21"/>
                <w:szCs w:val="21"/>
                <w:highlight w:val="none"/>
                <w:lang w:val="en-US" w:eastAsia="zh-CN" w:bidi="ar"/>
              </w:rPr>
              <w:t xml:space="preserve">可测量记录牙周袋深度、牙龈退缩或增生、出血、根分叉、松动度等指标。同时支持自动制图，生成报告，提供风险因素辅助分析，可导出PDF文件、邮件分享报告等功能；</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9.支持多个探针手柄共用电脑系统；</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10.可显示全口菌斑分布及临床指标阳性阴性比例，进行菌斑评定；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11.记录全口牙列情况包括：缺失、种植体、桥体、修复体、乳牙滞留等；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12.探诊过程支持语音播报；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13.可手动触屏编辑牙周袋深度值和牙龈增生/退缩值；</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14.支持记录出血指数、菌斑指数、咬合关系。</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超声喷砂牙周治疗仪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1.输出的尖端主振动偏移（最大功率）：1~200μm ，偏差：±50％；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2.超声工作尖端振动频率在25-35kHz区间，满足牙周治疗临床需求；</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793"/>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尖端输出力满足牙周治疗需求，输出力稳定；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4.尖端输出功率：3W~20W；</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5.喷砂系统出水水温：0~45℃；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二、功能描述</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1.集龈上、龈下喷砂洁治，舒适洁牙，牙周治疗，种植体维护，根管治疗功能于一体；</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2.主机配套超声和喷砂手柄支架，根据所选用工作手柄自动切换工作模式，手柄放回支架时自动停止工作；</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3.前面板采用触控液晶屏，功能选择、工作状态指示简洁清晰；</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4.工作尖椭圆形振动轨迹，治疗、抛光一起完成，工作尖振幅小，实现无痛治疗；</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5.双水路切换，可实现水瓶自动供水（配有1400mL大容量水瓶，满足长时间洁治需求），也可使用外接水路供水；</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6.供水提示灯设计，更直观观察供水方式，采用自动供水，蓝色提示灯亮起；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7.采用钛合金工作尖，不伤牙骨质、牙釉质；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8.自动供水模式下，使用隔膜泵供水，供水稳定；可以使用双氧水、次氯酸钠、洗必泰等专用药液，提高临床治疗效果；</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9.水路加热功能，可实现喷砂洁治模式下，加热水路，提高洁治舒适度；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10.采用全自动频率跟踪系统，自动搜索最佳工作状态，机器性能更稳定；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11.喷砂手柄采用三段式设计，装卸简单，便于清洁和维护；</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12.手柄可拆卸，支持134℃高温高压环境中进行灭菌处理；</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13.喷砂手柄尾线可拆卸，便于清洁疏通和维护；</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14.超声手柄尾线接口和喷砂手柄尾线接口带有防滑纹，便于操作；</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▲15.粉罐便于观察喷砂粉余量，粉罐可360°旋转，全透明可视化；</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16.喷砂粉罐出砂均匀稳定，具备余量观察标识刻度，支持临床常用喷砂材料，可配置不同规格粉罐适配诊疗需求；</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17.龈下喷嘴四孔设计，三孔出砂一孔出水，可实现360°旋转；</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18.工作过程采用微电脑全自动控制，操作方便简洁，效率高；</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19.外置电源适配器，实现水电分离，更加安全；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20.加热器温度过高时，恒温器发生短路或断路且会出现提示，电路自动断开确保使用安全；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21.对进液的防护程度：脚踏开关为防滴水器材(IPX1)；</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22.水路、气路接口均带过滤器，过滤水中杂质和气路中的水分，拥有清洁模式。</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超声洁牙机</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1.主机输入：220V～50Hz ,</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2.输入功率：不大于50VA</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3.输出的尖端主振动偏移：1～200μm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4.输出的尖端振动频率：30kHz±5kHz</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5.输出的半偏移力：15N±50%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6.尖端输出功率：3W～20W</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二、功能描述</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1.自动供水模式下可以使用双氧水，次氯酸钠，洗必泰等专用药液，提高临床治疗效果。</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2.采用全自动频率跟踪系统，自动搜索最佳工作状态，机器性能更稳定。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3.工作过程采用微电脑全自动控制，操作方便简洁，效率高。4.接插式手柄，使用方便。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5.手柄能耐134℃高温和0.22MPa高压消毒。</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6.手柄带LED灯，临床照明方便。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7.双水路自由选择（水箱/外接水），可满足不同使用场景。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根管预备机</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1.根管预备机主要用于根管治疗过程，是根管预备阶段根管成形和清理的设备，帮助牙科医生快速高效的完成根管治疗。</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2.采用高性能无刷电机，扭力大，寿命长，转速高，噪音小，发热小，输出更精准，更稳定，更高效；</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弯手机：内部采用精密齿轮传动，传动比为6:1，可进行134℃高温高压灭菌，可用专用清洗油进行注油保养。弯手机可360°旋转，超小机头更大视野；</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4.采用实时反馈技术，对电机输出扭矩实时动态控制，有效预防断针；</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5.往复模式角度每10°可调，精准的往复角度控制减小器械分离的风险，预备更高效；</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6.自适应模式：正常情况下连续正常旋转，当锉遇到的阻力大于预设的扭矩时，马达自动开始以设定的正转角度反转角度交替往复旋转，正转角度和反转角度可以10°为步进可调；</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7.根尖动作：当锉尖端到达设定的根尖参考点时，自动发生的动作。包含自动停止、自动反转、关闭共3种模式。</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8.无线手柄，操作更自如；</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马达手柄还可设置根管动作，包含自动启动、自动停止、自动减速3个模式；</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793"/>
                <w:rFonts w:hint="eastAsia" w:ascii="宋体" w:hAnsi="宋体" w:eastAsia="宋体" w:cs="宋体"/>
                <w:color w:val="auto"/>
                <w:sz w:val="21"/>
                <w:szCs w:val="21"/>
                <w:highlight w:val="none"/>
                <w:lang w:val="en-US" w:eastAsia="zh-CN" w:bidi="ar"/>
              </w:rPr>
              <w:t xml:space="preserve">10.马达手柄</w:t>
            </w:r>
            <w:r>
              <w:rPr>
                <w:rFonts w:hint="eastAsia" w:ascii="宋体" w:hAnsi="宋体" w:eastAsia="宋体" w:cs="宋体"/>
                <w:i w:val="0"/>
                <w:iCs w:val="0"/>
                <w:color w:val="auto"/>
                <w:sz w:val="21"/>
                <w:szCs w:val="21"/>
                <w:highlight w:val="none"/>
                <w:u w:val="none"/>
                <w:lang w:val="en-US" w:eastAsia="zh-CN" w:bidi="ar"/>
              </w:rPr>
              <w:t xml:space="preserve">支持多组</w:t>
            </w:r>
            <w:r>
              <w:rPr>
                <w:rStyle w:val="793"/>
                <w:rFonts w:hint="eastAsia" w:ascii="宋体" w:hAnsi="宋体" w:eastAsia="宋体" w:cs="宋体"/>
                <w:color w:val="auto"/>
                <w:sz w:val="21"/>
                <w:szCs w:val="21"/>
                <w:highlight w:val="none"/>
                <w:lang w:val="en-US" w:eastAsia="zh-CN" w:bidi="ar"/>
              </w:rPr>
              <w:t xml:space="preserve">自定义记忆程序以及内置市面上主流的锉系统。</w:t>
            </w:r>
            <w:r>
              <w:rPr>
                <w:rFonts w:hint="eastAsia" w:ascii="宋体" w:hAnsi="宋体" w:eastAsia="宋体" w:cs="宋体"/>
                <w:i w:val="0"/>
                <w:iCs w:val="0"/>
                <w:color w:val="auto"/>
                <w:sz w:val="21"/>
                <w:szCs w:val="21"/>
                <w:highlight w:val="none"/>
                <w:u w:val="none"/>
                <w:lang w:val="en-US" w:eastAsia="zh-CN" w:bidi="ar"/>
              </w:rPr>
              <w:t xml:space="preserve">可设置用于根管预备的自定义记忆程序，每个自定义记忆程序都可以设置和调整如操作模式，速度和扭矩等参数</w:t>
            </w:r>
            <w:r>
              <w:rPr>
                <w:rStyle w:val="793"/>
                <w:rFonts w:hint="eastAsia" w:ascii="宋体" w:hAnsi="宋体" w:eastAsia="宋体" w:cs="宋体"/>
                <w:color w:val="auto"/>
                <w:sz w:val="21"/>
                <w:szCs w:val="21"/>
                <w:highlight w:val="none"/>
                <w:lang w:val="en-US" w:eastAsia="zh-CN" w:bidi="ar"/>
              </w:rPr>
              <w:t xml:space="preserve">；</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11.可根据医生习惯选择左右手模式，自动匹配对应操作方向的界面显示方向，方便不同操作习惯的人群；</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12.扭矩和速度范围，速度：100--1200rpm，扭矩0.4--5.0Ncm；自动关机功能：在待机界面下无任何按键操作下,3-30分钟后自动关机(自动关机时长用户可在3-30分钟内自定义)；马达手柄放入充电底座充电时也会自动关机；</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13.使用期限：≥10年。</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牙科微动力系统</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1.双水路选择，更灵活：水箱可装蒸馏水或纯净水，配合内水道弯机使用；也可以直供灭菌冷却生理盐水，对应外水道弯机，在无菌手术中，能够降低手术感染率，伤口愈合快，并发症轻； </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2.插电即用，无需连接牙椅水、气，非常便携，可满足外科手术室、外出义诊、上门家庭就诊、科研教学、义齿打磨等多场景应用需求；</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3.采用高性能无刷电机，扭矩≥3.5N·cm，扭矩大，更强劲。马达空载转速1000—41500r/min，跳动＜0.02mm，噪音&lt;50dB，冷光LED灯（照度&gt;40000lx），专为外科手术设计的高速电机；</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4.采用多功能脚踏，水量控制、程序切换、正反转切换、无极变速控制均可通过多功能脚踏完成，解放医生双手。防水等级IPX6，满足手术室专用的防水等级要求；</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5.扳手式蠕动泵，简单易用，无需额外培训。6档水量控制，100%水量时冷却水流量可≥120mL/min（拔牙模式），满足医生的使用需求；</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793"/>
                <w:rFonts w:hint="eastAsia" w:ascii="宋体" w:hAnsi="宋体" w:eastAsia="宋体" w:cs="宋体"/>
                <w:color w:val="auto"/>
                <w:sz w:val="21"/>
                <w:szCs w:val="21"/>
                <w:highlight w:val="none"/>
                <w:lang w:val="en-US" w:eastAsia="zh-CN" w:bidi="ar"/>
              </w:rPr>
              <w:t xml:space="preserve">6.冷却系统：</w:t>
            </w:r>
            <w:r>
              <w:rPr>
                <w:rFonts w:hint="eastAsia" w:ascii="宋体" w:hAnsi="宋体" w:eastAsia="宋体" w:cs="宋体"/>
                <w:i w:val="0"/>
                <w:iCs w:val="0"/>
                <w:color w:val="auto"/>
                <w:sz w:val="21"/>
                <w:szCs w:val="21"/>
                <w:highlight w:val="none"/>
                <w:u w:val="none"/>
                <w:lang w:val="en-US" w:eastAsia="zh-CN" w:bidi="ar"/>
              </w:rPr>
              <w:t xml:space="preserve">具备可靠冷却防护机制</w:t>
            </w:r>
            <w:r>
              <w:rPr>
                <w:rStyle w:val="793"/>
                <w:rFonts w:hint="eastAsia" w:ascii="宋体" w:hAnsi="宋体" w:eastAsia="宋体" w:cs="宋体"/>
                <w:color w:val="auto"/>
                <w:sz w:val="21"/>
                <w:szCs w:val="21"/>
                <w:highlight w:val="none"/>
                <w:lang w:val="en-US" w:eastAsia="zh-CN" w:bidi="ar"/>
              </w:rPr>
              <w:t xml:space="preserve">，高效冷却、防烫伤，保护医患安全、提升设备寿命；</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配有彩色LCD触摸屏，按临床实际用途配备了“修复模式”和“拔牙模式”，且采用中文程序（拔牙模式：拔牙、冲洗；修复模式：备牙、精修、破冠、自定义）精简直观，速度调节采用“进度条快速调节”和“+/-号精准调节”双重控制方式，便于医生使用。玻璃屏幕易清洁，可擦拭消毒；</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793"/>
                <w:rFonts w:hint="eastAsia" w:ascii="宋体" w:hAnsi="宋体" w:eastAsia="宋体" w:cs="宋体"/>
                <w:color w:val="auto"/>
                <w:sz w:val="21"/>
                <w:szCs w:val="21"/>
                <w:highlight w:val="none"/>
                <w:lang w:val="en-US" w:eastAsia="zh-CN" w:bidi="ar"/>
              </w:rPr>
              <w:t xml:space="preserve">8.▲适配16:1、1:1、1:3、1:4.2、1:5等转速比手机，覆盖高低速手机功能，</w:t>
            </w:r>
            <w:r>
              <w:rPr>
                <w:rFonts w:hint="eastAsia" w:ascii="宋体" w:hAnsi="宋体" w:eastAsia="宋体" w:cs="宋体"/>
                <w:i w:val="0"/>
                <w:iCs w:val="0"/>
                <w:color w:val="auto"/>
                <w:sz w:val="21"/>
                <w:szCs w:val="21"/>
                <w:highlight w:val="none"/>
                <w:u w:val="none"/>
                <w:lang w:val="en-US" w:eastAsia="zh-CN" w:bidi="ar"/>
              </w:rPr>
              <w:t xml:space="preserve">支持多组预</w:t>
            </w:r>
            <w:r>
              <w:rPr>
                <w:rStyle w:val="793"/>
                <w:rFonts w:hint="eastAsia" w:ascii="宋体" w:hAnsi="宋体" w:eastAsia="宋体" w:cs="宋体"/>
                <w:color w:val="auto"/>
                <w:sz w:val="21"/>
                <w:szCs w:val="21"/>
                <w:highlight w:val="none"/>
                <w:lang w:val="en-US" w:eastAsia="zh-CN" w:bidi="ar"/>
              </w:rPr>
              <w:t xml:space="preserve">设程序功能，自动记忆参数，使用自如；</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9.有专门的外水道拔牙模式和内水道修复模式，拔牙模式还有专门的“冲洗”程序，无需取下车针就可以方便冲洗拔牙伤口；</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10.1：3拔牙手机和1：5修复手机轴承性能稳定，卫生机头系统、防过热设计，使用更平稳可靠，寿命更长久；</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11.1：3拔牙手机和1：5修复手机均为光纤手机，LED恒光源可提供稳定照明。</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种植修复面弓颌架</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1.可全面调节，重现患者咬合的静态和动态运动 </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2.实物咀嚼模拟器，适用于牙科诊所和技工室</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3.完全可调整的碳纤维架</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4.横向间隙的侧方运动距离，调整范围 0 至 1.5mm（每侧）</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5.可调节的前伸运动距离，调整范围 0 至 6mm </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6.可调节的后退位移，调整范围 0 至 2mm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7.牵引装置，确保压缩颚接头释放度在0至3mm之间</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8.横式分析、夹板制造与校正的理想之选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9.碳纤维质轻且耐用，实现完美操控</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10.髁突倾斜角度的调节范围在20°至+60°之间</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11.贝内特角的调整范围在-5°至+30°之间</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12.SCI（矢状面髁突倾斜度）：-20°至+60°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13.贝内特角（HCI）：-5°至+30°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14.前突：0至6mm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15.后移：0至2mm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16.ISS（迅疾侧移）：0-至1.5mm（每侧）</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17.牵引：0至3mm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18.正中设计:半轴中心杆</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牙科印模粉搅拌机</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1、搅拌时间可调，完成印模材料搅拌全过程</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2、搅拌后的印模材料无气泡，弹性更好、不易变形，取模更清晰，最简单的操作模式，让使用者可快速掌握。</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3、微电脑控制，安全可靠，造型美观。</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4、转速≥3400转/分（60HZ）或≥2850转/分（50HZ）</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模型打磨机</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输入电源：AC 220</w:t>
            </w:r>
            <w:r>
              <w:rPr>
                <w:rFonts w:hint="eastAsia" w:ascii="宋体" w:hAnsi="宋体" w:eastAsia="宋体" w:cs="宋体"/>
                <w:i w:val="0"/>
                <w:iCs w:val="0"/>
                <w:color w:val="auto"/>
                <w:sz w:val="21"/>
                <w:szCs w:val="21"/>
                <w:highlight w:val="none"/>
                <w:u w:val="none"/>
                <w:lang w:val="en-US" w:eastAsia="zh-CN" w:bidi="ar"/>
              </w:rPr>
              <w:noBreakHyphen/>
            </w:r>
            <w:r>
              <w:rPr>
                <w:rFonts w:hint="eastAsia" w:ascii="宋体" w:hAnsi="宋体" w:eastAsia="宋体" w:cs="宋体"/>
                <w:i w:val="0"/>
                <w:iCs w:val="0"/>
                <w:color w:val="auto"/>
                <w:sz w:val="21"/>
                <w:szCs w:val="21"/>
                <w:highlight w:val="none"/>
                <w:u w:val="none"/>
                <w:lang w:val="en-US" w:eastAsia="zh-CN" w:bidi="ar"/>
              </w:rPr>
              <w:t xml:space="preserve">240V，50</w:t>
            </w:r>
            <w:r>
              <w:rPr>
                <w:rFonts w:hint="eastAsia" w:ascii="宋体" w:hAnsi="宋体" w:eastAsia="宋体" w:cs="宋体"/>
                <w:i w:val="0"/>
                <w:iCs w:val="0"/>
                <w:color w:val="auto"/>
                <w:sz w:val="21"/>
                <w:szCs w:val="21"/>
                <w:highlight w:val="none"/>
                <w:u w:val="none"/>
                <w:lang w:val="en-US" w:eastAsia="zh-CN" w:bidi="ar"/>
              </w:rPr>
              <w:noBreakHyphen/>
            </w:r>
            <w:r>
              <w:rPr>
                <w:rFonts w:hint="eastAsia" w:ascii="宋体" w:hAnsi="宋体" w:eastAsia="宋体" w:cs="宋体"/>
                <w:i w:val="0"/>
                <w:iCs w:val="0"/>
                <w:color w:val="auto"/>
                <w:sz w:val="21"/>
                <w:szCs w:val="21"/>
                <w:highlight w:val="none"/>
                <w:u w:val="none"/>
                <w:lang w:val="en-US" w:eastAsia="zh-CN" w:bidi="ar"/>
              </w:rPr>
              <w:t xml:space="preserve">60Hz</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功率：65W左右</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转速范围：0</w:t>
            </w:r>
            <w:r>
              <w:rPr>
                <w:rFonts w:hint="eastAsia" w:ascii="宋体" w:hAnsi="宋体" w:eastAsia="宋体" w:cs="宋体"/>
                <w:i w:val="0"/>
                <w:iCs w:val="0"/>
                <w:color w:val="auto"/>
                <w:sz w:val="21"/>
                <w:szCs w:val="21"/>
                <w:highlight w:val="none"/>
                <w:u w:val="none"/>
                <w:lang w:val="en-US" w:eastAsia="zh-CN" w:bidi="ar"/>
              </w:rPr>
              <w:noBreakHyphen/>
            </w:r>
            <w:r>
              <w:rPr>
                <w:rFonts w:hint="eastAsia" w:ascii="宋体" w:hAnsi="宋体" w:eastAsia="宋体" w:cs="宋体"/>
                <w:i w:val="0"/>
                <w:iCs w:val="0"/>
                <w:color w:val="auto"/>
                <w:sz w:val="21"/>
                <w:szCs w:val="21"/>
                <w:highlight w:val="none"/>
                <w:u w:val="none"/>
                <w:lang w:val="en-US" w:eastAsia="zh-CN" w:bidi="ar"/>
              </w:rPr>
              <w:t xml:space="preserve">35000rpm，旋钮无级调速</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手柄夹头规格2.35mm（标准技工磨头柄径）</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根管长度测量仪</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1.功耗:≤0.5W</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2.测量精度:±0.5mm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3.声响提示:当根管锉接近根尖时会有蜂鸣声提示</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4.配有彩色液晶屏，图像清晰，多种颜色清晰指示工作锉针在根管中的轨迹；</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5.基于DSP数字信号处理测量技术，自动校准保证了测量的准确度；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6.锉夹、唇挂钩、测量仪探针、牙髓活力探针可高温高压消毒，避免交叉感染；</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7.电池容量≥2000mAh，可充电，不必反复更换电池；</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8.磁吸式设计，屏幕可360°旋转，方便调整视角；</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9.设定根尖止点报警功能，可根据专业化需求设定，及时提醒测量距离；</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▲10.具有辅助判断的恒流型牙髓电活力测试功能。</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显微根管器械套装</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1.牙用充填器：不锈钢材质，可高温高压灭菌，用于口腔充填材料的塑性、压实。</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2.牙用分离器 ：用于口腔手术中分离指定部位的软组织；主要由手柄、头杆组成，通常采用不锈钢材料制成，可重复使用。</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3.牙科剪：不锈钢材质，用于牙科手术中剪切口腔组织，由一对中间连接的叶片组成， 带有环状手柄，可重复使用。</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4.颌部组织拉钩:用于牵拉软组织；由柄部和尖端组成，尖端为弧形弯曲状，用于手动翻开口腔软组织的手术器械。</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5.持针器:用于夹持缝合针、金属夹等器械，用钳喙、关节和钳柄组成， 头部有网纹齿，尾部有指圈，中间穿鳃后用铆钉连接固定，在两指圈间有锁止牙，起夹持固定作用。</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6.牙刮匙：用于口腔手术中撬除牙残根或碎根尖、刮除软组织等，由手柄和圆匙状头端组成，其工作末端的形状是一个经打磨钝化的尖头匙片，横截面是半圆形。</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★配置清单</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1.口镜手柄 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2.镀铑双面口镜头 1盒</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3.双头探针 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4.根管探针 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5.组织镊 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6.手术刀柄 （7个角度调节）三指柄 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7.多型号骨膜分离器 各1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8.前牙刮治器、后牙刮治器 各1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9.多型号外科长刮匙 各1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10.多型号充填器 各1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90"/>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11.侧穿再治疗修补器 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12.多型号倒充填加压器 各1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13.显微口镜柄 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14.多型号显微口镜头 各1个</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15.拉钩手柄 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16.多型号拉钩头 各1个</w:t>
            </w:r>
            <w:r/>
          </w:p>
        </w:tc>
      </w:tr>
      <w:tr>
        <w:trPr>
          <w:jc w:val="center"/>
          <w:trHeight w:val="267"/>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17.显微剪 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18.显微镊 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19.显微持针器 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non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20.根管异物钳 1</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面部3D扫描仪</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1.具备面部3D数据采集功能：支持手持、固定2种方式进行面部数据采集，快速完成数据采集。</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2.机身重量≤800g</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3.扫描精度≤50um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4.扫描帧率≥15帧/秒</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5.分辨率：深度相机优于1280 × 1080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6.数据格式：数据格式支持输出不限于PLY、OBJ和STL多种格式</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7.面扫软件端完成面扫、口扫和CBCT数据匹配；</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8.集成正畸模拟功能，模拟颜面、牙齿的变化效果；</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9.匹配好的面扫&amp;口扫数据可支持导入至第三方CAD设计软件，用于后续的方案设计。</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10.颜面3D测量分析：面部特征点自动识别，基于特征点实现面部测量、对比和分析功能。此外可输出测量、分析报告，能广泛用于口腔正畸、修复、种植、正畸正颌和儿牙等临床和科研方向。</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11.数字化美学设计：采用数字化技术，为患者进行前牙美学设计，精准呈现美学效果预览。设计完成后可生成报告。</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12.视频模拟：采集患者在言语、微笑等自然表情运动视频后，模拟设计后的牙齿形态、比例及其与面部动态协调关系。</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牙科修复设计软件</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1.软件含多个可用于解剖全冠的高质量牙形数据库；</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2.可以设计全轮廓牙桥和支架，包括嵌体、悬臂和马里兰固定桥；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3.可以快速设计嵌体和高嵌体修复体；</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4.软件已包含多个牙形数据库，轻松获得贴面效果；</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5.使用软件可将手工制作的蜡型通过扫描、编辑和复制铣削出来，可以创建数字化蜡型；</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6.可以设计套筒冠；</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7.软件可以帮助用户在设计任何具有咬合功能的修复体时考虑动态咬合关系；</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8.▲使用软件可以将石膏模型在实物咬合架中的定位精确传输至软件中、可以对接吉尔巴赫、卡瓦等虚拟颌架；</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9.使用软件可将附着体或固位钉添加到设计中；</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10.支持导入下颌运动轨迹数据一键对接虚拟颌架和动态调颌。</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手术放大镜（医用头灯）</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1.放大镜片采用优质光学玻璃，镀多层增透膜，透光率高、视野大图像清晰；</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2.工作距离长、清晰明亮而广阔的视野为各种精细工作提供了方便；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3.放大镜倾角可在0°～ 40°任意调整，满足各种体位的要求，减少头晕、颈椎等部位的不适感，降低长时间操作的疲劳感；</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4.人性化设计的上下位置调节结构，满足了医生操作时的个性化需要，单独调节瞳距可适应各种脸形；</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5.单手快速同步调节，可适用于各种瞳距，瞳距调节范围：46mm-82mm；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6.放大镜倍数：提供≥2种放大倍率可选；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7.工作距离：具备多种临床常用工作距离可选；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8.镜架轻量化、耐腐蚀、易清洁等特点，佩戴舒适稳定，可采用纯钛等符合医用要求的材料，确保手术过程中的安全性和可靠性；</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9.配有专用的放大镜镜绳，采用耐用且柔软的材料制成，具有良好的弹性和耐用性，长度可根据个人需要进行调整，以适应不同的头部尺寸和使用需求；</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10.配备医用头灯。</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口腔器械一批</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1.粘固粉充填器头部的硬度：30Cr13为HRC 47-53;32Cr13Mo、40Cr13为HRC50-58；表面粗糙度参数Ra之数值应不大于：无光亮0.8μm, 有光亮0.4μm；有良好的耐腐蚀性能。</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2.拔牙钳有足够的强度，成人：施加300N;儿童：施加250N的压力后，头端不会 断裂和明显的变形；关节构造能使拔牙钳开合平稳，无卡塞现象；硬度：40 HRC～52 HRC, 且相对钳喙上配合面的硬度差值不超过3 HRC；外表制成有光亮或无光亮，有光亮外表面粗糙度不大于0.4um, 无光亮 外表面粗糙度不大于0.8um；有良好的耐腐蚀性能。</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3.牙挺头部经热处理，其硬度：30Cr13为 HRC47-53,40Cr13 为HRC50-58；外表制成有光亮或无光亮，其外表(除尖头外)的表面粗糙度Ra 之数值不 大于：有光亮0.4um, 无光亮0.8um；有良好的耐腐蚀性能、耐压力蒸汽性能、耐热性能、耐泄露性能。</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正畸钳钳体采用符合医用标准不锈钢材料锻造而成；铰链处采用数控机床加工，保证了高同心度和高平行度。铰链采用铆接技术，使钳子铰链更紧固。切断类正畸钳刃部镶嵌钨钢合金，硬度大于HRC62，非镶嵌类钳头部硬度应为47HRC~54HRC。</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5.开冠挺头部经热处理，其硬度为HRC47-53；经热处理，其硬度： HRC47～HRC53；外表可制成有光亮或无光亮，其表面粗糙度Ra 之数值应不大于：有光亮0.4 μm,  无光亮0.8μm；有良好的耐腐蚀性能、耐压力蒸汽性能、耐热性能、耐泄露性能。</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6.牙科刮治器工作尖端经热处理，其硬度：30Cr13 为HRC 47～53;40Cr13为 HRC 50～58；器头部有足够的强度，其变形量不得大于0.14mm；外表可制成有光亮或无光亮，其表面粗糙度(除刃口、柄部)Ra之数值不大于：有光亮为0.4μ m, 无光亮为0.8μm；有良好的耐腐蚀性能。</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持针钳：硬质合金镶片的持针钳柄部为金黄色，无硬质合金镶片的持针钳柄部用非金黄色；外表可制成有光亮或无光亮，其表面粗糙度参数Ra之数值应不大于：有光亮0.4um,无光亮0.8um；有良好的弹性和牢固性；经热处理后硬度在40 HRC～48 HRC, 且两片之差≤4 HRC；硬质合金镶片的硬度不小于923HV0.5, 两片之差应不大于50HV0.5；有良好的耐腐蚀性。</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8.技工钳采用YY／T0294-2016中不锈钢材料制成；有良好的耐腐蚀性能、耐压力蒸汽性能、耐热性能、耐泄露性能。</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牙科用镊有良好的弹性；二片连接牢固；当牙科用镊二片捏合时，唇头齿自头端向下在其全长三分之二的长度内吻合不张口，头端对齐，无明显偏位现象；定位销固定牢固，当镊子开闭时，灵活无卡塞现象；有良好的耐腐蚀性能。</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口腔麻醉注射架中的注射筒能够从后部任一方向进行装入；能够保证将在局部麻醉注射筒中安全地保持，不能在使用过程中掉出；允许注射溶剂包括吸入的结果能够被观察到；头部经热处理，其硬度HRC47～53；有良好的耐腐蚀性能。</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11.骨膜剥离器的刃口锐利，无崩刃及钝口，头部与手柄焊接牢固、正直；头部经热处理后的硬度为40 HRC～ 58 HRC；表面粗糙度参数Ra 之数值应不大于：无光亮0.8μm,有光亮0.4 μm；有良好的耐腐蚀性能。</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12.剔挖器经热处理，其硬度：30Cr13为HRC 47～53;40Cr13为HRC 50～58；外表可制成有光亮或无光亮，其表面粗糙度(除剔挖口外)Ra 之数值不大于：有光亮为0.4μm, 无 光亮为0.8μm；有良好的耐腐蚀性能。</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13.止血钳有良好的弹性和牢固性；锁止牙全部锁合时，唇头齿吻合；开闭轻松灵活，摆动量小于0.5mm；应经热处理后，硬度在40HRC～ 48HRC,且两片之差≤4HRC；外表可制成有光亮或无光亮，其表面粗糙度参数Ra 之数值不大于：有光亮 0 .4um,无光亮0.8um；有良好的耐腐蚀性；对称，外表无锋棱、毛刺、裂纹，鳃部的锐边倒钝。</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14.成形片夹螺母及各运动关节旋转轻松、灵活，定位后有良好的夹持性能；夹的硬度：42HRC～ 48HRC；外表可制成有光亮或无光亮，其表面粗糙度(除滚花外)Ra 之数值不大于：有光亮0.4 μm, 无光亮0.8μm；夹螺母的滚花清晰、完整，无缺花、烂花有良好的耐腐蚀性能。</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牙龈剪螺钉牢固地固定在左片上，当闭合或打开时螺钉不跟动；刃口无崩刃，在闭合或打开时无咬口或卡住现象；开闭灵活，刃口接触点在不小于距头端三分之二刃口的长度处；闭合后二片头端彼此遮盖且无过头现象；剪切顺利，无明显变形、裂纹现象；试验材料切边整齐，无撕裂现象；经热处理，其硬度：50HRC～58HRC,二片硬度值相差应不大于4HRC；外表可制成有光亮或无光亮，其表面粗糙度Ra 之数值应不大于：有光亮0.4μm,  无光亮0.8μm；有良好的耐腐蚀性。</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16.牙科用镊的二片连接牢固；当牙科用镊二片捏合时，唇头齿自头端向下在其全长三分之二的长度内吻合不 张口，头端对齐，无明显偏位现象；牙科用镊的定位销固定牢固，当镊子开闭时，灵活无卡塞现象。</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★配置清单</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1.根测仪唇钩 30个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2.粘固粉充填器（两头扁）100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3.粘固粉充填器（尖尖头）100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4.粘固粉充填器（小锤子）100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5.剔挖器1号 100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6.成形片夹 50个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7.超声波洁牙工作尖-龈上 150个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8.超声波洁牙工作尖-龈下 100个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9.排龈器 50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10.剪刀-直 50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11.剪刀-弯 250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12.快机-儿牙 50个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13.快机-普通 60个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14.慢机 50个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15.反角 60个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16.直机 50个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17.杯钳（小）24</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18.杯钳（大）4</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19.牙用镊 130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20.口镜-口镜柄 100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21.口镜-口镜头 200个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22.双头探针 150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23.喷砂头 10个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24.洁牙机 30个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25.内置洁牙机 50个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26.根测仪锉夹 40个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27.根管充填器(垂直加压器)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28.携热头 10个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29.牙龈分离器 50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30.持针器-细头 100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31.刀柄3号 带刻度 60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32.止血钳（弯头A12cm） 100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33.止血钳（直头A12cm） 50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34.拔牙钳成人型 （上前牙）20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35.拔牙钳成人型 （下前牙）20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36.拔牙钳成人型 （上45） 50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37.拔牙钳成人型 （下45）30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38.拔牙钳成人型 （左上67）20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39.拔牙钳成人型 （右上67）20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40.拔牙钳成人型 （下67）30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41.拔牙钳成人型 （上8）30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42.拔牙钳成人型 （下8）20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43.拔牙钳成人型 （上根钳）20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44.乳牙拔牙钳-上牙钳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45.乳牙拔牙钳-下牙钳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46.乳牙拔牙钳-上磨牙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47.乳牙拔牙钳-下磨牙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48.乳牙拔牙钳-根钳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49.乳牙拔牙钳-预成冠缩紧钳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50.乳牙拔牙钳-预成冠成形钳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51.根尖挺（弯）-左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52.根尖挺（弯）-右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53.根尖挺(直） 10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54.三角挺 10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55.牙挺-2号 30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56.牙挺-3号 30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57.碧蓝注射器 100个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58.大刮匙 80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59.电刀头 10个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60.去冠器-直 10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61.去冠器-弯 10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62.牙周刮治器 （套装）5</w:t>
            </w:r>
            <w:r>
              <w:rPr>
                <w:rFonts w:hint="eastAsia" w:ascii="宋体" w:hAnsi="宋体" w:eastAsia="宋体" w:cs="宋体"/>
                <w:i w:val="0"/>
                <w:iCs w:val="0"/>
                <w:color w:val="auto"/>
                <w:sz w:val="21"/>
                <w:szCs w:val="21"/>
                <w:highlight w:val="none"/>
                <w:u w:val="none"/>
                <w:lang w:val="en-US" w:eastAsia="zh-CN" w:bidi="ar"/>
              </w:rPr>
              <w:t xml:space="preserve">套</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63.牙周探针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64.无菌罐 50个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65.方盒（大） 6个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66.方盒（中） 20个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67.骨膜剥离器 40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68.雕刻刀 2</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69.微创挺 40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70.正畸钳-末端切断型 100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71.正畸钳-带环去除/加强型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72.正畸钳-游离钩专用型 10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73.正畸钳-分牙圈放置型 10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74.金冠剪-11cm直 50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75.金冠剪-11cm弯 50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76.持针钳-14cm直型 粗针 100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77.颊拉钩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78.正畸自锁托槽开启器 80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79.转矩钳 10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80.细丝钳 10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81.细丝切断钳 10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82.去托槽钳 10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83.带环挺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84.托槽镊 10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85.颊面管镊 10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86.钢丝剪 3</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87.技工钳 5</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88.日月钳 5</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89.梯形钳 5</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90.打孔钳 3</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91.泪滴钳 3</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92.水平矩形钳 3</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93.垂直矩形钳 3</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347"/>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94.托槽定位器 5</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95.末端回弯钳 20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96.方丝成形器 3</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97.测力计 3</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98.开口器 30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99.反光板 30个</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100.拉钩 400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101.侧方拉钩 200</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102.有齿镊 12</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103.无齿镊 12</w:t>
            </w:r>
            <w:r>
              <w:rPr>
                <w:rFonts w:hint="eastAsia" w:ascii="宋体" w:hAnsi="宋体" w:eastAsia="宋体" w:cs="宋体"/>
                <w:i w:val="0"/>
                <w:iCs w:val="0"/>
                <w:color w:val="auto"/>
                <w:sz w:val="21"/>
                <w:szCs w:val="21"/>
                <w:highlight w:val="none"/>
                <w:u w:val="none"/>
                <w:lang w:val="en-US" w:eastAsia="zh-CN" w:bidi="ar"/>
              </w:rPr>
              <w:t xml:space="preserve">把</w:t>
            </w:r>
            <w:r/>
          </w:p>
        </w:tc>
      </w:tr>
      <w:tr>
        <w:trPr>
          <w:jc w:val="center"/>
          <w:trHeight w:val="23"/>
        </w:trPr>
        <w:tc>
          <w:tcPr>
            <w:shd w:val="clear" w:color="auto" w:fill="auto"/>
            <w:tcBorders>
              <w:top w:val="single" w:color="000000" w:sz="4" w:space="0"/>
              <w:left w:val="single" w:color="000000" w:sz="4" w:space="0"/>
              <w:bottom w:val="non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104.方盘 45个</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（椅装式）牙科治疗设备</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1.地箱</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1.1可以根据诊室实际管路预埋位置选配内置式或外置式地箱，以满足各种管路预埋位置的安装条件，配有独立的供水压力表和供气压力表。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地箱内供水系统连接处具有防止回流装置，处理水或溶液的回吸量≤0.01ml。</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具备微粒水过滤器≤90μm和微粒空气过滤器≤25μm。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具备隔离变压器，输出电压≤直流35伏/交流24伏。</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2.医生单元</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下挂式器械盘可水平拓展副盘，整体长度≥65cm。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配有按键功能可操作：椅位升、降，靠背俯、卧，预置位置控制：复位位置、低工作位、高工作位、漱口位置，冲盂、漱口水。</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2.3器械盘具备水气总开关，可切断牙椅总水气；独立水开关，可单独关闭手机用水；水量调节开关，可调节每只手机出水大小。</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器械盒及器械盘均配有硅橡胶片，可以高温134°高温高压消毒。</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器械架上配备的三用枪、牙科手机、出水自动恒温控制，并具备防干烧功能。</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 器械盒具备外露调节手机气压的装置，且不容易误操作，具备实时显示的压力表。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2.7医生操作台连接器械臂采用三关节、扁平式结构，器械臂宽度≥75mm；操作台升降通过自带阻尼控制，无需按钮操作，医护人员使用操作更加灵活轻松。</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3.助手单元</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助手架配有按键功能可操作：椅位升、降，靠背俯、卧，预置位置控制：复位位置、低工作位、高工作位、漱口位置，冲盂、漱口水、LED观片灯。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吸唾器：优质材料手柄，可拆卸，并高温134℃高温高压消毒；气压为550KPa时，真空度≥27KPa，抽水速率≥700mL/min。</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强力吸引器：优质材料手柄，可拆卸，并高温134℃消毒；气压为550KPa时，真空度≥20KPa，流量≥160L/min。</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助手架上配备的三用枪、漱口水出水自动恒温控制，并具备防干烧功能。</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 助手架高度随牙椅同步升降，器械盒可在水平和垂直两个方向旋转。</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4.患者椅</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4.1患者椅具备≥2组各4个可预置位置，每组预置位置包含：复位位置、上颌治疗位、下颌治疗位、漱口位置。</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4.2患者椅具备漱口位按键，且具备记忆功能，一键操作牙椅可自行运行到漱口椅位，再次按漱口键即可自行恢复到漱口前的上一个工作椅位，漱口位可以根据医生的使用习惯自行设置。</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4.3患者椅靠背后仰及坐垫下降均具备安全开关，运行过程中如遇障碍物自动停止运行。</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 患者椅具备带错码显示的故障自动检测系统。具备自检程序、故障代码及信息代码, 在患者椅显示器上显示数字及字母，并且需提供有≥30个代码表，来表示牙椅的工作状态，准确判断故障位置，方便维修。</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 患者椅头靠可以360度调节,头架长度可以根据患者身高需要自行调节，头枕伸缩范围≥200mm；牙科椅椅背可伸缩调节以满足不同身高患者的使用需求，调节档位≥5档，椅背伸缩范围≥100mm。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 患者椅使用优质变频电机驱动，微处理器的数字输出对模拟电路进行控制改变脉冲方式，使牙椅柔性启动；牙科椅采用高分子合成材料齿轮传动结构。</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4.7采用进口PU材料整体压模成型的牙椅靠背和座垫，无缝设计，双扶手采用皮革包裹设计，并可不需要工具自如拆卸，靠背和坐垫具有托腰和下沉式设计。</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 患者椅坐垫承载面离地最高高度≥850mm，离地最低高度≤400mm，椅背后倾范围≤101°，≥185°。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4.9一体式多功能脚控开关，可控制手机转速和手机喷雾、单喷气。</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5.口腔灯</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5.1手术灯采用连体式设计，随椅升降。</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5.2光源采用LED灯，手柄外套可取出进行高温消毒.</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5.3无极调光，照明强度4,000–30,000 LUX，功率≤9W。</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5.4感应无极调节，并具备记忆设置功能，具有黄光防固化模式。</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5.5色温：4000K;5000K。</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6.侧箱及痰盂</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6.1连体式侧箱，整体可随牙科椅一起升降，方便病人起身漱口，具备独立供水系统（水瓶）。</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 使用陶瓷痰盂，且陶瓷部分可完全取下清洗消毒。</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 痰盂的清洁水出水口和溢出水位之间空气间隔的距离≥60mm，防止交叉感染。</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6.4具备一键式管路消毒功能及模块，满足临床日常管路消毒需求。</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7.医生椅及护士椅</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7.1医生椅可多方位可调节，具备椅位升、降；坐垫角度上、下；靠背高度上、下；靠背前、后调节。 </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 配原厂护士椅一套，护士椅带脚环，提高助手舒适性。</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（机装式）牙科治疗设备</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1.地箱</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1.1可以根据诊室实际管路预埋位置选配内置式或外置式地箱，以满足各种管路预埋位置的安装条件，配有独立的供水压力表和供气压力表。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1.2在输入水连接处至少要安装一个孔径≤90μm的微粒过滤器，以防止自来水供应系统的微粒进入到牙科治疗机内的水系统。</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1.3在输入气连接处至少安装一个孔径≤25μm的微粒过滤器。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1.4回吸：处理水或溶液的回吸量≤0.013ml。</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2.医生单元</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2.1医生操作台连接器械臂采用三关节、扁平式结构，器械臂宽度≥75mm；操作台升降通过自带阻尼控制，无需按钮操作，医护人员使用操作更加灵活轻松。</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2.2上拉或者下挂式器械挂架，上拉式器械盘可伸缩转动，在各个工作位置都应稳定，盘面偏斜度≤2°，下挂式器械盘可水平拓展副盘，整体长度≥65cm。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医生操作台具备单独的拨动式水开关，可以控制牙科手机器械用水的打开或关闭；具备水量调节旋钮，可以控制牙科手机器械水量大小；具备单独的拨动式水气总开关，可以控制牙椅的水气打开或关闭；具备动力气压力表，可以显示手机器械在操作时的实时动力气压。</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医生操作台上配备的三用枪、牙科手机出水自动恒温控制。</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2.5医生操作台除三用喷枪外，其余每一把器械的动力气、冷却气（雾化）、喷水量均可分别进行调节。配有调节杆在操作台的下方，调节所用工具配有专用钥匙以避免误操作。</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2.6患者椅具备≥2组可设置记忆椅位组，每组记忆椅位具备≥4个可设置椅位，可供至少两位医生根据自己的使用习惯设置常用记忆位组，</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3.助手单元</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助手架器械挂架≥4个，配备三用喷枪、强力吸引器、吸唾器。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漱口盂采用陶瓷材料易清洁，高度随牙科椅同步升、降，方便患者使用。漱口盂完全覆盖侧箱筒体顶部，无需工具即可拆卸漱口盂，可以由筒体上部进行日常维修，避免偏小诊室设备侧位维修的不便。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吸唾器和强力吸引器手柄使用耐用性材质，手柄可以拆卸，可以在高压灭菌器中进行温度≥134℃的蒸汽消毒。</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助手架上配备的三用枪、漱口水出水自动恒温控制。</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 助手架高度随牙椅同步升降。</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4.患者椅</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▲4.1患者椅采用侧悬挂式结构，侧箱体落地，牙科椅椅位下方悬空，给予医生充足的脚部空间，椅位高度运行垂直升、降。漱口盂和口腔灯高度随牙科椅同步升、降。</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4.2患者椅椅位整体可水平旋转，可向外侧旋转≥40°，以提供更多的治疗位需求。</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4.3牙科椅具备故障自动检测系统，以数字或字母形式显示30种以上不同的错误代码或信息代码来反应牙椅的故障原因或工作状态，可以准确判断故障位置方便维修。</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4.4患者椅配备双扶手，扶手使用与患者椅同色皮革包裹，两个侧扶手均可顺时针水平旋转≥90°；当不使用右扶手时，可将装饰盖盖在扶手座孔上做单扶手椅位使用，以提高患者上下座椅效率。</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4.5患者椅靠背、头枕的背面使用皮革包裹，以提高医生腿部接触面的舒适性。</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4.6患者椅头枕纵向伸缩范围≥200mm，头枕支撑钢板宽度≥75mm，可确保头枕稳定的承重效果，头枕角度可在≥360°范围内做任意调整，可满足儿童位、成人位、轮椅位等不同体位需求。</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4.7牙科椅坐垫承载面离地最高高度≥780mm，离地最低高度≤420mm，椅背后倾范围≤103°，≥190°；靠背长度可调节，靠背调节档位≥5档，伸缩范围≥100mm。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4.8患者椅驱动方式：电机驱动，采用电动齿轮结构，齿轮采用非金属材质制造耐磨损。</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4.9紧急装置：配备≥2个紧急装置，靠背紧急装置：靠背后仰时受到阻力牙科椅会停止一切运动，椅子下行紧急装置：牙科椅在下降时受到阻力会停止一切运动。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5.口腔灯</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 光源采用进口冷光式LED灯，灯头≥3轴运动，灯头主体和手柄采用铝制，手柄可取下进行高温高压灭菌。</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 亮度范围：8000~50000Lux</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 色温范围：4200~6000K</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 LED灯泡数量≥10个，具备黄光防树脂固化模式。</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6.侧箱及痰盂</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 使用陶瓷痰盂，且陶瓷部分可完全取下清洗消毒。</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 痰盂高度随牙椅同步升降，方便患者使用。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 痰盂的清洗水出水口和痰盂的溢岀水位之间的空气间隙的距离≥25mm。</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6.4配备独立储水瓶系统，可以根据使用需要切换水源；具有管路消毒功能，可以对手机管路和三用枪管路以及漱口水等诊疗用水管路做消毒。</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7.医生椅及护士椅</w:t>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793"/>
                <w:rFonts w:hint="eastAsia" w:ascii="宋体" w:hAnsi="宋体" w:eastAsia="宋体" w:cs="宋体"/>
                <w:color w:val="auto"/>
                <w:sz w:val="21"/>
                <w:szCs w:val="21"/>
                <w:highlight w:val="none"/>
                <w:lang w:val="en-US" w:eastAsia="zh-CN" w:bidi="ar"/>
              </w:rPr>
              <w:t xml:space="preserve">7.1</w:t>
            </w:r>
            <w:r>
              <w:rPr>
                <w:rStyle w:val="795"/>
                <w:rFonts w:hint="eastAsia" w:ascii="宋体" w:hAnsi="宋体" w:eastAsia="宋体" w:cs="宋体"/>
                <w:color w:val="auto"/>
                <w:sz w:val="21"/>
                <w:szCs w:val="21"/>
                <w:highlight w:val="none"/>
                <w:lang w:val="en-US" w:eastAsia="zh-CN" w:bidi="ar"/>
              </w:rPr>
              <w:t xml:space="preserve"> </w:t>
            </w:r>
            <w:r>
              <w:rPr>
                <w:rStyle w:val="793"/>
                <w:rFonts w:hint="eastAsia" w:ascii="宋体" w:hAnsi="宋体" w:eastAsia="宋体" w:cs="宋体"/>
                <w:color w:val="auto"/>
                <w:sz w:val="21"/>
                <w:szCs w:val="21"/>
                <w:highlight w:val="none"/>
                <w:lang w:val="en-US" w:eastAsia="zh-CN" w:bidi="ar"/>
              </w:rPr>
              <w:t xml:space="preserve">医生椅可多方位可调节，具备椅位升、降；坐垫角度上、下；靠背高度上、下；靠背前、后调节。 </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 配原厂护士椅一套，护士椅带脚环，提高助手舒适性。</w:t>
            </w:r>
            <w:r/>
          </w:p>
        </w:tc>
      </w:tr>
    </w:tbl>
    <w:p>
      <w:pPr>
        <w:ind w:right="0"/>
        <w:jc w:val="both"/>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pacing w:val="-20"/>
          <w:sz w:val="28"/>
          <w:highlight w:val="none"/>
        </w:rPr>
        <w:t xml:space="preserve">包3：</w:t>
      </w:r>
      <w:r>
        <w:rPr>
          <w:rFonts w:hint="eastAsia" w:ascii="黑体" w:hAnsi="黑体" w:eastAsia="黑体" w:cs="黑体"/>
          <w:b/>
          <w:color w:val="auto"/>
          <w:spacing w:val="-20"/>
          <w:sz w:val="28"/>
          <w:highlight w:val="none"/>
          <w:lang w:val="en-US" w:eastAsia="zh-CN"/>
        </w:rPr>
        <w:t xml:space="preserve">超声骨切割系统</w:t>
      </w:r>
      <w:r>
        <w:rPr>
          <w:rFonts w:hint="eastAsia" w:ascii="黑体" w:hAnsi="黑体" w:eastAsia="黑体" w:cs="黑体"/>
          <w:b/>
          <w:color w:val="auto"/>
          <w:spacing w:val="-20"/>
          <w:sz w:val="28"/>
          <w:highlight w:val="none"/>
          <w:lang w:eastAsia="zh-CN"/>
        </w:rPr>
        <w:t xml:space="preserve">、</w:t>
      </w:r>
      <w:r>
        <w:rPr>
          <w:rFonts w:hint="eastAsia" w:ascii="黑体" w:hAnsi="黑体" w:eastAsia="黑体" w:cs="黑体"/>
          <w:b/>
          <w:color w:val="auto"/>
          <w:spacing w:val="-20"/>
          <w:sz w:val="28"/>
          <w:highlight w:val="none"/>
          <w:lang w:val="en-US" w:eastAsia="zh-CN"/>
        </w:rPr>
        <w:t xml:space="preserve">口腔颌面锥形束计算机体层摄影设备</w:t>
      </w:r>
      <w:r>
        <w:rPr>
          <w:rFonts w:hint="eastAsia" w:ascii="黑体" w:hAnsi="黑体" w:eastAsia="黑体" w:cs="黑体"/>
          <w:b/>
          <w:color w:val="auto"/>
          <w:spacing w:val="-20"/>
          <w:sz w:val="28"/>
          <w:highlight w:val="none"/>
          <w:lang w:eastAsia="zh-CN"/>
        </w:rPr>
        <w:t xml:space="preserve">等</w:t>
      </w:r>
      <w:r>
        <w:rPr>
          <w:rFonts w:ascii="黑体" w:hAnsi="黑体" w:eastAsia="黑体" w:cs="黑体"/>
          <w:b/>
          <w:color w:val="auto"/>
          <w:spacing w:val="-20"/>
          <w:sz w:val="28"/>
          <w:highlight w:val="none"/>
        </w:rPr>
        <w:t xml:space="preserve">技术参数及要求</w:t>
      </w:r>
      <w:r/>
    </w:p>
    <w:tbl>
      <w:tblPr>
        <w:tblStyle w:val="611"/>
        <w:tblW w:w="106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0"/>
        <w:gridCol w:w="1259"/>
        <w:gridCol w:w="674"/>
        <w:gridCol w:w="8158"/>
      </w:tblGrid>
      <w:tr>
        <w:trPr>
          <w:jc w:val="center"/>
          <w:trHeight w:val="23"/>
        </w:trPr>
        <w:tc>
          <w:tcPr>
            <w:shd w:val="clear" w:color="auto" w:fill="auto"/>
            <w:tcW w:w="5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产品序号</w:t>
            </w:r>
            <w:r/>
          </w:p>
        </w:tc>
        <w:tc>
          <w:tcPr>
            <w:shd w:val="clear" w:color="auto" w:fill="auto"/>
            <w:tcW w:w="125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货物名称</w:t>
            </w:r>
            <w:r/>
          </w:p>
        </w:tc>
        <w:tc>
          <w:tcPr>
            <w:shd w:val="clear" w:color="auto" w:fill="auto"/>
            <w:tcW w:w="6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品目</w:t>
            </w:r>
            <w:r/>
          </w:p>
        </w:tc>
        <w:tc>
          <w:tcPr>
            <w:shd w:val="clear" w:color="auto" w:fill="auto"/>
            <w:tcW w:w="81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r>
      <w:tr>
        <w:trPr>
          <w:jc w:val="center"/>
          <w:trHeight w:val="23"/>
        </w:trPr>
        <w:tc>
          <w:tcPr>
            <w:shd w:val="clear" w:color="auto" w:fill="auto"/>
            <w:tcW w:w="5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W w:w="19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口腔高频电刀</w:t>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1.采用单/双向技术控制活性电极高频发生器</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19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2.▲配备腕带电极，佩戴方便，可装卸电极手柄，便于消毒，并可高温消毒</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19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3.手柄线可装卸并可高温消毒</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19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4.≥10种可装卸并可高温消毒电极</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19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5.电极包含切割、切除、凝血切割、电灼烧电凝</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19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6.▲设备具备独立控制切割和凝血工作的发生器</w:t>
            </w:r>
            <w:r/>
          </w:p>
        </w:tc>
      </w:tr>
      <w:tr>
        <w:trPr>
          <w:jc w:val="center"/>
          <w:trHeight w:val="23"/>
        </w:trPr>
        <w:tc>
          <w:tcPr>
            <w:shd w:val="clear" w:color="auto" w:fill="auto"/>
            <w:tcW w:w="5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W w:w="19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根尖定位仪</w:t>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1.屏幕类型;彩色图像TFT</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19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2.演示模式：可利用内置的演示模式熟悉设备和演示设备操作</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19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3.具备根尖长度测量功能，可显示根管不同区段位置，根尖区域可放大显示</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19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4.设备自带显示屏，支持根管长度测量</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19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5.具备自动休眠关机功能</w:t>
            </w:r>
            <w:r/>
          </w:p>
        </w:tc>
      </w:tr>
      <w:tr>
        <w:trPr>
          <w:jc w:val="center"/>
          <w:trHeight w:val="23"/>
        </w:trPr>
        <w:tc>
          <w:tcPr>
            <w:shd w:val="clear" w:color="auto" w:fill="auto"/>
            <w:tcW w:w="5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25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超声骨切割系统</w:t>
            </w:r>
            <w:r/>
          </w:p>
        </w:tc>
        <w:tc>
          <w:tcPr>
            <w:shd w:val="clear" w:color="auto" w:fill="auto"/>
            <w:tcW w:w="6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主机部分</w:t>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1.▲功率设置：设备具备双向动力技术，自动巡航控制系统，根据工作尖遇到的阻力反馈而自确定补偿功率，使操作更简单、有效、精确</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2.功率调节：根据四类骨类调节功率</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3.输出功率：≥60VA</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4.额定功率：≥120VA</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5.超声频率:28KHz-36KHz</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其他参数</w:t>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6.▲手柄长时间使用不易发热，功率输出强且稳定，手柄带LED光环，术区视野清晰</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7.▲手柄振幅：要求20-200微米，在高效切割骨组织的同时不损伤牙周软组织</w:t>
            </w:r>
            <w:r/>
          </w:p>
        </w:tc>
      </w:tr>
      <w:tr>
        <w:trPr>
          <w:jc w:val="center"/>
          <w:trHeight w:val="23"/>
        </w:trPr>
        <w:tc>
          <w:tcPr>
            <w:shd w:val="clear" w:color="auto" w:fill="auto"/>
            <w:tcW w:w="5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25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牙科X射线机+口腔数字化X射线成像系统（牙片机）</w:t>
            </w:r>
            <w:r/>
          </w:p>
        </w:tc>
        <w:tc>
          <w:tcPr>
            <w:shd w:val="clear" w:color="auto" w:fill="auto"/>
            <w:tcW w:w="6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基本用途</w:t>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应能用于牙齿、牙周、腔洞的检查与诊断；适用于成人、儿童，也用于咬合片的成像，对牙弓的诊断分析</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牙科X射线机</w:t>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1.X线高压发生器：高频恒定电压X光发生器频率≥66kHz</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2.曝光电压：60/63/66/70KV，4档可调，适用于临床任何需求：牙髓学、顶点、骨结构诊断，腔洞检查，牙周病诊断</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3.曝光电流：2~8mA，≥7档可调，在满足临床诊断需要的情况下，减少不必要的辐射</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4.曝光时间：0.01～2S，≥24档可调</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5.球管焦点：尺寸大小≤0.7mm×0.7mm，保证清晰图像</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6.专用的液晶显示屏可显示选择球管电压值和电流值、曝光时间值，可显示故障代码，方便检测和维修</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口腔数字化X射线成像系统</w:t>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传感器外形：外形尺寸≤39.7x25.1mm；</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2.有效尺寸≥30.6x20.7mm</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3.像素量：≥2040x1380px</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4.分辨率≥33线对/毫米（lp/mm）</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5.像素尺寸≤15um，保证影像清晰</w:t>
            </w:r>
            <w:r/>
          </w:p>
        </w:tc>
      </w:tr>
      <w:tr>
        <w:trPr>
          <w:jc w:val="center"/>
          <w:trHeight w:val="23"/>
        </w:trPr>
        <w:tc>
          <w:tcPr>
            <w:shd w:val="clear" w:color="auto" w:fill="auto"/>
            <w:tcW w:w="5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25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口腔颌面锥形束计算机体层摄影设备</w:t>
            </w:r>
            <w:r/>
          </w:p>
        </w:tc>
        <w:tc>
          <w:tcPr>
            <w:shd w:val="clear" w:color="auto" w:fill="auto"/>
            <w:tcW w:w="6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基本情况</w:t>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用于口腔科X射线的全方位摄影诊断，3D成像视野多级可调，用户能随意拍摄任意局部位置或颌面区域的3D影像，满足口内、口外、修复、种植、正畸、牙周等专业对3D影像的诊断需要；设备为三合一配置，可直接进行2D全景片及2D头颅片的拍摄（非3D重建）</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主要技术规格及功能</w:t>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1.采用旋转球管设计，拍摄头颅片时不需要拆卸平板探测器</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2.X射线发生器频率≤160kHz</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3.球管焦点≤0.5mm，固定阳极</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4.管电流调节范围：1-16mA，可根据病人不同进行调节</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5.管电压调节范围：60-90kV，可根据病人不同进行调节，恒压设计</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6.▲3D成像采用高端非晶硅平板探测器，无变形失真，密度对比度好，最小体素≤75um</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7.3D成像时采用脉冲式曝光，减少患者辐射，消除动态伪影</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8.3D扫描角度：支持200度旋转拍摄及360度旋转拍摄</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9.最短3D扫描时间≤12S</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10.3D牙科拍摄程序丰富，成像范围可以快速调整，有单牙成像程序、牙列成像程序、颞颌关节成像程序、颌部成像程序、面部成像程序</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11.拍摄3D视野（FOV）≥Ø40x50mm时，最小体素≤75um</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12.★单次拍摄最大3D成像视野FOV≥Ø200x170mm（直径x高度），此视野的最高精度≤200um体素</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13.具备金属伪影消减伪影，移除由金属修复体和根管充填物导致的阴影和反光条纹</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14.具备降噪算法，可提高影像质量</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15.具有超低剂量模式，可在任意分辨率的3D拍摄时开启</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16.配套原厂高速重建服务器，操作系统，终生无病毒困扰，3D重建时间≤30秒</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17.2D成像采用高频恒压直流方式扫描，图像具备高对比度，亮度均匀，成像质量好</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18.使用非晶硅平板探测器一次拍摄可得≥10层全景片（非3D重建全景），或用CCD探测器直接进行2D全景片的拍摄</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19.2D头颅拍摄采用高精度线性CCD或CMOS探测器，像素≤48um，灰度≥16bit，免更换设计。特殊情况下，也可以用于2D全景片的直接拍摄</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20.头颅拍摄程序支持正位片、侧位片和斜位片，并可设定多种拍摄范围大小，可拍摄范围≥30x27cm（宽x高），最高精度≤48um，提供说明材料</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21.机身自带全中文彩色触摸控制屏，可视面积≥10英寸，图形化显示，有定位操作指引界面，提供说明材料</w:t>
            </w:r>
            <w:r/>
          </w:p>
        </w:tc>
      </w:tr>
      <w:tr>
        <w:trPr>
          <w:jc w:val="center"/>
          <w:trHeight w:val="23"/>
        </w:trPr>
        <w:tc>
          <w:tcPr>
            <w:shd w:val="clear" w:color="auto" w:fill="auto"/>
            <w:tcW w:w="55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59"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7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15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22.同一个原厂软件里有 </w:t>
            </w:r>
            <w:r>
              <w:rPr>
                <w:rStyle w:val="797"/>
                <w:color w:val="auto"/>
                <w:sz w:val="21"/>
                <w:szCs w:val="21"/>
                <w:highlight w:val="none"/>
                <w:lang w:val="en-US" w:eastAsia="zh-CN" w:bidi="ar"/>
              </w:rPr>
              <w:t xml:space="preserve">2D </w:t>
            </w:r>
            <w:r>
              <w:rPr>
                <w:rFonts w:hint="eastAsia" w:ascii="宋体" w:hAnsi="宋体" w:eastAsia="宋体" w:cs="宋体"/>
                <w:i w:val="0"/>
                <w:iCs w:val="0"/>
                <w:color w:val="auto"/>
                <w:sz w:val="21"/>
                <w:szCs w:val="21"/>
                <w:highlight w:val="none"/>
                <w:u w:val="none"/>
                <w:lang w:val="en-US" w:eastAsia="zh-CN" w:bidi="ar"/>
              </w:rPr>
              <w:t xml:space="preserve">影像模块、</w:t>
            </w:r>
            <w:r>
              <w:rPr>
                <w:rStyle w:val="797"/>
                <w:color w:val="auto"/>
                <w:sz w:val="21"/>
                <w:szCs w:val="21"/>
                <w:highlight w:val="none"/>
                <w:lang w:val="en-US" w:eastAsia="zh-CN" w:bidi="ar"/>
              </w:rPr>
              <w:t xml:space="preserve">3D</w:t>
            </w:r>
            <w:r>
              <w:rPr>
                <w:rFonts w:hint="eastAsia" w:ascii="宋体" w:hAnsi="宋体" w:eastAsia="宋体" w:cs="宋体"/>
                <w:i w:val="0"/>
                <w:iCs w:val="0"/>
                <w:color w:val="auto"/>
                <w:sz w:val="21"/>
                <w:szCs w:val="21"/>
                <w:highlight w:val="none"/>
                <w:u w:val="none"/>
                <w:lang w:val="en-US" w:eastAsia="zh-CN" w:bidi="ar"/>
              </w:rPr>
              <w:t xml:space="preserve"> 影像浏览模块、</w:t>
            </w:r>
            <w:r>
              <w:rPr>
                <w:rStyle w:val="797"/>
                <w:color w:val="auto"/>
                <w:sz w:val="21"/>
                <w:szCs w:val="21"/>
                <w:highlight w:val="none"/>
                <w:lang w:val="en-US" w:eastAsia="zh-CN" w:bidi="ar"/>
              </w:rPr>
              <w:t xml:space="preserve">3D </w:t>
            </w:r>
            <w:r>
              <w:rPr>
                <w:rFonts w:hint="eastAsia" w:ascii="宋体" w:hAnsi="宋体" w:eastAsia="宋体" w:cs="宋体"/>
                <w:i w:val="0"/>
                <w:iCs w:val="0"/>
                <w:color w:val="auto"/>
                <w:sz w:val="21"/>
                <w:szCs w:val="21"/>
                <w:highlight w:val="none"/>
                <w:u w:val="none"/>
                <w:lang w:val="en-US" w:eastAsia="zh-CN" w:bidi="ar"/>
              </w:rPr>
              <w:t xml:space="preserve">重建全景模块、</w:t>
            </w:r>
            <w:r>
              <w:rPr>
                <w:rStyle w:val="797"/>
                <w:color w:val="auto"/>
                <w:sz w:val="21"/>
                <w:szCs w:val="21"/>
                <w:highlight w:val="none"/>
                <w:lang w:val="en-US" w:eastAsia="zh-CN" w:bidi="ar"/>
              </w:rPr>
              <w:t xml:space="preserve">3D </w:t>
            </w:r>
            <w:r>
              <w:rPr>
                <w:rFonts w:hint="eastAsia" w:ascii="宋体" w:hAnsi="宋体" w:eastAsia="宋体" w:cs="宋体"/>
                <w:i w:val="0"/>
                <w:iCs w:val="0"/>
                <w:color w:val="auto"/>
                <w:sz w:val="21"/>
                <w:szCs w:val="21"/>
                <w:highlight w:val="none"/>
                <w:u w:val="none"/>
                <w:lang w:val="en-US" w:eastAsia="zh-CN" w:bidi="ar"/>
              </w:rPr>
              <w:t xml:space="preserve">种植计划模块、</w:t>
            </w:r>
            <w:r>
              <w:rPr>
                <w:rStyle w:val="797"/>
                <w:color w:val="auto"/>
                <w:sz w:val="21"/>
                <w:szCs w:val="21"/>
                <w:highlight w:val="none"/>
                <w:lang w:val="en-US" w:eastAsia="zh-CN" w:bidi="ar"/>
              </w:rPr>
              <w:t xml:space="preserve">2D </w:t>
            </w:r>
            <w:r>
              <w:rPr>
                <w:rFonts w:hint="eastAsia" w:ascii="宋体" w:hAnsi="宋体" w:eastAsia="宋体" w:cs="宋体"/>
                <w:i w:val="0"/>
                <w:iCs w:val="0"/>
                <w:color w:val="auto"/>
                <w:sz w:val="21"/>
                <w:szCs w:val="21"/>
                <w:highlight w:val="none"/>
                <w:u w:val="none"/>
                <w:lang w:val="en-US" w:eastAsia="zh-CN" w:bidi="ar"/>
              </w:rPr>
              <w:t xml:space="preserve">自动正畸分析模块，并可升级种植导板模块、微笑设计模块、修复设计模块、</w:t>
            </w:r>
            <w:r>
              <w:rPr>
                <w:rStyle w:val="797"/>
                <w:color w:val="auto"/>
                <w:sz w:val="21"/>
                <w:szCs w:val="21"/>
                <w:highlight w:val="none"/>
                <w:lang w:val="en-US" w:eastAsia="zh-CN" w:bidi="ar"/>
              </w:rPr>
              <w:t xml:space="preserve">3D </w:t>
            </w:r>
            <w:r>
              <w:rPr>
                <w:rFonts w:hint="eastAsia" w:ascii="宋体" w:hAnsi="宋体" w:eastAsia="宋体" w:cs="宋体"/>
                <w:i w:val="0"/>
                <w:iCs w:val="0"/>
                <w:color w:val="auto"/>
                <w:sz w:val="21"/>
                <w:szCs w:val="21"/>
                <w:highlight w:val="none"/>
                <w:u w:val="none"/>
                <w:lang w:val="en-US" w:eastAsia="zh-CN" w:bidi="ar"/>
              </w:rPr>
              <w:t xml:space="preserve">正畸模块、诊室管理模块，提供说明材料。不需要调用第三方软件，</w:t>
            </w:r>
            <w:r>
              <w:rPr>
                <w:rStyle w:val="797"/>
                <w:color w:val="auto"/>
                <w:sz w:val="21"/>
                <w:szCs w:val="21"/>
                <w:highlight w:val="none"/>
                <w:lang w:val="en-US" w:eastAsia="zh-CN" w:bidi="ar"/>
              </w:rPr>
              <w:t xml:space="preserve">避免数据误差</w:t>
            </w:r>
            <w:r/>
          </w:p>
        </w:tc>
      </w:tr>
    </w:tbl>
    <w:p>
      <w:pPr>
        <w:ind w:left="0" w:right="0" w:firstLine="0"/>
        <w:jc w:val="both"/>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 </w:t>
      </w:r>
      <w:r>
        <w:rPr>
          <w:rFonts w:ascii="宋体" w:hAnsi="宋体" w:eastAsia="宋体" w:cs="宋体"/>
          <w:b/>
          <w:color w:val="auto"/>
          <w:sz w:val="21"/>
          <w:highlight w:val="none"/>
        </w:rPr>
        <w:t xml:space="preserve">★</w:t>
      </w:r>
      <w:r>
        <w:rPr>
          <w:rFonts w:ascii="黑体" w:hAnsi="黑体" w:eastAsia="黑体" w:cs="黑体"/>
          <w:b/>
          <w:color w:val="auto"/>
          <w:sz w:val="28"/>
          <w:highlight w:val="none"/>
        </w:rPr>
        <w:t xml:space="preserve">三、商务要求</w:t>
      </w:r>
      <w:r/>
    </w:p>
    <w:p>
      <w:pPr>
        <w:numPr>
          <w:ilvl w:val="0"/>
          <w:numId w:val="1"/>
        </w:numPr>
        <w:ind w:firstLine="0"/>
        <w:keepLines w:val="0"/>
        <w:keepNext w:val="0"/>
        <w:pageBreakBefore w:val="0"/>
        <w:spacing w:before="0" w:after="0" w:line="360" w:lineRule="auto"/>
        <w:widowControl/>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付款方式：以第五章合同文本内容为准。</w:t>
      </w:r>
      <w:r/>
    </w:p>
    <w:p>
      <w:pPr>
        <w:numPr>
          <w:ilvl w:val="0"/>
          <w:numId w:val="1"/>
        </w:numPr>
        <w:ind w:firstLine="0"/>
        <w:keepLines w:val="0"/>
        <w:keepNext w:val="0"/>
        <w:pageBreakBefore w:val="0"/>
        <w:spacing w:before="0" w:after="0" w:line="360" w:lineRule="auto"/>
        <w:widowControl/>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交货期：自合同签订后15日内设备供货并完成安装调试交付使用。</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3.质保期：设备验收合格后原厂质保不少于5年，质保期外提供终身维修服务，软件终身免费升级。</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4.维修保证：</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（2）保修期内，中标人负责对其提供的货物进行维修，不再收取任何费用，所有维修配件均为原厂全新合格产品，但不可抗力（如火灾、雷击等）造成的故障除外。</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（3）所有货物保修服务方式均为中标人上门保修，即由中标人派员到货物使用现场维修，由此产生的一切费用均由中标人承担。</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（6）保修期内提供不限次数现场维修，免费更换所含备件/配件。</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（7）免费提供设备的系统软件及硬件的安全性改版升级和技术支持。</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5.货物和系统调试验收的标准：按行业通行标准、厂方出厂标准和中标人投标文件的承诺，供应商提供的商品必须符合我国最新颁布的与之相关的技术规范与标准。</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6.货物到达需方地址至验收合格期间，由供应商负责保管，若因保管不当造成的质量问题，供应商应负责修理，同时费用由供应商承担。</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四、其他</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1.落实商品包装、快递包装政府采购需求标准。具体详见投标人须知第29条，在履约验收时按照本条款执行，违反本约定的对照合同违约条款追究违约责任。供应商一旦参与本项目投标，即完全响应本条款要求。</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2.项目实施方案</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根据该项目提供符合采购人情况的设备交付方案和安装调试方案，应具有明确的交货时间、设备交付安装安排、时间进度安排。</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3.售后服务方案</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根据该项目提供符合采购人情况的售后服务承诺及应急方案，应体现售后响应时间、应急售后措施、对可能存在的情况有具体应对方案和具体时间节点安排，售后及应急人员安排。</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4.培训及技术支持方案</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根据该项目提供符合采购人情况的培训服务方案及技术支持方案，应具有对采购人工作人员的操作培训和售后培训以及采购人所需的技术和学术支持。</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5.应急方案</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根据该项目提供符合采购人情况的应急方案及措施、应急人员安排、应急预案，应明确应急响应时间和应急人员（单位）的联系方式。</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6.投标设备产品综合性能评价</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根据该项目采购需求选择最适合本项目的设备进行响应，提供材质证明材料、工艺证明材料等，以及产品技术指标的描述、检测文件及证明照片等内容，体现产品的安全性、稳定性、易用性、配置及功能。</w:t>
      </w:r>
      <w:r/>
    </w:p>
    <w:p>
      <w:pPr>
        <w:ind w:left="0" w:right="0" w:firstLine="422"/>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★7.所投产品需取得该产品的允许销售证明。(投标时提供承诺函，中标后提供允许销售证明原件)。</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0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第五章 合同主要条款及格式</w:t>
      </w:r>
      <w:r/>
    </w:p>
    <w:p>
      <w:pPr>
        <w:ind w:left="0" w:right="0" w:firstLine="0"/>
        <w:jc w:val="both"/>
        <w:spacing w:before="0" w:after="0"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（以下为成交后签订本项目合同的通用条款，成交供应商不得提出实质性修改，关于专用条款将由采购人与成交供应商结合本项目具体情况协商后签订）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center"/>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政府采购合同（货物）</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合同编号：</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项目名称：项目编号：</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甲方（买方）：</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乙方（卖方）：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rPr>
          <w:rFonts w:ascii="宋体" w:hAnsi="宋体" w:eastAsia="宋体" w:cs="宋体"/>
          <w:color w:val="auto"/>
          <w:sz w:val="21"/>
          <w:highlight w:val="none"/>
        </w:rPr>
        <w:t xml:space="preserve">甲、乙双方根据江苏省设备成套股份有限公司组织的____________________项目公开招标结果，签署本合同。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一、合同内容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 标的名称：</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 标的质量：按招标文件及投标文件执行。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 标的数量（规模）：按招标文件及投标文件执行。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 履行时间（期限）：按招标文件及投标文件执行。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 履行地点：采购人指定地点。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 履行方式：按招标文件及投标文件执行。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 包装方式：按招标文件及投标文件执行。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二、合同金额</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 本合同金额为（大写）：____________________元（_________________元）人民币。</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三、技术资料</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 乙方应按招标文件规定的时间向甲方提供货物(包含与货物相关的服务)的有关技术资料。</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四、知识产权</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五、产权担保</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5.1 乙方保证所交付的货物（包含与货物相关的服务）的所有权完全属于乙方且无任何抵押、查封等产权瑕疵。</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六、履约保证金</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 签订合同时，乙方无需缴纳履约保证金。</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七、合同转包或分包</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7.1 乙方不得将合同标的转包给他人履行。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7.2 除招标文件接受分包并经甲方同意，乙方可按分包意向协议分包情况外，乙方不得将合同标的分包给他人履行。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7.3 乙方如有转包或未经甲方同意的分包行为，甲方有权终止合同。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八、合同款项支付</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 合同款项的支付方式及时间</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8.1.1 合同签订后，甲方支付合同总价款的30%作为预付款。</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8.1.2 货到验收合格设备正常运行，由最终用户单位签章的验收报告回执作为付款的依据，甲方收到供应商开具的合法有效发票后支付合同总价款的20%。</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8.1.3 验收合格设备正常运行满一年，甲方收到供应商开具的合法有效发票后一次性付清余款。</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8.1.4 满足合同约定支付条件的，甲方收到乙方发票后60个工作日内，将资金支付到合同约定的乙方账户。 </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8.2 根据《保障中小企业款项支付条例》规定，甲方未按合同约定支付款项的，乙方可以向有关部门投诉。</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8.3 当采购数量与实际使用数量不一致时，乙方应根据实际使用量供货，合同的最终结算金额按实际使用量乘以成交单价进行计算。</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九、税费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9.1 本合同执行中的相关税费均由乙方负担。</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十、质量保修范围和保修期及售后服务</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10.1 乙方应按招标文件规定的货物性能、技术要求、质量标准向甲方提供未经使用的全新产品。</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10.2 乙方提供的货物在质保期内因货物本身的质量问题发生故障，乙方应负责免费更换。对达不到技术要求者，根据实际情况，经双方协商可按以下方式处理：</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10.2.1 更换：由乙方承担所发生的全部费用。</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10.2.2 贬值处理：由甲乙双方合议定价。</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10.2.3 退货处理：乙方应退还甲方支付的合同款，同时应承担该货物的直接费用（运输、保险、检验、货款利息及银行手续费等）。</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10.3 如在使用过程中发生质量问题，乙方应在接到甲方通知后</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小时内到达甲方现场。</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10.4 质保期内，乙方应对货物出现的质量及安全问题负责处理解决并承担一切费用。</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10.5 质保期为自交货验收合格之日起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年，因人为因素出现的故障不在质保范围内。超过质保期的乙方负责终身维修，维修时只收取部件成本费。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十一、项目验收</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 甲方依法组织履约验收工作。</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 对于实际使用人南京鼓楼医院和甲方分离的项目，甲方邀请实际使用人南京鼓楼医院共同参与验收。</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 如有必要，甲方可邀请参加本项目投标的其他供应商或第三方专业机构及专家参与验收，相关意见将作为验收结论的参考。</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11.5 甲方牵头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spacing w:before="139" w:after="16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十二、</w:t>
      </w:r>
      <w:r>
        <w:rPr>
          <w:rFonts w:ascii="宋体" w:hAnsi="宋体" w:eastAsia="宋体" w:cs="宋体"/>
          <w:color w:val="auto"/>
          <w:spacing w:val="-2"/>
          <w:sz w:val="21"/>
          <w:highlight w:val="none"/>
        </w:rPr>
        <w:t xml:space="preserve">维保条款</w:t>
      </w:r>
      <w:r/>
    </w:p>
    <w:p>
      <w:pPr>
        <w:ind w:left="0" w:right="0" w:firstLine="0"/>
        <w:spacing w:before="236"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21"/>
          <w:highlight w:val="none"/>
        </w:rPr>
        <w:t xml:space="preserve">12.1 乙方按投标文件所响应的保修期限提供质保，并需向甲方提供设备厂家确认的质保承诺或授权书。保修期自设备验收合格之日起计算，保修范围包括合同中所有</w:t>
      </w:r>
      <w:r>
        <w:rPr>
          <w:rFonts w:ascii="宋体" w:hAnsi="宋体" w:eastAsia="宋体" w:cs="宋体"/>
          <w:color w:val="auto"/>
          <w:spacing w:val="10"/>
          <w:sz w:val="21"/>
          <w:highlight w:val="none"/>
        </w:rPr>
        <w:t xml:space="preserve">配置（单独列明保修期限的配置或附件除外</w:t>
      </w:r>
      <w:r>
        <w:rPr>
          <w:rFonts w:ascii="宋体" w:hAnsi="宋体" w:eastAsia="宋体" w:cs="宋体"/>
          <w:color w:val="auto"/>
          <w:spacing w:val="9"/>
          <w:sz w:val="21"/>
          <w:highlight w:val="none"/>
        </w:rPr>
        <w:t xml:space="preserve">）</w:t>
      </w:r>
      <w:r>
        <w:rPr>
          <w:rFonts w:ascii="宋体" w:hAnsi="宋体" w:eastAsia="宋体" w:cs="宋体"/>
          <w:color w:val="auto"/>
          <w:spacing w:val="7"/>
          <w:sz w:val="21"/>
          <w:highlight w:val="none"/>
        </w:rPr>
        <w:t xml:space="preserve">。乙方确保设备保修期内开机率≥95%，如设备故障停机率超过5%（一年按365天计</w:t>
      </w:r>
      <w:r>
        <w:rPr>
          <w:rFonts w:ascii="宋体" w:hAnsi="宋体" w:eastAsia="宋体" w:cs="宋体"/>
          <w:color w:val="auto"/>
          <w:spacing w:val="9"/>
          <w:sz w:val="21"/>
          <w:highlight w:val="none"/>
        </w:rPr>
        <w:t xml:space="preserve">算，每年18天），每超过一天，保修期延长两周。保修期外乙方对本设备终身负责维修。</w:t>
      </w:r>
      <w:r/>
    </w:p>
    <w:p>
      <w:pPr>
        <w:ind w:left="0" w:right="0" w:firstLine="0"/>
        <w:spacing w:before="236"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12.2 如设备发生故障，乙方在接到甲方或实际使用人南京鼓楼医院报修电话后1小时之内响应，3小时内到达设备现场（若无维修</w:t>
      </w:r>
      <w:r>
        <w:rPr>
          <w:rFonts w:ascii="宋体" w:hAnsi="宋体" w:eastAsia="宋体" w:cs="宋体"/>
          <w:color w:val="auto"/>
          <w:spacing w:val="-1"/>
          <w:sz w:val="21"/>
          <w:highlight w:val="none"/>
        </w:rPr>
        <w:t xml:space="preserve">站点，24小时内到达现场</w:t>
      </w:r>
      <w:r>
        <w:rPr>
          <w:rFonts w:ascii="宋体" w:hAnsi="宋体" w:eastAsia="宋体" w:cs="宋体"/>
          <w:color w:val="auto"/>
          <w:spacing w:val="5"/>
          <w:sz w:val="21"/>
          <w:highlight w:val="none"/>
        </w:rPr>
        <w:t xml:space="preserve">），</w:t>
      </w:r>
      <w:r>
        <w:rPr>
          <w:rFonts w:ascii="宋体" w:hAnsi="宋体" w:eastAsia="宋体" w:cs="宋体"/>
          <w:color w:val="auto"/>
          <w:spacing w:val="-1"/>
          <w:sz w:val="21"/>
          <w:highlight w:val="none"/>
        </w:rPr>
        <w:t xml:space="preserve">48小时内修复或免费提供备用机，否则甲方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可自行采取必要的措施，由此产生的风险和费用由乙方承担。如有特殊情况，乙方应立即电话通知甲方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不能响应的原因，在</w:t>
      </w:r>
      <w:r>
        <w:rPr>
          <w:rFonts w:ascii="宋体" w:hAnsi="宋体" w:eastAsia="宋体" w:cs="宋体"/>
          <w:color w:val="auto"/>
          <w:spacing w:val="-3"/>
          <w:sz w:val="21"/>
          <w:highlight w:val="none"/>
        </w:rPr>
        <w:t xml:space="preserve">获得甲方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3"/>
          <w:sz w:val="21"/>
          <w:highlight w:val="none"/>
        </w:rPr>
        <w:t xml:space="preserve">同意后，才可推迟响应时间。</w:t>
      </w:r>
      <w:r/>
    </w:p>
    <w:p>
      <w:pPr>
        <w:ind w:left="0" w:right="0" w:firstLine="0"/>
        <w:spacing w:before="13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12.3 保修期内，乙方每年按投标文件响应的维保次数对设备进行定期维保，每次维护需经甲方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2"/>
          <w:sz w:val="21"/>
          <w:highlight w:val="none"/>
        </w:rPr>
        <w:t xml:space="preserve">工程师签字确认，留档备查。</w:t>
      </w:r>
      <w:r/>
    </w:p>
    <w:p>
      <w:pPr>
        <w:ind w:left="0" w:right="0" w:firstLine="0"/>
        <w:spacing w:before="7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12.4 无论在保修期内还是保修期外，乙方必须上门维</w:t>
      </w:r>
      <w:r>
        <w:rPr>
          <w:rFonts w:ascii="宋体" w:hAnsi="宋体" w:eastAsia="宋体" w:cs="宋体"/>
          <w:color w:val="auto"/>
          <w:sz w:val="21"/>
          <w:highlight w:val="none"/>
        </w:rPr>
        <w:t xml:space="preserve">修。</w:t>
      </w:r>
      <w:r>
        <w:rPr>
          <w:rFonts w:ascii="宋体" w:hAnsi="宋体" w:eastAsia="宋体" w:cs="宋体"/>
          <w:color w:val="auto"/>
          <w:spacing w:val="-2"/>
          <w:sz w:val="21"/>
          <w:highlight w:val="none"/>
        </w:rPr>
        <w:t xml:space="preserve">出保后的维修，只收取配件成本费，免收上门费、人工费和其他工时杂费。</w:t>
      </w:r>
      <w:r>
        <w:rPr>
          <w:rFonts w:ascii="宋体" w:hAnsi="宋体" w:eastAsia="宋体" w:cs="宋体"/>
          <w:color w:val="auto"/>
          <w:sz w:val="21"/>
          <w:highlight w:val="none"/>
        </w:rPr>
        <w:t xml:space="preserve">乙方工程师到达设备维修现场，必须事先</w:t>
      </w:r>
      <w:r>
        <w:rPr>
          <w:rFonts w:ascii="宋体" w:hAnsi="宋体" w:eastAsia="宋体" w:cs="宋体"/>
          <w:color w:val="auto"/>
          <w:spacing w:val="-1"/>
          <w:sz w:val="21"/>
          <w:highlight w:val="none"/>
        </w:rPr>
        <w:t xml:space="preserve">与甲方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医用物资保障处取</w:t>
      </w:r>
      <w:r>
        <w:rPr>
          <w:rFonts w:ascii="宋体" w:hAnsi="宋体" w:eastAsia="宋体" w:cs="宋体"/>
          <w:color w:val="auto"/>
          <w:sz w:val="21"/>
          <w:highlight w:val="none"/>
        </w:rPr>
        <w:t xml:space="preserve">得联系，</w:t>
      </w:r>
      <w:r>
        <w:rPr>
          <w:rFonts w:ascii="宋体" w:hAnsi="宋体" w:eastAsia="宋体" w:cs="宋体"/>
          <w:color w:val="auto"/>
          <w:spacing w:val="-2"/>
          <w:sz w:val="21"/>
          <w:highlight w:val="none"/>
        </w:rPr>
        <w:t xml:space="preserve">并需在甲方或实际使用人南京鼓楼医院工程师在场的情况下</w:t>
      </w:r>
      <w:r>
        <w:rPr>
          <w:rFonts w:ascii="宋体" w:hAnsi="宋体" w:eastAsia="宋体" w:cs="宋体"/>
          <w:color w:val="auto"/>
          <w:sz w:val="21"/>
          <w:highlight w:val="none"/>
        </w:rPr>
        <w:t xml:space="preserve">完成维修工作，</w:t>
      </w:r>
      <w:r>
        <w:rPr>
          <w:rFonts w:ascii="宋体" w:hAnsi="宋体" w:eastAsia="宋体" w:cs="宋体"/>
          <w:color w:val="auto"/>
          <w:spacing w:val="-2"/>
          <w:sz w:val="21"/>
          <w:highlight w:val="none"/>
        </w:rPr>
        <w:t xml:space="preserve">并做好相应记录，</w:t>
      </w:r>
      <w:r>
        <w:rPr>
          <w:rFonts w:ascii="宋体" w:hAnsi="宋体" w:eastAsia="宋体" w:cs="宋体"/>
          <w:color w:val="auto"/>
          <w:spacing w:val="-1"/>
          <w:sz w:val="21"/>
          <w:highlight w:val="none"/>
        </w:rPr>
        <w:t xml:space="preserve">否则引起的一切责任由乙</w:t>
      </w:r>
      <w:r>
        <w:rPr>
          <w:rFonts w:ascii="宋体" w:hAnsi="宋体" w:eastAsia="宋体" w:cs="宋体"/>
          <w:color w:val="auto"/>
          <w:spacing w:val="-8"/>
          <w:sz w:val="21"/>
          <w:highlight w:val="none"/>
        </w:rPr>
        <w:t xml:space="preserve">方负责。</w:t>
      </w:r>
      <w:r/>
    </w:p>
    <w:p>
      <w:pPr>
        <w:ind w:left="0" w:right="0" w:firstLine="0"/>
        <w:spacing w:before="9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12.5 如设备软件升级，乙方负责免费提供设备厂家相应的软件升级，保证软件为最新、最</w:t>
      </w:r>
      <w:r>
        <w:rPr>
          <w:rFonts w:ascii="宋体" w:hAnsi="宋体" w:eastAsia="宋体" w:cs="宋体"/>
          <w:color w:val="auto"/>
          <w:spacing w:val="-2"/>
          <w:sz w:val="21"/>
          <w:highlight w:val="none"/>
        </w:rPr>
        <w:t xml:space="preserve">高版本。</w:t>
      </w:r>
      <w:r/>
    </w:p>
    <w:p>
      <w:pPr>
        <w:ind w:left="0" w:right="0" w:firstLine="0"/>
        <w:spacing w:before="15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12.6 如有设备具有远程维修诊断功能，乙方负责免</w:t>
      </w:r>
      <w:r>
        <w:rPr>
          <w:rFonts w:ascii="宋体" w:hAnsi="宋体" w:eastAsia="宋体" w:cs="宋体"/>
          <w:color w:val="auto"/>
          <w:spacing w:val="-2"/>
          <w:sz w:val="21"/>
          <w:highlight w:val="none"/>
        </w:rPr>
        <w:t xml:space="preserve">费为甲方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2"/>
          <w:sz w:val="21"/>
          <w:highlight w:val="none"/>
        </w:rPr>
        <w:t xml:space="preserve">安装。</w:t>
      </w:r>
      <w:r/>
    </w:p>
    <w:p>
      <w:pPr>
        <w:ind w:left="0" w:right="0" w:firstLine="0"/>
        <w:spacing w:before="5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12.7 乙方需在交货后五个工作日内免费提供全套资料并加盖公章，含产品合</w:t>
      </w:r>
      <w:r>
        <w:rPr>
          <w:rFonts w:ascii="宋体" w:hAnsi="宋体" w:eastAsia="宋体" w:cs="宋体"/>
          <w:color w:val="auto"/>
          <w:spacing w:val="1"/>
          <w:sz w:val="21"/>
          <w:highlight w:val="none"/>
        </w:rPr>
        <w:t xml:space="preserve">格证、出厂计量合格证(</w:t>
      </w:r>
      <w:r>
        <w:rPr>
          <w:rFonts w:ascii="宋体" w:hAnsi="宋体" w:eastAsia="宋体" w:cs="宋体"/>
          <w:color w:val="auto"/>
          <w:spacing w:val="3"/>
          <w:sz w:val="21"/>
          <w:highlight w:val="none"/>
        </w:rPr>
        <w:t xml:space="preserve">强检设备）、操作手册、维修手册（含详细电路图）、海关报关单（</w:t>
      </w:r>
      <w:r>
        <w:rPr>
          <w:rFonts w:ascii="宋体" w:hAnsi="宋体" w:eastAsia="宋体" w:cs="宋体"/>
          <w:color w:val="auto"/>
          <w:spacing w:val="2"/>
          <w:sz w:val="21"/>
          <w:highlight w:val="none"/>
        </w:rPr>
        <w:t xml:space="preserve">进口设备）、商检合格证明(</w:t>
      </w:r>
      <w:r>
        <w:rPr>
          <w:rFonts w:ascii="宋体" w:hAnsi="宋体" w:eastAsia="宋体" w:cs="宋体"/>
          <w:color w:val="auto"/>
          <w:sz w:val="21"/>
          <w:highlight w:val="none"/>
        </w:rPr>
        <w:t xml:space="preserve">进口设备）、使用许可证明文件（如有）等。如技术资料不全，甲方或实际使用人南京鼓楼医院有权不支付货</w:t>
      </w:r>
      <w:r>
        <w:rPr>
          <w:rFonts w:ascii="宋体" w:hAnsi="宋体" w:eastAsia="宋体" w:cs="宋体"/>
          <w:color w:val="auto"/>
          <w:spacing w:val="-1"/>
          <w:sz w:val="21"/>
          <w:highlight w:val="none"/>
        </w:rPr>
        <w:t xml:space="preserve">款或退货，因此产</w:t>
      </w:r>
      <w:r>
        <w:rPr>
          <w:rFonts w:ascii="宋体" w:hAnsi="宋体" w:eastAsia="宋体" w:cs="宋体"/>
          <w:color w:val="auto"/>
          <w:spacing w:val="-3"/>
          <w:sz w:val="21"/>
          <w:highlight w:val="none"/>
        </w:rPr>
        <w:t xml:space="preserve">生的损失由乙方自行承担。</w:t>
      </w:r>
      <w:r/>
    </w:p>
    <w:p>
      <w:pPr>
        <w:ind w:left="0" w:right="0" w:firstLine="0"/>
        <w:spacing w:before="5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12.8 技术培训：在安装过程中或安装结束后，乙方工程师或有关人员有义务对甲方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工程师和操作人员</w:t>
      </w:r>
      <w:r>
        <w:rPr>
          <w:rFonts w:ascii="宋体" w:hAnsi="宋体" w:eastAsia="宋体" w:cs="宋体"/>
          <w:color w:val="auto"/>
          <w:sz w:val="21"/>
          <w:highlight w:val="none"/>
        </w:rPr>
        <w:t xml:space="preserve">进行现场维修、保养、操作培训并提供快捷操作指南（过塑后封好，挂在设</w:t>
      </w:r>
      <w:r>
        <w:rPr>
          <w:rFonts w:ascii="宋体" w:hAnsi="宋体" w:eastAsia="宋体" w:cs="宋体"/>
          <w:color w:val="auto"/>
          <w:spacing w:val="-1"/>
          <w:sz w:val="21"/>
          <w:highlight w:val="none"/>
        </w:rPr>
        <w:t xml:space="preserve">备上</w:t>
      </w:r>
      <w:r>
        <w:rPr>
          <w:rFonts w:ascii="宋体" w:hAnsi="宋体" w:eastAsia="宋体" w:cs="宋体"/>
          <w:color w:val="auto"/>
          <w:sz w:val="21"/>
          <w:highlight w:val="none"/>
        </w:rPr>
        <w:t xml:space="preserve">），</w:t>
      </w:r>
      <w:r>
        <w:rPr>
          <w:rFonts w:ascii="宋体" w:hAnsi="宋体" w:eastAsia="宋体" w:cs="宋体"/>
          <w:color w:val="auto"/>
          <w:spacing w:val="-1"/>
          <w:sz w:val="21"/>
          <w:highlight w:val="none"/>
        </w:rPr>
        <w:t xml:space="preserve">解答甲方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人员</w:t>
      </w:r>
      <w:r>
        <w:rPr>
          <w:rFonts w:ascii="宋体" w:hAnsi="宋体" w:eastAsia="宋体" w:cs="宋体"/>
          <w:color w:val="auto"/>
          <w:sz w:val="21"/>
          <w:highlight w:val="none"/>
        </w:rPr>
        <w:t xml:space="preserve">提出的问题。必要时提供正规培训班培训，确保操作人员掌握完成日常工作所需</w:t>
      </w:r>
      <w:r>
        <w:rPr>
          <w:rFonts w:ascii="宋体" w:hAnsi="宋体" w:eastAsia="宋体" w:cs="宋体"/>
          <w:color w:val="auto"/>
          <w:spacing w:val="-1"/>
          <w:sz w:val="21"/>
          <w:highlight w:val="none"/>
        </w:rPr>
        <w:t xml:space="preserve">的基本操作方法</w:t>
      </w:r>
      <w:r>
        <w:rPr>
          <w:rFonts w:ascii="宋体" w:hAnsi="宋体" w:eastAsia="宋体" w:cs="宋体"/>
          <w:color w:val="auto"/>
          <w:sz w:val="21"/>
          <w:highlight w:val="none"/>
        </w:rPr>
        <w:t xml:space="preserve">和</w:t>
      </w:r>
      <w:r>
        <w:rPr>
          <w:rFonts w:ascii="宋体" w:hAnsi="宋体" w:eastAsia="宋体" w:cs="宋体"/>
          <w:color w:val="auto"/>
          <w:spacing w:val="4"/>
          <w:sz w:val="21"/>
          <w:highlight w:val="none"/>
        </w:rPr>
        <w:t xml:space="preserve">工程师掌握基本的维护保养操作技术为止。详见乙方的承诺书。</w:t>
      </w:r>
      <w:r/>
    </w:p>
    <w:p>
      <w:pPr>
        <w:ind w:left="0" w:right="0" w:firstLine="0"/>
        <w:spacing w:before="58"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12.9 如乙方提供的设备设有维修软件密码，乙方保证无条件地为甲方或实际使用人南京鼓楼医院永久免费打开，直至最</w:t>
      </w:r>
      <w:r>
        <w:rPr>
          <w:rFonts w:ascii="宋体" w:hAnsi="宋体" w:eastAsia="宋体" w:cs="宋体"/>
          <w:color w:val="auto"/>
          <w:spacing w:val="-1"/>
          <w:sz w:val="21"/>
          <w:highlight w:val="none"/>
        </w:rPr>
        <w:t xml:space="preserve">底层维修</w:t>
      </w:r>
      <w:r>
        <w:rPr>
          <w:rFonts w:ascii="宋体" w:hAnsi="宋体" w:eastAsia="宋体" w:cs="宋体"/>
          <w:color w:val="auto"/>
          <w:spacing w:val="-9"/>
          <w:sz w:val="21"/>
          <w:highlight w:val="none"/>
        </w:rPr>
        <w:t xml:space="preserve">模式。</w:t>
      </w:r>
      <w:r/>
    </w:p>
    <w:p>
      <w:pPr>
        <w:ind w:left="0" w:right="0" w:firstLine="0"/>
        <w:spacing w:before="57"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12.10 若该设备涉及网络问题，甲方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只负责提供一个网络接口，设备内部的局域网建设由乙方负责提</w:t>
      </w:r>
      <w:r>
        <w:rPr>
          <w:rFonts w:ascii="宋体" w:hAnsi="宋体" w:eastAsia="宋体" w:cs="宋体"/>
          <w:color w:val="auto"/>
          <w:spacing w:val="-11"/>
          <w:sz w:val="21"/>
          <w:highlight w:val="none"/>
        </w:rPr>
        <w:t xml:space="preserve">供。</w:t>
      </w:r>
      <w:r/>
    </w:p>
    <w:p>
      <w:pPr>
        <w:ind w:left="0" w:right="0" w:firstLine="0"/>
        <w:spacing w:before="117"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12.11 乙方须免费开放所投产品的所有输入输出接口，并能与甲方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现有网络及信</w:t>
      </w:r>
      <w:r>
        <w:rPr>
          <w:rFonts w:ascii="宋体" w:hAnsi="宋体" w:eastAsia="宋体" w:cs="宋体"/>
          <w:color w:val="auto"/>
          <w:spacing w:val="-2"/>
          <w:sz w:val="21"/>
          <w:highlight w:val="none"/>
        </w:rPr>
        <w:t xml:space="preserve">息系统对接，如接入第三方系统产生费用，该费用由乙方承担。</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十三、货物的包装、发运及运输</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13.1 乙方应在货物发运前对其进行满足运输距离、防潮、防震、防锈和防破损装卸等要求包装，以保证货物安全完好运达甲方指定地点。货物的包装应符合《商品包装政府采购需求标准（试行）》《快递包装政府采购需求标准（试行）》的规定。</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13.2 使用说明书、质量检验证明书、随配附件和工具以及清单一并附于货物内。</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13.3 乙方在货物发运手续办理完毕后24小时内或货到甲方48小时前通知甲方。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13.4 乙方在货物发运前须提前向甲方报备，并执行甲方对甲方场地内货物运输、吊装、安装的方案、路径、安全、职责、管理等相关规定，确保货物完好无损地送达甲方指定地点。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13.5货物在交付甲方前发生的风险均由乙方负责。</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13.6 货物在规定的交付期限内由乙方送达甲方指定的地点并经甲方签收后视为交付（对乙方有货物安装要求的除外）。</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十四、专机专用耗材试剂</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 乙方提供的设备有专机专用耗材试剂，设备配套耗材、试剂采购价格不得高于省市挂网平台价及实际使用人南京鼓楼医院历史采购价，平台价格下调后采购价格同步下调。</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14.2 合同期内耗材、试剂价格不得涨价，遇市场低价可依规单方调价。</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14.3 若设备选型与实际使用人南京鼓楼医院一致，采用实际使用人南京鼓楼医院统一耗材试剂管理标准；若选型不一致，参照实际使用人南京鼓楼医院现有耗材试剂管理制度执行。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十五、违约责任</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15.1 甲方无正当理由拒收货物的，应向乙方偿付拒收货物总价款</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的违约金。</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15.2 甲方无故逾期验收和办理货款支付手续的，应按逾期付款总额每日</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向乙方支付违约金。</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15.3 乙方逾期交付货物的，应按逾期交货总额每日</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的违约金。 </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十六、不可抗力事件处理</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16.2 不可抗力事件发生后，应立即通知对方并寄送有关权威机构出具的证明。</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16.3 不可抗力事件延续120天以上，双方应通过友好协商确定是否继续履行合同。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十七、解决争议的方法</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17.1 甲乙双方因合同签订、履行而发生的一切争议，应通过友好协商解决。协商不成的由甲方住所地人民法院管辖。</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十八、合同生效及其它</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18.1 本合同经双方加盖单位公章后生效。</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18.2 本合同未尽事宜，遵照《中华人民共和国民法典》《中华人民共和国政府采购法》有关条文执行。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18.3 本合同正本一式两份，具有同等法律效力，甲方、乙方各执一份。</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甲方：（公章）乙方：（公章） </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地址：地址： </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法定代表人或授权代表：法定代表人或授权代表：</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联系电话：联系电话：</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签订日期：</w:t>
      </w:r>
      <w:r/>
    </w:p>
    <w:p>
      <w:pPr>
        <w:ind w:left="0" w:right="0" w:firstLine="0"/>
        <w:jc w:val="center"/>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center"/>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《*******合同》补充协议（合同附件）</w:t>
      </w:r>
      <w:r/>
    </w:p>
    <w:p>
      <w:pPr>
        <w:ind w:left="0" w:right="0" w:firstLine="48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招标文件及合同未约定事项，双方可友好协商签订补充协议。</w:t>
      </w:r>
      <w:r/>
    </w:p>
    <w:p>
      <w:pPr>
        <w:ind w:left="0" w:right="0" w:firstLine="56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6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6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0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第六章 投标文件格式及附件</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jc w:val="center"/>
        <w:rPr>
          <w:rFonts w:hint="eastAsia" w:ascii="宋体" w:hAnsi="宋体"/>
          <w:b/>
          <w:color w:val="auto"/>
          <w:sz w:val="72"/>
          <w:szCs w:val="21"/>
          <w:highlight w:val="none"/>
        </w:rPr>
      </w:pPr>
      <w:r>
        <w:rPr>
          <w:rFonts w:ascii="宋体" w:hAnsi="宋体" w:eastAsia="宋体" w:cs="宋体"/>
          <w:color w:val="auto"/>
          <w:sz w:val="20"/>
          <w:highlight w:val="none"/>
        </w:rPr>
        <w:t xml:space="preserve"> </w:t>
      </w:r>
      <w:r>
        <w:rPr>
          <w:rFonts w:hint="eastAsia" w:ascii="宋体" w:hAnsi="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hint="eastAsia" w:ascii="宋体" w:hAnsi="宋体" w:eastAsia="宋体" w:cs="宋体"/>
          <w:color w:val="auto"/>
          <w:sz w:val="28"/>
          <w:szCs w:val="28"/>
          <w:highlight w:val="none"/>
        </w:rPr>
      </w:pPr>
      <w:r/>
      <w:bookmarkStart w:id="0" w:name="_Toc120614284"/>
      <w:r>
        <w:rPr>
          <w:rFonts w:hint="eastAsia" w:ascii="宋体" w:hAnsi="宋体" w:eastAsia="宋体" w:cs="宋体"/>
          <w:color w:val="auto"/>
          <w:sz w:val="28"/>
          <w:szCs w:val="28"/>
          <w:highlight w:val="none"/>
        </w:rPr>
        <w:t xml:space="preserve">一、供应商信用承诺函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六、核心产品品牌一览表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七、投标分项报价表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九、商务要求响应及偏离表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十、中小企业声明函（如有）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十一、残疾人福利性单位声明函（如有）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十二、联合体协议（如有）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三</w:t>
      </w:r>
      <w:r>
        <w:rPr>
          <w:rFonts w:hint="eastAsia" w:ascii="宋体" w:hAnsi="宋体" w:eastAsia="宋体" w:cs="宋体"/>
          <w:color w:val="auto"/>
          <w:sz w:val="28"/>
          <w:szCs w:val="28"/>
          <w:highlight w:val="none"/>
        </w:rPr>
        <w:t xml:space="preserve">、关于符合本国产品标准的声明函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四</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《南京市政府采购供应商信用记录表暨信用承诺书》</w:t>
      </w:r>
      <w:r/>
    </w:p>
    <w:p>
      <w:pPr>
        <w:pStyle w:val="612"/>
        <w:rPr>
          <w:rFonts w:hint="eastAsia"/>
          <w:color w:val="auto"/>
          <w:highlight w:val="none"/>
        </w:rPr>
      </w:pPr>
      <w:r>
        <w:rPr>
          <w:rFonts w:hint="eastAsia"/>
          <w:color w:val="auto"/>
          <w:highlight w:val="none"/>
        </w:rPr>
      </w:r>
      <w:r/>
    </w:p>
    <w:p>
      <w:pPr>
        <w:pStyle w:val="612"/>
        <w:rPr>
          <w:rFonts w:hint="eastAsia"/>
          <w:color w:val="auto"/>
          <w:highlight w:val="none"/>
        </w:rPr>
      </w:pPr>
      <w:r>
        <w:rPr>
          <w:rFonts w:hint="eastAsia"/>
          <w:color w:val="auto"/>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一、供应商信用承诺函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供应商信用承诺函</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6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80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0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800"/>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80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80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800"/>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80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800"/>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80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 w:name="_格式3__银行出具的资信证明"/>
      <w:r/>
      <w:bookmarkEnd w:id="1"/>
      <w:r/>
      <w:bookmarkStart w:id="2" w:name="_Hlt26955070"/>
      <w:r/>
      <w:bookmarkEnd w:id="2"/>
      <w:r/>
      <w:bookmarkStart w:id="3" w:name="_Hlt26671380"/>
      <w:r/>
      <w:bookmarkEnd w:id="3"/>
      <w:r/>
      <w:r/>
    </w:p>
    <w:p>
      <w:pPr>
        <w:pStyle w:val="616"/>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lang w:eastAsia="zh-CN"/>
        </w:rPr>
      </w:r>
      <w:r/>
    </w:p>
    <w:p>
      <w:pPr>
        <w:pStyle w:val="616"/>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 w:val="24"/>
          <w:szCs w:val="24"/>
          <w:highlight w:val="none"/>
          <w:lang w:val="en-US" w:eastAsia="zh-CN"/>
        </w:rPr>
        <w:t xml:space="preserve">江苏省设备成套股份有限公司</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80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80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80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80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采购包号：</w:t>
      </w:r>
      <w:r/>
    </w:p>
    <w:tbl>
      <w:tblPr>
        <w:tblStyle w:val="611"/>
        <w:tblW w:w="99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4"/>
      </w:tblGrid>
      <w:tr>
        <w:trPr>
          <w:cantSplit/>
          <w:trHeight w:val="725"/>
        </w:trPr>
        <w:tc>
          <w:tcPr>
            <w:tcW w:w="9984"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投标总报价</w:t>
            </w:r>
            <w:r/>
          </w:p>
        </w:tc>
      </w:tr>
      <w:tr>
        <w:trPr>
          <w:cantSplit/>
          <w:trHeight w:val="720"/>
        </w:trPr>
        <w:tc>
          <w:tcPr>
            <w:tcW w:w="9984" w:type="dxa"/>
            <w:vAlign w:val="center"/>
            <w:textDirection w:val="lrTb"/>
            <w:noWrap w:val="false"/>
          </w:tcPr>
          <w:p>
            <w:pPr>
              <w:pStyle w:val="802"/>
              <w:ind w:firstLine="0"/>
              <w:jc w:val="left"/>
              <w:spacing w:before="0" w:after="0" w:line="500" w:lineRule="exact"/>
              <w:widowControl w:val="off"/>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备注：投标人报价低于采购项目预算50%，或者低于采购项目最高限价45%，或者</w:t>
      </w:r>
      <w:r>
        <w:rPr>
          <w:rFonts w:hint="eastAsia" w:ascii="宋体" w:hAnsi="宋体" w:eastAsia="宋体" w:cs="宋体"/>
          <w:b/>
          <w:bCs/>
          <w:color w:val="auto"/>
          <w:sz w:val="24"/>
          <w:szCs w:val="24"/>
          <w:highlight w:val="none"/>
          <w:lang w:val="zh-CN"/>
        </w:rPr>
        <w:t xml:space="preserve">报价</w:t>
      </w:r>
      <w:r>
        <w:rPr>
          <w:rFonts w:hint="eastAsia" w:ascii="宋体" w:hAnsi="宋体" w:eastAsia="宋体" w:cs="宋体"/>
          <w:b/>
          <w:bCs/>
          <w:color w:val="auto"/>
          <w:sz w:val="24"/>
          <w:szCs w:val="24"/>
          <w:highlight w:val="none"/>
        </w:rPr>
        <w:t xml:space="preserve">过低</w:t>
      </w:r>
      <w:r>
        <w:rPr>
          <w:rFonts w:hint="eastAsia" w:ascii="宋体" w:hAnsi="宋体" w:eastAsia="宋体" w:cs="宋体"/>
          <w:b/>
          <w:bCs/>
          <w:color w:val="auto"/>
          <w:sz w:val="24"/>
          <w:szCs w:val="24"/>
          <w:highlight w:val="none"/>
          <w:lang w:val="zh-CN"/>
        </w:rPr>
        <w:t xml:space="preserve">，有可能影响</w:t>
      </w:r>
      <w:r>
        <w:rPr>
          <w:rFonts w:hint="eastAsia" w:ascii="宋体" w:hAnsi="宋体" w:eastAsia="宋体" w:cs="宋体"/>
          <w:b/>
          <w:bCs/>
          <w:color w:val="auto"/>
          <w:sz w:val="24"/>
          <w:szCs w:val="24"/>
          <w:highlight w:val="none"/>
        </w:rPr>
        <w:t xml:space="preserve">产品或服务</w:t>
      </w:r>
      <w:r>
        <w:rPr>
          <w:rFonts w:hint="eastAsia" w:ascii="宋体" w:hAnsi="宋体" w:eastAsia="宋体" w:cs="宋体"/>
          <w:b/>
          <w:bCs/>
          <w:color w:val="auto"/>
          <w:sz w:val="24"/>
          <w:szCs w:val="24"/>
          <w:highlight w:val="none"/>
          <w:lang w:val="zh-CN"/>
        </w:rPr>
        <w:t xml:space="preserve">质量或不能诚信履约的，</w:t>
      </w:r>
      <w:r>
        <w:rPr>
          <w:rFonts w:hint="eastAsia" w:ascii="宋体" w:hAnsi="宋体" w:eastAsia="宋体" w:cs="宋体"/>
          <w:b/>
          <w:bCs/>
          <w:color w:val="auto"/>
          <w:sz w:val="24"/>
          <w:szCs w:val="24"/>
          <w:highlight w:val="none"/>
        </w:rPr>
        <w:t xml:space="preserve">评委会将启动异常低价投标审查机制，投标人应</w:t>
      </w:r>
      <w:r>
        <w:rPr>
          <w:rFonts w:hint="eastAsia" w:ascii="宋体" w:hAnsi="宋体" w:eastAsia="宋体" w:cs="宋体"/>
          <w:b/>
          <w:bCs/>
          <w:color w:val="auto"/>
          <w:sz w:val="24"/>
          <w:szCs w:val="24"/>
          <w:highlight w:val="none"/>
          <w:lang w:val="zh-CN"/>
        </w:rPr>
        <w:t xml:space="preserve">在</w:t>
      </w:r>
      <w:r>
        <w:rPr>
          <w:rFonts w:hint="eastAsia" w:ascii="宋体" w:hAnsi="宋体" w:eastAsia="宋体" w:cs="宋体"/>
          <w:b/>
          <w:bCs/>
          <w:color w:val="auto"/>
          <w:sz w:val="24"/>
          <w:szCs w:val="24"/>
          <w:highlight w:val="none"/>
        </w:rPr>
        <w:t xml:space="preserve">评委会规定的合理</w:t>
      </w:r>
      <w:r>
        <w:rPr>
          <w:rFonts w:hint="eastAsia" w:ascii="宋体" w:hAnsi="宋体" w:eastAsia="宋体" w:cs="宋体"/>
          <w:b/>
          <w:bCs/>
          <w:color w:val="auto"/>
          <w:sz w:val="24"/>
          <w:szCs w:val="24"/>
          <w:highlight w:val="none"/>
          <w:lang w:val="zh-CN"/>
        </w:rPr>
        <w:t xml:space="preserve">时间内</w:t>
      </w:r>
      <w:r>
        <w:rPr>
          <w:rFonts w:hint="eastAsia" w:ascii="宋体" w:hAnsi="宋体" w:eastAsia="宋体" w:cs="宋体"/>
          <w:b/>
          <w:bCs/>
          <w:color w:val="auto"/>
          <w:sz w:val="24"/>
          <w:szCs w:val="24"/>
          <w:highlight w:val="none"/>
        </w:rPr>
        <w:t xml:space="preserve">通过苏采云系统</w:t>
      </w:r>
      <w:r>
        <w:rPr>
          <w:rFonts w:hint="eastAsia" w:ascii="宋体" w:hAnsi="宋体" w:eastAsia="宋体" w:cs="宋体"/>
          <w:b/>
          <w:bCs/>
          <w:color w:val="auto"/>
          <w:sz w:val="24"/>
          <w:szCs w:val="24"/>
          <w:highlight w:val="none"/>
          <w:lang w:val="zh-CN"/>
        </w:rPr>
        <w:t xml:space="preserve">提供</w:t>
      </w:r>
      <w:r>
        <w:rPr>
          <w:rFonts w:hint="eastAsia" w:ascii="宋体" w:hAnsi="宋体" w:eastAsia="宋体" w:cs="宋体"/>
          <w:b/>
          <w:bCs/>
          <w:color w:val="auto"/>
          <w:sz w:val="24"/>
          <w:szCs w:val="24"/>
          <w:highlight w:val="none"/>
        </w:rPr>
        <w:t xml:space="preserve">项目具体成本测算等与报价合理性相关的书面</w:t>
      </w:r>
      <w:r>
        <w:rPr>
          <w:rFonts w:hint="eastAsia" w:ascii="宋体" w:hAnsi="宋体" w:eastAsia="宋体" w:cs="宋体"/>
          <w:b/>
          <w:bCs/>
          <w:color w:val="auto"/>
          <w:sz w:val="24"/>
          <w:szCs w:val="24"/>
          <w:highlight w:val="none"/>
          <w:lang w:val="zh-CN"/>
        </w:rPr>
        <w:t xml:space="preserve">说明</w:t>
      </w:r>
      <w:r>
        <w:rPr>
          <w:rFonts w:hint="eastAsia" w:ascii="宋体" w:hAnsi="宋体" w:eastAsia="宋体" w:cs="宋体"/>
          <w:b/>
          <w:bCs/>
          <w:color w:val="auto"/>
          <w:sz w:val="24"/>
          <w:szCs w:val="24"/>
          <w:highlight w:val="none"/>
        </w:rPr>
        <w:t xml:space="preserve">及相关证明材料</w:t>
      </w:r>
      <w:r>
        <w:rPr>
          <w:rFonts w:hint="eastAsia" w:ascii="宋体" w:hAnsi="宋体" w:eastAsia="宋体" w:cs="宋体"/>
          <w:b/>
          <w:bCs/>
          <w:color w:val="auto"/>
          <w:sz w:val="24"/>
          <w:szCs w:val="24"/>
          <w:highlight w:val="none"/>
          <w:lang w:val="zh-CN"/>
        </w:rPr>
        <w:t xml:space="preserve">。投标人</w:t>
      </w:r>
      <w:r>
        <w:rPr>
          <w:rFonts w:hint="eastAsia" w:ascii="宋体" w:hAnsi="宋体" w:eastAsia="宋体" w:cs="宋体"/>
          <w:b/>
          <w:bCs/>
          <w:color w:val="auto"/>
          <w:sz w:val="24"/>
          <w:szCs w:val="24"/>
          <w:highlight w:val="none"/>
        </w:rPr>
        <w:t xml:space="preserve">不提供书面说明及证明材料，或者书面说明、证明材料</w:t>
      </w:r>
      <w:r>
        <w:rPr>
          <w:rFonts w:hint="eastAsia" w:ascii="宋体" w:hAnsi="宋体" w:eastAsia="宋体" w:cs="宋体"/>
          <w:b/>
          <w:bCs/>
          <w:color w:val="auto"/>
          <w:sz w:val="24"/>
          <w:szCs w:val="24"/>
          <w:highlight w:val="none"/>
          <w:lang w:val="zh-CN"/>
        </w:rPr>
        <w:t xml:space="preserve">不能证明其报价合理性的，将作为无效投标处理。</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611"/>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en-US" w:bidi="ar-SA"/>
              </w:rPr>
              <w:t xml:space="preserve">…</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en-US" w:eastAsia="en-US" w:bidi="ar-SA"/>
              </w:rPr>
              <w:t xml:space="preserve">…</w:t>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hint="eastAsia" w:ascii="宋体" w:hAnsi="宋体" w:eastAsia="宋体" w:cs="宋体"/>
          <w:color w:val="auto"/>
          <w:sz w:val="32"/>
          <w:szCs w:val="32"/>
          <w:highlight w:val="none"/>
          <w:lang w:eastAsia="zh-CN"/>
        </w:rPr>
        <w:outlineLvl w:val="2"/>
      </w:pPr>
      <w:r>
        <w:rPr>
          <w:rFonts w:hint="eastAsia" w:ascii="宋体" w:hAnsi="宋体" w:eastAsia="宋体" w:cs="宋体"/>
          <w:color w:val="auto"/>
          <w:sz w:val="32"/>
          <w:szCs w:val="32"/>
          <w:highlight w:val="none"/>
        </w:rPr>
        <w:t xml:space="preserve">投标分项报价表</w:t>
      </w:r>
      <w:r/>
    </w:p>
    <w:tbl>
      <w:tblPr>
        <w:tblStyle w:val="611"/>
        <w:tblW w:w="103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681"/>
      </w:tblGrid>
      <w:tr>
        <w:trPr>
          <w:cantSplit/>
          <w:trHeight w:val="544"/>
        </w:trPr>
        <w:tc>
          <w:tcPr>
            <w:tcW w:w="581" w:type="dxa"/>
            <w:vAlign w:val="center"/>
            <w:vMerge w:val="restart"/>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7</w:t>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8</w:t>
            </w:r>
            <w:r/>
          </w:p>
        </w:tc>
      </w:tr>
      <w:tr>
        <w:trPr>
          <w:cantSplit/>
          <w:trHeight w:val="603"/>
        </w:trPr>
        <w:tc>
          <w:tcPr>
            <w:tcW w:w="581" w:type="dxa"/>
            <w:vAlign w:val="center"/>
            <w:vMerge w:val="continue"/>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品牌</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交付期（天）</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数量</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单位</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单价（元）</w:t>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总价（元）</w:t>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gridSpan w:val="8"/>
            <w:tcW w:w="9761" w:type="dxa"/>
            <w:vAlign w:val="center"/>
            <w:textDirection w:val="lrTb"/>
            <w:noWrap w:val="false"/>
          </w:tcPr>
          <w:p>
            <w:pPr>
              <w:jc w:val="both"/>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投标总价（元）：</w:t>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32"/>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32"/>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1.“投标总报价”应包括为完成整个项目所产生的所有费用，招标文件另有规定的除外。</w:t>
      </w:r>
      <w:r/>
    </w:p>
    <w:p>
      <w:pPr>
        <w:pStyle w:val="632"/>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2.《投标分项报价表》中“投标总价”应当与《开标一览表》中“投标总报价”一致。</w:t>
      </w:r>
      <w:r/>
    </w:p>
    <w:p>
      <w:pPr>
        <w:pStyle w:val="632"/>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3.供应商所投产品须与“第四章-</w:t>
      </w:r>
      <w:r>
        <w:rPr>
          <w:rFonts w:hint="eastAsia" w:ascii="宋体" w:hAnsi="宋体" w:eastAsia="宋体" w:cs="宋体"/>
          <w:b w:val="0"/>
          <w:color w:val="auto"/>
          <w:sz w:val="21"/>
          <w:szCs w:val="22"/>
          <w:highlight w:val="none"/>
        </w:rPr>
        <w:t xml:space="preserve">货物需求一览表</w:t>
      </w:r>
      <w:r>
        <w:rPr>
          <w:rFonts w:hint="eastAsia" w:ascii="宋体" w:hAnsi="宋体" w:eastAsia="宋体" w:cs="宋体"/>
          <w:color w:val="auto"/>
          <w:highlight w:val="none"/>
        </w:rPr>
        <w:t xml:space="preserve">”中的产品一一对应，如有缺项、漏项或者超出</w:t>
      </w:r>
      <w:r>
        <w:rPr>
          <w:rFonts w:hint="eastAsia" w:ascii="宋体" w:hAnsi="宋体" w:eastAsia="宋体" w:cs="宋体"/>
          <w:color w:val="auto"/>
          <w:highlight w:val="none"/>
          <w:lang w:eastAsia="zh-CN"/>
        </w:rPr>
        <w:t xml:space="preserve">最高限价</w:t>
      </w:r>
      <w:r>
        <w:rPr>
          <w:rFonts w:hint="eastAsia" w:ascii="宋体" w:hAnsi="宋体" w:eastAsia="宋体" w:cs="宋体"/>
          <w:color w:val="auto"/>
          <w:highlight w:val="none"/>
        </w:rPr>
        <w:t xml:space="preserve">，视为无效投标。</w:t>
      </w:r>
      <w:r/>
    </w:p>
    <w:p>
      <w:pPr>
        <w:pStyle w:val="632"/>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4.行数不够，可自行添加。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03"/>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03"/>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611"/>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68"/>
        <w:gridCol w:w="1809"/>
        <w:gridCol w:w="1770"/>
        <w:gridCol w:w="2755"/>
      </w:tblGrid>
      <w:tr>
        <w:trPr>
          <w:cantSplit/>
          <w:jc w:val="center"/>
        </w:trPr>
        <w:tc>
          <w:tcPr>
            <w:tcW w:w="81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76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180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1770"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c>
          <w:tcPr>
            <w:tcW w:w="2755"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 xml:space="preserve">证明材料在投标文件中页码及条款号</w:t>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632"/>
        <w:ind w:firstLine="480"/>
        <w:jc w:val="both"/>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32"/>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32"/>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pStyle w:val="632"/>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2.技术</w:t>
      </w:r>
      <w:r>
        <w:rPr>
          <w:rFonts w:hint="eastAsia" w:ascii="宋体" w:hAnsi="宋体" w:eastAsia="宋体" w:cs="宋体"/>
          <w:color w:val="auto"/>
          <w:highlight w:val="none"/>
          <w:lang w:eastAsia="zh-CN"/>
        </w:rPr>
        <w:t xml:space="preserve">参数及</w:t>
      </w:r>
      <w:r>
        <w:rPr>
          <w:rFonts w:hint="eastAsia" w:ascii="宋体" w:hAnsi="宋体" w:eastAsia="宋体" w:cs="宋体"/>
          <w:color w:val="auto"/>
          <w:highlight w:val="none"/>
        </w:rPr>
        <w:t xml:space="preserve">要求</w:t>
      </w:r>
      <w:r>
        <w:rPr>
          <w:rFonts w:hint="eastAsia" w:ascii="宋体" w:hAnsi="宋体" w:eastAsia="宋体" w:cs="宋体"/>
          <w:color w:val="auto"/>
          <w:sz w:val="21"/>
          <w:szCs w:val="21"/>
          <w:highlight w:val="none"/>
          <w:lang w:val="en-US" w:eastAsia="zh-CN"/>
        </w:rPr>
        <w:t xml:space="preserve">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r/>
    </w:p>
    <w:p>
      <w:pPr>
        <w:pStyle w:val="632"/>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611"/>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335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32"/>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32"/>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632"/>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06"/>
        <w:rPr>
          <w:rFonts w:hint="eastAsia" w:ascii="宋体" w:hAnsi="宋体" w:eastAsia="宋体" w:cs="宋体"/>
          <w:color w:val="auto"/>
          <w:sz w:val="32"/>
          <w:szCs w:val="32"/>
          <w:highlight w:val="none"/>
          <w:lang w:val="en-US"/>
        </w:rPr>
      </w:pPr>
      <w:r>
        <w:rPr>
          <w:rFonts w:hint="eastAsia" w:ascii="宋体" w:hAnsi="宋体" w:eastAsia="宋体" w:cs="宋体"/>
          <w:color w:val="auto"/>
          <w:sz w:val="32"/>
          <w:szCs w:val="32"/>
          <w:highlight w:val="none"/>
          <w:lang w:val="en-US"/>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中小企业声明函（货物）</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36"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06"/>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 xml:space="preserve">（货物由中小企业制造，即货物由中小企业生产且使用该中小企业商号或者注册商标）</w:t>
      </w:r>
      <w:r>
        <w:rPr>
          <w:rFonts w:hint="eastAsia" w:ascii="宋体" w:hAnsi="宋体" w:eastAsia="宋体" w:cs="宋体"/>
          <w:color w:val="auto"/>
          <w:sz w:val="24"/>
          <w:szCs w:val="24"/>
          <w:highlight w:val="none"/>
        </w:rPr>
        <w:t xml:space="preserve">，不对其中涉及的服务的承接商、工程的承建商作出要求。</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03"/>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8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79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7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5"/>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highlight w:val="none"/>
        </w:rPr>
        <w:t xml:space="preserve">    </w:t>
      </w:r>
      <w:r/>
    </w:p>
    <w:p>
      <w:pPr>
        <w:ind w:firstLine="52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612"/>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632"/>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32"/>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636"/>
          <w:rFonts w:hint="eastAsia" w:ascii="宋体" w:hAnsi="宋体" w:eastAsia="宋体" w:cs="宋体"/>
          <w:i w:val="0"/>
          <w:color w:val="auto"/>
          <w:highlight w:val="none"/>
          <w:u w:val="single"/>
          <w:shd w:val="clear" w:color="auto" w:fill="ffffff"/>
        </w:rPr>
        <w:t xml:space="preserve">（产品名称1）</w:t>
      </w:r>
      <w:r>
        <w:rPr>
          <w:rStyle w:val="636"/>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636"/>
          <w:rFonts w:hint="eastAsia" w:ascii="宋体" w:hAnsi="宋体" w:eastAsia="宋体" w:cs="宋体"/>
          <w:i w:val="0"/>
          <w:color w:val="auto"/>
          <w:highlight w:val="none"/>
          <w:u w:val="single"/>
          <w:shd w:val="clear" w:color="auto" w:fill="ffffff"/>
        </w:rPr>
        <w:t xml:space="preserve">（厂名）</w:t>
      </w:r>
      <w:r>
        <w:rPr>
          <w:rStyle w:val="636"/>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636"/>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636"/>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636"/>
          <w:rFonts w:hint="eastAsia" w:ascii="宋体" w:hAnsi="宋体" w:eastAsia="宋体" w:cs="宋体"/>
          <w:i w:val="0"/>
          <w:strike w:val="0"/>
          <w:color w:val="auto"/>
          <w:highlight w:val="none"/>
          <w:u w:val="single"/>
          <w:shd w:val="clear" w:color="auto" w:fill="ffffff"/>
        </w:rPr>
        <w:t xml:space="preserve">（规定比例）</w:t>
      </w:r>
      <w:r>
        <w:rPr>
          <w:rStyle w:val="636"/>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636"/>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36"/>
          <w:rFonts w:hint="eastAsia" w:ascii="宋体" w:hAnsi="宋体" w:eastAsia="宋体" w:cs="宋体"/>
          <w:i w:val="0"/>
          <w:strike w:val="0"/>
          <w:color w:val="auto"/>
          <w:highlight w:val="none"/>
          <w:u w:val="single"/>
          <w:shd w:val="clear" w:color="auto" w:fill="ffffff"/>
        </w:rPr>
        <w:t xml:space="preserve">（关键组件）</w:t>
      </w:r>
      <w:r>
        <w:rPr>
          <w:rStyle w:val="636"/>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636"/>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36"/>
          <w:rFonts w:hint="eastAsia" w:ascii="宋体" w:hAnsi="宋体" w:eastAsia="宋体" w:cs="宋体"/>
          <w:i w:val="0"/>
          <w:strike w:val="0"/>
          <w:color w:val="auto"/>
          <w:highlight w:val="none"/>
          <w:u w:val="single"/>
          <w:shd w:val="clear" w:color="auto" w:fill="ffffff"/>
        </w:rPr>
        <w:t xml:space="preserve">（关键工序）</w:t>
      </w:r>
      <w:r>
        <w:rPr>
          <w:rStyle w:val="636"/>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632"/>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636"/>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636"/>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636"/>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636"/>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636"/>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636"/>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36"/>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636"/>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36"/>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632"/>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632"/>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636"/>
          <w:rFonts w:hint="eastAsia" w:ascii="宋体" w:hAnsi="宋体" w:eastAsia="宋体" w:cs="宋体"/>
          <w:color w:val="auto"/>
          <w:highlight w:val="none"/>
          <w:vertAlign w:val="superscript"/>
        </w:rPr>
        <w:t xml:space="preserve">6</w:t>
      </w:r>
      <w:r/>
    </w:p>
    <w:p>
      <w:pPr>
        <w:pStyle w:val="632"/>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632"/>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632"/>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632"/>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632"/>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632"/>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632"/>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632"/>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632"/>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632"/>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0"/>
      <w:r/>
      <w:r/>
    </w:p>
    <w:p>
      <w:pPr>
        <w:pStyle w:val="612"/>
        <w:numPr>
          <w:ilvl w:val="0"/>
          <w:numId w:val="0"/>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十四、《南京市政府采购供应商信用记录表暨信用承诺书》</w:t>
      </w:r>
      <w:r/>
    </w:p>
    <w:p>
      <w:pPr>
        <w:rPr>
          <w:rFonts w:hint="eastAsia"/>
          <w:color w:val="auto"/>
          <w:highlight w:val="none"/>
          <w:lang w:val="en-US" w:eastAsia="zh-CN"/>
        </w:rPr>
      </w:pPr>
      <w:r>
        <w:rPr>
          <w:rFonts w:hint="eastAsia"/>
          <w:color w:val="auto"/>
          <w:highlight w:val="none"/>
          <w:lang w:val="en-US" w:eastAsia="zh-CN"/>
        </w:rPr>
      </w:r>
      <w:r/>
    </w:p>
    <w:p>
      <w:pPr>
        <w:numPr>
          <w:ilvl w:val="0"/>
          <w:numId w:val="0"/>
        </w:num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center"/>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                                                                                                         XXXX年XX月XX日</w:t>
      </w:r>
      <w:r/>
    </w:p>
    <w:p>
      <w:pPr>
        <w:jc w:val="center"/>
        <w:rPr>
          <w:rFonts w:hint="eastAsia" w:eastAsia="宋体"/>
          <w:color w:val="auto"/>
          <w:highlight w:val="none"/>
          <w:lang w:val="en-US" w:eastAsia="zh-CN"/>
        </w:rPr>
      </w:pPr>
      <w:r>
        <w:rPr>
          <w:rFonts w:hint="eastAsia" w:eastAsia="宋体"/>
          <w:color w:val="auto"/>
          <w:highlight w:val="none"/>
          <w:lang w:val="en-US" w:eastAsia="zh-CN"/>
        </w:rPr>
      </w:r>
      <w:r/>
    </w:p>
    <w:tbl>
      <w:tblPr>
        <w:tblStyle w:val="634"/>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spacing w:after="0" w:line="240" w:lineRule="auto"/>
              <w:tabs>
                <w:tab w:val="left" w:pos="2520" w:leader="none"/>
              </w:tabs>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spacing w:after="0" w:line="240" w:lineRule="auto"/>
              <w:tabs>
                <w:tab w:val="left" w:pos="2320" w:leader="none"/>
              </w:tabs>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spacing w:after="0" w:line="240" w:lineRule="auto"/>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spacing w:after="0" w:line="240" w:lineRule="auto"/>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560"/>
        </w:trPr>
        <w:tc>
          <w:tcPr>
            <w:tcW w:w="2148" w:type="dxa"/>
            <w:vAlign w:val="center"/>
            <w:textDirection w:val="lrTb"/>
            <w:noWrap w:val="false"/>
          </w:tcPr>
          <w:p>
            <w:pPr>
              <w:jc w:val="center"/>
              <w:spacing w:after="0" w:line="240" w:lineRule="auto"/>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spacing w:after="0" w:line="240" w:lineRule="auto"/>
              <w:rPr>
                <w:rFonts w:hint="eastAsia"/>
                <w:color w:val="auto"/>
                <w:highlight w:val="none"/>
                <w:vertAlign w:val="baseline"/>
                <w:lang w:val="en-US" w:eastAsia="zh-CN"/>
              </w:rPr>
            </w:pPr>
            <w:r>
              <w:rPr>
                <w:rFonts w:hint="eastAsia" w:eastAsia="宋体"/>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宋体"/>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pStyle w:val="612"/>
        <w:numPr>
          <w:ilvl w:val="0"/>
          <w:numId w:val="0"/>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pStyle w:val="803"/>
        <w:rPr>
          <w:rFonts w:hint="eastAsia"/>
          <w:color w:val="auto"/>
          <w:highlight w:val="none"/>
          <w:lang w:val="en-US" w:eastAsia="zh-CN"/>
        </w:rPr>
      </w:pPr>
      <w:r>
        <w:rPr>
          <w:rFonts w:hint="eastAsia"/>
          <w:color w:val="auto"/>
          <w:highlight w:val="none"/>
          <w:lang w:val="en-US" w:eastAsia="zh-CN"/>
        </w:rPr>
      </w:r>
      <w:r/>
    </w:p>
    <w:p>
      <w:pPr>
        <w:rPr>
          <w:color w:val="auto"/>
          <w:highlight w:val="none"/>
        </w:rPr>
      </w:pPr>
      <w:r>
        <w:rPr>
          <w:color w:val="auto"/>
          <w:highlight w:val="none"/>
        </w:rPr>
      </w:r>
      <w:r/>
    </w:p>
    <w:sectPr>
      <w:footnotePr/>
      <w:endnotePr/>
      <w:type w:val="nextPage"/>
      <w:pgSz w:w="11906" w:h="16838" w:orient="portrait"/>
      <w:pgMar w:top="1134" w:right="1134" w:bottom="1134" w:left="1134"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egoe UI">
    <w:panose1 w:val="020B0502040204020203"/>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0" w:default="1">
    <w:name w:val="Normal"/>
    <w:next w:val="612"/>
    <w:uiPriority w:val="0"/>
    <w:qFormat/>
    <w:rPr>
      <w:rFonts w:asciiTheme="minorHAnsi" w:hAnsiTheme="minorHAnsi" w:eastAsiaTheme="minorEastAsia" w:cstheme="minorBidi"/>
      <w:sz w:val="21"/>
      <w:szCs w:val="22"/>
    </w:rPr>
  </w:style>
  <w:style w:type="paragraph" w:styleId="601">
    <w:name w:val="Heading 1"/>
    <w:link w:val="639"/>
    <w:uiPriority w:val="9"/>
    <w:qFormat/>
    <w:pPr>
      <w:keepLines/>
      <w:keepNext/>
      <w:spacing w:before="480" w:after="200"/>
      <w:outlineLvl w:val="0"/>
    </w:pPr>
    <w:rPr>
      <w:rFonts w:ascii="Arial" w:hAnsi="Arial" w:eastAsia="Arial" w:cs="Arial"/>
      <w:sz w:val="40"/>
      <w:szCs w:val="40"/>
    </w:rPr>
  </w:style>
  <w:style w:type="paragraph" w:styleId="602">
    <w:name w:val="Heading 2"/>
    <w:link w:val="640"/>
    <w:uiPriority w:val="9"/>
    <w:unhideWhenUsed/>
    <w:qFormat/>
    <w:pPr>
      <w:keepLines/>
      <w:keepNext/>
      <w:spacing w:before="360" w:after="200"/>
      <w:outlineLvl w:val="1"/>
    </w:pPr>
    <w:rPr>
      <w:rFonts w:ascii="Arial" w:hAnsi="Arial" w:eastAsia="Arial" w:cs="Arial"/>
      <w:sz w:val="34"/>
      <w:szCs w:val="22"/>
    </w:rPr>
  </w:style>
  <w:style w:type="paragraph" w:styleId="603">
    <w:name w:val="Heading 3"/>
    <w:link w:val="641"/>
    <w:uiPriority w:val="9"/>
    <w:unhideWhenUsed/>
    <w:qFormat/>
    <w:pPr>
      <w:keepLines/>
      <w:keepNext/>
      <w:spacing w:before="320" w:after="200"/>
      <w:outlineLvl w:val="2"/>
    </w:pPr>
    <w:rPr>
      <w:rFonts w:ascii="Arial" w:hAnsi="Arial" w:eastAsia="Arial" w:cs="Arial"/>
      <w:sz w:val="30"/>
      <w:szCs w:val="30"/>
    </w:rPr>
  </w:style>
  <w:style w:type="paragraph" w:styleId="604">
    <w:name w:val="Heading 4"/>
    <w:link w:val="642"/>
    <w:uiPriority w:val="9"/>
    <w:unhideWhenUsed/>
    <w:qFormat/>
    <w:pPr>
      <w:keepLines/>
      <w:keepNext/>
      <w:spacing w:before="320" w:after="200"/>
      <w:outlineLvl w:val="3"/>
    </w:pPr>
    <w:rPr>
      <w:rFonts w:ascii="Arial" w:hAnsi="Arial" w:eastAsia="Arial" w:cs="Arial"/>
      <w:b/>
      <w:bCs/>
      <w:sz w:val="26"/>
      <w:szCs w:val="26"/>
    </w:rPr>
  </w:style>
  <w:style w:type="paragraph" w:styleId="605">
    <w:name w:val="Heading 5"/>
    <w:link w:val="643"/>
    <w:uiPriority w:val="9"/>
    <w:unhideWhenUsed/>
    <w:qFormat/>
    <w:pPr>
      <w:keepLines/>
      <w:keepNext/>
      <w:spacing w:before="320" w:after="200"/>
      <w:outlineLvl w:val="4"/>
    </w:pPr>
    <w:rPr>
      <w:rFonts w:ascii="Arial" w:hAnsi="Arial" w:eastAsia="Arial" w:cs="Arial"/>
      <w:b/>
      <w:bCs/>
      <w:sz w:val="24"/>
      <w:szCs w:val="24"/>
    </w:rPr>
  </w:style>
  <w:style w:type="paragraph" w:styleId="606">
    <w:name w:val="Heading 6"/>
    <w:link w:val="644"/>
    <w:uiPriority w:val="9"/>
    <w:unhideWhenUsed/>
    <w:qFormat/>
    <w:pPr>
      <w:keepLines/>
      <w:keepNext/>
      <w:spacing w:before="320" w:after="200"/>
      <w:outlineLvl w:val="5"/>
    </w:pPr>
    <w:rPr>
      <w:rFonts w:ascii="Arial" w:hAnsi="Arial" w:eastAsia="Arial" w:cs="Arial"/>
      <w:b/>
      <w:bCs/>
      <w:sz w:val="22"/>
      <w:szCs w:val="22"/>
    </w:rPr>
  </w:style>
  <w:style w:type="paragraph" w:styleId="607">
    <w:name w:val="Heading 7"/>
    <w:link w:val="645"/>
    <w:uiPriority w:val="9"/>
    <w:unhideWhenUsed/>
    <w:qFormat/>
    <w:pPr>
      <w:keepLines/>
      <w:keepNext/>
      <w:spacing w:before="320" w:after="200"/>
      <w:outlineLvl w:val="6"/>
    </w:pPr>
    <w:rPr>
      <w:rFonts w:ascii="Arial" w:hAnsi="Arial" w:eastAsia="Arial" w:cs="Arial"/>
      <w:b/>
      <w:bCs/>
      <w:i/>
      <w:iCs/>
      <w:sz w:val="22"/>
      <w:szCs w:val="22"/>
    </w:rPr>
  </w:style>
  <w:style w:type="paragraph" w:styleId="608">
    <w:name w:val="Heading 8"/>
    <w:link w:val="646"/>
    <w:uiPriority w:val="9"/>
    <w:unhideWhenUsed/>
    <w:qFormat/>
    <w:pPr>
      <w:keepLines/>
      <w:keepNext/>
      <w:spacing w:before="320" w:after="200"/>
      <w:outlineLvl w:val="7"/>
    </w:pPr>
    <w:rPr>
      <w:rFonts w:ascii="Arial" w:hAnsi="Arial" w:eastAsia="Arial" w:cs="Arial"/>
      <w:i/>
      <w:iCs/>
      <w:sz w:val="22"/>
      <w:szCs w:val="22"/>
    </w:rPr>
  </w:style>
  <w:style w:type="paragraph" w:styleId="609">
    <w:name w:val="Heading 9"/>
    <w:link w:val="647"/>
    <w:uiPriority w:val="9"/>
    <w:unhideWhenUsed/>
    <w:qFormat/>
    <w:pPr>
      <w:keepLines/>
      <w:keepNext/>
      <w:spacing w:before="320" w:after="200"/>
      <w:outlineLvl w:val="8"/>
    </w:pPr>
    <w:rPr>
      <w:rFonts w:ascii="Arial" w:hAnsi="Arial" w:eastAsia="Arial" w:cs="Arial"/>
      <w:i/>
      <w:iCs/>
      <w:sz w:val="21"/>
      <w:szCs w:val="21"/>
    </w:rPr>
  </w:style>
  <w:style w:type="character" w:styleId="610" w:default="1">
    <w:name w:val="Default Paragraph Font"/>
    <w:uiPriority w:val="1"/>
    <w:semiHidden/>
    <w:unhideWhenUsed/>
    <w:qFormat/>
  </w:style>
  <w:style w:type="table" w:styleId="611" w:default="1">
    <w:name w:val="Normal Table"/>
    <w:uiPriority w:val="99"/>
    <w:semiHidden/>
    <w:unhideWhenUsed/>
    <w:qFormat/>
    <w:tblPr>
      <w:tblCellMar>
        <w:left w:w="108" w:type="dxa"/>
        <w:top w:w="0" w:type="dxa"/>
        <w:right w:w="108" w:type="dxa"/>
        <w:bottom w:w="0" w:type="dxa"/>
      </w:tblCellMar>
    </w:tblPr>
  </w:style>
  <w:style w:type="paragraph" w:styleId="612">
    <w:name w:val="Body Text First Indent 2"/>
    <w:basedOn w:val="613"/>
    <w:next w:val="600"/>
    <w:uiPriority w:val="0"/>
    <w:qFormat/>
    <w:pPr>
      <w:ind w:left="0" w:firstLine="420"/>
      <w:spacing w:after="0" w:line="360" w:lineRule="auto"/>
    </w:pPr>
    <w:rPr>
      <w:rFonts w:ascii="宋体" w:hAnsi="宋体"/>
      <w:sz w:val="20"/>
      <w:szCs w:val="20"/>
      <w:lang w:eastAsia="en-US"/>
    </w:rPr>
  </w:style>
  <w:style w:type="paragraph" w:styleId="613">
    <w:name w:val="Body Text Indent"/>
    <w:basedOn w:val="600"/>
    <w:next w:val="614"/>
    <w:uiPriority w:val="99"/>
    <w:unhideWhenUsed/>
    <w:qFormat/>
    <w:pPr>
      <w:ind w:left="420"/>
      <w:spacing w:after="120"/>
    </w:pPr>
  </w:style>
  <w:style w:type="paragraph" w:styleId="614">
    <w:name w:val="envelope return"/>
    <w:basedOn w:val="600"/>
    <w:uiPriority w:val="0"/>
    <w:qFormat/>
    <w:rPr>
      <w:rFonts w:ascii="Arial" w:hAnsi="Arial" w:cs="宋体"/>
    </w:rPr>
  </w:style>
  <w:style w:type="paragraph" w:styleId="615">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16">
    <w:name w:val="Normal Indent"/>
    <w:basedOn w:val="600"/>
    <w:uiPriority w:val="0"/>
    <w:qFormat/>
    <w:pPr>
      <w:ind w:firstLine="420"/>
    </w:pPr>
    <w:rPr>
      <w:sz w:val="20"/>
      <w:szCs w:val="21"/>
      <w:lang w:eastAsia="en-US"/>
    </w:rPr>
  </w:style>
  <w:style w:type="paragraph" w:styleId="617">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18">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19">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20">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21">
    <w:name w:val="endnote text"/>
    <w:link w:val="785"/>
    <w:uiPriority w:val="99"/>
    <w:semiHidden/>
    <w:unhideWhenUsed/>
    <w:qFormat/>
    <w:pPr>
      <w:spacing w:after="0" w:line="240" w:lineRule="auto"/>
    </w:pPr>
    <w:rPr>
      <w:rFonts w:asciiTheme="minorHAnsi" w:hAnsiTheme="minorHAnsi" w:eastAsiaTheme="minorEastAsia" w:cstheme="minorBidi"/>
      <w:sz w:val="20"/>
      <w:szCs w:val="22"/>
    </w:rPr>
  </w:style>
  <w:style w:type="paragraph" w:styleId="622">
    <w:name w:val="Footer"/>
    <w:link w:val="658"/>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3">
    <w:name w:val="Header"/>
    <w:link w:val="656"/>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4">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25">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26">
    <w:name w:val="Subtitle"/>
    <w:link w:val="651"/>
    <w:uiPriority w:val="11"/>
    <w:qFormat/>
    <w:pPr>
      <w:spacing w:before="200" w:after="200"/>
    </w:pPr>
    <w:rPr>
      <w:rFonts w:asciiTheme="minorHAnsi" w:hAnsiTheme="minorHAnsi" w:eastAsiaTheme="minorEastAsia" w:cstheme="minorBidi"/>
      <w:sz w:val="24"/>
      <w:szCs w:val="24"/>
    </w:rPr>
  </w:style>
  <w:style w:type="paragraph" w:styleId="627">
    <w:name w:val="footnote text"/>
    <w:link w:val="784"/>
    <w:uiPriority w:val="99"/>
    <w:semiHidden/>
    <w:unhideWhenUsed/>
    <w:qFormat/>
    <w:pPr>
      <w:spacing w:after="40" w:line="240" w:lineRule="auto"/>
    </w:pPr>
    <w:rPr>
      <w:rFonts w:asciiTheme="minorHAnsi" w:hAnsiTheme="minorHAnsi" w:eastAsiaTheme="minorEastAsia" w:cstheme="minorBidi"/>
      <w:sz w:val="18"/>
      <w:szCs w:val="22"/>
    </w:rPr>
  </w:style>
  <w:style w:type="paragraph" w:styleId="628">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29">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30">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31">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32">
    <w:name w:val="Normal (Web)"/>
    <w:basedOn w:val="600"/>
    <w:uiPriority w:val="99"/>
    <w:semiHidden/>
    <w:unhideWhenUsed/>
    <w:qFormat/>
    <w:pPr>
      <w:jc w:val="left"/>
      <w:spacing w:beforeAutospacing="1" w:afterAutospacing="1"/>
    </w:pPr>
  </w:style>
  <w:style w:type="paragraph" w:styleId="633">
    <w:name w:val="Title"/>
    <w:link w:val="650"/>
    <w:uiPriority w:val="10"/>
    <w:qFormat/>
    <w:pPr>
      <w:contextualSpacing/>
      <w:spacing w:before="300" w:after="200"/>
    </w:pPr>
    <w:rPr>
      <w:rFonts w:asciiTheme="minorHAnsi" w:hAnsiTheme="minorHAnsi" w:eastAsiaTheme="minorEastAsia" w:cstheme="minorBidi"/>
      <w:sz w:val="48"/>
      <w:szCs w:val="48"/>
    </w:rPr>
  </w:style>
  <w:style w:type="table" w:styleId="6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5">
    <w:name w:val="endnote reference"/>
    <w:uiPriority w:val="99"/>
    <w:semiHidden/>
    <w:unhideWhenUsed/>
    <w:qFormat/>
    <w:rPr>
      <w:vertAlign w:val="superscript"/>
    </w:rPr>
  </w:style>
  <w:style w:type="character" w:styleId="636">
    <w:name w:val="Emphasis"/>
    <w:uiPriority w:val="0"/>
    <w:qFormat/>
    <w:rPr>
      <w:i/>
    </w:rPr>
  </w:style>
  <w:style w:type="character" w:styleId="637">
    <w:name w:val="Hyperlink"/>
    <w:uiPriority w:val="99"/>
    <w:unhideWhenUsed/>
    <w:qFormat/>
    <w:rPr>
      <w:color w:val="0000ff" w:themeColor="hyperlink"/>
      <w:u w:val="single"/>
      <w14:textFill>
        <w14:solidFill>
          <w14:schemeClr w14:val="hlink"/>
        </w14:solidFill>
      </w14:textFill>
    </w:rPr>
  </w:style>
  <w:style w:type="character" w:styleId="638">
    <w:name w:val="footnote reference"/>
    <w:uiPriority w:val="99"/>
    <w:unhideWhenUsed/>
    <w:qFormat/>
    <w:rPr>
      <w:vertAlign w:val="superscript"/>
    </w:rPr>
  </w:style>
  <w:style w:type="character" w:styleId="639" w:customStyle="1">
    <w:name w:val="Heading 1 Char"/>
    <w:link w:val="601"/>
    <w:uiPriority w:val="9"/>
    <w:qFormat/>
    <w:rPr>
      <w:rFonts w:ascii="Arial" w:hAnsi="Arial" w:eastAsia="Arial" w:cs="Arial"/>
      <w:sz w:val="40"/>
      <w:szCs w:val="40"/>
    </w:rPr>
  </w:style>
  <w:style w:type="character" w:styleId="640" w:customStyle="1">
    <w:name w:val="Heading 2 Char"/>
    <w:link w:val="602"/>
    <w:uiPriority w:val="9"/>
    <w:qFormat/>
    <w:rPr>
      <w:rFonts w:ascii="Arial" w:hAnsi="Arial" w:eastAsia="Arial" w:cs="Arial"/>
      <w:sz w:val="34"/>
    </w:rPr>
  </w:style>
  <w:style w:type="character" w:styleId="641" w:customStyle="1">
    <w:name w:val="Heading 3 Char"/>
    <w:link w:val="603"/>
    <w:uiPriority w:val="9"/>
    <w:qFormat/>
    <w:rPr>
      <w:rFonts w:ascii="Arial" w:hAnsi="Arial" w:eastAsia="Arial" w:cs="Arial"/>
      <w:sz w:val="30"/>
      <w:szCs w:val="30"/>
    </w:rPr>
  </w:style>
  <w:style w:type="character" w:styleId="642" w:customStyle="1">
    <w:name w:val="Heading 4 Char"/>
    <w:link w:val="604"/>
    <w:uiPriority w:val="9"/>
    <w:qFormat/>
    <w:rPr>
      <w:rFonts w:ascii="Arial" w:hAnsi="Arial" w:eastAsia="Arial" w:cs="Arial"/>
      <w:b/>
      <w:bCs/>
      <w:sz w:val="26"/>
      <w:szCs w:val="26"/>
    </w:rPr>
  </w:style>
  <w:style w:type="character" w:styleId="643" w:customStyle="1">
    <w:name w:val="Heading 5 Char"/>
    <w:link w:val="605"/>
    <w:uiPriority w:val="9"/>
    <w:qFormat/>
    <w:rPr>
      <w:rFonts w:ascii="Arial" w:hAnsi="Arial" w:eastAsia="Arial" w:cs="Arial"/>
      <w:b/>
      <w:bCs/>
      <w:sz w:val="24"/>
      <w:szCs w:val="24"/>
    </w:rPr>
  </w:style>
  <w:style w:type="character" w:styleId="644" w:customStyle="1">
    <w:name w:val="Heading 6 Char"/>
    <w:link w:val="606"/>
    <w:uiPriority w:val="9"/>
    <w:qFormat/>
    <w:rPr>
      <w:rFonts w:ascii="Arial" w:hAnsi="Arial" w:eastAsia="Arial" w:cs="Arial"/>
      <w:b/>
      <w:bCs/>
      <w:sz w:val="22"/>
      <w:szCs w:val="22"/>
    </w:rPr>
  </w:style>
  <w:style w:type="character" w:styleId="645" w:customStyle="1">
    <w:name w:val="Heading 7 Char"/>
    <w:link w:val="607"/>
    <w:uiPriority w:val="9"/>
    <w:qFormat/>
    <w:rPr>
      <w:rFonts w:ascii="Arial" w:hAnsi="Arial" w:eastAsia="Arial" w:cs="Arial"/>
      <w:b/>
      <w:bCs/>
      <w:i/>
      <w:iCs/>
      <w:sz w:val="22"/>
      <w:szCs w:val="22"/>
    </w:rPr>
  </w:style>
  <w:style w:type="character" w:styleId="646" w:customStyle="1">
    <w:name w:val="Heading 8 Char"/>
    <w:link w:val="608"/>
    <w:uiPriority w:val="9"/>
    <w:qFormat/>
    <w:rPr>
      <w:rFonts w:ascii="Arial" w:hAnsi="Arial" w:eastAsia="Arial" w:cs="Arial"/>
      <w:i/>
      <w:iCs/>
      <w:sz w:val="22"/>
      <w:szCs w:val="22"/>
    </w:rPr>
  </w:style>
  <w:style w:type="character" w:styleId="647" w:customStyle="1">
    <w:name w:val="Heading 9 Char"/>
    <w:link w:val="609"/>
    <w:uiPriority w:val="9"/>
    <w:qFormat/>
    <w:rPr>
      <w:rFonts w:ascii="Arial" w:hAnsi="Arial" w:eastAsia="Arial" w:cs="Arial"/>
      <w:i/>
      <w:iCs/>
      <w:sz w:val="21"/>
      <w:szCs w:val="21"/>
    </w:rPr>
  </w:style>
  <w:style w:type="paragraph" w:styleId="648">
    <w:name w:val="List Paragraph"/>
    <w:uiPriority w:val="34"/>
    <w:qFormat/>
    <w:pPr>
      <w:contextualSpacing/>
      <w:ind w:left="720"/>
    </w:pPr>
    <w:rPr>
      <w:rFonts w:asciiTheme="minorHAnsi" w:hAnsiTheme="minorHAnsi" w:eastAsiaTheme="minorEastAsia" w:cstheme="minorBidi"/>
      <w:sz w:val="21"/>
      <w:szCs w:val="22"/>
    </w:rPr>
  </w:style>
  <w:style w:type="paragraph" w:styleId="649">
    <w:name w:val="No Spacing"/>
    <w:uiPriority w:val="1"/>
    <w:qFormat/>
    <w:pPr>
      <w:spacing w:before="0" w:after="0" w:line="240" w:lineRule="auto"/>
    </w:pPr>
    <w:rPr>
      <w:rFonts w:asciiTheme="minorHAnsi" w:hAnsiTheme="minorHAnsi" w:eastAsiaTheme="minorEastAsia" w:cstheme="minorBidi"/>
      <w:sz w:val="21"/>
      <w:szCs w:val="22"/>
    </w:rPr>
  </w:style>
  <w:style w:type="character" w:styleId="650" w:customStyle="1">
    <w:name w:val="Title Char"/>
    <w:link w:val="633"/>
    <w:uiPriority w:val="10"/>
    <w:qFormat/>
    <w:rPr>
      <w:sz w:val="48"/>
      <w:szCs w:val="48"/>
    </w:rPr>
  </w:style>
  <w:style w:type="character" w:styleId="651" w:customStyle="1">
    <w:name w:val="Subtitle Char"/>
    <w:link w:val="626"/>
    <w:uiPriority w:val="11"/>
    <w:qFormat/>
    <w:rPr>
      <w:sz w:val="24"/>
      <w:szCs w:val="24"/>
    </w:rPr>
  </w:style>
  <w:style w:type="paragraph" w:styleId="652">
    <w:name w:val="Quote"/>
    <w:link w:val="653"/>
    <w:uiPriority w:val="29"/>
    <w:qFormat/>
    <w:pPr>
      <w:ind w:left="720" w:right="720"/>
    </w:pPr>
    <w:rPr>
      <w:rFonts w:asciiTheme="minorHAnsi" w:hAnsiTheme="minorHAnsi" w:eastAsiaTheme="minorEastAsia" w:cstheme="minorBidi"/>
      <w:i/>
      <w:sz w:val="21"/>
      <w:szCs w:val="22"/>
    </w:rPr>
  </w:style>
  <w:style w:type="character" w:styleId="653" w:customStyle="1">
    <w:name w:val="Quote Char"/>
    <w:link w:val="652"/>
    <w:uiPriority w:val="29"/>
    <w:qFormat/>
    <w:rPr>
      <w:i/>
    </w:rPr>
  </w:style>
  <w:style w:type="paragraph" w:styleId="654">
    <w:name w:val="Intense Quote"/>
    <w:link w:val="6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55" w:customStyle="1">
    <w:name w:val="Intense Quote Char"/>
    <w:link w:val="654"/>
    <w:uiPriority w:val="30"/>
    <w:qFormat/>
    <w:rPr>
      <w:i/>
    </w:rPr>
  </w:style>
  <w:style w:type="character" w:styleId="656" w:customStyle="1">
    <w:name w:val="Header Char"/>
    <w:link w:val="623"/>
    <w:uiPriority w:val="99"/>
    <w:qFormat/>
  </w:style>
  <w:style w:type="character" w:styleId="657" w:customStyle="1">
    <w:name w:val="Footer Char"/>
    <w:link w:val="622"/>
    <w:uiPriority w:val="99"/>
    <w:qFormat/>
  </w:style>
  <w:style w:type="character" w:styleId="658" w:customStyle="1">
    <w:name w:val="Caption Char"/>
    <w:link w:val="622"/>
    <w:uiPriority w:val="99"/>
    <w:qFormat/>
  </w:style>
  <w:style w:type="table" w:styleId="6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6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6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6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6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84" w:customStyle="1">
    <w:name w:val="Footnote Text Char"/>
    <w:link w:val="627"/>
    <w:uiPriority w:val="99"/>
    <w:qFormat/>
    <w:rPr>
      <w:sz w:val="18"/>
    </w:rPr>
  </w:style>
  <w:style w:type="character" w:styleId="785" w:customStyle="1">
    <w:name w:val="Endnote Text Char"/>
    <w:link w:val="621"/>
    <w:uiPriority w:val="99"/>
    <w:qFormat/>
    <w:rPr>
      <w:sz w:val="20"/>
    </w:rPr>
  </w:style>
  <w:style w:type="paragraph" w:styleId="786" w:customStyle="1">
    <w:name w:val="TOC Heading"/>
    <w:uiPriority w:val="39"/>
    <w:unhideWhenUsed/>
    <w:qFormat/>
    <w:rPr>
      <w:rFonts w:asciiTheme="minorHAnsi" w:hAnsiTheme="minorHAnsi" w:eastAsiaTheme="minorEastAsia" w:cstheme="minorBidi"/>
      <w:sz w:val="21"/>
      <w:szCs w:val="22"/>
    </w:rPr>
  </w:style>
  <w:style w:type="character" w:styleId="787" w:customStyle="1">
    <w:name w:val="font41"/>
    <w:basedOn w:val="610"/>
    <w:uiPriority w:val="0"/>
    <w:qFormat/>
    <w:rPr>
      <w:rFonts w:hint="eastAsia" w:ascii="宋体" w:hAnsi="宋体" w:eastAsia="宋体" w:cs="宋体"/>
      <w:color w:val="000000"/>
      <w:sz w:val="20"/>
      <w:szCs w:val="20"/>
      <w:u w:val="none"/>
    </w:rPr>
  </w:style>
  <w:style w:type="character" w:styleId="788" w:customStyle="1">
    <w:name w:val="font11"/>
    <w:basedOn w:val="610"/>
    <w:uiPriority w:val="0"/>
    <w:qFormat/>
    <w:rPr>
      <w:rFonts w:hint="eastAsia" w:ascii="宋体" w:hAnsi="宋体" w:eastAsia="宋体" w:cs="宋体"/>
      <w:color w:val="000000"/>
      <w:sz w:val="20"/>
      <w:szCs w:val="20"/>
      <w:u w:val="none"/>
    </w:rPr>
  </w:style>
  <w:style w:type="character" w:styleId="789" w:customStyle="1">
    <w:name w:val="font71"/>
    <w:basedOn w:val="610"/>
    <w:uiPriority w:val="0"/>
    <w:qFormat/>
    <w:rPr>
      <w:rFonts w:hint="default" w:ascii="Times New Roman" w:hAnsi="Times New Roman" w:cs="Times New Roman"/>
      <w:color w:val="000000"/>
      <w:sz w:val="20"/>
      <w:szCs w:val="20"/>
      <w:u w:val="none"/>
    </w:rPr>
  </w:style>
  <w:style w:type="character" w:styleId="790" w:customStyle="1">
    <w:name w:val="font51"/>
    <w:basedOn w:val="610"/>
    <w:uiPriority w:val="0"/>
    <w:qFormat/>
    <w:rPr>
      <w:rFonts w:hint="eastAsia" w:ascii="宋体" w:hAnsi="宋体" w:eastAsia="宋体" w:cs="宋体"/>
      <w:color w:val="000000"/>
      <w:sz w:val="20"/>
      <w:szCs w:val="20"/>
      <w:u w:val="none"/>
    </w:rPr>
  </w:style>
  <w:style w:type="character" w:styleId="791" w:customStyle="1">
    <w:name w:val="font81"/>
    <w:basedOn w:val="610"/>
    <w:uiPriority w:val="0"/>
    <w:qFormat/>
    <w:rPr>
      <w:rFonts w:hint="eastAsia" w:ascii="宋体" w:hAnsi="宋体" w:eastAsia="宋体" w:cs="宋体"/>
      <w:color w:val="000000"/>
      <w:sz w:val="20"/>
      <w:szCs w:val="20"/>
      <w:u w:val="none"/>
      <w:vertAlign w:val="superscript"/>
    </w:rPr>
  </w:style>
  <w:style w:type="character" w:styleId="792" w:customStyle="1">
    <w:name w:val="font91"/>
    <w:basedOn w:val="610"/>
    <w:uiPriority w:val="0"/>
    <w:qFormat/>
    <w:rPr>
      <w:rFonts w:ascii="Arial" w:hAnsi="Arial" w:cs="Arial"/>
      <w:color w:val="000000"/>
      <w:sz w:val="20"/>
      <w:szCs w:val="20"/>
      <w:u w:val="none"/>
    </w:rPr>
  </w:style>
  <w:style w:type="character" w:styleId="793" w:customStyle="1">
    <w:name w:val="font12"/>
    <w:basedOn w:val="610"/>
    <w:uiPriority w:val="0"/>
    <w:qFormat/>
    <w:rPr>
      <w:rFonts w:hint="eastAsia" w:ascii="宋体" w:hAnsi="宋体" w:eastAsia="宋体" w:cs="宋体"/>
      <w:color w:val="000000"/>
      <w:sz w:val="20"/>
      <w:szCs w:val="20"/>
      <w:u w:val="none"/>
    </w:rPr>
  </w:style>
  <w:style w:type="character" w:styleId="794" w:customStyle="1">
    <w:name w:val="font122"/>
    <w:basedOn w:val="610"/>
    <w:uiPriority w:val="0"/>
    <w:qFormat/>
    <w:rPr>
      <w:rFonts w:ascii="Calibri" w:hAnsi="Calibri" w:cs="Calibri"/>
      <w:color w:val="000000"/>
      <w:sz w:val="20"/>
      <w:szCs w:val="20"/>
      <w:u w:val="none"/>
    </w:rPr>
  </w:style>
  <w:style w:type="character" w:styleId="795" w:customStyle="1">
    <w:name w:val="font31"/>
    <w:basedOn w:val="610"/>
    <w:uiPriority w:val="0"/>
    <w:qFormat/>
    <w:rPr>
      <w:rFonts w:hint="eastAsia" w:ascii="宋体" w:hAnsi="宋体" w:eastAsia="宋体" w:cs="宋体"/>
      <w:b/>
      <w:bCs/>
      <w:color w:val="000000"/>
      <w:sz w:val="20"/>
      <w:szCs w:val="20"/>
      <w:u w:val="none"/>
    </w:rPr>
  </w:style>
  <w:style w:type="character" w:styleId="796" w:customStyle="1">
    <w:name w:val="font131"/>
    <w:basedOn w:val="610"/>
    <w:uiPriority w:val="0"/>
    <w:qFormat/>
    <w:rPr>
      <w:rFonts w:hint="eastAsia" w:ascii="宋体" w:hAnsi="宋体" w:eastAsia="宋体" w:cs="宋体"/>
      <w:b/>
      <w:bCs/>
      <w:color w:val="ff0000"/>
      <w:sz w:val="20"/>
      <w:szCs w:val="20"/>
      <w:u w:val="none"/>
    </w:rPr>
  </w:style>
  <w:style w:type="character" w:styleId="797" w:customStyle="1">
    <w:name w:val="font61"/>
    <w:basedOn w:val="610"/>
    <w:uiPriority w:val="0"/>
    <w:qFormat/>
    <w:rPr>
      <w:rFonts w:hint="eastAsia" w:ascii="宋体" w:hAnsi="宋体" w:eastAsia="宋体" w:cs="宋体"/>
      <w:color w:val="ff0000"/>
      <w:sz w:val="20"/>
      <w:szCs w:val="20"/>
      <w:u w:val="none"/>
    </w:rPr>
  </w:style>
  <w:style w:type="paragraph" w:styleId="798" w:customStyle="1">
    <w:name w:val="正文文本12"/>
    <w:basedOn w:val="600"/>
    <w:uiPriority w:val="1"/>
    <w:qFormat/>
    <w:pPr>
      <w:ind w:left="120"/>
    </w:pPr>
    <w:rPr>
      <w:rFonts w:ascii="宋体" w:hAnsi="宋体" w:cs="宋体"/>
      <w:szCs w:val="21"/>
      <w:lang w:val="zh-CN" w:bidi="zh-CN"/>
    </w:rPr>
  </w:style>
  <w:style w:type="paragraph" w:styleId="799" w:customStyle="1">
    <w:name w:val="正文文本 211"/>
    <w:basedOn w:val="600"/>
    <w:uiPriority w:val="99"/>
    <w:qFormat/>
    <w:pPr>
      <w:jc w:val="center"/>
    </w:pPr>
    <w:rPr>
      <w:b/>
      <w:bCs/>
      <w:sz w:val="20"/>
      <w:szCs w:val="20"/>
    </w:rPr>
  </w:style>
  <w:style w:type="paragraph" w:styleId="800" w:customStyle="1">
    <w:name w:val="Char"/>
    <w:basedOn w:val="600"/>
    <w:uiPriority w:val="0"/>
    <w:qFormat/>
    <w:pPr>
      <w:ind w:firstLine="200"/>
      <w:tabs>
        <w:tab w:val="left" w:pos="360" w:leader="none"/>
      </w:tabs>
    </w:pPr>
    <w:rPr>
      <w:sz w:val="28"/>
      <w:szCs w:val="30"/>
    </w:rPr>
  </w:style>
  <w:style w:type="paragraph" w:styleId="801" w:customStyle="1">
    <w:name w:val="正文文本1"/>
    <w:basedOn w:val="600"/>
    <w:next w:val="600"/>
    <w:uiPriority w:val="0"/>
    <w:semiHidden/>
    <w:qFormat/>
    <w:rPr>
      <w:rFonts w:ascii="Arial" w:hAnsi="Arial" w:eastAsia="Arial" w:cs="Arial"/>
      <w:szCs w:val="21"/>
      <w:lang w:eastAsia="en-US"/>
    </w:rPr>
  </w:style>
  <w:style w:type="paragraph" w:styleId="802" w:customStyle="1">
    <w:name w:val="普通正文"/>
    <w:basedOn w:val="600"/>
    <w:uiPriority w:val="0"/>
    <w:qFormat/>
    <w:pPr>
      <w:ind w:firstLine="480"/>
      <w:jc w:val="left"/>
      <w:spacing w:before="120" w:after="120" w:line="360" w:lineRule="auto"/>
    </w:pPr>
    <w:rPr>
      <w:rFonts w:ascii="Arial" w:hAnsi="Arial"/>
      <w:sz w:val="24"/>
      <w:szCs w:val="24"/>
    </w:rPr>
  </w:style>
  <w:style w:type="paragraph" w:styleId="803" w:customStyle="1">
    <w:name w:val="正文首行缩进 211"/>
    <w:basedOn w:val="804"/>
    <w:next w:val="600"/>
    <w:uiPriority w:val="0"/>
    <w:qFormat/>
    <w:pPr>
      <w:ind w:left="0" w:firstLine="420"/>
      <w:spacing w:after="0" w:line="360" w:lineRule="auto"/>
    </w:pPr>
    <w:rPr>
      <w:rFonts w:ascii="宋体" w:hAnsi="宋体" w:eastAsia="宋体" w:cs="Times New Roman"/>
      <w:szCs w:val="20"/>
    </w:rPr>
  </w:style>
  <w:style w:type="paragraph" w:styleId="804" w:customStyle="1">
    <w:name w:val="正文文本缩进111"/>
    <w:basedOn w:val="600"/>
    <w:next w:val="805"/>
    <w:uiPriority w:val="0"/>
    <w:unhideWhenUsed/>
    <w:qFormat/>
    <w:pPr>
      <w:ind w:left="420"/>
      <w:spacing w:after="120"/>
    </w:pPr>
  </w:style>
  <w:style w:type="paragraph" w:styleId="805" w:customStyle="1">
    <w:name w:val="寄信人地址11"/>
    <w:basedOn w:val="600"/>
    <w:uiPriority w:val="0"/>
    <w:qFormat/>
    <w:rPr>
      <w:rFonts w:ascii="Arial" w:hAnsi="Arial" w:eastAsia="宋体" w:cs="宋体"/>
    </w:rPr>
  </w:style>
  <w:style w:type="paragraph" w:styleId="806" w:customStyle="1">
    <w:name w:val="索引 41"/>
    <w:basedOn w:val="600"/>
    <w:next w:val="600"/>
    <w:uiPriority w:val="0"/>
    <w:semiHidden/>
    <w:qFormat/>
    <w:pPr>
      <w:ind w:left="1260"/>
    </w:pPr>
    <w:rPr>
      <w:rFonts w:ascii="Calibri" w:hAnsi="Calibri" w:eastAsia="Calibri" w:cs="宋体"/>
      <w:sz w:val="20"/>
      <w:lang w:val="zh-CN"/>
    </w:rPr>
  </w:style>
  <w:style w:type="numbering" w:styleId="273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4</cp:revision>
  <dcterms:created xsi:type="dcterms:W3CDTF">2026-09-24T06:46:00Z</dcterms:created>
  <dcterms:modified xsi:type="dcterms:W3CDTF">2026-10-14T07:14:24Z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CED60979246443DDB3BE9B7228334E59_13</vt:lpwstr>
  </property>
  <property fmtid="{D5CDD505-2E9C-101B-9397-08002B2CF9AE}" pid="4" name="KSOTemplateDocerSaveRecord">
    <vt:lpwstr>eyJoZGlkIjoiMWVjMzU3Yjc3NDAxOThhMGJkMTk1MTkyODk4ZDRmN2MiLCJ1c2VySWQiOiIzMTg2NTgxNTYifQ==</vt:lpwstr>
  </property>
</Properties>
</file>