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spacing w:val="76"/>
          <w:sz w:val="24"/>
        </w:rPr>
      </w:pPr>
      <w:r>
        <w:rPr>
          <w:rFonts w:cs="宋体" w:asciiTheme="minorEastAsia" w:hAnsiTheme="minorEastAsia" w:eastAsiaTheme="minorEastAsia"/>
          <w:b/>
          <w:spacing w:val="76"/>
          <w:sz w:val="24"/>
        </w:rPr>
      </w:r>
      <w:r/>
    </w:p>
    <w:p>
      <w:pPr>
        <w:pStyle w:val="822"/>
        <w:ind w:firstLine="0"/>
        <w:rPr>
          <w:rFonts w:cs="宋体" w:asciiTheme="minorEastAsia" w:hAnsiTheme="minorEastAsia" w:eastAsiaTheme="minorEastAsia"/>
          <w:b/>
          <w:spacing w:val="76"/>
          <w:sz w:val="24"/>
        </w:rPr>
      </w:pPr>
      <w:r>
        <w:rPr>
          <w:rFonts w:cs="宋体" w:asciiTheme="minorEastAsia" w:hAnsiTheme="minorEastAsia" w:eastAsiaTheme="minorEastAsia"/>
          <w:b/>
          <w:spacing w:val="76"/>
          <w:sz w:val="24"/>
        </w:rPr>
      </w:r>
      <w:r/>
    </w:p>
    <w:p>
      <w:pPr>
        <w:pStyle w:val="822"/>
        <w:rPr>
          <w:rFonts w:cs="宋体" w:asciiTheme="minorEastAsia" w:hAnsiTheme="minorEastAsia" w:eastAsiaTheme="minorEastAsia"/>
          <w:b/>
          <w:spacing w:val="76"/>
          <w:sz w:val="24"/>
        </w:rPr>
      </w:pPr>
      <w:r>
        <w:rPr>
          <w:rFonts w:cs="宋体" w:asciiTheme="minorEastAsia" w:hAnsiTheme="minorEastAsia" w:eastAsiaTheme="minorEastAsia"/>
          <w:b/>
          <w:spacing w:val="76"/>
          <w:sz w:val="24"/>
        </w:rPr>
      </w:r>
      <w:r/>
    </w:p>
    <w:p>
      <w:pPr>
        <w:jc w:val="center"/>
        <w:rPr>
          <w:rFonts w:cs="宋体" w:asciiTheme="minorEastAsia" w:hAnsiTheme="minorEastAsia" w:eastAsiaTheme="minorEastAsia"/>
          <w:b/>
          <w:spacing w:val="76"/>
          <w:sz w:val="156"/>
        </w:rPr>
      </w:pPr>
      <w:r>
        <w:rPr>
          <w:rFonts w:hint="eastAsia" w:cs="宋体" w:asciiTheme="minorEastAsia" w:hAnsiTheme="minorEastAsia" w:eastAsiaTheme="minorEastAsia"/>
          <w:b/>
          <w:spacing w:val="76"/>
          <w:sz w:val="156"/>
        </w:rPr>
        <w:t xml:space="preserve">招标文件</w:t>
      </w:r>
      <w:r/>
    </w:p>
    <w:p>
      <w:pPr>
        <w:rPr>
          <w:rFonts w:cs="宋体" w:asciiTheme="minorEastAsia" w:hAnsiTheme="minorEastAsia" w:eastAsiaTheme="minorEastAsia"/>
          <w:b/>
          <w:sz w:val="24"/>
        </w:rPr>
      </w:pPr>
      <w:r>
        <w:rPr>
          <w:rFonts w:cs="宋体" w:asciiTheme="minorEastAsia" w:hAnsiTheme="minorEastAsia" w:eastAsiaTheme="minorEastAsia"/>
          <w:b/>
          <w:sz w:val="24"/>
        </w:rPr>
      </w:r>
      <w:r/>
    </w:p>
    <w:p>
      <w:pPr>
        <w:rPr>
          <w:rFonts w:cs="宋体" w:asciiTheme="minorEastAsia" w:hAnsiTheme="minorEastAsia" w:eastAsiaTheme="minorEastAsia"/>
          <w:b/>
          <w:sz w:val="24"/>
        </w:rPr>
      </w:pPr>
      <w:r>
        <w:rPr>
          <w:rFonts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align>center</wp:align>
                </wp:positionH>
                <wp:positionV relativeFrom="paragraph">
                  <wp:posOffset>192405</wp:posOffset>
                </wp:positionV>
                <wp:extent cx="2640965" cy="1686560"/>
                <wp:effectExtent l="0" t="0" r="6985" b="8890"/>
                <wp:wrapNone/>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4"/>
                        <a:stretch/>
                      </pic:blipFill>
                      <pic:spPr bwMode="auto">
                        <a:xfrm>
                          <a:off x="0" y="0"/>
                          <a:ext cx="2640965" cy="16865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so-position-horizontal:center;mso-position-vertical-relative:text;margin-top:15.1pt;mso-position-vertical:absolute;width:207.9pt;height:132.8pt;mso-wrap-distance-left:9.0pt;mso-wrap-distance-top:0.0pt;mso-wrap-distance-right:9.0pt;mso-wrap-distance-bottom:0.0pt;" stroked="false">
                <v:path textboxrect="0,0,0,0"/>
                <v:imagedata r:id="rId14" o:title=""/>
              </v:shape>
            </w:pict>
          </mc:Fallback>
        </mc:AlternateContent>
      </w:r>
      <w:r/>
    </w:p>
    <w:p>
      <w:pPr>
        <w:pStyle w:val="822"/>
        <w:ind w:firstLine="0"/>
        <w:rPr>
          <w:rFonts w:cs="宋体" w:asciiTheme="minorEastAsia" w:hAnsiTheme="minorEastAsia" w:eastAsiaTheme="minorEastAsia"/>
          <w:sz w:val="32"/>
        </w:rPr>
      </w:pPr>
      <w:r>
        <w:rPr>
          <w:rFonts w:cs="宋体" w:asciiTheme="minorEastAsia" w:hAnsiTheme="minorEastAsia" w:eastAsiaTheme="minorEastAsia"/>
          <w:sz w:val="32"/>
        </w:rPr>
      </w:r>
      <w:r/>
    </w:p>
    <w:p>
      <w:pPr>
        <w:pStyle w:val="822"/>
        <w:ind w:firstLine="0"/>
        <w:rPr>
          <w:rFonts w:cs="宋体" w:asciiTheme="minorEastAsia" w:hAnsiTheme="minorEastAsia" w:eastAsiaTheme="minorEastAsia"/>
          <w:sz w:val="32"/>
        </w:rPr>
      </w:pPr>
      <w:r>
        <w:rPr>
          <w:rFonts w:cs="宋体" w:asciiTheme="minorEastAsia" w:hAnsiTheme="minorEastAsia" w:eastAsiaTheme="minorEastAsia"/>
          <w:sz w:val="32"/>
        </w:rPr>
      </w:r>
      <w:r/>
    </w:p>
    <w:p>
      <w:pPr>
        <w:pStyle w:val="822"/>
        <w:ind w:firstLine="0"/>
        <w:rPr>
          <w:rFonts w:cs="宋体" w:asciiTheme="minorEastAsia" w:hAnsiTheme="minorEastAsia" w:eastAsiaTheme="minorEastAsia"/>
          <w:sz w:val="32"/>
        </w:rPr>
      </w:pPr>
      <w:r>
        <w:rPr>
          <w:rFonts w:cs="宋体" w:asciiTheme="minorEastAsia" w:hAnsiTheme="minorEastAsia" w:eastAsiaTheme="minorEastAsia"/>
          <w:sz w:val="32"/>
        </w:rPr>
      </w:r>
      <w:r/>
    </w:p>
    <w:p>
      <w:pPr>
        <w:pStyle w:val="822"/>
        <w:ind w:firstLine="0"/>
        <w:rPr>
          <w:rFonts w:cs="宋体" w:asciiTheme="minorEastAsia" w:hAnsiTheme="minorEastAsia" w:eastAsiaTheme="minorEastAsia"/>
          <w:sz w:val="32"/>
        </w:rPr>
      </w:pPr>
      <w:r>
        <w:rPr>
          <w:rFonts w:cs="宋体" w:asciiTheme="minorEastAsia" w:hAnsiTheme="minorEastAsia" w:eastAsiaTheme="minorEastAsia"/>
          <w:sz w:val="32"/>
        </w:rPr>
      </w:r>
      <w:r/>
    </w:p>
    <w:p>
      <w:pPr>
        <w:pStyle w:val="822"/>
        <w:ind w:firstLine="0"/>
        <w:rPr>
          <w:rFonts w:cs="宋体" w:asciiTheme="minorEastAsia" w:hAnsiTheme="minorEastAsia" w:eastAsiaTheme="minorEastAsia"/>
          <w:sz w:val="32"/>
        </w:rPr>
      </w:pPr>
      <w:r>
        <w:rPr>
          <w:rFonts w:cs="宋体" w:asciiTheme="minorEastAsia" w:hAnsiTheme="minorEastAsia" w:eastAsiaTheme="minorEastAsia"/>
          <w:sz w:val="32"/>
        </w:rPr>
      </w:r>
      <w:r/>
    </w:p>
    <w:p>
      <w:pPr>
        <w:pStyle w:val="822"/>
        <w:ind w:firstLine="0"/>
        <w:rPr>
          <w:rFonts w:cs="宋体" w:asciiTheme="minorEastAsia" w:hAnsiTheme="minorEastAsia" w:eastAsiaTheme="minorEastAsia"/>
          <w:sz w:val="32"/>
        </w:rPr>
      </w:pPr>
      <w:r>
        <w:rPr>
          <w:rFonts w:cs="宋体" w:asciiTheme="minorEastAsia" w:hAnsiTheme="minorEastAsia" w:eastAsiaTheme="minorEastAsia"/>
          <w:sz w:val="32"/>
        </w:rPr>
      </w:r>
      <w:r/>
    </w:p>
    <w:p>
      <w:pPr>
        <w:pStyle w:val="822"/>
        <w:ind w:firstLine="0"/>
        <w:rPr>
          <w:rFonts w:cs="宋体" w:asciiTheme="minorEastAsia" w:hAnsiTheme="minorEastAsia" w:eastAsiaTheme="minorEastAsia"/>
          <w:sz w:val="32"/>
        </w:rPr>
      </w:pPr>
      <w:r>
        <w:rPr>
          <w:rFonts w:cs="宋体" w:asciiTheme="minorEastAsia" w:hAnsiTheme="minorEastAsia" w:eastAsiaTheme="minorEastAsia"/>
          <w:sz w:val="32"/>
        </w:rPr>
      </w:r>
      <w:r/>
    </w:p>
    <w:p>
      <w:pPr>
        <w:pStyle w:val="822"/>
        <w:ind w:firstLine="0"/>
        <w:rPr>
          <w:rFonts w:cs="宋体" w:asciiTheme="minorEastAsia" w:hAnsiTheme="minorEastAsia" w:eastAsiaTheme="minorEastAsia"/>
          <w:sz w:val="32"/>
        </w:rPr>
      </w:pPr>
      <w:r>
        <w:rPr>
          <w:rFonts w:cs="宋体" w:asciiTheme="minorEastAsia" w:hAnsiTheme="minorEastAsia" w:eastAsiaTheme="minorEastAsia"/>
          <w:sz w:val="32"/>
        </w:rPr>
      </w:r>
      <w:r/>
    </w:p>
    <w:p>
      <w:pPr>
        <w:pStyle w:val="822"/>
        <w:ind w:firstLine="0"/>
        <w:rPr>
          <w:rFonts w:cs="宋体" w:asciiTheme="minorEastAsia" w:hAnsiTheme="minorEastAsia" w:eastAsiaTheme="minorEastAsia"/>
          <w:sz w:val="32"/>
        </w:rPr>
      </w:pPr>
      <w:r>
        <w:rPr>
          <w:rFonts w:cs="宋体" w:asciiTheme="minorEastAsia" w:hAnsiTheme="minorEastAsia" w:eastAsiaTheme="minorEastAsia"/>
          <w:sz w:val="32"/>
        </w:rPr>
      </w:r>
      <w:r/>
    </w:p>
    <w:p>
      <w:pPr>
        <w:ind w:firstLine="640"/>
        <w:spacing w:line="600" w:lineRule="exact"/>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项目编号：JSZC-320324-JSRZ-</w:t>
      </w:r>
      <w:r>
        <w:rPr>
          <w:rFonts w:hint="eastAsia" w:cs="宋体" w:asciiTheme="minorEastAsia" w:hAnsiTheme="minorEastAsia" w:eastAsiaTheme="minorEastAsia"/>
          <w:sz w:val="32"/>
          <w:szCs w:val="32"/>
        </w:rPr>
        <w:t xml:space="preserve">G2026-0006</w:t>
      </w:r>
      <w:r/>
    </w:p>
    <w:p>
      <w:pPr>
        <w:ind w:firstLine="960"/>
        <w:spacing w:line="600" w:lineRule="exact"/>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firstLine="640"/>
        <w:spacing w:line="600" w:lineRule="exact"/>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项目名称：2026年住宿保障类应急物资采购项目</w:t>
      </w:r>
      <w:r/>
    </w:p>
    <w:p>
      <w:pPr>
        <w:ind w:firstLine="960"/>
        <w:spacing w:line="600" w:lineRule="exact"/>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firstLine="640"/>
        <w:spacing w:line="600" w:lineRule="exact"/>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采 购 人：睢宁县经济发展局</w:t>
      </w:r>
      <w:r/>
    </w:p>
    <w:p>
      <w:pPr>
        <w:jc w:val="center"/>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pStyle w:val="830"/>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pStyle w:val="830"/>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ind w:right="-159" w:firstLine="2112"/>
        <w:spacing w:line="300" w:lineRule="auto"/>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jc w:val="center"/>
        <w:spacing w:line="360" w:lineRule="auto"/>
        <w:rPr>
          <w:rFonts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采购代理机构：江苏润泽工程项目管理有限公司</w:t>
      </w:r>
      <w:r/>
    </w:p>
    <w:p>
      <w:pPr>
        <w:jc w:val="center"/>
        <w:spacing w:line="360" w:lineRule="auto"/>
        <w:rPr>
          <w:rFonts w:cs="宋体" w:asciiTheme="minorEastAsia" w:hAnsiTheme="minorEastAsia" w:eastAsiaTheme="minorEastAsia"/>
          <w:sz w:val="32"/>
          <w:szCs w:val="32"/>
        </w:rPr>
      </w:pPr>
      <w:r>
        <w:rPr>
          <w:rFonts w:hint="eastAsia" w:cs="宋体" w:asciiTheme="minorEastAsia" w:hAnsiTheme="minorEastAsia" w:eastAsiaTheme="minorEastAsia"/>
          <w:bCs/>
          <w:sz w:val="32"/>
          <w:szCs w:val="32"/>
        </w:rPr>
        <w:t xml:space="preserve">二〇二六年十</w:t>
      </w:r>
      <w:r>
        <w:rPr>
          <w:rFonts w:hint="eastAsia" w:cs="宋体" w:asciiTheme="minorEastAsia" w:hAnsiTheme="minorEastAsia" w:eastAsiaTheme="minorEastAsia"/>
          <w:bCs/>
          <w:sz w:val="32"/>
          <w:szCs w:val="32"/>
        </w:rPr>
        <w:t xml:space="preserve">月</w:t>
      </w:r>
      <w:r/>
    </w:p>
    <w:p>
      <w:pPr>
        <w:rPr>
          <w:rFonts w:cs="宋体" w:asciiTheme="minorEastAsia" w:hAnsiTheme="minorEastAsia" w:eastAsiaTheme="minorEastAsia"/>
          <w:sz w:val="32"/>
          <w:szCs w:val="32"/>
        </w:rPr>
      </w:pPr>
      <w:r>
        <w:rPr>
          <w:rFonts w:cs="宋体" w:asciiTheme="minorEastAsia" w:hAnsiTheme="minorEastAsia" w:eastAsiaTheme="minorEastAsia"/>
          <w:sz w:val="32"/>
          <w:szCs w:val="32"/>
        </w:rPr>
      </w:r>
      <w:r/>
    </w:p>
    <w:p>
      <w:pPr>
        <w:jc w:val="center"/>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44"/>
        </w:rPr>
        <w:t xml:space="preserve">目 录</w:t>
      </w:r>
      <w:r/>
    </w:p>
    <w:p>
      <w:pPr>
        <w:jc w:val="center"/>
        <w:spacing w:line="519"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r>
      <w:r/>
    </w:p>
    <w:p>
      <w:pPr>
        <w:jc w:val="center"/>
        <w:spacing w:line="519" w:lineRule="atLeast"/>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rPr>
      </w:r>
      <w:r/>
    </w:p>
    <w:p>
      <w:pPr>
        <w:ind w:firstLine="210"/>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hyperlink r:id="rId15" w:tooltip="http://jszfcg.jsczt.cn/jszc/onlyoffice/6.4.2-6/web-apps/apps/documenteditor/main/index.html?_dc=6.4.2-6&amp;lang=zh&amp;customer=ONLYOFFICE&amp;frameEditorId=iframePage&amp;parentOrigin=http://jszfcg.jsczt.cn#_Toc523404695" w:anchor="_Toc523404695" w:history="1">
        <w:r>
          <w:rPr>
            <w:rStyle w:val="872"/>
            <w:rFonts w:hint="eastAsia" w:cs="宋体" w:asciiTheme="minorEastAsia" w:hAnsiTheme="minorEastAsia" w:eastAsiaTheme="minorEastAsia"/>
            <w:color w:val="auto"/>
            <w:sz w:val="30"/>
            <w:szCs w:val="30"/>
          </w:rPr>
          <w:t xml:space="preserve">第一章 投标邀请</w:t>
        </w:r>
      </w:hyperlink>
      <w:r/>
      <w:r/>
    </w:p>
    <w:p>
      <w:pPr>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rPr>
      </w:r>
      <w:r/>
    </w:p>
    <w:p>
      <w:pPr>
        <w:ind w:firstLine="210"/>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hyperlink r:id="rId16" w:tooltip="http://jszfcg.jsczt.cn/jszc/onlyoffice/6.4.2-6/web-apps/apps/documenteditor/main/index.html?_dc=6.4.2-6&amp;lang=zh&amp;customer=ONLYOFFICE&amp;frameEditorId=iframePage&amp;parentOrigin=http://jszfcg.jsczt.cn#_Toc523404696" w:anchor="_Toc523404696" w:history="1">
        <w:r>
          <w:rPr>
            <w:rStyle w:val="872"/>
            <w:rFonts w:hint="eastAsia" w:cs="宋体" w:asciiTheme="minorEastAsia" w:hAnsiTheme="minorEastAsia" w:eastAsiaTheme="minorEastAsia"/>
            <w:color w:val="auto"/>
            <w:sz w:val="30"/>
            <w:szCs w:val="30"/>
          </w:rPr>
          <w:t xml:space="preserve">第二章 投标人须知</w:t>
        </w:r>
      </w:hyperlink>
      <w:r/>
      <w:r/>
    </w:p>
    <w:p>
      <w:pPr>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rPr>
      </w:r>
      <w:r/>
    </w:p>
    <w:p>
      <w:pPr>
        <w:ind w:firstLine="210"/>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hyperlink r:id="rId17" w:tooltip="http://jszfcg.jsczt.cn/jszc/onlyoffice/6.4.2-6/web-apps/apps/documenteditor/main/index.html?_dc=6.4.2-6&amp;lang=zh&amp;customer=ONLYOFFICE&amp;frameEditorId=iframePage&amp;parentOrigin=http://jszfcg.jsczt.cn#_Toc523404697" w:anchor="_Toc523404697" w:history="1">
        <w:r>
          <w:rPr>
            <w:rStyle w:val="872"/>
            <w:rFonts w:hint="eastAsia" w:cs="宋体" w:asciiTheme="minorEastAsia" w:hAnsiTheme="minorEastAsia" w:eastAsiaTheme="minorEastAsia"/>
            <w:color w:val="auto"/>
            <w:sz w:val="30"/>
            <w:szCs w:val="30"/>
          </w:rPr>
          <w:t xml:space="preserve">第三章 投标资料表</w:t>
        </w:r>
      </w:hyperlink>
      <w:r/>
      <w:r/>
    </w:p>
    <w:p>
      <w:pPr>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rPr>
      </w:r>
      <w:r/>
    </w:p>
    <w:p>
      <w:pPr>
        <w:ind w:firstLine="210"/>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hyperlink r:id="rId18" w:tooltip="http://jszfcg.jsczt.cn/jszc/onlyoffice/6.4.2-6/web-apps/apps/documenteditor/main/index.html?_dc=6.4.2-6&amp;lang=zh&amp;customer=ONLYOFFICE&amp;frameEditorId=iframePage&amp;parentOrigin=http://jszfcg.jsczt.cn#_Toc523404698" w:anchor="_Toc523404698" w:history="1">
        <w:r>
          <w:rPr>
            <w:rStyle w:val="872"/>
            <w:rFonts w:hint="eastAsia" w:cs="宋体" w:asciiTheme="minorEastAsia" w:hAnsiTheme="minorEastAsia" w:eastAsiaTheme="minorEastAsia"/>
            <w:color w:val="auto"/>
            <w:sz w:val="30"/>
            <w:szCs w:val="30"/>
          </w:rPr>
          <w:t xml:space="preserve">第四章 评标标准</w:t>
        </w:r>
      </w:hyperlink>
      <w:r/>
      <w:r/>
    </w:p>
    <w:p>
      <w:pPr>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rPr>
      </w:r>
      <w:r/>
    </w:p>
    <w:p>
      <w:pPr>
        <w:ind w:firstLine="210"/>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hyperlink r:id="rId19" w:tooltip="http://jszfcg.jsczt.cn/jszc/onlyoffice/6.4.2-6/web-apps/apps/documenteditor/main/index.html?_dc=6.4.2-6&amp;lang=zh&amp;customer=ONLYOFFICE&amp;frameEditorId=iframePage&amp;parentOrigin=http://jszfcg.jsczt.cn#_Toc523404699" w:anchor="_Toc523404699" w:history="1">
        <w:r>
          <w:rPr>
            <w:rStyle w:val="872"/>
            <w:rFonts w:hint="eastAsia" w:cs="宋体" w:asciiTheme="minorEastAsia" w:hAnsiTheme="minorEastAsia" w:eastAsiaTheme="minorEastAsia"/>
            <w:color w:val="auto"/>
            <w:sz w:val="30"/>
            <w:szCs w:val="30"/>
          </w:rPr>
          <w:t xml:space="preserve">第五章 拟签订的合同文本</w:t>
        </w:r>
      </w:hyperlink>
      <w:r/>
      <w:r/>
    </w:p>
    <w:p>
      <w:pPr>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rPr>
      </w:r>
      <w:r/>
    </w:p>
    <w:p>
      <w:pPr>
        <w:ind w:firstLine="210"/>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hyperlink r:id="rId20" w:tooltip="http://jszfcg.jsczt.cn/jszc/onlyoffice/6.4.2-6/web-apps/apps/documenteditor/main/index.html?_dc=6.4.2-6&amp;lang=zh&amp;customer=ONLYOFFICE&amp;frameEditorId=iframePage&amp;parentOrigin=http://jszfcg.jsczt.cn#_Toc523404700" w:anchor="_Toc523404700" w:history="1">
        <w:r>
          <w:rPr>
            <w:rStyle w:val="872"/>
            <w:rFonts w:hint="eastAsia" w:cs="宋体" w:asciiTheme="minorEastAsia" w:hAnsiTheme="minorEastAsia" w:eastAsiaTheme="minorEastAsia"/>
            <w:color w:val="auto"/>
            <w:sz w:val="30"/>
            <w:szCs w:val="30"/>
          </w:rPr>
          <w:t xml:space="preserve">第六章 采购需求</w:t>
        </w:r>
      </w:hyperlink>
      <w:r/>
      <w:r/>
    </w:p>
    <w:p>
      <w:pPr>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szCs w:val="30"/>
        </w:rPr>
      </w:r>
      <w:r/>
    </w:p>
    <w:p>
      <w:pPr>
        <w:ind w:firstLine="210"/>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pPr>
      <w:r/>
      <w:hyperlink r:id="rId21" w:tooltip="http://jszfcg.jsczt.cn/jszc/onlyoffice/6.4.2-6/web-apps/apps/documenteditor/main/index.html?_dc=6.4.2-6&amp;lang=zh&amp;customer=ONLYOFFICE&amp;frameEditorId=iframePage&amp;parentOrigin=http://jszfcg.jsczt.cn#_Toc523404701" w:anchor="_Toc523404701" w:history="1">
        <w:r>
          <w:rPr>
            <w:rStyle w:val="872"/>
            <w:rFonts w:hint="eastAsia" w:cs="宋体" w:asciiTheme="minorEastAsia" w:hAnsiTheme="minorEastAsia" w:eastAsiaTheme="minorEastAsia"/>
            <w:color w:val="auto"/>
            <w:sz w:val="30"/>
            <w:szCs w:val="30"/>
          </w:rPr>
          <w:t xml:space="preserve">第七章 投标文件相关格式</w:t>
        </w:r>
      </w:hyperlink>
      <w:r/>
      <w:r/>
    </w:p>
    <w:p>
      <w:pPr>
        <w:jc w:val="center"/>
        <w:spacing w:line="519"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r>
      <w:r/>
    </w:p>
    <w:p>
      <w:pPr>
        <w:jc w:val="center"/>
        <w:spacing w:line="519" w:lineRule="atLeast"/>
        <w:rPr>
          <w:rFonts w:cs="宋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sz w:val="44"/>
        </w:rPr>
      </w:r>
      <w:r/>
    </w:p>
    <w:p>
      <w:pPr>
        <w:jc w:val="center"/>
        <w:rPr>
          <w:rFonts w:cs="宋体" w:asciiTheme="minorEastAsia" w:hAnsiTheme="minorEastAsia" w:eastAsiaTheme="minorEastAsia"/>
          <w:b/>
          <w:sz w:val="36"/>
          <w:szCs w:val="36"/>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szCs w:val="36"/>
        </w:rPr>
        <w:t xml:space="preserve">睢宁县经济发展局</w:t>
      </w:r>
      <w:r/>
    </w:p>
    <w:p>
      <w:pPr>
        <w:jc w:val="center"/>
        <w:rPr>
          <w:rFonts w:cs="宋体" w:asciiTheme="minorEastAsia" w:hAnsiTheme="minorEastAsia" w:eastAsiaTheme="minorEastAsia"/>
          <w:b/>
          <w:sz w:val="36"/>
          <w:szCs w:val="36"/>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szCs w:val="36"/>
        </w:rPr>
        <w:t xml:space="preserve">《2026年住宿保障类应急物资采购项目》</w:t>
      </w:r>
      <w:r/>
    </w:p>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6"/>
          <w:szCs w:val="36"/>
        </w:rPr>
        <w:t xml:space="preserve">招标文件</w:t>
      </w:r>
      <w:r/>
    </w:p>
    <w:p>
      <w:pPr>
        <w:ind w:firstLine="600"/>
        <w:spacing w:line="360" w:lineRule="auto"/>
        <w:rPr>
          <w:rFonts w:cs="宋体"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outlineLvl w:val="0"/>
      </w:pPr>
      <w:r>
        <w:rPr>
          <w:rFonts w:cs="宋体" w:asciiTheme="minorEastAsia" w:hAnsiTheme="minorEastAsia" w:eastAsiaTheme="minorEastAsia"/>
          <w:b/>
          <w:sz w:val="24"/>
        </w:rPr>
      </w:r>
      <w:r/>
    </w:p>
    <w:p>
      <w:pPr>
        <w:jc w:val="center"/>
        <w:spacing w:line="360" w:lineRule="auto"/>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b/>
          <w:sz w:val="30"/>
          <w:szCs w:val="30"/>
        </w:rPr>
        <w:t xml:space="preserve">第一章 投标邀请</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u w:val="single"/>
        </w:rPr>
        <w:t xml:space="preserve">江苏润泽工程项目管理有限公司</w:t>
      </w:r>
      <w:r>
        <w:rPr>
          <w:rFonts w:hint="eastAsia" w:cs="宋体" w:asciiTheme="minorEastAsia" w:hAnsiTheme="minorEastAsia" w:eastAsiaTheme="minorEastAsia"/>
          <w:sz w:val="24"/>
        </w:rPr>
        <w:t xml:space="preserve">对</w:t>
      </w:r>
      <w:r>
        <w:rPr>
          <w:rFonts w:hint="eastAsia" w:cs="宋体" w:asciiTheme="minorEastAsia" w:hAnsiTheme="minorEastAsia" w:eastAsiaTheme="minorEastAsia"/>
          <w:sz w:val="24"/>
          <w:u w:val="single"/>
        </w:rPr>
        <w:t xml:space="preserve">2026年住宿保障类应急物资采购项目</w:t>
      </w:r>
      <w:r>
        <w:rPr>
          <w:rFonts w:hint="eastAsia" w:cs="宋体" w:asciiTheme="minorEastAsia" w:hAnsiTheme="minorEastAsia" w:eastAsiaTheme="minorEastAsia"/>
          <w:sz w:val="24"/>
        </w:rPr>
        <w:t xml:space="preserve">项目进行公开招标采购，现邀请符合相关条件的供应商投标。</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一、项目名称和项目编号</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（一）项目名称：2026年住宿保障类应急物资采购项目。</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（二）项目编号：JSZC-320324-JSRZ-</w:t>
      </w:r>
      <w:r>
        <w:rPr>
          <w:rFonts w:hint="eastAsia" w:cs="宋体" w:asciiTheme="minorEastAsia" w:hAnsiTheme="minorEastAsia" w:eastAsiaTheme="minorEastAsia"/>
          <w:sz w:val="24"/>
        </w:rPr>
        <w:t xml:space="preserve">G2026-0006</w:t>
      </w:r>
      <w:r>
        <w:rPr>
          <w:rFonts w:hint="eastAsia" w:cs="宋体" w:asciiTheme="minorEastAsia" w:hAnsiTheme="minorEastAsia" w:eastAsiaTheme="minorEastAsia"/>
          <w:sz w:val="24"/>
        </w:rPr>
        <w:t xml:space="preserve">。</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二、对投标人的资格要求</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详见本项目公开招标公告。</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三、获取招标文件</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（一）潜在投标人访问电子招标投标交易平台的网络地址和方法：</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潜在供应商访问“苏采云”系统的网络地址和方法：“苏采云”系统的网址：https://jszfcg.jsczt.cn/jszc/login；或进入徐州政府采购网（网址：https://czj.xz.gov.cn/zfcg/index.html）--办事指南--供应商--供应商登录入口，点击“苏采云”进入系统。</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（3）“CA数字证书”的获取：</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供应商需办理CA锁，“苏采云”系统目前仅支持“苏采云”系统下的政务CA，省内各地区办理的“苏采云”系统下的政务CA全省通用。“CA数字证书”的办</w:t>
      </w:r>
      <w:r>
        <w:rPr>
          <w:rFonts w:hint="eastAsia" w:cs="宋体" w:asciiTheme="minorEastAsia" w:hAnsiTheme="minorEastAsia" w:eastAsiaTheme="minorEastAsia"/>
          <w:sz w:val="24"/>
        </w:rPr>
        <w:t xml:space="preserve">理材料详见“徐州政府采购网-办事指南-资料下载”中的《“苏采云”系统政务CA办理材料、操作手册及控件下载》。</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（二）采购代理机构将数据电文形式的招标文件加载至电子招标投标交易平台，供潜在投标人下载或者查阅。</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（三）售价：免费。</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四、投标有关信息</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（一）投标截止时间：</w:t>
      </w:r>
      <w:r>
        <w:rPr>
          <w:rFonts w:hint="eastAsia" w:cs="宋体" w:asciiTheme="minorEastAsia" w:hAnsiTheme="minorEastAsia" w:eastAsiaTheme="minorEastAsia"/>
          <w:b/>
          <w:sz w:val="24"/>
        </w:rPr>
        <w:t xml:space="preserve">2026年10月</w:t>
      </w:r>
      <w:r>
        <w:rPr>
          <w:rFonts w:cs="宋体" w:asciiTheme="minorEastAsia" w:hAnsiTheme="minorEastAsia" w:eastAsiaTheme="minorEastAsia"/>
          <w:b/>
          <w:sz w:val="24"/>
        </w:rPr>
        <w:t xml:space="preserve">30</w:t>
      </w:r>
      <w:r>
        <w:rPr>
          <w:rFonts w:hint="eastAsia" w:cs="宋体" w:asciiTheme="minorEastAsia" w:hAnsiTheme="minorEastAsia" w:eastAsiaTheme="minorEastAsia"/>
          <w:b/>
          <w:sz w:val="24"/>
        </w:rPr>
        <w:t xml:space="preserve">日北京时间09：10</w:t>
      </w:r>
      <w:r>
        <w:rPr>
          <w:rFonts w:hint="eastAsia" w:cs="宋体" w:asciiTheme="minorEastAsia" w:hAnsiTheme="minorEastAsia" w:eastAsiaTheme="minorEastAsia"/>
          <w:sz w:val="24"/>
        </w:rPr>
        <w:t xml:space="preserve">。</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（二）开标时间：</w:t>
      </w:r>
      <w:r>
        <w:rPr>
          <w:rFonts w:hint="eastAsia" w:cs="宋体" w:asciiTheme="minorEastAsia" w:hAnsiTheme="minorEastAsia" w:eastAsiaTheme="minorEastAsia"/>
          <w:b/>
          <w:sz w:val="24"/>
        </w:rPr>
        <w:t xml:space="preserve">2026年10月</w:t>
      </w:r>
      <w:r>
        <w:rPr>
          <w:rFonts w:cs="宋体" w:asciiTheme="minorEastAsia" w:hAnsiTheme="minorEastAsia" w:eastAsiaTheme="minorEastAsia"/>
          <w:b/>
          <w:sz w:val="24"/>
        </w:rPr>
        <w:t xml:space="preserve">30</w:t>
      </w:r>
      <w:r>
        <w:rPr>
          <w:rFonts w:hint="eastAsia" w:cs="宋体" w:asciiTheme="minorEastAsia" w:hAnsiTheme="minorEastAsia" w:eastAsiaTheme="minorEastAsia"/>
          <w:b/>
          <w:sz w:val="24"/>
        </w:rPr>
        <w:t xml:space="preserve">日北京时间09：10</w:t>
      </w:r>
      <w:r>
        <w:rPr>
          <w:rFonts w:hint="eastAsia" w:cs="宋体" w:asciiTheme="minorEastAsia" w:hAnsiTheme="minorEastAsia" w:eastAsiaTheme="minorEastAsia"/>
          <w:sz w:val="24"/>
        </w:rPr>
        <w:t xml:space="preserve">。</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（三）开标地点：“苏采云”系统“开标大厅”或进入徐州政府采购网--办事指南--供应商--供应商登录入口，点击“苏采云”进入系统“开标大厅”。</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五、采购人</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（一）名称：睢宁县经济发展局</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（二）地址：睢宁县永康路1号行政办公中心西小楼</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（三）采购项目联系人：</w:t>
      </w:r>
      <w:r>
        <w:rPr>
          <w:rFonts w:cs="宋体" w:asciiTheme="minorEastAsia" w:hAnsiTheme="minorEastAsia" w:eastAsiaTheme="minorEastAsia"/>
          <w:sz w:val="24"/>
        </w:rPr>
        <w:t xml:space="preserve">张晶、祁萌萌</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（四）联系电话：</w:t>
      </w:r>
      <w:r>
        <w:rPr>
          <w:rFonts w:cs="宋体" w:asciiTheme="minorEastAsia" w:hAnsiTheme="minorEastAsia" w:eastAsiaTheme="minorEastAsia"/>
          <w:sz w:val="24"/>
        </w:rPr>
        <w:t xml:space="preserve"> 0516-68066708</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六、采购代理机构</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（一）名称：江苏润泽工程项目管理有限公司</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（二）地址：睢宁县亚琦万贸中心B</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栋3楼</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（三）采购项目联系人：仝主任</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（四）联系电话：0516-8</w:t>
      </w:r>
      <w:r>
        <w:rPr>
          <w:rFonts w:cs="宋体" w:asciiTheme="minorEastAsia" w:hAnsiTheme="minorEastAsia" w:eastAsiaTheme="minorEastAsia"/>
          <w:sz w:val="24"/>
        </w:rPr>
        <w:t xml:space="preserve">1306777</w:t>
      </w:r>
      <w:r/>
    </w:p>
    <w:p>
      <w:pPr>
        <w:ind w:firstLine="300"/>
        <w:spacing w:line="519" w:lineRule="atLeast"/>
        <w:rPr>
          <w:rFonts w:cs="宋体" w:asciiTheme="minorEastAsia" w:hAnsiTheme="minorEastAsia" w:eastAsiaTheme="minorEastAsia"/>
          <w:sz w:val="3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rPr>
      </w:r>
      <w:r/>
    </w:p>
    <w:p>
      <w:pPr>
        <w:ind w:firstLine="600"/>
        <w:spacing w:line="360"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rPr>
        <w:t xml:space="preserve"> </w:t>
      </w:r>
      <w:r/>
    </w:p>
    <w:p>
      <w:pPr>
        <w:ind w:firstLine="600"/>
        <w:spacing w:line="360"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rPr>
        <w:t xml:space="preserve"> </w:t>
      </w:r>
      <w:r/>
    </w:p>
    <w:p>
      <w:pPr>
        <w:jc w:val="center"/>
        <w:spacing w:line="720" w:lineRule="atLeast"/>
        <w:rPr>
          <w:rFonts w:cs="宋体" w:asciiTheme="minorEastAsia" w:hAnsiTheme="minorEastAsia" w:eastAsiaTheme="minorEastAsia"/>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outlineLvl w:val="0"/>
      </w:pPr>
      <w:r>
        <w:rPr>
          <w:rFonts w:cs="宋体" w:asciiTheme="minorEastAsia" w:hAnsiTheme="minorEastAsia" w:eastAsiaTheme="minorEastAsia"/>
          <w:b/>
          <w:sz w:val="30"/>
        </w:rPr>
      </w:r>
      <w:r/>
    </w:p>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b/>
          <w:sz w:val="30"/>
          <w:szCs w:val="30"/>
        </w:rPr>
        <w:t xml:space="preserve">第二章 投标人须知</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一、总则</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（一）采购人。采购人即指依法进行政府采购的国家机关、事业单位和团体组织。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（二）政府招标采购方式。政府采购货物或服务（以下简称“货物服务”）的招标方式，分为公开招标和邀请招标。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（五）采购人委托采购代理机构代理招标的，采购代理机构必须在采购人委托的范围内依法开展采购活动。</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（六）投标人的资格条件：</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投标人是指响应招标、参加投标竞争的法人、其他组织或者自然人。</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2.投标人授权代表系指法定代表人或受法人委托的受托人。</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（七）投标费用：投标人应承担所有与准备和参加投标有关的费用。无论投标的结果如何，采购代理机构对上述费用不承担任何责任和义务。</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二、招标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（八）招标文件应包括以下内容：</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第一章，投标邀请；</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第二章，投标人须知；</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第三章，投标资料表；</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第四章，评标标准；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第五章，拟签订的合同文本；</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第六章，采购需求；</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第七章，投标文件相关格式。</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（九）招标文件澄清或者修改：</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2.现场考察以本文件第三章《投标资料表》中的要求为准。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3.开标前答疑会以本文件第三章《投标资料表》中的要求为准。</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三、投标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（十）投标人应当按照招标文件的要求编制投标文件。投标文件应对招标文件提出的要求和条件作出实质性响应。</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（十二）投标文件的构成：</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1.投标文件的构成以本文件第三章《投标资料表》中的要求为准。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2.投标人应当提交的资格、资信证明文件，以本文件第三章《投标资料表》中的所提要求为准。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（十三）投标函和价格表、商务条件、交货和提供服务的时间：</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1.投标函和价格表的要求见本章（十二）、（十三），格式见本文件第七章《投标文件相关格式》中《投标函》和《开标一览表》。</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2.商务条件以本文件第三章《投标资料表》中的要求为准。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3.交货和提供服务的时间，以本文件第三章《投标资料表》中所提要求为准。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（十四）投标报价要求：</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1.投标人应按照招标文件的要求报出分项价格和总价。</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2.投标人应按照招标文件的要求进行报价，如投标人作出偏离，应在《偏离表》中列出。</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3.采购人不支付报价以外的任何费用。</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5.投标人只能提交一个投标价格，投标人提交多个价格的投标文件，在资格性、符合性检查时按照无效投标处理。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（十五）投标货币。以本文件第三章《投标资料表》中所提要求为准。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（十六）投标有效期：</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1.投标有效期为开标之日后90天。采购人可以要求对投标有效期延长一次，但该延长期最长不得超过30天。</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（十七）投标文件的编制要求和签署要求：</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（2）投标人应对 CA 证书妥善保管，如被他人盗用投标，因此带来的结果均由投标人自行承担。</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（3）投标人应当对招标文件提出的要求和条件作出实质性响应，并在电子投标系统逐条应答。</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（4）投标人应对要求提供的资格证明文件（如资质证书、资格证书）、技术资料（如白皮书、彩页、手册、检测报告等）扫描上传至投标系统。</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（十八）投标文件的盖章要求</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1.投标文件的盖章要求以招标文件第三章《投标资料表》中的要求为准。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（十九）提交投标文件的截止时间和收到投标文件后注意事项。投标人应</w:t>
      </w:r>
      <w:r>
        <w:rPr>
          <w:rFonts w:hint="eastAsia" w:cs="宋体" w:asciiTheme="minorEastAsia" w:hAnsiTheme="minorEastAsia" w:eastAsiaTheme="minorEastAsia"/>
          <w:sz w:val="24"/>
        </w:rPr>
        <w:t xml:space="preserve">在招标文件要求的提交投标文件的截止时间前，将投标文件提交至“苏采云”系统。</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（二十二）本项目不允许分包。</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在评标过程中发现投标人有上述情形的，评标委员会应当认定其投标无效，并书面报告本级财政部门。</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（二十四）有下列情形之一的，其投标无效。</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1.不同投标人的投标文件，由同一单位或者个人编制；</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2.不同投标人委托同一单位或者个人办理投标事宜；</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3.不同投标人的投标文件中，所载明的项目管理成员或联系人为同一人；</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4.不同投标人的投标文件，异常一致或者投标报价呈规律性差异；</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5.不同投标人的投标文件相互混装；</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7.电子投标文件未按规定期限投标的；</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8.电子投标文件未按招标文件要求签章的；</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9.投标人未在规定时间内解密电子投标文件的；</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10.投标文件未按招标文件规定的内容和要求填写的；没有在投标系统指定位置上传对应文件、材料的。</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11.投标文件未按招标文件要求签署、盖章的；</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12.不具备招标文件中规定的资格要求的；</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13.报价超过招标文件中规定的预算金额或者最高限价的；</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14.投标文件含有采购人不能接受的附加条件的；</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15.法律、法规和招标文件规定的其他无效情形。</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四、开标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（二十五）开标：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1.所有投标单位凭CA证书在到达开标时间时，解密各自投标文件，由工作人员操作系统进行开标、并宣读各投标人的《开标一览表》。</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2.投标人不足3家的，不得开标。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3.开标过程由采购代理机构负责记录。</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5.投标人未参加开标的，视同认可开标结果。</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五、评标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（二十六）公开招标采购项目开标结束后，采购人依法对投标人的资格进行审查。合格投标人不足3家的，不得评标。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1.评标工作由采购代理机构负责组织，并履行下列职责：</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（2）宣布评标纪律；</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（3）公布投标人名单，告知评审专家应当回避的情形；</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（4）组织评标委员会推选评标组长（采购人代表不得担任组长）；</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（5）在评标期间采取必要的通讯管理措施，保证评标活动不受外界干扰；</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（6）根据评标委员会的要求介绍政府采购相关政策法规、招标文件；</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（8）核对评标结果，对有《</w:t>
      </w:r>
      <w:hyperlink r:id="rId22" w:tooltip="http://www.caigou2003.com/" w:history="1">
        <w:r>
          <w:rPr>
            <w:rStyle w:val="872"/>
            <w:rFonts w:hint="eastAsia" w:cs="宋体" w:asciiTheme="minorEastAsia" w:hAnsiTheme="minorEastAsia" w:eastAsiaTheme="minorEastAsia"/>
            <w:color w:val="auto"/>
            <w:sz w:val="24"/>
          </w:rPr>
          <w:t xml:space="preserve">政府采购</w:t>
        </w:r>
      </w:hyperlink>
      <w:r>
        <w:rPr>
          <w:rFonts w:hint="eastAsia" w:cs="宋体" w:asciiTheme="minorEastAsia" w:hAnsiTheme="minorEastAsia" w:eastAsiaTheme="minorEastAsia"/>
          <w:sz w:val="24"/>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（9）评审工作完成后，按照规定向评审专家支付劳务报酬和异地评审差旅</w:t>
      </w:r>
      <w:r>
        <w:rPr>
          <w:rFonts w:hint="eastAsia" w:cs="宋体" w:asciiTheme="minorEastAsia" w:hAnsiTheme="minorEastAsia" w:eastAsiaTheme="minorEastAsia"/>
          <w:sz w:val="24"/>
        </w:rPr>
        <w:t xml:space="preserve">费，不得向评审专家以外的其他人员支付评审劳务报酬； </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（10）处理与评标有关的其他事项。</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2.评标委员会负责具体评标事务，并独立履行下列职责：</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（1）审查、评价投标文件是否符合招标文件的商务、技术等实质性要求；</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（2）要求投标人对投标文件有关事项作出澄清或者说明；</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（3）对投标文件进行比较和评价；</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（4）确定中标候选人名单，以及根据采购人委托直接确定中标人；</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（5）向采购人、采购代理机构或有关部门报告评标中发现的违法行为。</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（二十七）评标方法分为最低评标价法和综合评分法。</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（二十八）评标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1.评标工作程序：</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（1）投标文件初审。</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①资格性审查。</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②符合性审查。</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（2）澄清有关问题。</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（3）比较与评价。</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（4）推荐中标候选供应商名单。</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（5）编写评审报告（评标报告）。</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3.采用</w:t>
      </w:r>
      <w:hyperlink r:id="rId23" w:tooltip="http://lilun.caigou2003.com/recijiedu/2365668.html" w:history="1">
        <w:r>
          <w:rPr>
            <w:rStyle w:val="872"/>
            <w:rFonts w:hint="eastAsia" w:cs="宋体" w:asciiTheme="minorEastAsia" w:hAnsiTheme="minorEastAsia" w:eastAsiaTheme="minorEastAsia"/>
            <w:color w:val="auto"/>
            <w:sz w:val="24"/>
          </w:rPr>
          <w:t xml:space="preserve">最低评标价法</w:t>
        </w:r>
      </w:hyperlink>
      <w:r>
        <w:rPr>
          <w:rFonts w:hint="eastAsia" w:cs="宋体" w:asciiTheme="minorEastAsia" w:hAnsiTheme="minorEastAsia" w:eastAsiaTheme="minorEastAsia"/>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采用</w:t>
      </w:r>
      <w:hyperlink r:id="rId24" w:tooltip="http://lilun.caigou2003.com/recijiedu/2365667.html" w:history="1">
        <w:r>
          <w:rPr>
            <w:rStyle w:val="872"/>
            <w:rFonts w:hint="eastAsia" w:cs="宋体" w:asciiTheme="minorEastAsia" w:hAnsiTheme="minorEastAsia" w:eastAsiaTheme="minorEastAsia"/>
            <w:color w:val="auto"/>
            <w:sz w:val="24"/>
          </w:rPr>
          <w:t xml:space="preserve">综合评分法</w:t>
        </w:r>
      </w:hyperlink>
      <w:r>
        <w:rPr>
          <w:rFonts w:hint="eastAsia" w:cs="宋体" w:asciiTheme="minorEastAsia" w:hAnsiTheme="minorEastAsia" w:eastAsiaTheme="minorEastAsia"/>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cs="宋体" w:asciiTheme="minorEastAsia" w:hAnsiTheme="minorEastAsia" w:eastAsiaTheme="minorEastAsia"/>
          <w:sz w:val="24"/>
        </w:rPr>
        <w:t xml:space="preserve">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非单一产品采购项目，多家投标人提供的核心产品品牌相同的，按前两款规定处理。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（二十九）投标文件报价出现前后不一致的，按照下列规定修正：</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1.投标文件中开标一览表（报价表）内容与投标文件中相应内容不一致的，以开标一览表（报价表）为准；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2.大写金额和小写金额不一致的，以大写金额为准；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3.单价金额小数点或者百分比有明显错位的，以开标一览表的总价为准，并修改单价；</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4.总价金额与按单价合计金额不一致的，以单价金额计算结果为准。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（三十）实施政府采购异常低价审查的有关要求：</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（一）评审中出现下列情形之一的，评审（评标）委员会应当启动异常低价投标（响应）审查程序：</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1.投标（响应）报价低于全部通过符合性审查供应商投标（响应）报价平均值</w:t>
      </w:r>
      <w:r>
        <w:rPr>
          <w:rFonts w:hint="eastAsia" w:cs="宋体" w:asciiTheme="minorEastAsia" w:hAnsiTheme="minorEastAsia" w:eastAsiaTheme="minorEastAsia"/>
          <w:b/>
          <w:bCs/>
          <w:sz w:val="24"/>
        </w:rPr>
        <w:t xml:space="preserve">50%的</w:t>
      </w:r>
      <w:r>
        <w:rPr>
          <w:rFonts w:hint="eastAsia" w:cs="宋体" w:asciiTheme="minorEastAsia" w:hAnsiTheme="minorEastAsia" w:eastAsiaTheme="minorEastAsia"/>
          <w:sz w:val="24"/>
        </w:rPr>
        <w:t xml:space="preserve">，即投标（响应）报价&lt;全部通过符合性审查供应商投标（响应）报价平均值</w:t>
      </w:r>
      <w:r>
        <w:rPr>
          <w:rFonts w:hint="eastAsia" w:cs="宋体" w:asciiTheme="minorEastAsia" w:hAnsiTheme="minorEastAsia" w:eastAsiaTheme="minorEastAsia"/>
          <w:b/>
          <w:bCs/>
          <w:sz w:val="24"/>
        </w:rPr>
        <w:t xml:space="preserve">×50%；</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2.投标（响应）报价低于通过符合性审查的次低报价供应商投标（响应）报价</w:t>
      </w:r>
      <w:r>
        <w:rPr>
          <w:rFonts w:hint="eastAsia" w:cs="宋体" w:asciiTheme="minorEastAsia" w:hAnsiTheme="minorEastAsia" w:eastAsiaTheme="minorEastAsia"/>
          <w:b/>
          <w:bCs/>
          <w:sz w:val="24"/>
        </w:rPr>
        <w:t xml:space="preserve">50%的</w:t>
      </w:r>
      <w:r>
        <w:rPr>
          <w:rFonts w:hint="eastAsia" w:cs="宋体" w:asciiTheme="minorEastAsia" w:hAnsiTheme="minorEastAsia" w:eastAsiaTheme="minorEastAsia"/>
          <w:sz w:val="24"/>
        </w:rPr>
        <w:t xml:space="preserve">，即投标（响应）报价&lt;通过符合性审查的次低报价供应商投标（响应）报价</w:t>
      </w:r>
      <w:r>
        <w:rPr>
          <w:rFonts w:hint="eastAsia" w:cs="宋体" w:asciiTheme="minorEastAsia" w:hAnsiTheme="minorEastAsia" w:eastAsiaTheme="minorEastAsia"/>
          <w:b/>
          <w:bCs/>
          <w:sz w:val="24"/>
        </w:rPr>
        <w:t xml:space="preserve">×50%；</w:t>
      </w:r>
      <w:r/>
    </w:p>
    <w:p>
      <w:pPr>
        <w:ind w:firstLine="480"/>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3.投标（响应）报价低于采购项目最高限价（未设定最高限价的采购项目，以采购项目预算金额作为最高限价）</w:t>
      </w:r>
      <w:r>
        <w:rPr>
          <w:rFonts w:hint="eastAsia" w:cs="宋体" w:asciiTheme="minorEastAsia" w:hAnsiTheme="minorEastAsia" w:eastAsiaTheme="minorEastAsia"/>
          <w:b/>
          <w:bCs/>
          <w:sz w:val="24"/>
        </w:rPr>
        <w:t xml:space="preserve">50%的，</w:t>
      </w:r>
      <w:r>
        <w:rPr>
          <w:rFonts w:hint="eastAsia" w:cs="宋体" w:asciiTheme="minorEastAsia" w:hAnsiTheme="minorEastAsia" w:eastAsiaTheme="minorEastAsia"/>
          <w:sz w:val="24"/>
        </w:rPr>
        <w:t xml:space="preserve">即投标（响应）报价&lt;采购项目最高限价</w:t>
      </w:r>
      <w:r>
        <w:rPr>
          <w:rFonts w:hint="eastAsia" w:cs="宋体" w:asciiTheme="minorEastAsia" w:hAnsiTheme="minorEastAsia" w:eastAsiaTheme="minorEastAsia"/>
          <w:b/>
          <w:bCs/>
          <w:sz w:val="24"/>
        </w:rPr>
        <w:t xml:space="preserve">×50%；</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4.评审（评标）委员会基于专业判断，认为供应商报价过低，有可能影响</w:t>
      </w:r>
      <w:r>
        <w:rPr>
          <w:rFonts w:hint="eastAsia" w:cs="宋体" w:asciiTheme="minorEastAsia" w:hAnsiTheme="minorEastAsia" w:eastAsiaTheme="minorEastAsia"/>
          <w:sz w:val="24"/>
        </w:rPr>
        <w:t xml:space="preserve">产品质量或者不能诚信履约的其他情形。</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相关法律法规对供应商报价有规定的，从其规定。</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（二）评审（评标）委员会启动异常低价投标（响应）审查后，属于前述第1项至第4项情形的，应当要求相关供应商在评审现场合理的时间内对投标（响应）价格作出解释，</w:t>
      </w:r>
      <w:r>
        <w:rPr>
          <w:rFonts w:hint="eastAsia" w:cs="宋体" w:asciiTheme="minorEastAsia" w:hAnsiTheme="minorEastAsia" w:eastAsiaTheme="minorEastAsia"/>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cs="宋体" w:asciiTheme="minorEastAsia" w:hAnsiTheme="minorEastAsia" w:eastAsiaTheme="minorEastAsia"/>
          <w:sz w:val="24"/>
        </w:rPr>
        <w:t xml:space="preserve">其中，属于第3项情形，供应商已随投标（响应）文件一并提交相关书面说明及必要的证明材料的，在评审现场可不再重复提交。</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（三十二）废标条款：</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出现下列情形之一的，应予废标。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1.符合专业条件的供应商或者对招标文件作实质响应的供应商不足三家的；</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2.出现影响采购公正的违法、违规行为的；</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3.投标人的报价均超过了采购预算，采购人不能支付的；</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4.因重大变故，采购任务取消的。</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六、定标</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（三十三）采购代理机构应当在评标结束后2个工作日内将评标报告送采购人。</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（三十四）采购人应当自收到评标报告之日起5个工作日内，在评标报告确定的中标候选人名单中按顺序确定中标人。</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（三十五）采购人有权对投标人投标文件的真实性进行核实，如果投标人不能在采购人规定的时间内向采购人提供有效的证明文件，将被采购人视为放弃中标资格。</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七、政府采购合同</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（三十六）签订政府采购合同（合同签订方式）：</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采购人不得向中标人提出任何不合理的要求作为签订合同的条件。</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（三十八）履约保证金：详见《第三章 投标资料表》。</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（三十九）腐败和欺诈行为：</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（1）腐败和欺诈行为的含义：</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①“腐败行为”系指在招标、采购和合同执行等过程中，为了谋求私利，影响相关人员提供、给予、接受或索取有价物品，并导致损害买方、卖方、采</w:t>
      </w:r>
      <w:r>
        <w:rPr>
          <w:rFonts w:hint="eastAsia" w:cs="宋体" w:asciiTheme="minorEastAsia" w:hAnsiTheme="minorEastAsia" w:eastAsiaTheme="minorEastAsia"/>
          <w:sz w:val="24"/>
        </w:rPr>
        <w:t xml:space="preserve">购代理机构和他人利益的行为。</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（2）如果被推荐的中标人有腐败和欺诈行为，将取消其中标资格。</w:t>
      </w:r>
      <w:r/>
    </w:p>
    <w:p>
      <w:pPr>
        <w:ind w:firstLine="480"/>
        <w:spacing w:line="360" w:lineRule="auto"/>
        <w:shd w:val="clear" w:color="ffffff" w:fill="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（3）如果投标人在任何时候，被法院及政府有关管理部门认定为有腐败和欺诈行为，采购代理机构有权拒绝其投标、取消其中标资格和撤销其已签署的合同。</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八、询问和质疑</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（四十）询问和质疑</w:t>
      </w:r>
      <w:r/>
    </w:p>
    <w:p>
      <w:pPr>
        <w:ind w:firstLine="480"/>
        <w:spacing w:line="360" w:lineRule="auto"/>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cs="宋体" w:asciiTheme="minorEastAsia" w:hAnsiTheme="minorEastAsia" w:eastAsiaTheme="minorEastAsia"/>
          <w:b/>
          <w:sz w:val="24"/>
        </w:rPr>
        <w:t xml:space="preserve"> </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九、电子招标投标交易平台</w:t>
      </w:r>
      <w:r/>
    </w:p>
    <w:p>
      <w:pPr>
        <w:ind w:firstLine="482"/>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（四十一）电子招标投标交易平台（即“苏采云”系统，网址：https://jszfcg.jsczt.cn/jszc/login）相关要求是本招标文件的组成部分。</w:t>
      </w:r>
      <w:r>
        <w:rPr>
          <w:rFonts w:hint="eastAsia" w:cs="宋体" w:asciiTheme="minorEastAsia" w:hAnsiTheme="minorEastAsia" w:eastAsiaTheme="minorEastAsia"/>
        </w:rPr>
        <w:br w:type="page" w:clear="all"/>
      </w:r>
      <w:r/>
    </w:p>
    <w:p>
      <w:pPr>
        <w:jc w:val="center"/>
        <w:spacing w:line="360" w:lineRule="auto"/>
        <w:rPr>
          <w:rFonts w:cs="宋体" w:asciiTheme="minorEastAsia" w:hAnsiTheme="minorEastAsia" w:eastAsiaTheme="minorEastAsia"/>
          <w:sz w:val="30"/>
          <w:szCs w:val="30"/>
        </w:rPr>
        <w:pBdr>
          <w:top w:val="none" w:color="000000" w:sz="0" w:space="0"/>
          <w:left w:val="none" w:color="000000" w:sz="0" w:space="0"/>
          <w:bottom w:val="none" w:color="000000" w:sz="0" w:space="0"/>
          <w:right w:val="none" w:color="000000" w:sz="0" w:space="0"/>
        </w:pBdr>
        <w:outlineLvl w:val="0"/>
      </w:pPr>
      <w:r>
        <w:rPr>
          <w:rFonts w:hint="eastAsia" w:cs="宋体" w:asciiTheme="minorEastAsia" w:hAnsiTheme="minorEastAsia" w:eastAsiaTheme="minorEastAsia"/>
          <w:b/>
          <w:sz w:val="30"/>
          <w:szCs w:val="30"/>
        </w:rPr>
        <w:t xml:space="preserve">第三章 投标资料表</w:t>
      </w:r>
      <w:r/>
    </w:p>
    <w:p>
      <w:pPr>
        <w:ind w:firstLine="60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该资料表的条款项号是与《投标人须知》的条款项号相对应的，若有增加的条款，是对《投标人须知》的补充、修改和完善，如果因此而造成矛盾时，应以本资料表为准。</w:t>
      </w:r>
      <w:r/>
    </w:p>
    <w:tbl>
      <w:tblPr>
        <w:tblStyle w:val="862"/>
        <w:tblW w:w="525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right w:w="108" w:type="dxa"/>
        </w:tblCellMar>
        <w:tblLook w:val="04A0" w:firstRow="1" w:lastRow="0" w:firstColumn="1" w:lastColumn="0" w:noHBand="0" w:noVBand="1"/>
      </w:tblPr>
      <w:tblGrid>
        <w:gridCol w:w="1190"/>
        <w:gridCol w:w="7526"/>
      </w:tblGrid>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条款项号</w:t>
            </w:r>
            <w:r/>
          </w:p>
        </w:tc>
        <w:tc>
          <w:tcPr>
            <w:tcMar>
              <w:left w:w="108" w:type="dxa"/>
              <w:top w:w="0" w:type="dxa"/>
              <w:right w:w="108" w:type="dxa"/>
              <w:bottom w:w="0" w:type="dxa"/>
            </w:tcMar>
            <w:tcW w:w="7730"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内 容</w:t>
            </w:r>
            <w:r/>
          </w:p>
        </w:tc>
      </w:tr>
      <w:tr>
        <w:trPr>
          <w:jc w:val="center"/>
          <w:trHeight w:val="351"/>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一</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总则</w:t>
            </w:r>
            <w:r/>
          </w:p>
        </w:tc>
      </w:tr>
      <w:tr>
        <w:trPr>
          <w:jc w:val="center"/>
          <w:trHeight w:val="367"/>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本项目采购人：睢宁县经济发展局</w:t>
            </w:r>
            <w:r/>
          </w:p>
        </w:tc>
      </w:tr>
      <w:tr>
        <w:trPr>
          <w:jc w:val="center"/>
          <w:trHeight w:val="351"/>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本次采购采用的政府采购方式：公开招标</w:t>
            </w:r>
            <w:r/>
          </w:p>
        </w:tc>
      </w:tr>
      <w:tr>
        <w:trPr>
          <w:jc w:val="center"/>
          <w:trHeight w:val="351"/>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(四)</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采购人确定的采购项目属性：货物</w:t>
            </w:r>
            <w:r/>
          </w:p>
        </w:tc>
      </w:tr>
      <w:tr>
        <w:trPr>
          <w:jc w:val="center"/>
          <w:trHeight w:val="385"/>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(五)</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本项目采购代理机构：江苏润泽工程项目管理有限公司</w:t>
            </w:r>
            <w:r/>
          </w:p>
        </w:tc>
      </w:tr>
      <w:tr>
        <w:trPr>
          <w:jc w:val="center"/>
          <w:trHeight w:val="508"/>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(六)</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投标人的资格条件：</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一、符合《中华人民共和国政府采购法》第二十二条的规定；</w:t>
            </w:r>
            <w:r/>
          </w:p>
          <w:p>
            <w:pPr>
              <w:spacing w:line="360" w:lineRule="auto"/>
              <w:rPr>
                <w:rFonts w:cs="仿宋"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二、</w:t>
            </w:r>
            <w:r>
              <w:rPr>
                <w:rFonts w:hint="eastAsia" w:cs="仿宋" w:asciiTheme="minorEastAsia" w:hAnsiTheme="minorEastAsia" w:eastAsiaTheme="minorEastAsia"/>
                <w:sz w:val="24"/>
              </w:rPr>
              <w:t xml:space="preserve">落实政府采购政策需满足的资格要求：</w:t>
            </w:r>
            <w:r>
              <w:rPr>
                <w:rFonts w:hint="eastAsia" w:cs="仿宋" w:asciiTheme="minorEastAsia" w:hAnsiTheme="minorEastAsia" w:eastAsiaTheme="minorEastAsia"/>
                <w:b/>
                <w:bCs/>
                <w:sz w:val="24"/>
              </w:rPr>
              <w:t xml:space="preserve">本项目属于专门面向中小企业采购的项目，供应商应为中小微企业、监狱企业、残疾人福利性单位。</w:t>
            </w:r>
            <w:r/>
          </w:p>
          <w:p>
            <w:pPr>
              <w:pStyle w:val="896"/>
              <w:spacing w:line="360" w:lineRule="auto"/>
              <w:rPr>
                <w:rFonts w:cs="宋体" w:asciiTheme="minorEastAsia" w:hAnsiTheme="minorEastAsia" w:eastAsiaTheme="minorEastAsia"/>
                <w:b/>
                <w:sz w:val="24"/>
              </w:rPr>
            </w:pPr>
            <w:r>
              <w:rPr>
                <w:rFonts w:hint="eastAsia" w:cs="仿宋" w:asciiTheme="minorEastAsia" w:hAnsiTheme="minorEastAsia" w:eastAsiaTheme="minorEastAsia"/>
                <w:sz w:val="24"/>
              </w:rPr>
              <w:t xml:space="preserve">三、本项目的特定资格要求：无</w:t>
            </w:r>
            <w:r>
              <w:rPr>
                <w:rFonts w:hint="eastAsia" w:cs="宋体" w:asciiTheme="minorEastAsia" w:hAnsiTheme="minorEastAsia" w:eastAsiaTheme="minorEastAsia"/>
                <w:b/>
                <w:sz w:val="24"/>
              </w:rPr>
              <w:t xml:space="preserve">。</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同时明确相关事项如下：</w:t>
            </w:r>
            <w:r/>
          </w:p>
          <w:p>
            <w:pPr>
              <w:ind w:firstLine="2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1、本项目不接受联合体参与采购活动。</w:t>
            </w:r>
            <w:r/>
          </w:p>
          <w:p>
            <w:pPr>
              <w:ind w:firstLine="2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2、单位负责人为同一人或者存在直接控股、管理关系的不同供应商，不得参加同一合同项下的政府采购活动。</w:t>
            </w:r>
            <w:r/>
          </w:p>
          <w:p>
            <w:pPr>
              <w:ind w:firstLine="2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3、为本采购项目提供整体设计、规范编制或者项目管理、监理、检测等服务的供应商，不得再参加本采购项目的采购活动。</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五、查询及使用供应商信用记录：</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（一）由采购人查询信用信息。</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（二）查询渠道包括：</w:t>
            </w:r>
            <w:r/>
          </w:p>
          <w:p>
            <w:pPr>
              <w:ind w:firstLine="280"/>
              <w:jc w:val="left"/>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1、“信用中国”网（www.creditchina.gov.cn）；</w:t>
            </w:r>
            <w:r/>
          </w:p>
          <w:p>
            <w:pPr>
              <w:ind w:firstLine="280"/>
              <w:jc w:val="left"/>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2、中国政府采购网（www.ccgp.gov.cn）；</w:t>
            </w:r>
            <w:r/>
          </w:p>
          <w:p>
            <w:pPr>
              <w:ind w:firstLine="280"/>
              <w:jc w:val="left"/>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3、“信用江苏”网（http://credit.jiangsu.gov.cn）；</w:t>
            </w:r>
            <w:r/>
          </w:p>
          <w:p>
            <w:pPr>
              <w:ind w:firstLine="280"/>
              <w:jc w:val="left"/>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4、“信用中国（江苏徐州）”</w:t>
            </w:r>
            <w:r>
              <w:rPr>
                <w:rFonts w:hint="eastAsia" w:cs="宋体" w:asciiTheme="minorEastAsia" w:hAnsiTheme="minorEastAsia" w:eastAsiaTheme="minorEastAsia"/>
                <w:sz w:val="24"/>
              </w:rPr>
              <w:t xml:space="preserve">（http://www.xuzhoucredit.gov.cn）；</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（三）截止时点（查询环节）：开标后资格审查结束前。</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（四）信用信息查询记录和证据留存的具体方式：网页截屏打印，与其他采购文件一并保存。</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（五）信用信息的使用规则：</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(七)</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招标代理服务费由</w:t>
            </w:r>
            <w:r>
              <w:rPr>
                <w:rFonts w:hint="eastAsia" w:cs="宋体" w:asciiTheme="minorEastAsia" w:hAnsiTheme="minorEastAsia" w:eastAsiaTheme="minorEastAsia"/>
                <w:sz w:val="24"/>
              </w:rPr>
              <w:t xml:space="preserve">采</w:t>
            </w:r>
            <w:r>
              <w:rPr>
                <w:rFonts w:hint="eastAsia" w:cs="宋体" w:asciiTheme="minorEastAsia" w:hAnsiTheme="minorEastAsia" w:eastAsiaTheme="minorEastAsia"/>
                <w:sz w:val="24"/>
              </w:rPr>
              <w:t xml:space="preserve">购</w:t>
            </w:r>
            <w:r>
              <w:rPr>
                <w:rFonts w:hint="eastAsia" w:cs="宋体" w:asciiTheme="minorEastAsia" w:hAnsiTheme="minorEastAsia" w:eastAsiaTheme="minorEastAsia"/>
                <w:sz w:val="24"/>
              </w:rPr>
              <w:t xml:space="preserve">人支付。按《招标代理服务收费标准》收取（见附件）。</w:t>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二</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招标</w:t>
            </w:r>
            <w:r/>
          </w:p>
        </w:tc>
      </w:tr>
      <w:tr>
        <w:trPr>
          <w:jc w:val="center"/>
          <w:trHeight w:val="1504"/>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(九)1</w:t>
            </w:r>
            <w:r/>
          </w:p>
        </w:tc>
        <w:tc>
          <w:tcPr>
            <w:tcMar>
              <w:left w:w="108" w:type="dxa"/>
              <w:top w:w="0" w:type="dxa"/>
              <w:right w:w="108" w:type="dxa"/>
              <w:bottom w:w="0" w:type="dxa"/>
            </w:tcMar>
            <w:tcW w:w="7730" w:type="dxa"/>
            <w:textDirection w:val="lrTb"/>
            <w:noWrap w:val="false"/>
          </w:tcPr>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Height w:val="351"/>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(九)2</w:t>
            </w:r>
            <w:r/>
          </w:p>
        </w:tc>
        <w:tc>
          <w:tcPr>
            <w:tcMar>
              <w:left w:w="108" w:type="dxa"/>
              <w:top w:w="0" w:type="dxa"/>
              <w:right w:w="108" w:type="dxa"/>
              <w:bottom w:w="0" w:type="dxa"/>
            </w:tcMar>
            <w:tcW w:w="7730" w:type="dxa"/>
            <w:textDirection w:val="lrTb"/>
            <w:noWrap w:val="false"/>
          </w:tcPr>
          <w:p>
            <w:pPr>
              <w:spacing w:line="360" w:lineRule="auto"/>
              <w:tabs>
                <w:tab w:val="left" w:pos="5760" w:leader="none"/>
              </w:tabs>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自行现场勘察。</w:t>
            </w:r>
            <w:r/>
          </w:p>
        </w:tc>
      </w:tr>
      <w:tr>
        <w:trPr>
          <w:jc w:val="center"/>
          <w:trHeight w:val="318"/>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(九)3</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不安排开标前答疑会。</w:t>
            </w:r>
            <w:r/>
          </w:p>
        </w:tc>
      </w:tr>
      <w:tr>
        <w:trPr>
          <w:jc w:val="center"/>
          <w:trHeight w:val="334"/>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三</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投标</w:t>
            </w:r>
            <w:r/>
          </w:p>
        </w:tc>
      </w:tr>
      <w:tr>
        <w:trPr>
          <w:jc w:val="center"/>
          <w:trHeight w:val="385"/>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(十一)</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投标文件的语言为中文</w:t>
            </w:r>
            <w:r/>
          </w:p>
        </w:tc>
      </w:tr>
      <w:tr>
        <w:trPr>
          <w:jc w:val="center"/>
          <w:trHeight w:val="472"/>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(十二)1</w:t>
            </w:r>
            <w:r/>
          </w:p>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(十二)2</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线上投标文件编制要求：</w:t>
            </w:r>
            <w:r/>
          </w:p>
          <w:p>
            <w:pPr>
              <w:spacing w:line="360" w:lineRule="auto"/>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请按照以下要求（包括但不限于以下要求）制作：</w:t>
            </w:r>
            <w:r/>
          </w:p>
          <w:p>
            <w:pPr>
              <w:spacing w:line="360" w:lineRule="auto"/>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一、基本目录</w:t>
            </w:r>
            <w:r/>
          </w:p>
          <w:p>
            <w:pPr>
              <w:spacing w:line="360" w:lineRule="auto"/>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1、《开标一览表》（加盖电子签章，政府采购客户端工具输入报价自动生成）；</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2、所投产品的环境标志产品认证证书原件的扫描件（如有）。</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注：</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（1）所投产品属于《环境标志产品政府采购品目清单》（由财政部 </w:t>
            </w:r>
            <w:r>
              <w:rPr>
                <w:rFonts w:hint="eastAsia" w:cs="宋体" w:asciiTheme="minorEastAsia" w:hAnsiTheme="minorEastAsia" w:eastAsiaTheme="minorEastAsia"/>
                <w:sz w:val="24"/>
              </w:rPr>
              <w:t xml:space="preserve">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（2）环境标志产品认证证书是否符合要求，采购人评标时查询中国政府采购网（www.ccgp.gov.cn）相关内容后确定。</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3、所投产品的节能产品认证证书原件的扫描件（如有）。</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注：</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（2）节能产品认证证书是否符合要求，采购人评标时查询中国政府采购网（www.ccgp.gov.cn）相关内容后确定。</w:t>
            </w:r>
            <w:r/>
          </w:p>
          <w:p>
            <w:pPr>
              <w:spacing w:line="360" w:lineRule="auto"/>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4、其它（包含但不限于本国产品的声明函等，如有）。</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二、资格条件（必须提供，否则投标将被拒绝）</w:t>
            </w:r>
            <w:r/>
          </w:p>
          <w:p>
            <w:pPr>
              <w:spacing w:line="360" w:lineRule="auto"/>
              <w:rPr>
                <w:rFonts w:asciiTheme="minorEastAsia" w:hAnsiTheme="minorEastAsia" w:eastAsia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（一）投标人合法有效的营业执照扫描件，或事业单位法人证书扫描件，或民办非企业单位登记证书扫描件；</w:t>
            </w:r>
            <w:r/>
          </w:p>
          <w:p>
            <w:pPr>
              <w:ind w:right="28"/>
              <w:spacing w:line="360" w:lineRule="auto"/>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w:t>
            </w:r>
            <w:r>
              <w:rPr>
                <w:rFonts w:hint="eastAsia" w:cs="宋体" w:asciiTheme="minorEastAsia" w:hAnsiTheme="minorEastAsia" w:eastAsiaTheme="minorEastAsia"/>
                <w:sz w:val="24"/>
              </w:rPr>
              <w:t xml:space="preserve">二）财务状况报告（即提供投标人的本项目开标时间（不含开标当月）前6个月内任意1个月的</w:t>
            </w:r>
            <w:r>
              <w:rPr>
                <w:rFonts w:hint="eastAsia" w:cs="宋体" w:asciiTheme="minorEastAsia" w:hAnsiTheme="minorEastAsia" w:eastAsiaTheme="minorEastAsia"/>
                <w:b/>
                <w:sz w:val="24"/>
              </w:rPr>
              <w:t xml:space="preserve">资产负债表、利润表扫描件各一份</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
                <w:bCs/>
                <w:sz w:val="24"/>
              </w:rPr>
              <w:t xml:space="preserve">或</w:t>
            </w:r>
            <w:r>
              <w:rPr>
                <w:rFonts w:hint="eastAsia" w:cs="宋体" w:asciiTheme="minorEastAsia" w:hAnsiTheme="minorEastAsia" w:eastAsiaTheme="minorEastAsia"/>
                <w:sz w:val="24"/>
              </w:rPr>
              <w:t xml:space="preserve">提供投标人2025年度</w:t>
            </w:r>
            <w:r>
              <w:rPr>
                <w:rFonts w:hint="eastAsia" w:cs="宋体" w:asciiTheme="minorEastAsia" w:hAnsiTheme="minorEastAsia" w:eastAsiaTheme="minorEastAsia"/>
                <w:b/>
                <w:bCs/>
                <w:sz w:val="24"/>
              </w:rPr>
              <w:t xml:space="preserve">经审计</w:t>
            </w:r>
            <w:r>
              <w:rPr>
                <w:rFonts w:hint="eastAsia" w:cs="宋体" w:asciiTheme="minorEastAsia" w:hAnsiTheme="minorEastAsia" w:eastAsiaTheme="minorEastAsia"/>
                <w:sz w:val="24"/>
              </w:rPr>
              <w:t xml:space="preserve">的财务报告扫描件</w:t>
            </w:r>
            <w:r>
              <w:rPr>
                <w:rFonts w:hint="eastAsia" w:cs="宋体" w:asciiTheme="minorEastAsia" w:hAnsiTheme="minorEastAsia" w:eastAsiaTheme="minorEastAsia"/>
                <w:b/>
                <w:sz w:val="24"/>
              </w:rPr>
              <w:t xml:space="preserve">（应包括审计报告正文、资产负债表、现金流量表、利润表）；</w:t>
            </w:r>
            <w:r/>
          </w:p>
          <w:p>
            <w:pPr>
              <w:ind w:right="28"/>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（三）投标人的本项目开标时间（不含开标当月）前6个月内任意1个月的</w:t>
            </w:r>
            <w:r>
              <w:rPr>
                <w:rFonts w:hint="eastAsia" w:cs="宋体" w:asciiTheme="minorEastAsia" w:hAnsiTheme="minorEastAsia" w:eastAsiaTheme="minorEastAsia"/>
                <w:b/>
                <w:sz w:val="24"/>
              </w:rPr>
              <w:t xml:space="preserve">依法缴纳税收扫描件和社会保障资金扫描件</w:t>
            </w:r>
            <w:r>
              <w:rPr>
                <w:rFonts w:hint="eastAsia" w:cs="宋体" w:asciiTheme="minorEastAsia" w:hAnsiTheme="minorEastAsia" w:eastAsiaTheme="minorEastAsia"/>
                <w:sz w:val="24"/>
              </w:rPr>
              <w:t xml:space="preserve">的相关材料</w:t>
            </w:r>
            <w:r>
              <w:rPr>
                <w:rFonts w:hint="eastAsia" w:cs="宋体" w:asciiTheme="minorEastAsia" w:hAnsiTheme="minorEastAsia" w:eastAsiaTheme="minorEastAsia"/>
                <w:b/>
                <w:sz w:val="24"/>
              </w:rPr>
              <w:t xml:space="preserve">各一份</w:t>
            </w:r>
            <w:r>
              <w:rPr>
                <w:rFonts w:hint="eastAsia" w:cs="宋体" w:asciiTheme="minorEastAsia" w:hAnsiTheme="minorEastAsia" w:eastAsiaTheme="minorEastAsia"/>
                <w:sz w:val="24"/>
              </w:rPr>
              <w:t xml:space="preserve">（依法免税或不需要缴纳社会保障资金的供应商,提供相应文件扫描件证明其依法免税或不需要缴纳社会保障资金)；</w:t>
            </w:r>
            <w:r/>
          </w:p>
          <w:p>
            <w:pPr>
              <w:ind w:right="28"/>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rPr>
              <w:t xml:space="preserve">（四）具备履行合同所必需的设备和专业技术能力的证明材料：</w:t>
            </w:r>
            <w:r>
              <w:rPr>
                <w:rFonts w:hint="eastAsia" w:cs="仿宋" w:asciiTheme="minorEastAsia" w:hAnsiTheme="minorEastAsia" w:eastAsiaTheme="minorEastAsia"/>
                <w:sz w:val="24"/>
              </w:rPr>
              <w:t xml:space="preserve">投标文件中提供《具备履行合同所必需的设备和专业技术能力的书面声明》（加盖</w:t>
            </w:r>
            <w:r>
              <w:rPr>
                <w:rFonts w:hint="eastAsia" w:cs="仿宋" w:asciiTheme="minorEastAsia" w:hAnsiTheme="minorEastAsia" w:eastAsiaTheme="minorEastAsia"/>
                <w:b/>
                <w:sz w:val="24"/>
              </w:rPr>
              <w:t xml:space="preserve">电子签章</w:t>
            </w:r>
            <w:r>
              <w:rPr>
                <w:rFonts w:hint="eastAsia" w:cs="仿宋" w:asciiTheme="minorEastAsia" w:hAnsiTheme="minorEastAsia" w:eastAsiaTheme="minorEastAsia"/>
                <w:sz w:val="24"/>
              </w:rPr>
              <w:t xml:space="preserve">，格式见</w:t>
            </w:r>
            <w:r>
              <w:rPr>
                <w:rFonts w:hint="eastAsia" w:cs="宋体" w:asciiTheme="minorEastAsia" w:hAnsiTheme="minorEastAsia" w:eastAsiaTheme="minorEastAsia"/>
                <w:sz w:val="24"/>
              </w:rPr>
              <w:t xml:space="preserve">第七章《投标文件相关格式》。</w:t>
            </w:r>
            <w:r/>
          </w:p>
          <w:p>
            <w:pPr>
              <w:ind w:right="28"/>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（五）投标人参加政府采购活动前3年内在经营活动中没有重大违法</w:t>
            </w:r>
            <w:r>
              <w:rPr>
                <w:rFonts w:hint="eastAsia" w:cs="宋体" w:asciiTheme="minorEastAsia" w:hAnsiTheme="minorEastAsia" w:eastAsiaTheme="minorEastAsia"/>
                <w:sz w:val="24"/>
              </w:rPr>
              <w:t xml:space="preserve">记录的书面声明，加盖</w:t>
            </w:r>
            <w:r>
              <w:rPr>
                <w:rFonts w:hint="eastAsia" w:cs="宋体" w:asciiTheme="minorEastAsia" w:hAnsiTheme="minorEastAsia" w:eastAsiaTheme="minorEastAsia"/>
                <w:b/>
                <w:sz w:val="24"/>
              </w:rPr>
              <w:t xml:space="preserve">电子签章</w:t>
            </w:r>
            <w:r>
              <w:rPr>
                <w:rFonts w:hint="eastAsia" w:cs="宋体" w:asciiTheme="minorEastAsia" w:hAnsiTheme="minorEastAsia" w:eastAsiaTheme="minorEastAsia"/>
                <w:sz w:val="24"/>
              </w:rPr>
              <w:t xml:space="preserve">，格式见本文件第七章《投标文件相关格式》。</w:t>
            </w:r>
            <w:r/>
          </w:p>
          <w:p>
            <w:pPr>
              <w:pStyle w:val="895"/>
              <w:spacing w:line="400" w:lineRule="exact"/>
              <w:widowControl/>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（六）投标人关于单位负责人为同一人或者存在直接控股、管理关系的不同供应商，不得参加同一合同项下的政府采购活动的承诺。（加盖电子签章，格式见招标文件第七章《投标文件相关格式》）</w:t>
            </w:r>
            <w:r/>
          </w:p>
          <w:p>
            <w:pPr>
              <w:pStyle w:val="895"/>
              <w:spacing w:line="400" w:lineRule="exact"/>
              <w:widowControl/>
              <w:rPr>
                <w:rFonts w:cs="宋体" w:asciiTheme="minorEastAsia" w:hAnsiTheme="minorEastAsia" w:eastAsiaTheme="minorEastAsia"/>
              </w:rPr>
            </w:pPr>
            <w:r>
              <w:rPr>
                <w:rFonts w:hint="eastAsia" w:cs="宋体" w:asciiTheme="minorEastAsia" w:hAnsiTheme="minorEastAsia" w:eastAsiaTheme="minorEastAsia"/>
                <w:szCs w:val="24"/>
              </w:rPr>
              <w:t xml:space="preserve">(七)投标人提供的货物全部由符合政策要求的中小微企业、监狱企业、残疾人福利性单位制造，须提供《中小企业声明函》（加盖电子签章，格式见招标文件第七章《投标文件相关格式》）（必须提供，请填写完整，否则在资格性审查时按照投标无效处理）。</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rPr>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三、符合条件（必须提供，否则投标无效）</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(一)报价</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1、《报价符合性审查》</w:t>
            </w:r>
            <w:r>
              <w:rPr>
                <w:rFonts w:hint="eastAsia" w:cs="宋体" w:asciiTheme="minorEastAsia" w:hAnsiTheme="minorEastAsia" w:eastAsiaTheme="minorEastAsia"/>
                <w:sz w:val="24"/>
              </w:rPr>
              <w:t xml:space="preserve">属于投标（响应）报价低于采购项目最高限价50%的，即投标（响应）报价&lt;采购项目最高限价×50%，供应商可随投标（响应）文件一并提交相关书面说明及必要的证明材料。</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2、《开标一览表》</w:t>
            </w:r>
            <w:r>
              <w:rPr>
                <w:rFonts w:hint="eastAsia" w:cs="宋体" w:asciiTheme="minorEastAsia" w:hAnsiTheme="minorEastAsia" w:eastAsiaTheme="minorEastAsia"/>
                <w:bCs/>
                <w:sz w:val="24"/>
              </w:rPr>
              <w:t xml:space="preserve">格式见本文件第七章《投标文件相关格式》（必须提供，否则在符合性审查时按照投标无效处理）。</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3、《分项价格表》</w:t>
            </w:r>
            <w:r>
              <w:rPr>
                <w:rFonts w:hint="eastAsia" w:cs="宋体" w:asciiTheme="minorEastAsia" w:hAnsiTheme="minorEastAsia" w:eastAsiaTheme="minorEastAsia"/>
                <w:bCs/>
                <w:sz w:val="24"/>
              </w:rPr>
              <w:t xml:space="preserve">要求加盖电子签章，格式见本文件第七章《投标文件相关格式》（必须提供，否则在符合性审查时按照投标无效处理）。</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（二）商务资信</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1、《投标函》</w:t>
            </w:r>
            <w:r>
              <w:rPr>
                <w:rFonts w:hint="eastAsia" w:cs="宋体" w:asciiTheme="minorEastAsia" w:hAnsiTheme="minorEastAsia" w:eastAsiaTheme="minorEastAsia"/>
                <w:sz w:val="24"/>
              </w:rPr>
              <w:t xml:space="preserve">（加盖电子签章，格式见招标文件第七章《投标文件相关格式》。）</w:t>
            </w:r>
            <w:r/>
          </w:p>
          <w:p>
            <w:pPr>
              <w:spacing w:line="360" w:lineRule="auto"/>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2、</w:t>
            </w:r>
            <w:r>
              <w:rPr>
                <w:rFonts w:hint="eastAsia" w:cs="宋体" w:asciiTheme="minorEastAsia" w:hAnsiTheme="minorEastAsia" w:eastAsiaTheme="minorEastAsia"/>
                <w:b/>
                <w:sz w:val="24"/>
              </w:rPr>
              <w:t xml:space="preserve">《授权委托书》</w:t>
            </w:r>
            <w:r>
              <w:rPr>
                <w:rFonts w:hint="eastAsia" w:cs="宋体" w:asciiTheme="minorEastAsia" w:hAnsiTheme="minorEastAsia" w:eastAsiaTheme="minorEastAsia"/>
                <w:bCs/>
                <w:sz w:val="24"/>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3、法律、法规和招标文件规定的其他投标无效情形。</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（三）技术响应</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1、《偏离表》</w:t>
            </w:r>
            <w:r>
              <w:rPr>
                <w:rFonts w:hint="eastAsia" w:cs="宋体" w:asciiTheme="minorEastAsia" w:hAnsiTheme="minorEastAsia" w:eastAsiaTheme="minorEastAsia"/>
                <w:sz w:val="24"/>
              </w:rPr>
              <w:t xml:space="preserve">（加盖电子签章，格式见招标文件第七章《投标文件</w:t>
            </w:r>
            <w:r>
              <w:rPr>
                <w:rFonts w:hint="eastAsia" w:cs="宋体" w:asciiTheme="minorEastAsia" w:hAnsiTheme="minorEastAsia" w:eastAsiaTheme="minorEastAsia"/>
                <w:sz w:val="24"/>
              </w:rPr>
              <w:t xml:space="preserve">相关格式》。）</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四、综合评审评分项</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（一）技术部分：</w:t>
            </w:r>
            <w:r>
              <w:rPr>
                <w:rFonts w:hint="eastAsia" w:cs="宋体" w:asciiTheme="minorEastAsia" w:hAnsiTheme="minorEastAsia" w:eastAsiaTheme="minorEastAsia"/>
                <w:sz w:val="24"/>
              </w:rPr>
              <w:t xml:space="preserve">要求见招标文件第六章《采购需求》及第四章《评标标准》中《评分细则》）；</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（二）</w:t>
            </w:r>
            <w:r>
              <w:rPr>
                <w:rFonts w:hint="eastAsia" w:cs="宋体" w:asciiTheme="minorEastAsia" w:hAnsiTheme="minorEastAsia" w:eastAsiaTheme="minorEastAsia"/>
                <w:b/>
                <w:bCs/>
                <w:sz w:val="24"/>
              </w:rPr>
              <w:t xml:space="preserve">商务部分：</w:t>
            </w:r>
            <w:r>
              <w:rPr>
                <w:rFonts w:hint="eastAsia" w:cs="宋体" w:asciiTheme="minorEastAsia" w:hAnsiTheme="minorEastAsia" w:eastAsiaTheme="minorEastAsia"/>
                <w:sz w:val="24"/>
              </w:rPr>
              <w:t xml:space="preserve">要求见招标文件第六章《采购需求》及第四章《评标标准》中《评分细则》）；</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1、投标人其它证明文件及材料扫描件。</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2、评分细则中评分得分需提供的相关证明文件扫描件。</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五、其他部分</w:t>
            </w:r>
            <w:r/>
          </w:p>
          <w:p>
            <w:pPr>
              <w:spacing w:line="360" w:lineRule="auto"/>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（一）</w:t>
            </w:r>
            <w:r>
              <w:rPr>
                <w:rFonts w:hint="eastAsia" w:ascii="宋体" w:hAnsi="宋体"/>
                <w:b/>
                <w:sz w:val="24"/>
                <w:szCs w:val="28"/>
              </w:rPr>
              <w:t xml:space="preserve">投标人《关于符合本国产品标准的声明函》（填写完整且在分项价格表中承诺符合本国产品标准的各项产品成本合计占全部产品成本合计的比例达到80%，加盖公章，格式见招标文件第七章《投标文件相关格式》）（关于符合本国产品标准的声明函和分项价格表中承诺需按要求填写完整，如不填写完整或未按要求填写的，视为非本国产品）。</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1、本国产品应当符合以下条件：</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（一）在中国境内生产</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产品应当在中国境内生产，即在中华人民共和国关境内实现从原材料、组件到产品的属性改变。</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属性改变是指经过制造、加工或者组装等工序，产生完全不同于原材料、组件的新产品，并具有新的名称和特征（用途）。属性改变不包括以下细微操作：</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1.为确保产品在运输或者储存期间保持某种状态而进行的操作；</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2.为产品运输或者销售进行的包装或者展示；</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3.在产品或者其包装上粘贴或者印刷品牌、标志、标识以及其他用于区别的标记；</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4.简单的上漆、磨光和分装；</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5.其他不属于属性改变的情形。</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（二）在中国境内生产的组件成本占比达到规定比例</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产品在中国境内生产的组件成本占比应当达到规定比例，计算公式为：</w:t>
            </w:r>
            <w:r/>
          </w:p>
          <w:p>
            <w:pPr>
              <w:jc w:val="cente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mc:AlternateContent>
                <mc:Choice Requires="wpg">
                  <w:drawing>
                    <wp:inline xmlns:wp="http://schemas.openxmlformats.org/drawingml/2006/wordprocessingDrawing" distT="0" distB="0" distL="0" distR="0">
                      <wp:extent cx="3275965" cy="495300"/>
                      <wp:effectExtent l="0" t="0" r="0" b="0"/>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5"/>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7.9pt;height:39.0pt;mso-wrap-distance-left:0.0pt;mso-wrap-distance-top:0.0pt;mso-wrap-distance-right:0.0pt;mso-wrap-distance-bottom:0.0pt;" stroked="f">
                      <v:path textboxrect="0,0,0,0"/>
                      <v:imagedata r:id="rId25" o:title=""/>
                    </v:shape>
                  </w:pict>
                </mc:Fallback>
              </mc:AlternateConten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（三）特定产品的关键组件、关键工序符合相关要求</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2、本国产品标准的适用范围</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3、对本国产品的支持政策</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当采购项目或者采购包中含有多种产品，供应商为该采购项目或者采</w:t>
            </w:r>
            <w:r>
              <w:rPr>
                <w:rFonts w:hint="eastAsia" w:cs="宋体" w:asciiTheme="minorEastAsia" w:hAnsiTheme="minorEastAsia" w:eastAsiaTheme="minorEastAsia"/>
                <w:bCs/>
                <w:sz w:val="24"/>
              </w:rPr>
              <w:t xml:space="preserve">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具体以《国务院办公厅关于在政府采购中实施本国产品标准及相关政策的通知》（国办发〔2025〕34号）规定为准。</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注：中国境内生产的组件成本核算基本规则</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一、产品的一级组件是指直接组成产品的组件。产品的二级组件是指直接组成产品一级组件的组件。一级组件不可分解的，视同二级组件。</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二、二级组件在中国境内生产的，其全部成本计入中国境内生产的组件成本；二级组件不在中国境内生产的，其成本不计入中国境内生产的组件成本。</w:t>
            </w:r>
            <w:r/>
          </w:p>
          <w:p>
            <w:pPr>
              <w:spacing w:line="360" w:lineRule="auto"/>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三、产品总成本和组件成本以相关会计核算数据、采购合同、进货记录等为基础进行计算。</w:t>
            </w:r>
            <w:r/>
          </w:p>
          <w:p>
            <w:pPr>
              <w:spacing w:line="360" w:lineRule="auto"/>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Cs/>
                <w:sz w:val="24"/>
              </w:rPr>
              <w:t xml:space="preserve">四、需要对成本核算规则予以进一步明确的其他有关事项，由财政部会同有关部门另行规定。</w:t>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（二）企业报价折扣证明：</w:t>
            </w:r>
            <w:r/>
          </w:p>
          <w:p>
            <w:pPr>
              <w:spacing w:line="360" w:lineRule="auto"/>
              <w:rPr>
                <w:rFonts w:asciiTheme="minorEastAsia" w:hAnsiTheme="minorEastAsia" w:eastAsiaTheme="minorEastAsia" w:cstheme="minorEastAsia"/>
                <w:sz w:val="24"/>
                <w:szCs w:val="28"/>
              </w:rPr>
            </w:pPr>
            <w:r>
              <w:rPr>
                <w:rFonts w:hint="eastAsia" w:asciiTheme="minorEastAsia" w:hAnsiTheme="minorEastAsia" w:eastAsiaTheme="minorEastAsia" w:cstheme="minorEastAsia"/>
                <w:b/>
                <w:sz w:val="24"/>
                <w:szCs w:val="28"/>
              </w:rPr>
              <w:t xml:space="preserve">价格折扣文件格式（无）</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注：</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在政府采购活动中，供应商提供的货物、工程或者服务符合下列情形的，享受本办法规定的中小企业扶持政策：</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b/>
                <w:bCs/>
                <w:sz w:val="24"/>
                <w:szCs w:val="28"/>
              </w:rPr>
              <w:t xml:space="preserve">（一）在货物采购项目中，货物由中小企业制造，即货物由中小企业生产且使用该中小企业商号或者注册商标；</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（二）在工程采购项目中，工程由中小企业承建，即工程施工单位为中小企业；</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（三）在服务采购项目中，服务由中小企业承接，即提供服务的人员为中小企业依照法规订立劳动合同的从业人员。</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在货物采购项目中，供应商提供的货物既有中小企业制造货物，也有大型企业制造货物的，不享受本办法规定的中小企业扶持政策。</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以联合体形式参加政府采购活动，联合体各方均为中小企业的，联合体视同中小企业。其中，联合体各方均为小微企业的，联合体视同小微企业。</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280"/>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bCs/>
                <w:sz w:val="24"/>
                <w:szCs w:val="28"/>
              </w:rPr>
              <w:t xml:space="preserve">(四)</w:t>
            </w:r>
            <w:r>
              <w:rPr>
                <w:rFonts w:hint="eastAsia" w:asciiTheme="minorEastAsia" w:hAnsiTheme="minorEastAsia" w:eastAsiaTheme="minorEastAsia" w:cstheme="minorEastAsia"/>
                <w:sz w:val="24"/>
                <w:szCs w:val="28"/>
              </w:rPr>
              <w:t xml:space="preserve">投标人为监狱企业的，提供省级以上监狱管理局、戒毒管理局（含新疆生产建设兵团）出具的属于监狱企业的证明文件扫描件。</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注：具体以《财政部 司法部关于政府采购支持监狱企业发展有关问题的通知》（财库〔2014〕68号）的规定为准。</w:t>
            </w:r>
            <w:r/>
          </w:p>
          <w:p>
            <w:pPr>
              <w:ind w:firstLine="280"/>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bCs/>
                <w:sz w:val="24"/>
                <w:szCs w:val="28"/>
              </w:rPr>
              <w:t xml:space="preserve">(五)</w:t>
            </w:r>
            <w:r>
              <w:rPr>
                <w:rFonts w:hint="eastAsia" w:asciiTheme="minorEastAsia" w:hAnsiTheme="minorEastAsia" w:eastAsiaTheme="minorEastAsia" w:cstheme="minorEastAsia"/>
                <w:sz w:val="24"/>
                <w:szCs w:val="28"/>
              </w:rPr>
              <w:t xml:space="preserve">投标人为享受政府采购支持政策的残疾人福利性单位的，提供《</w:t>
            </w:r>
            <w:bookmarkStart w:id="0" w:name="OLE_LINK14"/>
            <w:r/>
            <w:bookmarkStart w:id="1" w:name="OLE_LINK13"/>
            <w:r>
              <w:rPr>
                <w:rFonts w:hint="eastAsia" w:asciiTheme="minorEastAsia" w:hAnsiTheme="minorEastAsia" w:eastAsiaTheme="minorEastAsia" w:cstheme="minorEastAsia"/>
                <w:sz w:val="24"/>
                <w:szCs w:val="28"/>
              </w:rPr>
              <w:t xml:space="preserve">残疾人福利性单位声明函</w:t>
            </w:r>
            <w:bookmarkEnd w:id="0"/>
            <w:r/>
            <w:bookmarkEnd w:id="1"/>
            <w:r>
              <w:rPr>
                <w:rFonts w:hint="eastAsia" w:asciiTheme="minorEastAsia" w:hAnsiTheme="minorEastAsia" w:eastAsiaTheme="minorEastAsia" w:cstheme="minorEastAsia"/>
                <w:sz w:val="24"/>
                <w:szCs w:val="28"/>
              </w:rPr>
              <w:t xml:space="preserve">》（加盖</w:t>
            </w:r>
            <w:r>
              <w:rPr>
                <w:rFonts w:hint="eastAsia" w:asciiTheme="minorEastAsia" w:hAnsiTheme="minorEastAsia" w:eastAsiaTheme="minorEastAsia" w:cstheme="minorEastAsia"/>
                <w:bCs/>
                <w:sz w:val="24"/>
                <w:szCs w:val="28"/>
              </w:rPr>
              <w:t xml:space="preserve">电子签章</w:t>
            </w:r>
            <w:r>
              <w:rPr>
                <w:rFonts w:hint="eastAsia" w:asciiTheme="minorEastAsia" w:hAnsiTheme="minorEastAsia" w:eastAsiaTheme="minorEastAsia" w:cstheme="minorEastAsia"/>
                <w:sz w:val="24"/>
                <w:szCs w:val="28"/>
              </w:rPr>
              <w:t xml:space="preserve">，格式见招标文件第七章《投标文件相关格式》）。</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享受政府采购支持政策的残疾人福利性单位应当同时满足以下条件：</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（一）安置的残疾人占本单位在职职工人数的比例不低于25%（含25%），并且安置的残疾人人数不少于10人（含10人）；</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（二）依法与安置的每位残疾人签订了一年以上（含一年）的劳动合同或服务协议；</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（三）为安置的每位残疾人按月足额缴纳了基本养老保险、基本医疗保险、失业保险、工伤保险和生育保险等社会保险费；</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（四）通过银行等金融机构向安置的每位残疾人，按月支付了不低于单位所在区县适用的经省级人民政府批准的月最低工资标准的工资；</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（五）提供本单位制造的货物、承担的工程或者服务（以下简称产品），或者提供其他残疾人福利性单位制造的货物（不包括使用非残疾人福利性单位注册商标的货物）。</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w:t>
            </w:r>
            <w:r>
              <w:rPr>
                <w:rFonts w:hint="eastAsia" w:asciiTheme="minorEastAsia" w:hAnsiTheme="minorEastAsia" w:eastAsiaTheme="minorEastAsia" w:cstheme="minorEastAsia"/>
                <w:sz w:val="24"/>
                <w:szCs w:val="28"/>
              </w:rPr>
              <w:t xml:space="preserve">员人数。</w:t>
            </w:r>
            <w:r/>
          </w:p>
          <w:p>
            <w:pPr>
              <w:ind w:firstLine="134"/>
              <w:spacing w:line="400" w:lineRule="exact"/>
              <w:rPr>
                <w:rFonts w:asciiTheme="minorEastAsia" w:hAnsiTheme="minorEastAsia" w:eastAsiaTheme="minorEastAsia" w:cstheme="minorEastAsia"/>
                <w:sz w:val="24"/>
                <w:szCs w:val="28"/>
              </w:rPr>
            </w:pPr>
            <w:r>
              <w:rPr>
                <w:rFonts w:hint="eastAsia" w:asciiTheme="minorEastAsia" w:hAnsiTheme="minorEastAsia" w:eastAsiaTheme="minorEastAsia" w:cstheme="minorEastAsia"/>
                <w:sz w:val="24"/>
                <w:szCs w:val="28"/>
              </w:rPr>
              <w:t xml:space="preserve">具体以《三部门联合发布关于促进残疾人就业政府采购政策的通知》（财库〔2017〕141号）的规定为准。</w:t>
            </w:r>
            <w:r/>
          </w:p>
          <w:p>
            <w:pPr>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b/>
                <w:sz w:val="24"/>
              </w:rPr>
              <w:t xml:space="preserve">注</w:t>
            </w:r>
            <w:r>
              <w:rPr>
                <w:rFonts w:hint="eastAsia" w:cs="宋体" w:asciiTheme="minorEastAsia" w:hAnsiTheme="minorEastAsia" w:eastAsiaTheme="minorEastAsia"/>
                <w:sz w:val="24"/>
              </w:rPr>
              <w:t xml:space="preserve">：</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1、投标人应对以上文件的合法性、真实性负责。</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(十三)2</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商务条件见：</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一、本文件第四章《评标标准》中《评分细则》。</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二、本文件第三章《投标资料表》中(十二)1和(十二)2。</w:t>
            </w:r>
            <w:r/>
          </w:p>
        </w:tc>
      </w:tr>
      <w:tr>
        <w:trPr>
          <w:jc w:val="center"/>
          <w:trHeight w:val="669"/>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(十三)3</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交货和提供服务的时间：见本文件第五章 《拟签订的合同文本》及或本文件第六章《采购需求》。</w:t>
            </w:r>
            <w:r/>
          </w:p>
        </w:tc>
      </w:tr>
      <w:tr>
        <w:trPr>
          <w:jc w:val="center"/>
          <w:trHeight w:val="1124"/>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(十四)</w:t>
            </w:r>
            <w:r/>
          </w:p>
        </w:tc>
        <w:tc>
          <w:tcPr>
            <w:tcMar>
              <w:left w:w="108" w:type="dxa"/>
              <w:top w:w="0" w:type="dxa"/>
              <w:right w:w="108" w:type="dxa"/>
              <w:bottom w:w="0" w:type="dxa"/>
            </w:tcMar>
            <w:tcW w:w="7730" w:type="dxa"/>
            <w:textDirection w:val="lrTb"/>
            <w:noWrap w:val="false"/>
          </w:tcPr>
          <w:p>
            <w:pPr>
              <w:pStyle w:val="743"/>
              <w:spacing w:before="0" w:after="0"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   本项目最高限价为人民币</w:t>
            </w:r>
            <w:r>
              <w:rPr>
                <w:rFonts w:cs="宋体" w:asciiTheme="minorEastAsia" w:hAnsiTheme="minorEastAsia" w:eastAsiaTheme="minorEastAsia"/>
                <w:b/>
                <w:sz w:val="24"/>
                <w:szCs w:val="24"/>
              </w:rPr>
              <w:t xml:space="preserve">163.00</w:t>
            </w:r>
            <w:r>
              <w:rPr>
                <w:rFonts w:hint="eastAsia" w:cs="宋体" w:asciiTheme="minorEastAsia" w:hAnsiTheme="minorEastAsia" w:eastAsiaTheme="minorEastAsia"/>
                <w:b/>
                <w:sz w:val="24"/>
                <w:szCs w:val="24"/>
              </w:rPr>
              <w:t xml:space="preserve">万元，包含（实物采购货款</w:t>
            </w:r>
            <w:r>
              <w:rPr>
                <w:rFonts w:cs="宋体" w:asciiTheme="minorEastAsia" w:hAnsiTheme="minorEastAsia" w:eastAsiaTheme="minorEastAsia"/>
                <w:b/>
                <w:sz w:val="24"/>
                <w:szCs w:val="24"/>
              </w:rPr>
              <w:t xml:space="preserve">+</w:t>
            </w:r>
            <w:r>
              <w:rPr>
                <w:rFonts w:hint="eastAsia" w:cs="宋体" w:asciiTheme="minorEastAsia" w:hAnsiTheme="minorEastAsia" w:eastAsiaTheme="minorEastAsia"/>
                <w:b/>
                <w:sz w:val="24"/>
                <w:szCs w:val="24"/>
              </w:rPr>
              <w:t xml:space="preserve">协议储备采购第</w:t>
            </w:r>
            <w:r>
              <w:rPr>
                <w:rFonts w:cs="宋体" w:asciiTheme="minorEastAsia" w:hAnsiTheme="minorEastAsia" w:eastAsiaTheme="minorEastAsia"/>
                <w:b/>
                <w:sz w:val="24"/>
                <w:szCs w:val="24"/>
              </w:rPr>
              <w:t xml:space="preserve">1</w:t>
            </w:r>
            <w:r>
              <w:rPr>
                <w:rFonts w:hint="eastAsia" w:cs="宋体" w:asciiTheme="minorEastAsia" w:hAnsiTheme="minorEastAsia" w:eastAsiaTheme="minorEastAsia"/>
                <w:b/>
                <w:sz w:val="24"/>
                <w:szCs w:val="24"/>
              </w:rPr>
              <w:t xml:space="preserve">年代储管理费）以及运输、装卸、包装、保险、检验、税费、售后服务等所有费用。投标总价不得超出最高限价，否则投标无效；</w:t>
            </w:r>
            <w:r/>
          </w:p>
          <w:p>
            <w:pPr>
              <w:pStyle w:val="793"/>
              <w:ind w:firstLine="0"/>
              <w:spacing w:before="0" w:beforeAutospacing="0" w:after="0" w:afterAutospacing="0" w:line="360" w:lineRule="auto"/>
              <w:rPr>
                <w:rFonts w:asciiTheme="minorEastAsia" w:hAnsiTheme="minorEastAsia" w:eastAsiaTheme="minorEastAsia"/>
              </w:rPr>
            </w:pPr>
            <w:r>
              <w:rPr>
                <w:rFonts w:hint="eastAsia" w:asciiTheme="minorEastAsia" w:hAnsiTheme="minorEastAsia" w:eastAsiaTheme="minorEastAsia"/>
                <w:b/>
              </w:rPr>
              <w:t xml:space="preserve">   注：投标人须对每种物资报出唯一投标单价，该单价同时适用于实物采购与协议储备物资调拨结算，不得把代管费摊入单价，也不得对储备采购部分另行报出不同单价。</w:t>
            </w:r>
            <w:r/>
          </w:p>
        </w:tc>
      </w:tr>
      <w:tr>
        <w:trPr>
          <w:jc w:val="center"/>
          <w:trHeight w:val="347"/>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(十五)</w:t>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以人民币报价。</w:t>
            </w:r>
            <w:r/>
          </w:p>
        </w:tc>
      </w:tr>
      <w:tr>
        <w:trPr>
          <w:jc w:val="center"/>
          <w:trHeight w:val="9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（十七）</w:t>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投标人须用政府采购客户端工具导入“苏采云”系统下载的采购文件（后缀）、供应商操作手册及政府采购客户端工具可通过“苏采云”系统（网址：</w:t>
            </w:r>
            <w:hyperlink r:id="rId26" w:tooltip="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history="1">
              <w:r>
                <w:rPr>
                  <w:rStyle w:val="872"/>
                  <w:rFonts w:hint="eastAsia" w:cs="宋体" w:asciiTheme="minorEastAsia" w:hAnsiTheme="minorEastAsia" w:eastAsiaTheme="minorEastAsia"/>
                  <w:color w:val="auto"/>
                  <w:sz w:val="24"/>
                </w:rPr>
                <w:t xml:space="preserve">https://jszfcg.jsczt.cn/jszc/logi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hyperlink>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投标人应当通过“苏采云”系统提交数据电文形式的投标文件（即电</w:t>
            </w:r>
            <w:r>
              <w:rPr>
                <w:rFonts w:hint="eastAsia" w:cs="宋体" w:asciiTheme="minorEastAsia" w:hAnsiTheme="minorEastAsia" w:eastAsiaTheme="minorEastAsia"/>
                <w:sz w:val="24"/>
              </w:rPr>
              <w:t xml:space="preserve">子投标）。</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特别说明：政府采购客户端工具需要导出加密的投标文件（后缀名为</w:t>
            </w:r>
            <w:r>
              <w:rPr>
                <w:rFonts w:hint="eastAsia" w:cs="宋体" w:asciiTheme="minorEastAsia" w:hAnsiTheme="minorEastAsia" w:eastAsiaTheme="minorEastAsia"/>
                <w:b/>
                <w:bCs/>
                <w:sz w:val="24"/>
              </w:rPr>
              <w:t xml:space="preserve">zip</w:t>
            </w:r>
            <w:r>
              <w:rPr>
                <w:rFonts w:hint="eastAsia" w:cs="宋体" w:asciiTheme="minorEastAsia" w:hAnsiTheme="minorEastAsia" w:eastAsiaTheme="minorEastAsia"/>
                <w:sz w:val="24"/>
              </w:rPr>
              <w:t xml:space="preserve">）。</w:t>
            </w:r>
            <w:r>
              <w:rPr>
                <w:rFonts w:hint="eastAsia" w:cs="宋体" w:asciiTheme="minorEastAsia" w:hAnsiTheme="minorEastAsia" w:eastAsiaTheme="minorEastAsia"/>
                <w:b/>
                <w:bCs/>
                <w:sz w:val="24"/>
              </w:rPr>
              <w:t xml:space="preserve">投标文件不得超过150M！</w:t>
            </w:r>
            <w:r>
              <w:rPr>
                <w:rFonts w:hint="eastAsia" w:cs="宋体" w:asciiTheme="minorEastAsia" w:hAnsiTheme="minorEastAsia" w:eastAsiaTheme="minorEastAsia"/>
                <w:sz w:val="24"/>
              </w:rPr>
              <w:t xml:space="preserve">名为</w:t>
            </w:r>
            <w:r>
              <w:rPr>
                <w:rFonts w:hint="eastAsia" w:cs="宋体" w:asciiTheme="minorEastAsia" w:hAnsiTheme="minorEastAsia" w:eastAsiaTheme="minorEastAsia"/>
                <w:b/>
                <w:bCs/>
                <w:sz w:val="24"/>
              </w:rPr>
              <w:t xml:space="preserve">“.kedt”</w:t>
            </w:r>
            <w:r>
              <w:rPr>
                <w:rFonts w:hint="eastAsia" w:cs="宋体" w:asciiTheme="minorEastAsia" w:hAnsiTheme="minorEastAsia" w:eastAsiaTheme="minorEastAsia"/>
                <w:sz w:val="24"/>
              </w:rPr>
              <w:t xml:space="preserve">）后，离线编制投标文件。采购文件（后缀名为</w:t>
            </w:r>
            <w:r>
              <w:rPr>
                <w:rFonts w:hint="eastAsia" w:cs="宋体" w:asciiTheme="minorEastAsia" w:hAnsiTheme="minorEastAsia" w:eastAsiaTheme="minorEastAsia"/>
                <w:b/>
                <w:bCs/>
                <w:sz w:val="24"/>
              </w:rPr>
              <w:t xml:space="preserve">“.kedt”）。</w:t>
            </w:r>
            <w:r/>
          </w:p>
        </w:tc>
      </w:tr>
      <w:tr>
        <w:trPr>
          <w:jc w:val="center"/>
          <w:trHeight w:val="9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(十八)1</w:t>
            </w:r>
            <w:r/>
          </w:p>
        </w:tc>
        <w:tc>
          <w:tcPr>
            <w:tcMar>
              <w:left w:w="108" w:type="dxa"/>
              <w:top w:w="0" w:type="dxa"/>
              <w:right w:w="108" w:type="dxa"/>
              <w:bottom w:w="0" w:type="dxa"/>
            </w:tcMar>
            <w:tcW w:w="7730" w:type="dxa"/>
            <w:textDirection w:val="lrTb"/>
            <w:noWrap w:val="false"/>
          </w:tcPr>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见本文件第三章《投标资料表》中(十二)1和(十二)2</w:t>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(十九)</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投标文件的提交与接收：</w:t>
            </w:r>
            <w:r>
              <w:rPr>
                <w:rFonts w:hint="eastAsia" w:cs="宋体" w:asciiTheme="minorEastAsia" w:hAnsiTheme="minorEastAsia" w:eastAsiaTheme="minorEastAsia"/>
                <w:sz w:val="24"/>
              </w:rPr>
              <w:t xml:space="preserve"> </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1、投标文件提交与接收时间：</w:t>
            </w:r>
            <w:r>
              <w:rPr>
                <w:rFonts w:hint="eastAsia" w:cs="宋体" w:asciiTheme="minorEastAsia" w:hAnsiTheme="minorEastAsia" w:eastAsiaTheme="minorEastAsia"/>
                <w:b/>
                <w:sz w:val="24"/>
              </w:rPr>
              <w:t xml:space="preserve">2026年10月</w:t>
            </w:r>
            <w:r>
              <w:rPr>
                <w:rFonts w:cs="宋体" w:asciiTheme="minorEastAsia" w:hAnsiTheme="minorEastAsia" w:eastAsiaTheme="minorEastAsia"/>
                <w:b/>
                <w:sz w:val="24"/>
              </w:rPr>
              <w:t xml:space="preserve">30</w:t>
            </w:r>
            <w:r>
              <w:rPr>
                <w:rFonts w:hint="eastAsia" w:cs="宋体" w:asciiTheme="minorEastAsia" w:hAnsiTheme="minorEastAsia" w:eastAsiaTheme="minorEastAsia"/>
                <w:b/>
                <w:sz w:val="24"/>
              </w:rPr>
              <w:t xml:space="preserve">日</w:t>
            </w:r>
            <w:r>
              <w:rPr>
                <w:rFonts w:hint="eastAsia" w:cs="宋体" w:asciiTheme="minorEastAsia" w:hAnsiTheme="minorEastAsia" w:eastAsiaTheme="minorEastAsia"/>
                <w:b/>
                <w:bCs/>
                <w:sz w:val="24"/>
              </w:rPr>
              <w:t xml:space="preserve">9：10前。</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2、投标文件提交与接收地点：</w:t>
            </w:r>
            <w:r>
              <w:rPr>
                <w:rFonts w:hint="eastAsia" w:cs="宋体" w:asciiTheme="minorEastAsia" w:hAnsiTheme="minorEastAsia" w:eastAsiaTheme="minorEastAsia"/>
                <w:sz w:val="24"/>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225" w:type="dxa"/>
            <w:vMerge w:val="restart"/>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电子投标文件应由其法定代表人或法定代表人授权代表在规定的网上投标时间内，</w:t>
            </w:r>
            <w:r>
              <w:rPr>
                <w:rFonts w:hint="eastAsia" w:cs="宋体" w:asciiTheme="minorEastAsia" w:hAnsiTheme="minorEastAsia" w:eastAsiaTheme="minorEastAsia"/>
                <w:b/>
                <w:sz w:val="24"/>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225" w:type="dxa"/>
            <w:vMerge w:val="continue"/>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rPr>
            </w:r>
            <w:r/>
          </w:p>
        </w:tc>
        <w:tc>
          <w:tcPr>
            <w:tcMar>
              <w:left w:w="108" w:type="dxa"/>
              <w:top w:w="0" w:type="dxa"/>
              <w:right w:w="108" w:type="dxa"/>
              <w:bottom w:w="0" w:type="dxa"/>
            </w:tcMar>
            <w:tcW w:w="7730" w:type="dxa"/>
            <w:textDirection w:val="lrTb"/>
            <w:noWrap w:val="false"/>
          </w:tcPr>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线上开标时，“苏采云”系统自动提取所有投标文件，投标人按招标文件规定方式按时在线解密。本项目招标文件规定的投标人按时在线解密方式：</w:t>
            </w:r>
            <w:r>
              <w:rPr>
                <w:rFonts w:hint="eastAsia" w:cs="宋体" w:asciiTheme="minorEastAsia" w:hAnsiTheme="minorEastAsia" w:eastAsiaTheme="minorEastAsia"/>
                <w:b/>
                <w:bCs/>
                <w:sz w:val="24"/>
              </w:rPr>
              <w:t xml:space="preserve">开标时间后</w:t>
            </w:r>
            <w:r>
              <w:rPr>
                <w:rFonts w:hint="eastAsia" w:cs="宋体" w:asciiTheme="minorEastAsia" w:hAnsiTheme="minorEastAsia" w:eastAsiaTheme="minorEastAsia"/>
                <w:sz w:val="24"/>
              </w:rPr>
              <w:t xml:space="preserve">，通过“苏采云”系统（使用“CA数字证书”）解密。解密时限：进入解密环节后，</w:t>
            </w:r>
            <w:r>
              <w:rPr>
                <w:rFonts w:hint="eastAsia" w:cs="宋体" w:asciiTheme="minorEastAsia" w:hAnsiTheme="minorEastAsia" w:eastAsiaTheme="minorEastAsia"/>
                <w:b/>
                <w:bCs/>
                <w:sz w:val="24"/>
              </w:rPr>
              <w:t xml:space="preserve">30分钟内。</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“苏采云”系统生成开标记录并向社会公众公布，但依法应当保密的除外。</w:t>
            </w:r>
            <w:r/>
          </w:p>
        </w:tc>
      </w:tr>
      <w:tr>
        <w:trPr>
          <w:jc w:val="center"/>
        </w:trPr>
        <w:tc>
          <w:tcPr>
            <w:tcMar>
              <w:left w:w="108" w:type="dxa"/>
              <w:top w:w="0" w:type="dxa"/>
              <w:right w:w="108" w:type="dxa"/>
              <w:bottom w:w="0" w:type="dxa"/>
            </w:tcMar>
            <w:tcW w:w="1225" w:type="dxa"/>
            <w:vMerge w:val="continue"/>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rPr>
            </w:r>
            <w:r/>
          </w:p>
        </w:tc>
        <w:tc>
          <w:tcPr>
            <w:tcMar>
              <w:left w:w="108" w:type="dxa"/>
              <w:top w:w="0" w:type="dxa"/>
              <w:right w:w="108" w:type="dxa"/>
              <w:bottom w:w="0" w:type="dxa"/>
            </w:tcMar>
            <w:tcW w:w="7730" w:type="dxa"/>
            <w:textDirection w:val="lrTb"/>
            <w:noWrap w:val="false"/>
          </w:tcPr>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“苏采云”系统生成开标记录并</w:t>
            </w:r>
            <w:r>
              <w:rPr>
                <w:rFonts w:hint="eastAsia" w:cs="宋体" w:asciiTheme="minorEastAsia" w:hAnsiTheme="minorEastAsia" w:eastAsiaTheme="minorEastAsia"/>
                <w:b/>
                <w:bCs/>
                <w:sz w:val="24"/>
              </w:rPr>
              <w:t xml:space="preserve">向社会公众公布后5分钟内</w:t>
            </w:r>
            <w:r>
              <w:rPr>
                <w:rFonts w:hint="eastAsia" w:cs="宋体" w:asciiTheme="minorEastAsia" w:hAnsiTheme="minorEastAsia" w:eastAsiaTheme="minorEastAsia"/>
                <w:sz w:val="24"/>
              </w:rPr>
              <w:t xml:space="preserve">，投标人通过“苏采云”系统（使用“CA数字证书”）</w:t>
            </w:r>
            <w:r>
              <w:rPr>
                <w:rFonts w:hint="eastAsia" w:cs="宋体" w:asciiTheme="minorEastAsia" w:hAnsiTheme="minorEastAsia" w:eastAsiaTheme="minorEastAsia"/>
                <w:b/>
                <w:bCs/>
                <w:sz w:val="24"/>
              </w:rPr>
              <w:t xml:space="preserve">确认开标过程</w:t>
            </w:r>
            <w:r>
              <w:rPr>
                <w:rFonts w:hint="eastAsia" w:cs="宋体" w:asciiTheme="minorEastAsia" w:hAnsiTheme="minorEastAsia" w:eastAsiaTheme="minorEastAsia"/>
                <w:sz w:val="24"/>
              </w:rPr>
              <w:t xml:space="preserve">。在以上时间内投标人没有确认的，视同该投标人认可开标结果。</w:t>
            </w:r>
            <w:r/>
          </w:p>
        </w:tc>
      </w:tr>
      <w:tr>
        <w:trPr>
          <w:jc w:val="center"/>
        </w:trPr>
        <w:tc>
          <w:tcPr>
            <w:tcMar>
              <w:left w:w="108" w:type="dxa"/>
              <w:top w:w="0" w:type="dxa"/>
              <w:right w:w="108" w:type="dxa"/>
              <w:bottom w:w="0" w:type="dxa"/>
            </w:tcMar>
            <w:tcW w:w="1225" w:type="dxa"/>
            <w:vMerge w:val="continue"/>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rPr>
            </w:r>
            <w:r/>
          </w:p>
        </w:tc>
        <w:tc>
          <w:tcPr>
            <w:shd w:val="clear" w:color="auto" w:fill="auto"/>
            <w:tcMar>
              <w:left w:w="108" w:type="dxa"/>
              <w:top w:w="0" w:type="dxa"/>
              <w:right w:w="108" w:type="dxa"/>
              <w:bottom w:w="0" w:type="dxa"/>
            </w:tcMar>
            <w:tcW w:w="7730" w:type="dxa"/>
            <w:textDirection w:val="lrTb"/>
            <w:noWrap w:val="false"/>
          </w:tcPr>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因投标人原因造成投标文件未解密的，视为撤销其投标文件;因投标人之外的原因造成投标文件未解密的，视为撤回其投标文件，投标人</w:t>
            </w:r>
            <w:r>
              <w:rPr>
                <w:rFonts w:hint="eastAsia" w:cs="宋体" w:asciiTheme="minorEastAsia" w:hAnsiTheme="minorEastAsia" w:eastAsiaTheme="minorEastAsia"/>
                <w:sz w:val="24"/>
              </w:rPr>
              <w:t xml:space="preserve">有权要求责任方（如责任方为“苏采云”系统，“苏采云”系统免责）赔偿因此遭受的直接损失。部分投标文件未解密的，其他投标文件的开标可以继续进行。</w:t>
            </w:r>
            <w:r/>
          </w:p>
        </w:tc>
      </w:tr>
      <w:tr>
        <w:trPr>
          <w:jc w:val="center"/>
        </w:trPr>
        <w:tc>
          <w:tcPr>
            <w:tcMar>
              <w:left w:w="108" w:type="dxa"/>
              <w:top w:w="0" w:type="dxa"/>
              <w:right w:w="108" w:type="dxa"/>
              <w:bottom w:w="0" w:type="dxa"/>
            </w:tcMar>
            <w:tcW w:w="1225" w:type="dxa"/>
            <w:vMerge w:val="continue"/>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rPr>
            </w:r>
            <w:r/>
          </w:p>
        </w:tc>
        <w:tc>
          <w:tcPr>
            <w:shd w:val="clear" w:color="auto" w:fill="auto"/>
            <w:tcMar>
              <w:left w:w="108" w:type="dxa"/>
              <w:top w:w="0" w:type="dxa"/>
              <w:right w:w="108" w:type="dxa"/>
              <w:bottom w:w="0" w:type="dxa"/>
            </w:tcMar>
            <w:tcW w:w="7730" w:type="dxa"/>
            <w:textDirection w:val="lrTb"/>
            <w:noWrap w:val="false"/>
          </w:tcPr>
          <w:p>
            <w:pPr>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投标文件解密失败的补救方案：无。</w:t>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四</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开标</w:t>
            </w:r>
            <w:r/>
          </w:p>
        </w:tc>
      </w:tr>
      <w:tr>
        <w:trPr>
          <w:jc w:val="center"/>
          <w:trHeight w:val="9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(二十五)1</w:t>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开标时间及地点：</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1、开标时间：</w:t>
            </w:r>
            <w:r>
              <w:rPr>
                <w:rFonts w:hint="eastAsia" w:cs="宋体" w:asciiTheme="minorEastAsia" w:hAnsiTheme="minorEastAsia" w:eastAsiaTheme="minorEastAsia"/>
                <w:b/>
                <w:sz w:val="24"/>
              </w:rPr>
              <w:t xml:space="preserve">2026年10月</w:t>
            </w:r>
            <w:r>
              <w:rPr>
                <w:rFonts w:cs="宋体" w:asciiTheme="minorEastAsia" w:hAnsiTheme="minorEastAsia" w:eastAsiaTheme="minorEastAsia"/>
                <w:b/>
                <w:sz w:val="24"/>
              </w:rPr>
              <w:t xml:space="preserve">30</w:t>
            </w:r>
            <w:r>
              <w:rPr>
                <w:rFonts w:hint="eastAsia" w:cs="宋体" w:asciiTheme="minorEastAsia" w:hAnsiTheme="minorEastAsia" w:eastAsiaTheme="minorEastAsia"/>
                <w:b/>
                <w:sz w:val="24"/>
              </w:rPr>
              <w:t xml:space="preserve">日09：10（标准时间）</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2、开标地点：</w:t>
            </w:r>
            <w:r>
              <w:rPr>
                <w:rFonts w:hint="eastAsia" w:cs="宋体" w:asciiTheme="minorEastAsia" w:hAnsiTheme="minorEastAsia" w:eastAsiaTheme="minorEastAsia"/>
                <w:sz w:val="24"/>
              </w:rPr>
              <w:t xml:space="preserve">“苏采云”系统（网址： https://jszfcg.jsczt.cn/jszc/login）“开标大厅”或进入徐州政府采购网（网址：https://czj.xz.gov.cn/zfcg/index.html）--办事指南--供应商--供应商登录入口，点击“苏采云”进入系统“开标大厅”。</w:t>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(二十五)1</w:t>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招标文件规定的需要宣布的内容：宣读投标人名称、投标价格。</w:t>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五</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评标</w:t>
            </w:r>
            <w:r/>
          </w:p>
        </w:tc>
      </w:tr>
      <w:tr>
        <w:trPr>
          <w:jc w:val="center"/>
          <w:trHeight w:val="472"/>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(二十七)</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采用综合评分法。</w:t>
            </w:r>
            <w:r/>
          </w:p>
        </w:tc>
      </w:tr>
      <w:tr>
        <w:trPr>
          <w:jc w:val="center"/>
          <w:trHeight w:val="228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(二十八)</w:t>
            </w:r>
            <w:r/>
          </w:p>
        </w:tc>
        <w:tc>
          <w:tcPr>
            <w:tcMar>
              <w:left w:w="108" w:type="dxa"/>
              <w:top w:w="0" w:type="dxa"/>
              <w:right w:w="108" w:type="dxa"/>
              <w:bottom w:w="0" w:type="dxa"/>
            </w:tcMar>
            <w:tcW w:w="7730" w:type="dxa"/>
            <w:textDirection w:val="lrTb"/>
            <w:noWrap w:val="false"/>
          </w:tcPr>
          <w:p>
            <w:pPr>
              <w:jc w:val="left"/>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一、推荐中标候选供应商名单。中标候选供应商数量应当根据采购需要确定，但必须按顺序排列中标候选供应商。</w:t>
            </w:r>
            <w:r/>
          </w:p>
          <w:p>
            <w:pPr>
              <w:jc w:val="left"/>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二、采用综合评分法的，按评审后得分由高到低顺序排列。得分相同的，按投标报价由低到高顺序排列。得分且投标报价相同的，按项目实施方案得分顺序排列。</w:t>
            </w:r>
            <w:r/>
          </w:p>
          <w:p>
            <w:pPr>
              <w:jc w:val="left"/>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三、采购人应当自收到评标报告之日起5个工作日内，在评标报告确定的中标候选人名单中按得分最高顺序确定一名中标人。</w:t>
            </w:r>
            <w:r/>
          </w:p>
        </w:tc>
      </w:tr>
      <w:tr>
        <w:trPr>
          <w:jc w:val="center"/>
          <w:trHeight w:val="155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（二十九）</w:t>
            </w:r>
            <w:r/>
          </w:p>
        </w:tc>
        <w:tc>
          <w:tcPr>
            <w:tcMar>
              <w:left w:w="108" w:type="dxa"/>
              <w:top w:w="0" w:type="dxa"/>
              <w:right w:w="108" w:type="dxa"/>
              <w:bottom w:w="0" w:type="dxa"/>
            </w:tcMar>
            <w:tcW w:w="7730" w:type="dxa"/>
            <w:textDirection w:val="lrTb"/>
            <w:noWrap w:val="false"/>
          </w:tcPr>
          <w:p>
            <w:pPr>
              <w:jc w:val="left"/>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1、评标中需要投标人对投标文件澄清或者说明的，应当通过“苏采云”系统交换数据电文。在评标期间，请投标人保持在线。</w:t>
            </w:r>
            <w:r/>
          </w:p>
          <w:p>
            <w:pPr>
              <w:jc w:val="left"/>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2、对于投标文件中含义不明确、同类问题表述不一致或者有明显文字和计算错误的内容，评标委员会通过“苏采云”系统要求投标人作出必要的澄清、说明或者补正，并规定回复时间。</w:t>
            </w:r>
            <w:r/>
          </w:p>
          <w:p>
            <w:pPr>
              <w:jc w:val="left"/>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3、投标人的澄清、说明或者补正应当采用通过“苏采云”系统（使</w:t>
            </w:r>
            <w:r>
              <w:rPr>
                <w:rFonts w:hint="eastAsia" w:cs="宋体" w:asciiTheme="minorEastAsia" w:hAnsiTheme="minorEastAsia" w:eastAsiaTheme="minorEastAsia"/>
                <w:sz w:val="24"/>
              </w:rPr>
              <w:t xml:space="preserve">用“CA数字证书”,加盖电子签章）形式。投标人没有在规定的回复时间内作出必要的澄清、说明或者补正，评标委员会将认为投标人拒绝作出必要的澄清、说明或者补正，并承担相应的后果和法律责任。</w:t>
            </w:r>
            <w:r/>
          </w:p>
          <w:p>
            <w:pPr>
              <w:jc w:val="left"/>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0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Pr>
            <w:r/>
            <w:bookmarkStart w:id="2" w:name="OLE_LINK7"/>
            <w:r/>
            <w:bookmarkStart w:id="3" w:name="OLE_LINK4"/>
            <w:r>
              <w:rPr>
                <w:rFonts w:hint="eastAsia" w:cs="宋体" w:asciiTheme="minorEastAsia" w:hAnsiTheme="minorEastAsia" w:eastAsiaTheme="minorEastAsia"/>
                <w:sz w:val="24"/>
              </w:rPr>
              <w:t xml:space="preserve">启动异常低价投标（响应）审查后，评审委员会应当要求相关供应商在评标现场合理的时间内，通过“苏采云”系统（使用“CA数字证书”,加盖电子签章）提供</w:t>
            </w:r>
            <w:r>
              <w:rPr>
                <w:rFonts w:hint="eastAsia" w:cs="宋体" w:asciiTheme="minorEastAsia" w:hAnsiTheme="minorEastAsia" w:eastAsiaTheme="minorEastAsia"/>
                <w:b/>
                <w:sz w:val="24"/>
              </w:rPr>
              <w:t xml:space="preserve">项目具体成本测算等与报价合理性相关的书面说明及相关证明材料</w:t>
            </w:r>
            <w:r>
              <w:rPr>
                <w:rFonts w:hint="eastAsia" w:cs="宋体" w:asciiTheme="minorEastAsia" w:hAnsiTheme="minorEastAsia" w:eastAsiaTheme="minorEastAsia"/>
                <w:sz w:val="24"/>
              </w:rPr>
              <w:t xml:space="preserve">，对投标（响应）价格作出解释，由评审委员会</w:t>
            </w:r>
            <w:r>
              <w:rPr>
                <w:rFonts w:hint="eastAsia" w:cs="宋体" w:asciiTheme="minorEastAsia" w:hAnsiTheme="minorEastAsia" w:eastAsiaTheme="minorEastAsia"/>
                <w:b/>
                <w:sz w:val="24"/>
              </w:rPr>
              <w:t xml:space="preserve">结合同类产品在主要电商平台的价格、该行业当地薪资水平等情况</w:t>
            </w:r>
            <w:r>
              <w:rPr>
                <w:rFonts w:hint="eastAsia" w:cs="宋体" w:asciiTheme="minorEastAsia" w:hAnsiTheme="minorEastAsia" w:eastAsiaTheme="minorEastAsia"/>
                <w:sz w:val="24"/>
              </w:rPr>
              <w:t xml:space="preserve">，依据专业经验对供应商报价合理性进行判断。投标（响应）供应商</w:t>
            </w:r>
            <w:r>
              <w:rPr>
                <w:rFonts w:hint="eastAsia" w:cs="宋体" w:asciiTheme="minorEastAsia" w:hAnsiTheme="minorEastAsia" w:eastAsiaTheme="minorEastAsia"/>
                <w:b/>
                <w:sz w:val="24"/>
              </w:rPr>
              <w:t xml:space="preserve">不提供书面说明、证明材料，或者提供的书面说明、证明材料不能证明其报价合理性的，评审委员会应当将其作为无效投标（响应）处理。</w:t>
            </w:r>
            <w:bookmarkEnd w:id="2"/>
            <w:r/>
            <w:bookmarkEnd w:id="3"/>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特别说明：“苏采云”系统通过“江苏省政府采购一体化不见面开标大厅</w:t>
            </w:r>
            <w:r>
              <w:rPr>
                <w:rFonts w:hint="eastAsia" w:cs="宋体" w:asciiTheme="minorEastAsia" w:hAnsiTheme="minorEastAsia" w:eastAsiaTheme="minorEastAsia"/>
                <w:b/>
                <w:bCs/>
                <w:sz w:val="24"/>
              </w:rPr>
              <w:t xml:space="preserve">”</w:t>
            </w:r>
            <w:r>
              <w:rPr>
                <w:rFonts w:hint="eastAsia" w:cs="宋体" w:asciiTheme="minorEastAsia" w:hAnsiTheme="minorEastAsia" w:eastAsiaTheme="minorEastAsia"/>
                <w:b/>
                <w:sz w:val="24"/>
              </w:rPr>
              <w:t xml:space="preserve">提醒投标人，投标人自行查看。投标人未及时查看或因自身原因导致未收到信息的，责任自负。</w:t>
            </w:r>
            <w:r/>
          </w:p>
        </w:tc>
      </w:tr>
      <w:tr>
        <w:trPr>
          <w:jc w:val="center"/>
          <w:trHeight w:val="378"/>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七</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政府采购合同</w:t>
            </w:r>
            <w:r/>
          </w:p>
        </w:tc>
      </w:tr>
      <w:tr>
        <w:trPr>
          <w:jc w:val="center"/>
          <w:trHeight w:val="662"/>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(三十六)</w:t>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（三十八）</w:t>
            </w:r>
            <w:r/>
          </w:p>
        </w:tc>
        <w:tc>
          <w:tcPr>
            <w:tcMar>
              <w:left w:w="108" w:type="dxa"/>
              <w:top w:w="0" w:type="dxa"/>
              <w:right w:w="108" w:type="dxa"/>
              <w:bottom w:w="0" w:type="dxa"/>
            </w:tcMar>
            <w:tcW w:w="7730" w:type="dxa"/>
            <w:vAlign w:val="center"/>
            <w:textDirection w:val="lrTb"/>
            <w:noWrap w:val="false"/>
          </w:tcPr>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无</w:t>
            </w:r>
            <w:r/>
          </w:p>
        </w:tc>
      </w:tr>
      <w:tr>
        <w:trPr>
          <w:jc w:val="center"/>
          <w:trHeight w:val="90"/>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(四十)</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质疑接收人：仝曼曼     联系电话：0516-8</w:t>
            </w:r>
            <w:r>
              <w:rPr>
                <w:rFonts w:cs="宋体" w:asciiTheme="minorEastAsia" w:hAnsiTheme="minorEastAsia" w:eastAsiaTheme="minorEastAsia"/>
                <w:sz w:val="24"/>
              </w:rPr>
              <w:t xml:space="preserve">1306777</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地址：徐州市睢宁县亚琦万贸中心B</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栋3楼</w:t>
            </w:r>
            <w:r/>
          </w:p>
        </w:tc>
      </w:tr>
      <w:tr>
        <w:trPr>
          <w:jc w:val="center"/>
        </w:trPr>
        <w:tc>
          <w:tcPr>
            <w:tcMar>
              <w:left w:w="108" w:type="dxa"/>
              <w:top w:w="0" w:type="dxa"/>
              <w:right w:w="108" w:type="dxa"/>
              <w:bottom w:w="0" w:type="dxa"/>
            </w:tcMar>
            <w:tcW w:w="1225" w:type="dxa"/>
            <w:vMerge w:val="restart"/>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附加说明</w:t>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中标人在收到中标通知书时，须向采购人和采购代理机构提交《开标一览表》和《分项价格表》的数据文件（WORD格式）。</w:t>
            </w:r>
            <w:r/>
          </w:p>
          <w:p>
            <w:pPr>
              <w:ind w:firstLine="48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邮箱：</w:t>
            </w:r>
            <w:r>
              <w:rPr>
                <w:rFonts w:cs="宋体" w:asciiTheme="minorEastAsia" w:hAnsiTheme="minorEastAsia" w:eastAsiaTheme="minorEastAsia"/>
                <w:sz w:val="24"/>
              </w:rPr>
              <w:t xml:space="preserve">215243783@</w:t>
            </w:r>
            <w:r>
              <w:rPr>
                <w:rFonts w:hint="eastAsia" w:cs="宋体" w:asciiTheme="minorEastAsia" w:hAnsiTheme="minorEastAsia" w:eastAsiaTheme="minorEastAsia"/>
                <w:sz w:val="24"/>
              </w:rPr>
              <w:t xml:space="preserve">qq.com</w:t>
            </w:r>
            <w:r/>
          </w:p>
        </w:tc>
      </w:tr>
      <w:tr>
        <w:trPr>
          <w:jc w:val="center"/>
        </w:trPr>
        <w:tc>
          <w:tcPr>
            <w:tcMar>
              <w:left w:w="108" w:type="dxa"/>
              <w:top w:w="0" w:type="dxa"/>
              <w:right w:w="108" w:type="dxa"/>
              <w:bottom w:w="0" w:type="dxa"/>
            </w:tcMar>
            <w:tcW w:w="1225" w:type="dxa"/>
            <w:vMerge w:val="continue"/>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1、评标中需要投标人对投标文件澄清或者说明的，应当通过“苏采云”系统交换数据电文。在评标期间，请投标人保持在线。</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225" w:type="dxa"/>
            <w:textDirection w:val="lrTb"/>
            <w:noWrap w:val="false"/>
          </w:tcPr>
          <w:p>
            <w:pPr>
              <w:jc w:val="cente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7730" w:type="dxa"/>
            <w:textDirection w:val="lrTb"/>
            <w:noWrap w:val="false"/>
          </w:tcPr>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4、招标文件中如需“授权代表签字或盖章”，供应商可打印成文档。签字或盖章后再扫描上传，最后再电子签章。</w:t>
            </w:r>
            <w:r/>
          </w:p>
        </w:tc>
      </w:tr>
    </w:tbl>
    <w:p>
      <w:pPr>
        <w:ind w:firstLine="600"/>
        <w:spacing w:line="360" w:lineRule="auto"/>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rPr>
        <w:t xml:space="preserve"> </w:t>
      </w:r>
      <w:r/>
    </w:p>
    <w:p>
      <w:pPr>
        <w:ind w:firstLine="600"/>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bCs/>
          <w:sz w:val="24"/>
        </w:rPr>
      </w:r>
      <w:r/>
    </w:p>
    <w:p>
      <w:pPr>
        <w:ind w:firstLine="600"/>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本章附件：招标代理服务收费标准</w:t>
      </w:r>
      <w:r/>
    </w:p>
    <w:tbl>
      <w:tblPr>
        <w:tblStyle w:val="862"/>
        <w:tblW w:w="50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5080"/>
        <w:gridCol w:w="3212"/>
      </w:tblGrid>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中标或者成交金额</w:t>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费率</w:t>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最低收费金额(每个委托项目)</w:t>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5000元</w:t>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50万元以下(含50万元)</w:t>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1.6%</w:t>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50-400万元(含400万元)</w:t>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1.5%</w:t>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400-1000万元(含1000万元)</w:t>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1.1%</w:t>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1000-5000万元(含5000万元)</w:t>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0.8%</w:t>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5000-1亿元(含1亿元)</w:t>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0.25%</w:t>
            </w:r>
            <w:r/>
          </w:p>
        </w:tc>
      </w:tr>
      <w:tr>
        <w:trPr>
          <w:trHeight w:val="54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1-10亿元(含10亿元)</w:t>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0.05%</w:t>
            </w:r>
            <w:r/>
          </w:p>
        </w:tc>
      </w:tr>
      <w:tr>
        <w:trPr>
          <w:trHeight w:val="505"/>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10-50亿元(含50亿元)</w:t>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0.01%</w:t>
            </w:r>
            <w:r/>
          </w:p>
        </w:tc>
      </w:tr>
      <w:tr>
        <w:trPr>
          <w:trHeight w:val="514"/>
        </w:trPr>
        <w:tc>
          <w:tcPr>
            <w:tcMar>
              <w:left w:w="108" w:type="dxa"/>
              <w:top w:w="0" w:type="dxa"/>
              <w:right w:w="108" w:type="dxa"/>
              <w:bottom w:w="0" w:type="dxa"/>
            </w:tcMar>
            <w:tcW w:w="3062"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50亿元以上</w:t>
            </w:r>
            <w:r/>
          </w:p>
        </w:tc>
        <w:tc>
          <w:tcPr>
            <w:tcMar>
              <w:left w:w="108" w:type="dxa"/>
              <w:top w:w="0" w:type="dxa"/>
              <w:right w:w="108" w:type="dxa"/>
              <w:bottom w:w="0" w:type="dxa"/>
            </w:tcMar>
            <w:tcW w:w="1937" w:type="pct"/>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0.005%</w:t>
            </w:r>
            <w:r/>
          </w:p>
        </w:tc>
      </w:tr>
    </w:tbl>
    <w:p>
      <w:pPr>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说明：</w:t>
      </w:r>
      <w:r/>
    </w:p>
    <w:p>
      <w:pPr>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1、按上表计算的收费为代理服务全过程的收费金额。各社会代理机构不再收取采购文件制作售卖费用。</w:t>
      </w:r>
      <w:r/>
    </w:p>
    <w:p>
      <w:pPr>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2、代理服务费按差额定率累进法计算。</w:t>
      </w:r>
      <w:r/>
    </w:p>
    <w:p>
      <w:pPr>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3、代理服务费基准金额（按差额定率累进法计算的）=中标金额（按差额定率累进法计算的）*费率（%）。</w:t>
      </w:r>
      <w:r/>
    </w:p>
    <w:p>
      <w:pPr>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4、代理服务费应收取金额=代理服务费基准金额（按差额定率累进法计算的）的合计数。</w:t>
      </w:r>
      <w:r/>
    </w:p>
    <w:p>
      <w:pPr>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5、定点类等无金额或事先不能计算出价格总额的项目，按中标（成交）金额100万元计算。</w:t>
      </w:r>
      <w:r/>
    </w:p>
    <w:p>
      <w:pPr>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6、有分包（分标段）项目按采购包收费。</w:t>
      </w:r>
      <w:r/>
    </w:p>
    <w:p>
      <w:pPr>
        <w:spacing w:line="440" w:lineRule="exact"/>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7、</w:t>
      </w:r>
      <w:r>
        <w:rPr>
          <w:rFonts w:hint="eastAsia" w:cs="宋体" w:asciiTheme="minorEastAsia" w:hAnsiTheme="minorEastAsia" w:eastAsiaTheme="minorEastAsia"/>
          <w:bCs/>
          <w:sz w:val="24"/>
        </w:rPr>
        <w:t xml:space="preserve">根据苏财规[2026]1号文件有关规定，本项目代理服务费由采购人支付，各投标人在投标报价时应充分考虑在内。</w:t>
      </w:r>
      <w:r/>
    </w:p>
    <w:p>
      <w:pPr>
        <w:spacing w:line="440" w:lineRule="exact"/>
        <w:rPr>
          <w:rFonts w:cs="宋体" w:asciiTheme="minorEastAsia" w:hAnsiTheme="minorEastAsia" w:eastAsiaTheme="minorEastAsia"/>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Cs/>
          <w:sz w:val="24"/>
        </w:rPr>
        <w:t xml:space="preserve">8</w:t>
      </w:r>
      <w:r>
        <w:rPr>
          <w:rFonts w:hint="eastAsia" w:cs="宋体" w:asciiTheme="minorEastAsia" w:hAnsiTheme="minorEastAsia" w:eastAsiaTheme="minorEastAsia"/>
          <w:bCs/>
          <w:sz w:val="24"/>
        </w:rPr>
        <w:t xml:space="preserve">、账户信息：</w:t>
      </w:r>
      <w:r/>
    </w:p>
    <w:p>
      <w:pPr>
        <w:pStyle w:val="896"/>
        <w:ind w:firstLine="50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公司名称：江苏润泽工程项目管理有限公司 </w:t>
      </w:r>
      <w:r/>
    </w:p>
    <w:p>
      <w:pPr>
        <w:pStyle w:val="896"/>
        <w:ind w:firstLine="50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开户银行：江苏睢宁农村商业银行红叶支行</w:t>
      </w:r>
      <w:r/>
    </w:p>
    <w:p>
      <w:pPr>
        <w:pStyle w:val="896"/>
        <w:ind w:firstLine="505"/>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银行账号：3203240361010000070738</w:t>
      </w:r>
      <w:r/>
    </w:p>
    <w:p>
      <w:pPr>
        <w:spacing w:line="400" w:lineRule="exact"/>
        <w:rPr>
          <w:rFonts w:cs="宋体"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sz w:val="28"/>
          <w:szCs w:val="28"/>
        </w:rPr>
      </w:r>
      <w:r/>
    </w:p>
    <w:p>
      <w:pPr>
        <w:numPr>
          <w:ilvl w:val="0"/>
          <w:numId w:val="2"/>
        </w:numPr>
        <w:jc w:val="center"/>
        <w:spacing w:line="360" w:lineRule="auto"/>
        <w:rPr>
          <w:rFonts w:cs="宋体" w:asciiTheme="minorEastAsia" w:hAnsiTheme="minorEastAsia" w:eastAsiaTheme="minorEastAsia"/>
          <w:b/>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2"/>
          <w:szCs w:val="32"/>
        </w:rPr>
        <w:t xml:space="preserve">评标标准</w:t>
      </w:r>
      <w:r/>
    </w:p>
    <w:tbl>
      <w:tblPr>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04"/>
        <w:gridCol w:w="7375"/>
      </w:tblGrid>
      <w:tr>
        <w:trPr>
          <w:jc w:val="center"/>
          <w:trHeight w:val="247"/>
        </w:trPr>
        <w:tc>
          <w:tcPr>
            <w:tcW w:w="1304"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评分内容</w:t>
            </w:r>
            <w:r/>
          </w:p>
        </w:tc>
        <w:tc>
          <w:tcPr>
            <w:tcW w:w="7375"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评分标准</w:t>
            </w:r>
            <w:r/>
          </w:p>
        </w:tc>
      </w:tr>
      <w:tr>
        <w:trPr>
          <w:jc w:val="center"/>
          <w:trHeight w:val="1539"/>
        </w:trPr>
        <w:tc>
          <w:tcPr>
            <w:tcW w:w="130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投标报价（30分）</w:t>
            </w:r>
            <w:r/>
          </w:p>
        </w:tc>
        <w:tc>
          <w:tcPr>
            <w:tcW w:w="7375" w:type="dxa"/>
            <w:vAlign w:val="center"/>
            <w:textDirection w:val="lrTb"/>
            <w:noWrap w:val="false"/>
          </w:tcPr>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价格分采用低价优先法计算，即满足招标文件要求且投标价格最低的投标报价为评标基准价，其价格分为满分。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投标人投标报价得分=（评标基准价/投标报价）×30，得分按四舍五入取至小数点后两位。</w:t>
            </w:r>
            <w:r/>
          </w:p>
        </w:tc>
      </w:tr>
      <w:tr>
        <w:trPr>
          <w:jc w:val="center"/>
          <w:trHeight w:val="945"/>
        </w:trPr>
        <w:tc>
          <w:tcPr>
            <w:tcW w:w="130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业绩</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（4分）</w:t>
            </w:r>
            <w:r/>
          </w:p>
        </w:tc>
        <w:tc>
          <w:tcPr>
            <w:tcW w:w="7375" w:type="dxa"/>
            <w:vAlign w:val="center"/>
            <w:textDirection w:val="lrTb"/>
            <w:noWrap w:val="false"/>
          </w:tcPr>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投标人2023年</w:t>
            </w:r>
            <w:r>
              <w:rPr>
                <w:rFonts w:cs="宋体" w:asciiTheme="minorEastAsia" w:hAnsiTheme="minorEastAsia" w:eastAsiaTheme="minorEastAsia"/>
                <w:sz w:val="24"/>
              </w:rPr>
              <w:t xml:space="preserve">10</w:t>
            </w:r>
            <w:bookmarkStart w:id="4" w:name="_GoBack"/>
            <w:r/>
            <w:bookmarkEnd w:id="4"/>
            <w:r>
              <w:rPr>
                <w:rFonts w:hint="eastAsia" w:cs="宋体" w:asciiTheme="minorEastAsia" w:hAnsiTheme="minorEastAsia" w:eastAsiaTheme="minorEastAsia"/>
                <w:sz w:val="24"/>
              </w:rPr>
              <w:t xml:space="preserve">月1日以来（以合同签订时间为准）承担过类似应急物资供货项目，每份有效合同得2分，最高4分。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注：投标文件中需提供合同原件扫描件（合同内容须清晰可辨，时间以合同签订日期为准，否则不得分）。</w:t>
            </w:r>
            <w:r/>
          </w:p>
        </w:tc>
      </w:tr>
      <w:tr>
        <w:trPr>
          <w:jc w:val="center"/>
          <w:trHeight w:val="945"/>
        </w:trPr>
        <w:tc>
          <w:tcPr>
            <w:tcW w:w="130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第三方检测报告</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分）</w:t>
            </w:r>
            <w:r/>
          </w:p>
        </w:tc>
        <w:tc>
          <w:tcPr>
            <w:tcW w:w="7375" w:type="dxa"/>
            <w:vAlign w:val="center"/>
            <w:textDirection w:val="lrTb"/>
            <w:noWrap w:val="false"/>
          </w:tcPr>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提供帐篷、折叠床、棉被、棉衣、睡袋中至少3类产品在有效期内的第三方检测报告（</w:t>
            </w:r>
            <w:r>
              <w:rPr>
                <w:rFonts w:hint="eastAsia" w:cs="宋体" w:asciiTheme="minorEastAsia" w:hAnsiTheme="minorEastAsia" w:eastAsiaTheme="minorEastAsia"/>
                <w:b/>
                <w:sz w:val="24"/>
              </w:rPr>
              <w:t xml:space="preserve">须由具备CMA或CNAS资质的机构出具，且检测项目覆盖本文件主要技术参数</w:t>
            </w:r>
            <w:r>
              <w:rPr>
                <w:rFonts w:hint="eastAsia" w:cs="宋体" w:asciiTheme="minorEastAsia" w:hAnsiTheme="minorEastAsia" w:eastAsiaTheme="minorEastAsia"/>
                <w:sz w:val="24"/>
              </w:rPr>
              <w:t xml:space="preserve">）。</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每提供1类得1分，最高</w:t>
            </w:r>
            <w:r>
              <w:rPr>
                <w:rFonts w:cs="宋体" w:asciiTheme="minorEastAsia" w:hAnsiTheme="minorEastAsia" w:eastAsiaTheme="minorEastAsia"/>
                <w:sz w:val="24"/>
              </w:rPr>
              <w:t xml:space="preserve">3</w:t>
            </w:r>
            <w:r>
              <w:rPr>
                <w:rFonts w:hint="eastAsia" w:cs="宋体" w:asciiTheme="minorEastAsia" w:hAnsiTheme="minorEastAsia" w:eastAsiaTheme="minorEastAsia"/>
                <w:sz w:val="24"/>
              </w:rPr>
              <w:t xml:space="preserve">分。未提供或过期不得分。</w:t>
            </w:r>
            <w:r/>
          </w:p>
        </w:tc>
      </w:tr>
      <w:tr>
        <w:trPr>
          <w:jc w:val="center"/>
          <w:trHeight w:val="945"/>
        </w:trPr>
        <w:tc>
          <w:tcPr>
            <w:tcW w:w="130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管理体系认证</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（3分）</w:t>
            </w:r>
            <w:r/>
          </w:p>
        </w:tc>
        <w:tc>
          <w:tcPr>
            <w:tcW w:w="7375" w:type="dxa"/>
            <w:vAlign w:val="center"/>
            <w:textDirection w:val="lrTb"/>
            <w:noWrap w:val="false"/>
          </w:tcPr>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通过ISO9001质量管理体系、ISO14001环境管理体系、ISO45001职业健康安全管理体系认证且在有效期内的，每提供1个得1分，最高3分；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须提供证书扫描件，否则不得分。</w:t>
            </w:r>
            <w:r/>
          </w:p>
        </w:tc>
      </w:tr>
      <w:tr>
        <w:trPr>
          <w:jc w:val="center"/>
          <w:trHeight w:val="416"/>
        </w:trPr>
        <w:tc>
          <w:tcPr>
            <w:tcW w:w="130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技术参数</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（30分）</w:t>
            </w:r>
            <w:r/>
          </w:p>
        </w:tc>
        <w:tc>
          <w:tcPr>
            <w:tcW w:w="7375" w:type="dxa"/>
            <w:vAlign w:val="center"/>
            <w:textDirection w:val="lrTb"/>
            <w:noWrap w:val="false"/>
          </w:tcPr>
          <w:p>
            <w:pPr>
              <w:rPr>
                <w:rFonts w:cs="宋体" w:asciiTheme="minorEastAsia" w:hAnsiTheme="minorEastAsia" w:eastAsiaTheme="minorEastAsia"/>
                <w:sz w:val="24"/>
              </w:rPr>
            </w:pPr>
            <w:r>
              <w:rPr>
                <w:rFonts w:cs="宋体" w:asciiTheme="minorEastAsia" w:hAnsiTheme="minorEastAsia" w:eastAsiaTheme="minorEastAsia"/>
                <w:sz w:val="24"/>
              </w:rPr>
              <w:t xml:space="preserve">依据投标文件中偏离表、技术规格说明对招标文件《第六章 采购需求》中"技术参数要求"满足程度进行评分。</w:t>
            </w:r>
            <w:r/>
          </w:p>
          <w:p>
            <w:pPr>
              <w:rPr>
                <w:rFonts w:cs="宋体" w:asciiTheme="minorEastAsia" w:hAnsiTheme="minorEastAsia" w:eastAsiaTheme="minorEastAsia"/>
                <w:sz w:val="24"/>
              </w:rPr>
            </w:pPr>
            <w:r>
              <w:rPr>
                <w:rFonts w:cs="宋体" w:asciiTheme="minorEastAsia" w:hAnsiTheme="minorEastAsia" w:eastAsiaTheme="minorEastAsia"/>
                <w:sz w:val="24"/>
              </w:rPr>
              <w:t xml:space="preserve">加"★"的条款为关键参数，</w:t>
            </w:r>
            <w:r>
              <w:rPr>
                <w:rFonts w:cs="宋体" w:asciiTheme="minorEastAsia" w:hAnsiTheme="minorEastAsia" w:eastAsiaTheme="minorEastAsia"/>
                <w:b/>
                <w:bCs/>
                <w:sz w:val="24"/>
              </w:rPr>
              <w:t xml:space="preserve">投标产品必须全部满足，任何一项★参数负偏离即投标无效</w:t>
            </w:r>
            <w:r>
              <w:rPr>
                <w:rFonts w:cs="宋体" w:asciiTheme="minorEastAsia" w:hAnsiTheme="minorEastAsia" w:eastAsiaTheme="minorEastAsia"/>
                <w:sz w:val="24"/>
              </w:rPr>
              <w:t xml:space="preserve">（符合性审查不通过，不进入后续评分）。</w:t>
            </w:r>
            <w:r/>
          </w:p>
          <w:p>
            <w:pPr>
              <w:rPr>
                <w:rFonts w:cs="宋体" w:asciiTheme="minorEastAsia" w:hAnsiTheme="minorEastAsia" w:eastAsiaTheme="minorEastAsia"/>
                <w:sz w:val="24"/>
              </w:rPr>
            </w:pPr>
            <w:r>
              <w:rPr>
                <w:rFonts w:cs="宋体" w:asciiTheme="minorEastAsia" w:hAnsiTheme="minorEastAsia" w:eastAsiaTheme="minorEastAsia"/>
                <w:sz w:val="24"/>
              </w:rPr>
              <w:t xml:space="preserve">一般响应指标：满足招标文件基本技术要求的得30分；如有不满足或负偏离的，</w:t>
            </w:r>
            <w:r>
              <w:rPr>
                <w:rFonts w:cs="宋体" w:asciiTheme="minorEastAsia" w:hAnsiTheme="minorEastAsia" w:eastAsiaTheme="minorEastAsia"/>
                <w:b/>
                <w:bCs/>
                <w:sz w:val="24"/>
              </w:rPr>
              <w:t xml:space="preserve">每一项扣1分，扣至0分为止</w:t>
            </w:r>
            <w:r>
              <w:rPr>
                <w:rFonts w:cs="宋体" w:asciiTheme="minorEastAsia" w:hAnsiTheme="minorEastAsia" w:eastAsiaTheme="minorEastAsia"/>
                <w:sz w:val="24"/>
              </w:rPr>
              <w:t xml:space="preserve">。本项最高得30分，最低得0分。</w:t>
            </w:r>
            <w:r/>
          </w:p>
        </w:tc>
      </w:tr>
      <w:tr>
        <w:trPr>
          <w:jc w:val="center"/>
          <w:trHeight w:val="414"/>
        </w:trPr>
        <w:tc>
          <w:tcPr>
            <w:tcW w:w="130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供货实施方案</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0</w:t>
            </w:r>
            <w:r>
              <w:rPr>
                <w:rFonts w:hint="eastAsia" w:cs="宋体" w:asciiTheme="minorEastAsia" w:hAnsiTheme="minorEastAsia" w:eastAsiaTheme="minorEastAsia"/>
                <w:sz w:val="24"/>
              </w:rPr>
              <w:t xml:space="preserve">分）</w:t>
            </w:r>
            <w:r/>
          </w:p>
        </w:tc>
        <w:tc>
          <w:tcPr>
            <w:tcW w:w="7375" w:type="dxa"/>
            <w:vAlign w:val="center"/>
            <w:textDirection w:val="lrTb"/>
            <w:noWrap w:val="false"/>
          </w:tcPr>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对投标人提供的供货实施方案进行评价，内容至少包含：</w:t>
            </w:r>
            <w:r>
              <w:rPr>
                <w:rFonts w:hint="eastAsia" w:cs="宋体" w:asciiTheme="minorEastAsia" w:hAnsiTheme="minorEastAsia" w:eastAsiaTheme="minorEastAsia"/>
                <w:b/>
                <w:sz w:val="24"/>
              </w:rPr>
              <w:t xml:space="preserve">人员安排、实施流程、供货保障措施、供货计划安排、安装调试方案</w:t>
            </w:r>
            <w:r>
              <w:rPr>
                <w:rFonts w:hint="eastAsia" w:cs="宋体" w:asciiTheme="minorEastAsia" w:hAnsiTheme="minorEastAsia" w:eastAsiaTheme="minorEastAsia"/>
                <w:sz w:val="24"/>
              </w:rPr>
              <w:t xml:space="preserve">等。</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全面性（3分）：全面具体详实得3分；较全面得2分；不太全面得1分；未提供不得分。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针对性（3分）：针对性强得3分；针对性一般得2分；欠缺针对性得1分；未提供不得分。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可行性（4分）：符合实际切实可行得4分；较切实可行得2分；可行性欠缺得1分；未提供不得分。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本项最高10分，最低0分。</w:t>
            </w:r>
            <w:r/>
          </w:p>
        </w:tc>
      </w:tr>
      <w:tr>
        <w:trPr>
          <w:jc w:val="center"/>
          <w:trHeight w:val="876"/>
        </w:trPr>
        <w:tc>
          <w:tcPr>
            <w:tcW w:w="130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储备代管方案（1</w:t>
            </w:r>
            <w:r>
              <w:rPr>
                <w:rFonts w:cs="宋体" w:asciiTheme="minorEastAsia" w:hAnsiTheme="minorEastAsia" w:eastAsiaTheme="minorEastAsia"/>
                <w:sz w:val="24"/>
              </w:rPr>
              <w:t xml:space="preserve">0</w:t>
            </w:r>
            <w:r>
              <w:rPr>
                <w:rFonts w:hint="eastAsia" w:cs="宋体" w:asciiTheme="minorEastAsia" w:hAnsiTheme="minorEastAsia" w:eastAsiaTheme="minorEastAsia"/>
                <w:sz w:val="24"/>
              </w:rPr>
              <w:t xml:space="preserve">分）</w:t>
            </w:r>
            <w:r/>
          </w:p>
        </w:tc>
        <w:tc>
          <w:tcPr>
            <w:tcW w:w="7375" w:type="dxa"/>
            <w:vAlign w:val="center"/>
            <w:textDirection w:val="lrTb"/>
            <w:noWrap w:val="false"/>
          </w:tcPr>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对投标人提供的储备代管方案进行评价，内容至少包含</w:t>
            </w:r>
            <w:r>
              <w:rPr>
                <w:rFonts w:hint="eastAsia" w:cs="宋体" w:asciiTheme="minorEastAsia" w:hAnsiTheme="minorEastAsia" w:eastAsiaTheme="minorEastAsia"/>
                <w:b/>
                <w:sz w:val="24"/>
              </w:rPr>
              <w:t xml:space="preserve">：代储场地规划与设施条件、日常管护与台账制度、轮换更新机制、应急调拨响应流程、接受监督检查的配合措施</w:t>
            </w:r>
            <w:r>
              <w:rPr>
                <w:rFonts w:hint="eastAsia" w:cs="宋体" w:asciiTheme="minorEastAsia" w:hAnsiTheme="minorEastAsia" w:eastAsiaTheme="minorEastAsia"/>
                <w:sz w:val="24"/>
              </w:rPr>
              <w:t xml:space="preserve">等。</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全面性（3分）：全面具体详实得3分；较全面得2分；不太全面得1分；未提供不得分。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针对性（3分）：针对性强得3分；针对性一般得2分；欠缺针对性得1分；未提供不得分。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可行性（4分）：符合实际切实可行得4分；较切实可行得2分；可</w:t>
            </w:r>
            <w:r>
              <w:rPr>
                <w:rFonts w:hint="eastAsia" w:cs="宋体" w:asciiTheme="minorEastAsia" w:hAnsiTheme="minorEastAsia" w:eastAsiaTheme="minorEastAsia"/>
                <w:sz w:val="24"/>
              </w:rPr>
              <w:t xml:space="preserve">行性欠缺得1分；未提供不得分。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本项最高10分，最低0分。</w:t>
            </w:r>
            <w:r/>
          </w:p>
        </w:tc>
      </w:tr>
      <w:tr>
        <w:trPr>
          <w:jc w:val="center"/>
          <w:trHeight w:val="3553"/>
        </w:trPr>
        <w:tc>
          <w:tcPr>
            <w:tcW w:w="1304"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售后服务与质保方案</w:t>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cs="宋体" w:asciiTheme="minorEastAsia" w:hAnsiTheme="minorEastAsia" w:eastAsiaTheme="minorEastAsia"/>
                <w:sz w:val="24"/>
              </w:rPr>
              <w:t xml:space="preserve">0</w:t>
            </w:r>
            <w:r>
              <w:rPr>
                <w:rFonts w:hint="eastAsia" w:cs="宋体" w:asciiTheme="minorEastAsia" w:hAnsiTheme="minorEastAsia" w:eastAsiaTheme="minorEastAsia"/>
                <w:sz w:val="24"/>
              </w:rPr>
              <w:t xml:space="preserve">分）</w:t>
            </w:r>
            <w:r/>
          </w:p>
        </w:tc>
        <w:tc>
          <w:tcPr>
            <w:tcW w:w="7375" w:type="dxa"/>
            <w:vAlign w:val="center"/>
            <w:textDirection w:val="lrTb"/>
            <w:noWrap w:val="false"/>
          </w:tcPr>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对投标人提供的售后服务与质保方案进行评价，内容至少包含：</w:t>
            </w:r>
            <w:r>
              <w:rPr>
                <w:rFonts w:hint="eastAsia" w:cs="宋体" w:asciiTheme="minorEastAsia" w:hAnsiTheme="minorEastAsia" w:eastAsiaTheme="minorEastAsia"/>
                <w:b/>
                <w:sz w:val="24"/>
              </w:rPr>
              <w:t xml:space="preserve">质保期限承诺、售后响应时间、故障处理流程、备品备件供应保障、退换货及补货机制</w:t>
            </w:r>
            <w:r>
              <w:rPr>
                <w:rFonts w:hint="eastAsia" w:cs="宋体" w:asciiTheme="minorEastAsia" w:hAnsiTheme="minorEastAsia" w:eastAsiaTheme="minorEastAsia"/>
                <w:sz w:val="24"/>
              </w:rPr>
              <w:t xml:space="preserve">等。</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全面性（3分）：全面具体详实得3分；较全面得2分；不太全面得1分；未提供不得分。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针对性（3分）：针对性强得3分；针对性一般得2分；欠缺针对性得1分；未提供不得分。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可行性（4分）：符合实际切实可行得4分；较切实可行得2分；可行性欠缺得1分；未提供不得分。</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本项最高10分，最低0分。</w:t>
            </w:r>
            <w:r/>
          </w:p>
        </w:tc>
      </w:tr>
    </w:tbl>
    <w:p>
      <w:pPr>
        <w:ind w:firstLine="600"/>
        <w:spacing w:line="519" w:lineRule="atLeas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s="宋体" w:asciiTheme="minorEastAsia" w:hAnsiTheme="minorEastAsia" w:eastAsiaTheme="minorEastAsia"/>
          <w:sz w:val="24"/>
        </w:rPr>
        <w:t xml:space="preserve">本章说明：本项目采用综合评分法，结果保留2位小数</w:t>
      </w:r>
      <w:r/>
    </w:p>
    <w:p>
      <w:pPr>
        <w:jc w:val="center"/>
        <w:spacing w:line="360" w:lineRule="auto"/>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第五章 拟签订的合同文本</w:t>
      </w:r>
      <w:r/>
    </w:p>
    <w:p>
      <w:pPr>
        <w:rPr>
          <w:rFonts w:cs="宋体" w:asciiTheme="minorEastAsia" w:hAnsiTheme="minorEastAsia" w:eastAsiaTheme="minorEastAsia"/>
          <w:b/>
          <w:sz w:val="52"/>
          <w:szCs w:val="36"/>
        </w:rPr>
      </w:pPr>
      <w:r>
        <w:rPr>
          <w:rFonts w:cs="宋体" w:asciiTheme="minorEastAsia" w:hAnsiTheme="minorEastAsia" w:eastAsiaTheme="minorEastAsia"/>
          <w:b/>
          <w:sz w:val="52"/>
          <w:szCs w:val="36"/>
        </w:rPr>
      </w:r>
      <w:r/>
    </w:p>
    <w:p>
      <w:pPr>
        <w:jc w:val="center"/>
        <w:rPr>
          <w:rFonts w:cs="宋体" w:asciiTheme="minorEastAsia" w:hAnsiTheme="minorEastAsia" w:eastAsiaTheme="minorEastAsia"/>
          <w:b/>
          <w:sz w:val="72"/>
          <w:szCs w:val="72"/>
        </w:rPr>
      </w:pPr>
      <w:r>
        <w:rPr>
          <w:rFonts w:hint="eastAsia" w:cs="宋体" w:asciiTheme="minorEastAsia" w:hAnsiTheme="minorEastAsia" w:eastAsiaTheme="minorEastAsia"/>
          <w:b/>
          <w:sz w:val="72"/>
          <w:szCs w:val="72"/>
        </w:rPr>
        <w:t xml:space="preserve">政 府 采 购 合 同</w:t>
      </w:r>
      <w:r/>
    </w:p>
    <w:p>
      <w:pPr>
        <w:jc w:val="left"/>
        <w:rPr>
          <w:rFonts w:cs="宋体" w:asciiTheme="minorEastAsia" w:hAnsiTheme="minorEastAsia" w:eastAsiaTheme="minorEastAsia"/>
          <w:b/>
          <w:sz w:val="36"/>
          <w:szCs w:val="36"/>
        </w:rPr>
      </w:pPr>
      <w:r>
        <w:rPr>
          <w:rFonts w:cs="宋体" w:asciiTheme="minorEastAsia" w:hAnsiTheme="minorEastAsia" w:eastAsiaTheme="minorEastAsia"/>
          <w:b/>
          <w:sz w:val="36"/>
          <w:szCs w:val="36"/>
        </w:rPr>
      </w:r>
      <w:r/>
    </w:p>
    <w:p>
      <w:pPr>
        <w:jc w:val="left"/>
        <w:spacing w:line="360" w:lineRule="auto"/>
        <w:rPr>
          <w:rFonts w:cs="宋体" w:asciiTheme="minorEastAsia" w:hAnsiTheme="minorEastAsia" w:eastAsiaTheme="minorEastAsia"/>
          <w:b/>
          <w:sz w:val="32"/>
          <w:szCs w:val="32"/>
        </w:rPr>
      </w:pPr>
      <w:r>
        <w:rPr>
          <w:rFonts w:cs="宋体" w:asciiTheme="minorEastAsia" w:hAnsiTheme="minorEastAsia" w:eastAsiaTheme="minorEastAsia"/>
          <w:b/>
          <w:sz w:val="32"/>
          <w:szCs w:val="32"/>
        </w:rPr>
      </w:r>
      <w:r/>
    </w:p>
    <w:p>
      <w:pPr>
        <w:jc w:val="left"/>
        <w:spacing w:line="360" w:lineRule="auto"/>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项目编号：JSZC-320324-JSRZ-</w:t>
      </w:r>
      <w:r>
        <w:rPr>
          <w:rFonts w:hint="eastAsia" w:cs="宋体" w:asciiTheme="minorEastAsia" w:hAnsiTheme="minorEastAsia" w:eastAsiaTheme="minorEastAsia"/>
          <w:b/>
          <w:sz w:val="30"/>
          <w:szCs w:val="30"/>
        </w:rPr>
        <w:t xml:space="preserve">G2026-0006</w:t>
      </w:r>
      <w:r/>
    </w:p>
    <w:p>
      <w:pPr>
        <w:jc w:val="left"/>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left"/>
        <w:spacing w:line="360" w:lineRule="auto"/>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项目名称：2026年住宿保障类应急物资采购项目</w:t>
      </w:r>
      <w:r/>
    </w:p>
    <w:p>
      <w:pPr>
        <w:jc w:val="left"/>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left"/>
        <w:spacing w:line="360" w:lineRule="auto"/>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采购单位：睢宁县经济发展局</w:t>
      </w:r>
      <w:r/>
    </w:p>
    <w:p>
      <w:pPr>
        <w:jc w:val="left"/>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left"/>
        <w:spacing w:line="360" w:lineRule="auto"/>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中标供应商（乙方）：</w:t>
      </w:r>
      <w:r/>
    </w:p>
    <w:p>
      <w:pPr>
        <w:jc w:val="left"/>
        <w:spacing w:line="360" w:lineRule="auto"/>
        <w:rPr>
          <w:rFonts w:cs="宋体" w:asciiTheme="minorEastAsia" w:hAnsiTheme="minorEastAsia" w:eastAsiaTheme="minorEastAsia"/>
          <w:b/>
          <w:sz w:val="30"/>
          <w:szCs w:val="30"/>
        </w:rPr>
      </w:pPr>
      <w:r>
        <w:rPr>
          <w:rFonts w:cs="宋体" w:asciiTheme="minorEastAsia" w:hAnsiTheme="minorEastAsia" w:eastAsiaTheme="minorEastAsia"/>
          <w:b/>
          <w:sz w:val="30"/>
          <w:szCs w:val="30"/>
        </w:rPr>
      </w:r>
      <w:r/>
    </w:p>
    <w:p>
      <w:pPr>
        <w:jc w:val="left"/>
        <w:spacing w:line="360" w:lineRule="auto"/>
        <w:rPr>
          <w:rFonts w:cs="宋体" w:asciiTheme="minorEastAsia" w:hAnsiTheme="minorEastAsia" w:eastAsiaTheme="minorEastAsia"/>
          <w:b/>
          <w:sz w:val="30"/>
          <w:szCs w:val="30"/>
        </w:rPr>
      </w:pPr>
      <w:r>
        <w:rPr>
          <w:rFonts w:hint="eastAsia" w:cs="宋体" w:asciiTheme="minorEastAsia" w:hAnsiTheme="minorEastAsia" w:eastAsiaTheme="minorEastAsia"/>
          <w:b/>
          <w:sz w:val="30"/>
          <w:szCs w:val="30"/>
        </w:rPr>
        <w:t xml:space="preserve">签订日期：    年  月  日</w:t>
      </w:r>
      <w:r/>
    </w:p>
    <w:p>
      <w:pPr>
        <w:spacing w:line="360" w:lineRule="auto"/>
        <w:rPr>
          <w:rFonts w:cs="宋体" w:asciiTheme="minorEastAsia" w:hAnsiTheme="minorEastAsia" w:eastAsiaTheme="minorEastAsia"/>
          <w:b/>
          <w:bCs/>
          <w:sz w:val="24"/>
        </w:rPr>
      </w:pPr>
      <w:r>
        <w:rPr>
          <w:rFonts w:cs="宋体" w:asciiTheme="minorEastAsia" w:hAnsiTheme="minorEastAsia" w:eastAsiaTheme="minorEastAsia"/>
          <w:b/>
          <w:bCs/>
          <w:sz w:val="24"/>
        </w:rPr>
      </w:r>
      <w:r/>
    </w:p>
    <w:p>
      <w:pPr>
        <w:pStyle w:val="830"/>
        <w:ind w:left="0" w:right="0"/>
        <w:spacing w:after="0"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pStyle w:val="830"/>
        <w:ind w:left="0" w:right="0"/>
        <w:spacing w:after="0"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友情提醒：采购人与中标、成交供应商应当在中标、成交通知书发出之日起三十日内，按照采购文件确定的事项签订政府采购合同。</w:t>
      </w:r>
      <w:r/>
    </w:p>
    <w:p>
      <w:pPr>
        <w:pStyle w:val="830"/>
        <w:ind w:left="0" w:right="0"/>
        <w:spacing w:after="0"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pStyle w:val="830"/>
        <w:ind w:left="0" w:right="0"/>
        <w:spacing w:after="0" w:line="360" w:lineRule="auto"/>
        <w:rPr>
          <w:rFonts w:cs="宋体" w:asciiTheme="minorEastAsia" w:hAnsiTheme="minorEastAsia" w:eastAsiaTheme="minorEastAsia"/>
          <w:b/>
          <w:sz w:val="24"/>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s="宋体" w:asciiTheme="minorEastAsia" w:hAnsiTheme="minorEastAsia" w:eastAsiaTheme="minorEastAsia"/>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asciiTheme="minorEastAsia" w:hAnsiTheme="minorEastAsia" w:eastAsiaTheme="minorEastAsia"/>
          <w:b/>
          <w:bCs/>
          <w:sz w:val="36"/>
          <w:szCs w:val="36"/>
        </w:rPr>
      </w:pPr>
      <w:r>
        <w:rPr>
          <w:rFonts w:asciiTheme="minorEastAsia" w:hAnsiTheme="minorEastAsia" w:eastAsiaTheme="minorEastAsia"/>
          <w:b/>
          <w:bCs/>
          <w:sz w:val="36"/>
          <w:szCs w:val="36"/>
        </w:rPr>
        <w:t xml:space="preserve">2026年睢宁县住宿保障类应急物资</w:t>
      </w:r>
      <w:r>
        <w:rPr>
          <w:rFonts w:hint="eastAsia" w:asciiTheme="minorEastAsia" w:hAnsiTheme="minorEastAsia" w:eastAsiaTheme="minorEastAsia"/>
          <w:b/>
          <w:bCs/>
          <w:sz w:val="36"/>
          <w:szCs w:val="36"/>
        </w:rPr>
        <w:t xml:space="preserve">采购</w:t>
      </w:r>
      <w:r/>
    </w:p>
    <w:p>
      <w:pPr>
        <w:jc w:val="center"/>
        <w:spacing w:line="360" w:lineRule="auto"/>
        <w:rPr>
          <w:rFonts w:asciiTheme="minorEastAsia" w:hAnsiTheme="minorEastAsia" w:eastAsiaTheme="minorEastAsia"/>
        </w:rPr>
      </w:pPr>
      <w:r>
        <w:rPr>
          <w:rFonts w:asciiTheme="minorEastAsia" w:hAnsiTheme="minorEastAsia" w:eastAsiaTheme="minorEastAsia"/>
          <w:b/>
          <w:bCs/>
          <w:sz w:val="36"/>
          <w:szCs w:val="36"/>
        </w:rPr>
        <w:t xml:space="preserve">储备采购协议</w:t>
      </w:r>
      <w:r/>
    </w:p>
    <w:p>
      <w:pPr>
        <w:jc w:val="center"/>
        <w:spacing w:line="360" w:lineRule="auto"/>
        <w:rPr>
          <w:rFonts w:asciiTheme="minorEastAsia" w:hAnsiTheme="minorEastAsia" w:eastAsiaTheme="minorEastAsia"/>
        </w:rPr>
      </w:pPr>
      <w:r>
        <w:rPr>
          <w:rFonts w:hint="eastAsia" w:asciiTheme="minorEastAsia" w:hAnsiTheme="minorEastAsia" w:eastAsiaTheme="minorEastAsia"/>
          <w:sz w:val="22"/>
          <w:szCs w:val="22"/>
        </w:rPr>
        <w:t xml:space="preserve"> </w:t>
      </w:r>
      <w:r/>
    </w:p>
    <w:p>
      <w:pPr>
        <w:spacing w:line="360" w:lineRule="auto"/>
        <w:rPr>
          <w:rFonts w:asciiTheme="minorEastAsia" w:hAnsiTheme="minorEastAsia" w:eastAsiaTheme="minorEastAsia"/>
        </w:rPr>
      </w:pPr>
      <w:r>
        <w:rPr>
          <w:rFonts w:asciiTheme="minorEastAsia" w:hAnsiTheme="minorEastAsia" w:eastAsiaTheme="minorEastAsia"/>
          <w:b/>
          <w:bCs/>
        </w:rPr>
        <w:t xml:space="preserve">甲方：睢宁县经济发展局</w:t>
      </w:r>
      <w:r/>
    </w:p>
    <w:p>
      <w:pPr>
        <w:spacing w:line="360" w:lineRule="auto"/>
        <w:rPr>
          <w:rFonts w:asciiTheme="minorEastAsia" w:hAnsiTheme="minorEastAsia" w:eastAsiaTheme="minorEastAsia"/>
        </w:rPr>
      </w:pPr>
      <w:r>
        <w:rPr>
          <w:rFonts w:asciiTheme="minorEastAsia" w:hAnsiTheme="minorEastAsia" w:eastAsiaTheme="minorEastAsia"/>
        </w:rPr>
        <w:t xml:space="preserve">乙方：______________________________</w:t>
      </w:r>
      <w:r/>
    </w:p>
    <w:p>
      <w:pPr>
        <w:ind w:firstLine="480"/>
        <w:spacing w:line="360" w:lineRule="auto"/>
        <w:rPr>
          <w:rFonts w:asciiTheme="minorEastAsia" w:hAnsiTheme="minorEastAsia" w:eastAsiaTheme="minorEastAsia"/>
        </w:rPr>
      </w:pPr>
      <w:r>
        <w:rPr>
          <w:rFonts w:asciiTheme="minorEastAsia" w:hAnsiTheme="minorEastAsia" w:eastAsiaTheme="minorEastAsia"/>
        </w:rPr>
        <w:t xml:space="preserve">为应对可能发生的突发事件和自然灾害，保证睢宁县住宿保障类应急物资储备数量真实、质量合格和储存安全，甲方受县政府委托，与乙方就组织落实住宿保障类应急物资采购及储备（代储代管）事项，经公开招标后签订本协议：</w:t>
      </w:r>
      <w:r/>
    </w:p>
    <w:p>
      <w:pPr>
        <w:pStyle w:val="743"/>
        <w:spacing w:before="0" w:after="0" w:line="360" w:lineRule="auto"/>
        <w:rPr>
          <w:rFonts w:asciiTheme="minorEastAsia" w:hAnsiTheme="minorEastAsia" w:eastAsiaTheme="minorEastAsia"/>
          <w:b/>
          <w:sz w:val="26"/>
          <w:szCs w:val="26"/>
        </w:rPr>
      </w:pPr>
      <w:r>
        <w:rPr>
          <w:rFonts w:hint="eastAsia" w:cs="微软雅黑" w:asciiTheme="minorEastAsia" w:hAnsiTheme="minorEastAsia" w:eastAsiaTheme="minorEastAsia"/>
          <w:b/>
          <w:sz w:val="26"/>
          <w:szCs w:val="26"/>
        </w:rPr>
        <w:t xml:space="preserve">一、储备内容</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1.储备物资：住宿保障类应急物资（详见本协议附件一《物资采购及储备明细表》，含帐篷、折叠床、棉被、棉鞋、棉衣、毛巾被、睡袋、防潮垫、蚊帐、帐篷灯等）。</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2.储备数量：实物采购 ______ 件（验收合格后所有权归甲方）；储备采购（实物储备代管）______ 件（所有权归</w:t>
      </w:r>
      <w:r>
        <w:rPr>
          <w:rFonts w:hint="eastAsia" w:asciiTheme="minorEastAsia" w:hAnsiTheme="minorEastAsia" w:eastAsiaTheme="minorEastAsia"/>
        </w:rPr>
        <w:t xml:space="preserve">乙</w:t>
      </w:r>
      <w:r>
        <w:rPr>
          <w:rFonts w:asciiTheme="minorEastAsia" w:hAnsiTheme="minorEastAsia" w:eastAsiaTheme="minorEastAsia"/>
        </w:rPr>
        <w:t xml:space="preserve">方，由乙方代为存储看管）。具体数量、单位、中标单价见下表：</w:t>
      </w:r>
      <w:r/>
    </w:p>
    <w:p>
      <w:pPr>
        <w:spacing w:line="360" w:lineRule="auto"/>
        <w:rPr>
          <w:rFonts w:asciiTheme="minorEastAsia" w:hAnsiTheme="minorEastAsia" w:eastAsiaTheme="minorEastAsia"/>
        </w:rPr>
      </w:pPr>
      <w:r>
        <w:rPr>
          <w:rFonts w:asciiTheme="minorEastAsia" w:hAnsiTheme="minorEastAsia" w:eastAsiaTheme="minorEastAsia"/>
        </w:rPr>
      </w:r>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700"/>
        <w:gridCol w:w="1900"/>
        <w:gridCol w:w="1400"/>
        <w:gridCol w:w="1400"/>
        <w:gridCol w:w="700"/>
        <w:gridCol w:w="2926"/>
      </w:tblGrid>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b/>
                <w:bCs/>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b/>
                <w:bCs/>
              </w:rPr>
              <w:t xml:space="preserve">物资名称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b/>
                <w:bCs/>
              </w:rPr>
              <w:t xml:space="preserve">实物采购数量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b/>
                <w:bCs/>
              </w:rPr>
              <w:t xml:space="preserve">储备采购数量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b/>
                <w:bCs/>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b/>
                <w:bCs/>
              </w:rPr>
              <w:t xml:space="preserve">中标单价(元)</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帐篷</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折叠床</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棉被</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棉鞋</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棉衣</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毛巾被</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睡袋</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防潮垫</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蚊帐</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帐篷照明灯</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9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9075</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t xml:space="preserve">9625</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70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926"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bl>
    <w:p>
      <w:pPr>
        <w:spacing w:line="360" w:lineRule="auto"/>
        <w:rPr>
          <w:rFonts w:asciiTheme="minorEastAsia" w:hAnsiTheme="minorEastAsia" w:eastAsiaTheme="minorEastAsia"/>
        </w:rPr>
      </w:pPr>
      <w:r>
        <w:rPr>
          <w:rFonts w:asciiTheme="minorEastAsia" w:hAnsiTheme="minorEastAsia" w:eastAsiaTheme="minorEastAsia"/>
        </w:rPr>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3.储备时间：</w:t>
      </w:r>
      <w:r/>
    </w:p>
    <w:p>
      <w:pPr>
        <w:ind w:left="105" w:firstLine="315"/>
        <w:spacing w:line="360" w:lineRule="auto"/>
        <w:rPr>
          <w:rFonts w:asciiTheme="minorEastAsia" w:hAnsiTheme="minorEastAsia" w:eastAsiaTheme="minorEastAsia"/>
        </w:rPr>
      </w:pPr>
      <w:r>
        <w:rPr>
          <w:rFonts w:hint="eastAsia" w:asciiTheme="minorEastAsia" w:hAnsiTheme="minorEastAsia" w:eastAsiaTheme="minorEastAsia"/>
        </w:rPr>
        <w:t xml:space="preserve">储备期自合同签订之日起</w:t>
      </w:r>
      <w:r>
        <w:rPr>
          <w:rFonts w:asciiTheme="minorEastAsia" w:hAnsiTheme="minorEastAsia" w:eastAsiaTheme="minorEastAsia"/>
        </w:rPr>
        <w:t xml:space="preserve"> 12 </w:t>
      </w:r>
      <w:r>
        <w:rPr>
          <w:rFonts w:hint="eastAsia" w:asciiTheme="minorEastAsia" w:hAnsiTheme="minorEastAsia" w:eastAsiaTheme="minorEastAsia"/>
        </w:rPr>
        <w:t xml:space="preserve">个月（______年_</w:t>
      </w:r>
      <w:r>
        <w:rPr>
          <w:rFonts w:hint="eastAsia" w:asciiTheme="minorEastAsia" w:hAnsiTheme="minorEastAsia" w:eastAsiaTheme="minorEastAsia"/>
          <w:i/>
          <w:iCs/>
        </w:rPr>
        <w:t xml:space="preserve">月</w:t>
      </w:r>
      <w:r>
        <w:rPr>
          <w:rFonts w:hint="eastAsia" w:asciiTheme="minorEastAsia" w:hAnsiTheme="minorEastAsia" w:eastAsiaTheme="minorEastAsia"/>
          <w:b/>
          <w:bCs/>
          <w:i/>
          <w:iCs/>
        </w:rPr>
        <w:t xml:space="preserve">日至</w:t>
      </w:r>
      <w:r>
        <w:rPr>
          <w:rFonts w:asciiTheme="minorEastAsia" w:hAnsiTheme="minorEastAsia" w:eastAsiaTheme="minorEastAsia"/>
          <w:b/>
          <w:bCs/>
          <w:i/>
          <w:iCs/>
        </w:rPr>
        <w:t xml:space="preserve"> </w:t>
      </w:r>
      <w:r>
        <w:rPr>
          <w:rFonts w:hint="eastAsia" w:asciiTheme="minorEastAsia" w:hAnsiTheme="minorEastAsia" w:eastAsiaTheme="minorEastAsia"/>
        </w:rPr>
        <w:t xml:space="preserve">___年__月__日）；期满后经甲方书面确认后，可续期代管费按年度考核据实结算支付。</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4.储备地点：乙方自有或租赁的合规仓库</w:t>
      </w:r>
      <w:r>
        <w:rPr>
          <w:rFonts w:hint="eastAsia" w:asciiTheme="minorEastAsia" w:hAnsiTheme="minorEastAsia" w:eastAsiaTheme="minorEastAsia"/>
        </w:rPr>
        <w:t xml:space="preserve">，</w:t>
      </w:r>
      <w:r>
        <w:rPr>
          <w:rFonts w:asciiTheme="minorEastAsia" w:hAnsiTheme="minorEastAsia" w:eastAsiaTheme="minorEastAsia"/>
        </w:rPr>
        <w:t xml:space="preserve">具体地址：______。</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5.储备方式：实物储备（专仓、专垛）储藏，乙方提供场地并负责看管，甲方</w:t>
      </w:r>
      <w:r>
        <w:rPr>
          <w:rFonts w:hint="eastAsia" w:asciiTheme="minorEastAsia" w:hAnsiTheme="minorEastAsia" w:eastAsiaTheme="minorEastAsia"/>
        </w:rPr>
        <w:t xml:space="preserve">享有</w:t>
      </w:r>
      <w:r>
        <w:rPr>
          <w:rFonts w:asciiTheme="minorEastAsia" w:hAnsiTheme="minorEastAsia" w:eastAsiaTheme="minorEastAsia"/>
        </w:rPr>
        <w:t xml:space="preserve">随时调用权。</w:t>
      </w:r>
      <w:r/>
    </w:p>
    <w:p>
      <w:pPr>
        <w:pStyle w:val="743"/>
        <w:spacing w:before="0" w:after="0" w:line="360" w:lineRule="auto"/>
        <w:rPr>
          <w:rFonts w:cs="微软雅黑" w:asciiTheme="minorEastAsia" w:hAnsiTheme="minorEastAsia" w:eastAsiaTheme="minorEastAsia"/>
          <w:b/>
          <w:sz w:val="26"/>
          <w:szCs w:val="26"/>
        </w:rPr>
      </w:pPr>
      <w:r>
        <w:rPr>
          <w:rFonts w:hint="eastAsia" w:cs="微软雅黑" w:asciiTheme="minorEastAsia" w:hAnsiTheme="minorEastAsia" w:eastAsiaTheme="minorEastAsia"/>
          <w:b/>
          <w:sz w:val="26"/>
          <w:szCs w:val="26"/>
        </w:rPr>
        <w:t xml:space="preserve">二、储备要求</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1.本协议自签订之日起储备工作开始，储备物资由乙方根据市场情况和甲方要求组织采购、调运入库；乙方应按招标文件及中标结果及时完成实物采购部分物资的送货入库。</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2.乙方在满足储备计划要求的前提下，</w:t>
      </w:r>
      <w:r>
        <w:rPr>
          <w:rFonts w:hint="eastAsia" w:asciiTheme="minorEastAsia" w:hAnsiTheme="minorEastAsia" w:eastAsiaTheme="minorEastAsia"/>
        </w:rPr>
        <w:t xml:space="preserve">协议</w:t>
      </w:r>
      <w:r>
        <w:rPr>
          <w:rFonts w:asciiTheme="minorEastAsia" w:hAnsiTheme="minorEastAsia" w:eastAsiaTheme="minorEastAsia"/>
        </w:rPr>
        <w:t xml:space="preserve">储备物资可按正常更新轮换要求自行销售（出售）、自负盈亏；任何时点，甲方储备物资的库存数量不得低于承储规模的 90%。乙方应具备与本项目相适应的仓储、配送及经营能力。</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3.乙方对储备物资实行专仓（专垛）承储、专人管理、专账记载、挂牌明示（以下简称“四专”管理），确保账账相符、账物相符、质量良好和储存安全。乙方不得虚报储备数量，不得自行变更储备物资的储存专仓（专垛）。</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4.储备执行期内，乙方必须保证储备物资数量真实、质量合格。产品质量应符合本协议附件一规定的技术参数及相关国家标准、行业标准要求；储备物资应为全新合格产品，纺织品入库时应在保质期内，并做好防潮、防霉、防虫鼠措施。</w:t>
      </w:r>
      <w:r/>
    </w:p>
    <w:p>
      <w:pPr>
        <w:ind w:left="210" w:firstLine="420"/>
        <w:spacing w:line="360" w:lineRule="auto"/>
        <w:rPr>
          <w:color w:val="000000" w:themeColor="text1"/>
        </w:rPr>
      </w:pPr>
      <w:r>
        <w:rPr>
          <w:rFonts w:asciiTheme="minorEastAsia" w:hAnsiTheme="minorEastAsia" w:eastAsiaTheme="minorEastAsia"/>
          <w:color w:val="000000" w:themeColor="text1"/>
        </w:rPr>
        <w:t xml:space="preserve"> </w:t>
      </w:r>
      <w:r>
        <w:rPr>
          <w:color w:val="000000" w:themeColor="text1"/>
        </w:rPr>
        <w:t xml:space="preserve">乙方所供物资应为全新合格产品，不得提供临期或过期产品。到货物资的剩余质保期（或标注有效期）自验收合格之日起计算，</w:t>
      </w:r>
      <w:r>
        <w:rPr>
          <w:rStyle w:val="796"/>
          <w:color w:val="000000" w:themeColor="text1"/>
        </w:rPr>
        <w:t xml:space="preserve">不得低于该产品标注有效期的</w:t>
      </w:r>
      <w:r>
        <w:rPr>
          <w:rStyle w:val="796"/>
          <w:rFonts w:hint="eastAsia"/>
          <w:color w:val="000000" w:themeColor="text1"/>
        </w:rPr>
        <w:t xml:space="preserve">五</w:t>
      </w:r>
      <w:r>
        <w:rPr>
          <w:rStyle w:val="796"/>
          <w:color w:val="000000" w:themeColor="text1"/>
        </w:rPr>
        <w:t xml:space="preserve">分之</w:t>
      </w:r>
      <w:r>
        <w:rPr>
          <w:rStyle w:val="796"/>
          <w:rFonts w:hint="eastAsia"/>
          <w:color w:val="000000" w:themeColor="text1"/>
        </w:rPr>
        <w:t xml:space="preserve">四</w:t>
      </w:r>
      <w:r>
        <w:rPr>
          <w:color w:val="000000" w:themeColor="text1"/>
        </w:rPr>
        <w:t xml:space="preserve">。</w:t>
      </w:r>
      <w:r/>
    </w:p>
    <w:p>
      <w:pPr>
        <w:ind w:left="210" w:firstLine="420"/>
        <w:spacing w:line="360" w:lineRule="auto"/>
        <w:rPr>
          <w:rFonts w:asciiTheme="minorEastAsia" w:hAnsiTheme="minorEastAsia" w:eastAsiaTheme="minorEastAsia"/>
          <w:color w:val="000000" w:themeColor="text1"/>
        </w:rPr>
      </w:pPr>
      <w:r>
        <w:rPr>
          <w:color w:val="000000" w:themeColor="text1"/>
        </w:rPr>
        <w:t xml:space="preserve">经甲方或甲方委托的质检单位抽检，认定物资属于临期、过期或剩余质保期不足上述标准的，甲方有权</w:t>
      </w:r>
      <w:r>
        <w:rPr>
          <w:rStyle w:val="796"/>
          <w:color w:val="000000" w:themeColor="text1"/>
        </w:rPr>
        <w:t xml:space="preserve">予以拒收</w:t>
      </w:r>
      <w:r>
        <w:rPr>
          <w:color w:val="000000" w:themeColor="text1"/>
        </w:rPr>
        <w:t xml:space="preserve">，由此产生的退换货、运输、装卸等一切费用由乙方承担；因拒收导致交货逾期的，按本协议</w:t>
      </w:r>
      <w:r>
        <w:rPr>
          <w:color w:val="000000" w:themeColor="text1"/>
        </w:rPr>
        <w:t xml:space="preserve">"</w:t>
      </w:r>
      <w:r>
        <w:rPr>
          <w:color w:val="000000" w:themeColor="text1"/>
        </w:rPr>
        <w:t xml:space="preserve">责任</w:t>
      </w:r>
      <w:r>
        <w:rPr>
          <w:color w:val="000000" w:themeColor="text1"/>
        </w:rPr>
        <w:t xml:space="preserve">"</w:t>
      </w:r>
      <w:r>
        <w:rPr>
          <w:color w:val="000000" w:themeColor="text1"/>
        </w:rPr>
        <w:t xml:space="preserve">条款处理。</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5.乙方应建立健全储备物资财务会计核算制度及有关管理规章制度，确保账物相符、账表相符，并按有关规定按月汇总上报储备物资进、销、存统计报表。</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6.甲方不定期对储备情况进行检查，乙方必须积极配合，并提供储备物资台账及相关资料。</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7.甲方委托有资质的质检单位对入库储备物资进行抽检，质检单位出具质检报告并同时报送甲方，检验费用由乙方（承储企业）承担。</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8.乙方不得将代管期间在库的储备物资对外进行质押、担保或者清偿债务。乙方进入撤销、解散或者破产程序时，应立即书面告知甲方。</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9.储备期内，乙方应于次月 5 日前向甲方报送上月储备物资进、销、存统计报表以及质量检测情况；应急状态启动时实行日报制度。</w:t>
      </w:r>
      <w:r/>
    </w:p>
    <w:p>
      <w:pPr>
        <w:pStyle w:val="743"/>
        <w:spacing w:before="0" w:after="0" w:line="360" w:lineRule="auto"/>
        <w:rPr>
          <w:rFonts w:cs="微软雅黑" w:asciiTheme="minorEastAsia" w:hAnsiTheme="minorEastAsia" w:eastAsiaTheme="minorEastAsia"/>
          <w:b/>
          <w:sz w:val="26"/>
          <w:szCs w:val="26"/>
        </w:rPr>
      </w:pPr>
      <w:r>
        <w:rPr>
          <w:rFonts w:hint="eastAsia" w:cs="微软雅黑" w:asciiTheme="minorEastAsia" w:hAnsiTheme="minorEastAsia" w:eastAsiaTheme="minorEastAsia"/>
          <w:b/>
          <w:sz w:val="26"/>
          <w:szCs w:val="26"/>
        </w:rPr>
        <w:t xml:space="preserve">三、经费管理</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1.经费构成：本项目经费由“实物采购物资货款”与“</w:t>
      </w:r>
      <w:r>
        <w:rPr>
          <w:rFonts w:hint="eastAsia" w:asciiTheme="minorEastAsia" w:hAnsiTheme="minorEastAsia" w:eastAsiaTheme="minorEastAsia"/>
        </w:rPr>
        <w:t xml:space="preserve">协议</w:t>
      </w:r>
      <w:r>
        <w:rPr>
          <w:rFonts w:asciiTheme="minorEastAsia" w:hAnsiTheme="minorEastAsia" w:eastAsiaTheme="minorEastAsia"/>
        </w:rPr>
        <w:t xml:space="preserve">储备代管服务费”两部分组成，分别列支、分别结算：</w:t>
      </w:r>
      <w:r/>
    </w:p>
    <w:p>
      <w:pPr>
        <w:ind w:left="840"/>
        <w:spacing w:line="360" w:lineRule="auto"/>
        <w:rPr>
          <w:rFonts w:asciiTheme="minorEastAsia" w:hAnsiTheme="minorEastAsia" w:eastAsiaTheme="minorEastAsia"/>
        </w:rPr>
      </w:pPr>
      <w:r>
        <w:rPr>
          <w:rFonts w:asciiTheme="minorEastAsia" w:hAnsiTheme="minorEastAsia" w:eastAsiaTheme="minorEastAsia"/>
        </w:rPr>
        <w:t xml:space="preserve">（1）实物采购货款 = 实物采购数量 × 中标单价，于验收合格后按本协议约定支付；</w:t>
      </w:r>
      <w:r/>
    </w:p>
    <w:p>
      <w:pPr>
        <w:ind w:left="840"/>
        <w:spacing w:line="360" w:lineRule="auto"/>
        <w:rPr>
          <w:rStyle w:val="796"/>
          <w:rFonts w:asciiTheme="minorEastAsia" w:hAnsiTheme="minorEastAsia" w:eastAsiaTheme="minorEastAsia"/>
        </w:rPr>
      </w:pPr>
      <w:r>
        <w:rPr>
          <w:rFonts w:asciiTheme="minorEastAsia" w:hAnsiTheme="minorEastAsia" w:eastAsiaTheme="minorEastAsia"/>
        </w:rPr>
        <w:t xml:space="preserve">（2）</w:t>
      </w:r>
      <w:r>
        <w:rPr>
          <w:rStyle w:val="796"/>
          <w:rFonts w:hint="eastAsia" w:asciiTheme="minorEastAsia" w:hAnsiTheme="minorEastAsia" w:eastAsiaTheme="minorEastAsia"/>
        </w:rPr>
        <w:t xml:space="preserve">储备代管服务费（含仓储场地、看管、轮换损耗、值守等）：</w:t>
      </w:r>
      <w:r/>
    </w:p>
    <w:p>
      <w:pPr>
        <w:ind w:left="840" w:firstLine="422"/>
        <w:spacing w:line="360" w:lineRule="auto"/>
        <w:rPr>
          <w:rStyle w:val="796"/>
          <w:rFonts w:asciiTheme="minorEastAsia" w:hAnsiTheme="minorEastAsia" w:eastAsiaTheme="minorEastAsia"/>
        </w:rPr>
      </w:pPr>
      <w:r>
        <w:rPr>
          <w:rStyle w:val="796"/>
          <w:rFonts w:hint="eastAsia" w:asciiTheme="minorEastAsia" w:hAnsiTheme="minorEastAsia" w:eastAsiaTheme="minorEastAsia"/>
        </w:rPr>
        <w:t xml:space="preserve">① 首期（第1年）代储管理费：已计入本项目采购预算及投标总报价。</w:t>
      </w:r>
      <w:r>
        <w:rPr>
          <w:rStyle w:val="796"/>
          <w:rFonts w:asciiTheme="minorEastAsia" w:hAnsiTheme="minorEastAsia" w:eastAsiaTheme="minorEastAsia"/>
        </w:rPr>
        <w:t xml:space="preserve"> </w:t>
      </w:r>
      <w:r/>
    </w:p>
    <w:p>
      <w:pPr>
        <w:ind w:left="840" w:firstLine="422"/>
        <w:spacing w:line="360" w:lineRule="auto"/>
        <w:rPr>
          <w:rStyle w:val="796"/>
          <w:rFonts w:asciiTheme="minorEastAsia" w:hAnsiTheme="minorEastAsia" w:eastAsiaTheme="minorEastAsia"/>
        </w:rPr>
      </w:pPr>
      <w:r>
        <w:rPr>
          <w:rStyle w:val="796"/>
          <w:rFonts w:hint="eastAsia" w:asciiTheme="minorEastAsia" w:hAnsiTheme="minorEastAsia" w:eastAsiaTheme="minorEastAsia"/>
        </w:rPr>
        <w:t xml:space="preserve">②第2年及以后代储管理费：具体标准由甲乙双方在中标后另行协商确定，并在签订正式储备代管协议时予以明确，不作为投标报价竞争因素，不计入投标单价，不占用本项目预算额度。代管费标准确定后，按年度考核结果单独结算支付。</w:t>
      </w:r>
      <w:r/>
    </w:p>
    <w:p>
      <w:pPr>
        <w:ind w:left="840" w:firstLine="422"/>
        <w:spacing w:line="360" w:lineRule="auto"/>
        <w:rPr>
          <w:rStyle w:val="796"/>
          <w:rFonts w:asciiTheme="minorEastAsia" w:hAnsiTheme="minorEastAsia" w:eastAsiaTheme="minorEastAsia"/>
        </w:rPr>
      </w:pPr>
      <w:r>
        <w:rPr>
          <w:rStyle w:val="796"/>
          <w:rFonts w:hint="eastAsia" w:asciiTheme="minorEastAsia" w:hAnsiTheme="minorEastAsia" w:eastAsiaTheme="minorEastAsia"/>
        </w:rPr>
        <w:t xml:space="preserve">③投标阶段，投标人须承诺具备储备代管能力（详见评分标准"储备代管方案"项），并响应上述代管费计取方式。同一物资的中标单价作为储备物资货值的计算依据，同时适用于应急调拨结算。</w:t>
      </w:r>
      <w:r/>
    </w:p>
    <w:p>
      <w:pPr>
        <w:ind w:left="840"/>
        <w:spacing w:line="360" w:lineRule="auto"/>
        <w:rPr>
          <w:rFonts w:asciiTheme="minorEastAsia" w:hAnsiTheme="minorEastAsia" w:eastAsiaTheme="minorEastAsia"/>
        </w:rPr>
      </w:pPr>
      <w:r>
        <w:rPr>
          <w:rFonts w:asciiTheme="minorEastAsia" w:hAnsiTheme="minorEastAsia" w:eastAsiaTheme="minorEastAsia"/>
        </w:rPr>
        <w:t xml:space="preserve">2.费用标准：</w:t>
      </w:r>
      <w:r>
        <w:rPr>
          <w:rFonts w:asciiTheme="minorEastAsia" w:hAnsiTheme="minorEastAsia" w:eastAsiaTheme="minorEastAsia"/>
          <w:sz w:val="22"/>
          <w:szCs w:val="32"/>
        </w:rPr>
        <w:t xml:space="preserve">储备代管服务费标准为约 ______ 元/年（以实际代管年限及年度考核结果据实结算）。</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3.支付程序：储备任务完成后 15 个工作日内，乙方向甲方报告完成情况并申请拨付财政资金；乙方将相关手续报送甲方审定，甲方组织人员进行现场验收，验收合格后 30 日内，甲方根据本协议拨付相应货款及当年</w:t>
      </w:r>
      <w:r>
        <w:rPr>
          <w:rFonts w:hint="eastAsia" w:asciiTheme="minorEastAsia" w:hAnsiTheme="minorEastAsia" w:eastAsiaTheme="minorEastAsia"/>
        </w:rPr>
        <w:t xml:space="preserve">部分</w:t>
      </w:r>
      <w:r>
        <w:rPr>
          <w:rFonts w:asciiTheme="minorEastAsia" w:hAnsiTheme="minorEastAsia" w:eastAsiaTheme="minorEastAsia"/>
        </w:rPr>
        <w:t xml:space="preserve">代管费。储备期满后 15 日内，乙方准备资料，由甲方组织检查验收，根据验收结果支付代管费尾款；乙方凭甲方签署的《验收书》及本协议约定的凭证办理资金申请手续。</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4.代管费支付与考核挂钩：年度考核得分 90 分（含）以上的，支付 100%；80 分（含）至 90 分的，支付 90%；60 分（含）至 80 分的，支付 70%；60 分以下的，不予支付当年代管费（具体考核标准见附件二）。</w:t>
      </w:r>
      <w:r/>
    </w:p>
    <w:p>
      <w:pPr>
        <w:pStyle w:val="743"/>
        <w:spacing w:before="0" w:after="0" w:line="360" w:lineRule="auto"/>
        <w:rPr>
          <w:rFonts w:cs="微软雅黑" w:asciiTheme="minorEastAsia" w:hAnsiTheme="minorEastAsia" w:eastAsiaTheme="minorEastAsia"/>
          <w:b/>
          <w:sz w:val="26"/>
          <w:szCs w:val="26"/>
        </w:rPr>
      </w:pPr>
      <w:r>
        <w:rPr>
          <w:rFonts w:hint="eastAsia" w:cs="微软雅黑" w:asciiTheme="minorEastAsia" w:hAnsiTheme="minorEastAsia" w:eastAsiaTheme="minorEastAsia"/>
          <w:b/>
          <w:sz w:val="26"/>
          <w:szCs w:val="26"/>
        </w:rPr>
        <w:t xml:space="preserve">四、动用</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1.出现应急情况需要调用时，</w:t>
      </w:r>
      <w:r>
        <w:rPr>
          <w:rFonts w:hint="eastAsia" w:asciiTheme="minorEastAsia" w:hAnsiTheme="minorEastAsia" w:eastAsiaTheme="minorEastAsia"/>
        </w:rPr>
        <w:t xml:space="preserve">甲方支付协议储备物资货款后，</w:t>
      </w:r>
      <w:r>
        <w:rPr>
          <w:rFonts w:asciiTheme="minorEastAsia" w:hAnsiTheme="minorEastAsia" w:eastAsiaTheme="minorEastAsia"/>
        </w:rPr>
        <w:t xml:space="preserve">乙方必须无条件按照甲方下达的时间、品种、数量、调运地点组织调运，不得将储备物资销售给其他经营单位或个人；乙方按照甲方要求将储备物资调运至甲方指定地点，调运费用由乙方承担。</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2.应急调用的储备物资按本协议中标单价据实结算，调用后乙方应以最大生产能力及时补库，保障储备数量足额（调用及补库情况纳入年度考核）。</w:t>
      </w:r>
      <w:r/>
    </w:p>
    <w:p>
      <w:pPr>
        <w:ind w:left="480" w:hanging="360"/>
        <w:spacing w:line="360" w:lineRule="auto"/>
        <w:rPr>
          <w:rFonts w:asciiTheme="minorEastAsia" w:hAnsiTheme="minorEastAsia" w:eastAsiaTheme="minorEastAsia"/>
        </w:rPr>
      </w:pPr>
      <w:r>
        <w:rPr>
          <w:rFonts w:asciiTheme="minorEastAsia" w:hAnsiTheme="minorEastAsia" w:eastAsiaTheme="minorEastAsia"/>
        </w:rPr>
        <w:t xml:space="preserve">3.应急调用的物资须符合国家相关品质规定，必须持有产品质量检测报告；对不合格的物资，甲方有权处理，由此产生的损失由乙方承担。</w:t>
      </w:r>
      <w:r/>
    </w:p>
    <w:p>
      <w:pPr>
        <w:pStyle w:val="743"/>
        <w:spacing w:before="0" w:after="0" w:line="360" w:lineRule="auto"/>
        <w:rPr>
          <w:rFonts w:cs="微软雅黑" w:asciiTheme="minorEastAsia" w:hAnsiTheme="minorEastAsia" w:eastAsiaTheme="minorEastAsia"/>
          <w:b/>
          <w:sz w:val="26"/>
          <w:szCs w:val="26"/>
        </w:rPr>
      </w:pPr>
      <w:r>
        <w:rPr>
          <w:rFonts w:hint="eastAsia" w:cs="微软雅黑" w:asciiTheme="minorEastAsia" w:hAnsiTheme="minorEastAsia" w:eastAsiaTheme="minorEastAsia"/>
          <w:b/>
          <w:sz w:val="26"/>
          <w:szCs w:val="26"/>
        </w:rPr>
        <w:t xml:space="preserve">五、责任</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甲乙双方均承诺严格参照国家、省、市有关应急物资（生活类救灾物资）储备管理规定及本协议约定执行。违约责任遵循“考核管日常、硬伤管追责”原则：</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（一）严重违约（一票否决，终止协议+追偿损失）：</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（1）质量不合格/弄虚作假/不配合检查：储备期间物资抽检不合格、弄虚作假或不配合检查的，甲方有权终止协议，取消支付当年代储管理费及全部应付资金，并依法追究乙方责任。</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（2）应急调拨超时或拒不执行：不予支付当年代储管理费，甲方有权终止协议，并依法追究乙方经济及法律责任。</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（二）一般违约（纳入年度考核，不再另行扣减代管费）：</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（1）数量短缺：存储期间品种、数量与计划要求不符的，乙方按缺少单位的货值（中标单价×1）的 100%向甲方赔偿，并须及时补足；同时纳入年度考核评分。</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（2）报表逾期：不能如期报送数据的，纳入年度考核评分，不再单独扣减代管费。</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储备期内，因情况变化需要调减或调增储备物资数量时，由甲方提前 15 天书面通知，乙方应认真配合和执行；如遇紧急调运，调运后必须及时补足。</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为全面掌握储备工作进展情况，储备期内乙方应定时向甲方上报物资储备情况，应急状态启动日报制度；甲方不定期对储备情况进行检查和监督。</w:t>
      </w:r>
      <w:r/>
    </w:p>
    <w:p>
      <w:pPr>
        <w:ind w:firstLine="420"/>
        <w:spacing w:line="360" w:lineRule="auto"/>
        <w:rPr>
          <w:rFonts w:asciiTheme="minorEastAsia" w:hAnsiTheme="minorEastAsia" w:eastAsiaTheme="minorEastAsia"/>
        </w:rPr>
      </w:pPr>
      <w:r>
        <w:rPr>
          <w:rFonts w:hint="eastAsia" w:asciiTheme="minorEastAsia" w:hAnsiTheme="minorEastAsia" w:eastAsiaTheme="minorEastAsia"/>
        </w:rPr>
        <w:t xml:space="preserve">甲乙双方在履行本协议过程中发生争议的，应当友好协商；协商不成的，可以向甲方所在地人民法院提起诉讼。</w:t>
      </w:r>
      <w:r/>
    </w:p>
    <w:p>
      <w:pPr>
        <w:pStyle w:val="743"/>
        <w:spacing w:before="0" w:after="0" w:line="360" w:lineRule="auto"/>
        <w:rPr>
          <w:rFonts w:cs="微软雅黑" w:asciiTheme="minorEastAsia" w:hAnsiTheme="minorEastAsia" w:eastAsiaTheme="minorEastAsia"/>
          <w:b/>
          <w:sz w:val="26"/>
          <w:szCs w:val="26"/>
        </w:rPr>
      </w:pPr>
      <w:r>
        <w:rPr>
          <w:rFonts w:hint="eastAsia" w:cs="微软雅黑" w:asciiTheme="minorEastAsia" w:hAnsiTheme="minorEastAsia" w:eastAsiaTheme="minorEastAsia"/>
          <w:b/>
          <w:sz w:val="26"/>
          <w:szCs w:val="26"/>
        </w:rPr>
        <w:t xml:space="preserve">六、其他</w:t>
      </w:r>
      <w:r/>
    </w:p>
    <w:p>
      <w:pPr>
        <w:ind w:left="210" w:firstLine="420"/>
        <w:spacing w:line="360" w:lineRule="auto"/>
        <w:rPr>
          <w:rFonts w:asciiTheme="minorEastAsia" w:hAnsiTheme="minorEastAsia" w:eastAsiaTheme="minorEastAsia"/>
        </w:rPr>
      </w:pPr>
      <w:r>
        <w:rPr>
          <w:rFonts w:asciiTheme="minorEastAsia" w:hAnsiTheme="minorEastAsia" w:eastAsiaTheme="minorEastAsia"/>
        </w:rPr>
        <w:t xml:space="preserve">本协议一式四份，甲方一份，乙方一份，睢宁县财政局一份，具有同等法律效力。本协议自双方签字盖章之日起生效。</w:t>
      </w:r>
      <w:r/>
    </w:p>
    <w:p>
      <w:pPr>
        <w:ind w:left="210" w:firstLine="420"/>
        <w:spacing w:line="360" w:lineRule="auto"/>
        <w:rPr>
          <w:rFonts w:asciiTheme="minorEastAsia" w:hAnsiTheme="minorEastAsia" w:eastAsiaTheme="minorEastAsia"/>
        </w:rPr>
      </w:pPr>
      <w:r>
        <w:rPr>
          <w:rFonts w:asciiTheme="minorEastAsia" w:hAnsiTheme="minorEastAsia" w:eastAsiaTheme="minorEastAsia"/>
        </w:rPr>
        <w:t xml:space="preserve">本合同</w:t>
      </w:r>
      <w:r>
        <w:rPr>
          <w:rFonts w:hint="eastAsia" w:asciiTheme="minorEastAsia" w:hAnsiTheme="minorEastAsia" w:eastAsiaTheme="minorEastAsia"/>
        </w:rPr>
        <w:t xml:space="preserve">签名</w:t>
      </w:r>
      <w:r>
        <w:rPr>
          <w:rFonts w:asciiTheme="minorEastAsia" w:hAnsiTheme="minorEastAsia" w:eastAsiaTheme="minorEastAsia"/>
        </w:rPr>
        <w:t xml:space="preserve">页载明的双方联系地址和联系电话作为送达法律文书的确认地址和联系方式</w:t>
      </w:r>
      <w:r>
        <w:rPr>
          <w:rFonts w:hint="eastAsia" w:asciiTheme="minorEastAsia" w:hAnsiTheme="minorEastAsia" w:eastAsiaTheme="minorEastAsia"/>
        </w:rPr>
        <w:t xml:space="preserve">。</w:t>
      </w:r>
      <w:r/>
    </w:p>
    <w:p>
      <w:pPr>
        <w:spacing w:line="360" w:lineRule="auto"/>
        <w:rPr>
          <w:rFonts w:asciiTheme="minorEastAsia" w:hAnsiTheme="minorEastAsia" w:eastAsiaTheme="minorEastAsia"/>
        </w:rPr>
      </w:pPr>
      <w:r>
        <w:rPr>
          <w:rFonts w:asciiTheme="minorEastAsia" w:hAnsiTheme="minorEastAsia" w:eastAsiaTheme="minorEastAsia"/>
        </w:rPr>
      </w:r>
      <w:r/>
    </w:p>
    <w:p>
      <w:pPr>
        <w:spacing w:line="360" w:lineRule="auto"/>
        <w:rPr>
          <w:rFonts w:asciiTheme="minorEastAsia" w:hAnsiTheme="minorEastAsia" w:eastAsiaTheme="minorEastAsia"/>
        </w:rPr>
      </w:pPr>
      <w:r>
        <w:rPr>
          <w:rFonts w:asciiTheme="minorEastAsia" w:hAnsiTheme="minorEastAsia" w:eastAsiaTheme="minorEastAsia"/>
        </w:rPr>
      </w:r>
      <w:r/>
    </w:p>
    <w:tbl>
      <w:tblPr>
        <w:tblW w:w="9169" w:type="dxa"/>
        <w:tblCellMar>
          <w:left w:w="10" w:type="dxa"/>
          <w:right w:w="10" w:type="dxa"/>
        </w:tblCellMar>
        <w:tblLook w:val="04A0" w:firstRow="1" w:lastRow="0" w:firstColumn="1" w:lastColumn="0" w:noHBand="0" w:noVBand="1"/>
      </w:tblPr>
      <w:tblGrid>
        <w:gridCol w:w="4747"/>
        <w:gridCol w:w="4422"/>
      </w:tblGrid>
      <w:tr>
        <w:trPr>
          <w:trHeight w:val="379"/>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甲方：</w:t>
            </w:r>
            <w:r/>
          </w:p>
        </w:tc>
        <w:tc>
          <w:tcPr>
            <w:shd w:val="clear" w:color="auto" w:fill="auto"/>
            <w:tcW w:w="4422" w:type="dxa"/>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乙方：</w:t>
            </w:r>
            <w:r/>
          </w:p>
        </w:tc>
      </w:tr>
      <w:tr>
        <w:trPr>
          <w:trHeight w:val="398"/>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联系</w:t>
            </w:r>
            <w:r>
              <w:rPr>
                <w:rFonts w:asciiTheme="minorEastAsia" w:hAnsiTheme="minorEastAsia" w:eastAsiaTheme="minorEastAsia"/>
              </w:rPr>
              <w:t xml:space="preserve">地址</w:t>
            </w:r>
            <w:r>
              <w:rPr>
                <w:rFonts w:hint="eastAsia" w:asciiTheme="minorEastAsia" w:hAnsiTheme="minorEastAsia" w:eastAsiaTheme="minorEastAsia"/>
              </w:rPr>
              <w:t xml:space="preserve">：</w:t>
            </w:r>
            <w:r/>
          </w:p>
        </w:tc>
        <w:tc>
          <w:tcPr>
            <w:shd w:val="clear" w:color="auto" w:fill="auto"/>
            <w:tcW w:w="4422" w:type="dxa"/>
            <w:textDirection w:val="lrTb"/>
            <w:noWrap w:val="false"/>
          </w:tcPr>
          <w:p>
            <w:pPr>
              <w:spacing w:line="360" w:lineRule="auto"/>
              <w:rPr>
                <w:rFonts w:asciiTheme="minorEastAsia" w:hAnsiTheme="minorEastAsia" w:eastAsiaTheme="minorEastAsia"/>
              </w:rPr>
            </w:pPr>
            <w:r>
              <w:rPr>
                <w:rFonts w:hint="eastAsia" w:asciiTheme="minorEastAsia" w:hAnsiTheme="minorEastAsia" w:eastAsiaTheme="minorEastAsia"/>
              </w:rPr>
              <w:t xml:space="preserve">联系</w:t>
            </w:r>
            <w:r>
              <w:rPr>
                <w:rFonts w:asciiTheme="minorEastAsia" w:hAnsiTheme="minorEastAsia" w:eastAsiaTheme="minorEastAsia"/>
              </w:rPr>
              <w:t xml:space="preserve">地址</w:t>
            </w:r>
            <w:r>
              <w:rPr>
                <w:rFonts w:hint="eastAsia" w:asciiTheme="minorEastAsia" w:hAnsiTheme="minorEastAsia" w:eastAsiaTheme="minorEastAsia"/>
              </w:rPr>
              <w:t xml:space="preserve">：</w:t>
            </w:r>
            <w:r/>
          </w:p>
        </w:tc>
      </w:tr>
      <w:tr>
        <w:trPr>
          <w:trHeight w:val="379"/>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t xml:space="preserve">法定代表人 / </w:t>
            </w:r>
            <w:r>
              <w:rPr>
                <w:rFonts w:hint="eastAsia" w:asciiTheme="minorEastAsia" w:hAnsiTheme="minorEastAsia" w:eastAsiaTheme="minorEastAsia"/>
              </w:rPr>
              <w:t xml:space="preserve">授权委托</w:t>
            </w:r>
            <w:r>
              <w:rPr>
                <w:rFonts w:asciiTheme="minorEastAsia" w:hAnsiTheme="minorEastAsia" w:eastAsiaTheme="minorEastAsia"/>
              </w:rPr>
              <w:t xml:space="preserve">人</w:t>
            </w:r>
            <w:r>
              <w:rPr>
                <w:rFonts w:hint="eastAsia" w:asciiTheme="minorEastAsia" w:hAnsiTheme="minorEastAsia" w:eastAsiaTheme="minorEastAsia"/>
              </w:rPr>
              <w:t xml:space="preserve">：</w:t>
            </w:r>
            <w:r/>
          </w:p>
        </w:tc>
        <w:tc>
          <w:tcPr>
            <w:shd w:val="clear" w:color="auto" w:fill="auto"/>
            <w:tcW w:w="4422" w:type="dxa"/>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t xml:space="preserve">法定代表人 / </w:t>
            </w:r>
            <w:r>
              <w:rPr>
                <w:rFonts w:hint="eastAsia" w:asciiTheme="minorEastAsia" w:hAnsiTheme="minorEastAsia" w:eastAsiaTheme="minorEastAsia"/>
              </w:rPr>
              <w:t xml:space="preserve">授权委托</w:t>
            </w:r>
            <w:r>
              <w:rPr>
                <w:rFonts w:asciiTheme="minorEastAsia" w:hAnsiTheme="minorEastAsia" w:eastAsiaTheme="minorEastAsia"/>
              </w:rPr>
              <w:t xml:space="preserve">人</w:t>
            </w:r>
            <w:r>
              <w:rPr>
                <w:rFonts w:hint="eastAsia" w:asciiTheme="minorEastAsia" w:hAnsiTheme="minorEastAsia" w:eastAsiaTheme="minorEastAsia"/>
              </w:rPr>
              <w:t xml:space="preserve">：</w:t>
            </w:r>
            <w:r/>
          </w:p>
        </w:tc>
      </w:tr>
      <w:tr>
        <w:trPr>
          <w:trHeight w:val="398"/>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t xml:space="preserve">联系电话</w:t>
            </w:r>
            <w:r>
              <w:rPr>
                <w:rFonts w:hint="eastAsia" w:asciiTheme="minorEastAsia" w:hAnsiTheme="minorEastAsia" w:eastAsiaTheme="minorEastAsia"/>
              </w:rPr>
              <w:t xml:space="preserve">：</w:t>
            </w:r>
            <w:r/>
          </w:p>
        </w:tc>
        <w:tc>
          <w:tcPr>
            <w:shd w:val="clear" w:color="auto" w:fill="auto"/>
            <w:tcW w:w="4422" w:type="dxa"/>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t xml:space="preserve">联系电话</w:t>
            </w:r>
            <w:r>
              <w:rPr>
                <w:rFonts w:hint="eastAsia" w:asciiTheme="minorEastAsia" w:hAnsiTheme="minorEastAsia" w:eastAsiaTheme="minorEastAsia"/>
              </w:rPr>
              <w:t xml:space="preserve">：</w:t>
            </w:r>
            <w:r/>
          </w:p>
        </w:tc>
      </w:tr>
      <w:tr>
        <w:trPr>
          <w:trHeight w:val="379"/>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t xml:space="preserve">开户银行</w:t>
            </w:r>
            <w:r>
              <w:rPr>
                <w:rFonts w:hint="eastAsia" w:asciiTheme="minorEastAsia" w:hAnsiTheme="minorEastAsia" w:eastAsiaTheme="minorEastAsia"/>
              </w:rPr>
              <w:t xml:space="preserve">：</w:t>
            </w:r>
            <w:r/>
          </w:p>
        </w:tc>
        <w:tc>
          <w:tcPr>
            <w:shd w:val="clear" w:color="auto" w:fill="auto"/>
            <w:tcW w:w="4422" w:type="dxa"/>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t xml:space="preserve">开户银行</w:t>
            </w:r>
            <w:r>
              <w:rPr>
                <w:rFonts w:hint="eastAsia" w:asciiTheme="minorEastAsia" w:hAnsiTheme="minorEastAsia" w:eastAsiaTheme="minorEastAsia"/>
              </w:rPr>
              <w:t xml:space="preserve">：</w:t>
            </w:r>
            <w:r/>
          </w:p>
        </w:tc>
      </w:tr>
      <w:tr>
        <w:trPr>
          <w:trHeight w:val="398"/>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t xml:space="preserve">银行账号</w:t>
            </w:r>
            <w:r>
              <w:rPr>
                <w:rFonts w:hint="eastAsia" w:asciiTheme="minorEastAsia" w:hAnsiTheme="minorEastAsia" w:eastAsiaTheme="minorEastAsia"/>
              </w:rPr>
              <w:t xml:space="preserve">：</w:t>
            </w:r>
            <w:r/>
          </w:p>
        </w:tc>
        <w:tc>
          <w:tcPr>
            <w:shd w:val="clear" w:color="auto" w:fill="auto"/>
            <w:tcW w:w="4422" w:type="dxa"/>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t xml:space="preserve">银行账号</w:t>
            </w:r>
            <w:r>
              <w:rPr>
                <w:rFonts w:hint="eastAsia" w:asciiTheme="minorEastAsia" w:hAnsiTheme="minorEastAsia" w:eastAsiaTheme="minorEastAsia"/>
              </w:rPr>
              <w:t xml:space="preserve">：</w:t>
            </w:r>
            <w:r/>
          </w:p>
        </w:tc>
      </w:tr>
      <w:tr>
        <w:trPr>
          <w:trHeight w:val="398"/>
        </w:trPr>
        <w:tc>
          <w:tcPr>
            <w:shd w:val="clear" w:color="auto" w:fill="auto"/>
            <w:tcMar>
              <w:left w:w="100" w:type="dxa"/>
              <w:top w:w="80" w:type="dxa"/>
              <w:right w:w="100" w:type="dxa"/>
              <w:bottom w:w="80" w:type="dxa"/>
            </w:tcMar>
            <w:tcW w:w="4747" w:type="dxa"/>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t xml:space="preserve">签</w:t>
            </w:r>
            <w:r>
              <w:rPr>
                <w:rFonts w:hint="eastAsia" w:asciiTheme="minorEastAsia" w:hAnsiTheme="minorEastAsia" w:eastAsiaTheme="minorEastAsia"/>
              </w:rPr>
              <w:t xml:space="preserve">暑</w:t>
            </w:r>
            <w:r>
              <w:rPr>
                <w:rFonts w:asciiTheme="minorEastAsia" w:hAnsiTheme="minorEastAsia" w:eastAsiaTheme="minorEastAsia"/>
              </w:rPr>
              <w:t xml:space="preserve">日期</w:t>
            </w:r>
            <w:r>
              <w:rPr>
                <w:rFonts w:hint="eastAsia" w:asciiTheme="minorEastAsia" w:hAnsiTheme="minorEastAsia" w:eastAsiaTheme="minorEastAsia"/>
              </w:rPr>
              <w:t xml:space="preserve">：</w:t>
            </w:r>
            <w:r/>
          </w:p>
        </w:tc>
        <w:tc>
          <w:tcPr>
            <w:shd w:val="clear" w:color="auto" w:fill="auto"/>
            <w:tcW w:w="4422" w:type="dxa"/>
            <w:textDirection w:val="lrTb"/>
            <w:noWrap w:val="false"/>
          </w:tcPr>
          <w:p>
            <w:pPr>
              <w:spacing w:line="360" w:lineRule="auto"/>
              <w:rPr>
                <w:rFonts w:asciiTheme="minorEastAsia" w:hAnsiTheme="minorEastAsia" w:eastAsiaTheme="minorEastAsia"/>
              </w:rPr>
            </w:pPr>
            <w:r>
              <w:rPr>
                <w:rFonts w:asciiTheme="minorEastAsia" w:hAnsiTheme="minorEastAsia" w:eastAsiaTheme="minorEastAsia"/>
              </w:rPr>
              <w:t xml:space="preserve">签</w:t>
            </w:r>
            <w:r>
              <w:rPr>
                <w:rFonts w:hint="eastAsia" w:asciiTheme="minorEastAsia" w:hAnsiTheme="minorEastAsia" w:eastAsiaTheme="minorEastAsia"/>
              </w:rPr>
              <w:t xml:space="preserve">暑</w:t>
            </w:r>
            <w:r>
              <w:rPr>
                <w:rFonts w:asciiTheme="minorEastAsia" w:hAnsiTheme="minorEastAsia" w:eastAsiaTheme="minorEastAsia"/>
              </w:rPr>
              <w:t xml:space="preserve">日期</w:t>
            </w:r>
            <w:r>
              <w:rPr>
                <w:rFonts w:hint="eastAsia" w:asciiTheme="minorEastAsia" w:hAnsiTheme="minorEastAsia" w:eastAsiaTheme="minorEastAsia"/>
              </w:rPr>
              <w:t xml:space="preserve">：</w:t>
            </w:r>
            <w:r/>
          </w:p>
        </w:tc>
      </w:tr>
    </w:tbl>
    <w:p>
      <w:pPr>
        <w:spacing w:line="360" w:lineRule="auto"/>
        <w:rPr>
          <w:rFonts w:asciiTheme="minorEastAsia" w:hAnsiTheme="minorEastAsia" w:eastAsiaTheme="minorEastAsia"/>
        </w:rPr>
      </w:pPr>
      <w:r>
        <w:rPr>
          <w:rFonts w:asciiTheme="minorEastAsia" w:hAnsiTheme="minorEastAsia" w:eastAsiaTheme="minorEastAsia"/>
        </w:rPr>
      </w:r>
      <w:r/>
    </w:p>
    <w:p>
      <w:pPr>
        <w:pStyle w:val="743"/>
        <w:pageBreakBefore/>
        <w:spacing w:before="0" w:after="0" w:line="360" w:lineRule="auto"/>
        <w:rPr>
          <w:rFonts w:asciiTheme="minorEastAsia" w:hAnsiTheme="minorEastAsia" w:eastAsiaTheme="minorEastAsia"/>
        </w:rPr>
      </w:pPr>
      <w:r>
        <w:rPr>
          <w:rFonts w:asciiTheme="minorEastAsia" w:hAnsiTheme="minorEastAsia" w:eastAsiaTheme="minorEastAsia"/>
        </w:rPr>
        <w:t xml:space="preserve">附件一　物资采购及储备明细表</w:t>
      </w:r>
      <w:r/>
    </w:p>
    <w:p>
      <w:pPr>
        <w:spacing w:line="360" w:lineRule="auto"/>
        <w:rPr>
          <w:rFonts w:asciiTheme="minorEastAsia" w:hAnsiTheme="minorEastAsia" w:eastAsiaTheme="minorEastAsia"/>
        </w:rPr>
      </w:pPr>
      <w:r>
        <w:rPr>
          <w:rFonts w:asciiTheme="minorEastAsia" w:hAnsiTheme="minorEastAsia" w:eastAsiaTheme="minorEastAsia"/>
        </w:rPr>
        <w:t xml:space="preserve">（同本协议第一条表，中标后据实填写中标单价；★为关键参数，投标产品必须满足，详见采购需求。）</w:t>
      </w:r>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988"/>
        <w:gridCol w:w="1701"/>
        <w:gridCol w:w="1842"/>
        <w:gridCol w:w="1560"/>
        <w:gridCol w:w="1275"/>
        <w:gridCol w:w="1660"/>
      </w:tblGrid>
      <w:tr>
        <w:trPr/>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b/>
                <w:bCs/>
              </w:rPr>
              <w:t xml:space="preserve">序号</w:t>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b/>
                <w:bCs/>
              </w:rPr>
              <w:t xml:space="preserve">物资名称</w:t>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b/>
                <w:bCs/>
              </w:rPr>
              <w:t xml:space="preserve">实物采购数量</w:t>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b/>
                <w:bCs/>
              </w:rPr>
              <w:t xml:space="preserve">协议储备采购数量</w:t>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b/>
                <w:bCs/>
              </w:rPr>
              <w:t xml:space="preserve">单位</w:t>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b/>
                <w:bCs/>
              </w:rPr>
              <w:t xml:space="preserve">中标单价(元)</w:t>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帐篷</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顶</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2</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折叠床</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张</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3</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棉被</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床</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4</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棉鞋</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双</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5</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棉衣</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件</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6</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毛巾被</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条</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7</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睡袋</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400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1000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个</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8</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防潮垫</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1000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1500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张</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9</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蚊帐</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550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750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顶</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10</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帐篷照明灯</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375</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375</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盏</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r>
      <w:tr>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988"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合计</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701"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842"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9075</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9625</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66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bl>
    <w:p>
      <w:pPr>
        <w:pStyle w:val="743"/>
        <w:spacing w:before="0" w:after="0" w:line="360" w:lineRule="auto"/>
        <w:rPr>
          <w:rFonts w:asciiTheme="minorEastAsia" w:hAnsiTheme="minorEastAsia" w:eastAsiaTheme="minorEastAsia"/>
        </w:rPr>
        <w:sectPr>
          <w:footnotePr/>
          <w:endnotePr/>
          <w:type w:val="nextPage"/>
          <w:pgSz w:w="11906" w:h="16838" w:orient="portrait"/>
          <w:pgMar w:top="1440" w:right="1440" w:bottom="1440" w:left="1440" w:header="708" w:footer="708" w:gutter="0"/>
          <w:cols w:num="1" w:sep="0" w:space="720" w:equalWidth="1"/>
          <w:docGrid w:linePitch="360"/>
        </w:sectPr>
      </w:pPr>
      <w:r>
        <w:rPr>
          <w:rFonts w:asciiTheme="minorEastAsia" w:hAnsiTheme="minorEastAsia" w:eastAsiaTheme="minorEastAsia"/>
        </w:rPr>
      </w:r>
      <w:r/>
    </w:p>
    <w:p>
      <w:pPr>
        <w:pStyle w:val="743"/>
        <w:jc w:val="center"/>
        <w:spacing w:before="0" w:after="0" w:line="360" w:lineRule="auto"/>
        <w:rPr>
          <w:rFonts w:asciiTheme="minorEastAsia" w:hAnsiTheme="minorEastAsia" w:eastAsiaTheme="minorEastAsia"/>
        </w:rPr>
      </w:pPr>
      <w:r>
        <w:rPr>
          <w:rFonts w:asciiTheme="minorEastAsia" w:hAnsiTheme="minorEastAsia" w:eastAsiaTheme="minorEastAsia"/>
        </w:rPr>
        <w:t xml:space="preserve">附件二　储备物资年度考核标准</w:t>
      </w:r>
      <w:r/>
    </w:p>
    <w:p>
      <w:pPr>
        <w:spacing w:line="360" w:lineRule="auto"/>
        <w:rPr>
          <w:rFonts w:asciiTheme="minorEastAsia" w:hAnsiTheme="minorEastAsia" w:eastAsiaTheme="minorEastAsia"/>
        </w:rPr>
      </w:pPr>
      <w:r>
        <w:rPr>
          <w:rFonts w:hint="eastAsia" w:asciiTheme="minorEastAsia" w:hAnsiTheme="minorEastAsia" w:eastAsiaTheme="minorEastAsia"/>
        </w:rPr>
        <w:t xml:space="preserve"> </w:t>
      </w:r>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555"/>
        <w:gridCol w:w="1275"/>
        <w:gridCol w:w="6196"/>
      </w:tblGrid>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5" w:type="dxa"/>
            <w:vAlign w:val="center"/>
            <w:textDirection w:val="lrTb"/>
            <w:noWrap w:val="false"/>
          </w:tcPr>
          <w:p>
            <w:pPr>
              <w:jc w:val="center"/>
              <w:spacing w:line="360" w:lineRule="auto"/>
              <w:rPr>
                <w:rFonts w:asciiTheme="minorEastAsia" w:hAnsiTheme="minorEastAsia" w:eastAsiaTheme="minorEastAsia"/>
                <w:b/>
                <w:bCs/>
              </w:rPr>
            </w:pPr>
            <w:r>
              <w:rPr>
                <w:rFonts w:asciiTheme="minorEastAsia" w:hAnsiTheme="minorEastAsia" w:eastAsiaTheme="minorEastAsia"/>
                <w:b/>
                <w:bCs/>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b/>
                <w:bCs/>
              </w:rPr>
            </w:pPr>
            <w:r>
              <w:rPr>
                <w:rFonts w:asciiTheme="minorEastAsia" w:hAnsiTheme="minorEastAsia" w:eastAsiaTheme="minorEastAsia"/>
                <w:b/>
                <w:bCs/>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6196" w:type="dxa"/>
            <w:vAlign w:val="center"/>
            <w:textDirection w:val="lrTb"/>
            <w:noWrap w:val="false"/>
          </w:tcPr>
          <w:p>
            <w:pPr>
              <w:jc w:val="center"/>
              <w:spacing w:line="360" w:lineRule="auto"/>
              <w:rPr>
                <w:rFonts w:asciiTheme="minorEastAsia" w:hAnsiTheme="minorEastAsia" w:eastAsiaTheme="minorEastAsia"/>
                <w:b/>
                <w:bCs/>
              </w:rPr>
            </w:pPr>
            <w:r>
              <w:rPr>
                <w:rFonts w:asciiTheme="minorEastAsia" w:hAnsiTheme="minorEastAsia" w:eastAsiaTheme="minorEastAsia"/>
                <w:b/>
                <w:bCs/>
              </w:rPr>
              <w:t xml:space="preserve">评分标准</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5" w:type="dxa"/>
            <w:vAlign w:val="center"/>
            <w:textDirection w:val="lrTb"/>
            <w:noWrap w:val="false"/>
          </w:tcPr>
          <w:p>
            <w:pPr>
              <w:jc w:val="center"/>
              <w:spacing w:line="360" w:lineRule="auto"/>
              <w:rPr>
                <w:rFonts w:asciiTheme="minorEastAsia" w:hAnsiTheme="minorEastAsia" w:eastAsiaTheme="minorEastAsia"/>
                <w:b/>
                <w:bCs/>
              </w:rPr>
            </w:pPr>
            <w:r>
              <w:rPr>
                <w:rFonts w:asciiTheme="minorEastAsia" w:hAnsiTheme="minorEastAsia" w:eastAsiaTheme="minorEastAsia"/>
                <w:b/>
                <w:bCs/>
              </w:rPr>
              <w:t xml:space="preserve">库存数量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b/>
                <w:bCs/>
              </w:rPr>
            </w:pPr>
            <w:r>
              <w:rPr>
                <w:rFonts w:asciiTheme="minorEastAsia" w:hAnsiTheme="minorEastAsia" w:eastAsiaTheme="minorEastAsia"/>
                <w:b/>
                <w:bCs/>
              </w:rPr>
              <w:t xml:space="preserve">40分</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6196" w:type="dxa"/>
            <w:vAlign w:val="center"/>
            <w:textDirection w:val="lrTb"/>
            <w:noWrap w:val="false"/>
          </w:tcPr>
          <w:p>
            <w:pPr>
              <w:jc w:val="left"/>
              <w:spacing w:line="360" w:lineRule="auto"/>
              <w:rPr>
                <w:rFonts w:asciiTheme="minorEastAsia" w:hAnsiTheme="minorEastAsia" w:eastAsiaTheme="minorEastAsia"/>
                <w:bCs/>
              </w:rPr>
            </w:pPr>
            <w:r>
              <w:rPr>
                <w:rFonts w:asciiTheme="minorEastAsia" w:hAnsiTheme="minorEastAsia" w:eastAsiaTheme="minorEastAsia"/>
                <w:bCs/>
              </w:rPr>
              <w:t xml:space="preserve">账实相符得满分；每缺少1件扣5分，扣完为止；缺少超过储备总量5%的本项得0分。</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5" w:type="dxa"/>
            <w:vAlign w:val="center"/>
            <w:textDirection w:val="lrTb"/>
            <w:noWrap w:val="false"/>
          </w:tcPr>
          <w:p>
            <w:pPr>
              <w:jc w:val="center"/>
              <w:spacing w:line="360" w:lineRule="auto"/>
              <w:rPr>
                <w:rFonts w:asciiTheme="minorEastAsia" w:hAnsiTheme="minorEastAsia" w:eastAsiaTheme="minorEastAsia"/>
                <w:b/>
                <w:bCs/>
              </w:rPr>
            </w:pPr>
            <w:r>
              <w:rPr>
                <w:rFonts w:asciiTheme="minorEastAsia" w:hAnsiTheme="minorEastAsia" w:eastAsiaTheme="minorEastAsia"/>
                <w:b/>
                <w:bCs/>
              </w:rPr>
              <w:t xml:space="preserve">物资质量</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b/>
                <w:bCs/>
              </w:rPr>
            </w:pPr>
            <w:r>
              <w:rPr>
                <w:rFonts w:asciiTheme="minorEastAsia" w:hAnsiTheme="minorEastAsia" w:eastAsiaTheme="minorEastAsia"/>
                <w:b/>
                <w:bCs/>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6196" w:type="dxa"/>
            <w:vAlign w:val="center"/>
            <w:textDirection w:val="lrTb"/>
            <w:noWrap w:val="false"/>
          </w:tcPr>
          <w:p>
            <w:pPr>
              <w:jc w:val="left"/>
              <w:spacing w:line="360" w:lineRule="auto"/>
              <w:rPr>
                <w:rFonts w:asciiTheme="minorEastAsia" w:hAnsiTheme="minorEastAsia" w:eastAsiaTheme="minorEastAsia"/>
                <w:bCs/>
              </w:rPr>
            </w:pPr>
            <w:r>
              <w:rPr>
                <w:rFonts w:asciiTheme="minorEastAsia" w:hAnsiTheme="minorEastAsia" w:eastAsiaTheme="minorEastAsia"/>
                <w:bCs/>
              </w:rPr>
              <w:t xml:space="preserve">外观完好、未拆封、未过期、存储环境达标得满分；破损、受潮、变质每件扣5分；发现再生棉或劣质材料本项得0分。</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5" w:type="dxa"/>
            <w:vAlign w:val="center"/>
            <w:textDirection w:val="lrTb"/>
            <w:noWrap w:val="false"/>
          </w:tcPr>
          <w:p>
            <w:pPr>
              <w:jc w:val="center"/>
              <w:spacing w:line="360" w:lineRule="auto"/>
              <w:rPr>
                <w:rFonts w:asciiTheme="minorEastAsia" w:hAnsiTheme="minorEastAsia" w:eastAsiaTheme="minorEastAsia"/>
                <w:b/>
                <w:bCs/>
              </w:rPr>
            </w:pPr>
            <w:r>
              <w:rPr>
                <w:rFonts w:asciiTheme="minorEastAsia" w:hAnsiTheme="minorEastAsia" w:eastAsiaTheme="minorEastAsia"/>
                <w:b/>
                <w:bCs/>
              </w:rPr>
              <w:t xml:space="preserve">调拨响应</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b/>
                <w:bCs/>
              </w:rPr>
            </w:pPr>
            <w:r>
              <w:rPr>
                <w:rFonts w:asciiTheme="minorEastAsia" w:hAnsiTheme="minorEastAsia" w:eastAsiaTheme="minorEastAsia"/>
                <w:b/>
                <w:bCs/>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6196" w:type="dxa"/>
            <w:vAlign w:val="center"/>
            <w:textDirection w:val="lrTb"/>
            <w:noWrap w:val="false"/>
          </w:tcPr>
          <w:p>
            <w:pPr>
              <w:jc w:val="left"/>
              <w:spacing w:line="360" w:lineRule="auto"/>
              <w:rPr>
                <w:rFonts w:asciiTheme="minorEastAsia" w:hAnsiTheme="minorEastAsia" w:eastAsiaTheme="minorEastAsia"/>
                <w:bCs/>
              </w:rPr>
            </w:pPr>
            <w:r>
              <w:rPr>
                <w:rFonts w:asciiTheme="minorEastAsia" w:hAnsiTheme="minorEastAsia" w:eastAsiaTheme="minorEastAsia"/>
                <w:bCs/>
              </w:rPr>
              <w:t xml:space="preserve">年度调拨任务按时完成得满分；每次超时扣10分；超时超24小时或拒绝调拨本项得0分。</w:t>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5" w:type="dxa"/>
            <w:vAlign w:val="center"/>
            <w:textDirection w:val="lrTb"/>
            <w:noWrap w:val="false"/>
          </w:tcPr>
          <w:p>
            <w:pPr>
              <w:jc w:val="center"/>
              <w:spacing w:line="360" w:lineRule="auto"/>
              <w:rPr>
                <w:rFonts w:asciiTheme="minorEastAsia" w:hAnsiTheme="minorEastAsia" w:eastAsiaTheme="minorEastAsia"/>
                <w:b/>
                <w:bCs/>
              </w:rPr>
            </w:pPr>
            <w:r>
              <w:rPr>
                <w:rFonts w:asciiTheme="minorEastAsia" w:hAnsiTheme="minorEastAsia" w:eastAsiaTheme="minorEastAsia"/>
                <w:b/>
                <w:bCs/>
              </w:rPr>
              <w:t xml:space="preserve">台账与报告</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275" w:type="dxa"/>
            <w:vAlign w:val="center"/>
            <w:textDirection w:val="lrTb"/>
            <w:noWrap w:val="false"/>
          </w:tcPr>
          <w:p>
            <w:pPr>
              <w:jc w:val="center"/>
              <w:spacing w:line="360" w:lineRule="auto"/>
              <w:rPr>
                <w:rFonts w:asciiTheme="minorEastAsia" w:hAnsiTheme="minorEastAsia" w:eastAsiaTheme="minorEastAsia"/>
                <w:b/>
                <w:bCs/>
              </w:rPr>
            </w:pPr>
            <w:r>
              <w:rPr>
                <w:rFonts w:asciiTheme="minorEastAsia" w:hAnsiTheme="minorEastAsia" w:eastAsiaTheme="minorEastAsia"/>
                <w:b/>
                <w:bCs/>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6196" w:type="dxa"/>
            <w:vAlign w:val="center"/>
            <w:textDirection w:val="lrTb"/>
            <w:noWrap w:val="false"/>
          </w:tcPr>
          <w:p>
            <w:pPr>
              <w:jc w:val="left"/>
              <w:spacing w:line="360" w:lineRule="auto"/>
              <w:rPr>
                <w:rFonts w:asciiTheme="minorEastAsia" w:hAnsiTheme="minorEastAsia" w:eastAsiaTheme="minorEastAsia"/>
                <w:bCs/>
              </w:rPr>
            </w:pPr>
            <w:r>
              <w:rPr>
                <w:rFonts w:asciiTheme="minorEastAsia" w:hAnsiTheme="minorEastAsia" w:eastAsiaTheme="minorEastAsia"/>
                <w:bCs/>
              </w:rPr>
              <w:t xml:space="preserve">台账完整、季报按时得满分；台账缺失每次扣3分，季报逾期每次扣2分。</w:t>
            </w:r>
            <w:r/>
          </w:p>
        </w:tc>
      </w:tr>
    </w:tbl>
    <w:p>
      <w:pPr>
        <w:ind w:firstLine="420"/>
        <w:spacing w:line="360" w:lineRule="auto"/>
        <w:rPr>
          <w:rFonts w:asciiTheme="minorEastAsia" w:hAnsiTheme="minorEastAsia" w:eastAsiaTheme="minorEastAsia"/>
        </w:rPr>
      </w:pPr>
      <w:r>
        <w:rPr>
          <w:rFonts w:asciiTheme="minorEastAsia" w:hAnsiTheme="minorEastAsia" w:eastAsiaTheme="minorEastAsia"/>
        </w:rPr>
        <w:t xml:space="preserve">考核结果与代管费支付比例：90分（含）以上付100%；</w:t>
      </w:r>
      <w:r/>
    </w:p>
    <w:p>
      <w:pPr>
        <w:ind w:firstLine="420"/>
        <w:spacing w:line="360" w:lineRule="auto"/>
        <w:rPr>
          <w:rFonts w:asciiTheme="minorEastAsia" w:hAnsiTheme="minorEastAsia" w:eastAsiaTheme="minorEastAsia"/>
        </w:rPr>
      </w:pPr>
      <w:r>
        <w:rPr>
          <w:rFonts w:asciiTheme="minorEastAsia" w:hAnsiTheme="minorEastAsia" w:eastAsiaTheme="minorEastAsia"/>
        </w:rPr>
        <w:t xml:space="preserve">80分（含）至90分付90%；60分（含）至80分付70%；</w:t>
      </w:r>
      <w:r/>
    </w:p>
    <w:p>
      <w:pPr>
        <w:ind w:firstLine="420"/>
        <w:spacing w:line="360" w:lineRule="auto"/>
        <w:rPr>
          <w:rFonts w:asciiTheme="minorEastAsia" w:hAnsiTheme="minorEastAsia" w:eastAsiaTheme="minorEastAsia"/>
        </w:rPr>
      </w:pPr>
      <w:r>
        <w:rPr>
          <w:rFonts w:asciiTheme="minorEastAsia" w:hAnsiTheme="minorEastAsia" w:eastAsiaTheme="minorEastAsia"/>
        </w:rPr>
        <w:t xml:space="preserve">60分以下不予支付。</w:t>
      </w:r>
      <w:r/>
    </w:p>
    <w:p>
      <w:pPr>
        <w:pStyle w:val="743"/>
        <w:spacing w:before="0" w:after="0" w:line="360" w:lineRule="auto"/>
        <w:rPr>
          <w:rFonts w:asciiTheme="minorEastAsia" w:hAnsiTheme="minorEastAsia" w:eastAsiaTheme="minorEastAsia"/>
        </w:rPr>
        <w:sectPr>
          <w:footnotePr/>
          <w:endnotePr/>
          <w:type w:val="nextPage"/>
          <w:pgSz w:w="11906" w:h="16838" w:orient="portrait"/>
          <w:pgMar w:top="1440" w:right="1440" w:bottom="1440" w:left="1440" w:header="708" w:footer="708" w:gutter="0"/>
          <w:cols w:num="1" w:sep="0" w:space="720" w:equalWidth="1"/>
          <w:docGrid w:linePitch="360"/>
        </w:sectPr>
      </w:pPr>
      <w:r>
        <w:rPr>
          <w:rFonts w:asciiTheme="minorEastAsia" w:hAnsiTheme="minorEastAsia" w:eastAsiaTheme="minorEastAsia"/>
        </w:rPr>
      </w:r>
      <w:r/>
    </w:p>
    <w:p>
      <w:pPr>
        <w:pStyle w:val="743"/>
        <w:spacing w:before="0" w:after="0" w:line="360" w:lineRule="auto"/>
        <w:rPr>
          <w:rFonts w:asciiTheme="minorEastAsia" w:hAnsiTheme="minorEastAsia" w:eastAsiaTheme="minorEastAsia"/>
        </w:rPr>
      </w:pPr>
      <w:r>
        <w:rPr>
          <w:rFonts w:asciiTheme="minorEastAsia" w:hAnsiTheme="minorEastAsia" w:eastAsiaTheme="minorEastAsia"/>
        </w:rPr>
        <w:t xml:space="preserve">附件三　储备物资交接清单（样表）</w:t>
      </w:r>
      <w:r/>
    </w:p>
    <w:tbl>
      <w:tblPr>
        <w:tblW w:w="138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073"/>
        <w:gridCol w:w="2891"/>
        <w:gridCol w:w="1418"/>
        <w:gridCol w:w="1559"/>
        <w:gridCol w:w="1701"/>
        <w:gridCol w:w="1559"/>
        <w:gridCol w:w="1560"/>
        <w:gridCol w:w="2101"/>
      </w:tblGrid>
      <w:tr>
        <w:trPr>
          <w:trHeight w:val="430"/>
        </w:trPr>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b/>
                <w:bCs/>
              </w:rPr>
              <w:t xml:space="preserve">序号</w:t>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b/>
                <w:bCs/>
              </w:rPr>
              <w:t xml:space="preserve">物资名称</w:t>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b/>
                <w:bCs/>
              </w:rPr>
              <w:t xml:space="preserve">交接数量</w:t>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b/>
                <w:bCs/>
              </w:rPr>
              <w:t xml:space="preserve">交接时间</w:t>
            </w:r>
            <w:r/>
          </w:p>
        </w:tc>
        <w:tc>
          <w:tcPr>
            <w:shd w:val="clear" w:color="auto" w:fill="d9e2f3"/>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b/>
                <w:bCs/>
              </w:rPr>
            </w:pPr>
            <w:r>
              <w:rPr>
                <w:rFonts w:hint="eastAsia" w:asciiTheme="minorEastAsia" w:hAnsiTheme="minorEastAsia" w:eastAsiaTheme="minorEastAsia"/>
                <w:b/>
                <w:bCs/>
              </w:rPr>
              <w:t xml:space="preserve">生产日期</w:t>
            </w:r>
            <w:r/>
          </w:p>
        </w:tc>
        <w:tc>
          <w:tcPr>
            <w:shd w:val="clear" w:color="auto" w:fill="d9e2f3"/>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b/>
                <w:bCs/>
              </w:rPr>
            </w:pPr>
            <w:r>
              <w:rPr>
                <w:rFonts w:hint="eastAsia" w:asciiTheme="minorEastAsia" w:hAnsiTheme="minorEastAsia" w:eastAsiaTheme="minorEastAsia"/>
                <w:b/>
                <w:bCs/>
              </w:rPr>
              <w:t xml:space="preserve">使用有效期限</w:t>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b/>
                <w:bCs/>
              </w:rPr>
              <w:t xml:space="preserve">质量状况</w:t>
            </w:r>
            <w:r/>
          </w:p>
        </w:tc>
        <w:tc>
          <w:tcPr>
            <w:shd w:val="clear" w:color="auto" w:fill="d9e2f3"/>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b/>
                <w:bCs/>
              </w:rPr>
              <w:t xml:space="preserve">双方签字</w:t>
            </w:r>
            <w:r/>
          </w:p>
        </w:tc>
      </w:tr>
      <w:tr>
        <w:trPr>
          <w:trHeight w:val="413"/>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1</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rHeight w:val="430"/>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2</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rHeight w:val="430"/>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3</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rHeight w:val="413"/>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4</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rHeight w:val="446"/>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t xml:space="preserve">5</w:t>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rHeight w:val="446"/>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rHeight w:val="446"/>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r>
        <w:trPr>
          <w:trHeight w:val="446"/>
        </w:trPr>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073" w:type="dxa"/>
            <w:vAlign w:val="center"/>
            <w:textDirection w:val="lrTb"/>
            <w:noWrap w:val="false"/>
          </w:tcPr>
          <w:p>
            <w:pPr>
              <w:jc w:val="center"/>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89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418"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59"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701"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1560"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bottom w:val="single" w:color="000000" w:sz="4" w:space="0"/>
              <w:right w:val="single" w:color="000000" w:sz="4" w:space="0"/>
            </w:tcBorders>
            <w:tcMar>
              <w:left w:w="100" w:type="dxa"/>
              <w:top w:w="60" w:type="dxa"/>
              <w:right w:w="100" w:type="dxa"/>
              <w:bottom w:w="60" w:type="dxa"/>
            </w:tcMar>
            <w:tcW w:w="2101" w:type="dxa"/>
            <w:vAlign w:val="center"/>
            <w:textDirection w:val="lrTb"/>
            <w:noWrap w:val="false"/>
          </w:tcPr>
          <w:p>
            <w:pPr>
              <w:jc w:val="left"/>
              <w:spacing w:line="360" w:lineRule="auto"/>
              <w:rPr>
                <w:rFonts w:asciiTheme="minorEastAsia" w:hAnsiTheme="minorEastAsia" w:eastAsiaTheme="minorEastAsia"/>
              </w:rPr>
            </w:pPr>
            <w:r>
              <w:rPr>
                <w:rFonts w:asciiTheme="minorEastAsia" w:hAnsiTheme="minorEastAsia" w:eastAsiaTheme="minorEastAsia"/>
              </w:rPr>
            </w:r>
            <w:r/>
          </w:p>
        </w:tc>
      </w:tr>
    </w:tbl>
    <w:p>
      <w:pPr>
        <w:spacing w:line="360" w:lineRule="auto"/>
        <w:rPr>
          <w:rFonts w:asciiTheme="minorEastAsia" w:hAnsiTheme="minorEastAsia" w:eastAsiaTheme="minorEastAsia"/>
        </w:rPr>
      </w:pPr>
      <w:r>
        <w:rPr>
          <w:rFonts w:asciiTheme="minorEastAsia" w:hAnsiTheme="minorEastAsia" w:eastAsiaTheme="minorEastAsia"/>
        </w:rPr>
        <w:t xml:space="preserve">说明：本清单用于实物采购物资入库交接及应急调拨、补库时的数量与质量确认，一式两份，甲乙双方各执一份。</w:t>
      </w:r>
      <w:r/>
    </w:p>
    <w:p>
      <w:pPr>
        <w:pStyle w:val="743"/>
        <w:spacing w:before="0" w:after="0" w:line="360" w:lineRule="auto"/>
        <w:rPr>
          <w:rFonts w:asciiTheme="minorEastAsia" w:hAnsiTheme="minorEastAsia" w:eastAsiaTheme="minorEastAsia"/>
        </w:rPr>
        <w:sectPr>
          <w:footnotePr/>
          <w:endnotePr/>
          <w:type w:val="nextPage"/>
          <w:pgSz w:w="16838" w:h="11906" w:orient="landscape"/>
          <w:pgMar w:top="1440" w:right="1440" w:bottom="1440" w:left="1440" w:header="708" w:footer="708" w:gutter="0"/>
          <w:cols w:num="1" w:sep="0" w:space="720" w:equalWidth="1"/>
          <w:docGrid w:linePitch="360"/>
        </w:sectPr>
      </w:pPr>
      <w:r>
        <w:rPr>
          <w:rFonts w:asciiTheme="minorEastAsia" w:hAnsiTheme="minorEastAsia" w:eastAsiaTheme="minorEastAsia"/>
        </w:rPr>
      </w:r>
      <w:r/>
    </w:p>
    <w:p>
      <w:pPr>
        <w:jc w:val="center"/>
        <w:spacing w:line="360" w:lineRule="auto"/>
        <w:rPr>
          <w:rStyle w:val="1046"/>
          <w:rFonts w:cs="宋体" w:asciiTheme="minorEastAsia" w:hAnsiTheme="minorEastAsia" w:eastAsiaTheme="minorEastAsia"/>
          <w:b/>
          <w:bCs/>
          <w:sz w:val="32"/>
          <w:szCs w:val="32"/>
        </w:rPr>
      </w:pPr>
      <w:r>
        <w:rPr>
          <w:rFonts w:hint="eastAsia" w:cs="宋体" w:asciiTheme="minorEastAsia" w:hAnsiTheme="minorEastAsia" w:eastAsiaTheme="minorEastAsia"/>
          <w:b/>
          <w:sz w:val="32"/>
          <w:szCs w:val="32"/>
        </w:rPr>
        <w:t xml:space="preserve">第六章 采购需求</w:t>
      </w:r>
      <w:bookmarkStart w:id="5" w:name="_Toc322457054"/>
      <w:r/>
      <w:bookmarkStart w:id="6" w:name="_Toc324452802"/>
      <w:r/>
      <w:bookmarkEnd w:id="5"/>
      <w:r/>
      <w:bookmarkEnd w:id="6"/>
      <w:r/>
      <w:r/>
    </w:p>
    <w:p>
      <w:pPr>
        <w:pStyle w:val="743"/>
        <w:numPr>
          <w:ilvl w:val="0"/>
          <w:numId w:val="3"/>
        </w:numPr>
        <w:jc w:val="left"/>
        <w:keepLines w:val="0"/>
        <w:keepNext w:val="0"/>
        <w:spacing w:before="0" w:after="0" w:line="360" w:lineRule="auto"/>
        <w:widowControl/>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项目说明</w:t>
      </w:r>
      <w:r/>
    </w:p>
    <w:p>
      <w:pPr>
        <w:pStyle w:val="743"/>
        <w:ind w:left="720"/>
        <w:spacing w:before="0" w:after="0"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采 购 人：</w:t>
      </w:r>
      <w:r>
        <w:rPr>
          <w:rFonts w:cs="Times New Roman" w:asciiTheme="minorEastAsia" w:hAnsiTheme="minorEastAsia" w:eastAsiaTheme="minorEastAsia"/>
          <w:sz w:val="24"/>
          <w:szCs w:val="24"/>
        </w:rPr>
        <w:t xml:space="preserve">睢宁县经济发展局</w:t>
      </w:r>
      <w:r/>
    </w:p>
    <w:p>
      <w:pPr>
        <w:pStyle w:val="743"/>
        <w:ind w:left="720"/>
        <w:spacing w:before="0" w:after="0" w:line="360" w:lineRule="auto"/>
        <w:rPr>
          <w:rFonts w:cs="Times New Roman" w:asciiTheme="minorEastAsia" w:hAnsiTheme="minorEastAsia" w:eastAsiaTheme="minorEastAsia"/>
          <w:sz w:val="24"/>
          <w:szCs w:val="24"/>
        </w:rPr>
      </w:pPr>
      <w:r>
        <w:rPr>
          <w:rFonts w:hint="eastAsia" w:asciiTheme="minorEastAsia" w:hAnsiTheme="minorEastAsia" w:eastAsiaTheme="minorEastAsia"/>
          <w:b/>
          <w:bCs/>
          <w:sz w:val="24"/>
          <w:szCs w:val="24"/>
        </w:rPr>
        <w:t xml:space="preserve">项目名称：</w:t>
      </w:r>
      <w:r>
        <w:rPr>
          <w:rFonts w:cs="Times New Roman" w:asciiTheme="minorEastAsia" w:hAnsiTheme="minorEastAsia" w:eastAsiaTheme="minorEastAsia"/>
          <w:sz w:val="24"/>
          <w:szCs w:val="24"/>
        </w:rPr>
        <w:t xml:space="preserve">2026年住宿保障类应急物资采购项目</w:t>
      </w:r>
      <w:r/>
    </w:p>
    <w:p>
      <w:pPr>
        <w:pStyle w:val="743"/>
        <w:ind w:left="720"/>
        <w:spacing w:before="0" w:after="0" w:line="360" w:lineRule="auto"/>
        <w:rPr>
          <w:rFonts w:cs="宋体" w:asciiTheme="minorEastAsia" w:hAnsiTheme="minorEastAsia" w:eastAsiaTheme="minorEastAsia"/>
          <w:sz w:val="24"/>
          <w:szCs w:val="24"/>
        </w:rPr>
      </w:pPr>
      <w:r>
        <w:rPr>
          <w:rFonts w:hint="eastAsia" w:asciiTheme="minorEastAsia" w:hAnsiTheme="minorEastAsia" w:eastAsiaTheme="minorEastAsia"/>
          <w:b/>
          <w:bCs/>
          <w:sz w:val="24"/>
          <w:szCs w:val="24"/>
        </w:rPr>
        <w:t xml:space="preserve">预算金额：</w:t>
      </w:r>
      <w:r>
        <w:rPr>
          <w:rFonts w:hint="eastAsia" w:cs="宋体" w:asciiTheme="minorEastAsia" w:hAnsiTheme="minorEastAsia" w:eastAsiaTheme="minorEastAsia"/>
          <w:b/>
          <w:sz w:val="24"/>
          <w:szCs w:val="24"/>
        </w:rPr>
        <w:t xml:space="preserve">本项目采购预算及最高限价为人民币</w:t>
      </w:r>
      <w:r>
        <w:rPr>
          <w:rFonts w:cs="宋体" w:asciiTheme="minorEastAsia" w:hAnsiTheme="minorEastAsia" w:eastAsiaTheme="minorEastAsia"/>
          <w:b/>
          <w:sz w:val="24"/>
          <w:szCs w:val="24"/>
        </w:rPr>
        <w:t xml:space="preserve">163.00</w:t>
      </w:r>
      <w:r>
        <w:rPr>
          <w:rFonts w:hint="eastAsia" w:cs="宋体" w:asciiTheme="minorEastAsia" w:hAnsiTheme="minorEastAsia" w:eastAsiaTheme="minorEastAsia"/>
          <w:b/>
          <w:sz w:val="24"/>
          <w:szCs w:val="24"/>
        </w:rPr>
        <w:t xml:space="preserve">万元，包含（实物采购货款</w:t>
      </w:r>
      <w:r>
        <w:rPr>
          <w:rFonts w:cs="宋体" w:asciiTheme="minorEastAsia" w:hAnsiTheme="minorEastAsia" w:eastAsiaTheme="minorEastAsia"/>
          <w:b/>
          <w:sz w:val="24"/>
          <w:szCs w:val="24"/>
        </w:rPr>
        <w:t xml:space="preserve">+</w:t>
      </w:r>
      <w:r>
        <w:rPr>
          <w:rFonts w:hint="eastAsia" w:cs="宋体" w:asciiTheme="minorEastAsia" w:hAnsiTheme="minorEastAsia" w:eastAsiaTheme="minorEastAsia"/>
          <w:b/>
          <w:sz w:val="24"/>
          <w:szCs w:val="24"/>
        </w:rPr>
        <w:t xml:space="preserve">协议储备采购第</w:t>
      </w:r>
      <w:r>
        <w:rPr>
          <w:rFonts w:cs="宋体" w:asciiTheme="minorEastAsia" w:hAnsiTheme="minorEastAsia" w:eastAsiaTheme="minorEastAsia"/>
          <w:b/>
          <w:sz w:val="24"/>
          <w:szCs w:val="24"/>
        </w:rPr>
        <w:t xml:space="preserve">1</w:t>
      </w:r>
      <w:r>
        <w:rPr>
          <w:rFonts w:hint="eastAsia" w:cs="宋体" w:asciiTheme="minorEastAsia" w:hAnsiTheme="minorEastAsia" w:eastAsiaTheme="minorEastAsia"/>
          <w:b/>
          <w:sz w:val="24"/>
          <w:szCs w:val="24"/>
        </w:rPr>
        <w:t xml:space="preserve">年代储管理费）以及运输、装卸、包装、保险、检验、税费、售后服务等所有费用；第</w:t>
      </w:r>
      <w:r>
        <w:rPr>
          <w:rFonts w:cs="宋体" w:asciiTheme="minorEastAsia" w:hAnsiTheme="minorEastAsia" w:eastAsiaTheme="minorEastAsia"/>
          <w:b/>
          <w:sz w:val="24"/>
          <w:szCs w:val="24"/>
        </w:rPr>
        <w:t xml:space="preserve">2</w:t>
      </w:r>
      <w:r>
        <w:rPr>
          <w:rFonts w:hint="eastAsia" w:cs="宋体" w:asciiTheme="minorEastAsia" w:hAnsiTheme="minorEastAsia" w:eastAsiaTheme="minorEastAsia"/>
          <w:b/>
          <w:sz w:val="24"/>
          <w:szCs w:val="24"/>
        </w:rPr>
        <w:t xml:space="preserve">年及以后代储管理费不在本次预算范围内，另行协商、单独结算。投标总价不得超出最高限价，否则投标无效；</w:t>
      </w:r>
      <w:r/>
    </w:p>
    <w:p>
      <w:pPr>
        <w:pStyle w:val="793"/>
        <w:ind w:firstLine="482"/>
        <w:spacing w:before="0" w:beforeAutospacing="0" w:after="0" w:afterAutospacing="0" w:line="360" w:lineRule="auto"/>
        <w:rPr>
          <w:rFonts w:asciiTheme="minorEastAsia" w:hAnsiTheme="minorEastAsia" w:eastAsiaTheme="minorEastAsia"/>
          <w:b/>
        </w:rPr>
      </w:pPr>
      <w:r>
        <w:rPr>
          <w:rFonts w:hint="eastAsia" w:asciiTheme="minorEastAsia" w:hAnsiTheme="minorEastAsia" w:eastAsiaTheme="minorEastAsia"/>
          <w:b/>
        </w:rPr>
        <w:t xml:space="preserve">注：投标人须对每种物资报出唯一投标单价，该单价同时适用于实物采购与协议储备物资调拨结算，不得把代管费摊入单价，也不得对储备采购部分另行报出不同单价。</w:t>
      </w:r>
      <w:r/>
    </w:p>
    <w:p>
      <w:pPr>
        <w:pStyle w:val="793"/>
        <w:ind w:firstLine="482"/>
        <w:spacing w:before="0" w:beforeAutospacing="0" w:after="0" w:afterAutospacing="0" w:line="360" w:lineRule="auto"/>
        <w:rPr>
          <w:rFonts w:asciiTheme="minorEastAsia" w:hAnsiTheme="minorEastAsia" w:eastAsiaTheme="minorEastAsia"/>
          <w:b/>
        </w:rPr>
      </w:pPr>
      <w:r>
        <w:rPr>
          <w:rFonts w:hint="eastAsia" w:asciiTheme="minorEastAsia" w:hAnsiTheme="minorEastAsia" w:eastAsiaTheme="minorEastAsia"/>
          <w:b/>
        </w:rPr>
        <w:t xml:space="preserve">采购需求：睢宁县经济发展局2026年住宿保障类应急物资采购项目，采用"实物采购+协议储备采购"双轨模式，具体详见《采购需求》。</w:t>
      </w:r>
      <w:r/>
    </w:p>
    <w:p>
      <w:pPr>
        <w:pStyle w:val="743"/>
        <w:ind w:left="720"/>
        <w:spacing w:before="0" w:after="0"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供货周期：</w:t>
      </w:r>
      <w:r>
        <w:rPr>
          <w:rFonts w:cs="Times New Roman" w:asciiTheme="minorEastAsia" w:hAnsiTheme="minorEastAsia" w:eastAsiaTheme="minorEastAsia"/>
          <w:sz w:val="24"/>
          <w:szCs w:val="24"/>
        </w:rPr>
        <w:t xml:space="preserve">合同签订后30天内将全部实物采购货物送达至采购人指定地点。</w:t>
      </w:r>
      <w:r/>
    </w:p>
    <w:p>
      <w:pPr>
        <w:pStyle w:val="743"/>
        <w:ind w:left="720"/>
        <w:spacing w:before="0" w:after="0"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项目属性：本项目属于专门面向中小企业采购的项目，供应商应为中小微企业、监狱企业、残疾人福利性单位。</w:t>
      </w:r>
      <w:r/>
    </w:p>
    <w:p>
      <w:pPr>
        <w:pStyle w:val="743"/>
        <w:ind w:left="720"/>
        <w:spacing w:before="0" w:after="0"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代管模式：</w:t>
      </w:r>
      <w:r>
        <w:rPr>
          <w:rFonts w:cs="Times New Roman" w:asciiTheme="minorEastAsia" w:hAnsiTheme="minorEastAsia" w:eastAsiaTheme="minorEastAsia"/>
          <w:sz w:val="24"/>
          <w:szCs w:val="24"/>
        </w:rPr>
        <w:t xml:space="preserve">实物储备（产权归</w:t>
      </w:r>
      <w:r>
        <w:rPr>
          <w:rFonts w:hint="eastAsia" w:cs="Times New Roman" w:asciiTheme="minorEastAsia" w:hAnsiTheme="minorEastAsia" w:eastAsiaTheme="minorEastAsia"/>
          <w:sz w:val="24"/>
          <w:szCs w:val="24"/>
        </w:rPr>
        <w:t xml:space="preserve">乙方</w:t>
      </w:r>
      <w:r>
        <w:rPr>
          <w:rFonts w:cs="Times New Roman" w:asciiTheme="minorEastAsia" w:hAnsiTheme="minorEastAsia" w:eastAsiaTheme="minorEastAsia"/>
          <w:sz w:val="24"/>
          <w:szCs w:val="24"/>
        </w:rPr>
        <w:t xml:space="preserve">，存放于中标人场地，由中标人代管），储备期限不确定，按年</w:t>
      </w:r>
      <w:r>
        <w:rPr>
          <w:rFonts w:hint="eastAsia" w:cs="Times New Roman" w:asciiTheme="minorEastAsia" w:hAnsiTheme="minorEastAsia" w:eastAsiaTheme="minorEastAsia"/>
          <w:sz w:val="24"/>
          <w:szCs w:val="24"/>
        </w:rPr>
        <w:t xml:space="preserve">支付</w:t>
      </w:r>
      <w:r>
        <w:rPr>
          <w:rFonts w:cs="Times New Roman" w:asciiTheme="minorEastAsia" w:hAnsiTheme="minorEastAsia" w:eastAsiaTheme="minorEastAsia"/>
          <w:sz w:val="24"/>
          <w:szCs w:val="24"/>
        </w:rPr>
        <w:t xml:space="preserve">代管费</w:t>
      </w:r>
      <w:r>
        <w:rPr>
          <w:rFonts w:hint="eastAsia" w:asciiTheme="minorEastAsia" w:hAnsiTheme="minorEastAsia" w:eastAsiaTheme="minorEastAsia"/>
          <w:sz w:val="24"/>
          <w:szCs w:val="24"/>
        </w:rPr>
        <w:t xml:space="preserve">。</w:t>
      </w:r>
      <w:r/>
    </w:p>
    <w:p>
      <w:pPr>
        <w:ind w:firstLine="723"/>
        <w:jc w:val="left"/>
        <w:spacing w:line="360" w:lineRule="auto"/>
        <w:widowControl/>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储备代管服务费（含仓储场地、看管、轮换损耗、值守等）：</w:t>
      </w:r>
      <w:r/>
    </w:p>
    <w:p>
      <w:pPr>
        <w:ind w:firstLine="7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① 首期（第1年）代储管理费：已计入本项目采购预算及投标总报价。</w:t>
      </w:r>
      <w:r>
        <w:rPr>
          <w:rFonts w:cs="宋体" w:asciiTheme="minorEastAsia" w:hAnsiTheme="minorEastAsia" w:eastAsiaTheme="minorEastAsia"/>
          <w:sz w:val="24"/>
        </w:rPr>
        <w:t xml:space="preserve"> </w:t>
      </w:r>
      <w:r/>
    </w:p>
    <w:p>
      <w:pPr>
        <w:ind w:firstLine="7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② 第2年及以后代储管理费：具体标准由甲乙双方在中标后另行协商确定，并在签订正式储备代管协议时予以明确，不作为投标报价竞争因素，不计入投标单价，不占用本项目预算额度。代管费标准确定后，按年度考核结果单独结算支付。</w:t>
      </w:r>
      <w:r/>
    </w:p>
    <w:p>
      <w:pPr>
        <w:ind w:firstLine="720"/>
        <w:jc w:val="lef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③ 投标阶段，投标人须承诺具备储备代管能力（详见评分标准"储备代管方案"项），并响应上述代管费计取方式。同一物资的中标单价作为储备物资货值的计算依据，同时适用于应急调拨结算。</w:t>
      </w:r>
      <w:r/>
    </w:p>
    <w:p>
      <w:pPr>
        <w:jc w:val="left"/>
        <w:spacing w:line="360" w:lineRule="auto"/>
        <w:widowControl/>
        <w:rPr>
          <w:rFonts w:asciiTheme="minorEastAsia" w:hAnsiTheme="minorEastAsia" w:eastAsiaTheme="minorEastAsia"/>
          <w:sz w:val="24"/>
        </w:rPr>
      </w:pPr>
      <w:r>
        <w:rPr>
          <w:rFonts w:hint="eastAsia" w:asciiTheme="minorEastAsia" w:hAnsiTheme="minorEastAsia" w:eastAsiaTheme="minorEastAsia"/>
          <w:b/>
          <w:bCs/>
          <w:sz w:val="24"/>
        </w:rPr>
        <w:t xml:space="preserve">二、</w:t>
      </w:r>
      <w:r>
        <w:rPr>
          <w:rFonts w:asciiTheme="minorEastAsia" w:hAnsiTheme="minorEastAsia" w:eastAsiaTheme="minorEastAsia"/>
          <w:b/>
          <w:bCs/>
          <w:sz w:val="24"/>
        </w:rPr>
        <w:t xml:space="preserve">项目背景</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为应对可能发生的突发事件和自然灾害，保证全县应急物资使用保障，现采购住宿保障类应急物资一批。本项目采购分为「实物采购」和「协议储备采购（实物储备代管）」两部分，具体详见本需求说明。</w:t>
      </w:r>
      <w:r/>
    </w:p>
    <w:p>
      <w:pPr>
        <w:pStyle w:val="743"/>
        <w:spacing w:before="0" w:after="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w:t>
      </w:r>
      <w:r>
        <w:rPr>
          <w:rFonts w:cs="Times New Roman" w:asciiTheme="minorEastAsia" w:hAnsiTheme="minorEastAsia" w:eastAsiaTheme="minorEastAsia"/>
          <w:b/>
          <w:bCs/>
          <w:sz w:val="24"/>
          <w:szCs w:val="24"/>
        </w:rPr>
        <w:t xml:space="preserve">、总体要求</w:t>
      </w:r>
      <w:r/>
    </w:p>
    <w:p>
      <w:pPr>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1. </w:t>
      </w:r>
      <w:r>
        <w:rPr>
          <w:rFonts w:asciiTheme="minorEastAsia" w:hAnsiTheme="minorEastAsia" w:eastAsiaTheme="minorEastAsia"/>
          <w:sz w:val="24"/>
        </w:rPr>
        <w:t xml:space="preserve">所有物资必须为全新正品，符合国家现行相关标准，产品质量合格，提供产品合格证及检测报告；所有纺织品不得使用再生棉，无异味、无油污、无霉变。</w:t>
      </w:r>
      <w:r/>
    </w:p>
    <w:p>
      <w:pPr>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2. </w:t>
      </w:r>
      <w:r>
        <w:rPr>
          <w:rFonts w:asciiTheme="minorEastAsia" w:hAnsiTheme="minorEastAsia" w:eastAsiaTheme="minorEastAsia"/>
          <w:sz w:val="24"/>
        </w:rPr>
        <w:t xml:space="preserve">供货时须提供对应产品质量证明文件，所有物资独立包装，便于储运。</w:t>
      </w:r>
      <w:r/>
    </w:p>
    <w:p>
      <w:pPr>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3. </w:t>
      </w:r>
      <w:r>
        <w:rPr>
          <w:rFonts w:asciiTheme="minorEastAsia" w:hAnsiTheme="minorEastAsia" w:eastAsiaTheme="minorEastAsia"/>
          <w:sz w:val="24"/>
        </w:rPr>
        <w:t xml:space="preserve">本项目为专门面向中小微企业采购，投标人应符合《政府采购促进中小企业发展管理办法》相关规定。</w:t>
      </w:r>
      <w:r/>
    </w:p>
    <w:p>
      <w:pPr>
        <w:pStyle w:val="743"/>
        <w:spacing w:before="0" w:after="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w:t>
      </w:r>
      <w:r>
        <w:rPr>
          <w:rFonts w:cs="Times New Roman" w:asciiTheme="minorEastAsia" w:hAnsiTheme="minorEastAsia" w:eastAsiaTheme="minorEastAsia"/>
          <w:b/>
          <w:bCs/>
          <w:sz w:val="24"/>
          <w:szCs w:val="24"/>
        </w:rPr>
        <w:t xml:space="preserve">、采购模式与代管说明</w:t>
      </w:r>
      <w:r/>
    </w:p>
    <w:p>
      <w:pPr>
        <w:pStyle w:val="744"/>
        <w:spacing w:before="0" w:after="0" w:line="360"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cs="Times New Roman" w:asciiTheme="minorEastAsia" w:hAnsiTheme="minorEastAsia" w:eastAsiaTheme="minorEastAsia"/>
          <w:b/>
          <w:bCs/>
          <w:sz w:val="24"/>
        </w:rPr>
        <w:t xml:space="preserve">.1 两类采购的界定</w:t>
      </w:r>
      <w:r/>
    </w:p>
    <w:p>
      <w:pP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本项目每类物资的数量均拆分为「实物采购数量」与「协议储备采购数量」两列，含义如下：</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（1）实物采购：</w:t>
      </w:r>
      <w:r>
        <w:rPr>
          <w:rFonts w:asciiTheme="minorEastAsia" w:hAnsiTheme="minorEastAsia" w:eastAsiaTheme="minorEastAsia"/>
          <w:sz w:val="24"/>
        </w:rPr>
        <w:t xml:space="preserve">采购人一次性买断该部分物资所有权，中标人须在合同约定期限内送货至采购人指定地点（采购人自有仓库），货款随验收进度支付，不涉及代管费。</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（2）协议储备采购（实物储备代管）：</w:t>
      </w:r>
      <w:r>
        <w:rPr>
          <w:rFonts w:asciiTheme="minorEastAsia" w:hAnsiTheme="minorEastAsia" w:eastAsiaTheme="minorEastAsia"/>
          <w:sz w:val="24"/>
        </w:rPr>
        <w:t xml:space="preserve">该部分物资所有权亦归</w:t>
      </w:r>
      <w:r>
        <w:rPr>
          <w:rFonts w:hint="eastAsia" w:asciiTheme="minorEastAsia" w:hAnsiTheme="minorEastAsia" w:eastAsiaTheme="minorEastAsia"/>
          <w:sz w:val="24"/>
        </w:rPr>
        <w:t xml:space="preserve">乙方</w:t>
      </w:r>
      <w:r>
        <w:rPr>
          <w:rFonts w:asciiTheme="minorEastAsia" w:hAnsiTheme="minorEastAsia" w:eastAsiaTheme="minorEastAsia"/>
          <w:sz w:val="24"/>
        </w:rPr>
        <w:t xml:space="preserve">所有，但不搬运至采购人仓库，而是由中标人提供场地实物代储、代为看管；采购人有权随时调用，中标人须在接到调拨指令后</w:t>
      </w:r>
      <w:r>
        <w:rPr>
          <w:rFonts w:hint="eastAsia" w:asciiTheme="minorEastAsia" w:hAnsiTheme="minorEastAsia" w:eastAsiaTheme="minorEastAsia"/>
          <w:sz w:val="24"/>
        </w:rPr>
        <w:t xml:space="preserve">在</w:t>
      </w:r>
      <w:r>
        <w:rPr>
          <w:rFonts w:asciiTheme="minorEastAsia" w:hAnsiTheme="minorEastAsia" w:eastAsiaTheme="minorEastAsia"/>
          <w:sz w:val="24"/>
        </w:rPr>
        <w:t xml:space="preserve">规定时限内送达指定地点。</w:t>
      </w:r>
      <w:r/>
    </w:p>
    <w:p>
      <w:pPr>
        <w:keepLines/>
        <w:spacing w:line="360" w:lineRule="auto"/>
        <w:rPr>
          <w:rFonts w:asciiTheme="minorEastAsia" w:hAnsiTheme="minorEastAsia" w:eastAsiaTheme="minorEastAsia"/>
          <w:b/>
          <w:bCs/>
          <w:sz w:val="24"/>
        </w:rPr>
      </w:pPr>
      <w:r>
        <w:rPr>
          <w:rFonts w:asciiTheme="minorEastAsia" w:hAnsiTheme="minorEastAsia" w:eastAsiaTheme="minorEastAsia"/>
          <w:sz w:val="24"/>
        </w:rPr>
        <w:t xml:space="preserve">4</w:t>
      </w:r>
      <w:r>
        <w:rPr>
          <w:rFonts w:asciiTheme="minorEastAsia" w:hAnsiTheme="minorEastAsia" w:eastAsiaTheme="minorEastAsia"/>
          <w:b/>
          <w:bCs/>
          <w:sz w:val="24"/>
        </w:rPr>
        <w:t xml:space="preserve">.2 </w:t>
      </w:r>
      <w:r>
        <w:rPr>
          <w:rFonts w:hint="eastAsia" w:asciiTheme="minorEastAsia" w:hAnsiTheme="minorEastAsia" w:eastAsiaTheme="minorEastAsia"/>
          <w:b/>
          <w:bCs/>
          <w:sz w:val="24"/>
        </w:rPr>
        <w:t xml:space="preserve">协议</w:t>
      </w:r>
      <w:r>
        <w:rPr>
          <w:rFonts w:asciiTheme="minorEastAsia" w:hAnsiTheme="minorEastAsia" w:eastAsiaTheme="minorEastAsia"/>
          <w:b/>
          <w:bCs/>
          <w:sz w:val="24"/>
        </w:rPr>
        <w:t xml:space="preserve">储备物资代管要求</w:t>
      </w:r>
      <w:r/>
    </w:p>
    <w:p>
      <w:pP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（1）仓储场地：</w:t>
      </w:r>
      <w:r>
        <w:rPr>
          <w:rFonts w:hint="eastAsia" w:asciiTheme="minorEastAsia" w:hAnsiTheme="minorEastAsia" w:eastAsiaTheme="minorEastAsia"/>
          <w:sz w:val="24"/>
        </w:rPr>
        <w:t xml:space="preserve">中标人须提供自有或合法租赁的合规仓库，具备防火、防潮、防盗、防虫鼠条件，其位置应能满足“接到调拨指令后</w:t>
      </w:r>
      <w:r>
        <w:rPr>
          <w:rFonts w:asciiTheme="minorEastAsia" w:hAnsiTheme="minorEastAsia" w:eastAsiaTheme="minorEastAsia"/>
          <w:sz w:val="24"/>
        </w:rPr>
        <w:t xml:space="preserve"> 48 </w:t>
      </w:r>
      <w:r>
        <w:rPr>
          <w:rFonts w:hint="eastAsia" w:asciiTheme="minorEastAsia" w:hAnsiTheme="minorEastAsia" w:eastAsiaTheme="minorEastAsia"/>
          <w:sz w:val="24"/>
        </w:rPr>
        <w:t xml:space="preserve">小时内送达采购人指定地点”的应急响应要求。仓库选址由中标人自行确定，采购人不限定行政区域。合同签订后5个工作日内提交场地产权证明或租赁合同复印件、仓库平面布置图备案。</w:t>
      </w:r>
      <w:r/>
    </w:p>
    <w:p>
      <w:pP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（2）代管责任：代储期间，物资的保管、防盗、防火、防潮、防霉变、防虫鼠及日常巡查责任及费用由中标人承担；物资须保持全新、完好、可随时出库状态，严禁挪用、调换、销售或以次充好。</w:t>
      </w:r>
      <w:r/>
    </w:p>
    <w:p>
      <w:pP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（3）储备期限：</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储备期自合同签订生效之日起算，首期储备期为12个月。</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首期届满后，如采购人无调拨动用且仍需继续储备的，可提前30日书面通知中标人续期，续期期限由采购人根据应急保障需要确定。</w:t>
      </w:r>
      <w:r/>
    </w:p>
    <w:p>
      <w:pPr>
        <w:ind w:firstLine="482"/>
        <w:keepLines/>
        <w:spacing w:line="360" w:lineRule="auto"/>
        <w:rPr>
          <w:rFonts w:asciiTheme="minorEastAsia" w:hAnsiTheme="minorEastAsia" w:eastAsiaTheme="minorEastAsia"/>
          <w:sz w:val="24"/>
        </w:rPr>
      </w:pPr>
      <w:r>
        <w:rPr>
          <w:rStyle w:val="796"/>
          <w:rFonts w:asciiTheme="minorEastAsia" w:hAnsiTheme="minorEastAsia" w:eastAsiaTheme="minorEastAsia"/>
          <w:sz w:val="24"/>
        </w:rPr>
        <w:t xml:space="preserve">应急调拨</w:t>
      </w:r>
      <w:r>
        <w:rPr>
          <w:rStyle w:val="796"/>
          <w:rFonts w:hint="eastAsia" w:asciiTheme="minorEastAsia" w:hAnsiTheme="minorEastAsia" w:eastAsiaTheme="minorEastAsia"/>
          <w:sz w:val="24"/>
        </w:rPr>
        <w:t xml:space="preserve">：</w:t>
      </w:r>
      <w:r>
        <w:rPr>
          <w:rFonts w:asciiTheme="minorEastAsia" w:hAnsiTheme="minorEastAsia" w:eastAsiaTheme="minorEastAsia"/>
          <w:sz w:val="24"/>
        </w:rPr>
        <w:t xml:space="preserve">储备期内，采购人可根据应急救灾需要，</w:t>
      </w:r>
      <w:r>
        <w:rPr>
          <w:rStyle w:val="796"/>
          <w:rFonts w:asciiTheme="minorEastAsia" w:hAnsiTheme="minorEastAsia" w:eastAsiaTheme="minorEastAsia"/>
          <w:sz w:val="24"/>
        </w:rPr>
        <w:t xml:space="preserve">随时</w:t>
      </w:r>
      <w:r>
        <w:rPr>
          <w:rFonts w:asciiTheme="minorEastAsia" w:hAnsiTheme="minorEastAsia" w:eastAsiaTheme="minorEastAsia"/>
          <w:sz w:val="24"/>
        </w:rPr>
        <w:t xml:space="preserve">向中标人下达调拨指令，中标人须按合同约定时限（48小时内）将指定物资送达指定地点。</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储备物资的动用具有不确定性</w:t>
      </w:r>
      <w:r>
        <w:rPr>
          <w:rFonts w:hint="eastAsia" w:asciiTheme="minorEastAsia" w:hAnsiTheme="minorEastAsia" w:eastAsiaTheme="minorEastAsia"/>
          <w:sz w:val="24"/>
        </w:rPr>
        <w:t xml:space="preserve">，</w:t>
      </w:r>
      <w:r>
        <w:rPr>
          <w:rStyle w:val="796"/>
          <w:rFonts w:asciiTheme="minorEastAsia" w:hAnsiTheme="minorEastAsia" w:eastAsiaTheme="minorEastAsia"/>
          <w:sz w:val="24"/>
        </w:rPr>
        <w:t xml:space="preserve">平时可能长期无调拨需求，一旦启动即为应急状态</w:t>
      </w:r>
      <w:r>
        <w:rPr>
          <w:rFonts w:asciiTheme="minorEastAsia" w:hAnsiTheme="minorEastAsia" w:eastAsiaTheme="minorEastAsia"/>
          <w:sz w:val="24"/>
        </w:rPr>
        <w:t xml:space="preserve">。中标人须始终保持储备物资数量足额、质量合格、随时可调用，不得以"长期未动用"为由降低管护标准或拒绝应急调拨。</w:t>
      </w:r>
      <w:r/>
    </w:p>
    <w:p>
      <w:pPr>
        <w:ind w:firstLine="482"/>
        <w:keepLines/>
        <w:spacing w:line="360" w:lineRule="auto"/>
        <w:rPr>
          <w:rFonts w:asciiTheme="minorEastAsia" w:hAnsiTheme="minorEastAsia" w:eastAsiaTheme="minorEastAsia"/>
          <w:sz w:val="24"/>
        </w:rPr>
      </w:pPr>
      <w:r>
        <w:rPr>
          <w:rStyle w:val="796"/>
          <w:rFonts w:asciiTheme="minorEastAsia" w:hAnsiTheme="minorEastAsia" w:eastAsiaTheme="minorEastAsia"/>
          <w:sz w:val="24"/>
        </w:rPr>
        <w:t xml:space="preserve">终止与结算</w:t>
      </w:r>
      <w:r>
        <w:rPr>
          <w:rStyle w:val="796"/>
          <w:rFonts w:hint="eastAsia" w:asciiTheme="minorEastAsia" w:hAnsiTheme="minorEastAsia" w:eastAsiaTheme="minorEastAsia"/>
          <w:sz w:val="24"/>
        </w:rPr>
        <w:t xml:space="preserve">:</w:t>
      </w:r>
      <w:r>
        <w:rPr>
          <w:rFonts w:asciiTheme="minorEastAsia" w:hAnsiTheme="minorEastAsia" w:eastAsiaTheme="minorEastAsia"/>
          <w:sz w:val="24"/>
        </w:rPr>
        <w:t xml:space="preserve">采购人可根据实际情况，</w:t>
      </w:r>
      <w:r>
        <w:rPr>
          <w:rFonts w:hint="eastAsia" w:asciiTheme="minorEastAsia" w:hAnsiTheme="minorEastAsia" w:eastAsiaTheme="minorEastAsia"/>
          <w:sz w:val="24"/>
        </w:rPr>
        <w:t xml:space="preserve">提前</w:t>
      </w:r>
      <w:r>
        <w:rPr>
          <w:rFonts w:asciiTheme="minorEastAsia" w:hAnsiTheme="minorEastAsia" w:eastAsiaTheme="minorEastAsia"/>
          <w:sz w:val="24"/>
        </w:rPr>
        <w:t xml:space="preserve">书面通知中标人终止储备。储备终止后，双方按</w:t>
      </w:r>
      <w:r>
        <w:rPr>
          <w:rStyle w:val="796"/>
          <w:rFonts w:asciiTheme="minorEastAsia" w:hAnsiTheme="minorEastAsia" w:eastAsiaTheme="minorEastAsia"/>
          <w:sz w:val="24"/>
        </w:rPr>
        <w:t xml:space="preserve">实际代管期限</w:t>
      </w:r>
      <w:r>
        <w:rPr>
          <w:rFonts w:asciiTheme="minorEastAsia" w:hAnsiTheme="minorEastAsia" w:eastAsiaTheme="minorEastAsia"/>
          <w:sz w:val="24"/>
        </w:rPr>
        <w:t xml:space="preserve">结算代储管理费：</w:t>
      </w:r>
      <w:r/>
    </w:p>
    <w:p>
      <w:pPr>
        <w:pStyle w:val="793"/>
        <w:ind w:firstLine="240"/>
        <w:keepLines/>
        <w:keepNext/>
        <w:spacing w:before="0" w:beforeAutospacing="0" w:after="0" w:afterAutospacing="0" w:line="360" w:lineRule="auto"/>
        <w:widowControl w:val="off"/>
        <w:rPr>
          <w:rFonts w:asciiTheme="minorEastAsia" w:hAnsiTheme="minorEastAsia" w:eastAsiaTheme="minorEastAsia"/>
        </w:rPr>
      </w:pPr>
      <w:r>
        <w:rPr>
          <w:rFonts w:asciiTheme="minorEastAsia" w:hAnsiTheme="minorEastAsia" w:eastAsiaTheme="minorEastAsia"/>
        </w:rPr>
        <w:t xml:space="preserve">储备终止通知送达后，中标人须配合采购人完成储备物资的交接工作。</w:t>
      </w:r>
      <w:r/>
    </w:p>
    <w:p>
      <w:pPr>
        <w:ind w:left="360" w:hanging="360"/>
        <w:keepLines/>
        <w:keepNext/>
        <w:spacing w:line="360" w:lineRule="auto"/>
        <w:rPr>
          <w:rFonts w:asciiTheme="minorEastAsia" w:hAnsiTheme="minorEastAsia" w:eastAsiaTheme="minorEastAsia"/>
          <w:sz w:val="24"/>
        </w:rPr>
      </w:pPr>
      <w:r>
        <w:rPr>
          <w:rFonts w:asciiTheme="minorEastAsia" w:hAnsiTheme="minorEastAsia" w:eastAsiaTheme="minorEastAsia"/>
          <w:sz w:val="24"/>
        </w:rPr>
        <w:t xml:space="preserve">（4）监督检查：采购人有权随时对代储物资的数量、质量、存储环境进行实地检查、盘点；中标人应予配合。若发现数量短缺、质量损坏、存储条件不达标或挪用的，中标人须无条件补足、赔偿并承担违约责任。</w:t>
      </w:r>
      <w:r/>
    </w:p>
    <w:p>
      <w:pPr>
        <w:pStyle w:val="744"/>
        <w:spacing w:before="0" w:after="0" w:line="360"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cs="Times New Roman" w:asciiTheme="minorEastAsia" w:hAnsiTheme="minorEastAsia" w:eastAsiaTheme="minorEastAsia"/>
          <w:b/>
          <w:bCs/>
          <w:sz w:val="24"/>
        </w:rPr>
        <w:t xml:space="preserve">.3 应急调拨与响应要求</w:t>
      </w:r>
      <w:r/>
    </w:p>
    <w:p>
      <w:pPr>
        <w:ind w:left="360" w:hanging="36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（1）一旦接到采购人应急调拨指令，中标人须在48小时内将指定数量、规格的物资送达采购人指定地点（适用于实物采购与协议储备采购全部物资）。</w:t>
      </w:r>
      <w:r/>
    </w:p>
    <w:p>
      <w:pPr>
        <w:ind w:left="360" w:hanging="36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（2）调拨出的储备物资，由采购人按「调拨数量×中标单价」据实结算货款；调拨后库存不足的，中标人应按要求及时补充，恢复储备规模。</w:t>
      </w:r>
      <w:r/>
    </w:p>
    <w:p>
      <w:pPr>
        <w:ind w:left="360" w:hanging="36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（3）储备物资发生自然损耗、过期、损毁的，由中标人负责无偿补足，确保账实相符。</w:t>
      </w:r>
      <w:r/>
    </w:p>
    <w:p>
      <w:pPr>
        <w:pStyle w:val="744"/>
        <w:spacing w:before="0" w:after="0" w:line="360" w:lineRule="auto"/>
        <w:rPr>
          <w:rFonts w:asciiTheme="minorEastAsia" w:hAnsiTheme="minorEastAsia" w:eastAsiaTheme="minorEastAsia"/>
          <w:sz w:val="24"/>
        </w:rPr>
      </w:pPr>
      <w:r>
        <w:rPr>
          <w:rFonts w:asciiTheme="minorEastAsia" w:hAnsiTheme="minorEastAsia" w:eastAsiaTheme="minorEastAsia"/>
          <w:sz w:val="24"/>
        </w:rPr>
        <w:t xml:space="preserve">4</w:t>
      </w:r>
      <w:r>
        <w:rPr>
          <w:rFonts w:cs="Times New Roman" w:asciiTheme="minorEastAsia" w:hAnsiTheme="minorEastAsia" w:eastAsiaTheme="minorEastAsia"/>
          <w:b/>
          <w:bCs/>
          <w:sz w:val="24"/>
        </w:rPr>
        <w:t xml:space="preserve">.4 实施服务要求与考核标准</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为保证代储管理费支付有据可依、储备物资随时可调可用，中标人须履行下列实施服务义务，并接受采购人年度考核；考核结果与当年代管费支付比例直接挂钩。</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（一）代储实施服务要求</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1. 仓储场地要求</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中标人仓库面积须满足9625件（套）储备物资分类存放需求，储备物资独立分区存放，悬挂「</w:t>
      </w:r>
      <w:r>
        <w:rPr>
          <w:rFonts w:hint="eastAsia" w:asciiTheme="minorEastAsia" w:hAnsiTheme="minorEastAsia" w:eastAsiaTheme="minorEastAsia"/>
          <w:sz w:val="24"/>
        </w:rPr>
        <w:t xml:space="preserve">睢宁县202</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年住宿保障类应急物资采购项目+</w:t>
      </w:r>
      <w:r>
        <w:rPr>
          <w:rFonts w:asciiTheme="minorEastAsia" w:hAnsiTheme="minorEastAsia" w:eastAsiaTheme="minorEastAsia"/>
          <w:sz w:val="24"/>
        </w:rPr>
        <w:t xml:space="preserve">应急储备物资」标识牌，不得与经营性库存混放。</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仓库地面须硬化或货架垫高≥10cm，具备防潮、防火、防盗、防虫鼠、通风等基本条件。</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合同签订后5个工作日内，向采购人提交仓库产权证明或租赁合同复印件、仓库平面布置图备案。</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2. 日常管护要求</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建立储备物资管理台账，逐件登记物资编号、入库日期、批次、保质期（如适用），做到账、卡、物一致。</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每月至少盘点一次，确保账实相符；每季度向采购人书面报送库存及完好状态报告。</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储备物资保持全新、未拆封、未使用状态；纺织品做好防潮、防霉变措施。</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根据保质期或损耗情况自行出资轮换更新，确保调拨时物资为合格新品（更新费用已包含在代储管理费中，采购人不另行支付）。</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3. 应急调拨要求</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接到调拨指令后48小时内将指定物资送达采购人指定地点，随车携带产品合格证、检测报告。</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调拨完成后15日内按原规格、数量补足储备库存，补足物资经采购人确认后方可计入代管考核。</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4. 接受监督检查</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采购人检查频次不限，中标人不得阻挠；检查、盘点所需台账、人员、场地应随时配合提供。</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（二）考核标准（年度百分制）</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代储管理费按年度支付，支付前须通过采购人组织的年度考核。考核采用百分制，具体评分标准如下：</w:t>
      </w:r>
      <w:r/>
    </w:p>
    <w:tbl>
      <w:tblPr>
        <w:tblW w:w="850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left w:w="10" w:type="dxa"/>
          <w:right w:w="10" w:type="dxa"/>
        </w:tblCellMar>
        <w:tblLook w:val="04A0" w:firstRow="1" w:lastRow="0" w:firstColumn="1" w:lastColumn="0" w:noHBand="0" w:noVBand="1"/>
      </w:tblPr>
      <w:tblGrid>
        <w:gridCol w:w="1696"/>
        <w:gridCol w:w="1134"/>
        <w:gridCol w:w="5670"/>
      </w:tblGrid>
      <w:tr>
        <w:trPr>
          <w:tblHeader/>
        </w:trPr>
        <w:tc>
          <w:tcPr>
            <w:shd w:val="clear" w:color="auto" w:fill="auto"/>
            <w:tcMar>
              <w:left w:w="100" w:type="dxa"/>
              <w:top w:w="60" w:type="dxa"/>
              <w:right w:w="100" w:type="dxa"/>
              <w:bottom w:w="60" w:type="dxa"/>
            </w:tcMar>
            <w:tcW w:w="1696"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考核项目</w:t>
            </w:r>
            <w:r/>
          </w:p>
        </w:tc>
        <w:tc>
          <w:tcPr>
            <w:shd w:val="clear" w:color="auto" w:fill="auto"/>
            <w:tcMar>
              <w:left w:w="100" w:type="dxa"/>
              <w:top w:w="60" w:type="dxa"/>
              <w:right w:w="100" w:type="dxa"/>
              <w:bottom w:w="60" w:type="dxa"/>
            </w:tcMar>
            <w:tcW w:w="1134"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bCs/>
                <w:sz w:val="24"/>
              </w:rPr>
              <w:t xml:space="preserve">分值</w:t>
            </w:r>
            <w:r/>
          </w:p>
        </w:tc>
        <w:tc>
          <w:tcPr>
            <w:shd w:val="clear" w:color="auto" w:fill="auto"/>
            <w:tcMar>
              <w:left w:w="100" w:type="dxa"/>
              <w:top w:w="60" w:type="dxa"/>
              <w:right w:w="100" w:type="dxa"/>
              <w:bottom w:w="60" w:type="dxa"/>
            </w:tcMar>
            <w:tcW w:w="5670"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bCs/>
                <w:sz w:val="24"/>
              </w:rPr>
              <w:t xml:space="preserve">评分标准</w:t>
            </w:r>
            <w:r/>
          </w:p>
        </w:tc>
      </w:tr>
      <w:tr>
        <w:trPr/>
        <w:tc>
          <w:tcPr>
            <w:shd w:val="clear" w:color="auto" w:fill="auto"/>
            <w:tcMar>
              <w:left w:w="100" w:type="dxa"/>
              <w:top w:w="60" w:type="dxa"/>
              <w:right w:w="100" w:type="dxa"/>
              <w:bottom w:w="60" w:type="dxa"/>
            </w:tcMar>
            <w:tcW w:w="1696"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库存数量</w:t>
            </w:r>
            <w:r/>
          </w:p>
        </w:tc>
        <w:tc>
          <w:tcPr>
            <w:shd w:val="clear" w:color="auto" w:fill="auto"/>
            <w:tcMar>
              <w:left w:w="100" w:type="dxa"/>
              <w:top w:w="60" w:type="dxa"/>
              <w:right w:w="100" w:type="dxa"/>
              <w:bottom w:w="60" w:type="dxa"/>
            </w:tcMar>
            <w:tcW w:w="1134"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40分</w:t>
            </w:r>
            <w:r/>
          </w:p>
        </w:tc>
        <w:tc>
          <w:tcPr>
            <w:shd w:val="clear" w:color="auto" w:fill="auto"/>
            <w:tcMar>
              <w:left w:w="100" w:type="dxa"/>
              <w:top w:w="60" w:type="dxa"/>
              <w:right w:w="100" w:type="dxa"/>
              <w:bottom w:w="60" w:type="dxa"/>
            </w:tcMar>
            <w:tcW w:w="5670" w:type="dxa"/>
            <w:vAlign w:val="center"/>
            <w:textDirection w:val="lrTb"/>
            <w:noWrap w:val="false"/>
          </w:tcPr>
          <w:p>
            <w:pPr>
              <w:jc w:val="left"/>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账实相符得满分；每缺少1件扣5分，扣完为止；缺少超过储备总量5%的本项得0分。</w:t>
            </w:r>
            <w:r/>
          </w:p>
        </w:tc>
      </w:tr>
      <w:tr>
        <w:trPr/>
        <w:tc>
          <w:tcPr>
            <w:shd w:val="clear" w:color="auto" w:fill="auto"/>
            <w:tcMar>
              <w:left w:w="100" w:type="dxa"/>
              <w:top w:w="60" w:type="dxa"/>
              <w:right w:w="100" w:type="dxa"/>
              <w:bottom w:w="60" w:type="dxa"/>
            </w:tcMar>
            <w:tcW w:w="1696"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物资质量</w:t>
            </w:r>
            <w:r/>
          </w:p>
        </w:tc>
        <w:tc>
          <w:tcPr>
            <w:shd w:val="clear" w:color="auto" w:fill="auto"/>
            <w:tcMar>
              <w:left w:w="100" w:type="dxa"/>
              <w:top w:w="60" w:type="dxa"/>
              <w:right w:w="100" w:type="dxa"/>
              <w:bottom w:w="60" w:type="dxa"/>
            </w:tcMar>
            <w:tcW w:w="1134"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30分</w:t>
            </w:r>
            <w:r/>
          </w:p>
        </w:tc>
        <w:tc>
          <w:tcPr>
            <w:shd w:val="clear" w:color="auto" w:fill="auto"/>
            <w:tcMar>
              <w:left w:w="100" w:type="dxa"/>
              <w:top w:w="60" w:type="dxa"/>
              <w:right w:w="100" w:type="dxa"/>
              <w:bottom w:w="60" w:type="dxa"/>
            </w:tcMar>
            <w:tcW w:w="5670" w:type="dxa"/>
            <w:vAlign w:val="center"/>
            <w:textDirection w:val="lrTb"/>
            <w:noWrap w:val="false"/>
          </w:tcPr>
          <w:p>
            <w:pPr>
              <w:jc w:val="left"/>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外观完好、未拆封、未过期、存储环境达标得满分；破损、受潮、变质每件扣5分；发现再生棉或劣质材料本项得0分。</w:t>
            </w:r>
            <w:r/>
          </w:p>
        </w:tc>
      </w:tr>
      <w:tr>
        <w:trPr/>
        <w:tc>
          <w:tcPr>
            <w:shd w:val="clear" w:color="auto" w:fill="auto"/>
            <w:tcMar>
              <w:left w:w="100" w:type="dxa"/>
              <w:top w:w="60" w:type="dxa"/>
              <w:right w:w="100" w:type="dxa"/>
              <w:bottom w:w="60" w:type="dxa"/>
            </w:tcMar>
            <w:tcW w:w="1696"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调拨响应</w:t>
            </w:r>
            <w:r/>
          </w:p>
        </w:tc>
        <w:tc>
          <w:tcPr>
            <w:shd w:val="clear" w:color="auto" w:fill="auto"/>
            <w:tcMar>
              <w:left w:w="100" w:type="dxa"/>
              <w:top w:w="60" w:type="dxa"/>
              <w:right w:w="100" w:type="dxa"/>
              <w:bottom w:w="60" w:type="dxa"/>
            </w:tcMar>
            <w:tcW w:w="1134"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20分</w:t>
            </w:r>
            <w:r/>
          </w:p>
        </w:tc>
        <w:tc>
          <w:tcPr>
            <w:shd w:val="clear" w:color="auto" w:fill="auto"/>
            <w:tcMar>
              <w:left w:w="100" w:type="dxa"/>
              <w:top w:w="60" w:type="dxa"/>
              <w:right w:w="100" w:type="dxa"/>
              <w:bottom w:w="60" w:type="dxa"/>
            </w:tcMar>
            <w:tcW w:w="5670" w:type="dxa"/>
            <w:vAlign w:val="center"/>
            <w:textDirection w:val="lrTb"/>
            <w:noWrap w:val="false"/>
          </w:tcPr>
          <w:p>
            <w:pPr>
              <w:jc w:val="left"/>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年度调拨任务按时完成得满分；每次超时扣10分；超时超24小时或拒绝调拨本项得0分。</w:t>
            </w:r>
            <w:r/>
          </w:p>
        </w:tc>
      </w:tr>
      <w:tr>
        <w:trPr/>
        <w:tc>
          <w:tcPr>
            <w:shd w:val="clear" w:color="auto" w:fill="auto"/>
            <w:tcMar>
              <w:left w:w="100" w:type="dxa"/>
              <w:top w:w="60" w:type="dxa"/>
              <w:right w:w="100" w:type="dxa"/>
              <w:bottom w:w="60" w:type="dxa"/>
            </w:tcMar>
            <w:tcW w:w="1696"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台账与报告</w:t>
            </w:r>
            <w:r/>
          </w:p>
        </w:tc>
        <w:tc>
          <w:tcPr>
            <w:shd w:val="clear" w:color="auto" w:fill="auto"/>
            <w:tcMar>
              <w:left w:w="100" w:type="dxa"/>
              <w:top w:w="60" w:type="dxa"/>
              <w:right w:w="100" w:type="dxa"/>
              <w:bottom w:w="60" w:type="dxa"/>
            </w:tcMar>
            <w:tcW w:w="1134"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10分</w:t>
            </w:r>
            <w:r/>
          </w:p>
        </w:tc>
        <w:tc>
          <w:tcPr>
            <w:shd w:val="clear" w:color="auto" w:fill="auto"/>
            <w:tcMar>
              <w:left w:w="100" w:type="dxa"/>
              <w:top w:w="60" w:type="dxa"/>
              <w:right w:w="100" w:type="dxa"/>
              <w:bottom w:w="60" w:type="dxa"/>
            </w:tcMar>
            <w:tcW w:w="5670" w:type="dxa"/>
            <w:vAlign w:val="center"/>
            <w:textDirection w:val="lrTb"/>
            <w:noWrap w:val="false"/>
          </w:tcPr>
          <w:p>
            <w:pPr>
              <w:jc w:val="left"/>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台账完整、季报按时得满分；台账缺失每次扣3分，季报逾期每次扣2分。</w:t>
            </w:r>
            <w:r/>
          </w:p>
        </w:tc>
      </w:tr>
    </w:tbl>
    <w:p>
      <w:pP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注：考核得分与当年代管费支付比例挂钩，详见下表；出现「一票否决」情形的，当年代管费为0且采购人有权终止合同。</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（三）考核结果与代管费挂钩</w:t>
      </w:r>
      <w:r/>
    </w:p>
    <w:tbl>
      <w:tblPr>
        <w:tblW w:w="936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left w:w="10" w:type="dxa"/>
          <w:right w:w="10" w:type="dxa"/>
        </w:tblCellMar>
        <w:tblLook w:val="04A0" w:firstRow="1" w:lastRow="0" w:firstColumn="1" w:lastColumn="0" w:noHBand="0" w:noVBand="1"/>
      </w:tblPr>
      <w:tblGrid>
        <w:gridCol w:w="4680"/>
        <w:gridCol w:w="4680"/>
      </w:tblGrid>
      <w:tr>
        <w:trPr>
          <w:tblHeader/>
        </w:trPr>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考核得分</w:t>
            </w:r>
            <w:r/>
          </w:p>
        </w:tc>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当年代管费支付比例</w:t>
            </w:r>
            <w:r/>
          </w:p>
        </w:tc>
      </w:tr>
      <w:tr>
        <w:trPr/>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90分（含）以上</w:t>
            </w:r>
            <w:r/>
          </w:p>
        </w:tc>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100%</w:t>
            </w:r>
            <w:r/>
          </w:p>
        </w:tc>
      </w:tr>
      <w:tr>
        <w:trPr/>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80分（含）～90分</w:t>
            </w:r>
            <w:r/>
          </w:p>
        </w:tc>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90%</w:t>
            </w:r>
            <w:r/>
          </w:p>
        </w:tc>
      </w:tr>
      <w:tr>
        <w:trPr/>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60分（含）～80分</w:t>
            </w:r>
            <w:r/>
          </w:p>
        </w:tc>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70%</w:t>
            </w:r>
            <w:r/>
          </w:p>
        </w:tc>
      </w:tr>
      <w:tr>
        <w:trPr/>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60分以下</w:t>
            </w:r>
            <w:r/>
          </w:p>
        </w:tc>
        <w:tc>
          <w:tcPr>
            <w:shd w:val="clear" w:color="auto" w:fill="auto"/>
            <w:tcMar>
              <w:left w:w="100" w:type="dxa"/>
              <w:top w:w="60" w:type="dxa"/>
              <w:right w:w="100" w:type="dxa"/>
              <w:bottom w:w="60" w:type="dxa"/>
            </w:tcMar>
            <w:tcW w:w="4680" w:type="dxa"/>
            <w:vAlign w:val="center"/>
            <w:textDirection w:val="lrTb"/>
            <w:noWrap w:val="false"/>
          </w:tcPr>
          <w:p>
            <w:pPr>
              <w:jc w:val="cente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0%（不予支付当年代管费）</w:t>
            </w:r>
            <w:r/>
          </w:p>
        </w:tc>
      </w:tr>
    </w:tbl>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（四）一票否决情形</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出现以下任一情形，当年代管费为0，采购人有权终止合同，并要求中标人限期整改或承担违约责任：</w:t>
      </w:r>
      <w:r/>
    </w:p>
    <w:p>
      <w:pP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 储备物资被挪作他用、对外销售或设定抵押担保；</w:t>
      </w:r>
      <w:r/>
    </w:p>
    <w:p>
      <w:pP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 虚假储备（实际库存为空或远低于备案数量）；</w:t>
      </w:r>
      <w:r/>
    </w:p>
    <w:p>
      <w:pP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 年度内</w:t>
      </w:r>
      <w:r>
        <w:rPr>
          <w:rFonts w:hint="eastAsia" w:asciiTheme="minorEastAsia" w:hAnsiTheme="minorEastAsia" w:eastAsiaTheme="minorEastAsia"/>
          <w:sz w:val="24"/>
        </w:rPr>
        <w:t xml:space="preserve">发生</w:t>
      </w:r>
      <w:r>
        <w:rPr>
          <w:rFonts w:asciiTheme="minorEastAsia" w:hAnsiTheme="minorEastAsia" w:eastAsiaTheme="minorEastAsia"/>
          <w:sz w:val="24"/>
        </w:rPr>
        <w:t xml:space="preserve">调拨响应超时，或拒绝调拨；</w:t>
      </w:r>
      <w:r/>
    </w:p>
    <w:p>
      <w:pPr>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 检查中发现使用再生棉等不符合技术参数的劣质材料。</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（五）违约责任衔接</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中标人年度考核低于60分或出现一票否决情形的，采购人有权不予支付当年代管费，并要求限期整改（不超过30日）；整改不合格或拒不整改的，采购人有权终止合同，中标人承担合同总金额10%的违约金，并赔偿由此造成的应急保障损失。</w:t>
      </w:r>
      <w:r/>
    </w:p>
    <w:p>
      <w:pPr>
        <w:keepLines/>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五</w:t>
      </w:r>
      <w:r>
        <w:rPr>
          <w:rFonts w:asciiTheme="minorEastAsia" w:hAnsiTheme="minorEastAsia" w:eastAsiaTheme="minorEastAsia"/>
          <w:b/>
          <w:bCs/>
          <w:sz w:val="24"/>
        </w:rPr>
        <w:t xml:space="preserve">、各物资详细技术参数与数量</w:t>
      </w:r>
      <w:r/>
    </w:p>
    <w:tbl>
      <w:tblPr>
        <w:tblW w:w="936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left w:w="10" w:type="dxa"/>
          <w:right w:w="10" w:type="dxa"/>
        </w:tblCellMar>
        <w:tblLook w:val="04A0" w:firstRow="1" w:lastRow="0" w:firstColumn="1" w:lastColumn="0" w:noHBand="0" w:noVBand="1"/>
      </w:tblPr>
      <w:tblGrid>
        <w:gridCol w:w="520"/>
        <w:gridCol w:w="900"/>
        <w:gridCol w:w="4387"/>
        <w:gridCol w:w="913"/>
        <w:gridCol w:w="788"/>
        <w:gridCol w:w="851"/>
        <w:gridCol w:w="1001"/>
      </w:tblGrid>
      <w:tr>
        <w:trPr>
          <w:tblHeader/>
        </w:trPr>
        <w:tc>
          <w:tcPr>
            <w:shd w:val="clear" w:color="auto" w:fill="d5e8f0"/>
            <w:tcMar>
              <w:left w:w="100" w:type="dxa"/>
              <w:top w:w="60" w:type="dxa"/>
              <w:right w:w="100" w:type="dxa"/>
              <w:bottom w:w="60" w:type="dxa"/>
            </w:tcMar>
            <w:tcW w:w="520" w:type="dxa"/>
            <w:vAlign w:val="center"/>
            <w:textDirection w:val="lrTb"/>
            <w:noWrap w:val="false"/>
          </w:tcPr>
          <w:p>
            <w:pPr>
              <w:jc w:val="center"/>
              <w:keepLines/>
              <w:spacing w:line="360" w:lineRule="auto"/>
              <w:rPr>
                <w:rFonts w:asciiTheme="minorEastAsia" w:hAnsiTheme="minorEastAsia" w:eastAsiaTheme="minorEastAsia"/>
                <w:sz w:val="22"/>
                <w:szCs w:val="22"/>
              </w:rPr>
            </w:pPr>
            <w:r>
              <w:rPr>
                <w:rFonts w:asciiTheme="minorEastAsia" w:hAnsiTheme="minorEastAsia" w:eastAsiaTheme="minorEastAsia"/>
                <w:b/>
                <w:bCs/>
                <w:sz w:val="22"/>
                <w:szCs w:val="22"/>
              </w:rPr>
              <w:t xml:space="preserve">序号</w:t>
            </w:r>
            <w:r/>
          </w:p>
        </w:tc>
        <w:tc>
          <w:tcPr>
            <w:shd w:val="clear" w:color="auto" w:fill="d5e8f0"/>
            <w:tcMar>
              <w:left w:w="100" w:type="dxa"/>
              <w:top w:w="60" w:type="dxa"/>
              <w:right w:w="100" w:type="dxa"/>
              <w:bottom w:w="60" w:type="dxa"/>
            </w:tcMar>
            <w:tcW w:w="900" w:type="dxa"/>
            <w:vAlign w:val="center"/>
            <w:textDirection w:val="lrTb"/>
            <w:noWrap w:val="false"/>
          </w:tcPr>
          <w:p>
            <w:pPr>
              <w:jc w:val="center"/>
              <w:keepLines/>
              <w:spacing w:line="360" w:lineRule="auto"/>
              <w:rPr>
                <w:rFonts w:asciiTheme="minorEastAsia" w:hAnsiTheme="minorEastAsia" w:eastAsiaTheme="minorEastAsia"/>
                <w:sz w:val="22"/>
                <w:szCs w:val="22"/>
              </w:rPr>
            </w:pPr>
            <w:r>
              <w:rPr>
                <w:rFonts w:asciiTheme="minorEastAsia" w:hAnsiTheme="minorEastAsia" w:eastAsiaTheme="minorEastAsia"/>
                <w:b/>
                <w:bCs/>
                <w:sz w:val="22"/>
                <w:szCs w:val="22"/>
              </w:rPr>
              <w:t xml:space="preserve">产品名称</w:t>
            </w:r>
            <w:r/>
          </w:p>
        </w:tc>
        <w:tc>
          <w:tcPr>
            <w:shd w:val="clear" w:color="auto" w:fill="d5e8f0"/>
            <w:tcMar>
              <w:left w:w="100" w:type="dxa"/>
              <w:top w:w="60" w:type="dxa"/>
              <w:right w:w="100" w:type="dxa"/>
              <w:bottom w:w="60" w:type="dxa"/>
            </w:tcMar>
            <w:tcW w:w="4387" w:type="dxa"/>
            <w:vAlign w:val="center"/>
            <w:textDirection w:val="lrTb"/>
            <w:noWrap w:val="false"/>
          </w:tcPr>
          <w:p>
            <w:pPr>
              <w:jc w:val="center"/>
              <w:keepLines/>
              <w:spacing w:line="360" w:lineRule="auto"/>
              <w:rPr>
                <w:rFonts w:asciiTheme="minorEastAsia" w:hAnsiTheme="minorEastAsia" w:eastAsiaTheme="minorEastAsia"/>
                <w:sz w:val="22"/>
                <w:szCs w:val="22"/>
              </w:rPr>
            </w:pPr>
            <w:r>
              <w:rPr>
                <w:rFonts w:asciiTheme="minorEastAsia" w:hAnsiTheme="minorEastAsia" w:eastAsiaTheme="minorEastAsia"/>
                <w:b/>
                <w:bCs/>
                <w:sz w:val="22"/>
                <w:szCs w:val="22"/>
              </w:rPr>
              <w:t xml:space="preserve">主要技术参数要求</w:t>
            </w:r>
            <w:r/>
          </w:p>
        </w:tc>
        <w:tc>
          <w:tcPr>
            <w:shd w:val="clear" w:color="auto" w:fill="d5e8f0"/>
            <w:tcMar>
              <w:left w:w="100" w:type="dxa"/>
              <w:top w:w="60" w:type="dxa"/>
              <w:right w:w="100" w:type="dxa"/>
              <w:bottom w:w="60" w:type="dxa"/>
            </w:tcMar>
            <w:tcW w:w="913" w:type="dxa"/>
            <w:vAlign w:val="center"/>
            <w:textDirection w:val="lrTb"/>
            <w:noWrap w:val="false"/>
          </w:tcPr>
          <w:p>
            <w:pPr>
              <w:jc w:val="center"/>
              <w:keepLines/>
              <w:spacing w:line="360" w:lineRule="auto"/>
              <w:rPr>
                <w:rFonts w:asciiTheme="minorEastAsia" w:hAnsiTheme="minorEastAsia" w:eastAsiaTheme="minorEastAsia"/>
                <w:sz w:val="22"/>
                <w:szCs w:val="22"/>
              </w:rPr>
            </w:pPr>
            <w:r>
              <w:rPr>
                <w:rFonts w:asciiTheme="minorEastAsia" w:hAnsiTheme="minorEastAsia" w:eastAsiaTheme="minorEastAsia"/>
                <w:b/>
                <w:bCs/>
                <w:sz w:val="22"/>
                <w:szCs w:val="22"/>
              </w:rPr>
              <w:t xml:space="preserve">供货方式</w:t>
            </w:r>
            <w:r/>
          </w:p>
        </w:tc>
        <w:tc>
          <w:tcPr>
            <w:shd w:val="clear" w:color="auto" w:fill="d5e8f0"/>
            <w:tcMar>
              <w:left w:w="100" w:type="dxa"/>
              <w:top w:w="60" w:type="dxa"/>
              <w:right w:w="100" w:type="dxa"/>
              <w:bottom w:w="60" w:type="dxa"/>
            </w:tcMar>
            <w:tcW w:w="788" w:type="dxa"/>
            <w:vAlign w:val="center"/>
            <w:textDirection w:val="lrTb"/>
            <w:noWrap w:val="false"/>
          </w:tcPr>
          <w:p>
            <w:pPr>
              <w:jc w:val="center"/>
              <w:keepLines/>
              <w:spacing w:line="360" w:lineRule="auto"/>
              <w:rPr>
                <w:rFonts w:asciiTheme="minorEastAsia" w:hAnsiTheme="minorEastAsia" w:eastAsiaTheme="minorEastAsia"/>
                <w:sz w:val="22"/>
                <w:szCs w:val="22"/>
              </w:rPr>
            </w:pPr>
            <w:r>
              <w:rPr>
                <w:rFonts w:asciiTheme="minorEastAsia" w:hAnsiTheme="minorEastAsia" w:eastAsiaTheme="minorEastAsia"/>
                <w:b/>
                <w:bCs/>
                <w:sz w:val="22"/>
                <w:szCs w:val="22"/>
              </w:rPr>
              <w:t xml:space="preserve">单位</w:t>
            </w:r>
            <w:r/>
          </w:p>
        </w:tc>
        <w:tc>
          <w:tcPr>
            <w:shd w:val="clear" w:color="auto" w:fill="d5e8f0"/>
            <w:tcMar>
              <w:left w:w="100" w:type="dxa"/>
              <w:top w:w="60" w:type="dxa"/>
              <w:right w:w="100" w:type="dxa"/>
              <w:bottom w:w="60" w:type="dxa"/>
            </w:tcMar>
            <w:tcW w:w="851" w:type="dxa"/>
            <w:vAlign w:val="center"/>
            <w:textDirection w:val="lrTb"/>
            <w:noWrap w:val="false"/>
          </w:tcPr>
          <w:p>
            <w:pPr>
              <w:jc w:val="center"/>
              <w:keepLines/>
              <w:spacing w:line="360" w:lineRule="auto"/>
              <w:rPr>
                <w:rFonts w:asciiTheme="minorEastAsia" w:hAnsiTheme="minorEastAsia" w:eastAsiaTheme="minorEastAsia"/>
                <w:sz w:val="22"/>
                <w:szCs w:val="22"/>
              </w:rPr>
            </w:pPr>
            <w:r>
              <w:rPr>
                <w:rFonts w:asciiTheme="minorEastAsia" w:hAnsiTheme="minorEastAsia" w:eastAsiaTheme="minorEastAsia"/>
                <w:b/>
                <w:bCs/>
                <w:sz w:val="22"/>
                <w:szCs w:val="22"/>
              </w:rPr>
              <w:t xml:space="preserve">实物采购数量</w:t>
            </w:r>
            <w:r/>
          </w:p>
        </w:tc>
        <w:tc>
          <w:tcPr>
            <w:shd w:val="clear" w:color="auto" w:fill="d5e8f0"/>
            <w:tcMar>
              <w:left w:w="100" w:type="dxa"/>
              <w:top w:w="60" w:type="dxa"/>
              <w:right w:w="100" w:type="dxa"/>
              <w:bottom w:w="60" w:type="dxa"/>
            </w:tcMar>
            <w:tcW w:w="1001" w:type="dxa"/>
            <w:vAlign w:val="center"/>
            <w:textDirection w:val="lrTb"/>
            <w:noWrap w:val="false"/>
          </w:tcPr>
          <w:p>
            <w:pPr>
              <w:jc w:val="center"/>
              <w:keepLines/>
              <w:spacing w:line="360" w:lineRule="auto"/>
              <w:rPr>
                <w:rFonts w:asciiTheme="minorEastAsia" w:hAnsiTheme="minorEastAsia" w:eastAsiaTheme="minorEastAsia"/>
                <w:sz w:val="22"/>
                <w:szCs w:val="22"/>
              </w:rPr>
            </w:pPr>
            <w:r>
              <w:rPr>
                <w:rFonts w:asciiTheme="minorEastAsia" w:hAnsiTheme="minorEastAsia" w:eastAsiaTheme="minorEastAsia"/>
                <w:b/>
                <w:bCs/>
                <w:sz w:val="22"/>
                <w:szCs w:val="22"/>
              </w:rPr>
              <w:t xml:space="preserve">协议储备采购数量</w:t>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w:t>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帐篷</w:t>
            </w:r>
            <w:r/>
          </w:p>
        </w:tc>
        <w:tc>
          <w:tcPr>
            <w:tcMar>
              <w:left w:w="100" w:type="dxa"/>
              <w:top w:w="60" w:type="dxa"/>
              <w:right w:w="100" w:type="dxa"/>
              <w:bottom w:w="60" w:type="dxa"/>
            </w:tcMar>
            <w:tcW w:w="4387" w:type="dxa"/>
            <w:vAlign w:val="center"/>
            <w:textDirection w:val="lrTb"/>
            <w:noWrap w:val="false"/>
          </w:tcPr>
          <w:p>
            <w:pPr>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1.1</w:t>
            </w:r>
            <w:r>
              <w:rPr>
                <w:rFonts w:hint="eastAsia" w:asciiTheme="minorEastAsia" w:hAnsiTheme="minorEastAsia" w:eastAsiaTheme="minorEastAsia"/>
                <w:sz w:val="22"/>
                <w:szCs w:val="22"/>
              </w:rPr>
              <w:t xml:space="preserve">结构形式：长方形双坡面直墙式，一侧山墙设出入门，两侧墙体各开设</w:t>
            </w:r>
            <w:r>
              <w:rPr>
                <w:rFonts w:asciiTheme="minorEastAsia" w:hAnsiTheme="minorEastAsia" w:eastAsiaTheme="minorEastAsia"/>
                <w:sz w:val="22"/>
                <w:szCs w:val="22"/>
              </w:rPr>
              <w:t xml:space="preserve">2扇带纱窗方形窗户，另设三角通风窗</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可快速搭建、拆卸 。</w:t>
            </w:r>
            <w:r/>
          </w:p>
          <w:p>
            <w:pPr>
              <w:keepLines/>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.2</w:t>
            </w:r>
            <w:r>
              <w:rPr>
                <w:rFonts w:hint="eastAsia" w:asciiTheme="minorEastAsia" w:hAnsiTheme="minorEastAsia" w:eastAsiaTheme="minorEastAsia"/>
                <w:sz w:val="22"/>
                <w:szCs w:val="22"/>
              </w:rPr>
              <w:t xml:space="preserve">外形尺寸：篷体长</w:t>
            </w:r>
            <w:r>
              <w:rPr>
                <w:rFonts w:asciiTheme="minorEastAsia" w:hAnsiTheme="minorEastAsia" w:eastAsiaTheme="minorEastAsia"/>
                <w:sz w:val="22"/>
                <w:szCs w:val="22"/>
              </w:rPr>
              <w:t xml:space="preserve">3700mm，宽3200mm，侧墙高1750mm，脊顶高2670mm，使用面积≥12㎡；尺寸允许偏差符合标准要求 。</w:t>
            </w:r>
            <w:r/>
          </w:p>
          <w:p>
            <w:pPr>
              <w:keepLines/>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.3</w:t>
            </w:r>
            <w:r>
              <w:rPr>
                <w:rFonts w:hint="eastAsia" w:asciiTheme="minorEastAsia" w:hAnsiTheme="minorEastAsia" w:eastAsiaTheme="minorEastAsia"/>
                <w:sz w:val="22"/>
                <w:szCs w:val="22"/>
              </w:rPr>
              <w:t xml:space="preserve">★篷体面料：</w:t>
            </w:r>
            <w:r>
              <w:rPr>
                <w:rFonts w:asciiTheme="minorEastAsia" w:hAnsiTheme="minorEastAsia" w:eastAsiaTheme="minorEastAsia"/>
                <w:sz w:val="22"/>
                <w:szCs w:val="22"/>
              </w:rPr>
              <w:t xml:space="preserve">600D涤纶牛津布，单面PVC涂层，天蓝色；克重≥350g/㎡，静水压≥50kPa；具备防水、阻燃、抗老化、抗紫外线性能</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接缝处做PU胶条压胶处理，防止渗水。</w:t>
            </w:r>
            <w:r/>
          </w:p>
          <w:p>
            <w:pPr>
              <w:keepLines/>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.4</w:t>
            </w:r>
            <w:r>
              <w:rPr>
                <w:rFonts w:hint="eastAsia" w:asciiTheme="minorEastAsia" w:hAnsiTheme="minorEastAsia" w:eastAsiaTheme="minorEastAsia"/>
                <w:sz w:val="22"/>
                <w:szCs w:val="22"/>
              </w:rPr>
              <w:t xml:space="preserve">★框架骨架：立杆、地杆、通用杆采用φ</w:t>
            </w:r>
            <w:r>
              <w:rPr>
                <w:rFonts w:asciiTheme="minorEastAsia" w:hAnsiTheme="minorEastAsia" w:eastAsiaTheme="minorEastAsia"/>
                <w:sz w:val="22"/>
                <w:szCs w:val="22"/>
              </w:rPr>
              <w:t xml:space="preserve">25mm×1.0mm Q235焊接钢管；三通、四通接头管件φ28mm×1.0mm焊接钢管；钢管经除锈、磷化、喷塑防腐处理，焊接牢固，表面无毛刺、锈蚀、裂纹 。</w:t>
            </w:r>
            <w:r/>
          </w:p>
          <w:p>
            <w:pPr>
              <w:keepLines/>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.5</w:t>
            </w:r>
            <w:r>
              <w:rPr>
                <w:rFonts w:hint="eastAsia" w:asciiTheme="minorEastAsia" w:hAnsiTheme="minorEastAsia" w:eastAsiaTheme="minorEastAsia"/>
                <w:sz w:val="22"/>
                <w:szCs w:val="22"/>
              </w:rPr>
              <w:t xml:space="preserve">门窗配置：门带门帘；所有窗户配可拆卸防蚊纱网，门窗采用魔术贴闭合，密封防风、防水。</w:t>
            </w:r>
            <w:r/>
          </w:p>
          <w:p>
            <w:pPr>
              <w:keepLines/>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.6</w:t>
            </w:r>
            <w:r>
              <w:rPr>
                <w:rFonts w:hint="eastAsia" w:asciiTheme="minorEastAsia" w:hAnsiTheme="minorEastAsia" w:eastAsiaTheme="minorEastAsia"/>
                <w:sz w:val="22"/>
                <w:szCs w:val="22"/>
              </w:rPr>
              <w:t xml:space="preserve">★抗风性能：可承受</w:t>
            </w:r>
            <w:r>
              <w:rPr>
                <w:rFonts w:asciiTheme="minorEastAsia" w:hAnsiTheme="minorEastAsia" w:eastAsiaTheme="minorEastAsia"/>
                <w:sz w:val="22"/>
                <w:szCs w:val="22"/>
              </w:rPr>
              <w:t xml:space="preserve">7</w:t>
            </w:r>
            <w:r>
              <w:rPr>
                <w:rFonts w:hint="eastAsia" w:ascii="MS Gothic" w:hAnsi="MS Gothic" w:eastAsia="MS Gothic" w:cs="MS Gothic"/>
                <w:sz w:val="22"/>
                <w:szCs w:val="22"/>
              </w:rPr>
              <w:t xml:space="preserve">‑</w:t>
            </w:r>
            <w:r>
              <w:rPr>
                <w:rFonts w:asciiTheme="minorEastAsia" w:hAnsiTheme="minorEastAsia" w:eastAsiaTheme="minorEastAsia"/>
                <w:sz w:val="22"/>
                <w:szCs w:val="22"/>
              </w:rPr>
              <w:t xml:space="preserve">8级风力，框架不发生变形、散架。</w:t>
            </w:r>
            <w:r/>
          </w:p>
          <w:p>
            <w:pPr>
              <w:keepLines/>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.7</w:t>
            </w:r>
            <w:r>
              <w:rPr>
                <w:rFonts w:hint="eastAsia" w:asciiTheme="minorEastAsia" w:hAnsiTheme="minorEastAsia" w:eastAsiaTheme="minorEastAsia"/>
                <w:sz w:val="22"/>
                <w:szCs w:val="22"/>
              </w:rPr>
              <w:t xml:space="preserve">配件：配套地钉、防风拉绳、收纳包装袋；全套配件齐全。</w:t>
            </w:r>
            <w:r/>
          </w:p>
          <w:p>
            <w:pPr>
              <w:keepLines/>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.8</w:t>
            </w:r>
            <w:r>
              <w:rPr>
                <w:rFonts w:hint="eastAsia" w:asciiTheme="minorEastAsia" w:hAnsiTheme="minorEastAsia" w:eastAsiaTheme="minorEastAsia"/>
                <w:sz w:val="22"/>
                <w:szCs w:val="22"/>
              </w:rPr>
              <w:t xml:space="preserve">质量要求：缝线均匀牢固，无跳线、开线；篷布无破损。</w:t>
            </w:r>
            <w:r/>
          </w:p>
          <w:p>
            <w:pPr>
              <w:jc w:val="left"/>
              <w:keepLines/>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.9</w:t>
            </w:r>
            <w:r>
              <w:rPr>
                <w:rFonts w:hint="eastAsia" w:asciiTheme="minorEastAsia" w:hAnsiTheme="minorEastAsia" w:eastAsiaTheme="minorEastAsia"/>
                <w:sz w:val="22"/>
                <w:szCs w:val="22"/>
              </w:rPr>
              <w:t xml:space="preserve">外观颜色要求：蓝色（同时满足按采购人需求更改）。</w:t>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实物买断</w:t>
            </w:r>
            <w:r/>
          </w:p>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（一次性送货入库）</w:t>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顶</w:t>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750</w:t>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0</w:t>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2</w:t>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折叠床</w:t>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2.1</w:t>
            </w:r>
            <w:r>
              <w:rPr>
                <w:rFonts w:hint="eastAsia" w:asciiTheme="minorEastAsia" w:hAnsiTheme="minorEastAsia" w:eastAsiaTheme="minorEastAsia"/>
                <w:sz w:val="22"/>
                <w:szCs w:val="22"/>
              </w:rPr>
              <w:t xml:space="preserve">展开外形尺寸要求：长度</w:t>
            </w: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rPr>
              <w:t xml:space="preserve">2</w:t>
            </w:r>
            <w:r>
              <w:rPr>
                <w:rFonts w:asciiTheme="minorEastAsia" w:hAnsiTheme="minorEastAsia" w:eastAsiaTheme="minorEastAsia"/>
                <w:sz w:val="22"/>
                <w:szCs w:val="22"/>
              </w:rPr>
              <w:t xml:space="preserve">000mm</w:t>
            </w:r>
            <w:r>
              <w:rPr>
                <w:rFonts w:hint="eastAsia" w:asciiTheme="minorEastAsia" w:hAnsiTheme="minorEastAsia" w:eastAsiaTheme="minorEastAsia"/>
                <w:sz w:val="22"/>
                <w:szCs w:val="22"/>
              </w:rPr>
              <w:t xml:space="preserve">，宽度</w:t>
            </w: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500 mm</w:t>
            </w:r>
            <w:r>
              <w:rPr>
                <w:rFonts w:hint="eastAsia" w:asciiTheme="minorEastAsia" w:hAnsiTheme="minorEastAsia" w:eastAsiaTheme="minorEastAsia"/>
                <w:sz w:val="22"/>
                <w:szCs w:val="22"/>
              </w:rPr>
              <w:t xml:space="preserve">，床面离地高度4</w:t>
            </w:r>
            <w:r>
              <w:rPr>
                <w:rFonts w:asciiTheme="minorEastAsia" w:hAnsiTheme="minorEastAsia" w:eastAsiaTheme="minorEastAsia"/>
                <w:sz w:val="22"/>
                <w:szCs w:val="22"/>
              </w:rPr>
              <w:t xml:space="preserve">00 mm-500 mm</w:t>
            </w:r>
            <w:r>
              <w:rPr>
                <w:rFonts w:hint="eastAsia" w:asciiTheme="minorEastAsia" w:hAnsiTheme="minorEastAsia" w:eastAsiaTheme="minorEastAsia"/>
                <w:sz w:val="22"/>
                <w:szCs w:val="22"/>
              </w:rPr>
              <w:t xml:space="preserve">。</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2.2</w:t>
            </w:r>
            <w:r>
              <w:rPr>
                <w:rFonts w:hint="eastAsia" w:asciiTheme="minorEastAsia" w:hAnsiTheme="minorEastAsia" w:eastAsiaTheme="minorEastAsia"/>
                <w:sz w:val="22"/>
                <w:szCs w:val="22"/>
              </w:rPr>
              <w:t xml:space="preserve">★材质要求：整体床架采用加厚钢管材质，管壁厚度</w:t>
            </w:r>
            <w:r>
              <w:rPr>
                <w:rFonts w:asciiTheme="minorEastAsia" w:hAnsiTheme="minorEastAsia" w:eastAsiaTheme="minorEastAsia"/>
                <w:sz w:val="22"/>
                <w:szCs w:val="22"/>
              </w:rPr>
              <w:t xml:space="preserve">≥1.2 mm</w:t>
            </w:r>
            <w:r>
              <w:rPr>
                <w:rFonts w:hint="eastAsia" w:asciiTheme="minorEastAsia" w:hAnsiTheme="minorEastAsia" w:eastAsiaTheme="minorEastAsia"/>
                <w:sz w:val="22"/>
                <w:szCs w:val="22"/>
              </w:rPr>
              <w:t xml:space="preserve">；床面为加厚耐磨牛津布（或帆布）。</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2.3</w:t>
            </w:r>
            <w:r>
              <w:rPr>
                <w:rFonts w:hint="eastAsia" w:asciiTheme="minorEastAsia" w:hAnsiTheme="minorEastAsia" w:eastAsiaTheme="minorEastAsia"/>
                <w:sz w:val="22"/>
                <w:szCs w:val="22"/>
              </w:rPr>
              <w:t xml:space="preserve">★质量要求：实际承载≧1</w:t>
            </w:r>
            <w:r>
              <w:rPr>
                <w:rFonts w:asciiTheme="minorEastAsia" w:hAnsiTheme="minorEastAsia" w:eastAsiaTheme="minorEastAsia"/>
                <w:sz w:val="22"/>
                <w:szCs w:val="22"/>
              </w:rPr>
              <w:t xml:space="preserve">50KG</w:t>
            </w:r>
            <w:r>
              <w:rPr>
                <w:rFonts w:hint="eastAsia" w:asciiTheme="minorEastAsia" w:hAnsiTheme="minorEastAsia" w:eastAsiaTheme="minorEastAsia"/>
                <w:sz w:val="22"/>
                <w:szCs w:val="22"/>
              </w:rPr>
              <w:t xml:space="preserve">，满载状态下床架不变形、不晃动，床架焊接牢固，表面喷塑防腐处理，防锈、防刮，无毛刺尖角，结构稳固；边角做钝化处理，无尖锐棱角；床面表面平滑，抗拉耐磨，透气性能好，缝线牢固不易撕裂。</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2.4</w:t>
            </w:r>
            <w:r>
              <w:rPr>
                <w:rFonts w:hint="eastAsia" w:asciiTheme="minorEastAsia" w:hAnsiTheme="minorEastAsia" w:eastAsiaTheme="minorEastAsia"/>
                <w:sz w:val="22"/>
                <w:szCs w:val="22"/>
              </w:rPr>
              <w:t xml:space="preserve">外观颜色要求：黑色或灰色（同时满足按采购人需求更改）。</w:t>
            </w:r>
            <w:r/>
          </w:p>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2.5</w:t>
            </w:r>
            <w:r>
              <w:rPr>
                <w:rFonts w:hint="eastAsia" w:asciiTheme="minorEastAsia" w:hAnsiTheme="minorEastAsia" w:eastAsiaTheme="minorEastAsia"/>
                <w:sz w:val="22"/>
                <w:szCs w:val="22"/>
              </w:rPr>
              <w:t xml:space="preserve">性能要求：免安装，开箱即可展开使用，折叠后便于搬运、存放。</w:t>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实物买断+实物储备代管</w:t>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张</w:t>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750</w:t>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750</w:t>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3</w:t>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棉被</w:t>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3.1</w:t>
            </w:r>
            <w:r>
              <w:rPr>
                <w:rFonts w:hint="eastAsia" w:asciiTheme="minorEastAsia" w:hAnsiTheme="minorEastAsia" w:eastAsiaTheme="minorEastAsia"/>
                <w:sz w:val="22"/>
                <w:szCs w:val="22"/>
              </w:rPr>
              <w:t xml:space="preserve">外形尺寸：</w:t>
            </w:r>
            <w:r>
              <w:rPr>
                <w:rFonts w:asciiTheme="minorEastAsia" w:hAnsiTheme="minorEastAsia" w:eastAsiaTheme="minorEastAsia"/>
                <w:sz w:val="22"/>
                <w:szCs w:val="22"/>
              </w:rPr>
              <w:t xml:space="preserve">2000mm×1500mm，尺寸偏差±3%</w:t>
            </w:r>
            <w:r>
              <w:rPr>
                <w:rFonts w:hint="eastAsia" w:asciiTheme="minorEastAsia" w:hAnsiTheme="minorEastAsia" w:eastAsiaTheme="minorEastAsia"/>
                <w:sz w:val="22"/>
                <w:szCs w:val="22"/>
              </w:rPr>
              <w:t xml:space="preserve">。</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3.2</w:t>
            </w:r>
            <w:r>
              <w:rPr>
                <w:rFonts w:hint="eastAsia" w:asciiTheme="minorEastAsia" w:hAnsiTheme="minorEastAsia" w:eastAsiaTheme="minorEastAsia"/>
                <w:sz w:val="22"/>
                <w:szCs w:val="22"/>
              </w:rPr>
              <w:t xml:space="preserve">填充重量：棉胎净重≥</w:t>
            </w:r>
            <w:r>
              <w:rPr>
                <w:rFonts w:asciiTheme="minorEastAsia" w:hAnsiTheme="minorEastAsia" w:eastAsiaTheme="minorEastAsia"/>
                <w:sz w:val="22"/>
                <w:szCs w:val="22"/>
              </w:rPr>
              <w:t xml:space="preserve">3000g（6斤），允差±3%，不包含外被套重量</w:t>
            </w:r>
            <w:r>
              <w:rPr>
                <w:rFonts w:hint="eastAsia" w:asciiTheme="minorEastAsia" w:hAnsiTheme="minorEastAsia" w:eastAsiaTheme="minorEastAsia"/>
                <w:sz w:val="22"/>
                <w:szCs w:val="22"/>
              </w:rPr>
              <w:t xml:space="preserve">。</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3.3</w:t>
            </w:r>
            <w:r>
              <w:rPr>
                <w:rFonts w:hint="eastAsia" w:asciiTheme="minorEastAsia" w:hAnsiTheme="minorEastAsia" w:eastAsiaTheme="minorEastAsia"/>
                <w:sz w:val="22"/>
                <w:szCs w:val="22"/>
              </w:rPr>
              <w:t xml:space="preserve">★填充物：</w:t>
            </w:r>
            <w:r>
              <w:rPr>
                <w:rFonts w:asciiTheme="minorEastAsia" w:hAnsiTheme="minorEastAsia" w:eastAsiaTheme="minorEastAsia"/>
                <w:sz w:val="22"/>
                <w:szCs w:val="22"/>
              </w:rPr>
              <w:t xml:space="preserve">100%天然棉花，无再生棉、无化纤掺假；含杂率≤0.8%</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棉絮铺层均匀，厚薄一致，无结块、无油污、无霉点、无异味 。</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3.4</w:t>
            </w:r>
            <w:r>
              <w:rPr>
                <w:rFonts w:hint="eastAsia" w:asciiTheme="minorEastAsia" w:hAnsiTheme="minorEastAsia" w:eastAsiaTheme="minorEastAsia"/>
                <w:sz w:val="22"/>
                <w:szCs w:val="22"/>
              </w:rPr>
              <w:t xml:space="preserve">网套工艺：双面网纱，网纱牢固，每</w:t>
            </w:r>
            <w:r>
              <w:rPr>
                <w:rFonts w:asciiTheme="minorEastAsia" w:hAnsiTheme="minorEastAsia" w:eastAsiaTheme="minorEastAsia"/>
                <w:sz w:val="22"/>
                <w:szCs w:val="22"/>
              </w:rPr>
              <w:t xml:space="preserve">10cm²网纱纱线不少于13根</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四角圆顺，四边平直，无塌边、缺花现象。</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3.5</w:t>
            </w:r>
            <w:r>
              <w:rPr>
                <w:rFonts w:hint="eastAsia" w:asciiTheme="minorEastAsia" w:hAnsiTheme="minorEastAsia" w:eastAsiaTheme="minorEastAsia"/>
                <w:sz w:val="22"/>
                <w:szCs w:val="22"/>
              </w:rPr>
              <w:t xml:space="preserve">包布面料：纯棉包布，面料平整，缝线均匀牢固，无跳线、开线。</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3.6</w:t>
            </w:r>
            <w:r>
              <w:rPr>
                <w:rFonts w:hint="eastAsia" w:asciiTheme="minorEastAsia" w:hAnsiTheme="minorEastAsia" w:eastAsiaTheme="minorEastAsia"/>
                <w:sz w:val="22"/>
                <w:szCs w:val="22"/>
              </w:rPr>
              <w:t xml:space="preserve">★安全指标：甲醛≤</w:t>
            </w:r>
            <w:r>
              <w:rPr>
                <w:rFonts w:asciiTheme="minorEastAsia" w:hAnsiTheme="minorEastAsia" w:eastAsiaTheme="minorEastAsia"/>
                <w:sz w:val="22"/>
                <w:szCs w:val="22"/>
              </w:rPr>
              <w:t xml:space="preserve">75mg/kg，pH值4.0</w:t>
            </w:r>
            <w:r>
              <w:rPr>
                <w:rFonts w:hint="eastAsia" w:ascii="MS Gothic" w:hAnsi="MS Gothic" w:eastAsia="MS Gothic" w:cs="MS Gothic"/>
                <w:sz w:val="22"/>
                <w:szCs w:val="22"/>
              </w:rPr>
              <w:t xml:space="preserve">‑</w:t>
            </w:r>
            <w:r>
              <w:rPr>
                <w:rFonts w:asciiTheme="minorEastAsia" w:hAnsiTheme="minorEastAsia" w:eastAsiaTheme="minorEastAsia"/>
                <w:sz w:val="22"/>
                <w:szCs w:val="22"/>
              </w:rPr>
              <w:t xml:space="preserve">8.5，禁用可分解致癌芳香胺染料，无荧光增白剂，无异味 。</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3.7</w:t>
            </w:r>
            <w:r>
              <w:rPr>
                <w:rFonts w:hint="eastAsia" w:asciiTheme="minorEastAsia" w:hAnsiTheme="minorEastAsia" w:eastAsiaTheme="minorEastAsia"/>
                <w:sz w:val="22"/>
                <w:szCs w:val="22"/>
              </w:rPr>
              <w:t xml:space="preserve">外观质量：棉胎厚薄均匀，蓬松度好，不易板结；边角包边整齐。</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3.8</w:t>
            </w:r>
            <w:r>
              <w:rPr>
                <w:rFonts w:hint="eastAsia" w:asciiTheme="minorEastAsia" w:hAnsiTheme="minorEastAsia" w:eastAsiaTheme="minorEastAsia"/>
                <w:sz w:val="22"/>
                <w:szCs w:val="22"/>
              </w:rPr>
              <w:t xml:space="preserve">配套：可配独立被套（按需）。</w:t>
            </w:r>
            <w:r/>
          </w:p>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3.9</w:t>
            </w:r>
            <w:r>
              <w:rPr>
                <w:rFonts w:hint="eastAsia" w:asciiTheme="minorEastAsia" w:hAnsiTheme="minorEastAsia" w:eastAsiaTheme="minorEastAsia"/>
                <w:sz w:val="22"/>
                <w:szCs w:val="22"/>
              </w:rPr>
              <w:t xml:space="preserve">外观颜色要求：军绿色（同时满足按采购人需求更改）。</w:t>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实物买断+实物储备代管</w:t>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床</w:t>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1500</w:t>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1500</w:t>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4</w:t>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棉鞋</w:t>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4.1</w:t>
            </w:r>
            <w:r>
              <w:rPr>
                <w:rFonts w:hint="eastAsia" w:asciiTheme="minorEastAsia" w:hAnsiTheme="minorEastAsia" w:eastAsiaTheme="minorEastAsia"/>
                <w:sz w:val="22"/>
                <w:szCs w:val="22"/>
              </w:rPr>
              <w:t xml:space="preserve">尺码范围：男款</w:t>
            </w:r>
            <w:r>
              <w:rPr>
                <w:rFonts w:asciiTheme="minorEastAsia" w:hAnsiTheme="minorEastAsia" w:eastAsiaTheme="minorEastAsia"/>
                <w:sz w:val="22"/>
                <w:szCs w:val="22"/>
              </w:rPr>
              <w:t xml:space="preserve">39</w:t>
            </w:r>
            <w:r>
              <w:rPr>
                <w:rFonts w:hint="eastAsia" w:ascii="MS Gothic" w:hAnsi="MS Gothic" w:eastAsia="MS Gothic" w:cs="MS Gothic"/>
                <w:sz w:val="22"/>
                <w:szCs w:val="22"/>
              </w:rPr>
              <w:t xml:space="preserve">‑</w:t>
            </w:r>
            <w:r>
              <w:rPr>
                <w:rFonts w:asciiTheme="minorEastAsia" w:hAnsiTheme="minorEastAsia" w:eastAsiaTheme="minorEastAsia"/>
                <w:sz w:val="22"/>
                <w:szCs w:val="22"/>
              </w:rPr>
              <w:t xml:space="preserve">44码</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女款35</w:t>
            </w:r>
            <w:r>
              <w:rPr>
                <w:rFonts w:hint="eastAsia" w:ascii="MS Gothic" w:hAnsi="MS Gothic" w:eastAsia="MS Gothic" w:cs="MS Gothic"/>
                <w:sz w:val="22"/>
                <w:szCs w:val="22"/>
              </w:rPr>
              <w:t xml:space="preserve">‑</w:t>
            </w:r>
            <w:r>
              <w:rPr>
                <w:rFonts w:asciiTheme="minorEastAsia" w:hAnsiTheme="minorEastAsia" w:eastAsiaTheme="minorEastAsia"/>
                <w:sz w:val="22"/>
                <w:szCs w:val="22"/>
              </w:rPr>
              <w:t xml:space="preserve">40码，尺码标识清晰，鞋码标准合规 。</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4.2</w:t>
            </w:r>
            <w:r>
              <w:rPr>
                <w:rFonts w:hint="eastAsia" w:asciiTheme="minorEastAsia" w:hAnsiTheme="minorEastAsia" w:eastAsiaTheme="minorEastAsia"/>
                <w:sz w:val="22"/>
                <w:szCs w:val="22"/>
              </w:rPr>
              <w:t xml:space="preserve">鞋面材质：加厚耐磨牛津布</w:t>
            </w:r>
            <w:r>
              <w:rPr>
                <w:rFonts w:asciiTheme="minorEastAsia" w:hAnsiTheme="minorEastAsia" w:eastAsiaTheme="minorEastAsia"/>
                <w:sz w:val="22"/>
                <w:szCs w:val="22"/>
              </w:rPr>
              <w:t xml:space="preserve">/帆布，防水抗风，面料牢固，无破损、跳线。</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4.3</w:t>
            </w:r>
            <w:r>
              <w:rPr>
                <w:rFonts w:hint="eastAsia" w:asciiTheme="minorEastAsia" w:hAnsiTheme="minorEastAsia" w:eastAsiaTheme="minorEastAsia"/>
                <w:sz w:val="22"/>
                <w:szCs w:val="22"/>
              </w:rPr>
              <w:t xml:space="preserve">★内里及填充：加厚化纤棉絮填充，内里短毛绒，填充饱满均匀，无结块、无跑棉，禁止再生棉，保暖性能良好，无刺鼻异味</w:t>
            </w:r>
            <w:r>
              <w:rPr>
                <w:rFonts w:asciiTheme="minorEastAsia" w:hAnsiTheme="minorEastAsia" w:eastAsiaTheme="minorEastAsia"/>
                <w:sz w:val="22"/>
                <w:szCs w:val="22"/>
              </w:rPr>
              <w:t xml:space="preserve"> 。</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4.4</w:t>
            </w:r>
            <w:r>
              <w:rPr>
                <w:rFonts w:hint="eastAsia" w:asciiTheme="minorEastAsia" w:hAnsiTheme="minorEastAsia" w:eastAsiaTheme="minorEastAsia"/>
                <w:sz w:val="22"/>
                <w:szCs w:val="22"/>
              </w:rPr>
              <w:t xml:space="preserve">★鞋底：橡胶防滑大底，纹路深，防滑耐磨，底不易断裂，低温环境不发硬，无明显裂纹、脱胶现象。</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4.5</w:t>
            </w:r>
            <w:r>
              <w:rPr>
                <w:rFonts w:hint="eastAsia" w:asciiTheme="minorEastAsia" w:hAnsiTheme="minorEastAsia" w:eastAsiaTheme="minorEastAsia"/>
                <w:sz w:val="22"/>
                <w:szCs w:val="22"/>
              </w:rPr>
              <w:t xml:space="preserve">鞋帮：中高帮设计，护住脚踝，阻挡冷风灌入；鞋口包边柔软，不磨脚。</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4.6</w:t>
            </w:r>
            <w:r>
              <w:rPr>
                <w:rFonts w:hint="eastAsia" w:asciiTheme="minorEastAsia" w:hAnsiTheme="minorEastAsia" w:eastAsiaTheme="minorEastAsia"/>
                <w:sz w:val="22"/>
                <w:szCs w:val="22"/>
              </w:rPr>
              <w:t xml:space="preserve">工艺做工：缝线密实牢固，针脚均匀，无开线、脱胶；鞋头、后跟加固处理；无尖锐边角。</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4.7</w:t>
            </w:r>
            <w:r>
              <w:rPr>
                <w:rFonts w:hint="eastAsia" w:asciiTheme="minorEastAsia" w:hAnsiTheme="minorEastAsia" w:eastAsiaTheme="minorEastAsia"/>
                <w:sz w:val="22"/>
                <w:szCs w:val="22"/>
              </w:rPr>
              <w:t xml:space="preserve">安全指标：甲醛、</w:t>
            </w:r>
            <w:r>
              <w:rPr>
                <w:rFonts w:asciiTheme="minorEastAsia" w:hAnsiTheme="minorEastAsia" w:eastAsiaTheme="minorEastAsia"/>
                <w:sz w:val="22"/>
                <w:szCs w:val="22"/>
              </w:rPr>
              <w:t xml:space="preserve">pH值、可分解致癌芳香胺染料符合国标要求</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无异味，不褪色，不掉毛 。</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4.8</w:t>
            </w:r>
            <w:r>
              <w:rPr>
                <w:rFonts w:hint="eastAsia" w:asciiTheme="minorEastAsia" w:hAnsiTheme="minorEastAsia" w:eastAsiaTheme="minorEastAsia"/>
                <w:sz w:val="22"/>
                <w:szCs w:val="22"/>
              </w:rPr>
              <w:t xml:space="preserve">配件与包装：每双独立包装，配有可更换棉鞋垫。</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4.9</w:t>
            </w:r>
            <w:r>
              <w:rPr>
                <w:rFonts w:hint="eastAsia" w:asciiTheme="minorEastAsia" w:hAnsiTheme="minorEastAsia" w:eastAsiaTheme="minorEastAsia"/>
                <w:sz w:val="22"/>
                <w:szCs w:val="22"/>
              </w:rPr>
              <w:t xml:space="preserve">外观颜色要求：</w:t>
            </w:r>
            <w:r>
              <w:rPr>
                <w:rFonts w:asciiTheme="minorEastAsia" w:hAnsiTheme="minorEastAsia" w:eastAsiaTheme="minorEastAsia"/>
                <w:sz w:val="22"/>
                <w:szCs w:val="22"/>
              </w:rPr>
              <w:t xml:space="preserve">藏青</w:t>
            </w:r>
            <w:r>
              <w:rPr>
                <w:rFonts w:hint="eastAsia" w:asciiTheme="minorEastAsia" w:hAnsiTheme="minorEastAsia" w:eastAsiaTheme="minorEastAsia"/>
                <w:sz w:val="22"/>
                <w:szCs w:val="22"/>
              </w:rPr>
              <w:t xml:space="preserve">色或</w:t>
            </w:r>
            <w:r>
              <w:rPr>
                <w:rFonts w:asciiTheme="minorEastAsia" w:hAnsiTheme="minorEastAsia" w:eastAsiaTheme="minorEastAsia"/>
                <w:sz w:val="22"/>
                <w:szCs w:val="22"/>
              </w:rPr>
              <w:t xml:space="preserve">黑色</w:t>
            </w:r>
            <w:r>
              <w:rPr>
                <w:rFonts w:hint="eastAsia" w:asciiTheme="minorEastAsia" w:hAnsiTheme="minorEastAsia" w:eastAsiaTheme="minorEastAsia"/>
                <w:sz w:val="22"/>
                <w:szCs w:val="22"/>
              </w:rPr>
              <w:t xml:space="preserve">（同时满足按采购人需求更改）。</w:t>
            </w:r>
            <w:r/>
          </w:p>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4.10</w:t>
            </w:r>
            <w:r>
              <w:rPr>
                <w:rFonts w:hint="eastAsia" w:asciiTheme="minorEastAsia" w:hAnsiTheme="minorEastAsia" w:eastAsiaTheme="minorEastAsia"/>
                <w:sz w:val="22"/>
                <w:szCs w:val="22"/>
              </w:rPr>
              <w:t xml:space="preserve">男女鞋数量最终按采购人提供数量供应。</w:t>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实物买断+实物储备代管</w:t>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双</w:t>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1500</w:t>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1500</w:t>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5</w:t>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棉衣</w:t>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5.1</w:t>
            </w:r>
            <w:r>
              <w:rPr>
                <w:rFonts w:hint="eastAsia" w:asciiTheme="minorEastAsia" w:hAnsiTheme="minorEastAsia" w:eastAsiaTheme="minorEastAsia"/>
                <w:sz w:val="22"/>
                <w:szCs w:val="22"/>
              </w:rPr>
              <w:t xml:space="preserve">规格型号：分尺码：</w:t>
            </w:r>
            <w:r>
              <w:rPr>
                <w:rFonts w:asciiTheme="minorEastAsia" w:hAnsiTheme="minorEastAsia" w:eastAsiaTheme="minorEastAsia"/>
                <w:sz w:val="22"/>
                <w:szCs w:val="22"/>
              </w:rPr>
              <w:t xml:space="preserve">ML-XXXL</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尺码标识清晰，尺码标准合规。</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5.2</w:t>
            </w:r>
            <w:r>
              <w:rPr>
                <w:rFonts w:hint="eastAsia" w:asciiTheme="minorEastAsia" w:hAnsiTheme="minorEastAsia" w:eastAsiaTheme="minorEastAsia"/>
                <w:sz w:val="22"/>
                <w:szCs w:val="22"/>
              </w:rPr>
              <w:t xml:space="preserve">面料：外层采用加厚</w:t>
            </w:r>
            <w:r>
              <w:rPr>
                <w:rFonts w:asciiTheme="minorEastAsia" w:hAnsiTheme="minorEastAsia" w:eastAsiaTheme="minorEastAsia"/>
                <w:sz w:val="22"/>
                <w:szCs w:val="22"/>
              </w:rPr>
              <w:t xml:space="preserve">600D涤纶牛津布，防水防风，抗撕裂；面料无破损、跳线，抗皱耐洗。</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5.3</w:t>
            </w:r>
            <w:r>
              <w:rPr>
                <w:rFonts w:hint="eastAsia" w:asciiTheme="minorEastAsia" w:hAnsiTheme="minorEastAsia" w:eastAsiaTheme="minorEastAsia"/>
                <w:sz w:val="22"/>
                <w:szCs w:val="22"/>
              </w:rPr>
              <w:t xml:space="preserve">★填充物：优质中空涤纶棉，填充饱满均匀，无结块、无跑棉，严禁使用再生棉；保暖性能良好，无刺鼻异味。</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5.4</w:t>
            </w:r>
            <w:r>
              <w:rPr>
                <w:rFonts w:hint="eastAsia" w:asciiTheme="minorEastAsia" w:hAnsiTheme="minorEastAsia" w:eastAsiaTheme="minorEastAsia"/>
                <w:sz w:val="22"/>
                <w:szCs w:val="22"/>
              </w:rPr>
              <w:t xml:space="preserve">里面料：涤纶针织里布，柔软亲肤，不易起球。</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5.5</w:t>
            </w:r>
            <w:r>
              <w:rPr>
                <w:rFonts w:hint="eastAsia" w:asciiTheme="minorEastAsia" w:hAnsiTheme="minorEastAsia" w:eastAsiaTheme="minorEastAsia"/>
                <w:sz w:val="22"/>
                <w:szCs w:val="22"/>
              </w:rPr>
              <w:t xml:space="preserve">结构款式：立领或</w:t>
            </w:r>
            <w:r>
              <w:rPr>
                <w:rFonts w:asciiTheme="minorEastAsia" w:hAnsiTheme="minorEastAsia" w:eastAsiaTheme="minorEastAsia"/>
                <w:sz w:val="22"/>
                <w:szCs w:val="22"/>
              </w:rPr>
              <w:t xml:space="preserve">翻领，拉链+按扣双重闭合</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袖口罗纹收口，下摆松紧收口，防止冷风灌入</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带帽子（可按需写）</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口袋加固缝制。</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5.6</w:t>
            </w:r>
            <w:r>
              <w:rPr>
                <w:rFonts w:hint="eastAsia" w:asciiTheme="minorEastAsia" w:hAnsiTheme="minorEastAsia" w:eastAsiaTheme="minorEastAsia"/>
                <w:sz w:val="22"/>
                <w:szCs w:val="22"/>
              </w:rPr>
              <w:t xml:space="preserve">做工工艺：绗缝工艺，行缝均匀，防止棉絮移位，针脚密实，无开线、脱线，接缝平整，无毛刺。</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5.7</w:t>
            </w:r>
            <w:r>
              <w:rPr>
                <w:rFonts w:hint="eastAsia" w:asciiTheme="minorEastAsia" w:hAnsiTheme="minorEastAsia" w:eastAsiaTheme="minorEastAsia"/>
                <w:sz w:val="22"/>
                <w:szCs w:val="22"/>
              </w:rPr>
              <w:t xml:space="preserve">★安全指标：甲醛、</w:t>
            </w:r>
            <w:r>
              <w:rPr>
                <w:rFonts w:asciiTheme="minorEastAsia" w:hAnsiTheme="minorEastAsia" w:eastAsiaTheme="minorEastAsia"/>
                <w:sz w:val="22"/>
                <w:szCs w:val="22"/>
              </w:rPr>
              <w:t xml:space="preserve">pH值、可分解致癌芳香胺染料符合国标</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无异味，洗涤不易褪色。</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5.8</w:t>
            </w:r>
            <w:r>
              <w:rPr>
                <w:rFonts w:hint="eastAsia" w:asciiTheme="minorEastAsia" w:hAnsiTheme="minorEastAsia" w:eastAsiaTheme="minorEastAsia"/>
                <w:sz w:val="22"/>
                <w:szCs w:val="22"/>
              </w:rPr>
              <w:t xml:space="preserve">包装：每件独立塑料袋包装。</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5.9</w:t>
            </w:r>
            <w:r>
              <w:rPr>
                <w:rFonts w:hint="eastAsia" w:asciiTheme="minorEastAsia" w:hAnsiTheme="minorEastAsia" w:eastAsiaTheme="minorEastAsia"/>
                <w:sz w:val="22"/>
                <w:szCs w:val="22"/>
              </w:rPr>
              <w:t xml:space="preserve">外观颜色要求：</w:t>
            </w:r>
            <w:r>
              <w:rPr>
                <w:rFonts w:asciiTheme="minorEastAsia" w:hAnsiTheme="minorEastAsia" w:eastAsiaTheme="minorEastAsia"/>
                <w:sz w:val="22"/>
                <w:szCs w:val="22"/>
              </w:rPr>
              <w:t xml:space="preserve">藏青</w:t>
            </w:r>
            <w:r>
              <w:rPr>
                <w:rFonts w:hint="eastAsia" w:asciiTheme="minorEastAsia" w:hAnsiTheme="minorEastAsia" w:eastAsiaTheme="minorEastAsia"/>
                <w:sz w:val="22"/>
                <w:szCs w:val="22"/>
              </w:rPr>
              <w:t xml:space="preserve">色或驼色（同时满足按采购人需求更改）。</w:t>
            </w:r>
            <w:r/>
          </w:p>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5.10</w:t>
            </w:r>
            <w:r>
              <w:rPr>
                <w:rFonts w:hint="eastAsia" w:asciiTheme="minorEastAsia" w:hAnsiTheme="minorEastAsia" w:eastAsiaTheme="minorEastAsia"/>
                <w:sz w:val="22"/>
                <w:szCs w:val="22"/>
              </w:rPr>
              <w:t xml:space="preserve">分尺码数量最终按采购人提供数量供应。</w:t>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实物买断+实物储备代管</w:t>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件</w:t>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1500</w:t>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1500</w:t>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6</w:t>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毛巾被</w:t>
            </w:r>
            <w:r/>
          </w:p>
        </w:tc>
        <w:tc>
          <w:tcPr>
            <w:tcMar>
              <w:left w:w="100" w:type="dxa"/>
              <w:top w:w="60" w:type="dxa"/>
              <w:right w:w="100" w:type="dxa"/>
              <w:bottom w:w="60" w:type="dxa"/>
            </w:tcMar>
            <w:tcW w:w="4387" w:type="dxa"/>
            <w:textDirection w:val="lrTb"/>
            <w:noWrap w:val="false"/>
          </w:tcPr>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6.1</w:t>
            </w:r>
            <w:r>
              <w:rPr>
                <w:rFonts w:hint="eastAsia" w:asciiTheme="minorEastAsia" w:hAnsiTheme="minorEastAsia" w:eastAsiaTheme="minorEastAsia"/>
                <w:sz w:val="22"/>
                <w:szCs w:val="22"/>
              </w:rPr>
              <w:t xml:space="preserve">成品尺寸：</w:t>
            </w:r>
            <w:r>
              <w:rPr>
                <w:rFonts w:asciiTheme="minorEastAsia" w:hAnsiTheme="minorEastAsia" w:eastAsiaTheme="minorEastAsia"/>
                <w:sz w:val="22"/>
                <w:szCs w:val="22"/>
              </w:rPr>
              <w:t xml:space="preserve">2000mm×1500mm，尺寸允许偏差±3%</w:t>
            </w:r>
            <w:r/>
          </w:p>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6.2</w:t>
            </w:r>
            <w:r>
              <w:rPr>
                <w:rFonts w:hint="eastAsia" w:asciiTheme="minorEastAsia" w:hAnsiTheme="minorEastAsia" w:eastAsiaTheme="minorEastAsia"/>
                <w:sz w:val="22"/>
                <w:szCs w:val="22"/>
              </w:rPr>
              <w:t xml:space="preserve">★面料材质：</w:t>
            </w:r>
            <w:r>
              <w:rPr>
                <w:rFonts w:asciiTheme="minorEastAsia" w:hAnsiTheme="minorEastAsia" w:eastAsiaTheme="minorEastAsia"/>
                <w:sz w:val="22"/>
                <w:szCs w:val="22"/>
              </w:rPr>
              <w:t xml:space="preserve">100%纯棉毛圈面料，毛圈饱满，纱线均匀</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克重≥800g/条，面料厚实，吸水性好。</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w:t>
            </w:r>
            <w:r>
              <w:rPr>
                <w:rFonts w:asciiTheme="minorEastAsia" w:hAnsiTheme="minorEastAsia" w:eastAsiaTheme="minorEastAsia"/>
                <w:sz w:val="22"/>
                <w:szCs w:val="22"/>
              </w:rPr>
              <w:t xml:space="preserve">.3</w:t>
            </w:r>
            <w:r>
              <w:rPr>
                <w:rFonts w:hint="eastAsia" w:asciiTheme="minorEastAsia" w:hAnsiTheme="minorEastAsia" w:eastAsiaTheme="minorEastAsia"/>
                <w:sz w:val="22"/>
                <w:szCs w:val="22"/>
              </w:rPr>
              <w:t xml:space="preserve">工艺结构：双面毛圈，包边锁缝，边角平整牢固；无脱圈、跳纱、破洞，毛圈不易脱落，</w:t>
            </w:r>
            <w:r>
              <w:rPr>
                <w:rFonts w:asciiTheme="minorEastAsia" w:hAnsiTheme="minorEastAsia" w:eastAsiaTheme="minorEastAsia"/>
                <w:sz w:val="22"/>
                <w:szCs w:val="22"/>
              </w:rPr>
              <w:t xml:space="preserve">色泽均匀，无明显色差。</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w:t>
            </w:r>
            <w:r>
              <w:rPr>
                <w:rFonts w:asciiTheme="minorEastAsia" w:hAnsiTheme="minorEastAsia" w:eastAsiaTheme="minorEastAsia"/>
                <w:sz w:val="22"/>
                <w:szCs w:val="22"/>
              </w:rPr>
              <w:t xml:space="preserve">.4</w:t>
            </w:r>
            <w:r>
              <w:rPr>
                <w:rFonts w:hint="eastAsia" w:asciiTheme="minorEastAsia" w:hAnsiTheme="minorEastAsia" w:eastAsiaTheme="minorEastAsia"/>
                <w:sz w:val="22"/>
                <w:szCs w:val="22"/>
              </w:rPr>
              <w:t xml:space="preserve">★安全指标：</w:t>
            </w:r>
            <w:r>
              <w:rPr>
                <w:rFonts w:asciiTheme="minorEastAsia" w:hAnsiTheme="minorEastAsia" w:eastAsiaTheme="minorEastAsia"/>
                <w:sz w:val="22"/>
                <w:szCs w:val="22"/>
              </w:rPr>
              <w:t xml:space="preserve">甲醛≤75mg/kg，pH值4.0</w:t>
            </w:r>
            <w:r>
              <w:rPr>
                <w:rFonts w:hint="eastAsia" w:ascii="MS Gothic" w:hAnsi="MS Gothic" w:eastAsia="MS Gothic" w:cs="MS Gothic"/>
                <w:sz w:val="22"/>
                <w:szCs w:val="22"/>
              </w:rPr>
              <w:t xml:space="preserve">‑</w:t>
            </w:r>
            <w:r>
              <w:rPr>
                <w:rFonts w:asciiTheme="minorEastAsia" w:hAnsiTheme="minorEastAsia" w:eastAsiaTheme="minorEastAsia"/>
                <w:sz w:val="22"/>
                <w:szCs w:val="22"/>
              </w:rPr>
              <w:t xml:space="preserve">8.5；无禁用可分解致癌芳香胺染料</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无异味，色牢度达标，洗涤不易褪色。</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w:t>
            </w:r>
            <w:r>
              <w:rPr>
                <w:rFonts w:asciiTheme="minorEastAsia" w:hAnsiTheme="minorEastAsia" w:eastAsiaTheme="minorEastAsia"/>
                <w:sz w:val="22"/>
                <w:szCs w:val="22"/>
              </w:rPr>
              <w:t xml:space="preserve">.5</w:t>
            </w:r>
            <w:r>
              <w:rPr>
                <w:rFonts w:hint="eastAsia" w:asciiTheme="minorEastAsia" w:hAnsiTheme="minorEastAsia" w:eastAsiaTheme="minorEastAsia"/>
                <w:sz w:val="22"/>
                <w:szCs w:val="22"/>
              </w:rPr>
              <w:t xml:space="preserve">使用性能：吸水透气，手感柔软，抗起球，可水洗，不易变形。</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w:t>
            </w:r>
            <w:r>
              <w:rPr>
                <w:rFonts w:asciiTheme="minorEastAsia" w:hAnsiTheme="minorEastAsia" w:eastAsiaTheme="minorEastAsia"/>
                <w:sz w:val="22"/>
                <w:szCs w:val="22"/>
              </w:rPr>
              <w:t xml:space="preserve">.6</w:t>
            </w:r>
            <w:r>
              <w:rPr>
                <w:rFonts w:hint="eastAsia" w:asciiTheme="minorEastAsia" w:hAnsiTheme="minorEastAsia" w:eastAsiaTheme="minorEastAsia"/>
                <w:sz w:val="22"/>
                <w:szCs w:val="22"/>
              </w:rPr>
              <w:t xml:space="preserve">颜色：浅蓝或</w:t>
            </w:r>
            <w:r>
              <w:rPr>
                <w:rFonts w:asciiTheme="minorEastAsia" w:hAnsiTheme="minorEastAsia" w:eastAsiaTheme="minorEastAsia"/>
                <w:sz w:val="22"/>
                <w:szCs w:val="22"/>
              </w:rPr>
              <w:t xml:space="preserve">浅灰</w:t>
            </w:r>
            <w:r>
              <w:rPr>
                <w:rFonts w:hint="eastAsia" w:asciiTheme="minorEastAsia" w:hAnsiTheme="minorEastAsia" w:eastAsiaTheme="minorEastAsia"/>
                <w:sz w:val="22"/>
                <w:szCs w:val="22"/>
              </w:rPr>
              <w:t xml:space="preserve">（同时满足按采购人需求更改）。</w:t>
            </w:r>
            <w:r>
              <w:rPr>
                <w:rFonts w:asciiTheme="minorEastAsia" w:hAnsiTheme="minorEastAsia" w:eastAsiaTheme="minorEastAsia"/>
                <w:sz w:val="22"/>
                <w:szCs w:val="22"/>
              </w:rPr>
              <w:t xml:space="preserve">。</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6</w:t>
            </w:r>
            <w:r>
              <w:rPr>
                <w:rFonts w:asciiTheme="minorEastAsia" w:hAnsiTheme="minorEastAsia" w:eastAsiaTheme="minorEastAsia"/>
                <w:sz w:val="22"/>
                <w:szCs w:val="22"/>
              </w:rPr>
              <w:t xml:space="preserve">.7</w:t>
            </w:r>
            <w:r>
              <w:rPr>
                <w:rFonts w:hint="eastAsia" w:asciiTheme="minorEastAsia" w:hAnsiTheme="minorEastAsia" w:eastAsiaTheme="minorEastAsia"/>
                <w:sz w:val="22"/>
                <w:szCs w:val="22"/>
              </w:rPr>
              <w:t xml:space="preserve">包装：每条独立塑料袋包装。</w:t>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实物买断+实物储备代管</w:t>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条</w:t>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750</w:t>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750</w:t>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7</w:t>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睡袋</w:t>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7.1</w:t>
            </w:r>
            <w:r>
              <w:rPr>
                <w:rFonts w:hint="eastAsia" w:asciiTheme="minorEastAsia" w:hAnsiTheme="minorEastAsia" w:eastAsiaTheme="minorEastAsia"/>
                <w:sz w:val="22"/>
                <w:szCs w:val="22"/>
              </w:rPr>
              <w:t xml:space="preserve">展开尺寸长≥</w:t>
            </w:r>
            <w:r>
              <w:rPr>
                <w:rFonts w:asciiTheme="minorEastAsia" w:hAnsiTheme="minorEastAsia" w:eastAsiaTheme="minorEastAsia"/>
                <w:sz w:val="22"/>
                <w:szCs w:val="22"/>
              </w:rPr>
              <w:t xml:space="preserve">2100mm，宽≥800mm</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收纳后体积小巧，便于携带。</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rPr>
                <w:rFonts w:asciiTheme="minorEastAsia" w:hAnsiTheme="minorEastAsia" w:eastAsiaTheme="minorEastAsia"/>
                <w:sz w:val="22"/>
                <w:szCs w:val="22"/>
              </w:rPr>
              <w:t xml:space="preserve">.2</w:t>
            </w:r>
            <w:r>
              <w:rPr>
                <w:rFonts w:hint="eastAsia" w:asciiTheme="minorEastAsia" w:hAnsiTheme="minorEastAsia" w:eastAsiaTheme="minorEastAsia"/>
                <w:sz w:val="22"/>
                <w:szCs w:val="22"/>
              </w:rPr>
              <w:t xml:space="preserve">外层面料：涤纶防撕裂面料，防风防泼水，耐磨抗刮，</w:t>
            </w:r>
            <w:r>
              <w:rPr>
                <w:rFonts w:asciiTheme="minorEastAsia" w:hAnsiTheme="minorEastAsia" w:eastAsiaTheme="minorEastAsia"/>
                <w:sz w:val="22"/>
                <w:szCs w:val="22"/>
              </w:rPr>
              <w:t xml:space="preserve">无破损跳线。</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rPr>
                <w:rFonts w:asciiTheme="minorEastAsia" w:hAnsiTheme="minorEastAsia" w:eastAsiaTheme="minorEastAsia"/>
                <w:sz w:val="22"/>
                <w:szCs w:val="22"/>
              </w:rPr>
              <w:t xml:space="preserve">.3</w:t>
            </w:r>
            <w:r>
              <w:rPr>
                <w:rFonts w:hint="eastAsia" w:asciiTheme="minorEastAsia" w:hAnsiTheme="minorEastAsia" w:eastAsiaTheme="minorEastAsia"/>
                <w:sz w:val="22"/>
                <w:szCs w:val="22"/>
              </w:rPr>
              <w:t xml:space="preserve">★填充材质：中空涤纶棉，填充饱满均匀，绗缝分隔，严禁再生棉；无结块、无跑棉，保暖性能良好，无异味。</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rPr>
                <w:rFonts w:asciiTheme="minorEastAsia" w:hAnsiTheme="minorEastAsia" w:eastAsiaTheme="minorEastAsia"/>
                <w:sz w:val="22"/>
                <w:szCs w:val="22"/>
              </w:rPr>
              <w:t xml:space="preserve">.4</w:t>
            </w:r>
            <w:r>
              <w:rPr>
                <w:rFonts w:hint="eastAsia" w:asciiTheme="minorEastAsia" w:hAnsiTheme="minorEastAsia" w:eastAsiaTheme="minorEastAsia"/>
                <w:sz w:val="22"/>
                <w:szCs w:val="22"/>
              </w:rPr>
              <w:t xml:space="preserve">内里面料：亲肤涤纶面料，柔软，不易起球。</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rPr>
                <w:rFonts w:asciiTheme="minorEastAsia" w:hAnsiTheme="minorEastAsia" w:eastAsiaTheme="minorEastAsia"/>
                <w:sz w:val="22"/>
                <w:szCs w:val="22"/>
              </w:rPr>
              <w:t xml:space="preserve">.5</w:t>
            </w:r>
            <w:r>
              <w:rPr>
                <w:rFonts w:hint="eastAsia" w:asciiTheme="minorEastAsia" w:hAnsiTheme="minorEastAsia" w:eastAsiaTheme="minorEastAsia"/>
                <w:sz w:val="22"/>
                <w:szCs w:val="22"/>
              </w:rPr>
              <w:t xml:space="preserve">结构款式：信封式睡袋，全长拉链，拉链双向可开合；拉链防夹布设计，领口、袖口有防风收紧设计，可完全展开当被子使用。</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rPr>
                <w:rFonts w:asciiTheme="minorEastAsia" w:hAnsiTheme="minorEastAsia" w:eastAsiaTheme="minorEastAsia"/>
                <w:sz w:val="22"/>
                <w:szCs w:val="22"/>
              </w:rPr>
              <w:t xml:space="preserve">.6</w:t>
            </w:r>
            <w:r>
              <w:rPr>
                <w:rFonts w:hint="eastAsia" w:asciiTheme="minorEastAsia" w:hAnsiTheme="minorEastAsia" w:eastAsiaTheme="minorEastAsia"/>
                <w:sz w:val="22"/>
                <w:szCs w:val="22"/>
              </w:rPr>
              <w:t xml:space="preserve">工艺做工：绗缝工艺固定填充物，针脚密实牢固；接缝平整，无开线、脱线，边角加固处理。</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rPr>
                <w:rFonts w:asciiTheme="minorEastAsia" w:hAnsiTheme="minorEastAsia" w:eastAsiaTheme="minorEastAsia"/>
                <w:sz w:val="22"/>
                <w:szCs w:val="22"/>
              </w:rPr>
              <w:t xml:space="preserve">.7</w:t>
            </w:r>
            <w:r>
              <w:rPr>
                <w:rFonts w:hint="eastAsia" w:asciiTheme="minorEastAsia" w:hAnsiTheme="minorEastAsia" w:eastAsiaTheme="minorEastAsia"/>
                <w:sz w:val="22"/>
                <w:szCs w:val="22"/>
              </w:rPr>
              <w:t xml:space="preserve">安全指标：</w:t>
            </w:r>
            <w:r>
              <w:rPr>
                <w:rFonts w:asciiTheme="minorEastAsia" w:hAnsiTheme="minorEastAsia" w:eastAsiaTheme="minorEastAsia"/>
                <w:sz w:val="22"/>
                <w:szCs w:val="22"/>
              </w:rPr>
              <w:t xml:space="preserve">甲醛、pH值、可分解致癌芳香胺染料达标；</w:t>
            </w:r>
            <w:r>
              <w:rPr>
                <w:rFonts w:hint="eastAsia" w:asciiTheme="minorEastAsia" w:hAnsiTheme="minorEastAsia" w:eastAsiaTheme="minorEastAsia"/>
                <w:sz w:val="22"/>
                <w:szCs w:val="22"/>
              </w:rPr>
              <w:t xml:space="preserve">透气，</w:t>
            </w:r>
            <w:r>
              <w:rPr>
                <w:rFonts w:asciiTheme="minorEastAsia" w:hAnsiTheme="minorEastAsia" w:eastAsiaTheme="minorEastAsia"/>
                <w:sz w:val="22"/>
                <w:szCs w:val="22"/>
              </w:rPr>
              <w:t xml:space="preserve">无异味，不褪色。</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rPr>
                <w:rFonts w:asciiTheme="minorEastAsia" w:hAnsiTheme="minorEastAsia" w:eastAsiaTheme="minorEastAsia"/>
                <w:sz w:val="22"/>
                <w:szCs w:val="22"/>
              </w:rPr>
              <w:t xml:space="preserve">.8</w:t>
            </w:r>
            <w:r>
              <w:rPr>
                <w:rFonts w:hint="eastAsia" w:asciiTheme="minorEastAsia" w:hAnsiTheme="minorEastAsia" w:eastAsiaTheme="minorEastAsia"/>
                <w:sz w:val="22"/>
                <w:szCs w:val="22"/>
              </w:rPr>
              <w:t xml:space="preserve">颜色：藏青色或</w:t>
            </w:r>
            <w:r>
              <w:rPr>
                <w:rFonts w:asciiTheme="minorEastAsia" w:hAnsiTheme="minorEastAsia" w:eastAsiaTheme="minorEastAsia"/>
                <w:sz w:val="22"/>
                <w:szCs w:val="22"/>
              </w:rPr>
              <w:t xml:space="preserve">灰色</w:t>
            </w:r>
            <w:r>
              <w:rPr>
                <w:rFonts w:hint="eastAsia" w:asciiTheme="minorEastAsia" w:hAnsiTheme="minorEastAsia" w:eastAsiaTheme="minorEastAsia"/>
                <w:sz w:val="22"/>
                <w:szCs w:val="22"/>
              </w:rPr>
              <w:t xml:space="preserve">（同时满足按采购人需求更改）。</w:t>
            </w:r>
            <w:r/>
          </w:p>
          <w:p>
            <w:pPr>
              <w:jc w:val="left"/>
              <w:keepLines/>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7</w:t>
            </w:r>
            <w:r>
              <w:rPr>
                <w:rFonts w:asciiTheme="minorEastAsia" w:hAnsiTheme="minorEastAsia" w:eastAsiaTheme="minorEastAsia"/>
                <w:sz w:val="22"/>
                <w:szCs w:val="22"/>
              </w:rPr>
              <w:t xml:space="preserve">.9</w:t>
            </w:r>
            <w:r>
              <w:rPr>
                <w:rFonts w:hint="eastAsia" w:asciiTheme="minorEastAsia" w:hAnsiTheme="minorEastAsia" w:eastAsiaTheme="minorEastAsia"/>
                <w:sz w:val="22"/>
                <w:szCs w:val="22"/>
              </w:rPr>
              <w:t xml:space="preserve">配套及包装：配收纳压缩袋；每件独立包装，</w:t>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实物买断+实物储备代管</w:t>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个</w:t>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400</w:t>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1000</w:t>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8</w:t>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防潮垫</w:t>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w:t>
            </w:r>
            <w:r>
              <w:rPr>
                <w:rFonts w:asciiTheme="minorEastAsia" w:hAnsiTheme="minorEastAsia" w:eastAsiaTheme="minorEastAsia"/>
                <w:sz w:val="22"/>
                <w:szCs w:val="22"/>
              </w:rPr>
              <w:t xml:space="preserve">.1</w:t>
            </w:r>
            <w:r>
              <w:rPr>
                <w:rFonts w:hint="eastAsia" w:asciiTheme="minorEastAsia" w:hAnsiTheme="minorEastAsia" w:eastAsiaTheme="minorEastAsia"/>
                <w:sz w:val="22"/>
                <w:szCs w:val="22"/>
              </w:rPr>
              <w:t xml:space="preserve">规格尺寸：展开尺寸长≥</w:t>
            </w:r>
            <w:r>
              <w:rPr>
                <w:rFonts w:asciiTheme="minorEastAsia" w:hAnsiTheme="minorEastAsia" w:eastAsiaTheme="minorEastAsia"/>
                <w:sz w:val="22"/>
                <w:szCs w:val="22"/>
              </w:rPr>
              <w:t xml:space="preserve">2000mm，宽≥1500mm，厚度≥6mm；可折叠收纳，便于搬运存放。</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w:t>
            </w:r>
            <w:r>
              <w:rPr>
                <w:rFonts w:asciiTheme="minorEastAsia" w:hAnsiTheme="minorEastAsia" w:eastAsiaTheme="minorEastAsia"/>
                <w:sz w:val="22"/>
                <w:szCs w:val="22"/>
              </w:rPr>
              <w:t xml:space="preserve">.2</w:t>
            </w:r>
            <w:r>
              <w:rPr>
                <w:rFonts w:hint="eastAsia" w:asciiTheme="minorEastAsia" w:hAnsiTheme="minorEastAsia" w:eastAsiaTheme="minorEastAsia"/>
                <w:sz w:val="22"/>
                <w:szCs w:val="22"/>
              </w:rPr>
              <w:t xml:space="preserve">★主体材质：</w:t>
            </w:r>
            <w:r>
              <w:rPr>
                <w:rFonts w:asciiTheme="minorEastAsia" w:hAnsiTheme="minorEastAsia" w:eastAsiaTheme="minorEastAsia"/>
                <w:sz w:val="22"/>
                <w:szCs w:val="22"/>
              </w:rPr>
              <w:t xml:space="preserve">EVA发泡材质，闭孔发泡，防潮隔湿，回弹性能好</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无刺鼻异味，不吸水。</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w:t>
            </w:r>
            <w:r>
              <w:rPr>
                <w:rFonts w:asciiTheme="minorEastAsia" w:hAnsiTheme="minorEastAsia" w:eastAsiaTheme="minorEastAsia"/>
                <w:sz w:val="22"/>
                <w:szCs w:val="22"/>
              </w:rPr>
              <w:t xml:space="preserve">.3</w:t>
            </w:r>
            <w:r>
              <w:rPr>
                <w:rFonts w:hint="eastAsia" w:asciiTheme="minorEastAsia" w:hAnsiTheme="minorEastAsia" w:eastAsiaTheme="minorEastAsia"/>
                <w:sz w:val="22"/>
                <w:szCs w:val="22"/>
              </w:rPr>
              <w:t xml:space="preserve">表面面料：复合耐磨防水牛津布面料，表面平整，防刮耐磨，不易破损。</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w:t>
            </w:r>
            <w:r>
              <w:rPr>
                <w:rFonts w:asciiTheme="minorEastAsia" w:hAnsiTheme="minorEastAsia" w:eastAsiaTheme="minorEastAsia"/>
                <w:sz w:val="22"/>
                <w:szCs w:val="22"/>
              </w:rPr>
              <w:t xml:space="preserve">.4</w:t>
            </w:r>
            <w:r>
              <w:rPr>
                <w:rFonts w:hint="eastAsia" w:asciiTheme="minorEastAsia" w:hAnsiTheme="minorEastAsia" w:eastAsiaTheme="minorEastAsia"/>
                <w:sz w:val="22"/>
                <w:szCs w:val="22"/>
              </w:rPr>
              <w:t xml:space="preserve">★性能要求：隔水防潮，隔绝地面寒气；抗挤压，受压后可回弹，不易塌陷，耐弯折，反复折叠不易开裂。</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w:t>
            </w:r>
            <w:r>
              <w:rPr>
                <w:rFonts w:asciiTheme="minorEastAsia" w:hAnsiTheme="minorEastAsia" w:eastAsiaTheme="minorEastAsia"/>
                <w:sz w:val="22"/>
                <w:szCs w:val="22"/>
              </w:rPr>
              <w:t xml:space="preserve">.5</w:t>
            </w:r>
            <w:r>
              <w:rPr>
                <w:rFonts w:hint="eastAsia" w:asciiTheme="minorEastAsia" w:hAnsiTheme="minorEastAsia" w:eastAsiaTheme="minorEastAsia"/>
                <w:sz w:val="22"/>
                <w:szCs w:val="22"/>
              </w:rPr>
              <w:t xml:space="preserve">结构工艺：边缘热压封边处理，无开胶、脱层；表面无气泡、裂口、无毛刺。</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w:t>
            </w:r>
            <w:r>
              <w:rPr>
                <w:rFonts w:asciiTheme="minorEastAsia" w:hAnsiTheme="minorEastAsia" w:eastAsiaTheme="minorEastAsia"/>
                <w:sz w:val="22"/>
                <w:szCs w:val="22"/>
              </w:rPr>
              <w:t xml:space="preserve">.6</w:t>
            </w:r>
            <w:r>
              <w:rPr>
                <w:rFonts w:hint="eastAsia" w:asciiTheme="minorEastAsia" w:hAnsiTheme="minorEastAsia" w:eastAsiaTheme="minorEastAsia"/>
                <w:sz w:val="22"/>
                <w:szCs w:val="22"/>
              </w:rPr>
              <w:t xml:space="preserve">安全指标：甲醛、</w:t>
            </w:r>
            <w:r>
              <w:rPr>
                <w:rFonts w:asciiTheme="minorEastAsia" w:hAnsiTheme="minorEastAsia" w:eastAsiaTheme="minorEastAsia"/>
                <w:sz w:val="22"/>
                <w:szCs w:val="22"/>
              </w:rPr>
              <w:t xml:space="preserve">pH值、可分解致癌芳香胺染料符合国标要求</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无异味，无有害物质。</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8</w:t>
            </w:r>
            <w:r>
              <w:rPr>
                <w:rFonts w:asciiTheme="minorEastAsia" w:hAnsiTheme="minorEastAsia" w:eastAsiaTheme="minorEastAsia"/>
                <w:sz w:val="22"/>
                <w:szCs w:val="22"/>
              </w:rPr>
              <w:t xml:space="preserve">.7</w:t>
            </w:r>
            <w:r>
              <w:rPr>
                <w:rFonts w:hint="eastAsia" w:asciiTheme="minorEastAsia" w:hAnsiTheme="minorEastAsia" w:eastAsiaTheme="minorEastAsia"/>
                <w:sz w:val="22"/>
                <w:szCs w:val="22"/>
              </w:rPr>
              <w:t xml:space="preserve">颜色：藏青色或</w:t>
            </w:r>
            <w:r>
              <w:rPr>
                <w:rFonts w:asciiTheme="minorEastAsia" w:hAnsiTheme="minorEastAsia" w:eastAsiaTheme="minorEastAsia"/>
                <w:sz w:val="22"/>
                <w:szCs w:val="22"/>
              </w:rPr>
              <w:t xml:space="preserve">灰色</w:t>
            </w:r>
            <w:r>
              <w:rPr>
                <w:rFonts w:hint="eastAsia" w:asciiTheme="minorEastAsia" w:hAnsiTheme="minorEastAsia" w:eastAsiaTheme="minorEastAsia"/>
                <w:sz w:val="22"/>
                <w:szCs w:val="22"/>
              </w:rPr>
              <w:t xml:space="preserve">（同时满足按采购人需求更改）。</w:t>
            </w:r>
            <w:r/>
          </w:p>
          <w:p>
            <w:pPr>
              <w:keepLines/>
              <w:rPr>
                <w:rFonts w:asciiTheme="minorEastAsia" w:hAnsiTheme="minorEastAsia" w:eastAsiaTheme="minorEastAsia"/>
                <w:b/>
                <w:sz w:val="22"/>
                <w:szCs w:val="22"/>
              </w:rPr>
            </w:pPr>
            <w:r>
              <w:rPr>
                <w:rFonts w:hint="eastAsia" w:asciiTheme="minorEastAsia" w:hAnsiTheme="minorEastAsia" w:eastAsiaTheme="minorEastAsia"/>
                <w:sz w:val="22"/>
                <w:szCs w:val="22"/>
              </w:rPr>
              <w:t xml:space="preserve">8</w:t>
            </w:r>
            <w:r>
              <w:rPr>
                <w:rFonts w:asciiTheme="minorEastAsia" w:hAnsiTheme="minorEastAsia" w:eastAsiaTheme="minorEastAsia"/>
                <w:sz w:val="22"/>
                <w:szCs w:val="22"/>
              </w:rPr>
              <w:t xml:space="preserve">.8</w:t>
            </w:r>
            <w:r>
              <w:rPr>
                <w:rFonts w:hint="eastAsia" w:asciiTheme="minorEastAsia" w:hAnsiTheme="minorEastAsia" w:eastAsiaTheme="minorEastAsia"/>
                <w:sz w:val="22"/>
                <w:szCs w:val="22"/>
              </w:rPr>
              <w:t xml:space="preserve">包装：单件独立包装。</w:t>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实物买断+实物储备代管</w:t>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张</w:t>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1000</w:t>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1500</w:t>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9</w:t>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蚊帐</w:t>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rPr>
            </w:pPr>
            <w:r>
              <w:rPr>
                <w:rFonts w:asciiTheme="minorEastAsia" w:hAnsiTheme="minorEastAsia" w:eastAsiaTheme="minorEastAsia"/>
                <w:sz w:val="22"/>
                <w:szCs w:val="22"/>
              </w:rPr>
              <w:t xml:space="preserve">9.1</w:t>
            </w:r>
            <w:r>
              <w:rPr>
                <w:rFonts w:hint="eastAsia" w:asciiTheme="minorEastAsia" w:hAnsiTheme="minorEastAsia" w:eastAsiaTheme="minorEastAsia"/>
                <w:sz w:val="22"/>
                <w:szCs w:val="22"/>
              </w:rPr>
              <w:t xml:space="preserve">规格尺寸：适配</w:t>
            </w:r>
            <w:r>
              <w:rPr>
                <w:rFonts w:asciiTheme="minorEastAsia" w:hAnsiTheme="minorEastAsia" w:eastAsiaTheme="minorEastAsia"/>
                <w:sz w:val="22"/>
                <w:szCs w:val="22"/>
              </w:rPr>
              <w:t xml:space="preserve">2000mm×1500mm床</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展开尺寸长≥2000mm，宽≥1500mm，高≥1600mm</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可折叠收纳。</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9</w:t>
            </w:r>
            <w:r>
              <w:rPr>
                <w:rFonts w:asciiTheme="minorEastAsia" w:hAnsiTheme="minorEastAsia" w:eastAsiaTheme="minorEastAsia"/>
                <w:sz w:val="22"/>
                <w:szCs w:val="22"/>
              </w:rPr>
              <w:t xml:space="preserve">.2</w:t>
            </w:r>
            <w:r>
              <w:rPr>
                <w:rFonts w:hint="eastAsia" w:asciiTheme="minorEastAsia" w:hAnsiTheme="minorEastAsia" w:eastAsiaTheme="minorEastAsia"/>
                <w:sz w:val="22"/>
                <w:szCs w:val="22"/>
              </w:rPr>
              <w:t xml:space="preserve">网纱材质：涤纶加密网纱，网孔细密，防蚊虫，纱线牢固，不易勾丝破损，颜色白色</w:t>
            </w:r>
            <w:r>
              <w:rPr>
                <w:rFonts w:asciiTheme="minorEastAsia" w:hAnsiTheme="minorEastAsia" w:eastAsiaTheme="minorEastAsia"/>
                <w:sz w:val="22"/>
                <w:szCs w:val="22"/>
              </w:rPr>
              <w:t xml:space="preserve">/浅灰色。</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9</w:t>
            </w:r>
            <w:r>
              <w:rPr>
                <w:rFonts w:asciiTheme="minorEastAsia" w:hAnsiTheme="minorEastAsia" w:eastAsiaTheme="minorEastAsia"/>
                <w:sz w:val="22"/>
                <w:szCs w:val="22"/>
              </w:rPr>
              <w:t xml:space="preserve">.3</w:t>
            </w:r>
            <w:r>
              <w:rPr>
                <w:rFonts w:hint="eastAsia" w:asciiTheme="minorEastAsia" w:hAnsiTheme="minorEastAsia" w:eastAsiaTheme="minorEastAsia"/>
                <w:sz w:val="22"/>
                <w:szCs w:val="22"/>
              </w:rPr>
              <w:t xml:space="preserve">支架材质：玻纤</w:t>
            </w:r>
            <w:r>
              <w:rPr>
                <w:rFonts w:asciiTheme="minorEastAsia" w:hAnsiTheme="minorEastAsia" w:eastAsiaTheme="minorEastAsia"/>
                <w:sz w:val="22"/>
                <w:szCs w:val="22"/>
              </w:rPr>
              <w:t xml:space="preserve">/玻璃钢支架，韧性好，不易折断</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支架接头牢固，组装便捷。</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9</w:t>
            </w:r>
            <w:r>
              <w:rPr>
                <w:rFonts w:asciiTheme="minorEastAsia" w:hAnsiTheme="minorEastAsia" w:eastAsiaTheme="minorEastAsia"/>
                <w:sz w:val="22"/>
                <w:szCs w:val="22"/>
              </w:rPr>
              <w:t xml:space="preserve">.4</w:t>
            </w:r>
            <w:r>
              <w:rPr>
                <w:rFonts w:hint="eastAsia" w:asciiTheme="minorEastAsia" w:hAnsiTheme="minorEastAsia" w:eastAsiaTheme="minorEastAsia"/>
                <w:sz w:val="22"/>
                <w:szCs w:val="22"/>
              </w:rPr>
              <w:t xml:space="preserve">结构形式：顶部、四周为网纱，配有拉链门，开合方便；边角加固。</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9</w:t>
            </w:r>
            <w:r>
              <w:rPr>
                <w:rFonts w:asciiTheme="minorEastAsia" w:hAnsiTheme="minorEastAsia" w:eastAsiaTheme="minorEastAsia"/>
                <w:sz w:val="22"/>
                <w:szCs w:val="22"/>
              </w:rPr>
              <w:t xml:space="preserve">.5</w:t>
            </w:r>
            <w:r>
              <w:rPr>
                <w:rFonts w:hint="eastAsia" w:asciiTheme="minorEastAsia" w:hAnsiTheme="minorEastAsia" w:eastAsiaTheme="minorEastAsia"/>
                <w:sz w:val="22"/>
                <w:szCs w:val="22"/>
              </w:rPr>
              <w:t xml:space="preserve">做工工艺：网纱缝线牢固，无脱线、破洞；包边平整，无毛刺；拉链顺滑，无卡顿。</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9</w:t>
            </w:r>
            <w:r>
              <w:rPr>
                <w:rFonts w:asciiTheme="minorEastAsia" w:hAnsiTheme="minorEastAsia" w:eastAsiaTheme="minorEastAsia"/>
                <w:sz w:val="22"/>
                <w:szCs w:val="22"/>
              </w:rPr>
              <w:t xml:space="preserve">.6</w:t>
            </w:r>
            <w:r>
              <w:rPr>
                <w:rFonts w:hint="eastAsia" w:asciiTheme="minorEastAsia" w:hAnsiTheme="minorEastAsia" w:eastAsiaTheme="minorEastAsia"/>
                <w:sz w:val="22"/>
                <w:szCs w:val="22"/>
              </w:rPr>
              <w:t xml:space="preserve">★安全指标：符合</w:t>
            </w:r>
            <w:r>
              <w:rPr>
                <w:rFonts w:asciiTheme="minorEastAsia" w:hAnsiTheme="minorEastAsia" w:eastAsiaTheme="minorEastAsia"/>
                <w:sz w:val="22"/>
                <w:szCs w:val="22"/>
              </w:rPr>
              <w:t xml:space="preserve">GB18401</w:t>
            </w:r>
            <w:r>
              <w:rPr>
                <w:rFonts w:hint="eastAsia" w:ascii="MS Gothic" w:hAnsi="MS Gothic" w:eastAsia="MS Gothic" w:cs="MS Gothic"/>
                <w:sz w:val="22"/>
                <w:szCs w:val="22"/>
              </w:rPr>
              <w:t xml:space="preserve">‑</w:t>
            </w:r>
            <w:r>
              <w:rPr>
                <w:rFonts w:asciiTheme="minorEastAsia" w:hAnsiTheme="minorEastAsia" w:eastAsiaTheme="minorEastAsia"/>
                <w:sz w:val="22"/>
                <w:szCs w:val="22"/>
              </w:rPr>
              <w:t xml:space="preserve">2010 B类；甲醛、pH值、可分解致癌芳香胺染料达标，无异味，不易褪色。</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9</w:t>
            </w:r>
            <w:r>
              <w:rPr>
                <w:rFonts w:asciiTheme="minorEastAsia" w:hAnsiTheme="minorEastAsia" w:eastAsiaTheme="minorEastAsia"/>
                <w:sz w:val="22"/>
                <w:szCs w:val="22"/>
              </w:rPr>
              <w:t xml:space="preserve">.7</w:t>
            </w:r>
            <w:r>
              <w:rPr>
                <w:rFonts w:hint="eastAsia" w:asciiTheme="minorEastAsia" w:hAnsiTheme="minorEastAsia" w:eastAsiaTheme="minorEastAsia"/>
                <w:sz w:val="22"/>
                <w:szCs w:val="22"/>
              </w:rPr>
              <w:t xml:space="preserve">颜色：白色或蓝色（同时满足按采购人需求更改）。</w:t>
            </w:r>
            <w:r/>
          </w:p>
          <w:p>
            <w:pPr>
              <w:jc w:val="left"/>
              <w:keepLines/>
              <w:spacing w:line="360" w:lineRule="auto"/>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9</w:t>
            </w:r>
            <w:r>
              <w:rPr>
                <w:rFonts w:asciiTheme="minorEastAsia" w:hAnsiTheme="minorEastAsia" w:eastAsiaTheme="minorEastAsia"/>
                <w:sz w:val="22"/>
                <w:szCs w:val="22"/>
              </w:rPr>
              <w:t xml:space="preserve">.8</w:t>
            </w:r>
            <w:r>
              <w:rPr>
                <w:rFonts w:hint="eastAsia" w:asciiTheme="minorEastAsia" w:hAnsiTheme="minorEastAsia" w:eastAsiaTheme="minorEastAsia"/>
                <w:sz w:val="22"/>
                <w:szCs w:val="22"/>
              </w:rPr>
              <w:t xml:space="preserve">配套及包装：含全套支架、固定配件，独立包装袋包装.</w:t>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实物买断+实物储备代管</w:t>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顶</w:t>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550</w:t>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750</w:t>
            </w:r>
            <w:r/>
          </w:p>
        </w:tc>
      </w:tr>
      <w:tr>
        <w:trPr/>
        <w:tc>
          <w:tcPr>
            <w:tcMar>
              <w:left w:w="100" w:type="dxa"/>
              <w:top w:w="60" w:type="dxa"/>
              <w:right w:w="100" w:type="dxa"/>
              <w:bottom w:w="60" w:type="dxa"/>
            </w:tcMar>
            <w:tcW w:w="52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10</w:t>
            </w:r>
            <w:r/>
          </w:p>
        </w:tc>
        <w:tc>
          <w:tcPr>
            <w:tcMar>
              <w:left w:w="100" w:type="dxa"/>
              <w:top w:w="60" w:type="dxa"/>
              <w:right w:w="100" w:type="dxa"/>
              <w:bottom w:w="60" w:type="dxa"/>
            </w:tcMar>
            <w:tcW w:w="900"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帐篷照明灯</w:t>
            </w:r>
            <w:r/>
          </w:p>
        </w:tc>
        <w:tc>
          <w:tcPr>
            <w:tcMar>
              <w:left w:w="100" w:type="dxa"/>
              <w:top w:w="60" w:type="dxa"/>
              <w:right w:w="100" w:type="dxa"/>
              <w:bottom w:w="60" w:type="dxa"/>
            </w:tcMar>
            <w:tcW w:w="4387" w:type="dxa"/>
            <w:vAlign w:val="center"/>
            <w:textDirection w:val="lrTb"/>
            <w:noWrap w:val="false"/>
          </w:tcPr>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0.1</w:t>
            </w:r>
            <w:r>
              <w:rPr>
                <w:rFonts w:hint="eastAsia" w:asciiTheme="minorEastAsia" w:hAnsiTheme="minorEastAsia" w:eastAsiaTheme="minorEastAsia"/>
                <w:sz w:val="22"/>
                <w:szCs w:val="22"/>
              </w:rPr>
              <w:t xml:space="preserve">产品名称：帐篷</w:t>
            </w:r>
            <w:r>
              <w:rPr>
                <w:rFonts w:asciiTheme="minorEastAsia" w:hAnsiTheme="minorEastAsia" w:eastAsiaTheme="minorEastAsia"/>
                <w:sz w:val="22"/>
                <w:szCs w:val="22"/>
              </w:rPr>
              <w:t xml:space="preserve">LED照明灯</w:t>
            </w:r>
            <w:r>
              <w:rPr>
                <w:rFonts w:hint="eastAsia" w:asciiTheme="minorEastAsia" w:hAnsiTheme="minorEastAsia" w:eastAsiaTheme="minorEastAsia"/>
                <w:sz w:val="22"/>
                <w:szCs w:val="22"/>
              </w:rPr>
              <w:t xml:space="preserve">。</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0.2</w:t>
            </w:r>
            <w:r>
              <w:rPr>
                <w:rFonts w:hint="eastAsia" w:asciiTheme="minorEastAsia" w:hAnsiTheme="minorEastAsia" w:eastAsiaTheme="minorEastAsia"/>
                <w:sz w:val="22"/>
                <w:szCs w:val="22"/>
              </w:rPr>
              <w:t xml:space="preserve">额定功率：</w:t>
            </w:r>
            <w:r>
              <w:rPr>
                <w:rFonts w:asciiTheme="minorEastAsia" w:hAnsiTheme="minorEastAsia" w:eastAsiaTheme="minorEastAsia"/>
                <w:sz w:val="22"/>
                <w:szCs w:val="22"/>
              </w:rPr>
              <w:t xml:space="preserve">2W</w:t>
            </w:r>
            <w:r>
              <w:rPr>
                <w:rFonts w:hint="eastAsia" w:asciiTheme="minorEastAsia" w:hAnsiTheme="minorEastAsia" w:eastAsiaTheme="minorEastAsia"/>
                <w:sz w:val="22"/>
                <w:szCs w:val="22"/>
              </w:rPr>
              <w:t xml:space="preserve">。</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0.3</w:t>
            </w:r>
            <w:r>
              <w:rPr>
                <w:rFonts w:hint="eastAsia" w:asciiTheme="minorEastAsia" w:hAnsiTheme="minorEastAsia" w:eastAsiaTheme="minorEastAsia"/>
                <w:sz w:val="22"/>
                <w:szCs w:val="22"/>
              </w:rPr>
              <w:t xml:space="preserve">★电池容量：内置锂电池</w:t>
            </w:r>
            <w:r>
              <w:rPr>
                <w:rFonts w:asciiTheme="minorEastAsia" w:hAnsiTheme="minorEastAsia" w:eastAsiaTheme="minorEastAsia"/>
                <w:sz w:val="22"/>
                <w:szCs w:val="22"/>
              </w:rPr>
              <w:t xml:space="preserve">2500mAh，可充电；支持USB充电，充电接口Type</w:t>
            </w:r>
            <w:r>
              <w:rPr>
                <w:rFonts w:hint="eastAsia" w:ascii="MS Gothic" w:hAnsi="MS Gothic" w:eastAsia="MS Gothic" w:cs="MS Gothic"/>
                <w:sz w:val="22"/>
                <w:szCs w:val="22"/>
              </w:rPr>
              <w:t xml:space="preserve">‑</w:t>
            </w:r>
            <w:r>
              <w:rPr>
                <w:rFonts w:asciiTheme="minorEastAsia" w:hAnsiTheme="minorEastAsia" w:eastAsiaTheme="minorEastAsia"/>
                <w:sz w:val="22"/>
                <w:szCs w:val="22"/>
              </w:rPr>
              <w:t xml:space="preserve">C。</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光源类型：</w:t>
            </w:r>
            <w:r>
              <w:rPr>
                <w:rFonts w:asciiTheme="minorEastAsia" w:hAnsiTheme="minorEastAsia" w:eastAsiaTheme="minorEastAsia"/>
                <w:sz w:val="22"/>
                <w:szCs w:val="22"/>
              </w:rPr>
              <w:t xml:space="preserve">LED冷白光，色温5000</w:t>
            </w:r>
            <w:r>
              <w:rPr>
                <w:rFonts w:hint="eastAsia" w:ascii="MS Gothic" w:hAnsi="MS Gothic" w:eastAsia="MS Gothic" w:cs="MS Gothic"/>
                <w:sz w:val="22"/>
                <w:szCs w:val="22"/>
              </w:rPr>
              <w:t xml:space="preserve">‑</w:t>
            </w:r>
            <w:r>
              <w:rPr>
                <w:rFonts w:asciiTheme="minorEastAsia" w:hAnsiTheme="minorEastAsia" w:eastAsiaTheme="minorEastAsia"/>
                <w:sz w:val="22"/>
                <w:szCs w:val="22"/>
              </w:rPr>
              <w:t xml:space="preserve">6000K；光照柔和，无频闪。</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0.4</w:t>
            </w:r>
            <w:r>
              <w:rPr>
                <w:rFonts w:hint="eastAsia" w:asciiTheme="minorEastAsia" w:hAnsiTheme="minorEastAsia" w:eastAsiaTheme="minorEastAsia"/>
                <w:sz w:val="22"/>
                <w:szCs w:val="22"/>
              </w:rPr>
              <w:t xml:space="preserve">亮度：≥</w:t>
            </w:r>
            <w:r>
              <w:rPr>
                <w:rFonts w:asciiTheme="minorEastAsia" w:hAnsiTheme="minorEastAsia" w:eastAsiaTheme="minorEastAsia"/>
                <w:sz w:val="22"/>
                <w:szCs w:val="22"/>
              </w:rPr>
              <w:t xml:space="preserve">180lm；具备多档调光（强光/弱光）模式。</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0.5</w:t>
            </w:r>
            <w:r>
              <w:rPr>
                <w:rFonts w:hint="eastAsia" w:asciiTheme="minorEastAsia" w:hAnsiTheme="minorEastAsia" w:eastAsiaTheme="minorEastAsia"/>
                <w:sz w:val="22"/>
                <w:szCs w:val="22"/>
              </w:rPr>
              <w:t xml:space="preserve">★续航时间：强光模式≥</w:t>
            </w:r>
            <w:r>
              <w:rPr>
                <w:rFonts w:asciiTheme="minorEastAsia" w:hAnsiTheme="minorEastAsia" w:eastAsiaTheme="minorEastAsia"/>
                <w:sz w:val="22"/>
                <w:szCs w:val="22"/>
              </w:rPr>
              <w:t xml:space="preserve">8h</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弱光模式≥20h。</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0.6</w:t>
            </w:r>
            <w:r>
              <w:rPr>
                <w:rFonts w:hint="eastAsia" w:asciiTheme="minorEastAsia" w:hAnsiTheme="minorEastAsia" w:eastAsiaTheme="minorEastAsia"/>
                <w:sz w:val="22"/>
                <w:szCs w:val="22"/>
              </w:rPr>
              <w:t xml:space="preserve">外壳材质：</w:t>
            </w:r>
            <w:r>
              <w:rPr>
                <w:rFonts w:asciiTheme="minorEastAsia" w:hAnsiTheme="minorEastAsia" w:eastAsiaTheme="minorEastAsia"/>
                <w:sz w:val="22"/>
                <w:szCs w:val="22"/>
              </w:rPr>
              <w:t xml:space="preserve">ABS阻燃塑料，防摔、防尘</w:t>
            </w:r>
            <w:r>
              <w:rPr>
                <w:rFonts w:hint="eastAsia" w:asciiTheme="minorEastAsia" w:hAnsiTheme="minorEastAsia" w:eastAsiaTheme="minorEastAsia"/>
                <w:sz w:val="22"/>
                <w:szCs w:val="22"/>
              </w:rPr>
              <w:t xml:space="preserve">，</w:t>
            </w:r>
            <w:r>
              <w:rPr>
                <w:rFonts w:asciiTheme="minorEastAsia" w:hAnsiTheme="minorEastAsia" w:eastAsiaTheme="minorEastAsia"/>
                <w:sz w:val="22"/>
                <w:szCs w:val="22"/>
              </w:rPr>
              <w:t xml:space="preserve">外壳做防滑处理。</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0.7</w:t>
            </w:r>
            <w:r>
              <w:rPr>
                <w:rFonts w:hint="eastAsia" w:asciiTheme="minorEastAsia" w:hAnsiTheme="minorEastAsia" w:eastAsiaTheme="minorEastAsia"/>
                <w:sz w:val="22"/>
                <w:szCs w:val="22"/>
              </w:rPr>
              <w:t xml:space="preserve">结构设计：带悬挂挂钩，可悬挂帐篷顶，可手持，体积小巧，便于携带。</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0.8</w:t>
            </w:r>
            <w:r>
              <w:rPr>
                <w:rFonts w:hint="eastAsia" w:asciiTheme="minorEastAsia" w:hAnsiTheme="minorEastAsia" w:eastAsiaTheme="minorEastAsia"/>
                <w:sz w:val="22"/>
                <w:szCs w:val="22"/>
              </w:rPr>
              <w:t xml:space="preserve">防护等级：</w:t>
            </w:r>
            <w:r>
              <w:rPr>
                <w:rFonts w:asciiTheme="minorEastAsia" w:hAnsiTheme="minorEastAsia" w:eastAsiaTheme="minorEastAsia"/>
                <w:sz w:val="22"/>
                <w:szCs w:val="22"/>
              </w:rPr>
              <w:t xml:space="preserve">IPX4防泼溅，可应对帐篷内潮湿环境。</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安全性能：具备过充、过放、过流保护，无过热现象</w:t>
            </w:r>
            <w:r>
              <w:rPr>
                <w:rFonts w:asciiTheme="minorEastAsia" w:hAnsiTheme="minorEastAsia" w:eastAsiaTheme="minorEastAsia"/>
                <w:sz w:val="22"/>
                <w:szCs w:val="22"/>
              </w:rPr>
              <w:t xml:space="preserve">。</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0.9</w:t>
            </w:r>
            <w:r>
              <w:rPr>
                <w:rFonts w:hint="eastAsia" w:asciiTheme="minorEastAsia" w:hAnsiTheme="minorEastAsia" w:eastAsiaTheme="minorEastAsia"/>
                <w:sz w:val="22"/>
                <w:szCs w:val="22"/>
              </w:rPr>
              <w:t xml:space="preserve">外观颜色：黑色</w:t>
            </w:r>
            <w:r>
              <w:rPr>
                <w:rFonts w:asciiTheme="minorEastAsia" w:hAnsiTheme="minorEastAsia" w:eastAsiaTheme="minorEastAsia"/>
                <w:sz w:val="22"/>
                <w:szCs w:val="22"/>
              </w:rPr>
              <w:t xml:space="preserve">/灰色</w:t>
            </w:r>
            <w:r>
              <w:rPr>
                <w:rFonts w:hint="eastAsia" w:asciiTheme="minorEastAsia" w:hAnsiTheme="minorEastAsia" w:eastAsiaTheme="minorEastAsia"/>
                <w:sz w:val="22"/>
                <w:szCs w:val="22"/>
              </w:rPr>
              <w:t xml:space="preserve">。</w:t>
            </w:r>
            <w:r/>
          </w:p>
          <w:p>
            <w:pPr>
              <w:keepLines/>
              <w:rPr>
                <w:rFonts w:asciiTheme="minorEastAsia" w:hAnsiTheme="minorEastAsia" w:eastAsiaTheme="minorEastAsia"/>
                <w:sz w:val="22"/>
                <w:szCs w:val="22"/>
              </w:rPr>
            </w:pPr>
            <w:r>
              <w:rPr>
                <w:rFonts w:hint="eastAsia" w:asciiTheme="minorEastAsia" w:hAnsiTheme="minorEastAsia" w:eastAsiaTheme="minorEastAsia"/>
                <w:sz w:val="22"/>
                <w:szCs w:val="22"/>
              </w:rPr>
              <w:t xml:space="preserve">1</w:t>
            </w:r>
            <w:r>
              <w:rPr>
                <w:rFonts w:asciiTheme="minorEastAsia" w:hAnsiTheme="minorEastAsia" w:eastAsiaTheme="minorEastAsia"/>
                <w:sz w:val="22"/>
                <w:szCs w:val="22"/>
              </w:rPr>
              <w:t xml:space="preserve">0.10</w:t>
            </w:r>
            <w:r>
              <w:rPr>
                <w:rFonts w:hint="eastAsia" w:asciiTheme="minorEastAsia" w:hAnsiTheme="minorEastAsia" w:eastAsiaTheme="minorEastAsia"/>
                <w:sz w:val="22"/>
                <w:szCs w:val="22"/>
              </w:rPr>
              <w:t xml:space="preserve">包装：每台独立包装，配</w:t>
            </w:r>
            <w:r>
              <w:rPr>
                <w:rFonts w:asciiTheme="minorEastAsia" w:hAnsiTheme="minorEastAsia" w:eastAsiaTheme="minorEastAsia"/>
                <w:sz w:val="22"/>
                <w:szCs w:val="22"/>
              </w:rPr>
              <w:t xml:space="preserve">USB充电线。</w:t>
            </w:r>
            <w:r/>
          </w:p>
        </w:tc>
        <w:tc>
          <w:tcPr>
            <w:tcMar>
              <w:left w:w="100" w:type="dxa"/>
              <w:top w:w="60" w:type="dxa"/>
              <w:right w:w="100" w:type="dxa"/>
              <w:bottom w:w="60" w:type="dxa"/>
            </w:tcMar>
            <w:tcW w:w="913"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实物买断+实物储备代管</w:t>
            </w:r>
            <w:r/>
          </w:p>
        </w:tc>
        <w:tc>
          <w:tcPr>
            <w:tcMar>
              <w:left w:w="100" w:type="dxa"/>
              <w:top w:w="60" w:type="dxa"/>
              <w:right w:w="100" w:type="dxa"/>
              <w:bottom w:w="60" w:type="dxa"/>
            </w:tcMar>
            <w:tcW w:w="788"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盏</w:t>
            </w:r>
            <w:r/>
          </w:p>
        </w:tc>
        <w:tc>
          <w:tcPr>
            <w:tcMar>
              <w:left w:w="100" w:type="dxa"/>
              <w:top w:w="60" w:type="dxa"/>
              <w:right w:w="100" w:type="dxa"/>
              <w:bottom w:w="60" w:type="dxa"/>
            </w:tcMar>
            <w:tcW w:w="85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375</w:t>
            </w:r>
            <w:r/>
          </w:p>
        </w:tc>
        <w:tc>
          <w:tcPr>
            <w:tcMar>
              <w:left w:w="100" w:type="dxa"/>
              <w:top w:w="60" w:type="dxa"/>
              <w:right w:w="100" w:type="dxa"/>
              <w:bottom w:w="60" w:type="dxa"/>
            </w:tcMar>
            <w:tcW w:w="1001" w:type="dxa"/>
            <w:vAlign w:val="center"/>
            <w:textDirection w:val="lrTb"/>
            <w:noWrap w:val="false"/>
          </w:tcPr>
          <w:p>
            <w:pPr>
              <w:jc w:val="left"/>
              <w:keepLines/>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375</w:t>
            </w:r>
            <w:r/>
          </w:p>
        </w:tc>
      </w:tr>
      <w:tr>
        <w:trPr/>
        <w:tc>
          <w:tcPr>
            <w:tcMar>
              <w:left w:w="100" w:type="dxa"/>
              <w:top w:w="60" w:type="dxa"/>
              <w:right w:w="100" w:type="dxa"/>
              <w:bottom w:w="60" w:type="dxa"/>
            </w:tcMar>
            <w:tcW w:w="520" w:type="dxa"/>
            <w:vAlign w:val="center"/>
            <w:textDirection w:val="lrTb"/>
            <w:noWrap w:val="false"/>
          </w:tcPr>
          <w:p>
            <w:pPr>
              <w:jc w:val="left"/>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合计</w:t>
            </w:r>
            <w:r/>
          </w:p>
        </w:tc>
        <w:tc>
          <w:tcPr>
            <w:tcMar>
              <w:left w:w="100" w:type="dxa"/>
              <w:top w:w="60" w:type="dxa"/>
              <w:right w:w="100" w:type="dxa"/>
              <w:bottom w:w="60" w:type="dxa"/>
            </w:tcMar>
            <w:tcW w:w="900" w:type="dxa"/>
            <w:vAlign w:val="center"/>
            <w:textDirection w:val="lrTb"/>
            <w:noWrap w:val="false"/>
          </w:tcPr>
          <w:p>
            <w:pPr>
              <w:jc w:val="left"/>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r>
            <w:r/>
          </w:p>
        </w:tc>
        <w:tc>
          <w:tcPr>
            <w:tcMar>
              <w:left w:w="100" w:type="dxa"/>
              <w:top w:w="60" w:type="dxa"/>
              <w:right w:w="100" w:type="dxa"/>
              <w:bottom w:w="60" w:type="dxa"/>
            </w:tcMar>
            <w:tcW w:w="4387" w:type="dxa"/>
            <w:vAlign w:val="center"/>
            <w:textDirection w:val="lrTb"/>
            <w:noWrap w:val="false"/>
          </w:tcPr>
          <w:p>
            <w:pPr>
              <w:jc w:val="left"/>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r>
            <w:r/>
          </w:p>
        </w:tc>
        <w:tc>
          <w:tcPr>
            <w:tcMar>
              <w:left w:w="100" w:type="dxa"/>
              <w:top w:w="60" w:type="dxa"/>
              <w:right w:w="100" w:type="dxa"/>
              <w:bottom w:w="60" w:type="dxa"/>
            </w:tcMar>
            <w:tcW w:w="913" w:type="dxa"/>
            <w:vAlign w:val="center"/>
            <w:textDirection w:val="lrTb"/>
            <w:noWrap w:val="false"/>
          </w:tcPr>
          <w:p>
            <w:pPr>
              <w:jc w:val="left"/>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r>
            <w:r/>
          </w:p>
        </w:tc>
        <w:tc>
          <w:tcPr>
            <w:tcMar>
              <w:left w:w="100" w:type="dxa"/>
              <w:top w:w="60" w:type="dxa"/>
              <w:right w:w="100" w:type="dxa"/>
              <w:bottom w:w="60" w:type="dxa"/>
            </w:tcMar>
            <w:tcW w:w="788" w:type="dxa"/>
            <w:vAlign w:val="center"/>
            <w:textDirection w:val="lrTb"/>
            <w:noWrap w:val="false"/>
          </w:tcPr>
          <w:p>
            <w:pPr>
              <w:jc w:val="left"/>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r>
            <w:r/>
          </w:p>
        </w:tc>
        <w:tc>
          <w:tcPr>
            <w:tcMar>
              <w:left w:w="100" w:type="dxa"/>
              <w:top w:w="60" w:type="dxa"/>
              <w:right w:w="100" w:type="dxa"/>
              <w:bottom w:w="60" w:type="dxa"/>
            </w:tcMar>
            <w:tcW w:w="851" w:type="dxa"/>
            <w:vAlign w:val="center"/>
            <w:textDirection w:val="lrTb"/>
            <w:noWrap w:val="false"/>
          </w:tcPr>
          <w:p>
            <w:pPr>
              <w:jc w:val="left"/>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9075</w:t>
            </w:r>
            <w:r/>
          </w:p>
        </w:tc>
        <w:tc>
          <w:tcPr>
            <w:tcMar>
              <w:left w:w="100" w:type="dxa"/>
              <w:top w:w="60" w:type="dxa"/>
              <w:right w:w="100" w:type="dxa"/>
              <w:bottom w:w="60" w:type="dxa"/>
            </w:tcMar>
            <w:tcW w:w="1001" w:type="dxa"/>
            <w:vAlign w:val="center"/>
            <w:textDirection w:val="lrTb"/>
            <w:noWrap w:val="false"/>
          </w:tcPr>
          <w:p>
            <w:pPr>
              <w:jc w:val="left"/>
              <w:spacing w:line="360" w:lineRule="auto"/>
              <w:rPr>
                <w:rFonts w:asciiTheme="minorEastAsia" w:hAnsiTheme="minorEastAsia" w:eastAsiaTheme="minorEastAsia"/>
                <w:sz w:val="22"/>
                <w:szCs w:val="22"/>
              </w:rPr>
            </w:pPr>
            <w:r>
              <w:rPr>
                <w:rFonts w:asciiTheme="minorEastAsia" w:hAnsiTheme="minorEastAsia" w:eastAsiaTheme="minorEastAsia"/>
                <w:sz w:val="22"/>
                <w:szCs w:val="22"/>
              </w:rPr>
              <w:t xml:space="preserve">9625</w:t>
            </w:r>
            <w:r/>
          </w:p>
        </w:tc>
      </w:tr>
    </w:tbl>
    <w:p>
      <w:pPr>
        <w:pStyle w:val="743"/>
        <w:spacing w:before="0" w:after="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w:t>
      </w:r>
      <w:r>
        <w:rPr>
          <w:rFonts w:cs="Times New Roman" w:asciiTheme="minorEastAsia" w:hAnsiTheme="minorEastAsia" w:eastAsiaTheme="minorEastAsia"/>
          <w:b/>
          <w:bCs/>
          <w:sz w:val="24"/>
          <w:szCs w:val="24"/>
        </w:rPr>
        <w:t xml:space="preserve">、其他商务要求</w:t>
      </w:r>
      <w:r/>
    </w:p>
    <w:p>
      <w:pPr>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6.1 交货地点：</w:t>
      </w:r>
      <w:r>
        <w:rPr>
          <w:rFonts w:asciiTheme="minorEastAsia" w:hAnsiTheme="minorEastAsia" w:eastAsiaTheme="minorEastAsia"/>
          <w:sz w:val="24"/>
        </w:rPr>
        <w:t xml:space="preserve">采购人指定地点。</w:t>
      </w:r>
      <w:r/>
    </w:p>
    <w:p>
      <w:pPr>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6.2 付款方式：</w:t>
      </w:r>
      <w:r/>
    </w:p>
    <w:p>
      <w:pPr>
        <w:pStyle w:val="793"/>
        <w:rPr>
          <w:rFonts w:asciiTheme="minorEastAsia" w:hAnsiTheme="minorEastAsia" w:eastAsiaTheme="minorEastAsia"/>
        </w:rPr>
      </w:pPr>
      <w:r>
        <w:rPr>
          <w:rFonts w:asciiTheme="minorEastAsia" w:hAnsiTheme="minorEastAsia" w:eastAsiaTheme="minorEastAsia"/>
        </w:rPr>
        <w:t xml:space="preserve">（1）实物采购物资：合同签订生效后，采购人支付合同实物采购部分货款的30%作为预付款；物资送达指定地点并经验收合格后，采购人一次性付清剩余70%尾款</w:t>
      </w:r>
      <w:r>
        <w:rPr>
          <w:rFonts w:hint="eastAsia" w:asciiTheme="minorEastAsia" w:hAnsiTheme="minorEastAsia" w:eastAsiaTheme="minorEastAsia"/>
        </w:rPr>
        <w:t xml:space="preserve">。</w:t>
      </w:r>
      <w:r/>
    </w:p>
    <w:p>
      <w:pPr>
        <w:ind w:left="360" w:hanging="360"/>
        <w:spacing w:line="360" w:lineRule="auto"/>
        <w:rPr>
          <w:rFonts w:asciiTheme="minorEastAsia" w:hAnsiTheme="minorEastAsia" w:eastAsiaTheme="minorEastAsia"/>
          <w:sz w:val="24"/>
        </w:rPr>
      </w:pPr>
      <w:r>
        <w:rPr>
          <w:rFonts w:asciiTheme="minorEastAsia" w:hAnsiTheme="minorEastAsia" w:eastAsiaTheme="minorEastAsia"/>
          <w:sz w:val="24"/>
        </w:rPr>
        <w:t xml:space="preserve">（2）协议储备采购物资：协议期内未发生调拨的不支付物资货款；调拨时按「调拨数量×中标单价」据实结算。</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6.3 交货期限：</w:t>
      </w:r>
      <w:r>
        <w:rPr>
          <w:rFonts w:asciiTheme="minorEastAsia" w:hAnsiTheme="minorEastAsia" w:eastAsiaTheme="minorEastAsia"/>
          <w:sz w:val="24"/>
        </w:rPr>
        <w:t xml:space="preserve">合同签订后30日历天内完成全部实物采购货物供货、卸货。</w:t>
      </w:r>
      <w:r/>
    </w:p>
    <w:p>
      <w:pPr>
        <w:keepLines/>
        <w:spacing w:line="360" w:lineRule="auto"/>
        <w:rPr>
          <w:rFonts w:asciiTheme="minorEastAsia" w:hAnsiTheme="minorEastAsia" w:eastAsiaTheme="minorEastAsia"/>
          <w:sz w:val="24"/>
        </w:rPr>
      </w:pPr>
      <w:r>
        <w:rPr>
          <w:rFonts w:asciiTheme="minorEastAsia" w:hAnsiTheme="minorEastAsia" w:eastAsiaTheme="minorEastAsia"/>
          <w:b/>
          <w:bCs/>
          <w:sz w:val="24"/>
        </w:rPr>
        <w:t xml:space="preserve">6.4 验收标准：</w:t>
      </w:r>
      <w:r>
        <w:rPr>
          <w:rFonts w:asciiTheme="minorEastAsia" w:hAnsiTheme="minorEastAsia" w:eastAsiaTheme="minorEastAsia"/>
          <w:sz w:val="24"/>
        </w:rPr>
        <w:t xml:space="preserve">到货后采购人现场开箱验收，核对数量、外观、规格参数，查验合格证、检测报告，不符合技术要求的无条件退换货。</w:t>
      </w:r>
      <w:r/>
    </w:p>
    <w:p>
      <w:pPr>
        <w:keepLines/>
        <w:spacing w:line="360" w:lineRule="auto"/>
        <w:rPr>
          <w:rFonts w:cs="宋体" w:asciiTheme="minorEastAsia" w:hAnsiTheme="minorEastAsia" w:eastAsiaTheme="minorEastAsia"/>
          <w:sz w:val="24"/>
        </w:rPr>
      </w:pPr>
      <w:r>
        <w:rPr>
          <w:rFonts w:asciiTheme="minorEastAsia" w:hAnsiTheme="minorEastAsia" w:eastAsiaTheme="minorEastAsia"/>
          <w:b/>
          <w:bCs/>
          <w:sz w:val="24"/>
        </w:rPr>
        <w:t xml:space="preserve">6.5 质保期限：</w:t>
      </w:r>
      <w:r>
        <w:rPr>
          <w:rFonts w:hint="eastAsia" w:ascii="MS Gothic" w:hAnsi="MS Gothic" w:eastAsia="MS Gothic" w:cs="MS Gothic"/>
          <w:sz w:val="24"/>
        </w:rPr>
        <w:t xml:space="preserve">​</w:t>
      </w:r>
      <w:r>
        <w:rPr>
          <w:rFonts w:cs="宋体" w:asciiTheme="minorEastAsia" w:hAnsiTheme="minorEastAsia" w:eastAsiaTheme="minorEastAsia"/>
          <w:sz w:val="24"/>
        </w:rPr>
        <w:t xml:space="preserve">所有物资质保期自物资入库（进入甲方指定仓库）并验收合格之日起计算，质保期不低于12个月（如国家标准或行业标准对该类物资有更长质保期限规定的，从其规定）。质保期内出现质量问题的，中标人须在接到通知后48小时内免费更换或维修，由此产生的运输、装卸等一切费用由中标人承担。更换后的物资质保期重新计算。</w:t>
      </w:r>
      <w:r/>
    </w:p>
    <w:p>
      <w:pPr>
        <w:keepLines/>
        <w:spacing w:line="360" w:lineRule="auto"/>
      </w:pPr>
      <w:r>
        <w:rPr>
          <w:rFonts w:hint="eastAsia" w:asciiTheme="minorEastAsia" w:hAnsiTheme="minorEastAsia" w:eastAsiaTheme="minorEastAsia"/>
          <w:b/>
          <w:bCs/>
          <w:sz w:val="24"/>
        </w:rPr>
        <w:t xml:space="preserve">6</w:t>
      </w:r>
      <w:r>
        <w:rPr>
          <w:rFonts w:asciiTheme="minorEastAsia" w:hAnsiTheme="minorEastAsia" w:eastAsiaTheme="minorEastAsia"/>
          <w:b/>
          <w:bCs/>
          <w:sz w:val="24"/>
        </w:rPr>
        <w:t xml:space="preserve">.6 </w:t>
      </w:r>
      <w:r>
        <w:rPr>
          <w:rFonts w:asciiTheme="minorEastAsia" w:hAnsiTheme="minorEastAsia" w:eastAsiaTheme="minorEastAsia"/>
          <w:b/>
        </w:rPr>
        <w:t xml:space="preserve">质量保证与拒收</w:t>
      </w:r>
      <w:r>
        <w:rPr>
          <w:rFonts w:hint="eastAsia" w:asciiTheme="minorEastAsia" w:hAnsiTheme="minorEastAsia" w:eastAsiaTheme="minorEastAsia"/>
          <w:b/>
        </w:rPr>
        <w:t xml:space="preserve">：</w:t>
      </w:r>
      <w:r>
        <w:t xml:space="preserve">乙方所供物资应为全新合格产品，不得提供临期或过期产品。到货物资的剩余质保期（或标注有效期）自验收合格之日起计算，</w:t>
      </w:r>
      <w:r>
        <w:rPr>
          <w:rStyle w:val="796"/>
        </w:rPr>
        <w:t xml:space="preserve">不得低于该产品标注有效期的</w:t>
      </w:r>
      <w:r>
        <w:rPr>
          <w:rStyle w:val="796"/>
          <w:rFonts w:hint="eastAsia"/>
        </w:rPr>
        <w:t xml:space="preserve">五</w:t>
      </w:r>
      <w:r>
        <w:rPr>
          <w:rStyle w:val="796"/>
        </w:rPr>
        <w:t xml:space="preserve">分之</w:t>
      </w:r>
      <w:r>
        <w:rPr>
          <w:rStyle w:val="796"/>
          <w:rFonts w:hint="eastAsia"/>
        </w:rPr>
        <w:t xml:space="preserve">四</w:t>
      </w:r>
      <w:r>
        <w:t xml:space="preserve">。</w:t>
      </w:r>
      <w:r>
        <w:rPr>
          <w:rFonts w:hint="eastAsia"/>
        </w:rPr>
        <w:t xml:space="preserve"> </w:t>
      </w:r>
      <w:r/>
    </w:p>
    <w:p>
      <w:pPr>
        <w:ind w:firstLine="420"/>
        <w:keepLines/>
        <w:spacing w:line="360" w:lineRule="auto"/>
      </w:pPr>
      <w:r>
        <w:t xml:space="preserve">经甲方或甲方委托的质检单位抽检，认定物资属于临期、过期或剩余质保期不足上述标准的，甲方有权</w:t>
      </w:r>
      <w:r>
        <w:rPr>
          <w:rStyle w:val="796"/>
        </w:rPr>
        <w:t xml:space="preserve">予以拒收</w:t>
      </w:r>
      <w:r>
        <w:t xml:space="preserve">，由此产生的退换货、运输、装卸等一切费用由乙方承担；因拒收导致交货逾期的，按本协议</w:t>
      </w:r>
      <w:r>
        <w:t xml:space="preserve">"</w:t>
      </w:r>
      <w:r>
        <w:t xml:space="preserve">责任</w:t>
      </w:r>
      <w:r>
        <w:t xml:space="preserve">"</w:t>
      </w:r>
      <w:r>
        <w:t xml:space="preserve">条款处理。</w:t>
      </w:r>
      <w:r/>
    </w:p>
    <w:p>
      <w:pPr>
        <w:keepLines/>
        <w:spacing w:line="360" w:lineRule="auto"/>
        <w:rPr>
          <w:rFonts w:asciiTheme="minorEastAsia" w:hAnsiTheme="minorEastAsia" w:eastAsiaTheme="minorEastAsia"/>
          <w:b/>
          <w:bCs/>
          <w:sz w:val="24"/>
        </w:rPr>
      </w:pPr>
      <w:r>
        <w:rPr>
          <w:rFonts w:hint="eastAsia" w:asciiTheme="minorEastAsia" w:hAnsiTheme="minorEastAsia" w:eastAsiaTheme="minorEastAsia"/>
          <w:sz w:val="24"/>
        </w:rPr>
        <w:t xml:space="preserve">七</w:t>
      </w:r>
      <w:r>
        <w:rPr>
          <w:rFonts w:asciiTheme="minorEastAsia" w:hAnsiTheme="minorEastAsia" w:eastAsiaTheme="minorEastAsia"/>
          <w:b/>
          <w:bCs/>
          <w:sz w:val="24"/>
        </w:rPr>
        <w:t xml:space="preserve">、报价要求</w:t>
      </w:r>
      <w:r/>
    </w:p>
    <w:p>
      <w:pPr>
        <w:keepLines/>
        <w:spacing w:line="360" w:lineRule="auto"/>
        <w:rPr>
          <w:rFonts w:asciiTheme="minorEastAsia" w:hAnsiTheme="minorEastAsia" w:eastAsiaTheme="minorEastAsia"/>
          <w:sz w:val="23"/>
        </w:rPr>
      </w:pPr>
      <w:r>
        <w:rPr>
          <w:rFonts w:hint="eastAsia" w:asciiTheme="minorEastAsia" w:hAnsiTheme="minorEastAsia" w:eastAsiaTheme="minorEastAsia"/>
          <w:sz w:val="23"/>
        </w:rPr>
        <w:t xml:space="preserve">1、</w:t>
      </w:r>
      <w:r>
        <w:rPr>
          <w:rFonts w:asciiTheme="minorEastAsia" w:hAnsiTheme="minorEastAsia" w:eastAsiaTheme="minorEastAsia"/>
          <w:sz w:val="23"/>
        </w:rPr>
        <w:t xml:space="preserve">投标人须对《采购需求》所列全部物资报出统一的投标单价（元/单位），该单价包含产品价、税金、运输至采购人仓库费用、装卸费、保险费、检验费、售后服务费及投标人利润等全部费用。</w:t>
      </w:r>
      <w:r/>
    </w:p>
    <w:p>
      <w:pPr>
        <w:keepLines/>
        <w:spacing w:line="360" w:lineRule="auto"/>
        <w:rPr>
          <w:rFonts w:asciiTheme="minorEastAsia" w:hAnsiTheme="minorEastAsia" w:eastAsiaTheme="minorEastAsia"/>
          <w:sz w:val="23"/>
        </w:rPr>
      </w:pPr>
      <w:r>
        <w:rPr>
          <w:rFonts w:hint="eastAsia" w:asciiTheme="minorEastAsia" w:hAnsiTheme="minorEastAsia" w:eastAsiaTheme="minorEastAsia"/>
          <w:sz w:val="23"/>
        </w:rPr>
        <w:t xml:space="preserve">2、</w:t>
      </w:r>
      <w:r>
        <w:rPr>
          <w:rFonts w:asciiTheme="minorEastAsia" w:hAnsiTheme="minorEastAsia" w:eastAsiaTheme="minorEastAsia"/>
          <w:sz w:val="23"/>
        </w:rPr>
        <w:t xml:space="preserve">同一物资的投标单价为唯一单价，同时适用于"实物采购"与"协议储备采购"两种模式，投标人不得对协议储备采购部分另行报出不同单价，也不得将代储管理费摊入或隐含于投标单价中。</w:t>
      </w:r>
      <w:r/>
    </w:p>
    <w:p>
      <w:pPr>
        <w:keepLines/>
        <w:spacing w:line="360" w:lineRule="auto"/>
        <w:rPr>
          <w:rFonts w:asciiTheme="minorEastAsia" w:hAnsiTheme="minorEastAsia" w:eastAsiaTheme="minorEastAsia"/>
          <w:sz w:val="23"/>
        </w:rPr>
      </w:pPr>
      <w:r>
        <w:rPr>
          <w:rFonts w:hint="eastAsia" w:asciiTheme="minorEastAsia" w:hAnsiTheme="minorEastAsia" w:eastAsiaTheme="minorEastAsia"/>
          <w:b/>
          <w:bCs/>
          <w:sz w:val="26"/>
        </w:rPr>
        <w:t xml:space="preserve">3、</w:t>
      </w:r>
      <w:r>
        <w:rPr>
          <w:rFonts w:asciiTheme="minorEastAsia" w:hAnsiTheme="minorEastAsia" w:eastAsiaTheme="minorEastAsia"/>
          <w:sz w:val="23"/>
        </w:rPr>
        <w:t xml:space="preserve">本项目采购预算及最高限价为人民币 </w:t>
      </w:r>
      <w:r>
        <w:rPr>
          <w:rStyle w:val="796"/>
          <w:rFonts w:asciiTheme="minorEastAsia" w:hAnsiTheme="minorEastAsia" w:eastAsiaTheme="minorEastAsia"/>
          <w:sz w:val="23"/>
        </w:rPr>
        <w:t xml:space="preserve">163.00万元</w:t>
      </w:r>
      <w:r>
        <w:rPr>
          <w:rFonts w:asciiTheme="minorEastAsia" w:hAnsiTheme="minorEastAsia" w:eastAsiaTheme="minorEastAsia"/>
          <w:sz w:val="23"/>
        </w:rPr>
        <w:t xml:space="preserve">，投标总价计算公式如下：</w:t>
      </w:r>
      <w:r/>
    </w:p>
    <w:p>
      <w:pPr>
        <w:ind w:firstLine="462"/>
        <w:keepLines/>
        <w:spacing w:line="360" w:lineRule="auto"/>
        <w:rPr>
          <w:rStyle w:val="796"/>
          <w:rFonts w:asciiTheme="minorEastAsia" w:hAnsiTheme="minorEastAsia" w:eastAsiaTheme="minorEastAsia"/>
          <w:sz w:val="23"/>
        </w:rPr>
      </w:pPr>
      <w:r>
        <w:rPr>
          <w:rStyle w:val="796"/>
          <w:rFonts w:asciiTheme="minorEastAsia" w:hAnsiTheme="minorEastAsia" w:eastAsiaTheme="minorEastAsia"/>
          <w:sz w:val="23"/>
        </w:rPr>
        <w:t xml:space="preserve">投标总价 = Σ（各物资实物采购数量 × 投标单价）+ 第1年代储管理费</w:t>
      </w:r>
      <w:r/>
    </w:p>
    <w:p>
      <w:pPr>
        <w:ind w:firstLine="460"/>
        <w:keepLines/>
        <w:spacing w:line="360" w:lineRule="auto"/>
        <w:rPr>
          <w:rFonts w:asciiTheme="minorEastAsia" w:hAnsiTheme="minorEastAsia" w:eastAsiaTheme="minorEastAsia"/>
          <w:sz w:val="23"/>
        </w:rPr>
      </w:pPr>
      <w:r>
        <w:rPr>
          <w:rFonts w:asciiTheme="minorEastAsia" w:hAnsiTheme="minorEastAsia" w:eastAsiaTheme="minorEastAsia"/>
          <w:sz w:val="23"/>
        </w:rPr>
        <w:t xml:space="preserve">即：投标总价 = 实物采购部分货值 + 第1年代储管理费。</w:t>
      </w:r>
      <w:r/>
    </w:p>
    <w:p>
      <w:pPr>
        <w:ind w:firstLine="460"/>
        <w:keepLines/>
        <w:spacing w:line="360" w:lineRule="auto"/>
        <w:rPr>
          <w:rFonts w:asciiTheme="minorEastAsia" w:hAnsiTheme="minorEastAsia" w:eastAsiaTheme="minorEastAsia"/>
          <w:sz w:val="23"/>
        </w:rPr>
      </w:pPr>
      <w:r>
        <w:rPr>
          <w:rFonts w:asciiTheme="minorEastAsia" w:hAnsiTheme="minorEastAsia" w:eastAsiaTheme="minorEastAsia"/>
          <w:sz w:val="23"/>
        </w:rPr>
        <w:t xml:space="preserve">投标总价不得超</w:t>
      </w:r>
      <w:r>
        <w:rPr>
          <w:rFonts w:hint="eastAsia" w:asciiTheme="minorEastAsia" w:hAnsiTheme="minorEastAsia" w:eastAsiaTheme="minorEastAsia"/>
          <w:sz w:val="23"/>
        </w:rPr>
        <w:t xml:space="preserve">出</w:t>
      </w:r>
      <w:r>
        <w:rPr>
          <w:rFonts w:asciiTheme="minorEastAsia" w:hAnsiTheme="minorEastAsia" w:eastAsiaTheme="minorEastAsia"/>
          <w:sz w:val="23"/>
        </w:rPr>
        <w:t xml:space="preserve">，否则其投标将被否决。</w:t>
      </w:r>
      <w:r/>
    </w:p>
    <w:p>
      <w:pPr>
        <w:pStyle w:val="743"/>
        <w:spacing w:before="0" w:after="0"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w:t>
      </w:r>
      <w:r>
        <w:rPr>
          <w:rFonts w:cs="Times New Roman" w:asciiTheme="minorEastAsia" w:hAnsiTheme="minorEastAsia" w:eastAsiaTheme="minorEastAsia"/>
          <w:b/>
          <w:bCs/>
          <w:sz w:val="24"/>
          <w:szCs w:val="24"/>
        </w:rPr>
        <w:t xml:space="preserve">、备注</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1. 本次采购分为实物采购和协议储备采购两部分：实物采购物资在签订合同后30日历天内完成供货；协议储备采购物资供应商应保证在采购人</w:t>
      </w:r>
      <w:r>
        <w:rPr>
          <w:rFonts w:hint="eastAsia" w:asciiTheme="minorEastAsia" w:hAnsiTheme="minorEastAsia" w:eastAsiaTheme="minorEastAsia"/>
          <w:sz w:val="24"/>
        </w:rPr>
        <w:t xml:space="preserve">调拨</w:t>
      </w:r>
      <w:r>
        <w:rPr>
          <w:rFonts w:asciiTheme="minorEastAsia" w:hAnsiTheme="minorEastAsia" w:eastAsiaTheme="minorEastAsia"/>
          <w:sz w:val="24"/>
        </w:rPr>
        <w:t xml:space="preserve">通知后48小时内送达指定地点。</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2. 储备物资产权归</w:t>
      </w:r>
      <w:r>
        <w:rPr>
          <w:rFonts w:hint="eastAsia" w:asciiTheme="minorEastAsia" w:hAnsiTheme="minorEastAsia" w:eastAsiaTheme="minorEastAsia"/>
          <w:sz w:val="24"/>
        </w:rPr>
        <w:t xml:space="preserve">成交</w:t>
      </w:r>
      <w:r>
        <w:rPr>
          <w:rFonts w:asciiTheme="minorEastAsia" w:hAnsiTheme="minorEastAsia" w:eastAsiaTheme="minorEastAsia"/>
          <w:sz w:val="24"/>
        </w:rPr>
        <w:t xml:space="preserve">人所有，存放于中标人场地由中标人代管；采购人不定期检查、调度、盘点。</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3. </w:t>
      </w:r>
      <w:r>
        <w:rPr>
          <w:rFonts w:hint="eastAsia" w:asciiTheme="minorEastAsia" w:hAnsiTheme="minorEastAsia" w:eastAsiaTheme="minorEastAsia"/>
          <w:sz w:val="24"/>
        </w:rPr>
        <w:t xml:space="preserve">储备供货时间及储备期限以合同约定为准，代管费按年度考核、按年支付。</w:t>
      </w:r>
      <w:r/>
    </w:p>
    <w:p>
      <w:pPr>
        <w:ind w:firstLine="480"/>
        <w:keepLines/>
        <w:spacing w:line="360" w:lineRule="auto"/>
        <w:rPr>
          <w:rFonts w:asciiTheme="minorEastAsia" w:hAnsiTheme="minorEastAsia" w:eastAsiaTheme="minorEastAsia"/>
          <w:sz w:val="24"/>
        </w:rPr>
      </w:pPr>
      <w:r>
        <w:rPr>
          <w:rFonts w:asciiTheme="minorEastAsia" w:hAnsiTheme="minorEastAsia" w:eastAsiaTheme="minorEastAsia"/>
          <w:sz w:val="24"/>
        </w:rPr>
        <w:t xml:space="preserve">4. 本协议包含「实际供货」与「协议储备供货」两部分，适用同一份合同、分章节约定（详见合同专用条款A、B部分）。</w:t>
      </w:r>
      <w:r/>
    </w:p>
    <w:p>
      <w:pPr>
        <w:keepLines/>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九、其他要求：见招标文件第五章《拟签订的合同文本》。</w:t>
      </w:r>
      <w:r/>
    </w:p>
    <w:p>
      <w:pPr>
        <w:keepLines/>
        <w:spacing w:line="360" w:lineRule="auto"/>
        <w:rPr>
          <w:rFonts w:cs="宋体" w:asciiTheme="minorEastAsia" w:hAnsiTheme="minorEastAsia" w:eastAsiaTheme="minorEastAsia"/>
          <w:b/>
          <w:sz w:val="30"/>
        </w:rPr>
      </w:pPr>
      <w:r>
        <w:rPr>
          <w:rFonts w:hint="eastAsia" w:cs="宋体" w:asciiTheme="minorEastAsia" w:hAnsiTheme="minorEastAsia" w:eastAsiaTheme="minorEastAsia"/>
          <w:b/>
          <w:sz w:val="30"/>
        </w:rPr>
        <w:br w:type="page" w:clear="all"/>
      </w:r>
      <w:r/>
    </w:p>
    <w:p>
      <w:pPr>
        <w:jc w:val="center"/>
        <w:spacing w:line="360" w:lineRule="auto"/>
        <w:rPr>
          <w:rFonts w:cs="宋体"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0"/>
        </w:rPr>
        <w:t xml:space="preserve">第七章 投标文件相关格式</w:t>
      </w:r>
      <w:r/>
    </w:p>
    <w:p>
      <w:pPr>
        <w:ind w:firstLine="640"/>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rPr>
        <w:t xml:space="preserve">一、投标函格式</w:t>
      </w:r>
      <w:r/>
    </w:p>
    <w:p>
      <w:pPr>
        <w:spacing w:line="46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致：</w:t>
      </w:r>
      <w:r>
        <w:rPr>
          <w:rFonts w:hint="eastAsia" w:cs="宋体" w:asciiTheme="minorEastAsia" w:hAnsiTheme="minorEastAsia" w:eastAsiaTheme="minorEastAsia"/>
          <w:sz w:val="24"/>
          <w:u w:val="single"/>
        </w:rPr>
        <w:t xml:space="preserve">睢宁县经济发展局</w:t>
      </w:r>
      <w:r/>
    </w:p>
    <w:p>
      <w:pPr>
        <w:ind w:firstLine="600"/>
        <w:spacing w:line="46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根据</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项目[项目编号：</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]招标文件，</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(姓名)代表我方</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（投标人的名称）全权处理本次投标的有关事宜。</w:t>
      </w:r>
      <w:r/>
    </w:p>
    <w:p>
      <w:pPr>
        <w:ind w:firstLine="600"/>
        <w:spacing w:line="46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据此函，投标人承诺并同意如下： </w:t>
      </w:r>
      <w:r/>
    </w:p>
    <w:p>
      <w:pPr>
        <w:ind w:firstLine="480"/>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 投标人唯一投标报价见《开标一览表》。</w:t>
      </w:r>
      <w:r/>
    </w:p>
    <w:p>
      <w:pPr>
        <w:ind w:firstLine="480"/>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 投标人将按招标文件的规定履行合同责任和义务。</w:t>
      </w:r>
      <w:r/>
    </w:p>
    <w:p>
      <w:pPr>
        <w:ind w:firstLine="480"/>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3. 投标人已详细审查全部招标文件，包括第[插入编号] [补遗书][如果有的话]。投标人完全理解并同意放弃对这方面有不明及误解的权力。</w:t>
      </w:r>
      <w:r/>
    </w:p>
    <w:p>
      <w:pPr>
        <w:ind w:firstLine="480"/>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4. 投标有效期为开标之日后90天。</w:t>
      </w:r>
      <w:r/>
    </w:p>
    <w:p>
      <w:pPr>
        <w:ind w:firstLine="480"/>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5. 投标人同意提供按照贵方可能要求的与其投标有关的一切数据或资料，完全理解贵方不一定接受最低价的投标或收到的任何投标。</w:t>
      </w:r>
      <w:r/>
    </w:p>
    <w:p>
      <w:pPr>
        <w:ind w:firstLine="480"/>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6. 投标人同意按照招标文件规定支付招标代理服务费。</w:t>
      </w:r>
      <w:r/>
    </w:p>
    <w:p>
      <w:pPr>
        <w:ind w:firstLine="480"/>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8. 采购人有权对投标人投标文件的真实性进行核实，如投标人不能在采购人规定的时间内向采购人提供有效的证明文件，将被采购人视为放弃中标资格。</w:t>
      </w:r>
      <w:r/>
    </w:p>
    <w:p>
      <w:pPr>
        <w:ind w:firstLine="480"/>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9. 与本投标有关的一切正式往来信函请寄：</w:t>
      </w:r>
      <w:r/>
    </w:p>
    <w:p>
      <w:pPr>
        <w:ind w:firstLine="1200"/>
        <w:spacing w:line="46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地址： </w:t>
      </w:r>
      <w:r/>
    </w:p>
    <w:p>
      <w:pPr>
        <w:ind w:firstLine="1200"/>
        <w:spacing w:line="46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电话： </w:t>
      </w:r>
      <w:r/>
    </w:p>
    <w:p>
      <w:pPr>
        <w:ind w:firstLine="1200"/>
        <w:spacing w:line="46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传真： </w:t>
      </w:r>
      <w:r/>
    </w:p>
    <w:p>
      <w:pPr>
        <w:ind w:firstLine="3360"/>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投标人：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（电子签章）</w:t>
      </w:r>
      <w:r/>
    </w:p>
    <w:p>
      <w:pPr>
        <w:ind w:firstLine="3360"/>
        <w:spacing w:line="44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日期：  年 月 日</w:t>
      </w:r>
      <w:r/>
    </w:p>
    <w:p>
      <w:pPr>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br w:type="page" w:clear="all"/>
      </w:r>
      <w:r/>
    </w:p>
    <w:p>
      <w:pPr>
        <w:pStyle w:val="1044"/>
        <w:numPr>
          <w:ilvl w:val="0"/>
          <w:numId w:val="3"/>
        </w:numPr>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rPr>
        <w:t xml:space="preserve">开标一览表</w:t>
      </w:r>
      <w:r/>
    </w:p>
    <w:p>
      <w:pPr>
        <w:pStyle w:val="1044"/>
        <w:ind w:left="720" w:firstLine="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jc w:val="right"/>
        <w:rPr>
          <w:rFonts w:cs="宋体" w:asciiTheme="minorEastAsia" w:hAnsiTheme="minorEastAsia" w:eastAsiaTheme="minorEastAsia"/>
          <w:sz w:val="24"/>
        </w:rPr>
      </w:pPr>
      <w:r>
        <w:rPr>
          <w:rFonts w:hint="eastAsia" w:cs="宋体" w:asciiTheme="minorEastAsia" w:hAnsiTheme="minorEastAsia" w:eastAsiaTheme="minorEastAsia"/>
          <w:sz w:val="24"/>
        </w:rPr>
        <w:t xml:space="preserve">          　 货币单位：人民币元</w:t>
      </w:r>
      <w:r/>
    </w:p>
    <w:p>
      <w:pPr>
        <w:jc w:val="right"/>
        <w:rPr>
          <w:rFonts w:cs="宋体" w:asciiTheme="minorEastAsia" w:hAnsiTheme="minorEastAsia" w:eastAsiaTheme="minorEastAsia"/>
          <w:sz w:val="24"/>
        </w:rPr>
      </w:pPr>
      <w:r>
        <w:rPr>
          <w:rFonts w:cs="宋体" w:asciiTheme="minorEastAsia" w:hAnsiTheme="minorEastAsia" w:eastAsiaTheme="minorEastAsia"/>
          <w:sz w:val="24"/>
        </w:rPr>
      </w:r>
      <w:r/>
    </w:p>
    <w:tbl>
      <w:tblPr>
        <w:tblStyle w:val="795"/>
        <w:tblW w:w="0" w:type="auto"/>
        <w:jc w:val="center"/>
        <w:tblInd w:w="0" w:type="dxa"/>
        <w:tblLook w:val="04A0" w:firstRow="1" w:lastRow="0" w:firstColumn="1" w:lastColumn="0" w:noHBand="0" w:noVBand="1"/>
      </w:tblPr>
      <w:tblGrid>
        <w:gridCol w:w="1271"/>
        <w:gridCol w:w="2410"/>
        <w:gridCol w:w="2126"/>
        <w:gridCol w:w="2202"/>
      </w:tblGrid>
      <w:tr>
        <w:trPr>
          <w:jc w:val="center"/>
          <w:trHeight w:val="776"/>
        </w:trPr>
        <w:tc>
          <w:tcPr>
            <w:tcW w:w="1271"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W w:w="2410"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w:t>
            </w:r>
            <w:r/>
          </w:p>
        </w:tc>
        <w:tc>
          <w:tcPr>
            <w:tcW w:w="2126"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金额（元）</w:t>
            </w:r>
            <w:r/>
          </w:p>
        </w:tc>
        <w:tc>
          <w:tcPr>
            <w:tcW w:w="2202"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jc w:val="center"/>
          <w:trHeight w:val="776"/>
        </w:trPr>
        <w:tc>
          <w:tcPr>
            <w:tcW w:w="1271"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2410"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实物采购货值</w:t>
            </w:r>
            <w:r/>
          </w:p>
        </w:tc>
        <w:tc>
          <w:tcPr>
            <w:tcW w:w="2126"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202"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Σ(实物数量×投标单价)</w:t>
            </w:r>
            <w:r/>
          </w:p>
        </w:tc>
      </w:tr>
      <w:tr>
        <w:trPr>
          <w:jc w:val="center"/>
          <w:trHeight w:val="776"/>
        </w:trPr>
        <w:tc>
          <w:tcPr>
            <w:tcW w:w="1271"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2410"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第1年代储管理费</w:t>
            </w:r>
            <w:r/>
          </w:p>
        </w:tc>
        <w:tc>
          <w:tcPr>
            <w:tcW w:w="2126"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tc>
        <w:tc>
          <w:tcPr>
            <w:tcW w:w="2202" w:type="dxa"/>
            <w:vAlign w:val="center"/>
            <w:textDirection w:val="lrTb"/>
            <w:noWrap w:val="false"/>
          </w:tcPr>
          <w:p>
            <w:pPr>
              <w:jc w:val="center"/>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776"/>
        </w:trPr>
        <w:tc>
          <w:tcPr>
            <w:gridSpan w:val="2"/>
            <w:tcW w:w="3681" w:type="dxa"/>
            <w:vAlign w:val="center"/>
            <w:textDirection w:val="lrTb"/>
            <w:noWrap w:val="false"/>
          </w:tcPr>
          <w:p>
            <w:pPr>
              <w:jc w:val="righ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合计：（小写）</w:t>
            </w:r>
            <w:r/>
          </w:p>
        </w:tc>
        <w:tc>
          <w:tcPr>
            <w:gridSpan w:val="2"/>
            <w:tcW w:w="4328" w:type="dxa"/>
            <w:vAlign w:val="center"/>
            <w:textDirection w:val="lrTb"/>
            <w:noWrap w:val="false"/>
          </w:tcPr>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776"/>
        </w:trPr>
        <w:tc>
          <w:tcPr>
            <w:gridSpan w:val="2"/>
            <w:tcW w:w="3681" w:type="dxa"/>
            <w:vAlign w:val="center"/>
            <w:textDirection w:val="lrTb"/>
            <w:noWrap w:val="false"/>
          </w:tcPr>
          <w:p>
            <w:pPr>
              <w:jc w:val="right"/>
              <w:spacing w:line="360" w:lineRule="auto"/>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合计：（大写）</w:t>
            </w:r>
            <w:r/>
          </w:p>
        </w:tc>
        <w:tc>
          <w:tcPr>
            <w:gridSpan w:val="2"/>
            <w:tcW w:w="4328" w:type="dxa"/>
            <w:vAlign w:val="center"/>
            <w:textDirection w:val="lrTb"/>
            <w:noWrap w:val="false"/>
          </w:tcPr>
          <w:p>
            <w:pPr>
              <w:jc w:val="left"/>
              <w:spacing w:line="360" w:lineRule="auto"/>
              <w:widowControl/>
              <w:rPr>
                <w:rFonts w:cs="宋体" w:asciiTheme="minorEastAsia" w:hAnsiTheme="minorEastAsia" w:eastAsiaTheme="minorEastAsia"/>
                <w:sz w:val="24"/>
              </w:rPr>
            </w:pPr>
            <w:r>
              <w:rPr>
                <w:rFonts w:cs="宋体" w:asciiTheme="minorEastAsia" w:hAnsiTheme="minorEastAsia" w:eastAsiaTheme="minorEastAsia"/>
                <w:sz w:val="24"/>
              </w:rPr>
            </w:r>
            <w:r/>
          </w:p>
        </w:tc>
      </w:tr>
    </w:tbl>
    <w:p>
      <w:pPr>
        <w:jc w:val="left"/>
        <w:spacing w:before="100" w:beforeAutospacing="1" w:after="100" w:afterAutospacing="1"/>
        <w:widowControl/>
        <w:rPr>
          <w:rFonts w:cs="宋体" w:asciiTheme="minorEastAsia" w:hAnsiTheme="minorEastAsia" w:eastAsiaTheme="minorEastAsia"/>
          <w:sz w:val="24"/>
        </w:rPr>
      </w:pPr>
      <w:r>
        <w:rPr>
          <w:rFonts w:cs="宋体" w:asciiTheme="minorEastAsia" w:hAnsiTheme="minorEastAsia" w:eastAsiaTheme="minorEastAsia"/>
          <w:b/>
          <w:bCs/>
          <w:sz w:val="24"/>
        </w:rPr>
        <w:t xml:space="preserve">填表说明：</w:t>
      </w:r>
      <w:r/>
    </w:p>
    <w:p>
      <w:pPr>
        <w:numPr>
          <w:ilvl w:val="0"/>
          <w:numId w:val="4"/>
        </w:numPr>
        <w:jc w:val="left"/>
        <w:spacing w:before="100" w:beforeAutospacing="1" w:after="100" w:afterAutospacing="1"/>
        <w:widowControl/>
        <w:rPr>
          <w:rFonts w:cs="宋体" w:asciiTheme="minorEastAsia" w:hAnsiTheme="minorEastAsia" w:eastAsiaTheme="minorEastAsia"/>
          <w:sz w:val="24"/>
        </w:rPr>
      </w:pPr>
      <w:r>
        <w:rPr>
          <w:rFonts w:cs="宋体" w:asciiTheme="minorEastAsia" w:hAnsiTheme="minorEastAsia" w:eastAsiaTheme="minorEastAsia"/>
          <w:sz w:val="24"/>
        </w:rPr>
        <w:t xml:space="preserve">本表“合计”= 实物采购货值 + 第1年代储管理费</w:t>
      </w:r>
      <w:r>
        <w:rPr>
          <w:rFonts w:hint="eastAsia" w:cs="宋体" w:asciiTheme="minorEastAsia" w:hAnsiTheme="minorEastAsia" w:eastAsiaTheme="minorEastAsia"/>
          <w:sz w:val="24"/>
        </w:rPr>
        <w:t xml:space="preserve">。</w:t>
      </w:r>
      <w:r/>
    </w:p>
    <w:p>
      <w:pPr>
        <w:numPr>
          <w:ilvl w:val="0"/>
          <w:numId w:val="4"/>
        </w:numPr>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实物采购货值 = Σ（实物采购数量 × 投标单价）。</w:t>
      </w:r>
      <w:r/>
    </w:p>
    <w:p>
      <w:pPr>
        <w:numPr>
          <w:ilvl w:val="0"/>
          <w:numId w:val="4"/>
        </w:numPr>
        <w:jc w:val="left"/>
        <w:spacing w:before="100" w:beforeAutospacing="1" w:after="100" w:afterAutospacing="1"/>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同一物资投标单价唯一，同时适用实物与储备模式，不得对储备部分另行报价或摊入费用。</w:t>
      </w:r>
      <w:r/>
    </w:p>
    <w:p>
      <w:pPr>
        <w:numPr>
          <w:ilvl w:val="0"/>
          <w:numId w:val="4"/>
        </w:numPr>
        <w:jc w:val="left"/>
        <w:spacing w:before="100" w:beforeAutospacing="1" w:after="100" w:afterAutospacing="1" w:line="360" w:lineRule="auto"/>
        <w:widowControl/>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投标单价详见《分项报价表》。</w:t>
      </w:r>
      <w:r/>
    </w:p>
    <w:p>
      <w:pPr>
        <w:numPr>
          <w:ilvl w:val="0"/>
          <w:numId w:val="4"/>
        </w:numPr>
        <w:jc w:val="left"/>
        <w:spacing w:before="100" w:beforeAutospacing="1" w:after="100" w:afterAutospacing="1" w:line="360" w:lineRule="auto"/>
        <w:widowControl/>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投标总价的大小写金额不一致的，以大写金额为准。</w:t>
      </w:r>
      <w:r/>
    </w:p>
    <w:p>
      <w:pPr>
        <w:ind w:firstLine="3640"/>
        <w:spacing w:line="30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（电子签章）</w:t>
      </w:r>
      <w:r/>
    </w:p>
    <w:p>
      <w:pPr>
        <w:ind w:firstLine="364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bCs/>
          <w:sz w:val="32"/>
          <w:szCs w:val="32"/>
        </w:rPr>
      </w:r>
      <w:r/>
    </w:p>
    <w:p>
      <w:pPr>
        <w:ind w:firstLine="600"/>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rPr>
        <w:t xml:space="preserve">三、分项价格表格式</w:t>
      </w:r>
      <w:r/>
    </w:p>
    <w:p>
      <w:pPr>
        <w:ind w:firstLine="600"/>
        <w:spacing w:line="479" w:lineRule="atLeast"/>
        <w:rPr>
          <w:rFonts w:cs="宋体" w:asciiTheme="minorEastAsia" w:hAnsiTheme="minorEastAsia" w:eastAsiaTheme="minorEastAsia"/>
          <w:sz w:val="3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30"/>
        </w:rPr>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jc w:val="right"/>
        <w:rPr>
          <w:rFonts w:cs="宋体" w:asciiTheme="minorEastAsia" w:hAnsiTheme="minorEastAsia" w:eastAsiaTheme="minorEastAsia"/>
          <w:sz w:val="24"/>
        </w:rPr>
      </w:pPr>
      <w:r>
        <w:rPr>
          <w:rFonts w:hint="eastAsia" w:cs="宋体" w:asciiTheme="minorEastAsia" w:hAnsiTheme="minorEastAsia" w:eastAsiaTheme="minorEastAsia"/>
          <w:sz w:val="24"/>
        </w:rPr>
        <w:t xml:space="preserve">          　 货币单位：人民币元</w:t>
      </w:r>
      <w:r/>
    </w:p>
    <w:p>
      <w:pPr>
        <w:ind w:firstLine="3120"/>
        <w:rPr>
          <w:rFonts w:cs="宋体" w:asciiTheme="minorEastAsia" w:hAnsiTheme="minorEastAsia" w:eastAsiaTheme="minorEastAsia"/>
          <w:sz w:val="24"/>
        </w:rPr>
      </w:pPr>
      <w:r>
        <w:rPr>
          <w:rFonts w:cs="宋体" w:asciiTheme="minorEastAsia" w:hAnsiTheme="minorEastAsia" w:eastAsiaTheme="minorEastAsia"/>
          <w:sz w:val="24"/>
        </w:rPr>
      </w:r>
      <w:r/>
    </w:p>
    <w:tbl>
      <w:tblPr>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tcMar>
              <w:left w:w="15" w:type="dxa"/>
              <w:top w:w="15" w:type="dxa"/>
              <w:right w:w="15" w:type="dxa"/>
              <w:bottom w:w="0" w:type="dxa"/>
            </w:tcMar>
            <w:tcW w:w="505"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序号</w:t>
            </w:r>
            <w:r/>
          </w:p>
        </w:tc>
        <w:tc>
          <w:tcPr>
            <w:tcMar>
              <w:left w:w="15" w:type="dxa"/>
              <w:top w:w="15" w:type="dxa"/>
              <w:right w:w="15" w:type="dxa"/>
              <w:bottom w:w="0" w:type="dxa"/>
            </w:tcMar>
            <w:tcW w:w="975"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名称</w:t>
            </w:r>
            <w:r/>
          </w:p>
        </w:tc>
        <w:tc>
          <w:tcPr>
            <w:tcMar>
              <w:left w:w="15" w:type="dxa"/>
              <w:top w:w="15" w:type="dxa"/>
              <w:right w:w="15" w:type="dxa"/>
              <w:bottom w:w="0" w:type="dxa"/>
            </w:tcMar>
            <w:tcW w:w="1005"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品牌、规格、型号</w:t>
            </w:r>
            <w:r/>
          </w:p>
        </w:tc>
        <w:tc>
          <w:tcPr>
            <w:tcMar>
              <w:left w:w="15" w:type="dxa"/>
              <w:top w:w="15" w:type="dxa"/>
              <w:right w:w="15" w:type="dxa"/>
              <w:bottom w:w="0" w:type="dxa"/>
            </w:tcMar>
            <w:tcW w:w="1346"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产品制造企业名称（全称）</w:t>
            </w:r>
            <w:r/>
          </w:p>
        </w:tc>
        <w:tc>
          <w:tcPr>
            <w:tcMar>
              <w:left w:w="15" w:type="dxa"/>
              <w:top w:w="15" w:type="dxa"/>
              <w:right w:w="15" w:type="dxa"/>
              <w:bottom w:w="0" w:type="dxa"/>
            </w:tcMar>
            <w:tcW w:w="1999"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产品制造企业的划分（大型、中型、小型、微型、监狱企业、享受政府采购支持政策的残疾人福利性单位）</w:t>
            </w:r>
            <w:r/>
          </w:p>
        </w:tc>
        <w:tc>
          <w:tcPr>
            <w:tcMar>
              <w:left w:w="15" w:type="dxa"/>
              <w:top w:w="15" w:type="dxa"/>
              <w:right w:w="15" w:type="dxa"/>
              <w:bottom w:w="0" w:type="dxa"/>
            </w:tcMar>
            <w:tcW w:w="750"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数量</w:t>
            </w:r>
            <w:r/>
          </w:p>
        </w:tc>
        <w:tc>
          <w:tcPr>
            <w:tcMar>
              <w:left w:w="15" w:type="dxa"/>
              <w:top w:w="15" w:type="dxa"/>
              <w:right w:w="15" w:type="dxa"/>
              <w:bottom w:w="0" w:type="dxa"/>
            </w:tcMar>
            <w:tcW w:w="862"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数量单位</w:t>
            </w:r>
            <w:r/>
          </w:p>
        </w:tc>
        <w:tc>
          <w:tcPr>
            <w:tcMar>
              <w:left w:w="15" w:type="dxa"/>
              <w:top w:w="15" w:type="dxa"/>
              <w:right w:w="15" w:type="dxa"/>
              <w:bottom w:w="0" w:type="dxa"/>
            </w:tcMar>
            <w:tcW w:w="807"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单价</w:t>
            </w:r>
            <w:r/>
          </w:p>
        </w:tc>
        <w:tc>
          <w:tcPr>
            <w:tcW w:w="806"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总价</w:t>
            </w:r>
            <w:r/>
          </w:p>
        </w:tc>
        <w:tc>
          <w:tcPr>
            <w:tcMar>
              <w:left w:w="15" w:type="dxa"/>
              <w:top w:w="15" w:type="dxa"/>
              <w:right w:w="15" w:type="dxa"/>
              <w:bottom w:w="0" w:type="dxa"/>
            </w:tcMar>
            <w:tcW w:w="784" w:type="dxa"/>
            <w:vAlign w:val="center"/>
            <w:textDirection w:val="lrTb"/>
            <w:noWrap w:val="false"/>
          </w:tcPr>
          <w:p>
            <w:pPr>
              <w:jc w:val="center"/>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80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80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80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80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80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Mar>
              <w:left w:w="15" w:type="dxa"/>
              <w:top w:w="15" w:type="dxa"/>
              <w:right w:w="15" w:type="dxa"/>
              <w:bottom w:w="0" w:type="dxa"/>
            </w:tcMar>
            <w:tcW w:w="97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005"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34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1999"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50"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62"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807"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W w:w="806"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c>
          <w:tcPr>
            <w:tcMar>
              <w:left w:w="15" w:type="dxa"/>
              <w:top w:w="15" w:type="dxa"/>
              <w:right w:w="15" w:type="dxa"/>
              <w:bottom w:w="0" w:type="dxa"/>
            </w:tcMar>
            <w:tcW w:w="784" w:type="dxa"/>
            <w:vAlign w:val="bottom"/>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总价合计（即《开标一览表》中的“总价”）</w:t>
            </w:r>
            <w:r/>
          </w:p>
        </w:tc>
        <w:tc>
          <w:tcPr>
            <w:gridSpan w:val="6"/>
            <w:tcW w:w="6008" w:type="dxa"/>
            <w:textDirection w:val="lrTb"/>
            <w:noWrap w:val="false"/>
          </w:tcPr>
          <w:p>
            <w:pPr>
              <w:jc w:val="center"/>
              <w:rPr>
                <w:rFonts w:cs="宋体" w:asciiTheme="minorEastAsia" w:hAnsiTheme="minorEastAsia" w:eastAsiaTheme="minorEastAsia"/>
                <w:sz w:val="24"/>
              </w:rPr>
            </w:pPr>
            <w:r>
              <w:rPr>
                <w:rFonts w:cs="宋体" w:asciiTheme="minorEastAsia" w:hAnsiTheme="minorEastAsia" w:eastAsiaTheme="minorEastAsia"/>
                <w:sz w:val="24"/>
              </w:rPr>
            </w:r>
            <w:r/>
          </w:p>
        </w:tc>
      </w:tr>
    </w:tbl>
    <w:p>
      <w:pPr>
        <w:rPr>
          <w:rFonts w:cs="宋体" w:asciiTheme="minorEastAsia" w:hAnsiTheme="minorEastAsia" w:eastAsiaTheme="minorEastAsia"/>
          <w:sz w:val="24"/>
        </w:rPr>
      </w:pPr>
      <w:r>
        <w:rPr>
          <w:rFonts w:cs="宋体" w:asciiTheme="minorEastAsia" w:hAnsiTheme="minorEastAsia" w:eastAsiaTheme="minorEastAsia"/>
          <w:sz w:val="24"/>
        </w:rPr>
      </w:r>
      <w:r/>
    </w:p>
    <w:p>
      <w:pPr>
        <w:ind w:firstLine="3640"/>
        <w:spacing w:line="30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（电子签章）</w:t>
      </w:r>
      <w:r/>
    </w:p>
    <w:p>
      <w:pPr>
        <w:ind w:firstLine="364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日期：   年  月  日</w:t>
      </w:r>
      <w:r/>
    </w:p>
    <w:p>
      <w:pPr>
        <w:rPr>
          <w:rFonts w:cs="宋体" w:asciiTheme="minorEastAsia" w:hAnsiTheme="minorEastAsia" w:eastAsiaTheme="minorEastAsia"/>
          <w:sz w:val="24"/>
        </w:rPr>
      </w:pPr>
      <w:r>
        <w:rPr>
          <w:rFonts w:cs="宋体" w:asciiTheme="minorEastAsia" w:hAnsiTheme="minorEastAsia" w:eastAsiaTheme="minorEastAsia"/>
          <w:sz w:val="24"/>
        </w:rPr>
      </w:r>
      <w:r/>
    </w:p>
    <w:p>
      <w:pPr>
        <w:ind w:firstLine="560"/>
        <w:jc w:val="left"/>
        <w:widowControl/>
        <w:rPr>
          <w:rFonts w:cs="宋体" w:asciiTheme="minorEastAsia" w:hAnsiTheme="minorEastAsia" w:eastAsiaTheme="minorEastAsia"/>
          <w:sz w:val="24"/>
        </w:rPr>
      </w:pPr>
      <w:r>
        <w:rPr>
          <w:rFonts w:cs="宋体" w:asciiTheme="minorEastAsia" w:hAnsiTheme="minorEastAsia" w:eastAsiaTheme="minorEastAsia"/>
          <w:sz w:val="24"/>
        </w:rPr>
      </w:r>
      <w:r/>
    </w:p>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注：</w:t>
      </w:r>
      <w:r/>
    </w:p>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1、如果不提供详细分项报价将视为没有实质性响应招标文件。</w:t>
      </w:r>
      <w:r/>
    </w:p>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2、投标人对以上数据的真实性负责。</w:t>
      </w:r>
      <w:r/>
    </w:p>
    <w:p>
      <w:pPr>
        <w:jc w:val="left"/>
        <w:widowControl/>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采购人或采购代理机构有权将以上内容进行公示。</w:t>
      </w:r>
      <w:r/>
    </w:p>
    <w:p>
      <w:pPr>
        <w:ind w:firstLine="560"/>
        <w:jc w:val="center"/>
        <w:spacing w:line="479"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rPr>
        <w:br w:type="page" w:clear="all"/>
      </w:r>
      <w:r/>
    </w:p>
    <w:p>
      <w:pPr>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rPr>
        <w:t xml:space="preserve">四、偏离表格式</w:t>
      </w:r>
      <w:r/>
    </w:p>
    <w:p>
      <w:pPr>
        <w:spacing w:line="479" w:lineRule="atLeas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项目编号：</w:t>
      </w:r>
      <w:r/>
    </w:p>
    <w:p>
      <w:pPr>
        <w:spacing w:line="479" w:lineRule="atLeas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项目名称：</w:t>
      </w:r>
      <w:r/>
    </w:p>
    <w:tbl>
      <w:tblPr>
        <w:tblStyle w:val="862"/>
        <w:tblW w:w="851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序号</w:t>
            </w:r>
            <w:r/>
          </w:p>
        </w:tc>
        <w:tc>
          <w:tcPr>
            <w:tcMar>
              <w:left w:w="108" w:type="dxa"/>
              <w:top w:w="0" w:type="dxa"/>
              <w:right w:w="108" w:type="dxa"/>
              <w:bottom w:w="0" w:type="dxa"/>
            </w:tcMar>
            <w:tcW w:w="1514"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r>
        <w:trPr>
          <w:trHeight w:val="794"/>
        </w:trPr>
        <w:tc>
          <w:tcPr>
            <w:tcMar>
              <w:left w:w="108" w:type="dxa"/>
              <w:top w:w="0" w:type="dxa"/>
              <w:right w:w="108" w:type="dxa"/>
              <w:bottom w:w="0" w:type="dxa"/>
            </w:tcMar>
            <w:tcW w:w="84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514"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50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681"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380"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c>
          <w:tcPr>
            <w:tcMar>
              <w:left w:w="108" w:type="dxa"/>
              <w:top w:w="0" w:type="dxa"/>
              <w:right w:w="108" w:type="dxa"/>
              <w:bottom w:w="0" w:type="dxa"/>
            </w:tcMar>
            <w:tcW w:w="1597" w:type="dxa"/>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bl>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注</w:t>
      </w:r>
      <w:r>
        <w:rPr>
          <w:rFonts w:hint="eastAsia" w:cs="宋体" w:asciiTheme="minorEastAsia" w:hAnsiTheme="minorEastAsia" w:eastAsiaTheme="minorEastAsia"/>
          <w:sz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p>
      <w:pPr>
        <w:spacing w:line="71" w:lineRule="atLeas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投标人：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（电子签章）</w:t>
      </w:r>
      <w:r/>
    </w:p>
    <w:p>
      <w:pPr>
        <w:ind w:firstLine="3900"/>
        <w:spacing w:line="85" w:lineRule="atLeas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 </w:t>
      </w:r>
      <w:r/>
    </w:p>
    <w:p>
      <w:pPr>
        <w:spacing w:line="85" w:lineRule="atLeas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日期： 年 月 日</w:t>
      </w:r>
      <w:r/>
    </w:p>
    <w:p>
      <w:pPr>
        <w:ind w:firstLine="600"/>
        <w:spacing w:line="479"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rPr>
        <w:t xml:space="preserve">  </w:t>
      </w:r>
      <w:r/>
    </w:p>
    <w:p>
      <w:pPr>
        <w:jc w:val="center"/>
        <w:spacing w:line="479" w:lineRule="atLeast"/>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bCs/>
          <w:sz w:val="32"/>
          <w:szCs w:val="32"/>
        </w:rPr>
      </w:r>
      <w:r/>
    </w:p>
    <w:p>
      <w:pPr>
        <w:jc w:val="cente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rPr>
        <w:t xml:space="preserve">五、授权委托书格式</w:t>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8"/>
          <w:szCs w:val="28"/>
        </w:rPr>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委托人：</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地址：</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法定代表人：</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职务：</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统一社会信用代码：</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受托人：        性别：男（女）</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年龄：  岁      民族：  族</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职务：</w:t>
      </w:r>
      <w:r/>
    </w:p>
    <w:p>
      <w:pPr>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身份证号：</w:t>
      </w:r>
      <w:r/>
    </w:p>
    <w:p>
      <w:pPr>
        <w:ind w:firstLine="60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兹委托（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）全权代表我企业（公司）参与（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）项目（项目编号：</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）的招、投标活动及签订合同。（</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）以我企业（公司）名义所为的法律行为及签署的文件，我企业（公司）均予以认可。有关法律责任均由我企业（公司）承担。（</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）无转委托权。</w:t>
      </w:r>
      <w:r/>
    </w:p>
    <w:p>
      <w:pPr>
        <w:ind w:firstLine="60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委托期限自</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年</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月</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日起至</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年</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月</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日止。</w:t>
      </w:r>
      <w:r/>
    </w:p>
    <w:p>
      <w:pPr>
        <w:ind w:firstLine="63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特此授权委托。</w:t>
      </w:r>
      <w:r/>
    </w:p>
    <w:p>
      <w:pPr>
        <w:ind w:firstLine="60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p>
      <w:pPr>
        <w:ind w:firstLine="60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委托人（电子签章）：</w:t>
      </w:r>
      <w:r/>
    </w:p>
    <w:p>
      <w:pPr>
        <w:ind w:firstLine="600"/>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法定代表人（签字或盖章）：</w:t>
      </w:r>
      <w:r/>
    </w:p>
    <w:p>
      <w:pPr>
        <w:ind w:firstLine="600"/>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24"/>
        </w:rPr>
      </w:r>
      <w:r/>
    </w:p>
    <w:p>
      <w:pPr>
        <w:ind w:firstLine="600"/>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 </w:t>
      </w:r>
      <w:r/>
    </w:p>
    <w:p>
      <w:pPr>
        <w:ind w:firstLine="600"/>
        <w:spacing w:line="360" w:lineRule="auto"/>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受托人（签字或盖章）：</w:t>
      </w:r>
      <w:r/>
    </w:p>
    <w:p>
      <w:pPr>
        <w:pStyle w:val="830"/>
        <w:ind w:left="0" w:firstLine="602"/>
        <w:spacing w:line="360" w:lineRule="auto"/>
        <w:rPr>
          <w:rFonts w:cs="宋体" w:asciiTheme="minorEastAsia" w:hAnsiTheme="minorEastAsia" w:eastAsiaTheme="minorEastAsia"/>
          <w:sz w:val="24"/>
        </w:rPr>
      </w:pPr>
      <w:r>
        <w:rPr>
          <w:rFonts w:hint="eastAsia" w:cs="宋体" w:asciiTheme="minorEastAsia" w:hAnsiTheme="minorEastAsia" w:eastAsiaTheme="minorEastAsia"/>
          <w:b/>
          <w:bCs/>
          <w:sz w:val="24"/>
        </w:rPr>
        <w:t xml:space="preserve">受托人联系方式：                   邮箱：</w:t>
      </w:r>
      <w:r/>
    </w:p>
    <w:p>
      <w:pPr>
        <w:ind w:right="600" w:firstLine="6150"/>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年  月  日 </w:t>
      </w:r>
      <w:r/>
    </w:p>
    <w:p>
      <w:pPr>
        <w:spacing w:line="360" w:lineRule="auto"/>
        <w:rPr>
          <w:rFonts w:cs="宋体" w:asciiTheme="minorEastAsia" w:hAnsiTheme="minorEastAsia" w:eastAsiaTheme="minorEastAsia"/>
          <w:b/>
          <w:bCs/>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24"/>
        </w:rPr>
        <w:t xml:space="preserve">(有效的受托人身份证扫描件附后)</w:t>
      </w:r>
      <w:r/>
    </w:p>
    <w:p>
      <w:pPr>
        <w:jc w:val="center"/>
        <w:spacing w:before="100" w:after="100" w:line="479" w:lineRule="atLeast"/>
        <w:rPr>
          <w:rFonts w:cs="宋体" w:asciiTheme="minorEastAsia" w:hAnsiTheme="minorEastAsia" w:eastAsiaTheme="minorEastAsia"/>
          <w:b/>
          <w:bCs/>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cs="宋体" w:asciiTheme="minorEastAsia" w:hAnsiTheme="minorEastAsia" w:eastAsiaTheme="minorEastAsia"/>
          <w:b/>
          <w:bCs/>
          <w:sz w:val="28"/>
          <w:szCs w:val="28"/>
        </w:rPr>
      </w:r>
      <w:r/>
    </w:p>
    <w:p>
      <w:pPr>
        <w:ind w:firstLine="600"/>
        <w:jc w:val="center"/>
        <w:spacing w:before="100" w:after="100"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rPr>
        <w:t xml:space="preserve">六、中小企业声明函格式</w:t>
      </w:r>
      <w:r/>
    </w:p>
    <w:p>
      <w:pPr>
        <w:spacing w:before="100" w:after="10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项目编号：</w:t>
      </w:r>
      <w:r/>
    </w:p>
    <w:p>
      <w:pPr>
        <w:spacing w:before="100" w:after="10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项目名称：</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本公司郑重声明，根据《政府采购促进中小企业发展管理办法》（财库[2020]46号）的规定，本公司参加（</w:t>
      </w:r>
      <w:r>
        <w:rPr>
          <w:rFonts w:hint="eastAsia" w:cs="宋体" w:asciiTheme="minorEastAsia" w:hAnsiTheme="minorEastAsia" w:eastAsiaTheme="minorEastAsia"/>
          <w:sz w:val="24"/>
          <w:u w:val="single"/>
        </w:rPr>
        <w:t xml:space="preserve">睢宁县经济发展局</w:t>
      </w:r>
      <w:r>
        <w:rPr>
          <w:rFonts w:hint="eastAsia" w:cs="宋体" w:asciiTheme="minorEastAsia" w:hAnsiTheme="minorEastAsia" w:eastAsiaTheme="minorEastAsia"/>
          <w:sz w:val="24"/>
        </w:rPr>
        <w:t xml:space="preserve">）的（</w:t>
      </w:r>
      <w:r>
        <w:rPr>
          <w:rFonts w:hint="eastAsia" w:cs="宋体" w:asciiTheme="minorEastAsia" w:hAnsiTheme="minorEastAsia" w:eastAsiaTheme="minorEastAsia"/>
          <w:sz w:val="24"/>
          <w:u w:val="single"/>
        </w:rPr>
        <w:t xml:space="preserve">2026年住宿保障类应急物资采购项目</w:t>
      </w:r>
      <w:r>
        <w:rPr>
          <w:rFonts w:hint="eastAsia" w:cs="宋体" w:asciiTheme="minorEastAsia" w:hAnsiTheme="minorEastAsia" w:eastAsiaTheme="minorEastAsia"/>
          <w:sz w:val="24"/>
        </w:rPr>
        <w:t xml:space="preserve">）采购活动，提供的货物全部由符合政策要求的中小企业制造。相关企业的具体情况如下：</w:t>
      </w:r>
      <w:r/>
    </w:p>
    <w:p>
      <w:pPr>
        <w:pStyle w:val="829"/>
        <w:ind w:left="0" w:firstLine="560"/>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rPr>
          <w:rFonts w:hint="eastAsia" w:cs="宋体" w:asciiTheme="minorEastAsia" w:hAnsiTheme="minorEastAsia" w:eastAsiaTheme="minorEastAsia"/>
          <w:sz w:val="24"/>
          <w:u w:val="single"/>
        </w:rPr>
        <w:t xml:space="preserve"> </w:t>
      </w:r>
      <w:r>
        <w:rPr>
          <w:rFonts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），属于（</w:t>
      </w:r>
      <w:r>
        <w:rPr>
          <w:rFonts w:hint="eastAsia" w:cs="宋体" w:asciiTheme="minorEastAsia" w:hAnsiTheme="minorEastAsia" w:eastAsiaTheme="minorEastAsia"/>
          <w:sz w:val="24"/>
          <w:u w:val="single"/>
        </w:rPr>
        <w:t xml:space="preserve">工业</w:t>
      </w:r>
      <w:r>
        <w:rPr>
          <w:rFonts w:hint="eastAsia" w:cs="宋体" w:asciiTheme="minorEastAsia" w:hAnsiTheme="minorEastAsia" w:eastAsiaTheme="minorEastAsia"/>
          <w:sz w:val="24"/>
        </w:rPr>
        <w:t xml:space="preserve">）行业；制造商为（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）（企业名称），从业人员（</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）人，营业收入为（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万元），资产总额为（</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万元），属于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（□中型企业、□小型企业、□微型企业，请填写或勾选！）；</w:t>
      </w:r>
      <w:r/>
    </w:p>
    <w:p>
      <w:pPr>
        <w:pStyle w:val="829"/>
        <w:ind w:left="0" w:firstLine="560"/>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p>
    <w:p>
      <w:pPr>
        <w:pStyle w:val="829"/>
        <w:ind w:left="0" w:firstLine="560"/>
        <w:rPr>
          <w:rFonts w:cs="宋体" w:asciiTheme="minorEastAsia" w:hAnsiTheme="minorEastAsia" w:eastAsiaTheme="minorEastAsia"/>
          <w:sz w:val="24"/>
        </w:rPr>
      </w:pPr>
      <w:r>
        <w:rPr>
          <w:rFonts w:hint="eastAsia"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560"/>
        <w:rPr>
          <w:rFonts w:cs="宋体" w:asciiTheme="minorEastAsia" w:hAnsiTheme="minorEastAsia" w:eastAsiaTheme="minorEastAsia"/>
          <w:sz w:val="24"/>
        </w:rPr>
      </w:pPr>
      <w:r>
        <w:rPr>
          <w:rFonts w:hint="eastAsia" w:cs="宋体" w:asciiTheme="minorEastAsia" w:hAnsiTheme="minorEastAsia" w:eastAsiaTheme="minorEastAsia"/>
          <w:sz w:val="24"/>
        </w:rPr>
        <w:t xml:space="preserve">本企业对上述声明内容的真实性负责。如有虚假，将依法承担相应责任。</w:t>
      </w:r>
      <w:r/>
    </w:p>
    <w:p>
      <w:pPr>
        <w:pStyle w:val="829"/>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pStyle w:val="829"/>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企业名称（电子签章）：</w:t>
      </w:r>
      <w:r/>
    </w:p>
    <w:p>
      <w:pPr>
        <w:pStyle w:val="829"/>
        <w:rPr>
          <w:rFonts w:cs="宋体" w:asciiTheme="minorEastAsia" w:hAnsiTheme="minorEastAsia" w:eastAsiaTheme="minorEastAsia"/>
          <w:b/>
          <w:bCs/>
          <w:sz w:val="28"/>
          <w:szCs w:val="28"/>
        </w:rPr>
      </w:pPr>
      <w:r>
        <w:rPr>
          <w:rFonts w:hint="eastAsia" w:cs="宋体" w:asciiTheme="minorEastAsia" w:hAnsiTheme="minorEastAsia" w:eastAsiaTheme="minorEastAsia"/>
          <w:b/>
          <w:bCs/>
          <w:sz w:val="28"/>
          <w:szCs w:val="28"/>
        </w:rPr>
        <w:t xml:space="preserve">日期：  年  月  日</w:t>
      </w:r>
      <w:r/>
    </w:p>
    <w:p>
      <w:pPr>
        <w:pStyle w:val="829"/>
        <w:ind w:left="0"/>
        <w:jc w:val="left"/>
        <w:spacing w:after="0"/>
        <w:rPr>
          <w:rFonts w:cs="宋体" w:asciiTheme="minorEastAsia" w:hAnsiTheme="minorEastAsia" w:eastAsiaTheme="minorEastAsia"/>
          <w:b/>
          <w:bCs/>
          <w:sz w:val="28"/>
          <w:szCs w:val="28"/>
        </w:rPr>
      </w:pPr>
      <w:r>
        <w:rPr>
          <w:rFonts w:cs="宋体" w:asciiTheme="minorEastAsia" w:hAnsiTheme="minorEastAsia" w:eastAsiaTheme="minorEastAsia"/>
          <w:b/>
          <w:bCs/>
          <w:sz w:val="28"/>
          <w:szCs w:val="28"/>
        </w:rPr>
      </w:r>
      <w:r/>
    </w:p>
    <w:p>
      <w:pPr>
        <w:pStyle w:val="829"/>
        <w:ind w:left="0"/>
        <w:jc w:val="left"/>
        <w:spacing w:after="0"/>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说明：</w:t>
      </w:r>
      <w:r/>
    </w:p>
    <w:p>
      <w:pPr>
        <w:pStyle w:val="829"/>
        <w:ind w:left="0"/>
        <w:spacing w:after="0"/>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9"/>
        <w:ind w:left="0"/>
        <w:spacing w:after="0"/>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2、从业人员、营业收入、资产总额填报供应商上一年度数据，无上一年度数据的新成立企业可不填报。</w:t>
      </w:r>
      <w:r/>
    </w:p>
    <w:p>
      <w:pPr>
        <w:pStyle w:val="829"/>
        <w:ind w:left="0"/>
        <w:spacing w:after="0"/>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3、中标、成交供应商为小型、微型企业的，采购人或者其委托的采购代理机构有权随中标、成交结果同时公告其《中小企业声明函》，接受社会监督。</w:t>
      </w:r>
      <w:r/>
    </w:p>
    <w:p>
      <w:pPr>
        <w:pStyle w:val="829"/>
        <w:ind w:left="0"/>
        <w:spacing w:after="0"/>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4、执行江苏省财政厅关于进一步加大政府采购支持中小企业力度的通知（苏财购〔2022〕45号）的规定。</w:t>
      </w:r>
      <w:r/>
    </w:p>
    <w:p>
      <w:pPr>
        <w:pStyle w:val="829"/>
        <w:ind w:left="0"/>
        <w:spacing w:after="0"/>
        <w:rPr>
          <w:rFonts w:cs="宋体" w:asciiTheme="minorEastAsia" w:hAnsiTheme="minorEastAsia" w:eastAsiaTheme="minorEastAsia"/>
          <w:b/>
          <w:bCs/>
          <w:sz w:val="24"/>
        </w:rPr>
      </w:pPr>
      <w:r>
        <w:rPr>
          <w:rFonts w:hint="eastAsia" w:cs="宋体" w:asciiTheme="minorEastAsia" w:hAnsiTheme="minorEastAsia" w:eastAsiaTheme="minorEastAsia"/>
          <w:b/>
          <w:bCs/>
          <w:sz w:val="24"/>
        </w:rPr>
        <w:t xml:space="preserve">5、供应商提供的《中小企业声明函》与事实不符的，依照《中华人民共和国政府采购法》第七十七条第一款的规定追究法律责任。</w:t>
      </w:r>
      <w:r/>
    </w:p>
    <w:p>
      <w:pPr>
        <w:jc w:val="lef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r>
      <w:r/>
    </w:p>
    <w:p>
      <w:pPr>
        <w:ind w:firstLine="600"/>
        <w:jc w:val="center"/>
        <w:spacing w:line="479"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r>
      <w:r/>
    </w:p>
    <w:p>
      <w:pPr>
        <w:ind w:firstLine="600"/>
        <w:jc w:val="center"/>
        <w:spacing w:line="479"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r>
      <w:r/>
    </w:p>
    <w:p>
      <w:pPr>
        <w:ind w:firstLine="600"/>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rPr>
        <w:t xml:space="preserve">七、残疾人福利性单位声明函格式（如有）</w:t>
      </w:r>
      <w:r/>
    </w:p>
    <w:p>
      <w:pPr>
        <w:spacing w:line="479" w:lineRule="atLeast"/>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8"/>
          <w:szCs w:val="28"/>
        </w:rPr>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项目编号：</w:t>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项目名称：</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8"/>
          <w:szCs w:val="28"/>
        </w:rPr>
      </w:r>
      <w:r/>
    </w:p>
    <w:p>
      <w:pPr>
        <w:ind w:firstLine="624"/>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本单位郑重声明，根据《财政部 民政部 中国残疾人联合会关于促进残疾人就业政府采购政策的通知》（财库</w:t>
      </w:r>
      <w:r>
        <w:rPr>
          <w:rFonts w:hint="eastAsia" w:cs="宋体" w:asciiTheme="minorEastAsia" w:hAnsiTheme="minorEastAsia" w:eastAsiaTheme="minorEastAsia"/>
          <w:sz w:val="28"/>
          <w:szCs w:val="28"/>
        </w:rPr>
        <w:t xml:space="preserve">〔2017〕 141</w:t>
      </w:r>
      <w:r>
        <w:rPr>
          <w:rFonts w:hint="eastAsia" w:cs="宋体" w:asciiTheme="minorEastAsia" w:hAnsiTheme="minorEastAsia" w:eastAsiaTheme="minorEastAsia"/>
          <w:spacing w:val="6"/>
          <w:sz w:val="28"/>
          <w:szCs w:val="28"/>
        </w:rPr>
        <w:t xml:space="preserve">号）的规定，本单位为符合条件的残疾人福利性单位，且本单位参加</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pacing w:val="6"/>
          <w:sz w:val="28"/>
          <w:szCs w:val="28"/>
        </w:rPr>
        <w:t xml:space="preserve">单位的</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本单位对上述声明的真实性负责。如有虚假，将依法承担相应责任。</w:t>
      </w:r>
      <w:r/>
    </w:p>
    <w:p>
      <w:pPr>
        <w:ind w:firstLine="624"/>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 </w:t>
      </w:r>
      <w:r/>
    </w:p>
    <w:p>
      <w:pPr>
        <w:ind w:firstLine="624"/>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 </w:t>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投标人：</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（电子签章）</w:t>
      </w:r>
      <w:r/>
    </w:p>
    <w:p>
      <w:pPr>
        <w:ind w:firstLine="4500"/>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 </w:t>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日期： 年 月 日</w:t>
      </w:r>
      <w:r/>
    </w:p>
    <w:p>
      <w:pPr>
        <w:ind w:firstLine="4500"/>
        <w:spacing w:line="479" w:lineRule="atLeast"/>
        <w:rPr>
          <w:rFonts w:cs="宋体" w:asciiTheme="minorEastAsia" w:hAnsiTheme="minorEastAsia" w:eastAsiaTheme="minorEastAsia"/>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s="宋体" w:asciiTheme="minorEastAsia" w:hAnsiTheme="minorEastAsia" w:eastAsiaTheme="minorEastAsia"/>
          <w:sz w:val="30"/>
        </w:rPr>
        <w:t xml:space="preserve"> </w:t>
      </w:r>
      <w:r/>
    </w:p>
    <w:p>
      <w:pPr>
        <w:ind w:firstLine="600"/>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rPr>
        <w:t xml:space="preserve">八、具备履行合同所必需的设备和专业技术能力的书面声明</w:t>
      </w:r>
      <w:r/>
    </w:p>
    <w:p>
      <w:pPr>
        <w:spacing w:line="85" w:lineRule="atLeast"/>
        <w:rPr>
          <w:rFonts w:asciiTheme="minorEastAsia" w:hAnsiTheme="minorEastAsia" w:eastAsiaTheme="minorEastAsia"/>
          <w:sz w:val="26"/>
          <w:szCs w:val="26"/>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6"/>
          <w:szCs w:val="26"/>
        </w:rPr>
      </w:r>
      <w:r/>
    </w:p>
    <w:p>
      <w:pPr>
        <w:ind w:firstLine="260"/>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sz w:val="26"/>
          <w:szCs w:val="26"/>
        </w:rPr>
        <w:t xml:space="preserve"> </w:t>
      </w:r>
      <w:r>
        <w:rPr>
          <w:rFonts w:hint="eastAsia" w:cs="宋体" w:asciiTheme="minorEastAsia" w:hAnsiTheme="minorEastAsia" w:eastAsiaTheme="minorEastAsia"/>
          <w:spacing w:val="6"/>
          <w:sz w:val="28"/>
          <w:szCs w:val="28"/>
        </w:rPr>
        <w:t xml:space="preserve">项目编号：</w:t>
      </w:r>
      <w:r/>
    </w:p>
    <w:p>
      <w:pPr>
        <w:ind w:firstLine="584"/>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项目名称：</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8"/>
          <w:szCs w:val="28"/>
        </w:rPr>
        <w:t xml:space="preserve"> </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供应商郑重声明：投标人具备履行合同（项目名称</w:t>
      </w:r>
      <w:r>
        <w:rPr>
          <w:rFonts w:hint="eastAsia" w:cs="宋体" w:asciiTheme="minorEastAsia" w:hAnsiTheme="minorEastAsia" w:eastAsiaTheme="minorEastAsia"/>
          <w:spacing w:val="6"/>
          <w:sz w:val="28"/>
          <w:szCs w:val="28"/>
          <w:u w:val="single"/>
        </w:rPr>
        <w:t xml:space="preserve">： </w:t>
      </w:r>
      <w:r>
        <w:rPr>
          <w:rFonts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，项目编号</w:t>
      </w:r>
      <w:r>
        <w:rPr>
          <w:rFonts w:hint="eastAsia" w:cs="宋体" w:asciiTheme="minorEastAsia" w:hAnsiTheme="minorEastAsia" w:eastAsiaTheme="minorEastAsia"/>
          <w:spacing w:val="6"/>
          <w:sz w:val="28"/>
          <w:szCs w:val="28"/>
          <w:u w:val="single"/>
        </w:rPr>
        <w:t xml:space="preserve">： </w:t>
      </w:r>
      <w:r>
        <w:rPr>
          <w:rFonts w:cs="宋体" w:asciiTheme="minorEastAsia" w:hAnsiTheme="minorEastAsia" w:eastAsiaTheme="minorEastAsia"/>
          <w:spacing w:val="6"/>
          <w:sz w:val="28"/>
          <w:szCs w:val="28"/>
          <w:u w:val="single"/>
        </w:rPr>
        <w:t xml:space="preserve">      </w:t>
      </w:r>
      <w:r>
        <w:rPr>
          <w:rFonts w:hint="eastAsia" w:cs="宋体" w:asciiTheme="minorEastAsia" w:hAnsiTheme="minorEastAsia" w:eastAsiaTheme="minorEastAsia"/>
          <w:spacing w:val="6"/>
          <w:sz w:val="28"/>
          <w:szCs w:val="28"/>
        </w:rPr>
        <w:t xml:space="preserve">所必需的设备和专业技术能力， 具体为：</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设备：</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1、（证明材料扫描件附后）</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2、（证明材料扫描件附后）</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3、（证明材料扫描件附后）</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专业技术能力：</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1、（证明材料扫描件附后）</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2、（证明材料扫描件附后）</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3、（证明材料扫描件附后）</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 特此声明。</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pacing w:val="6"/>
          <w:sz w:val="28"/>
          <w:szCs w:val="28"/>
        </w:rPr>
        <w:t xml:space="preserve">供应商对上述声明的真实性负责。如有虚假，将依法承担相应责任。</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8"/>
          <w:szCs w:val="28"/>
        </w:rPr>
        <w:t xml:space="preserve"> </w:t>
      </w:r>
      <w:r/>
    </w:p>
    <w:p>
      <w:pPr>
        <w:ind w:firstLine="624"/>
        <w:spacing w:line="360" w:lineRule="auto"/>
        <w:rPr>
          <w:rFonts w:cs="宋体" w:asciiTheme="minorEastAsia" w:hAnsiTheme="minorEastAsia" w:eastAsiaTheme="minorEastAsia"/>
          <w:spacing w:val="6"/>
          <w:sz w:val="28"/>
          <w:szCs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pacing w:val="6"/>
          <w:sz w:val="28"/>
          <w:szCs w:val="28"/>
        </w:rPr>
        <w:t xml:space="preserve"> </w:t>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投标人：</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（电子签章）</w:t>
      </w:r>
      <w:r/>
    </w:p>
    <w:p>
      <w:pPr>
        <w:ind w:firstLine="4500"/>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 </w:t>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日期： 年 月 日</w:t>
      </w:r>
      <w:r/>
    </w:p>
    <w:p>
      <w:pPr>
        <w:rPr>
          <w:rFonts w:asciiTheme="minorEastAsia" w:hAnsiTheme="minorEastAsia" w:eastAsiaTheme="minorEastAsia"/>
          <w:sz w:val="26"/>
          <w:szCs w:val="26"/>
        </w:rPr>
      </w:pPr>
      <w:r>
        <w:rPr>
          <w:rFonts w:asciiTheme="minorEastAsia" w:hAnsiTheme="minorEastAsia" w:eastAsiaTheme="minorEastAsia"/>
          <w:sz w:val="26"/>
          <w:szCs w:val="26"/>
        </w:rPr>
      </w:r>
      <w:r/>
    </w:p>
    <w:p>
      <w:pPr>
        <w:ind w:firstLine="600"/>
        <w:jc w:val="center"/>
        <w:spacing w:line="479"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rPr>
      </w:r>
      <w:r/>
    </w:p>
    <w:p>
      <w:pPr>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rPr>
        <w:t xml:space="preserve">九、投标人参加政府采购活动前3年内在经营活动中没有重大违法记录的书面声明格式</w:t>
      </w:r>
      <w:r/>
    </w:p>
    <w:p>
      <w:pPr>
        <w:ind w:firstLine="600"/>
        <w:spacing w:line="479"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0"/>
        </w:rPr>
        <w:t xml:space="preserve"> </w:t>
      </w:r>
      <w:r/>
    </w:p>
    <w:p>
      <w:pPr>
        <w:ind w:firstLine="600"/>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我单位在参加</w:t>
      </w:r>
      <w:r>
        <w:rPr>
          <w:rFonts w:hint="eastAsia" w:cs="宋体" w:asciiTheme="minorEastAsia" w:hAnsiTheme="minorEastAsia" w:eastAsiaTheme="minorEastAsia"/>
          <w:sz w:val="28"/>
          <w:szCs w:val="28"/>
          <w:u w:val="single"/>
        </w:rPr>
        <w:t xml:space="preserve">2026年住宿保障类应急物资采购项目</w:t>
      </w:r>
      <w:r>
        <w:rPr>
          <w:rFonts w:hint="eastAsia" w:cs="宋体" w:asciiTheme="minorEastAsia" w:hAnsiTheme="minorEastAsia" w:eastAsiaTheme="minorEastAsia"/>
          <w:sz w:val="28"/>
          <w:szCs w:val="28"/>
        </w:rPr>
        <w:t xml:space="preserve">项目（项目编号：</w:t>
      </w:r>
      <w:r>
        <w:rPr>
          <w:rFonts w:hint="eastAsia" w:cs="宋体" w:asciiTheme="minorEastAsia" w:hAnsiTheme="minorEastAsia" w:eastAsiaTheme="minorEastAsia"/>
          <w:sz w:val="28"/>
          <w:szCs w:val="28"/>
          <w:u w:val="single"/>
        </w:rPr>
        <w:t xml:space="preserve">JSZC-320324-JSRZ-</w:t>
      </w:r>
      <w:r>
        <w:rPr>
          <w:rFonts w:hint="eastAsia" w:cs="宋体" w:asciiTheme="minorEastAsia" w:hAnsiTheme="minorEastAsia" w:eastAsiaTheme="minorEastAsia"/>
          <w:sz w:val="28"/>
          <w:szCs w:val="28"/>
          <w:u w:val="single"/>
        </w:rPr>
        <w:t xml:space="preserve">G2026-0006</w:t>
      </w:r>
      <w:r>
        <w:rPr>
          <w:rFonts w:hint="eastAsia" w:cs="宋体" w:asciiTheme="minorEastAsia" w:hAnsiTheme="minorEastAsia" w:eastAsiaTheme="minorEastAsia"/>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我单位对上述声明的真实性负责。如有虚假，将依法承担相应责任。</w:t>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 </w:t>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 </w:t>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投标人：</w:t>
      </w:r>
      <w:r>
        <w:rPr>
          <w:rFonts w:hint="eastAsia" w:cs="宋体" w:asciiTheme="minorEastAsia" w:hAnsiTheme="minorEastAsia" w:eastAsiaTheme="minorEastAsia"/>
          <w:sz w:val="28"/>
          <w:szCs w:val="28"/>
          <w:u w:val="single"/>
        </w:rPr>
        <w:t xml:space="preserve">         </w:t>
      </w:r>
      <w:r>
        <w:rPr>
          <w:rFonts w:hint="eastAsia" w:cs="宋体" w:asciiTheme="minorEastAsia" w:hAnsiTheme="minorEastAsia" w:eastAsiaTheme="minorEastAsia"/>
          <w:sz w:val="28"/>
          <w:szCs w:val="28"/>
        </w:rPr>
        <w:t xml:space="preserve">（电子签章）</w:t>
      </w:r>
      <w:r/>
    </w:p>
    <w:p>
      <w:pPr>
        <w:ind w:firstLine="4500"/>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8"/>
          <w:szCs w:val="28"/>
        </w:rPr>
        <w:t xml:space="preserve"> </w:t>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cs="宋体" w:asciiTheme="minorEastAsia" w:hAnsiTheme="minorEastAsia" w:eastAsiaTheme="minorEastAsia"/>
          <w:sz w:val="28"/>
          <w:szCs w:val="28"/>
        </w:rPr>
        <w:t xml:space="preserve">日期： 年 月 日</w:t>
      </w:r>
      <w:r/>
    </w:p>
    <w:p>
      <w:pPr>
        <w:pStyle w:val="895"/>
        <w:ind w:firstLine="747"/>
        <w:jc w:val="center"/>
        <w:widowControl/>
        <w:rPr>
          <w:rFonts w:cs="仿宋" w:asciiTheme="minorEastAsia" w:hAnsiTheme="minorEastAsia" w:eastAsiaTheme="minorEastAsia"/>
          <w:bCs/>
          <w:color w:val="000000"/>
          <w:sz w:val="30"/>
          <w:szCs w:val="30"/>
        </w:rPr>
      </w:pPr>
      <w:r>
        <w:rPr>
          <w:rFonts w:hint="eastAsia" w:cs="仿宋" w:asciiTheme="minorEastAsia" w:hAnsiTheme="minorEastAsia" w:eastAsiaTheme="minorEastAsia"/>
          <w:bCs/>
          <w:color w:val="000000"/>
          <w:spacing w:val="6"/>
          <w:sz w:val="30"/>
          <w:szCs w:val="30"/>
        </w:rPr>
        <w:t xml:space="preserve">十、投标人相关承诺</w:t>
      </w:r>
      <w:r/>
    </w:p>
    <w:p>
      <w:pPr>
        <w:ind w:firstLine="624"/>
        <w:spacing w:line="480" w:lineRule="exact"/>
        <w:rPr>
          <w:rFonts w:cs="仿宋" w:asciiTheme="minorEastAsia" w:hAnsiTheme="minorEastAsia" w:eastAsiaTheme="minorEastAsia"/>
          <w:color w:val="000000"/>
          <w:spacing w:val="6"/>
          <w:sz w:val="30"/>
          <w:szCs w:val="30"/>
        </w:rPr>
      </w:pPr>
      <w:r>
        <w:rPr>
          <w:rFonts w:cs="仿宋" w:asciiTheme="minorEastAsia" w:hAnsiTheme="minorEastAsia" w:eastAsiaTheme="minorEastAsia"/>
          <w:color w:val="000000"/>
          <w:spacing w:val="6"/>
          <w:sz w:val="30"/>
          <w:szCs w:val="30"/>
        </w:rPr>
      </w:r>
      <w:r/>
    </w:p>
    <w:p>
      <w:pPr>
        <w:pStyle w:val="901"/>
        <w:spacing w:line="520" w:lineRule="exact"/>
        <w:rPr>
          <w:rFonts w:cs="仿宋" w:asciiTheme="minorEastAsia" w:hAnsiTheme="minorEastAsia" w:eastAsiaTheme="minorEastAsia"/>
          <w:sz w:val="26"/>
          <w:szCs w:val="28"/>
        </w:rPr>
      </w:pPr>
      <w:r>
        <w:rPr>
          <w:rFonts w:hint="eastAsia" w:cs="仿宋" w:asciiTheme="minorEastAsia" w:hAnsiTheme="minorEastAsia" w:eastAsiaTheme="minorEastAsia"/>
          <w:sz w:val="22"/>
        </w:rPr>
        <w:t xml:space="preserve">项</w:t>
      </w:r>
      <w:r>
        <w:rPr>
          <w:rFonts w:hint="eastAsia" w:cs="仿宋" w:asciiTheme="minorEastAsia" w:hAnsiTheme="minorEastAsia" w:eastAsiaTheme="minorEastAsia"/>
          <w:sz w:val="26"/>
          <w:szCs w:val="28"/>
        </w:rPr>
        <w:t xml:space="preserve">目名称： </w:t>
      </w:r>
      <w:r>
        <w:rPr>
          <w:rFonts w:hint="eastAsia" w:cs="仿宋" w:asciiTheme="minorEastAsia" w:hAnsiTheme="minorEastAsia" w:eastAsiaTheme="minorEastAsia"/>
          <w:sz w:val="30"/>
          <w:szCs w:val="28"/>
        </w:rPr>
        <w:t xml:space="preserve"> </w:t>
      </w:r>
      <w:r/>
    </w:p>
    <w:p>
      <w:pPr>
        <w:pStyle w:val="901"/>
        <w:spacing w:line="520" w:lineRule="exact"/>
        <w:rPr>
          <w:rFonts w:cs="仿宋" w:asciiTheme="minorEastAsia" w:hAnsiTheme="minorEastAsia" w:eastAsiaTheme="minorEastAsia"/>
          <w:sz w:val="26"/>
          <w:szCs w:val="28"/>
        </w:rPr>
      </w:pPr>
      <w:r>
        <w:rPr>
          <w:rFonts w:hint="eastAsia" w:cs="仿宋" w:asciiTheme="minorEastAsia" w:hAnsiTheme="minorEastAsia" w:eastAsiaTheme="minorEastAsia"/>
          <w:sz w:val="26"/>
          <w:szCs w:val="28"/>
        </w:rPr>
        <w:t xml:space="preserve">项目编号： </w:t>
      </w:r>
      <w:r>
        <w:rPr>
          <w:rFonts w:cs="仿宋" w:asciiTheme="minorEastAsia" w:hAnsiTheme="minorEastAsia" w:eastAsiaTheme="minorEastAsia"/>
          <w:spacing w:val="6"/>
          <w:sz w:val="28"/>
        </w:rPr>
        <w:t xml:space="preserve"> </w:t>
      </w:r>
      <w:r/>
    </w:p>
    <w:p>
      <w:pPr>
        <w:pStyle w:val="895"/>
        <w:ind w:firstLine="584"/>
        <w:spacing w:line="588" w:lineRule="exact"/>
        <w:rPr>
          <w:rFonts w:cs="仿宋" w:asciiTheme="minorEastAsia" w:hAnsiTheme="minorEastAsia" w:eastAsiaTheme="minorEastAsia"/>
          <w:color w:val="000000"/>
          <w:spacing w:val="6"/>
          <w:sz w:val="28"/>
          <w:szCs w:val="30"/>
        </w:rPr>
      </w:pPr>
      <w:r>
        <w:rPr>
          <w:rFonts w:cs="仿宋" w:asciiTheme="minorEastAsia" w:hAnsiTheme="minorEastAsia" w:eastAsiaTheme="minorEastAsia"/>
          <w:color w:val="000000"/>
          <w:spacing w:val="6"/>
          <w:sz w:val="28"/>
          <w:szCs w:val="30"/>
        </w:rPr>
      </w:r>
      <w:r/>
    </w:p>
    <w:p>
      <w:pPr>
        <w:pStyle w:val="895"/>
        <w:spacing w:line="588" w:lineRule="exact"/>
        <w:rPr>
          <w:rFonts w:cs="仿宋" w:asciiTheme="minorEastAsia" w:hAnsiTheme="minorEastAsia" w:eastAsiaTheme="minorEastAsia"/>
          <w:color w:val="000000"/>
          <w:sz w:val="28"/>
          <w:szCs w:val="30"/>
        </w:rPr>
      </w:pPr>
      <w:r>
        <w:rPr>
          <w:rFonts w:hint="eastAsia" w:cs="仿宋" w:asciiTheme="minorEastAsia" w:hAnsiTheme="minorEastAsia" w:eastAsiaTheme="minorEastAsia"/>
          <w:color w:val="000000"/>
          <w:sz w:val="28"/>
          <w:szCs w:val="30"/>
        </w:rPr>
        <w:t xml:space="preserve">我单位承诺：</w:t>
      </w:r>
      <w:r/>
    </w:p>
    <w:p>
      <w:pPr>
        <w:pStyle w:val="895"/>
        <w:ind w:firstLine="584"/>
        <w:spacing w:line="588" w:lineRule="exact"/>
        <w:rPr>
          <w:rFonts w:cs="仿宋" w:asciiTheme="minorEastAsia" w:hAnsiTheme="minorEastAsia" w:eastAsiaTheme="minorEastAsia"/>
          <w:color w:val="000000"/>
          <w:sz w:val="28"/>
          <w:szCs w:val="30"/>
        </w:rPr>
      </w:pPr>
      <w:r>
        <w:rPr>
          <w:rFonts w:hint="eastAsia" w:cs="仿宋" w:asciiTheme="minorEastAsia" w:hAnsiTheme="minorEastAsia" w:eastAsiaTheme="minorEastAsia"/>
          <w:color w:val="000000"/>
          <w:sz w:val="28"/>
          <w:szCs w:val="30"/>
        </w:rPr>
        <w:t xml:space="preserve">如有参与同一合同项下政府采购活动的投标人与我单位存在负责人为同一人的情况或者存在直接控股、管理关系，我单位不再参加该同一合同项下的政府采购活动。</w:t>
      </w:r>
      <w:r/>
    </w:p>
    <w:p>
      <w:pPr>
        <w:pStyle w:val="895"/>
        <w:ind w:firstLine="584"/>
        <w:spacing w:line="588" w:lineRule="exact"/>
        <w:rPr>
          <w:rFonts w:cs="仿宋" w:asciiTheme="minorEastAsia" w:hAnsiTheme="minorEastAsia" w:eastAsiaTheme="minorEastAsia"/>
          <w:color w:val="000000"/>
          <w:sz w:val="28"/>
          <w:szCs w:val="30"/>
        </w:rPr>
      </w:pPr>
      <w:r>
        <w:rPr>
          <w:rFonts w:cs="仿宋" w:asciiTheme="minorEastAsia" w:hAnsiTheme="minorEastAsia" w:eastAsiaTheme="minorEastAsia"/>
          <w:color w:val="000000"/>
          <w:sz w:val="28"/>
          <w:szCs w:val="30"/>
        </w:rPr>
      </w:r>
      <w:r/>
    </w:p>
    <w:p>
      <w:pPr>
        <w:pStyle w:val="895"/>
        <w:ind w:firstLine="584"/>
        <w:spacing w:line="588" w:lineRule="exact"/>
        <w:rPr>
          <w:rFonts w:cs="仿宋" w:asciiTheme="minorEastAsia" w:hAnsiTheme="minorEastAsia" w:eastAsiaTheme="minorEastAsia"/>
          <w:color w:val="000000"/>
          <w:sz w:val="28"/>
          <w:szCs w:val="30"/>
        </w:rPr>
      </w:pPr>
      <w:r>
        <w:rPr>
          <w:rFonts w:hint="eastAsia" w:cs="仿宋" w:asciiTheme="minorEastAsia" w:hAnsiTheme="minorEastAsia" w:eastAsiaTheme="minorEastAsia"/>
          <w:color w:val="000000"/>
          <w:sz w:val="28"/>
          <w:szCs w:val="30"/>
        </w:rPr>
        <w:t xml:space="preserve">我单位对上述承诺负责，并依法承担相应责任。</w:t>
      </w:r>
      <w:r/>
    </w:p>
    <w:p>
      <w:pPr>
        <w:pStyle w:val="861"/>
        <w:ind w:left="0" w:firstLine="0"/>
        <w:rPr>
          <w:rFonts w:cs="仿宋" w:asciiTheme="minorEastAsia" w:hAnsiTheme="minorEastAsia" w:eastAsiaTheme="minorEastAsia"/>
          <w:sz w:val="28"/>
          <w:szCs w:val="30"/>
        </w:rPr>
      </w:pPr>
      <w:r>
        <w:rPr>
          <w:rFonts w:cs="仿宋" w:asciiTheme="minorEastAsia" w:hAnsiTheme="minorEastAsia" w:eastAsiaTheme="minorEastAsia"/>
          <w:sz w:val="28"/>
          <w:szCs w:val="30"/>
        </w:rPr>
      </w:r>
      <w:r/>
    </w:p>
    <w:p>
      <w:pPr>
        <w:pStyle w:val="861"/>
        <w:rPr>
          <w:rFonts w:cs="仿宋" w:asciiTheme="minorEastAsia" w:hAnsiTheme="minorEastAsia" w:eastAsiaTheme="minorEastAsia"/>
          <w:spacing w:val="6"/>
          <w:sz w:val="28"/>
          <w:szCs w:val="30"/>
        </w:rPr>
      </w:pPr>
      <w:r>
        <w:rPr>
          <w:rFonts w:cs="仿宋" w:asciiTheme="minorEastAsia" w:hAnsiTheme="minorEastAsia" w:eastAsiaTheme="minorEastAsia"/>
          <w:spacing w:val="6"/>
          <w:sz w:val="28"/>
          <w:szCs w:val="30"/>
        </w:rPr>
      </w:r>
      <w:r/>
    </w:p>
    <w:p>
      <w:pPr>
        <w:pStyle w:val="895"/>
        <w:ind w:firstLine="3120"/>
        <w:spacing w:line="300" w:lineRule="auto"/>
        <w:rPr>
          <w:rFonts w:cs="仿宋" w:asciiTheme="minorEastAsia" w:hAnsiTheme="minorEastAsia" w:eastAsiaTheme="minorEastAsia"/>
          <w:color w:val="000000"/>
          <w:spacing w:val="6"/>
          <w:sz w:val="28"/>
          <w:szCs w:val="30"/>
        </w:rPr>
      </w:pPr>
      <w:r>
        <w:rPr>
          <w:rFonts w:hint="eastAsia" w:cs="仿宋" w:asciiTheme="minorEastAsia" w:hAnsiTheme="minorEastAsia" w:eastAsiaTheme="minorEastAsia"/>
          <w:color w:val="000000"/>
          <w:spacing w:val="6"/>
          <w:sz w:val="28"/>
          <w:szCs w:val="30"/>
        </w:rPr>
        <w:t xml:space="preserve">投标人（电子签章）： </w:t>
      </w:r>
      <w:r/>
    </w:p>
    <w:p>
      <w:pPr>
        <w:pStyle w:val="895"/>
        <w:ind w:firstLine="3120"/>
        <w:spacing w:line="360" w:lineRule="auto"/>
        <w:rPr>
          <w:rFonts w:cs="仿宋" w:asciiTheme="minorEastAsia" w:hAnsiTheme="minorEastAsia" w:eastAsiaTheme="minorEastAsia"/>
          <w:color w:val="000000"/>
          <w:spacing w:val="6"/>
          <w:sz w:val="28"/>
          <w:szCs w:val="30"/>
        </w:rPr>
      </w:pPr>
      <w:r>
        <w:rPr>
          <w:rFonts w:cs="仿宋" w:asciiTheme="minorEastAsia" w:hAnsiTheme="minorEastAsia" w:eastAsiaTheme="minorEastAsia"/>
          <w:color w:val="000000"/>
          <w:spacing w:val="6"/>
          <w:sz w:val="28"/>
          <w:szCs w:val="30"/>
        </w:rPr>
      </w:r>
      <w:r/>
    </w:p>
    <w:p>
      <w:pPr>
        <w:pStyle w:val="895"/>
        <w:ind w:firstLine="3120"/>
        <w:spacing w:line="360" w:lineRule="auto"/>
        <w:rPr>
          <w:rFonts w:cs="仿宋" w:asciiTheme="minorEastAsia" w:hAnsiTheme="minorEastAsia" w:eastAsiaTheme="minorEastAsia"/>
          <w:color w:val="000000"/>
          <w:spacing w:val="6"/>
          <w:sz w:val="28"/>
          <w:szCs w:val="30"/>
        </w:rPr>
      </w:pPr>
      <w:r>
        <w:rPr>
          <w:rFonts w:hint="eastAsia" w:cs="仿宋" w:asciiTheme="minorEastAsia" w:hAnsiTheme="minorEastAsia" w:eastAsiaTheme="minorEastAsia"/>
          <w:color w:val="000000"/>
          <w:spacing w:val="6"/>
          <w:sz w:val="28"/>
          <w:szCs w:val="30"/>
        </w:rPr>
        <w:t xml:space="preserve">日期：   年  月  日</w:t>
      </w:r>
      <w:r/>
    </w:p>
    <w:p>
      <w:pPr>
        <w:spacing w:line="360" w:lineRule="auto"/>
        <w:rPr>
          <w:rFonts w:cs="宋体" w:asciiTheme="minorEastAsia" w:hAnsiTheme="minorEastAsia" w:eastAsiaTheme="minorEastAsia"/>
          <w:sz w:val="28"/>
          <w:szCs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8"/>
          <w:szCs w:val="28"/>
        </w:rPr>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85" w:lineRule="atLeast"/>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 </w:t>
      </w:r>
      <w:r/>
    </w:p>
    <w:p>
      <w:pPr>
        <w:jc w:val="center"/>
        <w:spacing w:line="360"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rPr>
        <w:t xml:space="preserve">十一、关于符合本国产品标准的声明函</w:t>
      </w:r>
      <w:r>
        <w:rPr>
          <w:rFonts w:hint="eastAsia" w:asciiTheme="minorEastAsia" w:hAnsiTheme="minorEastAsia" w:eastAsiaTheme="minorEastAsia"/>
        </w:rPr>
        <w:t xml:space="preserve"> </w:t>
      </w:r>
      <w:r/>
    </w:p>
    <w:p>
      <w:pPr>
        <w:pStyle w:val="855"/>
        <w:jc w:val="both"/>
        <w:spacing w:before="0" w:beforeAutospacing="0" w:after="0" w:afterAutospacing="0"/>
        <w:rPr>
          <w:rFonts w:asciiTheme="minorEastAsia" w:hAnsiTheme="minorEastAsia" w:eastAsiaTheme="minorEastAsia"/>
          <w:b/>
          <w:bCs/>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bCs/>
        </w:rPr>
      </w:r>
      <w:r/>
    </w:p>
    <w:p>
      <w:pPr>
        <w:pStyle w:val="793"/>
        <w:ind w:firstLine="420"/>
        <w:spacing w:before="240" w:beforeAutospacing="0" w:after="12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3"/>
        <w:ind w:firstLine="420"/>
        <w:spacing w:before="240" w:beforeAutospacing="0" w:after="12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1.</w:t>
      </w:r>
      <w:r>
        <w:rPr>
          <w:rStyle w:val="798"/>
          <w:rFonts w:hint="eastAsia" w:asciiTheme="minorEastAsia" w:hAnsiTheme="minorEastAsia" w:eastAsiaTheme="minorEastAsia"/>
          <w:u w:val="single"/>
          <w:shd w:val="clear" w:color="auto" w:fill="ffffff"/>
        </w:rPr>
        <w:t xml:space="preserve">（产品名称1）</w:t>
      </w:r>
      <w:r>
        <w:rPr>
          <w:rStyle w:val="798"/>
          <w:rFonts w:hint="eastAsia" w:asciiTheme="minorEastAsia" w:hAnsiTheme="minorEastAsia" w:eastAsiaTheme="minorEastAsia"/>
          <w:shd w:val="clear" w:color="auto" w:fill="ffffff"/>
          <w:vertAlign w:val="superscript"/>
        </w:rPr>
        <w:t xml:space="preserve">1</w:t>
      </w:r>
      <w:r>
        <w:rPr>
          <w:rFonts w:hint="eastAsia" w:asciiTheme="minorEastAsia" w:hAnsiTheme="minorEastAsia" w:eastAsiaTheme="minorEastAsia"/>
          <w:shd w:val="clear" w:color="auto" w:fill="ffffff"/>
        </w:rPr>
        <w:t xml:space="preserve">，生产厂为</w:t>
      </w:r>
      <w:r>
        <w:rPr>
          <w:rStyle w:val="798"/>
          <w:rFonts w:hint="eastAsia" w:asciiTheme="minorEastAsia" w:hAnsiTheme="minorEastAsia" w:eastAsiaTheme="minorEastAsia"/>
          <w:u w:val="single"/>
          <w:shd w:val="clear" w:color="auto" w:fill="ffffff"/>
        </w:rPr>
        <w:t xml:space="preserve">（厂名）</w:t>
      </w:r>
      <w:r>
        <w:rPr>
          <w:rStyle w:val="798"/>
          <w:rFonts w:hint="eastAsia" w:asciiTheme="minorEastAsia" w:hAnsiTheme="minorEastAsia" w:eastAsiaTheme="minorEastAsia"/>
          <w:shd w:val="clear" w:color="auto" w:fill="ffffff"/>
          <w:vertAlign w:val="superscript"/>
        </w:rPr>
        <w:t xml:space="preserve">2</w:t>
      </w:r>
      <w:r>
        <w:rPr>
          <w:rFonts w:hint="eastAsia" w:asciiTheme="minorEastAsia" w:hAnsiTheme="minorEastAsia" w:eastAsiaTheme="minorEastAsia"/>
          <w:shd w:val="clear" w:color="auto" w:fill="ffffff"/>
        </w:rPr>
        <w:t xml:space="preserve">，厂址为</w:t>
      </w:r>
      <w:r>
        <w:rPr>
          <w:rStyle w:val="798"/>
          <w:rFonts w:hint="eastAsia" w:asciiTheme="minorEastAsia" w:hAnsiTheme="minorEastAsia" w:eastAsiaTheme="minorEastAsia"/>
          <w:u w:val="single"/>
          <w:shd w:val="clear" w:color="auto" w:fill="ffffff"/>
        </w:rPr>
        <w:t xml:space="preserve">（生产厂址）</w:t>
      </w:r>
      <w:r>
        <w:rPr>
          <w:rFonts w:hint="eastAsia" w:asciiTheme="minorEastAsia" w:hAnsiTheme="minorEastAsia" w:eastAsiaTheme="minorEastAsia"/>
          <w:shd w:val="clear" w:color="auto" w:fill="ffffff"/>
        </w:rPr>
        <w:t xml:space="preserve">。</w:t>
      </w:r>
      <w:r>
        <w:rPr>
          <w:rStyle w:val="798"/>
          <w:rFonts w:hint="eastAsia" w:asciiTheme="minorEastAsia" w:hAnsiTheme="minorEastAsia" w:eastAsiaTheme="minorEastAsia"/>
          <w:u w:val="single"/>
          <w:shd w:val="clear" w:color="auto" w:fill="ffffff"/>
        </w:rPr>
        <w:t xml:space="preserve">（产品名称1）</w:t>
      </w:r>
      <w:r>
        <w:rPr>
          <w:rFonts w:hint="eastAsia" w:asciiTheme="minorEastAsia" w:hAnsiTheme="minorEastAsia" w:eastAsiaTheme="minorEastAsia"/>
          <w:shd w:val="clear" w:color="auto" w:fill="ffffff"/>
        </w:rPr>
        <w:t xml:space="preserve">的中国境内生产的组件成本占比≥</w:t>
      </w:r>
      <w:r>
        <w:rPr>
          <w:rStyle w:val="798"/>
          <w:rFonts w:hint="eastAsia" w:asciiTheme="minorEastAsia" w:hAnsiTheme="minorEastAsia" w:eastAsiaTheme="minorEastAsia"/>
          <w:u w:val="single"/>
          <w:shd w:val="clear" w:color="auto" w:fill="ffffff"/>
        </w:rPr>
        <w:t xml:space="preserve">（规定比例）</w:t>
      </w:r>
      <w:r>
        <w:rPr>
          <w:rStyle w:val="798"/>
          <w:rFonts w:hint="eastAsia" w:asciiTheme="minorEastAsia" w:hAnsiTheme="minorEastAsia" w:eastAsiaTheme="minorEastAsia"/>
          <w:shd w:val="clear" w:color="auto" w:fill="ffffff"/>
          <w:vertAlign w:val="superscript"/>
        </w:rPr>
        <w:t xml:space="preserve">3</w:t>
      </w:r>
      <w:r>
        <w:rPr>
          <w:rFonts w:hint="eastAsia" w:asciiTheme="minorEastAsia" w:hAnsiTheme="minorEastAsia" w:eastAsiaTheme="minorEastAsia"/>
          <w:shd w:val="clear" w:color="auto" w:fill="ffffff"/>
        </w:rPr>
        <w:t xml:space="preserve">。</w:t>
      </w:r>
      <w:r>
        <w:rPr>
          <w:rStyle w:val="798"/>
          <w:rFonts w:hint="eastAsia" w:asciiTheme="minorEastAsia" w:hAnsiTheme="minorEastAsia" w:eastAsiaTheme="minorEastAsia"/>
          <w:u w:val="single"/>
          <w:shd w:val="clear" w:color="auto" w:fill="ffffff"/>
        </w:rPr>
        <w:t xml:space="preserve">（产品名称1）</w:t>
      </w:r>
      <w:r>
        <w:rPr>
          <w:rFonts w:hint="eastAsia" w:asciiTheme="minorEastAsia" w:hAnsiTheme="minorEastAsia" w:eastAsiaTheme="minorEastAsia"/>
          <w:shd w:val="clear" w:color="auto" w:fill="ffffff"/>
        </w:rPr>
        <w:t xml:space="preserve">的</w:t>
      </w:r>
      <w:r>
        <w:rPr>
          <w:rStyle w:val="798"/>
          <w:rFonts w:hint="eastAsia" w:asciiTheme="minorEastAsia" w:hAnsiTheme="minorEastAsia" w:eastAsiaTheme="minorEastAsia"/>
          <w:u w:val="single"/>
          <w:shd w:val="clear" w:color="auto" w:fill="ffffff"/>
        </w:rPr>
        <w:t xml:space="preserve">（关键组件）</w:t>
      </w:r>
      <w:r>
        <w:rPr>
          <w:rStyle w:val="798"/>
          <w:rFonts w:hint="eastAsia" w:asciiTheme="minorEastAsia" w:hAnsiTheme="minorEastAsia" w:eastAsiaTheme="minorEastAsia"/>
          <w:shd w:val="clear" w:color="auto" w:fill="ffffff"/>
          <w:vertAlign w:val="superscript"/>
        </w:rPr>
        <w:t xml:space="preserve">4</w:t>
      </w:r>
      <w:r>
        <w:rPr>
          <w:rFonts w:hint="eastAsia" w:asciiTheme="minorEastAsia" w:hAnsiTheme="minorEastAsia" w:eastAsiaTheme="minorEastAsia"/>
          <w:shd w:val="clear" w:color="auto" w:fill="ffffff"/>
        </w:rPr>
        <w:t xml:space="preserve">在中国境内生产。</w:t>
      </w:r>
      <w:r>
        <w:rPr>
          <w:rStyle w:val="798"/>
          <w:rFonts w:hint="eastAsia" w:asciiTheme="minorEastAsia" w:hAnsiTheme="minorEastAsia" w:eastAsiaTheme="minorEastAsia"/>
          <w:u w:val="single"/>
          <w:shd w:val="clear" w:color="auto" w:fill="ffffff"/>
        </w:rPr>
        <w:t xml:space="preserve">（产品名称1）</w:t>
      </w:r>
      <w:r>
        <w:rPr>
          <w:rFonts w:hint="eastAsia" w:asciiTheme="minorEastAsia" w:hAnsiTheme="minorEastAsia" w:eastAsiaTheme="minorEastAsia"/>
          <w:shd w:val="clear" w:color="auto" w:fill="ffffff"/>
        </w:rPr>
        <w:t xml:space="preserve">的</w:t>
      </w:r>
      <w:r>
        <w:rPr>
          <w:rStyle w:val="798"/>
          <w:rFonts w:hint="eastAsia" w:asciiTheme="minorEastAsia" w:hAnsiTheme="minorEastAsia" w:eastAsiaTheme="minorEastAsia"/>
          <w:u w:val="single"/>
          <w:shd w:val="clear" w:color="auto" w:fill="ffffff"/>
        </w:rPr>
        <w:t xml:space="preserve">（关键工序）</w:t>
      </w:r>
      <w:r>
        <w:rPr>
          <w:rStyle w:val="798"/>
          <w:rFonts w:hint="eastAsia" w:asciiTheme="minorEastAsia" w:hAnsiTheme="minorEastAsia" w:eastAsiaTheme="minorEastAsia"/>
          <w:shd w:val="clear" w:color="auto" w:fill="ffffff"/>
          <w:vertAlign w:val="superscript"/>
        </w:rPr>
        <w:t xml:space="preserve">5</w:t>
      </w:r>
      <w:r>
        <w:rPr>
          <w:rFonts w:hint="eastAsia" w:asciiTheme="minorEastAsia" w:hAnsiTheme="minorEastAsia" w:eastAsiaTheme="minorEastAsia"/>
          <w:shd w:val="clear" w:color="auto" w:fill="ffffff"/>
        </w:rPr>
        <w:t xml:space="preserve">在中国境内完成。</w:t>
      </w:r>
      <w:r/>
    </w:p>
    <w:p>
      <w:pPr>
        <w:pStyle w:val="793"/>
        <w:ind w:firstLine="420"/>
        <w:spacing w:before="240" w:beforeAutospacing="0" w:after="12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2.</w:t>
      </w:r>
      <w:r>
        <w:rPr>
          <w:rStyle w:val="798"/>
          <w:rFonts w:hint="eastAsia" w:asciiTheme="minorEastAsia" w:hAnsiTheme="minorEastAsia" w:eastAsiaTheme="minorEastAsia"/>
          <w:u w:val="single"/>
          <w:shd w:val="clear" w:color="auto" w:fill="ffffff"/>
        </w:rPr>
        <w:t xml:space="preserve">（产品名称2）</w:t>
      </w:r>
      <w:r>
        <w:rPr>
          <w:rFonts w:hint="eastAsia" w:asciiTheme="minorEastAsia" w:hAnsiTheme="minorEastAsia" w:eastAsiaTheme="minorEastAsia"/>
          <w:shd w:val="clear" w:color="auto" w:fill="ffffff"/>
        </w:rPr>
        <w:t xml:space="preserve">，生产厂为</w:t>
      </w:r>
      <w:r>
        <w:rPr>
          <w:rStyle w:val="798"/>
          <w:rFonts w:hint="eastAsia" w:asciiTheme="minorEastAsia" w:hAnsiTheme="minorEastAsia" w:eastAsiaTheme="minorEastAsia"/>
          <w:u w:val="single"/>
          <w:shd w:val="clear" w:color="auto" w:fill="ffffff"/>
        </w:rPr>
        <w:t xml:space="preserve">（厂名）</w:t>
      </w:r>
      <w:r>
        <w:rPr>
          <w:rFonts w:hint="eastAsia" w:asciiTheme="minorEastAsia" w:hAnsiTheme="minorEastAsia" w:eastAsiaTheme="minorEastAsia"/>
          <w:shd w:val="clear" w:color="auto" w:fill="ffffff"/>
        </w:rPr>
        <w:t xml:space="preserve">，厂址为</w:t>
      </w:r>
      <w:r>
        <w:rPr>
          <w:rStyle w:val="798"/>
          <w:rFonts w:hint="eastAsia" w:asciiTheme="minorEastAsia" w:hAnsiTheme="minorEastAsia" w:eastAsiaTheme="minorEastAsia"/>
          <w:u w:val="single"/>
          <w:shd w:val="clear" w:color="auto" w:fill="ffffff"/>
        </w:rPr>
        <w:t xml:space="preserve">（生产厂址）</w:t>
      </w:r>
      <w:r>
        <w:rPr>
          <w:rFonts w:hint="eastAsia" w:asciiTheme="minorEastAsia" w:hAnsiTheme="minorEastAsia" w:eastAsiaTheme="minorEastAsia"/>
          <w:shd w:val="clear" w:color="auto" w:fill="ffffff"/>
        </w:rPr>
        <w:t xml:space="preserve">。</w:t>
      </w:r>
      <w:r>
        <w:rPr>
          <w:rStyle w:val="798"/>
          <w:rFonts w:hint="eastAsia" w:asciiTheme="minorEastAsia" w:hAnsiTheme="minorEastAsia" w:eastAsiaTheme="minorEastAsia"/>
          <w:u w:val="single"/>
          <w:shd w:val="clear" w:color="auto" w:fill="ffffff"/>
        </w:rPr>
        <w:t xml:space="preserve">（产品名称2）</w:t>
      </w:r>
      <w:r>
        <w:rPr>
          <w:rFonts w:hint="eastAsia" w:asciiTheme="minorEastAsia" w:hAnsiTheme="minorEastAsia" w:eastAsiaTheme="minorEastAsia"/>
          <w:shd w:val="clear" w:color="auto" w:fill="ffffff"/>
        </w:rPr>
        <w:t xml:space="preserve">的中国境内生产的组件成本占比≥</w:t>
      </w:r>
      <w:r>
        <w:rPr>
          <w:rStyle w:val="798"/>
          <w:rFonts w:hint="eastAsia" w:asciiTheme="minorEastAsia" w:hAnsiTheme="minorEastAsia" w:eastAsiaTheme="minorEastAsia"/>
          <w:u w:val="single"/>
          <w:shd w:val="clear" w:color="auto" w:fill="ffffff"/>
        </w:rPr>
        <w:t xml:space="preserve">（规定比例）</w:t>
      </w:r>
      <w:r>
        <w:rPr>
          <w:rFonts w:hint="eastAsia" w:asciiTheme="minorEastAsia" w:hAnsiTheme="minorEastAsia" w:eastAsiaTheme="minorEastAsia"/>
          <w:shd w:val="clear" w:color="auto" w:fill="ffffff"/>
        </w:rPr>
        <w:t xml:space="preserve">。</w:t>
      </w:r>
      <w:r>
        <w:rPr>
          <w:rStyle w:val="798"/>
          <w:rFonts w:hint="eastAsia" w:asciiTheme="minorEastAsia" w:hAnsiTheme="minorEastAsia" w:eastAsiaTheme="minorEastAsia"/>
          <w:u w:val="single"/>
          <w:shd w:val="clear" w:color="auto" w:fill="ffffff"/>
        </w:rPr>
        <w:t xml:space="preserve">（产品名称2）</w:t>
      </w:r>
      <w:r>
        <w:rPr>
          <w:rFonts w:hint="eastAsia" w:asciiTheme="minorEastAsia" w:hAnsiTheme="minorEastAsia" w:eastAsiaTheme="minorEastAsia"/>
          <w:shd w:val="clear" w:color="auto" w:fill="ffffff"/>
        </w:rPr>
        <w:t xml:space="preserve">的</w:t>
      </w:r>
      <w:r>
        <w:rPr>
          <w:rStyle w:val="798"/>
          <w:rFonts w:hint="eastAsia" w:asciiTheme="minorEastAsia" w:hAnsiTheme="minorEastAsia" w:eastAsiaTheme="minorEastAsia"/>
          <w:u w:val="single"/>
          <w:shd w:val="clear" w:color="auto" w:fill="ffffff"/>
        </w:rPr>
        <w:t xml:space="preserve">（关键组件）</w:t>
      </w:r>
      <w:r>
        <w:rPr>
          <w:rFonts w:hint="eastAsia" w:asciiTheme="minorEastAsia" w:hAnsiTheme="minorEastAsia" w:eastAsiaTheme="minorEastAsia"/>
          <w:shd w:val="clear" w:color="auto" w:fill="ffffff"/>
        </w:rPr>
        <w:t xml:space="preserve">在中国境内生产。</w:t>
      </w:r>
      <w:r>
        <w:rPr>
          <w:rStyle w:val="798"/>
          <w:rFonts w:hint="eastAsia" w:asciiTheme="minorEastAsia" w:hAnsiTheme="minorEastAsia" w:eastAsiaTheme="minorEastAsia"/>
          <w:u w:val="single"/>
          <w:shd w:val="clear" w:color="auto" w:fill="ffffff"/>
        </w:rPr>
        <w:t xml:space="preserve">（产品名称2）</w:t>
      </w:r>
      <w:r>
        <w:rPr>
          <w:rFonts w:hint="eastAsia" w:asciiTheme="minorEastAsia" w:hAnsiTheme="minorEastAsia" w:eastAsiaTheme="minorEastAsia"/>
          <w:shd w:val="clear" w:color="auto" w:fill="ffffff"/>
        </w:rPr>
        <w:t xml:space="preserve">的</w:t>
      </w:r>
      <w:r>
        <w:rPr>
          <w:rStyle w:val="798"/>
          <w:rFonts w:hint="eastAsia" w:asciiTheme="minorEastAsia" w:hAnsiTheme="minorEastAsia" w:eastAsiaTheme="minorEastAsia"/>
          <w:u w:val="single"/>
          <w:shd w:val="clear" w:color="auto" w:fill="ffffff"/>
        </w:rPr>
        <w:t xml:space="preserve">（关键工序）</w:t>
      </w:r>
      <w:r>
        <w:rPr>
          <w:rFonts w:hint="eastAsia" w:asciiTheme="minorEastAsia" w:hAnsiTheme="minorEastAsia" w:eastAsiaTheme="minorEastAsia"/>
          <w:shd w:val="clear" w:color="auto" w:fill="ffffff"/>
        </w:rPr>
        <w:t xml:space="preserve">在中国境内完成。</w:t>
      </w:r>
      <w:r/>
    </w:p>
    <w:p>
      <w:pPr>
        <w:pStyle w:val="793"/>
        <w:ind w:firstLine="420"/>
        <w:spacing w:before="240" w:beforeAutospacing="0" w:after="120" w:afterAutospacing="0"/>
        <w:shd w:val="clear" w:color="auto" w:fill="ffffff"/>
        <w:tabs>
          <w:tab w:val="center" w:pos="4363" w:leader="none"/>
        </w:tabs>
        <w:rPr>
          <w:rFonts w:asciiTheme="minorEastAsia" w:hAnsiTheme="minorEastAsia" w:eastAsiaTheme="minorEastAsia"/>
        </w:rPr>
      </w:pPr>
      <w:r>
        <w:rPr>
          <w:rFonts w:hint="eastAsia" w:asciiTheme="minorEastAsia" w:hAnsiTheme="minorEastAsia" w:eastAsiaTheme="minorEastAsia"/>
          <w:shd w:val="clear" w:color="auto" w:fill="ffffff"/>
        </w:rPr>
        <w:t xml:space="preserve">……</w:t>
      </w:r>
      <w:r>
        <w:rPr>
          <w:rFonts w:asciiTheme="minorEastAsia" w:hAnsiTheme="minorEastAsia" w:eastAsiaTheme="minorEastAsia"/>
          <w:shd w:val="clear" w:color="auto" w:fill="ffffff"/>
        </w:rPr>
        <w:tab/>
      </w:r>
      <w:r/>
    </w:p>
    <w:p>
      <w:pPr>
        <w:pStyle w:val="793"/>
        <w:ind w:firstLine="420"/>
        <w:spacing w:before="240" w:beforeAutospacing="0" w:after="12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本公司（单位）对上述声明内容的真实性负责。如有虚假，愿承担相应法律责任。</w:t>
      </w:r>
      <w:r/>
    </w:p>
    <w:p>
      <w:pPr>
        <w:pStyle w:val="793"/>
        <w:spacing w:before="240" w:beforeAutospacing="0" w:after="120" w:afterAutospacing="0"/>
        <w:shd w:val="clear" w:color="auto" w:fill="ffffff"/>
        <w:rPr>
          <w:rFonts w:asciiTheme="minorEastAsia" w:hAnsiTheme="minorEastAsia" w:eastAsiaTheme="minorEastAsia"/>
        </w:rPr>
      </w:pPr>
      <w:r>
        <w:rPr>
          <w:rFonts w:asciiTheme="minorEastAsia" w:hAnsiTheme="minorEastAsia" w:eastAsiaTheme="minorEastAsia"/>
        </w:rPr>
      </w:r>
      <w:r/>
    </w:p>
    <w:p>
      <w:pPr>
        <w:pStyle w:val="793"/>
        <w:ind w:right="360"/>
        <w:jc w:val="right"/>
        <w:spacing w:before="240" w:beforeAutospacing="0" w:after="12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公司（单位）名称（电子签章）：　        </w:t>
      </w:r>
      <w:r/>
    </w:p>
    <w:p>
      <w:pPr>
        <w:pStyle w:val="793"/>
        <w:ind w:right="360"/>
        <w:jc w:val="right"/>
        <w:spacing w:before="240" w:beforeAutospacing="0" w:after="12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日期：　     </w:t>
      </w:r>
      <w:r>
        <w:rPr>
          <w:rFonts w:hint="eastAsia"/>
          <w:shd w:val="clear" w:color="auto" w:fill="ffffff"/>
        </w:rPr>
        <w:t xml:space="preserve">年　</w:t>
      </w:r>
      <w:r>
        <w:rPr>
          <w:rFonts w:hint="eastAsia" w:asciiTheme="minorEastAsia" w:hAnsiTheme="minorEastAsia" w:eastAsiaTheme="minorEastAsia"/>
          <w:shd w:val="clear" w:color="auto" w:fill="ffffff"/>
        </w:rPr>
        <w:t xml:space="preserve">  </w:t>
      </w:r>
      <w:r>
        <w:rPr>
          <w:rFonts w:hint="eastAsia"/>
          <w:shd w:val="clear" w:color="auto" w:fill="ffffff"/>
        </w:rPr>
        <w:t xml:space="preserve">月　</w:t>
      </w:r>
      <w:r>
        <w:rPr>
          <w:rFonts w:hint="eastAsia" w:asciiTheme="minorEastAsia" w:hAnsiTheme="minorEastAsia" w:eastAsiaTheme="minorEastAsia"/>
          <w:shd w:val="clear" w:color="auto" w:fill="ffffff"/>
        </w:rPr>
        <w:t xml:space="preserve">  </w:t>
      </w:r>
      <w:r>
        <w:rPr>
          <w:rFonts w:hint="eastAsia"/>
          <w:shd w:val="clear" w:color="auto" w:fill="ffffff"/>
        </w:rPr>
        <w:t xml:space="preserve">日</w:t>
      </w:r>
      <w:r>
        <w:rPr>
          <w:rFonts w:hint="eastAsia" w:asciiTheme="minorEastAsia" w:hAnsiTheme="minorEastAsia" w:eastAsiaTheme="minorEastAsia"/>
          <w:shd w:val="clear" w:color="auto" w:fill="ffffff"/>
        </w:rPr>
        <w:t xml:space="preserve">         </w:t>
      </w:r>
      <w:r/>
    </w:p>
    <w:p>
      <w:pPr>
        <w:pStyle w:val="793"/>
        <w:ind w:firstLine="420"/>
        <w:spacing w:before="30" w:beforeAutospacing="0" w:after="30" w:afterAutospacing="0"/>
        <w:shd w:val="clear" w:color="auto" w:fill="ffffff"/>
        <w:rPr>
          <w:rFonts w:asciiTheme="minorEastAsia" w:hAnsiTheme="minorEastAsia" w:eastAsiaTheme="minorEastAsia"/>
          <w:shd w:val="clear" w:color="auto" w:fill="ffffff"/>
        </w:rPr>
      </w:pPr>
      <w:r>
        <w:rPr>
          <w:rFonts w:asciiTheme="minorEastAsia" w:hAnsiTheme="minorEastAsia" w:eastAsiaTheme="minorEastAsia"/>
          <w:shd w:val="clear" w:color="auto" w:fill="ffffff"/>
        </w:rPr>
      </w:r>
      <w:r/>
    </w:p>
    <w:p>
      <w:pPr>
        <w:pStyle w:val="793"/>
        <w:ind w:firstLine="420"/>
        <w:spacing w:before="30" w:beforeAutospacing="0" w:after="30" w:afterAutospacing="0"/>
        <w:shd w:val="clear" w:color="auto" w:fill="ffffff"/>
        <w:rPr>
          <w:rFonts w:asciiTheme="minorEastAsia" w:hAnsiTheme="minorEastAsia" w:eastAsiaTheme="minorEastAsia"/>
          <w:shd w:val="clear" w:color="auto" w:fill="ffffff"/>
        </w:rPr>
      </w:pPr>
      <w:r>
        <w:rPr>
          <w:rFonts w:asciiTheme="minorEastAsia" w:hAnsiTheme="minorEastAsia" w:eastAsiaTheme="minorEastAsia"/>
          <w:shd w:val="clear" w:color="auto" w:fill="ffffff"/>
        </w:rPr>
      </w:r>
      <w:r/>
    </w:p>
    <w:p>
      <w:pPr>
        <w:pStyle w:val="793"/>
        <w:ind w:firstLine="420"/>
        <w:spacing w:before="30" w:beforeAutospacing="0" w:after="30" w:afterAutospacing="0"/>
        <w:shd w:val="clear" w:color="auto" w:fill="ffffff"/>
        <w:rPr>
          <w:rFonts w:asciiTheme="minorEastAsia" w:hAnsiTheme="minorEastAsia" w:eastAsiaTheme="minorEastAsia"/>
          <w:shd w:val="clear" w:color="auto" w:fill="ffffff"/>
        </w:rPr>
      </w:pPr>
      <w:r>
        <w:rPr>
          <w:rFonts w:asciiTheme="minorEastAsia" w:hAnsiTheme="minorEastAsia" w:eastAsiaTheme="minorEastAsia"/>
          <w:shd w:val="clear" w:color="auto" w:fill="ffffff"/>
        </w:rPr>
      </w:r>
      <w:r/>
    </w:p>
    <w:p>
      <w:pPr>
        <w:pStyle w:val="793"/>
        <w:ind w:firstLine="420"/>
        <w:spacing w:before="30" w:beforeAutospacing="0" w:after="30" w:afterAutospacing="0"/>
        <w:shd w:val="clear" w:color="auto" w:fill="ffffff"/>
        <w:rPr>
          <w:rFonts w:asciiTheme="minorEastAsia" w:hAnsiTheme="minorEastAsia" w:eastAsiaTheme="minorEastAsia"/>
          <w:shd w:val="clear" w:color="auto" w:fill="ffffff"/>
        </w:rPr>
      </w:pPr>
      <w:r>
        <w:rPr>
          <w:rFonts w:hint="eastAsia" w:asciiTheme="minorEastAsia" w:hAnsiTheme="minorEastAsia" w:eastAsiaTheme="minorEastAsia"/>
          <w:shd w:val="clear" w:color="auto" w:fill="ffffff"/>
        </w:rPr>
        <w:t xml:space="preserve">说明：</w:t>
      </w:r>
      <w:r/>
    </w:p>
    <w:p>
      <w:pPr>
        <w:pStyle w:val="793"/>
        <w:ind w:firstLine="420"/>
        <w:spacing w:before="30" w:beforeAutospacing="0" w:after="3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1.产品如有型号，请在“产品名称”栏一并填写。</w:t>
      </w:r>
      <w:r/>
    </w:p>
    <w:p>
      <w:pPr>
        <w:pStyle w:val="793"/>
        <w:ind w:firstLine="420"/>
        <w:spacing w:before="30" w:beforeAutospacing="0" w:after="3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2.生产厂名与厂址应与生产厂营业执照载明的相关信息保持一致。</w:t>
      </w:r>
      <w:r/>
    </w:p>
    <w:p>
      <w:pPr>
        <w:pStyle w:val="793"/>
        <w:ind w:firstLine="420"/>
        <w:spacing w:before="30" w:beforeAutospacing="0" w:after="3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3.该产品的中国境内生产的组件成本占比相关要求实施前，“规定比例”栏可不填，下同。</w:t>
      </w:r>
      <w:r/>
    </w:p>
    <w:p>
      <w:pPr>
        <w:pStyle w:val="793"/>
        <w:ind w:firstLine="420"/>
        <w:spacing w:before="30" w:beforeAutospacing="0" w:after="3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4.该产品的关键组件要求实施前，“关键组件”栏可不填，下同。</w:t>
      </w:r>
      <w:r/>
    </w:p>
    <w:p>
      <w:pPr>
        <w:pStyle w:val="793"/>
        <w:ind w:firstLine="420"/>
        <w:spacing w:before="30" w:beforeAutospacing="0" w:after="30" w:afterAutospacing="0"/>
        <w:shd w:val="clear" w:color="auto" w:fill="ffffff"/>
        <w:rPr>
          <w:rFonts w:asciiTheme="minorEastAsia" w:hAnsiTheme="minorEastAsia" w:eastAsiaTheme="minorEastAsia"/>
        </w:rPr>
      </w:pPr>
      <w:r>
        <w:rPr>
          <w:rFonts w:hint="eastAsia" w:asciiTheme="minorEastAsia" w:hAnsiTheme="minorEastAsia" w:eastAsiaTheme="minorEastAsia"/>
          <w:shd w:val="clear" w:color="auto" w:fill="ffffff"/>
        </w:rPr>
        <w:t xml:space="preserve">5.该产品的关键工序要求实施前，“关键工序”栏可不填，下同。</w:t>
      </w:r>
      <w:r/>
    </w:p>
    <w:p>
      <w:pPr>
        <w:rPr>
          <w:rFonts w:asciiTheme="minorEastAsia" w:hAnsiTheme="minorEastAsia" w:eastAsiaTheme="minorEastAsia"/>
        </w:rPr>
      </w:pPr>
      <w:r>
        <w:rPr>
          <w:rFonts w:asciiTheme="minorEastAsia" w:hAnsiTheme="minorEastAsia" w:eastAsiaTheme="minorEastAsia"/>
        </w:rPr>
      </w:r>
      <w:r/>
    </w:p>
    <w:p>
      <w:pPr>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32"/>
          <w:szCs w:val="32"/>
        </w:rPr>
      </w:r>
      <w:r/>
    </w:p>
    <w:p>
      <w:pPr>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32"/>
          <w:szCs w:val="32"/>
        </w:rPr>
      </w:r>
      <w:r/>
    </w:p>
    <w:p>
      <w:pPr>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32"/>
          <w:szCs w:val="32"/>
        </w:rPr>
      </w:r>
      <w:r/>
    </w:p>
    <w:p>
      <w:pPr>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bCs/>
          <w:sz w:val="32"/>
          <w:szCs w:val="32"/>
        </w:rPr>
      </w:r>
      <w:r/>
    </w:p>
    <w:p>
      <w:pPr>
        <w:jc w:val="center"/>
        <w:spacing w:line="360" w:lineRule="auto"/>
        <w:rPr>
          <w:rFonts w:cs="宋体" w:asciiTheme="minorEastAsia" w:hAnsiTheme="minorEastAsia" w:eastAsiaTheme="minorEastAsia"/>
          <w:b/>
          <w:bCs/>
          <w:sz w:val="32"/>
          <w:szCs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bCs/>
          <w:sz w:val="32"/>
          <w:szCs w:val="32"/>
        </w:rPr>
        <w:t xml:space="preserve">十二、预付款保函支付条款模板</w:t>
      </w:r>
      <w:r/>
    </w:p>
    <w:p>
      <w:pPr>
        <w:spacing w:line="360" w:lineRule="auto"/>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24"/>
        </w:rPr>
      </w:r>
      <w:r/>
    </w:p>
    <w:p>
      <w:pPr>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符合条件一：提交预付款保函的</w:t>
      </w:r>
      <w:r/>
    </w:p>
    <w:p>
      <w:pPr>
        <w:ind w:firstLine="560"/>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（1）合同签订且乙方向甲方出具预付款保函后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个工作日内，由甲方根据审批流程办理政府采购资金结算手续，经审核后支付给乙方合同价款的百分之</w:t>
      </w:r>
      <w:r>
        <w:rPr>
          <w:rFonts w:hint="eastAsia" w:cs="宋体" w:asciiTheme="minorEastAsia" w:hAnsiTheme="minorEastAsia" w:eastAsiaTheme="minorEastAsia"/>
          <w:sz w:val="24"/>
          <w:u w:val="single"/>
        </w:rPr>
        <w:t xml:space="preserve">XX（ XX%），</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大写：人民币</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firstLine="602"/>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乙方需提交的支付文件：乙方出具的全额正式发票。</w:t>
      </w:r>
      <w:r/>
    </w:p>
    <w:p>
      <w:pPr>
        <w:ind w:firstLine="560"/>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（2）合同标的全部交付并安装完毕并验收合格后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个工作日内，由甲方根据审批流程办理政府采购资金结算手续，经审核后支付合同价款的百分之</w:t>
      </w:r>
      <w:r>
        <w:rPr>
          <w:rFonts w:hint="eastAsia" w:cs="宋体" w:asciiTheme="minorEastAsia" w:hAnsiTheme="minorEastAsia" w:eastAsiaTheme="minorEastAsia"/>
          <w:sz w:val="24"/>
          <w:u w:val="single"/>
        </w:rPr>
        <w:t xml:space="preserve">XX（ XX%），</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大写：人民币</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firstLine="605"/>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w:t>
      </w:r>
      <w:r/>
    </w:p>
    <w:p>
      <w:pPr>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符合条件二：不提交预付款保函的</w:t>
      </w:r>
      <w:r/>
    </w:p>
    <w:p>
      <w:pPr>
        <w:ind w:firstLine="602"/>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（1）合同签订后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个工作日内，由甲方根据审批流程办理政府采购资金结算手续，经审核后支付合同价款的百分之</w:t>
      </w:r>
      <w:r>
        <w:rPr>
          <w:rFonts w:hint="eastAsia" w:cs="宋体" w:asciiTheme="minorEastAsia" w:hAnsiTheme="minorEastAsia" w:eastAsiaTheme="minorEastAsia"/>
          <w:sz w:val="24"/>
          <w:u w:val="single"/>
        </w:rPr>
        <w:t xml:space="preserve">XX（ XX%），</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大写：人民币</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firstLine="602"/>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乙方需提交的支付文件：乙方出具的全额正式发票。</w:t>
      </w:r>
      <w:r/>
    </w:p>
    <w:p>
      <w:pPr>
        <w:ind w:firstLine="560"/>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（2）合同标的全部交付并安装完毕并验收合格后，由甲方根据审批流程办理政府采购资金结算手续，经审核后</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个工作日内，甲方应支付合同价款的百分之</w:t>
      </w:r>
      <w:r>
        <w:rPr>
          <w:rFonts w:hint="eastAsia" w:cs="宋体" w:asciiTheme="minorEastAsia" w:hAnsiTheme="minorEastAsia" w:eastAsiaTheme="minorEastAsia"/>
          <w:sz w:val="24"/>
          <w:u w:val="single"/>
        </w:rPr>
        <w:t xml:space="preserve">XX（  XX%），</w:t>
      </w:r>
      <w:r>
        <w:rPr>
          <w:rFonts w:hint="eastAsia" w:cs="宋体" w:asciiTheme="minorEastAsia" w:hAnsiTheme="minorEastAsia" w:eastAsiaTheme="minorEastAsia"/>
          <w:sz w:val="24"/>
        </w:rPr>
        <w:t xml:space="preserve">小写￥</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大写：人民币</w:t>
      </w:r>
      <w:r>
        <w:rPr>
          <w:rFonts w:hint="eastAsia" w:cs="宋体" w:asciiTheme="minorEastAsia" w:hAnsiTheme="minorEastAsia" w:eastAsiaTheme="minorEastAsia"/>
          <w:sz w:val="24"/>
          <w:u w:val="single"/>
        </w:rPr>
        <w:t xml:space="preserve">      </w:t>
      </w:r>
      <w:r>
        <w:rPr>
          <w:rFonts w:hint="eastAsia" w:cs="宋体" w:asciiTheme="minorEastAsia" w:hAnsiTheme="minorEastAsia" w:eastAsiaTheme="minorEastAsia"/>
          <w:sz w:val="24"/>
        </w:rPr>
        <w:t xml:space="preserve">。</w:t>
      </w:r>
      <w:r/>
    </w:p>
    <w:p>
      <w:pPr>
        <w:ind w:firstLine="605"/>
        <w:spacing w:line="480" w:lineRule="exact"/>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w:t>
      </w:r>
      <w:r/>
    </w:p>
    <w:p>
      <w:pPr>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24"/>
        </w:rPr>
        <w:t xml:space="preserve">注:</w:t>
      </w:r>
      <w:r/>
    </w:p>
    <w:p>
      <w:pPr>
        <w:ind w:firstLine="560"/>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1、付款条件一中，出具预付款保函后支付的合同款应当与保函金额一致。</w:t>
      </w:r>
      <w:r/>
    </w:p>
    <w:p>
      <w:pPr>
        <w:ind w:firstLine="560"/>
        <w:spacing w:line="480" w:lineRule="exac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2、付款条件二中，预付款比例设定应符合《关于做好政府采购支持企业发展有关事项的通知》(苏财购〔2020〕52号)要求。 </w:t>
      </w:r>
      <w:r/>
    </w:p>
    <w:p>
      <w:pPr>
        <w:rPr>
          <w:rFonts w:cs="宋体"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2"/>
        </w:rPr>
        <w:t xml:space="preserve"> </w:t>
      </w:r>
      <w:r/>
    </w:p>
    <w:p>
      <w:pPr>
        <w:rPr>
          <w:rFonts w:cs="宋体" w:asciiTheme="minorEastAsia" w:hAnsiTheme="minorEastAsia" w:eastAsiaTheme="minorEastAsia"/>
        </w:rPr>
      </w:pPr>
      <w:r>
        <w:rPr>
          <w:rFonts w:cs="宋体" w:asciiTheme="minorEastAsia" w:hAnsiTheme="minorEastAsia" w:eastAsiaTheme="minorEastAsia"/>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黑体">
    <w:panose1 w:val="02010609060101010101"/>
  </w:font>
  <w:font w:name="MS Gothic">
    <w:panose1 w:val="020B0609070205080204"/>
  </w:font>
  <w:font w:name="Calibri Light">
    <w:panose1 w:val="020F0302020204030204"/>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2"/>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2"/>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4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4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pBdr>
        <w:bottom w:val="single" w:color="000000" w:sz="4" w:space="0"/>
      </w:pBdr>
    </w:pPr>
    <w:r>
      <w:rPr>
        <w:rFonts w:hint="eastAsia" w:ascii="宋体" w:hAnsi="宋体" w:cs="宋体"/>
        <w:color w:val="000000"/>
      </w:rPr>
      <w:t xml:space="preserve">2026年住宿保障类应急物资采购项目-招标文件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jc w:val="right"/>
      <w:pBdr>
        <w:bottom w:val="single" w:color="000000" w:sz="4" w:space="0"/>
      </w:pBdr>
    </w:pPr>
    <w:r>
      <w:rPr>
        <w:rFonts w:hint="eastAsia" w:ascii="宋体" w:hAnsi="宋体" w:cs="宋体"/>
        <w:color w:val="000000"/>
      </w:rPr>
      <w:t xml:space="preserve">2026年住宿保障类应急物资采购项目-招标文件</w:t>
    </w:r>
    <w:r/>
  </w:p>
  <w:p>
    <w:pPr>
      <w:pStyle w:val="7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1"/>
      <w:numFmt w:val="decimal"/>
      <w:isLgl w:val="false"/>
      <w:suff w:val="tab"/>
      <w:lvlText w:val=""/>
      <w:lvlJc w:val="left"/>
      <w:pPr>
        <w:ind w:left="0" w:firstLine="0"/>
        <w:tabs>
          <w:tab w:val="left" w:pos="360" w:leader="none"/>
        </w:tabs>
      </w:pPr>
      <w:rPr>
        <w:rFonts w:cs="Times New Roman"/>
      </w:rPr>
    </w:lvl>
    <w:lvl w:ilvl="3">
      <w:start w:val="1"/>
      <w:numFmt w:val="decimal"/>
      <w:isLgl w:val="false"/>
      <w:suff w:val="tab"/>
      <w:lvlText w:val=""/>
      <w:lvlJc w:val="left"/>
      <w:pPr>
        <w:ind w:left="0" w:firstLine="0"/>
        <w:tabs>
          <w:tab w:val="left" w:pos="360" w:leader="none"/>
        </w:tabs>
      </w:pPr>
      <w:rPr>
        <w:rFonts w:cs="Times New Roman"/>
      </w:rPr>
    </w:lvl>
    <w:lvl w:ilvl="4">
      <w:start w:val="1"/>
      <w:numFmt w:val="decimal"/>
      <w:pStyle w:val="1058"/>
      <w:isLgl w:val="false"/>
      <w:suff w:val="tab"/>
      <w:lvlText w:val=""/>
      <w:lvlJc w:val="left"/>
      <w:pPr>
        <w:ind w:left="0" w:firstLine="0"/>
      </w:pPr>
      <w:rPr>
        <w:rFonts w:cs="Times New Roman"/>
      </w:rPr>
    </w:lvl>
    <w:lvl w:ilvl="5">
      <w:start w:val="1"/>
      <w:numFmt w:val="decimal"/>
      <w:isLgl w:val="false"/>
      <w:suff w:val="tab"/>
      <w:lvlText w:val=""/>
      <w:lvlJc w:val="left"/>
      <w:pPr>
        <w:ind w:left="0" w:firstLine="0"/>
      </w:pPr>
      <w:rPr>
        <w:rFonts w:cs="Times New Roman"/>
      </w:rPr>
    </w:lvl>
    <w:lvl w:ilvl="6">
      <w:start w:val="1"/>
      <w:numFmt w:val="decimal"/>
      <w:isLgl w:val="false"/>
      <w:suff w:val="tab"/>
      <w:lvlText w:val=""/>
      <w:lvlJc w:val="left"/>
      <w:pPr>
        <w:ind w:left="0" w:firstLine="0"/>
      </w:pPr>
      <w:rPr>
        <w:rFonts w:cs="Times New Roman"/>
      </w:rPr>
    </w:lvl>
    <w:lvl w:ilvl="7">
      <w:start w:val="1"/>
      <w:numFmt w:val="decimal"/>
      <w:isLgl w:val="false"/>
      <w:suff w:val="tab"/>
      <w:lvlText w:val=""/>
      <w:lvlJc w:val="left"/>
      <w:pPr>
        <w:ind w:left="0" w:firstLine="0"/>
      </w:pPr>
      <w:rPr>
        <w:rFonts w:cs="Times New Roman"/>
      </w:rPr>
    </w:lvl>
    <w:lvl w:ilvl="8">
      <w:start w:val="1"/>
      <w:numFmt w:val="decimal"/>
      <w:isLgl w:val="false"/>
      <w:suff w:val="tab"/>
      <w:lvlText w:val=""/>
      <w:lvlJc w:val="left"/>
      <w:pPr>
        <w:ind w:left="0" w:firstLine="0"/>
      </w:pPr>
      <w:rPr>
        <w:rFonts w:cs="Times New Roman"/>
      </w:rPr>
    </w:lvl>
  </w:abstractNum>
  <w:abstractNum w:abstractNumId="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qFormat/>
    <w:pPr>
      <w:jc w:val="both"/>
      <w:widowControl w:val="off"/>
    </w:pPr>
    <w:rPr>
      <w:sz w:val="21"/>
      <w:szCs w:val="24"/>
    </w:rPr>
  </w:style>
  <w:style w:type="paragraph" w:styleId="743">
    <w:name w:val="Heading 1"/>
    <w:basedOn w:val="742"/>
    <w:next w:val="7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table" w:styleId="755">
    <w:name w:val="Plain Table 1"/>
    <w:basedOn w:val="75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5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name w:val="Grid Table 1 Light"/>
    <w:basedOn w:val="75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5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2">
    <w:name w:val="Grid Table 3"/>
    <w:basedOn w:val="75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5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name w:val="Grid Table 6 Colorful"/>
    <w:basedOn w:val="75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6">
    <w:name w:val="Grid Table 7 Colorful"/>
    <w:basedOn w:val="75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7">
    <w:name w:val="List Table 1 Light"/>
    <w:basedOn w:val="75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5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9">
    <w:name w:val="List Table 3"/>
    <w:basedOn w:val="75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name w:val="List Table 4"/>
    <w:basedOn w:val="75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name w:val="List Table 5 Dark"/>
    <w:basedOn w:val="75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2">
    <w:name w:val="List Table 6 Colorful"/>
    <w:basedOn w:val="75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3">
    <w:name w:val="List Table 7 Colorful"/>
    <w:basedOn w:val="75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74">
    <w:name w:val="TOC Heading"/>
    <w:uiPriority w:val="39"/>
    <w:unhideWhenUsed/>
  </w:style>
  <w:style w:type="paragraph" w:styleId="775">
    <w:name w:val="toc 7"/>
    <w:basedOn w:val="742"/>
    <w:next w:val="742"/>
    <w:uiPriority w:val="39"/>
    <w:unhideWhenUsed/>
    <w:qFormat/>
    <w:pPr>
      <w:ind w:left="1701"/>
      <w:spacing w:after="57"/>
    </w:pPr>
  </w:style>
  <w:style w:type="paragraph" w:styleId="776">
    <w:name w:val="Caption"/>
    <w:basedOn w:val="742"/>
    <w:next w:val="742"/>
    <w:uiPriority w:val="35"/>
    <w:semiHidden/>
    <w:unhideWhenUsed/>
    <w:qFormat/>
    <w:pPr>
      <w:spacing w:line="276" w:lineRule="auto"/>
    </w:pPr>
    <w:rPr>
      <w:b/>
      <w:bCs/>
      <w:color w:val="4f81bd" w:themeColor="accent1"/>
      <w:sz w:val="18"/>
      <w:szCs w:val="18"/>
    </w:rPr>
  </w:style>
  <w:style w:type="paragraph" w:styleId="777">
    <w:name w:val="annotation text"/>
    <w:basedOn w:val="742"/>
    <w:semiHidden/>
    <w:unhideWhenUsed/>
    <w:qFormat/>
    <w:pPr>
      <w:jc w:val="left"/>
    </w:pPr>
  </w:style>
  <w:style w:type="paragraph" w:styleId="778">
    <w:name w:val="Body Text"/>
    <w:basedOn w:val="742"/>
    <w:link w:val="1090"/>
    <w:uiPriority w:val="99"/>
    <w:semiHidden/>
    <w:unhideWhenUsed/>
    <w:pPr>
      <w:spacing w:after="120"/>
    </w:pPr>
  </w:style>
  <w:style w:type="paragraph" w:styleId="779">
    <w:name w:val="toc 5"/>
    <w:basedOn w:val="742"/>
    <w:next w:val="742"/>
    <w:uiPriority w:val="39"/>
    <w:unhideWhenUsed/>
    <w:qFormat/>
    <w:pPr>
      <w:ind w:left="1134"/>
      <w:spacing w:after="57"/>
    </w:pPr>
  </w:style>
  <w:style w:type="paragraph" w:styleId="780">
    <w:name w:val="toc 3"/>
    <w:basedOn w:val="742"/>
    <w:next w:val="742"/>
    <w:uiPriority w:val="39"/>
    <w:unhideWhenUsed/>
    <w:qFormat/>
    <w:pPr>
      <w:ind w:left="567"/>
      <w:spacing w:after="57"/>
    </w:pPr>
  </w:style>
  <w:style w:type="paragraph" w:styleId="781">
    <w:name w:val="toc 8"/>
    <w:basedOn w:val="742"/>
    <w:next w:val="742"/>
    <w:uiPriority w:val="39"/>
    <w:unhideWhenUsed/>
    <w:qFormat/>
    <w:pPr>
      <w:ind w:left="1984"/>
      <w:spacing w:after="57"/>
    </w:pPr>
  </w:style>
  <w:style w:type="paragraph" w:styleId="782">
    <w:name w:val="endnote text"/>
    <w:basedOn w:val="742"/>
    <w:uiPriority w:val="99"/>
    <w:semiHidden/>
    <w:unhideWhenUsed/>
    <w:qFormat/>
    <w:rPr>
      <w:sz w:val="20"/>
    </w:rPr>
  </w:style>
  <w:style w:type="paragraph" w:styleId="783">
    <w:name w:val="Footer"/>
    <w:basedOn w:val="742"/>
    <w:uiPriority w:val="99"/>
    <w:unhideWhenUsed/>
    <w:qFormat/>
    <w:pPr>
      <w:tabs>
        <w:tab w:val="center" w:pos="7143" w:leader="none"/>
        <w:tab w:val="right" w:pos="14287" w:leader="none"/>
      </w:tabs>
    </w:pPr>
  </w:style>
  <w:style w:type="paragraph" w:styleId="784">
    <w:name w:val="Header"/>
    <w:basedOn w:val="742"/>
    <w:uiPriority w:val="99"/>
    <w:unhideWhenUsed/>
    <w:qFormat/>
    <w:pPr>
      <w:tabs>
        <w:tab w:val="center" w:pos="7143" w:leader="none"/>
        <w:tab w:val="right" w:pos="14287" w:leader="none"/>
      </w:tabs>
    </w:pPr>
  </w:style>
  <w:style w:type="paragraph" w:styleId="785">
    <w:name w:val="toc 1"/>
    <w:basedOn w:val="742"/>
    <w:next w:val="742"/>
    <w:uiPriority w:val="39"/>
    <w:unhideWhenUsed/>
    <w:qFormat/>
    <w:pPr>
      <w:spacing w:after="57"/>
    </w:pPr>
  </w:style>
  <w:style w:type="paragraph" w:styleId="786">
    <w:name w:val="toc 4"/>
    <w:basedOn w:val="742"/>
    <w:next w:val="742"/>
    <w:uiPriority w:val="39"/>
    <w:unhideWhenUsed/>
    <w:qFormat/>
    <w:pPr>
      <w:ind w:left="850"/>
      <w:spacing w:after="57"/>
    </w:pPr>
  </w:style>
  <w:style w:type="paragraph" w:styleId="787">
    <w:name w:val="Subtitle"/>
    <w:basedOn w:val="742"/>
    <w:next w:val="742"/>
    <w:uiPriority w:val="11"/>
    <w:qFormat/>
    <w:pPr>
      <w:spacing w:before="200" w:after="200"/>
    </w:pPr>
    <w:rPr>
      <w:sz w:val="24"/>
    </w:rPr>
  </w:style>
  <w:style w:type="paragraph" w:styleId="788">
    <w:name w:val="footnote text"/>
    <w:basedOn w:val="742"/>
    <w:uiPriority w:val="99"/>
    <w:semiHidden/>
    <w:unhideWhenUsed/>
    <w:qFormat/>
    <w:pPr>
      <w:spacing w:after="40"/>
    </w:pPr>
    <w:rPr>
      <w:sz w:val="18"/>
    </w:rPr>
  </w:style>
  <w:style w:type="paragraph" w:styleId="789">
    <w:name w:val="toc 6"/>
    <w:basedOn w:val="742"/>
    <w:next w:val="742"/>
    <w:uiPriority w:val="39"/>
    <w:unhideWhenUsed/>
    <w:qFormat/>
    <w:pPr>
      <w:ind w:left="1417"/>
      <w:spacing w:after="57"/>
    </w:pPr>
  </w:style>
  <w:style w:type="paragraph" w:styleId="790">
    <w:name w:val="table of figures"/>
    <w:basedOn w:val="742"/>
    <w:next w:val="742"/>
    <w:uiPriority w:val="99"/>
    <w:unhideWhenUsed/>
    <w:qFormat/>
  </w:style>
  <w:style w:type="paragraph" w:styleId="791">
    <w:name w:val="toc 2"/>
    <w:basedOn w:val="742"/>
    <w:next w:val="742"/>
    <w:uiPriority w:val="39"/>
    <w:unhideWhenUsed/>
    <w:qFormat/>
    <w:pPr>
      <w:ind w:left="283"/>
      <w:spacing w:after="57"/>
    </w:pPr>
  </w:style>
  <w:style w:type="paragraph" w:styleId="792">
    <w:name w:val="toc 9"/>
    <w:basedOn w:val="742"/>
    <w:next w:val="742"/>
    <w:uiPriority w:val="39"/>
    <w:unhideWhenUsed/>
    <w:qFormat/>
    <w:pPr>
      <w:ind w:left="2268"/>
      <w:spacing w:after="57"/>
    </w:pPr>
  </w:style>
  <w:style w:type="paragraph" w:styleId="793">
    <w:name w:val="Normal (Web)"/>
    <w:basedOn w:val="742"/>
    <w:uiPriority w:val="99"/>
    <w:unhideWhenUsed/>
    <w:pPr>
      <w:jc w:val="left"/>
      <w:spacing w:before="100" w:beforeAutospacing="1" w:after="100" w:afterAutospacing="1"/>
      <w:widowControl/>
    </w:pPr>
    <w:rPr>
      <w:rFonts w:ascii="宋体" w:hAnsi="宋体" w:cs="宋体"/>
      <w:sz w:val="24"/>
    </w:rPr>
  </w:style>
  <w:style w:type="paragraph" w:styleId="794">
    <w:name w:val="Title"/>
    <w:basedOn w:val="742"/>
    <w:next w:val="742"/>
    <w:uiPriority w:val="10"/>
    <w:qFormat/>
    <w:pPr>
      <w:contextualSpacing/>
      <w:spacing w:before="300" w:after="200"/>
    </w:pPr>
    <w:rPr>
      <w:sz w:val="48"/>
      <w:szCs w:val="48"/>
    </w:rPr>
  </w:style>
  <w:style w:type="table" w:styleId="795">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52"/>
    <w:uiPriority w:val="22"/>
    <w:qFormat/>
    <w:rPr>
      <w:b/>
      <w:bCs/>
    </w:rPr>
  </w:style>
  <w:style w:type="character" w:styleId="797">
    <w:name w:val="endnote reference"/>
    <w:uiPriority w:val="99"/>
    <w:semiHidden/>
    <w:unhideWhenUsed/>
    <w:qFormat/>
    <w:rPr>
      <w:vertAlign w:val="superscript"/>
    </w:rPr>
  </w:style>
  <w:style w:type="character" w:styleId="798">
    <w:name w:val="Emphasis"/>
    <w:basedOn w:val="752"/>
    <w:qFormat/>
    <w:rPr>
      <w:i/>
    </w:rPr>
  </w:style>
  <w:style w:type="character" w:styleId="799">
    <w:name w:val="Hyperlink"/>
    <w:uiPriority w:val="99"/>
    <w:unhideWhenUsed/>
    <w:qFormat/>
    <w:rPr>
      <w:color w:val="0000ff" w:themeColor="hyperlink"/>
      <w:u w:val="single"/>
    </w:rPr>
  </w:style>
  <w:style w:type="character" w:styleId="800">
    <w:name w:val="footnote reference"/>
    <w:uiPriority w:val="99"/>
    <w:unhideWhenUsed/>
    <w:qFormat/>
    <w:rPr>
      <w:vertAlign w:val="superscript"/>
    </w:rPr>
  </w:style>
  <w:style w:type="paragraph" w:styleId="801" w:customStyle="1">
    <w:name w:val="标题 11"/>
    <w:basedOn w:val="742"/>
    <w:next w:val="742"/>
    <w:link w:val="812"/>
    <w:qFormat/>
    <w:pPr>
      <w:jc w:val="center"/>
      <w:keepLines/>
      <w:keepNext/>
      <w:spacing w:line="578" w:lineRule="auto"/>
      <w:outlineLvl w:val="0"/>
    </w:pPr>
    <w:rPr>
      <w:rFonts w:eastAsia="新宋体"/>
      <w:b/>
      <w:bCs/>
      <w:sz w:val="30"/>
      <w:szCs w:val="44"/>
    </w:rPr>
  </w:style>
  <w:style w:type="paragraph" w:styleId="802" w:customStyle="1">
    <w:name w:val="标题 211"/>
    <w:basedOn w:val="742"/>
    <w:next w:val="742"/>
    <w:link w:val="813"/>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803" w:customStyle="1">
    <w:name w:val="标题 31"/>
    <w:basedOn w:val="742"/>
    <w:next w:val="742"/>
    <w:link w:val="814"/>
    <w:uiPriority w:val="9"/>
    <w:unhideWhenUsed/>
    <w:qFormat/>
    <w:pPr>
      <w:keepLines/>
      <w:keepNext/>
      <w:spacing w:before="260" w:after="260" w:line="416" w:lineRule="auto"/>
      <w:outlineLvl w:val="2"/>
    </w:pPr>
    <w:rPr>
      <w:b/>
      <w:bCs/>
      <w:sz w:val="32"/>
      <w:szCs w:val="32"/>
    </w:rPr>
  </w:style>
  <w:style w:type="paragraph" w:styleId="804" w:customStyle="1">
    <w:name w:val="标题 41"/>
    <w:basedOn w:val="742"/>
    <w:next w:val="742"/>
    <w:link w:val="815"/>
    <w:uiPriority w:val="9"/>
    <w:unhideWhenUsed/>
    <w:qFormat/>
    <w:pPr>
      <w:keepLines/>
      <w:keepNext/>
      <w:spacing w:before="320" w:after="200"/>
      <w:outlineLvl w:val="3"/>
    </w:pPr>
    <w:rPr>
      <w:rFonts w:ascii="Arial" w:hAnsi="Arial" w:eastAsia="Arial" w:cs="Arial"/>
      <w:b/>
      <w:bCs/>
      <w:sz w:val="26"/>
      <w:szCs w:val="26"/>
    </w:rPr>
  </w:style>
  <w:style w:type="paragraph" w:styleId="805" w:customStyle="1">
    <w:name w:val="标题 51"/>
    <w:basedOn w:val="742"/>
    <w:next w:val="742"/>
    <w:link w:val="816"/>
    <w:uiPriority w:val="9"/>
    <w:unhideWhenUsed/>
    <w:qFormat/>
    <w:pPr>
      <w:keepLines/>
      <w:keepNext/>
      <w:spacing w:before="320" w:after="200"/>
      <w:outlineLvl w:val="4"/>
    </w:pPr>
    <w:rPr>
      <w:rFonts w:ascii="Arial" w:hAnsi="Arial" w:eastAsia="Arial" w:cs="Arial"/>
      <w:b/>
      <w:bCs/>
      <w:sz w:val="24"/>
    </w:rPr>
  </w:style>
  <w:style w:type="paragraph" w:styleId="806" w:customStyle="1">
    <w:name w:val="标题 61"/>
    <w:basedOn w:val="742"/>
    <w:next w:val="742"/>
    <w:link w:val="817"/>
    <w:uiPriority w:val="9"/>
    <w:unhideWhenUsed/>
    <w:qFormat/>
    <w:pPr>
      <w:keepLines/>
      <w:keepNext/>
      <w:spacing w:before="320" w:after="200"/>
      <w:outlineLvl w:val="5"/>
    </w:pPr>
    <w:rPr>
      <w:rFonts w:ascii="Arial" w:hAnsi="Arial" w:eastAsia="Arial" w:cs="Arial"/>
      <w:b/>
      <w:bCs/>
      <w:sz w:val="22"/>
      <w:szCs w:val="22"/>
    </w:rPr>
  </w:style>
  <w:style w:type="paragraph" w:styleId="807" w:customStyle="1">
    <w:name w:val="标题 71"/>
    <w:basedOn w:val="742"/>
    <w:next w:val="742"/>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808" w:customStyle="1">
    <w:name w:val="标题 81"/>
    <w:basedOn w:val="742"/>
    <w:next w:val="742"/>
    <w:link w:val="819"/>
    <w:uiPriority w:val="9"/>
    <w:unhideWhenUsed/>
    <w:qFormat/>
    <w:pPr>
      <w:keepLines/>
      <w:keepNext/>
      <w:spacing w:before="320" w:after="200"/>
      <w:outlineLvl w:val="7"/>
    </w:pPr>
    <w:rPr>
      <w:rFonts w:ascii="Arial" w:hAnsi="Arial" w:eastAsia="Arial" w:cs="Arial"/>
      <w:i/>
      <w:iCs/>
      <w:sz w:val="22"/>
      <w:szCs w:val="22"/>
    </w:rPr>
  </w:style>
  <w:style w:type="paragraph" w:styleId="809" w:customStyle="1">
    <w:name w:val="标题 91"/>
    <w:basedOn w:val="742"/>
    <w:next w:val="742"/>
    <w:link w:val="820"/>
    <w:uiPriority w:val="9"/>
    <w:unhideWhenUsed/>
    <w:qFormat/>
    <w:pPr>
      <w:keepLines/>
      <w:keepNext/>
      <w:spacing w:before="320" w:after="200"/>
      <w:outlineLvl w:val="8"/>
    </w:pPr>
    <w:rPr>
      <w:rFonts w:ascii="Arial" w:hAnsi="Arial" w:eastAsia="Arial" w:cs="Arial"/>
      <w:i/>
      <w:iCs/>
      <w:szCs w:val="21"/>
    </w:rPr>
  </w:style>
  <w:style w:type="character" w:styleId="810" w:customStyle="1">
    <w:name w:val="默认段落字体1"/>
    <w:uiPriority w:val="1"/>
    <w:unhideWhenUsed/>
    <w:qFormat/>
  </w:style>
  <w:style w:type="table" w:styleId="811" w:customStyle="1">
    <w:name w:val="普通表格1"/>
    <w:uiPriority w:val="99"/>
    <w:unhideWhenUsed/>
    <w:qFormat/>
    <w:tblPr>
      <w:tblCellMar>
        <w:left w:w="0" w:type="dxa"/>
        <w:top w:w="0" w:type="dxa"/>
        <w:right w:w="0" w:type="dxa"/>
        <w:bottom w:w="0" w:type="dxa"/>
      </w:tblCellMar>
    </w:tblPr>
  </w:style>
  <w:style w:type="character" w:styleId="812" w:customStyle="1">
    <w:name w:val="标题 1 Char"/>
    <w:basedOn w:val="810"/>
    <w:link w:val="801"/>
    <w:qFormat/>
    <w:rPr>
      <w:rFonts w:ascii="Times New Roman" w:hAnsi="Times New Roman" w:eastAsia="新宋体" w:cs="Times New Roman"/>
      <w:b/>
      <w:bCs/>
      <w:sz w:val="30"/>
      <w:szCs w:val="44"/>
    </w:rPr>
  </w:style>
  <w:style w:type="character" w:styleId="813" w:customStyle="1">
    <w:name w:val="标题 2 Char"/>
    <w:basedOn w:val="810"/>
    <w:link w:val="802"/>
    <w:uiPriority w:val="9"/>
    <w:qFormat/>
    <w:rPr>
      <w:rFonts w:ascii="Calibri Light" w:hAnsi="Calibri Light" w:eastAsia="黑体" w:cs="Times New Roman"/>
      <w:b/>
      <w:bCs/>
      <w:sz w:val="32"/>
      <w:szCs w:val="32"/>
    </w:rPr>
  </w:style>
  <w:style w:type="character" w:styleId="814" w:customStyle="1">
    <w:name w:val="标题 3 Char"/>
    <w:basedOn w:val="810"/>
    <w:link w:val="803"/>
    <w:uiPriority w:val="9"/>
    <w:qFormat/>
    <w:rPr>
      <w:rFonts w:ascii="Times New Roman" w:hAnsi="Times New Roman" w:eastAsia="宋体" w:cs="Times New Roman"/>
      <w:b/>
      <w:bCs/>
      <w:sz w:val="32"/>
      <w:szCs w:val="32"/>
    </w:rPr>
  </w:style>
  <w:style w:type="character" w:styleId="815" w:customStyle="1">
    <w:name w:val="标题 4 Char"/>
    <w:basedOn w:val="810"/>
    <w:link w:val="804"/>
    <w:uiPriority w:val="9"/>
    <w:qFormat/>
    <w:rPr>
      <w:rFonts w:ascii="Arial" w:hAnsi="Arial" w:eastAsia="Arial" w:cs="Arial"/>
      <w:b/>
      <w:bCs/>
      <w:sz w:val="26"/>
      <w:szCs w:val="26"/>
    </w:rPr>
  </w:style>
  <w:style w:type="character" w:styleId="816" w:customStyle="1">
    <w:name w:val="标题 5 Char"/>
    <w:basedOn w:val="810"/>
    <w:link w:val="805"/>
    <w:uiPriority w:val="9"/>
    <w:qFormat/>
    <w:rPr>
      <w:rFonts w:ascii="Arial" w:hAnsi="Arial" w:eastAsia="Arial" w:cs="Arial"/>
      <w:b/>
      <w:bCs/>
      <w:sz w:val="24"/>
      <w:szCs w:val="24"/>
    </w:rPr>
  </w:style>
  <w:style w:type="character" w:styleId="817" w:customStyle="1">
    <w:name w:val="标题 6 Char"/>
    <w:basedOn w:val="810"/>
    <w:link w:val="806"/>
    <w:uiPriority w:val="9"/>
    <w:qFormat/>
    <w:rPr>
      <w:rFonts w:ascii="Arial" w:hAnsi="Arial" w:eastAsia="Arial" w:cs="Arial"/>
      <w:b/>
      <w:bCs/>
      <w:sz w:val="22"/>
      <w:szCs w:val="22"/>
    </w:rPr>
  </w:style>
  <w:style w:type="character" w:styleId="818" w:customStyle="1">
    <w:name w:val="标题 7 Char"/>
    <w:basedOn w:val="810"/>
    <w:link w:val="807"/>
    <w:uiPriority w:val="9"/>
    <w:qFormat/>
    <w:rPr>
      <w:rFonts w:ascii="Arial" w:hAnsi="Arial" w:eastAsia="Arial" w:cs="Arial"/>
      <w:b/>
      <w:bCs/>
      <w:i/>
      <w:iCs/>
      <w:sz w:val="22"/>
      <w:szCs w:val="22"/>
    </w:rPr>
  </w:style>
  <w:style w:type="character" w:styleId="819" w:customStyle="1">
    <w:name w:val="标题 8 Char"/>
    <w:basedOn w:val="810"/>
    <w:link w:val="808"/>
    <w:uiPriority w:val="9"/>
    <w:qFormat/>
    <w:rPr>
      <w:rFonts w:ascii="Arial" w:hAnsi="Arial" w:eastAsia="Arial" w:cs="Arial"/>
      <w:i/>
      <w:iCs/>
      <w:sz w:val="22"/>
      <w:szCs w:val="22"/>
    </w:rPr>
  </w:style>
  <w:style w:type="character" w:styleId="820" w:customStyle="1">
    <w:name w:val="标题 9 Char"/>
    <w:basedOn w:val="810"/>
    <w:link w:val="809"/>
    <w:uiPriority w:val="9"/>
    <w:qFormat/>
    <w:rPr>
      <w:rFonts w:ascii="Arial" w:hAnsi="Arial" w:eastAsia="Arial" w:cs="Arial"/>
      <w:i/>
      <w:iCs/>
      <w:sz w:val="21"/>
      <w:szCs w:val="21"/>
    </w:rPr>
  </w:style>
  <w:style w:type="paragraph" w:styleId="821" w:customStyle="1">
    <w:name w:val="目录 71"/>
    <w:basedOn w:val="742"/>
    <w:next w:val="742"/>
    <w:uiPriority w:val="39"/>
    <w:unhideWhenUsed/>
    <w:qFormat/>
    <w:pPr>
      <w:ind w:left="1701"/>
      <w:spacing w:after="57"/>
    </w:pPr>
  </w:style>
  <w:style w:type="paragraph" w:styleId="822" w:customStyle="1">
    <w:name w:val="正文缩进111"/>
    <w:basedOn w:val="742"/>
    <w:qFormat/>
    <w:pPr>
      <w:ind w:firstLine="420"/>
    </w:pPr>
  </w:style>
  <w:style w:type="paragraph" w:styleId="823" w:customStyle="1">
    <w:name w:val="题注1"/>
    <w:basedOn w:val="742"/>
    <w:next w:val="742"/>
    <w:uiPriority w:val="35"/>
    <w:unhideWhenUsed/>
    <w:qFormat/>
    <w:pPr>
      <w:spacing w:line="276" w:lineRule="auto"/>
    </w:pPr>
    <w:rPr>
      <w:b/>
      <w:bCs/>
      <w:color w:val="5b9bd5"/>
      <w:sz w:val="18"/>
      <w:szCs w:val="18"/>
    </w:rPr>
  </w:style>
  <w:style w:type="paragraph" w:styleId="824" w:customStyle="1">
    <w:name w:val="索引 511"/>
    <w:basedOn w:val="742"/>
    <w:next w:val="742"/>
    <w:qFormat/>
    <w:pPr>
      <w:ind w:left="798"/>
      <w:jc w:val="left"/>
    </w:pPr>
    <w:rPr>
      <w:rFonts w:ascii="Calibri" w:hAnsi="Calibri"/>
    </w:rPr>
  </w:style>
  <w:style w:type="paragraph" w:styleId="825" w:customStyle="1">
    <w:name w:val="批注文字1"/>
    <w:basedOn w:val="742"/>
    <w:link w:val="826"/>
    <w:unhideWhenUsed/>
    <w:qFormat/>
    <w:pPr>
      <w:jc w:val="left"/>
    </w:pPr>
  </w:style>
  <w:style w:type="character" w:styleId="826" w:customStyle="1">
    <w:name w:val="批注文字 Char"/>
    <w:basedOn w:val="810"/>
    <w:link w:val="825"/>
    <w:semiHidden/>
    <w:qFormat/>
    <w:rPr>
      <w:rFonts w:ascii="Times New Roman" w:hAnsi="Times New Roman" w:eastAsia="宋体" w:cs="Times New Roman"/>
      <w:sz w:val="21"/>
      <w:szCs w:val="24"/>
    </w:rPr>
  </w:style>
  <w:style w:type="paragraph" w:styleId="827" w:customStyle="1">
    <w:name w:val="正文文本12"/>
    <w:basedOn w:val="742"/>
    <w:next w:val="742"/>
    <w:link w:val="828"/>
    <w:uiPriority w:val="99"/>
    <w:qFormat/>
    <w:pPr>
      <w:spacing w:after="120"/>
    </w:pPr>
    <w:rPr>
      <w:rFonts w:ascii="Calibri" w:hAnsi="Calibri"/>
    </w:rPr>
  </w:style>
  <w:style w:type="character" w:styleId="828" w:customStyle="1">
    <w:name w:val="正文文本 Char"/>
    <w:basedOn w:val="810"/>
    <w:link w:val="827"/>
    <w:uiPriority w:val="99"/>
    <w:qFormat/>
    <w:rPr>
      <w:rFonts w:ascii="Calibri" w:hAnsi="Calibri" w:eastAsia="宋体" w:cs="Times New Roman"/>
      <w:sz w:val="21"/>
      <w:szCs w:val="24"/>
    </w:rPr>
  </w:style>
  <w:style w:type="paragraph" w:styleId="829" w:customStyle="1">
    <w:name w:val="正文文本缩进11"/>
    <w:basedOn w:val="742"/>
    <w:qFormat/>
    <w:pPr>
      <w:ind w:left="420"/>
      <w:spacing w:after="120"/>
    </w:pPr>
    <w:rPr>
      <w:rFonts w:ascii="Calibri" w:hAnsi="Calibri"/>
    </w:rPr>
  </w:style>
  <w:style w:type="paragraph" w:styleId="830" w:customStyle="1">
    <w:name w:val="文本块1"/>
    <w:basedOn w:val="742"/>
    <w:uiPriority w:val="99"/>
    <w:unhideWhenUsed/>
    <w:qFormat/>
    <w:pPr>
      <w:ind w:left="1440" w:right="1440"/>
      <w:spacing w:after="120"/>
    </w:pPr>
  </w:style>
  <w:style w:type="paragraph" w:styleId="831" w:customStyle="1">
    <w:name w:val="索引 41"/>
    <w:basedOn w:val="742"/>
    <w:next w:val="742"/>
    <w:uiPriority w:val="99"/>
    <w:qFormat/>
    <w:pPr>
      <w:ind w:left="600"/>
    </w:pPr>
    <w:rPr>
      <w:rFonts w:ascii="Calibri" w:hAnsi="Calibri"/>
    </w:rPr>
  </w:style>
  <w:style w:type="paragraph" w:styleId="832" w:customStyle="1">
    <w:name w:val="目录 51"/>
    <w:basedOn w:val="742"/>
    <w:next w:val="742"/>
    <w:uiPriority w:val="39"/>
    <w:unhideWhenUsed/>
    <w:qFormat/>
    <w:pPr>
      <w:ind w:left="1134"/>
      <w:spacing w:after="57"/>
    </w:pPr>
  </w:style>
  <w:style w:type="paragraph" w:styleId="833" w:customStyle="1">
    <w:name w:val="目录 31"/>
    <w:basedOn w:val="742"/>
    <w:next w:val="742"/>
    <w:uiPriority w:val="39"/>
    <w:unhideWhenUsed/>
    <w:qFormat/>
    <w:pPr>
      <w:ind w:left="567"/>
      <w:spacing w:after="57"/>
    </w:pPr>
  </w:style>
  <w:style w:type="paragraph" w:styleId="834" w:customStyle="1">
    <w:name w:val="纯文本12"/>
    <w:basedOn w:val="742"/>
    <w:link w:val="835"/>
    <w:qFormat/>
    <w:rPr>
      <w:rFonts w:ascii="宋体" w:hAnsi="Courier New"/>
      <w:sz w:val="20"/>
      <w:szCs w:val="20"/>
    </w:rPr>
  </w:style>
  <w:style w:type="character" w:styleId="835" w:customStyle="1">
    <w:name w:val="纯文本 Char"/>
    <w:basedOn w:val="810"/>
    <w:link w:val="834"/>
    <w:qFormat/>
    <w:rPr>
      <w:rFonts w:ascii="宋体" w:hAnsi="Courier New"/>
      <w:sz w:val="20"/>
      <w:szCs w:val="20"/>
    </w:rPr>
  </w:style>
  <w:style w:type="paragraph" w:styleId="836" w:customStyle="1">
    <w:name w:val="目录 81"/>
    <w:basedOn w:val="742"/>
    <w:next w:val="742"/>
    <w:uiPriority w:val="39"/>
    <w:unhideWhenUsed/>
    <w:qFormat/>
    <w:pPr>
      <w:ind w:left="1984"/>
      <w:spacing w:after="57"/>
    </w:pPr>
  </w:style>
  <w:style w:type="paragraph" w:styleId="837" w:customStyle="1">
    <w:name w:val="日期1"/>
    <w:basedOn w:val="742"/>
    <w:next w:val="742"/>
    <w:qFormat/>
    <w:rPr>
      <w:rFonts w:eastAsia="仿宋_GB2312"/>
      <w:sz w:val="28"/>
      <w:szCs w:val="20"/>
    </w:rPr>
  </w:style>
  <w:style w:type="paragraph" w:styleId="838" w:customStyle="1">
    <w:name w:val="尾注文本1"/>
    <w:basedOn w:val="742"/>
    <w:link w:val="839"/>
    <w:uiPriority w:val="99"/>
    <w:unhideWhenUsed/>
    <w:qFormat/>
    <w:rPr>
      <w:sz w:val="20"/>
    </w:rPr>
  </w:style>
  <w:style w:type="character" w:styleId="839" w:customStyle="1">
    <w:name w:val="尾注文本 Char"/>
    <w:link w:val="838"/>
    <w:uiPriority w:val="99"/>
    <w:qFormat/>
    <w:rPr>
      <w:sz w:val="20"/>
    </w:rPr>
  </w:style>
  <w:style w:type="paragraph" w:styleId="840" w:customStyle="1">
    <w:name w:val="批注框文本1"/>
    <w:basedOn w:val="742"/>
    <w:link w:val="841"/>
    <w:qFormat/>
    <w:rPr>
      <w:sz w:val="18"/>
      <w:szCs w:val="18"/>
    </w:rPr>
  </w:style>
  <w:style w:type="character" w:styleId="841" w:customStyle="1">
    <w:name w:val="批注框文本 Char"/>
    <w:basedOn w:val="810"/>
    <w:link w:val="840"/>
    <w:qFormat/>
    <w:rPr>
      <w:rFonts w:ascii="Times New Roman" w:hAnsi="Times New Roman" w:eastAsia="宋体" w:cs="Times New Roman"/>
      <w:sz w:val="18"/>
      <w:szCs w:val="18"/>
    </w:rPr>
  </w:style>
  <w:style w:type="paragraph" w:styleId="842" w:customStyle="1">
    <w:name w:val="页脚11"/>
    <w:basedOn w:val="742"/>
    <w:link w:val="843"/>
    <w:uiPriority w:val="99"/>
    <w:qFormat/>
    <w:pPr>
      <w:jc w:val="left"/>
      <w:tabs>
        <w:tab w:val="center" w:pos="4153" w:leader="none"/>
        <w:tab w:val="right" w:pos="8306" w:leader="none"/>
      </w:tabs>
    </w:pPr>
    <w:rPr>
      <w:sz w:val="18"/>
      <w:szCs w:val="18"/>
    </w:rPr>
  </w:style>
  <w:style w:type="character" w:styleId="843" w:customStyle="1">
    <w:name w:val="页脚 Char"/>
    <w:basedOn w:val="810"/>
    <w:link w:val="842"/>
    <w:uiPriority w:val="99"/>
    <w:qFormat/>
    <w:rPr>
      <w:rFonts w:ascii="Times New Roman" w:hAnsi="Times New Roman" w:eastAsia="宋体" w:cs="Times New Roman"/>
      <w:sz w:val="18"/>
      <w:szCs w:val="18"/>
    </w:rPr>
  </w:style>
  <w:style w:type="paragraph" w:styleId="844" w:customStyle="1">
    <w:name w:val="页眉1"/>
    <w:basedOn w:val="742"/>
    <w:link w:val="845"/>
    <w:uiPriority w:val="99"/>
    <w:qFormat/>
    <w:pPr>
      <w:jc w:val="center"/>
      <w:tabs>
        <w:tab w:val="center" w:pos="4153" w:leader="none"/>
        <w:tab w:val="right" w:pos="8306" w:leader="none"/>
      </w:tabs>
      <w:pBdr>
        <w:bottom w:val="single" w:color="000000" w:sz="6" w:space="1"/>
      </w:pBdr>
    </w:pPr>
    <w:rPr>
      <w:sz w:val="18"/>
      <w:szCs w:val="18"/>
    </w:rPr>
  </w:style>
  <w:style w:type="character" w:styleId="845" w:customStyle="1">
    <w:name w:val="页眉 Char"/>
    <w:basedOn w:val="810"/>
    <w:link w:val="844"/>
    <w:uiPriority w:val="99"/>
    <w:qFormat/>
    <w:rPr>
      <w:rFonts w:ascii="Times New Roman" w:hAnsi="Times New Roman" w:eastAsia="宋体" w:cs="Times New Roman"/>
      <w:sz w:val="18"/>
      <w:szCs w:val="18"/>
    </w:rPr>
  </w:style>
  <w:style w:type="paragraph" w:styleId="846" w:customStyle="1">
    <w:name w:val="目录 1111"/>
    <w:basedOn w:val="742"/>
    <w:next w:val="742"/>
    <w:uiPriority w:val="39"/>
    <w:qFormat/>
  </w:style>
  <w:style w:type="paragraph" w:styleId="847" w:customStyle="1">
    <w:name w:val="目录 41"/>
    <w:basedOn w:val="742"/>
    <w:next w:val="742"/>
    <w:uiPriority w:val="39"/>
    <w:unhideWhenUsed/>
    <w:qFormat/>
    <w:pPr>
      <w:ind w:left="850"/>
      <w:spacing w:after="57"/>
    </w:pPr>
  </w:style>
  <w:style w:type="paragraph" w:styleId="848" w:customStyle="1">
    <w:name w:val="副标题1"/>
    <w:basedOn w:val="742"/>
    <w:next w:val="742"/>
    <w:link w:val="849"/>
    <w:uiPriority w:val="11"/>
    <w:qFormat/>
    <w:pPr>
      <w:spacing w:before="200" w:after="200"/>
    </w:pPr>
    <w:rPr>
      <w:sz w:val="24"/>
    </w:rPr>
  </w:style>
  <w:style w:type="character" w:styleId="849" w:customStyle="1">
    <w:name w:val="副标题 Char"/>
    <w:basedOn w:val="810"/>
    <w:link w:val="848"/>
    <w:uiPriority w:val="11"/>
    <w:qFormat/>
    <w:rPr>
      <w:sz w:val="24"/>
      <w:szCs w:val="24"/>
    </w:rPr>
  </w:style>
  <w:style w:type="paragraph" w:styleId="850" w:customStyle="1">
    <w:name w:val="脚注文本11"/>
    <w:basedOn w:val="742"/>
    <w:next w:val="824"/>
    <w:qFormat/>
    <w:pPr>
      <w:jc w:val="left"/>
    </w:pPr>
    <w:rPr>
      <w:rFonts w:ascii="宋体" w:eastAsia="Times New Roman"/>
      <w:sz w:val="18"/>
      <w:szCs w:val="18"/>
    </w:rPr>
  </w:style>
  <w:style w:type="paragraph" w:styleId="851" w:customStyle="1">
    <w:name w:val="目录 61"/>
    <w:basedOn w:val="742"/>
    <w:next w:val="742"/>
    <w:uiPriority w:val="39"/>
    <w:unhideWhenUsed/>
    <w:qFormat/>
    <w:pPr>
      <w:ind w:left="1417"/>
      <w:spacing w:after="57"/>
    </w:pPr>
  </w:style>
  <w:style w:type="paragraph" w:styleId="852" w:customStyle="1">
    <w:name w:val="图表目录1"/>
    <w:basedOn w:val="742"/>
    <w:next w:val="742"/>
    <w:uiPriority w:val="99"/>
    <w:unhideWhenUsed/>
    <w:qFormat/>
  </w:style>
  <w:style w:type="paragraph" w:styleId="853" w:customStyle="1">
    <w:name w:val="目录 21"/>
    <w:basedOn w:val="742"/>
    <w:next w:val="742"/>
    <w:uiPriority w:val="39"/>
    <w:unhideWhenUsed/>
    <w:qFormat/>
    <w:pPr>
      <w:ind w:left="283"/>
      <w:spacing w:after="57"/>
    </w:pPr>
  </w:style>
  <w:style w:type="paragraph" w:styleId="854" w:customStyle="1">
    <w:name w:val="目录 91"/>
    <w:basedOn w:val="742"/>
    <w:next w:val="742"/>
    <w:uiPriority w:val="39"/>
    <w:unhideWhenUsed/>
    <w:qFormat/>
    <w:pPr>
      <w:ind w:left="2268"/>
      <w:spacing w:after="57"/>
    </w:pPr>
  </w:style>
  <w:style w:type="paragraph" w:styleId="855" w:customStyle="1">
    <w:name w:val="普通(网站)11"/>
    <w:basedOn w:val="742"/>
    <w:qFormat/>
    <w:pPr>
      <w:jc w:val="left"/>
      <w:spacing w:before="100" w:beforeAutospacing="1" w:after="100" w:afterAutospacing="1"/>
      <w:widowControl/>
    </w:pPr>
    <w:rPr>
      <w:rFonts w:ascii="宋体" w:hAnsi="宋体" w:cs="宋体"/>
      <w:sz w:val="24"/>
    </w:rPr>
  </w:style>
  <w:style w:type="paragraph" w:styleId="856" w:customStyle="1">
    <w:name w:val="标题1"/>
    <w:basedOn w:val="742"/>
    <w:next w:val="742"/>
    <w:link w:val="857"/>
    <w:uiPriority w:val="10"/>
    <w:qFormat/>
    <w:pPr>
      <w:contextualSpacing/>
      <w:spacing w:before="300" w:after="200"/>
    </w:pPr>
    <w:rPr>
      <w:sz w:val="48"/>
      <w:szCs w:val="48"/>
    </w:rPr>
  </w:style>
  <w:style w:type="character" w:styleId="857" w:customStyle="1">
    <w:name w:val="标题 Char"/>
    <w:basedOn w:val="810"/>
    <w:link w:val="856"/>
    <w:uiPriority w:val="10"/>
    <w:qFormat/>
    <w:rPr>
      <w:sz w:val="48"/>
      <w:szCs w:val="48"/>
    </w:rPr>
  </w:style>
  <w:style w:type="paragraph" w:styleId="858" w:customStyle="1">
    <w:name w:val="批注主题1"/>
    <w:basedOn w:val="825"/>
    <w:next w:val="825"/>
    <w:link w:val="859"/>
    <w:unhideWhenUsed/>
    <w:qFormat/>
    <w:rPr>
      <w:b/>
      <w:bCs/>
    </w:rPr>
  </w:style>
  <w:style w:type="character" w:styleId="859" w:customStyle="1">
    <w:name w:val="批注主题 Char"/>
    <w:basedOn w:val="826"/>
    <w:link w:val="858"/>
    <w:semiHidden/>
    <w:qFormat/>
    <w:rPr>
      <w:rFonts w:ascii="Times New Roman" w:hAnsi="Times New Roman" w:eastAsia="宋体" w:cs="Times New Roman"/>
      <w:b/>
      <w:bCs/>
      <w:sz w:val="21"/>
      <w:szCs w:val="24"/>
    </w:rPr>
  </w:style>
  <w:style w:type="paragraph" w:styleId="860" w:customStyle="1">
    <w:name w:val="正文首行缩进1"/>
    <w:basedOn w:val="827"/>
    <w:next w:val="861"/>
    <w:qFormat/>
    <w:pPr>
      <w:ind w:firstLine="420"/>
    </w:pPr>
  </w:style>
  <w:style w:type="paragraph" w:styleId="861" w:customStyle="1">
    <w:name w:val="正文首行缩进 21"/>
    <w:basedOn w:val="829"/>
    <w:next w:val="742"/>
    <w:qFormat/>
    <w:pPr>
      <w:ind w:firstLine="420"/>
      <w:spacing w:line="360" w:lineRule="auto"/>
    </w:pPr>
    <w:rPr>
      <w:color w:val="000000"/>
      <w:sz w:val="20"/>
    </w:rPr>
  </w:style>
  <w:style w:type="table" w:styleId="862" w:customStyle="1">
    <w:name w:val="网格型1"/>
    <w:basedOn w:val="811"/>
    <w:uiPriority w:val="39"/>
    <w:qFormat/>
    <w:tblPr/>
  </w:style>
  <w:style w:type="character" w:styleId="863" w:customStyle="1">
    <w:name w:val="要点1"/>
    <w:basedOn w:val="810"/>
    <w:uiPriority w:val="22"/>
    <w:qFormat/>
    <w:rPr>
      <w:b/>
      <w:vanish/>
    </w:rPr>
  </w:style>
  <w:style w:type="character" w:styleId="864" w:customStyle="1">
    <w:name w:val="尾注引用1"/>
    <w:basedOn w:val="810"/>
    <w:uiPriority w:val="99"/>
    <w:unhideWhenUsed/>
    <w:qFormat/>
    <w:rPr>
      <w:vertAlign w:val="superscript"/>
    </w:rPr>
  </w:style>
  <w:style w:type="character" w:styleId="865" w:customStyle="1">
    <w:name w:val="页码1"/>
    <w:basedOn w:val="810"/>
    <w:qFormat/>
  </w:style>
  <w:style w:type="character" w:styleId="866" w:customStyle="1">
    <w:name w:val="已访问的超链接1"/>
    <w:basedOn w:val="810"/>
    <w:uiPriority w:val="99"/>
    <w:unhideWhenUsed/>
    <w:qFormat/>
    <w:rPr>
      <w:color w:val="800080"/>
      <w:u w:val="none"/>
    </w:rPr>
  </w:style>
  <w:style w:type="character" w:styleId="867" w:customStyle="1">
    <w:name w:val="强调1"/>
    <w:basedOn w:val="810"/>
    <w:uiPriority w:val="20"/>
    <w:qFormat/>
    <w:rPr>
      <w:b/>
    </w:rPr>
  </w:style>
  <w:style w:type="character" w:styleId="868" w:customStyle="1">
    <w:name w:val="HTML 定义1"/>
    <w:basedOn w:val="810"/>
    <w:uiPriority w:val="99"/>
    <w:unhideWhenUsed/>
    <w:qFormat/>
  </w:style>
  <w:style w:type="character" w:styleId="869" w:customStyle="1">
    <w:name w:val="HTML 打字机1"/>
    <w:basedOn w:val="810"/>
    <w:uiPriority w:val="99"/>
    <w:unhideWhenUsed/>
    <w:qFormat/>
    <w:rPr>
      <w:rFonts w:ascii="monospace" w:hAnsi="monospace" w:eastAsia="monospace" w:cs="monospace"/>
      <w:sz w:val="20"/>
    </w:rPr>
  </w:style>
  <w:style w:type="character" w:styleId="870" w:customStyle="1">
    <w:name w:val="HTML 缩写1"/>
    <w:basedOn w:val="810"/>
    <w:uiPriority w:val="99"/>
    <w:unhideWhenUsed/>
    <w:qFormat/>
  </w:style>
  <w:style w:type="character" w:styleId="871" w:customStyle="1">
    <w:name w:val="HTML 变量1"/>
    <w:basedOn w:val="810"/>
    <w:uiPriority w:val="99"/>
    <w:unhideWhenUsed/>
    <w:qFormat/>
  </w:style>
  <w:style w:type="character" w:styleId="872" w:customStyle="1">
    <w:name w:val="超链接1"/>
    <w:basedOn w:val="810"/>
    <w:uiPriority w:val="99"/>
    <w:unhideWhenUsed/>
    <w:qFormat/>
    <w:rPr>
      <w:color w:val="0000ff"/>
      <w:u w:val="none"/>
    </w:rPr>
  </w:style>
  <w:style w:type="character" w:styleId="873" w:customStyle="1">
    <w:name w:val="HTML 代码1"/>
    <w:basedOn w:val="810"/>
    <w:uiPriority w:val="99"/>
    <w:unhideWhenUsed/>
    <w:qFormat/>
    <w:rPr>
      <w:rFonts w:ascii="monospace" w:hAnsi="monospace" w:eastAsia="monospace" w:cs="monospace"/>
      <w:sz w:val="20"/>
    </w:rPr>
  </w:style>
  <w:style w:type="character" w:styleId="874" w:customStyle="1">
    <w:name w:val="批注引用1"/>
    <w:basedOn w:val="810"/>
    <w:unhideWhenUsed/>
    <w:qFormat/>
    <w:rPr>
      <w:sz w:val="21"/>
      <w:szCs w:val="21"/>
    </w:rPr>
  </w:style>
  <w:style w:type="character" w:styleId="875" w:customStyle="1">
    <w:name w:val="HTML 引文1"/>
    <w:basedOn w:val="810"/>
    <w:uiPriority w:val="99"/>
    <w:unhideWhenUsed/>
    <w:qFormat/>
  </w:style>
  <w:style w:type="character" w:styleId="876" w:customStyle="1">
    <w:name w:val="脚注引用1"/>
    <w:basedOn w:val="810"/>
    <w:uiPriority w:val="99"/>
    <w:unhideWhenUsed/>
    <w:qFormat/>
    <w:rPr>
      <w:vertAlign w:val="superscript"/>
    </w:rPr>
  </w:style>
  <w:style w:type="character" w:styleId="877" w:customStyle="1">
    <w:name w:val="HTML 键盘1"/>
    <w:basedOn w:val="810"/>
    <w:uiPriority w:val="99"/>
    <w:unhideWhenUsed/>
    <w:qFormat/>
    <w:rPr>
      <w:rFonts w:ascii="monospace" w:hAnsi="monospace" w:eastAsia="monospace" w:cs="monospace"/>
      <w:sz w:val="20"/>
    </w:rPr>
  </w:style>
  <w:style w:type="character" w:styleId="878" w:customStyle="1">
    <w:name w:val="HTML 样本1"/>
    <w:basedOn w:val="810"/>
    <w:uiPriority w:val="99"/>
    <w:unhideWhenUsed/>
    <w:qFormat/>
    <w:rPr>
      <w:rFonts w:ascii="monospace" w:hAnsi="monospace" w:eastAsia="monospace" w:cs="monospace"/>
    </w:rPr>
  </w:style>
  <w:style w:type="character" w:styleId="879" w:customStyle="1">
    <w:name w:val="wyg1"/>
    <w:uiPriority w:val="6"/>
    <w:qFormat/>
    <w:rPr>
      <w:rFonts w:ascii="Times New Roman" w:hAnsi="Times New Roman" w:eastAsia="宋体" w:cs="Times New Roman"/>
      <w:sz w:val="21"/>
      <w:szCs w:val="24"/>
      <w:lang w:val="en-US" w:eastAsia="zh-CN" w:bidi="ar-SA"/>
    </w:rPr>
  </w:style>
  <w:style w:type="paragraph" w:styleId="880" w:customStyle="1">
    <w:name w:val="正文缩进1"/>
    <w:basedOn w:val="742"/>
    <w:qFormat/>
    <w:pPr>
      <w:ind w:firstLine="420"/>
    </w:pPr>
  </w:style>
  <w:style w:type="character" w:styleId="881" w:customStyle="1">
    <w:name w:val="Heading 4 Char"/>
    <w:basedOn w:val="810"/>
    <w:uiPriority w:val="9"/>
    <w:qFormat/>
    <w:rPr>
      <w:rFonts w:ascii="Arial" w:hAnsi="Arial" w:eastAsia="Arial" w:cs="Arial"/>
      <w:b/>
      <w:bCs/>
      <w:sz w:val="26"/>
      <w:szCs w:val="26"/>
    </w:rPr>
  </w:style>
  <w:style w:type="character" w:styleId="882" w:customStyle="1">
    <w:name w:val="Heading 5 Char"/>
    <w:basedOn w:val="810"/>
    <w:uiPriority w:val="9"/>
    <w:qFormat/>
    <w:rPr>
      <w:rFonts w:ascii="Arial" w:hAnsi="Arial" w:eastAsia="Arial" w:cs="Arial"/>
      <w:b/>
      <w:bCs/>
      <w:sz w:val="24"/>
      <w:szCs w:val="24"/>
    </w:rPr>
  </w:style>
  <w:style w:type="character" w:styleId="883" w:customStyle="1">
    <w:name w:val="Heading 6 Char"/>
    <w:basedOn w:val="810"/>
    <w:uiPriority w:val="9"/>
    <w:qFormat/>
    <w:rPr>
      <w:rFonts w:ascii="Arial" w:hAnsi="Arial" w:eastAsia="Arial" w:cs="Arial"/>
      <w:b/>
      <w:bCs/>
      <w:sz w:val="22"/>
      <w:szCs w:val="22"/>
    </w:rPr>
  </w:style>
  <w:style w:type="character" w:styleId="884" w:customStyle="1">
    <w:name w:val="Heading 7 Char"/>
    <w:basedOn w:val="810"/>
    <w:uiPriority w:val="9"/>
    <w:qFormat/>
    <w:rPr>
      <w:rFonts w:ascii="Arial" w:hAnsi="Arial" w:eastAsia="Arial" w:cs="Arial"/>
      <w:b/>
      <w:bCs/>
      <w:i/>
      <w:iCs/>
      <w:sz w:val="22"/>
      <w:szCs w:val="22"/>
    </w:rPr>
  </w:style>
  <w:style w:type="character" w:styleId="885" w:customStyle="1">
    <w:name w:val="Heading 8 Char"/>
    <w:basedOn w:val="810"/>
    <w:uiPriority w:val="9"/>
    <w:qFormat/>
    <w:rPr>
      <w:rFonts w:ascii="Arial" w:hAnsi="Arial" w:eastAsia="Arial" w:cs="Arial"/>
      <w:i/>
      <w:iCs/>
      <w:sz w:val="22"/>
      <w:szCs w:val="22"/>
    </w:rPr>
  </w:style>
  <w:style w:type="character" w:styleId="886" w:customStyle="1">
    <w:name w:val="Heading 9 Char"/>
    <w:basedOn w:val="810"/>
    <w:uiPriority w:val="9"/>
    <w:qFormat/>
    <w:rPr>
      <w:rFonts w:ascii="Arial" w:hAnsi="Arial" w:eastAsia="Arial" w:cs="Arial"/>
      <w:i/>
      <w:iCs/>
      <w:sz w:val="21"/>
      <w:szCs w:val="21"/>
    </w:rPr>
  </w:style>
  <w:style w:type="character" w:styleId="887" w:customStyle="1">
    <w:name w:val="Title Char"/>
    <w:basedOn w:val="810"/>
    <w:uiPriority w:val="10"/>
    <w:qFormat/>
    <w:rPr>
      <w:sz w:val="48"/>
      <w:szCs w:val="48"/>
    </w:rPr>
  </w:style>
  <w:style w:type="character" w:styleId="888" w:customStyle="1">
    <w:name w:val="Subtitle Char"/>
    <w:basedOn w:val="810"/>
    <w:uiPriority w:val="11"/>
    <w:qFormat/>
    <w:rPr>
      <w:sz w:val="24"/>
      <w:szCs w:val="24"/>
    </w:rPr>
  </w:style>
  <w:style w:type="character" w:styleId="889" w:customStyle="1">
    <w:name w:val="Quote Char"/>
    <w:uiPriority w:val="29"/>
    <w:qFormat/>
    <w:rPr>
      <w:i/>
    </w:rPr>
  </w:style>
  <w:style w:type="character" w:styleId="890" w:customStyle="1">
    <w:name w:val="Intense Quote Char"/>
    <w:uiPriority w:val="30"/>
    <w:qFormat/>
    <w:rPr>
      <w:i/>
    </w:rPr>
  </w:style>
  <w:style w:type="character" w:styleId="891" w:customStyle="1">
    <w:name w:val="Endnote Text Char"/>
    <w:uiPriority w:val="99"/>
    <w:qFormat/>
    <w:rPr>
      <w:sz w:val="20"/>
    </w:rPr>
  </w:style>
  <w:style w:type="paragraph" w:styleId="892" w:customStyle="1">
    <w:name w:val="TOC 标题1"/>
    <w:uiPriority w:val="39"/>
    <w:unhideWhenUsed/>
    <w:qFormat/>
  </w:style>
  <w:style w:type="paragraph" w:styleId="893" w:customStyle="1">
    <w:name w:val="一级条标题"/>
    <w:basedOn w:val="894"/>
    <w:next w:val="899"/>
    <w:qFormat/>
    <w:pPr>
      <w:ind w:left="907" w:hanging="907"/>
      <w:spacing w:before="0" w:after="0"/>
      <w:tabs>
        <w:tab w:val="left" w:pos="907" w:leader="none"/>
      </w:tabs>
      <w:outlineLvl w:val="2"/>
    </w:pPr>
    <w:rPr>
      <w:rFonts w:hAnsi="宋体"/>
      <w:sz w:val="20"/>
      <w:szCs w:val="20"/>
    </w:rPr>
  </w:style>
  <w:style w:type="paragraph" w:styleId="894" w:customStyle="1">
    <w:name w:val="章标题"/>
    <w:next w:val="895"/>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895" w:customStyle="1">
    <w:name w:val="正文1"/>
    <w:basedOn w:val="896"/>
    <w:next w:val="897"/>
    <w:qFormat/>
    <w:pPr>
      <w:jc w:val="left"/>
      <w:spacing w:line="360" w:lineRule="atLeast"/>
    </w:pPr>
    <w:rPr>
      <w:rFonts w:ascii="宋体" w:hAnsi="Calibri"/>
      <w:sz w:val="24"/>
      <w:szCs w:val="20"/>
    </w:rPr>
  </w:style>
  <w:style w:type="paragraph" w:styleId="896" w:customStyle="1">
    <w:name w:val="正文11"/>
    <w:next w:val="742"/>
    <w:link w:val="1087"/>
    <w:qFormat/>
    <w:pPr>
      <w:jc w:val="both"/>
      <w:widowControl w:val="off"/>
    </w:pPr>
    <w:rPr>
      <w:sz w:val="21"/>
      <w:szCs w:val="24"/>
    </w:rPr>
  </w:style>
  <w:style w:type="paragraph" w:styleId="897" w:customStyle="1">
    <w:name w:val="脚注文本1"/>
    <w:basedOn w:val="895"/>
    <w:next w:val="898"/>
    <w:qFormat/>
    <w:rPr>
      <w:rFonts w:eastAsia="Times New Roman"/>
      <w:sz w:val="18"/>
      <w:szCs w:val="18"/>
    </w:rPr>
  </w:style>
  <w:style w:type="paragraph" w:styleId="898" w:customStyle="1">
    <w:name w:val="索引 51"/>
    <w:basedOn w:val="895"/>
    <w:next w:val="895"/>
    <w:qFormat/>
    <w:pPr>
      <w:ind w:left="798"/>
    </w:pPr>
    <w:rPr>
      <w:rFonts w:ascii="Calibri"/>
    </w:rPr>
  </w:style>
  <w:style w:type="paragraph" w:styleId="899" w:customStyle="1">
    <w:name w:val="段"/>
    <w:basedOn w:val="895"/>
    <w:next w:val="742"/>
    <w:qFormat/>
    <w:pPr>
      <w:ind w:firstLine="200"/>
      <w:widowControl/>
    </w:pPr>
    <w:rPr>
      <w:sz w:val="20"/>
    </w:rPr>
  </w:style>
  <w:style w:type="paragraph" w:styleId="900" w:customStyle="1">
    <w:name w:val="目录 11"/>
    <w:basedOn w:val="901"/>
    <w:next w:val="896"/>
    <w:qFormat/>
    <w:pPr>
      <w:jc w:val="left"/>
      <w:spacing w:before="120" w:after="120"/>
      <w:widowControl/>
    </w:pPr>
    <w:rPr>
      <w:rFonts w:ascii="Calibri" w:hAnsi="Calibri" w:cs="Calibri"/>
      <w:b/>
      <w:bCs/>
      <w:caps/>
      <w:sz w:val="20"/>
      <w:szCs w:val="20"/>
    </w:rPr>
  </w:style>
  <w:style w:type="paragraph" w:styleId="901" w:customStyle="1">
    <w:name w:val="正文12"/>
    <w:next w:val="902"/>
    <w:qFormat/>
    <w:pPr>
      <w:jc w:val="both"/>
      <w:widowControl w:val="off"/>
    </w:pPr>
    <w:rPr>
      <w:sz w:val="21"/>
      <w:szCs w:val="24"/>
    </w:rPr>
  </w:style>
  <w:style w:type="paragraph" w:styleId="902" w:customStyle="1">
    <w:name w:val="正文文本11"/>
    <w:basedOn w:val="903"/>
    <w:next w:val="893"/>
    <w:qFormat/>
    <w:pPr>
      <w:spacing w:after="120"/>
    </w:pPr>
  </w:style>
  <w:style w:type="paragraph" w:styleId="903" w:customStyle="1">
    <w:name w:val="正文112"/>
    <w:next w:val="902"/>
    <w:qFormat/>
    <w:pPr>
      <w:jc w:val="both"/>
      <w:widowControl w:val="off"/>
    </w:pPr>
    <w:rPr>
      <w:sz w:val="21"/>
      <w:szCs w:val="24"/>
    </w:rPr>
  </w:style>
  <w:style w:type="paragraph" w:styleId="904" w:customStyle="1">
    <w:name w:val="正文文本1"/>
    <w:basedOn w:val="895"/>
    <w:next w:val="895"/>
    <w:qFormat/>
    <w:pPr>
      <w:spacing w:after="120"/>
    </w:pPr>
    <w:rPr>
      <w:lang w:eastAsia="en-US"/>
    </w:rPr>
  </w:style>
  <w:style w:type="character" w:styleId="905" w:customStyle="1">
    <w:name w:val="Heading 1 Char"/>
    <w:basedOn w:val="810"/>
    <w:uiPriority w:val="9"/>
    <w:qFormat/>
    <w:rPr>
      <w:rFonts w:ascii="Arial" w:hAnsi="Arial" w:eastAsia="Arial" w:cs="Arial"/>
      <w:sz w:val="40"/>
      <w:szCs w:val="40"/>
    </w:rPr>
  </w:style>
  <w:style w:type="character" w:styleId="906" w:customStyle="1">
    <w:name w:val="Heading 2 Char"/>
    <w:basedOn w:val="810"/>
    <w:uiPriority w:val="9"/>
    <w:qFormat/>
    <w:rPr>
      <w:rFonts w:ascii="Arial" w:hAnsi="Arial" w:eastAsia="Arial" w:cs="Arial"/>
      <w:sz w:val="34"/>
    </w:rPr>
  </w:style>
  <w:style w:type="character" w:styleId="907" w:customStyle="1">
    <w:name w:val="Heading 3 Char"/>
    <w:basedOn w:val="810"/>
    <w:uiPriority w:val="9"/>
    <w:qFormat/>
    <w:rPr>
      <w:rFonts w:ascii="Arial" w:hAnsi="Arial" w:eastAsia="Arial" w:cs="Arial"/>
      <w:sz w:val="30"/>
      <w:szCs w:val="30"/>
    </w:rPr>
  </w:style>
  <w:style w:type="paragraph" w:styleId="908">
    <w:name w:val="No Spacing"/>
    <w:uiPriority w:val="1"/>
    <w:qFormat/>
  </w:style>
  <w:style w:type="paragraph" w:styleId="909">
    <w:name w:val="Quote"/>
    <w:basedOn w:val="742"/>
    <w:next w:val="742"/>
    <w:link w:val="910"/>
    <w:uiPriority w:val="29"/>
    <w:qFormat/>
    <w:pPr>
      <w:ind w:left="720" w:right="720"/>
    </w:pPr>
    <w:rPr>
      <w:i/>
    </w:rPr>
  </w:style>
  <w:style w:type="character" w:styleId="910" w:customStyle="1">
    <w:name w:val="引用 字符"/>
    <w:link w:val="909"/>
    <w:uiPriority w:val="29"/>
    <w:qFormat/>
    <w:rPr>
      <w:i/>
    </w:rPr>
  </w:style>
  <w:style w:type="paragraph" w:styleId="911">
    <w:name w:val="Intense Quote"/>
    <w:basedOn w:val="742"/>
    <w:next w:val="742"/>
    <w:link w:val="9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customStyle="1">
    <w:name w:val="明显引用 字符"/>
    <w:link w:val="911"/>
    <w:uiPriority w:val="30"/>
    <w:qFormat/>
    <w:rPr>
      <w:i/>
    </w:rPr>
  </w:style>
  <w:style w:type="character" w:styleId="913" w:customStyle="1">
    <w:name w:val="Header Char"/>
    <w:basedOn w:val="810"/>
    <w:uiPriority w:val="99"/>
    <w:qFormat/>
  </w:style>
  <w:style w:type="character" w:styleId="914" w:customStyle="1">
    <w:name w:val="Footer Char"/>
    <w:basedOn w:val="810"/>
    <w:uiPriority w:val="99"/>
    <w:qFormat/>
  </w:style>
  <w:style w:type="character" w:styleId="915" w:customStyle="1">
    <w:name w:val="Caption Char"/>
    <w:uiPriority w:val="99"/>
    <w:qFormat/>
  </w:style>
  <w:style w:type="table" w:styleId="916" w:customStyle="1">
    <w:name w:val="Table Grid Light"/>
    <w:basedOn w:val="811"/>
    <w:uiPriority w:val="59"/>
    <w:qFormat/>
    <w:tblPr/>
  </w:style>
  <w:style w:type="table" w:styleId="917" w:customStyle="1">
    <w:name w:val="无格式表格 11"/>
    <w:basedOn w:val="811"/>
    <w:uiPriority w:val="59"/>
    <w:qFormat/>
    <w:tblPr/>
  </w:style>
  <w:style w:type="table" w:styleId="918" w:customStyle="1">
    <w:name w:val="无格式表格 21"/>
    <w:basedOn w:val="811"/>
    <w:uiPriority w:val="59"/>
    <w:qFormat/>
    <w:tblPr/>
  </w:style>
  <w:style w:type="table" w:styleId="919" w:customStyle="1">
    <w:name w:val="无格式表格 31"/>
    <w:basedOn w:val="811"/>
    <w:uiPriority w:val="99"/>
    <w:qFormat/>
    <w:tblPr/>
  </w:style>
  <w:style w:type="table" w:styleId="920" w:customStyle="1">
    <w:name w:val="无格式表格 41"/>
    <w:basedOn w:val="811"/>
    <w:uiPriority w:val="99"/>
    <w:qFormat/>
    <w:tblPr/>
  </w:style>
  <w:style w:type="table" w:styleId="921" w:customStyle="1">
    <w:name w:val="无格式表格 51"/>
    <w:basedOn w:val="811"/>
    <w:uiPriority w:val="99"/>
    <w:qFormat/>
    <w:tblPr/>
  </w:style>
  <w:style w:type="table" w:styleId="922" w:customStyle="1">
    <w:name w:val="网格表 1 浅色1"/>
    <w:basedOn w:val="811"/>
    <w:uiPriority w:val="99"/>
    <w:qFormat/>
    <w:tblPr/>
  </w:style>
  <w:style w:type="table" w:styleId="923" w:customStyle="1">
    <w:name w:val="Grid Table 1 Light - Accent 1"/>
    <w:basedOn w:val="811"/>
    <w:uiPriority w:val="99"/>
    <w:qFormat/>
    <w:tblPr/>
  </w:style>
  <w:style w:type="table" w:styleId="924" w:customStyle="1">
    <w:name w:val="Grid Table 1 Light - Accent 2"/>
    <w:basedOn w:val="811"/>
    <w:uiPriority w:val="99"/>
    <w:qFormat/>
    <w:tblPr/>
  </w:style>
  <w:style w:type="table" w:styleId="925" w:customStyle="1">
    <w:name w:val="Grid Table 1 Light - Accent 3"/>
    <w:basedOn w:val="811"/>
    <w:uiPriority w:val="99"/>
    <w:qFormat/>
    <w:tblPr/>
  </w:style>
  <w:style w:type="table" w:styleId="926" w:customStyle="1">
    <w:name w:val="Grid Table 1 Light - Accent 4"/>
    <w:basedOn w:val="811"/>
    <w:uiPriority w:val="99"/>
    <w:qFormat/>
    <w:tblPr/>
  </w:style>
  <w:style w:type="table" w:styleId="927" w:customStyle="1">
    <w:name w:val="Grid Table 1 Light - Accent 5"/>
    <w:basedOn w:val="811"/>
    <w:uiPriority w:val="99"/>
    <w:qFormat/>
    <w:tblPr/>
  </w:style>
  <w:style w:type="table" w:styleId="928" w:customStyle="1">
    <w:name w:val="Grid Table 1 Light - Accent 6"/>
    <w:basedOn w:val="811"/>
    <w:uiPriority w:val="99"/>
    <w:qFormat/>
    <w:tblPr/>
  </w:style>
  <w:style w:type="table" w:styleId="929" w:customStyle="1">
    <w:name w:val="网格表 21"/>
    <w:basedOn w:val="811"/>
    <w:uiPriority w:val="99"/>
    <w:qFormat/>
    <w:tblPr/>
  </w:style>
  <w:style w:type="table" w:styleId="930" w:customStyle="1">
    <w:name w:val="Grid Table 2 - Accent 1"/>
    <w:basedOn w:val="811"/>
    <w:uiPriority w:val="99"/>
    <w:qFormat/>
    <w:tblPr/>
  </w:style>
  <w:style w:type="table" w:styleId="931" w:customStyle="1">
    <w:name w:val="Grid Table 2 - Accent 2"/>
    <w:basedOn w:val="811"/>
    <w:uiPriority w:val="99"/>
    <w:qFormat/>
    <w:tblPr/>
  </w:style>
  <w:style w:type="table" w:styleId="932" w:customStyle="1">
    <w:name w:val="Grid Table 2 - Accent 3"/>
    <w:basedOn w:val="811"/>
    <w:uiPriority w:val="99"/>
    <w:qFormat/>
    <w:tblPr/>
  </w:style>
  <w:style w:type="table" w:styleId="933" w:customStyle="1">
    <w:name w:val="Grid Table 2 - Accent 4"/>
    <w:basedOn w:val="811"/>
    <w:uiPriority w:val="99"/>
    <w:qFormat/>
    <w:tblPr/>
  </w:style>
  <w:style w:type="table" w:styleId="934" w:customStyle="1">
    <w:name w:val="Grid Table 2 - Accent 5"/>
    <w:basedOn w:val="811"/>
    <w:uiPriority w:val="99"/>
    <w:qFormat/>
    <w:tblPr/>
  </w:style>
  <w:style w:type="table" w:styleId="935" w:customStyle="1">
    <w:name w:val="Grid Table 2 - Accent 6"/>
    <w:basedOn w:val="811"/>
    <w:uiPriority w:val="99"/>
    <w:qFormat/>
    <w:tblPr/>
  </w:style>
  <w:style w:type="table" w:styleId="936" w:customStyle="1">
    <w:name w:val="网格表 31"/>
    <w:basedOn w:val="811"/>
    <w:uiPriority w:val="99"/>
    <w:qFormat/>
    <w:tblPr/>
  </w:style>
  <w:style w:type="table" w:styleId="937" w:customStyle="1">
    <w:name w:val="Grid Table 3 - Accent 1"/>
    <w:basedOn w:val="811"/>
    <w:uiPriority w:val="99"/>
    <w:qFormat/>
    <w:tblPr/>
  </w:style>
  <w:style w:type="table" w:styleId="938" w:customStyle="1">
    <w:name w:val="Grid Table 3 - Accent 2"/>
    <w:basedOn w:val="811"/>
    <w:uiPriority w:val="99"/>
    <w:qFormat/>
    <w:tblPr/>
  </w:style>
  <w:style w:type="table" w:styleId="939" w:customStyle="1">
    <w:name w:val="Grid Table 3 - Accent 3"/>
    <w:basedOn w:val="811"/>
    <w:uiPriority w:val="99"/>
    <w:qFormat/>
    <w:tblPr/>
  </w:style>
  <w:style w:type="table" w:styleId="940" w:customStyle="1">
    <w:name w:val="Grid Table 3 - Accent 4"/>
    <w:basedOn w:val="811"/>
    <w:uiPriority w:val="99"/>
    <w:qFormat/>
    <w:tblPr/>
  </w:style>
  <w:style w:type="table" w:styleId="941" w:customStyle="1">
    <w:name w:val="Grid Table 3 - Accent 5"/>
    <w:basedOn w:val="811"/>
    <w:uiPriority w:val="99"/>
    <w:qFormat/>
    <w:tblPr/>
  </w:style>
  <w:style w:type="table" w:styleId="942" w:customStyle="1">
    <w:name w:val="Grid Table 3 - Accent 6"/>
    <w:basedOn w:val="811"/>
    <w:uiPriority w:val="99"/>
    <w:qFormat/>
    <w:tblPr/>
  </w:style>
  <w:style w:type="table" w:styleId="943" w:customStyle="1">
    <w:name w:val="网格表 41"/>
    <w:basedOn w:val="811"/>
    <w:uiPriority w:val="59"/>
    <w:qFormat/>
    <w:tblPr/>
  </w:style>
  <w:style w:type="table" w:styleId="944" w:customStyle="1">
    <w:name w:val="Grid Table 4 - Accent 1"/>
    <w:basedOn w:val="811"/>
    <w:uiPriority w:val="59"/>
    <w:qFormat/>
    <w:tblPr/>
  </w:style>
  <w:style w:type="table" w:styleId="945" w:customStyle="1">
    <w:name w:val="Grid Table 4 - Accent 2"/>
    <w:basedOn w:val="811"/>
    <w:uiPriority w:val="59"/>
    <w:qFormat/>
    <w:tblPr/>
  </w:style>
  <w:style w:type="table" w:styleId="946" w:customStyle="1">
    <w:name w:val="Grid Table 4 - Accent 3"/>
    <w:basedOn w:val="811"/>
    <w:uiPriority w:val="59"/>
    <w:qFormat/>
    <w:tblPr/>
  </w:style>
  <w:style w:type="table" w:styleId="947" w:customStyle="1">
    <w:name w:val="Grid Table 4 - Accent 4"/>
    <w:basedOn w:val="811"/>
    <w:uiPriority w:val="59"/>
    <w:qFormat/>
    <w:tblPr/>
  </w:style>
  <w:style w:type="table" w:styleId="948" w:customStyle="1">
    <w:name w:val="Grid Table 4 - Accent 5"/>
    <w:basedOn w:val="811"/>
    <w:uiPriority w:val="59"/>
    <w:qFormat/>
    <w:tblPr/>
  </w:style>
  <w:style w:type="table" w:styleId="949" w:customStyle="1">
    <w:name w:val="Grid Table 4 - Accent 6"/>
    <w:basedOn w:val="811"/>
    <w:uiPriority w:val="59"/>
    <w:qFormat/>
    <w:tblPr/>
  </w:style>
  <w:style w:type="table" w:styleId="950" w:customStyle="1">
    <w:name w:val="网格表 5 深色1"/>
    <w:basedOn w:val="811"/>
    <w:uiPriority w:val="99"/>
    <w:qFormat/>
    <w:tblPr/>
  </w:style>
  <w:style w:type="table" w:styleId="951" w:customStyle="1">
    <w:name w:val="Grid Table 5 Dark- Accent 1"/>
    <w:basedOn w:val="811"/>
    <w:uiPriority w:val="99"/>
    <w:qFormat/>
    <w:tblPr/>
  </w:style>
  <w:style w:type="table" w:styleId="952" w:customStyle="1">
    <w:name w:val="Grid Table 5 Dark - Accent 2"/>
    <w:basedOn w:val="811"/>
    <w:uiPriority w:val="99"/>
    <w:qFormat/>
    <w:tblPr/>
  </w:style>
  <w:style w:type="table" w:styleId="953" w:customStyle="1">
    <w:name w:val="Grid Table 5 Dark - Accent 3"/>
    <w:basedOn w:val="811"/>
    <w:uiPriority w:val="99"/>
    <w:qFormat/>
    <w:tblPr/>
  </w:style>
  <w:style w:type="table" w:styleId="954" w:customStyle="1">
    <w:name w:val="Grid Table 5 Dark- Accent 4"/>
    <w:basedOn w:val="811"/>
    <w:uiPriority w:val="99"/>
    <w:qFormat/>
    <w:tblPr/>
  </w:style>
  <w:style w:type="table" w:styleId="955" w:customStyle="1">
    <w:name w:val="Grid Table 5 Dark - Accent 5"/>
    <w:basedOn w:val="811"/>
    <w:uiPriority w:val="99"/>
    <w:qFormat/>
    <w:tblPr/>
  </w:style>
  <w:style w:type="table" w:styleId="956" w:customStyle="1">
    <w:name w:val="Grid Table 5 Dark - Accent 6"/>
    <w:basedOn w:val="811"/>
    <w:uiPriority w:val="99"/>
    <w:qFormat/>
    <w:tblPr/>
  </w:style>
  <w:style w:type="table" w:styleId="957" w:customStyle="1">
    <w:name w:val="网格表 6 彩色1"/>
    <w:basedOn w:val="811"/>
    <w:uiPriority w:val="99"/>
    <w:qFormat/>
    <w:tblPr/>
  </w:style>
  <w:style w:type="table" w:styleId="958" w:customStyle="1">
    <w:name w:val="Grid Table 6 Colorful - Accent 1"/>
    <w:basedOn w:val="811"/>
    <w:uiPriority w:val="99"/>
    <w:qFormat/>
    <w:tblPr/>
  </w:style>
  <w:style w:type="table" w:styleId="959" w:customStyle="1">
    <w:name w:val="Grid Table 6 Colorful - Accent 2"/>
    <w:basedOn w:val="811"/>
    <w:uiPriority w:val="99"/>
    <w:qFormat/>
    <w:tblPr/>
  </w:style>
  <w:style w:type="table" w:styleId="960" w:customStyle="1">
    <w:name w:val="Grid Table 6 Colorful - Accent 3"/>
    <w:basedOn w:val="811"/>
    <w:uiPriority w:val="99"/>
    <w:qFormat/>
    <w:tblPr/>
  </w:style>
  <w:style w:type="table" w:styleId="961" w:customStyle="1">
    <w:name w:val="Grid Table 6 Colorful - Accent 4"/>
    <w:basedOn w:val="811"/>
    <w:uiPriority w:val="99"/>
    <w:qFormat/>
    <w:tblPr/>
  </w:style>
  <w:style w:type="table" w:styleId="962" w:customStyle="1">
    <w:name w:val="Grid Table 6 Colorful - Accent 5"/>
    <w:basedOn w:val="811"/>
    <w:uiPriority w:val="99"/>
    <w:qFormat/>
    <w:tblPr/>
  </w:style>
  <w:style w:type="table" w:styleId="963" w:customStyle="1">
    <w:name w:val="Grid Table 6 Colorful - Accent 6"/>
    <w:basedOn w:val="811"/>
    <w:uiPriority w:val="99"/>
    <w:qFormat/>
    <w:tblPr/>
  </w:style>
  <w:style w:type="table" w:styleId="964" w:customStyle="1">
    <w:name w:val="网格表 7 彩色1"/>
    <w:basedOn w:val="811"/>
    <w:uiPriority w:val="99"/>
    <w:qFormat/>
    <w:tblPr/>
  </w:style>
  <w:style w:type="table" w:styleId="965" w:customStyle="1">
    <w:name w:val="Grid Table 7 Colorful - Accent 1"/>
    <w:basedOn w:val="811"/>
    <w:uiPriority w:val="99"/>
    <w:qFormat/>
    <w:tblPr/>
  </w:style>
  <w:style w:type="table" w:styleId="966" w:customStyle="1">
    <w:name w:val="Grid Table 7 Colorful - Accent 2"/>
    <w:basedOn w:val="811"/>
    <w:uiPriority w:val="99"/>
    <w:qFormat/>
    <w:tblPr/>
  </w:style>
  <w:style w:type="table" w:styleId="967" w:customStyle="1">
    <w:name w:val="Grid Table 7 Colorful - Accent 3"/>
    <w:basedOn w:val="811"/>
    <w:uiPriority w:val="99"/>
    <w:qFormat/>
    <w:tblPr/>
  </w:style>
  <w:style w:type="table" w:styleId="968" w:customStyle="1">
    <w:name w:val="Grid Table 7 Colorful - Accent 4"/>
    <w:basedOn w:val="811"/>
    <w:uiPriority w:val="99"/>
    <w:qFormat/>
    <w:tblPr/>
  </w:style>
  <w:style w:type="table" w:styleId="969" w:customStyle="1">
    <w:name w:val="Grid Table 7 Colorful - Accent 5"/>
    <w:basedOn w:val="811"/>
    <w:uiPriority w:val="99"/>
    <w:qFormat/>
    <w:tblPr/>
  </w:style>
  <w:style w:type="table" w:styleId="970" w:customStyle="1">
    <w:name w:val="Grid Table 7 Colorful - Accent 6"/>
    <w:basedOn w:val="811"/>
    <w:uiPriority w:val="99"/>
    <w:qFormat/>
    <w:tblPr/>
  </w:style>
  <w:style w:type="table" w:styleId="971" w:customStyle="1">
    <w:name w:val="清单表 1 浅色1"/>
    <w:basedOn w:val="811"/>
    <w:uiPriority w:val="99"/>
    <w:qFormat/>
    <w:tblPr/>
  </w:style>
  <w:style w:type="table" w:styleId="972" w:customStyle="1">
    <w:name w:val="List Table 1 Light - Accent 1"/>
    <w:basedOn w:val="811"/>
    <w:uiPriority w:val="99"/>
    <w:qFormat/>
    <w:tblPr/>
  </w:style>
  <w:style w:type="table" w:styleId="973" w:customStyle="1">
    <w:name w:val="List Table 1 Light - Accent 2"/>
    <w:basedOn w:val="811"/>
    <w:uiPriority w:val="99"/>
    <w:qFormat/>
    <w:tblPr/>
  </w:style>
  <w:style w:type="table" w:styleId="974" w:customStyle="1">
    <w:name w:val="List Table 1 Light - Accent 3"/>
    <w:basedOn w:val="811"/>
    <w:uiPriority w:val="99"/>
    <w:qFormat/>
    <w:tblPr/>
  </w:style>
  <w:style w:type="table" w:styleId="975" w:customStyle="1">
    <w:name w:val="List Table 1 Light - Accent 4"/>
    <w:basedOn w:val="811"/>
    <w:uiPriority w:val="99"/>
    <w:qFormat/>
    <w:tblPr/>
  </w:style>
  <w:style w:type="table" w:styleId="976" w:customStyle="1">
    <w:name w:val="List Table 1 Light - Accent 5"/>
    <w:basedOn w:val="811"/>
    <w:uiPriority w:val="99"/>
    <w:qFormat/>
    <w:tblPr/>
  </w:style>
  <w:style w:type="table" w:styleId="977" w:customStyle="1">
    <w:name w:val="List Table 1 Light - Accent 6"/>
    <w:basedOn w:val="811"/>
    <w:uiPriority w:val="99"/>
    <w:qFormat/>
    <w:tblPr/>
  </w:style>
  <w:style w:type="table" w:styleId="978" w:customStyle="1">
    <w:name w:val="清单表 21"/>
    <w:basedOn w:val="811"/>
    <w:uiPriority w:val="99"/>
    <w:qFormat/>
    <w:tblPr/>
  </w:style>
  <w:style w:type="table" w:styleId="979" w:customStyle="1">
    <w:name w:val="List Table 2 - Accent 1"/>
    <w:basedOn w:val="811"/>
    <w:uiPriority w:val="99"/>
    <w:qFormat/>
    <w:tblPr/>
  </w:style>
  <w:style w:type="table" w:styleId="980" w:customStyle="1">
    <w:name w:val="List Table 2 - Accent 2"/>
    <w:basedOn w:val="811"/>
    <w:uiPriority w:val="99"/>
    <w:qFormat/>
    <w:tblPr/>
  </w:style>
  <w:style w:type="table" w:styleId="981" w:customStyle="1">
    <w:name w:val="List Table 2 - Accent 3"/>
    <w:basedOn w:val="811"/>
    <w:uiPriority w:val="99"/>
    <w:qFormat/>
    <w:tblPr/>
  </w:style>
  <w:style w:type="table" w:styleId="982" w:customStyle="1">
    <w:name w:val="List Table 2 - Accent 4"/>
    <w:basedOn w:val="811"/>
    <w:uiPriority w:val="99"/>
    <w:qFormat/>
    <w:tblPr/>
  </w:style>
  <w:style w:type="table" w:styleId="983" w:customStyle="1">
    <w:name w:val="List Table 2 - Accent 5"/>
    <w:basedOn w:val="811"/>
    <w:uiPriority w:val="99"/>
    <w:qFormat/>
    <w:tblPr/>
  </w:style>
  <w:style w:type="table" w:styleId="984" w:customStyle="1">
    <w:name w:val="List Table 2 - Accent 6"/>
    <w:basedOn w:val="811"/>
    <w:uiPriority w:val="99"/>
    <w:qFormat/>
    <w:tblPr/>
  </w:style>
  <w:style w:type="table" w:styleId="985" w:customStyle="1">
    <w:name w:val="清单表 31"/>
    <w:basedOn w:val="811"/>
    <w:uiPriority w:val="99"/>
    <w:qFormat/>
    <w:tblPr/>
  </w:style>
  <w:style w:type="table" w:styleId="986" w:customStyle="1">
    <w:name w:val="List Table 3 - Accent 1"/>
    <w:basedOn w:val="811"/>
    <w:uiPriority w:val="99"/>
    <w:qFormat/>
    <w:tblPr/>
  </w:style>
  <w:style w:type="table" w:styleId="987" w:customStyle="1">
    <w:name w:val="List Table 3 - Accent 2"/>
    <w:basedOn w:val="811"/>
    <w:uiPriority w:val="99"/>
    <w:qFormat/>
    <w:tblPr/>
  </w:style>
  <w:style w:type="table" w:styleId="988" w:customStyle="1">
    <w:name w:val="List Table 3 - Accent 3"/>
    <w:basedOn w:val="811"/>
    <w:uiPriority w:val="99"/>
    <w:qFormat/>
    <w:tblPr/>
  </w:style>
  <w:style w:type="table" w:styleId="989" w:customStyle="1">
    <w:name w:val="List Table 3 - Accent 4"/>
    <w:basedOn w:val="811"/>
    <w:uiPriority w:val="99"/>
    <w:qFormat/>
    <w:tblPr/>
  </w:style>
  <w:style w:type="table" w:styleId="990" w:customStyle="1">
    <w:name w:val="List Table 3 - Accent 5"/>
    <w:basedOn w:val="811"/>
    <w:uiPriority w:val="99"/>
    <w:qFormat/>
    <w:tblPr/>
  </w:style>
  <w:style w:type="table" w:styleId="991" w:customStyle="1">
    <w:name w:val="List Table 3 - Accent 6"/>
    <w:basedOn w:val="811"/>
    <w:uiPriority w:val="99"/>
    <w:qFormat/>
    <w:tblPr/>
  </w:style>
  <w:style w:type="table" w:styleId="992" w:customStyle="1">
    <w:name w:val="清单表 41"/>
    <w:basedOn w:val="811"/>
    <w:uiPriority w:val="99"/>
    <w:qFormat/>
    <w:tblPr/>
  </w:style>
  <w:style w:type="table" w:styleId="993" w:customStyle="1">
    <w:name w:val="List Table 4 - Accent 1"/>
    <w:basedOn w:val="811"/>
    <w:uiPriority w:val="99"/>
    <w:qFormat/>
    <w:tblPr/>
  </w:style>
  <w:style w:type="table" w:styleId="994" w:customStyle="1">
    <w:name w:val="List Table 4 - Accent 2"/>
    <w:basedOn w:val="811"/>
    <w:uiPriority w:val="99"/>
    <w:qFormat/>
    <w:tblPr/>
  </w:style>
  <w:style w:type="table" w:styleId="995" w:customStyle="1">
    <w:name w:val="List Table 4 - Accent 3"/>
    <w:basedOn w:val="811"/>
    <w:uiPriority w:val="99"/>
    <w:qFormat/>
    <w:tblPr/>
  </w:style>
  <w:style w:type="table" w:styleId="996" w:customStyle="1">
    <w:name w:val="List Table 4 - Accent 4"/>
    <w:basedOn w:val="811"/>
    <w:uiPriority w:val="99"/>
    <w:qFormat/>
    <w:tblPr/>
  </w:style>
  <w:style w:type="table" w:styleId="997" w:customStyle="1">
    <w:name w:val="List Table 4 - Accent 5"/>
    <w:basedOn w:val="811"/>
    <w:uiPriority w:val="99"/>
    <w:qFormat/>
    <w:tblPr/>
  </w:style>
  <w:style w:type="table" w:styleId="998" w:customStyle="1">
    <w:name w:val="List Table 4 - Accent 6"/>
    <w:basedOn w:val="811"/>
    <w:uiPriority w:val="99"/>
    <w:qFormat/>
    <w:tblPr/>
  </w:style>
  <w:style w:type="table" w:styleId="999" w:customStyle="1">
    <w:name w:val="清单表 5 深色1"/>
    <w:basedOn w:val="811"/>
    <w:uiPriority w:val="99"/>
    <w:qFormat/>
    <w:tblPr/>
  </w:style>
  <w:style w:type="table" w:styleId="1000" w:customStyle="1">
    <w:name w:val="List Table 5 Dark - Accent 1"/>
    <w:basedOn w:val="811"/>
    <w:uiPriority w:val="99"/>
    <w:qFormat/>
    <w:tblPr/>
  </w:style>
  <w:style w:type="table" w:styleId="1001" w:customStyle="1">
    <w:name w:val="List Table 5 Dark - Accent 2"/>
    <w:basedOn w:val="811"/>
    <w:uiPriority w:val="99"/>
    <w:qFormat/>
    <w:tblPr/>
  </w:style>
  <w:style w:type="table" w:styleId="1002" w:customStyle="1">
    <w:name w:val="List Table 5 Dark - Accent 3"/>
    <w:basedOn w:val="811"/>
    <w:uiPriority w:val="99"/>
    <w:qFormat/>
    <w:tblPr/>
  </w:style>
  <w:style w:type="table" w:styleId="1003" w:customStyle="1">
    <w:name w:val="List Table 5 Dark - Accent 4"/>
    <w:basedOn w:val="811"/>
    <w:uiPriority w:val="99"/>
    <w:qFormat/>
    <w:tblPr/>
  </w:style>
  <w:style w:type="table" w:styleId="1004" w:customStyle="1">
    <w:name w:val="List Table 5 Dark - Accent 5"/>
    <w:basedOn w:val="811"/>
    <w:uiPriority w:val="99"/>
    <w:qFormat/>
    <w:tblPr/>
  </w:style>
  <w:style w:type="table" w:styleId="1005" w:customStyle="1">
    <w:name w:val="List Table 5 Dark - Accent 6"/>
    <w:basedOn w:val="811"/>
    <w:uiPriority w:val="99"/>
    <w:qFormat/>
    <w:tblPr/>
  </w:style>
  <w:style w:type="table" w:styleId="1006" w:customStyle="1">
    <w:name w:val="清单表 6 彩色1"/>
    <w:basedOn w:val="811"/>
    <w:uiPriority w:val="99"/>
    <w:qFormat/>
    <w:tblPr/>
  </w:style>
  <w:style w:type="table" w:styleId="1007" w:customStyle="1">
    <w:name w:val="List Table 6 Colorful - Accent 1"/>
    <w:basedOn w:val="811"/>
    <w:uiPriority w:val="99"/>
    <w:qFormat/>
    <w:tblPr/>
  </w:style>
  <w:style w:type="table" w:styleId="1008" w:customStyle="1">
    <w:name w:val="List Table 6 Colorful - Accent 2"/>
    <w:basedOn w:val="811"/>
    <w:uiPriority w:val="99"/>
    <w:qFormat/>
    <w:tblPr/>
  </w:style>
  <w:style w:type="table" w:styleId="1009" w:customStyle="1">
    <w:name w:val="List Table 6 Colorful - Accent 3"/>
    <w:basedOn w:val="811"/>
    <w:uiPriority w:val="99"/>
    <w:qFormat/>
    <w:tblPr/>
  </w:style>
  <w:style w:type="table" w:styleId="1010" w:customStyle="1">
    <w:name w:val="List Table 6 Colorful - Accent 4"/>
    <w:basedOn w:val="811"/>
    <w:uiPriority w:val="99"/>
    <w:qFormat/>
    <w:tblPr/>
  </w:style>
  <w:style w:type="table" w:styleId="1011" w:customStyle="1">
    <w:name w:val="List Table 6 Colorful - Accent 5"/>
    <w:basedOn w:val="811"/>
    <w:uiPriority w:val="99"/>
    <w:qFormat/>
    <w:tblPr/>
  </w:style>
  <w:style w:type="table" w:styleId="1012" w:customStyle="1">
    <w:name w:val="List Table 6 Colorful - Accent 6"/>
    <w:basedOn w:val="811"/>
    <w:uiPriority w:val="99"/>
    <w:qFormat/>
    <w:tblPr/>
  </w:style>
  <w:style w:type="table" w:styleId="1013" w:customStyle="1">
    <w:name w:val="清单表 7 彩色1"/>
    <w:basedOn w:val="811"/>
    <w:uiPriority w:val="99"/>
    <w:qFormat/>
    <w:tblPr/>
  </w:style>
  <w:style w:type="table" w:styleId="1014" w:customStyle="1">
    <w:name w:val="List Table 7 Colorful - Accent 1"/>
    <w:basedOn w:val="811"/>
    <w:uiPriority w:val="99"/>
    <w:qFormat/>
    <w:tblPr/>
  </w:style>
  <w:style w:type="table" w:styleId="1015" w:customStyle="1">
    <w:name w:val="List Table 7 Colorful - Accent 2"/>
    <w:basedOn w:val="811"/>
    <w:uiPriority w:val="99"/>
    <w:qFormat/>
    <w:tblPr/>
  </w:style>
  <w:style w:type="table" w:styleId="1016" w:customStyle="1">
    <w:name w:val="List Table 7 Colorful - Accent 3"/>
    <w:basedOn w:val="811"/>
    <w:uiPriority w:val="99"/>
    <w:qFormat/>
    <w:tblPr/>
  </w:style>
  <w:style w:type="table" w:styleId="1017" w:customStyle="1">
    <w:name w:val="List Table 7 Colorful - Accent 4"/>
    <w:basedOn w:val="811"/>
    <w:uiPriority w:val="99"/>
    <w:qFormat/>
    <w:tblPr/>
  </w:style>
  <w:style w:type="table" w:styleId="1018" w:customStyle="1">
    <w:name w:val="List Table 7 Colorful - Accent 5"/>
    <w:basedOn w:val="811"/>
    <w:uiPriority w:val="99"/>
    <w:qFormat/>
    <w:tblPr/>
  </w:style>
  <w:style w:type="table" w:styleId="1019" w:customStyle="1">
    <w:name w:val="List Table 7 Colorful - Accent 6"/>
    <w:basedOn w:val="811"/>
    <w:uiPriority w:val="99"/>
    <w:qFormat/>
    <w:tblPr/>
  </w:style>
  <w:style w:type="table" w:styleId="1020" w:customStyle="1">
    <w:name w:val="Lined - Accent"/>
    <w:basedOn w:val="811"/>
    <w:uiPriority w:val="99"/>
    <w:qFormat/>
    <w:rPr>
      <w:color w:val="404040"/>
    </w:rPr>
    <w:tblPr/>
  </w:style>
  <w:style w:type="table" w:styleId="1021" w:customStyle="1">
    <w:name w:val="Lined - Accent 1"/>
    <w:basedOn w:val="811"/>
    <w:uiPriority w:val="99"/>
    <w:qFormat/>
    <w:rPr>
      <w:color w:val="404040"/>
    </w:rPr>
    <w:tblPr/>
  </w:style>
  <w:style w:type="table" w:styleId="1022" w:customStyle="1">
    <w:name w:val="Lined - Accent 2"/>
    <w:basedOn w:val="811"/>
    <w:uiPriority w:val="99"/>
    <w:qFormat/>
    <w:rPr>
      <w:color w:val="404040"/>
    </w:rPr>
    <w:tblPr/>
  </w:style>
  <w:style w:type="table" w:styleId="1023" w:customStyle="1">
    <w:name w:val="Lined - Accent 3"/>
    <w:basedOn w:val="811"/>
    <w:uiPriority w:val="99"/>
    <w:qFormat/>
    <w:rPr>
      <w:color w:val="404040"/>
    </w:rPr>
    <w:tblPr/>
  </w:style>
  <w:style w:type="table" w:styleId="1024" w:customStyle="1">
    <w:name w:val="Lined - Accent 4"/>
    <w:basedOn w:val="811"/>
    <w:uiPriority w:val="99"/>
    <w:qFormat/>
    <w:rPr>
      <w:color w:val="404040"/>
    </w:rPr>
    <w:tblPr/>
  </w:style>
  <w:style w:type="table" w:styleId="1025" w:customStyle="1">
    <w:name w:val="Lined - Accent 5"/>
    <w:basedOn w:val="811"/>
    <w:uiPriority w:val="99"/>
    <w:qFormat/>
    <w:rPr>
      <w:color w:val="404040"/>
    </w:rPr>
    <w:tblPr/>
  </w:style>
  <w:style w:type="table" w:styleId="1026" w:customStyle="1">
    <w:name w:val="Lined - Accent 6"/>
    <w:basedOn w:val="811"/>
    <w:uiPriority w:val="99"/>
    <w:qFormat/>
    <w:rPr>
      <w:color w:val="404040"/>
    </w:rPr>
    <w:tblPr/>
  </w:style>
  <w:style w:type="table" w:styleId="1027" w:customStyle="1">
    <w:name w:val="Bordered &amp; Lined - Accent"/>
    <w:basedOn w:val="811"/>
    <w:uiPriority w:val="99"/>
    <w:qFormat/>
    <w:rPr>
      <w:color w:val="404040"/>
    </w:rPr>
    <w:tblPr/>
  </w:style>
  <w:style w:type="table" w:styleId="1028" w:customStyle="1">
    <w:name w:val="Bordered &amp; Lined - Accent 1"/>
    <w:basedOn w:val="811"/>
    <w:uiPriority w:val="99"/>
    <w:qFormat/>
    <w:rPr>
      <w:color w:val="404040"/>
    </w:rPr>
    <w:tblPr/>
  </w:style>
  <w:style w:type="table" w:styleId="1029" w:customStyle="1">
    <w:name w:val="Bordered &amp; Lined - Accent 2"/>
    <w:basedOn w:val="811"/>
    <w:uiPriority w:val="99"/>
    <w:qFormat/>
    <w:rPr>
      <w:color w:val="404040"/>
    </w:rPr>
    <w:tblPr/>
  </w:style>
  <w:style w:type="table" w:styleId="1030" w:customStyle="1">
    <w:name w:val="Bordered &amp; Lined - Accent 3"/>
    <w:basedOn w:val="811"/>
    <w:uiPriority w:val="99"/>
    <w:qFormat/>
    <w:rPr>
      <w:color w:val="404040"/>
    </w:rPr>
    <w:tblPr/>
  </w:style>
  <w:style w:type="table" w:styleId="1031" w:customStyle="1">
    <w:name w:val="Bordered &amp; Lined - Accent 4"/>
    <w:basedOn w:val="811"/>
    <w:uiPriority w:val="99"/>
    <w:qFormat/>
    <w:rPr>
      <w:color w:val="404040"/>
    </w:rPr>
    <w:tblPr/>
  </w:style>
  <w:style w:type="table" w:styleId="1032" w:customStyle="1">
    <w:name w:val="Bordered &amp; Lined - Accent 5"/>
    <w:basedOn w:val="811"/>
    <w:uiPriority w:val="99"/>
    <w:qFormat/>
    <w:rPr>
      <w:color w:val="404040"/>
    </w:rPr>
    <w:tblPr/>
  </w:style>
  <w:style w:type="table" w:styleId="1033" w:customStyle="1">
    <w:name w:val="Bordered &amp; Lined - Accent 6"/>
    <w:basedOn w:val="811"/>
    <w:uiPriority w:val="99"/>
    <w:qFormat/>
    <w:rPr>
      <w:color w:val="404040"/>
    </w:rPr>
    <w:tblPr/>
  </w:style>
  <w:style w:type="table" w:styleId="1034" w:customStyle="1">
    <w:name w:val="Bordered"/>
    <w:basedOn w:val="811"/>
    <w:uiPriority w:val="99"/>
    <w:qFormat/>
    <w:tblPr/>
  </w:style>
  <w:style w:type="table" w:styleId="1035" w:customStyle="1">
    <w:name w:val="Bordered - Accent 1"/>
    <w:basedOn w:val="811"/>
    <w:uiPriority w:val="99"/>
    <w:qFormat/>
    <w:tblPr/>
  </w:style>
  <w:style w:type="table" w:styleId="1036" w:customStyle="1">
    <w:name w:val="Bordered - Accent 2"/>
    <w:basedOn w:val="811"/>
    <w:uiPriority w:val="99"/>
    <w:qFormat/>
    <w:tblPr/>
  </w:style>
  <w:style w:type="table" w:styleId="1037" w:customStyle="1">
    <w:name w:val="Bordered - Accent 3"/>
    <w:basedOn w:val="811"/>
    <w:uiPriority w:val="99"/>
    <w:qFormat/>
    <w:tblPr/>
  </w:style>
  <w:style w:type="table" w:styleId="1038" w:customStyle="1">
    <w:name w:val="Bordered - Accent 4"/>
    <w:basedOn w:val="811"/>
    <w:uiPriority w:val="99"/>
    <w:qFormat/>
    <w:tblPr/>
  </w:style>
  <w:style w:type="table" w:styleId="1039" w:customStyle="1">
    <w:name w:val="Bordered - Accent 5"/>
    <w:basedOn w:val="811"/>
    <w:uiPriority w:val="99"/>
    <w:qFormat/>
    <w:tblPr/>
  </w:style>
  <w:style w:type="table" w:styleId="1040" w:customStyle="1">
    <w:name w:val="Bordered - Accent 6"/>
    <w:basedOn w:val="811"/>
    <w:uiPriority w:val="99"/>
    <w:qFormat/>
    <w:tblPr/>
  </w:style>
  <w:style w:type="character" w:styleId="1041" w:customStyle="1">
    <w:name w:val="Footnote Text Char"/>
    <w:uiPriority w:val="99"/>
    <w:qFormat/>
    <w:rPr>
      <w:sz w:val="18"/>
    </w:rPr>
  </w:style>
  <w:style w:type="paragraph" w:styleId="1042" w:customStyle="1">
    <w:name w:val="TOC 标题11"/>
    <w:uiPriority w:val="39"/>
    <w:unhideWhenUsed/>
    <w:qFormat/>
  </w:style>
  <w:style w:type="paragraph" w:styleId="1043" w:customStyle="1">
    <w:name w:val="p0"/>
    <w:basedOn w:val="742"/>
    <w:qFormat/>
    <w:pPr>
      <w:widowControl/>
    </w:pPr>
    <w:rPr>
      <w:szCs w:val="21"/>
    </w:rPr>
  </w:style>
  <w:style w:type="paragraph" w:styleId="1044">
    <w:name w:val="List Paragraph"/>
    <w:basedOn w:val="742"/>
    <w:uiPriority w:val="1"/>
    <w:qFormat/>
    <w:pPr>
      <w:ind w:firstLine="420"/>
    </w:pPr>
  </w:style>
  <w:style w:type="paragraph" w:styleId="1045" w:customStyle="1">
    <w:name w:val="Default"/>
    <w:qFormat/>
    <w:pPr>
      <w:widowControl w:val="off"/>
    </w:pPr>
    <w:rPr>
      <w:rFonts w:ascii="宋体" w:cs="宋体"/>
      <w:color w:val="000000"/>
      <w:sz w:val="24"/>
      <w:szCs w:val="24"/>
    </w:rPr>
  </w:style>
  <w:style w:type="character" w:styleId="1046" w:customStyle="1">
    <w:name w:val="NormalCharacter1"/>
    <w:semiHidden/>
    <w:qFormat/>
    <w:rPr>
      <w:sz w:val="28"/>
      <w:lang w:val="en-US" w:eastAsia="zh-CN" w:bidi="ar-SA"/>
    </w:rPr>
  </w:style>
  <w:style w:type="paragraph" w:styleId="1047" w:customStyle="1">
    <w:name w:val="179"/>
    <w:basedOn w:val="742"/>
    <w:qFormat/>
    <w:pPr>
      <w:ind w:firstLine="420"/>
      <w:jc w:val="left"/>
      <w:widowControl/>
    </w:pPr>
    <w:rPr>
      <w:rFonts w:ascii="宋体" w:hAnsi="宋体"/>
      <w:sz w:val="24"/>
    </w:rPr>
  </w:style>
  <w:style w:type="paragraph" w:styleId="1048" w:customStyle="1">
    <w:name w:val="UserStyle_0"/>
    <w:qFormat/>
    <w:rPr>
      <w:color w:val="000000"/>
      <w:sz w:val="24"/>
      <w:szCs w:val="24"/>
    </w:rPr>
  </w:style>
  <w:style w:type="paragraph" w:styleId="1049" w:customStyle="1">
    <w:name w:val="标准"/>
    <w:basedOn w:val="742"/>
    <w:qFormat/>
    <w:pPr>
      <w:ind w:firstLine="200"/>
      <w:spacing w:line="360" w:lineRule="auto"/>
    </w:pPr>
    <w:rPr>
      <w:rFonts w:cs="宋体"/>
      <w:sz w:val="20"/>
      <w:szCs w:val="20"/>
    </w:rPr>
  </w:style>
  <w:style w:type="paragraph" w:styleId="1050" w:customStyle="1">
    <w:name w:val="_Style 11"/>
    <w:basedOn w:val="742"/>
    <w:next w:val="1044"/>
    <w:uiPriority w:val="34"/>
    <w:qFormat/>
    <w:pPr>
      <w:ind w:firstLine="420"/>
    </w:pPr>
    <w:rPr>
      <w:color w:val="000000"/>
      <w:szCs w:val="21"/>
    </w:rPr>
  </w:style>
  <w:style w:type="paragraph" w:styleId="1051" w:customStyle="1">
    <w:name w:val="BodyText1I21"/>
    <w:basedOn w:val="742"/>
    <w:qFormat/>
    <w:pPr>
      <w:ind w:firstLine="420"/>
      <w:spacing w:line="360" w:lineRule="auto"/>
      <w:widowControl/>
    </w:pPr>
    <w:rPr>
      <w:rFonts w:ascii="宋体" w:hAnsi="宋体"/>
      <w:sz w:val="20"/>
      <w:szCs w:val="20"/>
    </w:rPr>
  </w:style>
  <w:style w:type="paragraph" w:styleId="1052" w:customStyle="1">
    <w:name w:val="UserStyle_133"/>
    <w:basedOn w:val="742"/>
    <w:qFormat/>
    <w:pPr>
      <w:widowControl/>
    </w:pPr>
    <w:rPr>
      <w:rFonts w:ascii="Tahoma" w:hAnsi="Tahoma"/>
      <w:sz w:val="24"/>
    </w:rPr>
  </w:style>
  <w:style w:type="paragraph" w:styleId="1053" w:customStyle="1">
    <w:name w:val="AnnotationText1"/>
    <w:basedOn w:val="742"/>
    <w:link w:val="1054"/>
    <w:qFormat/>
    <w:pPr>
      <w:jc w:val="left"/>
      <w:widowControl/>
    </w:pPr>
  </w:style>
  <w:style w:type="character" w:styleId="1054" w:customStyle="1">
    <w:name w:val="UserStyle_12"/>
    <w:link w:val="1053"/>
    <w:qFormat/>
    <w:rPr>
      <w:rFonts w:ascii="Times New Roman" w:hAnsi="Times New Roman" w:eastAsia="宋体"/>
      <w:sz w:val="21"/>
      <w:szCs w:val="24"/>
    </w:rPr>
  </w:style>
  <w:style w:type="paragraph" w:styleId="1055" w:customStyle="1">
    <w:name w:val="UserStyle_115"/>
    <w:qFormat/>
    <w:rPr>
      <w:color w:val="000000"/>
      <w:sz w:val="24"/>
      <w:szCs w:val="24"/>
    </w:rPr>
  </w:style>
  <w:style w:type="paragraph" w:styleId="1056" w:customStyle="1">
    <w:name w:val="*正文-表格"/>
    <w:basedOn w:val="742"/>
    <w:qFormat/>
    <w:rPr>
      <w:sz w:val="24"/>
      <w:szCs w:val="20"/>
    </w:rPr>
  </w:style>
  <w:style w:type="character" w:styleId="1057" w:customStyle="1">
    <w:name w:val="font21"/>
    <w:basedOn w:val="810"/>
    <w:qFormat/>
    <w:rPr>
      <w:rFonts w:hint="eastAsia" w:ascii="宋体" w:hAnsi="宋体" w:eastAsia="宋体" w:cs="宋体"/>
      <w:b/>
      <w:bCs/>
      <w:color w:val="000000"/>
      <w:sz w:val="28"/>
      <w:szCs w:val="28"/>
      <w:u w:val="none"/>
    </w:rPr>
  </w:style>
  <w:style w:type="paragraph" w:styleId="1058" w:customStyle="1">
    <w:name w:val="标题 5（有编号）（绿盟科技）"/>
    <w:basedOn w:val="742"/>
    <w:next w:val="1059"/>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59" w:customStyle="1">
    <w:name w:val="正文（绿盟科技）"/>
    <w:uiPriority w:val="99"/>
    <w:qFormat/>
    <w:pPr>
      <w:spacing w:line="300" w:lineRule="auto"/>
    </w:pPr>
    <w:rPr>
      <w:rFonts w:ascii="Arial" w:hAnsi="Arial" w:cs="黑体"/>
      <w:sz w:val="21"/>
      <w:szCs w:val="21"/>
    </w:rPr>
  </w:style>
  <w:style w:type="paragraph" w:styleId="1060" w:customStyle="1">
    <w:name w:val="投标文件正文"/>
    <w:basedOn w:val="742"/>
    <w:qFormat/>
    <w:pPr>
      <w:ind w:firstLine="200"/>
      <w:spacing w:before="40" w:after="40" w:line="400" w:lineRule="exact"/>
    </w:pPr>
    <w:rPr>
      <w:sz w:val="24"/>
    </w:rPr>
  </w:style>
  <w:style w:type="paragraph" w:styleId="1061" w:customStyle="1">
    <w:name w:val="标题 21"/>
    <w:basedOn w:val="742"/>
    <w:next w:val="742"/>
    <w:qFormat/>
    <w:pPr>
      <w:jc w:val="left"/>
      <w:keepLines/>
      <w:keepNext/>
      <w:spacing w:before="50"/>
      <w:tabs>
        <w:tab w:val="left" w:pos="0" w:leader="none"/>
      </w:tabs>
    </w:pPr>
    <w:rPr>
      <w:rFonts w:ascii="Arial" w:hAnsi="Arial" w:eastAsia="黑体"/>
      <w:sz w:val="32"/>
      <w:szCs w:val="20"/>
    </w:rPr>
  </w:style>
  <w:style w:type="paragraph" w:styleId="1062" w:customStyle="1">
    <w:name w:val="BodyTextIndent1"/>
    <w:basedOn w:val="742"/>
    <w:next w:val="1063"/>
    <w:qFormat/>
    <w:pPr>
      <w:ind w:left="420"/>
      <w:spacing w:after="120"/>
    </w:pPr>
  </w:style>
  <w:style w:type="paragraph" w:styleId="1063" w:customStyle="1">
    <w:name w:val="EnvelopeReturn1"/>
    <w:basedOn w:val="742"/>
    <w:qFormat/>
    <w:rPr>
      <w:rFonts w:ascii="Arial" w:hAnsi="Arial"/>
    </w:rPr>
  </w:style>
  <w:style w:type="paragraph" w:styleId="1064" w:customStyle="1">
    <w:name w:val="Table Paragraph"/>
    <w:basedOn w:val="742"/>
    <w:uiPriority w:val="1"/>
    <w:qFormat/>
    <w:pPr>
      <w:ind w:left="107"/>
    </w:pPr>
    <w:rPr>
      <w:rFonts w:ascii="宋体" w:hAnsi="宋体" w:cs="宋体"/>
    </w:rPr>
  </w:style>
  <w:style w:type="paragraph" w:styleId="1065" w:customStyle="1">
    <w:name w:val="列出段落1"/>
    <w:basedOn w:val="742"/>
    <w:uiPriority w:val="34"/>
    <w:qFormat/>
    <w:pPr>
      <w:ind w:left="480"/>
      <w:jc w:val="left"/>
    </w:pPr>
    <w:rPr>
      <w:rFonts w:ascii="Calibri" w:hAnsi="Calibri" w:eastAsia="PMingLiU"/>
      <w:sz w:val="24"/>
      <w:szCs w:val="20"/>
      <w:lang w:eastAsia="zh-TW"/>
    </w:rPr>
  </w:style>
  <w:style w:type="paragraph" w:styleId="1066" w:customStyle="1">
    <w:name w:val="正文文本缩进1"/>
    <w:qFormat/>
    <w:pPr>
      <w:ind w:left="420"/>
      <w:jc w:val="both"/>
      <w:spacing w:after="120"/>
      <w:widowControl w:val="off"/>
    </w:pPr>
    <w:rPr>
      <w:sz w:val="21"/>
      <w:szCs w:val="24"/>
    </w:rPr>
  </w:style>
  <w:style w:type="character" w:styleId="1067" w:customStyle="1">
    <w:name w:val="font51"/>
    <w:basedOn w:val="810"/>
    <w:qFormat/>
    <w:rPr>
      <w:rFonts w:hint="eastAsia" w:ascii="微软雅黑" w:hAnsi="微软雅黑" w:eastAsia="微软雅黑" w:cs="微软雅黑"/>
      <w:color w:val="000000"/>
      <w:sz w:val="16"/>
      <w:szCs w:val="16"/>
      <w:u w:val="none"/>
    </w:rPr>
  </w:style>
  <w:style w:type="character" w:styleId="1068" w:customStyle="1">
    <w:name w:val="font01"/>
    <w:basedOn w:val="810"/>
    <w:qFormat/>
    <w:rPr>
      <w:rFonts w:hint="eastAsia" w:ascii="微软雅黑" w:hAnsi="微软雅黑" w:eastAsia="微软雅黑" w:cs="微软雅黑"/>
      <w:color w:val="000000"/>
      <w:sz w:val="16"/>
      <w:szCs w:val="16"/>
      <w:u w:val="none"/>
    </w:rPr>
  </w:style>
  <w:style w:type="character" w:styleId="1069" w:customStyle="1">
    <w:name w:val="font31"/>
    <w:basedOn w:val="810"/>
    <w:qFormat/>
    <w:rPr>
      <w:rFonts w:hint="eastAsia" w:ascii="微软雅黑" w:hAnsi="微软雅黑" w:eastAsia="微软雅黑" w:cs="微软雅黑"/>
      <w:color w:val="000000"/>
      <w:sz w:val="16"/>
      <w:szCs w:val="16"/>
      <w:u w:val="none"/>
    </w:rPr>
  </w:style>
  <w:style w:type="character" w:styleId="1070" w:customStyle="1">
    <w:name w:val="font41"/>
    <w:basedOn w:val="810"/>
    <w:qFormat/>
    <w:rPr>
      <w:rFonts w:hint="eastAsia" w:ascii="宋体" w:hAnsi="宋体" w:eastAsia="宋体" w:cs="宋体"/>
      <w:color w:val="000000"/>
      <w:sz w:val="22"/>
      <w:szCs w:val="22"/>
      <w:u w:val="none"/>
    </w:rPr>
  </w:style>
  <w:style w:type="character" w:styleId="1071" w:customStyle="1">
    <w:name w:val="font61"/>
    <w:basedOn w:val="810"/>
    <w:qFormat/>
    <w:rPr>
      <w:rFonts w:hint="eastAsia" w:ascii="宋体" w:hAnsi="宋体" w:eastAsia="宋体" w:cs="宋体"/>
      <w:color w:val="000000"/>
      <w:sz w:val="20"/>
      <w:szCs w:val="20"/>
      <w:u w:val="none"/>
    </w:rPr>
  </w:style>
  <w:style w:type="character" w:styleId="1072" w:customStyle="1">
    <w:name w:val="font11"/>
    <w:basedOn w:val="810"/>
    <w:qFormat/>
    <w:rPr>
      <w:rFonts w:hint="eastAsia" w:ascii="宋体" w:hAnsi="宋体" w:eastAsia="宋体" w:cs="宋体"/>
      <w:color w:val="000000"/>
      <w:sz w:val="20"/>
      <w:szCs w:val="20"/>
      <w:u w:val="none"/>
    </w:rPr>
  </w:style>
  <w:style w:type="paragraph" w:styleId="1073" w:customStyle="1">
    <w:name w:val="正文111"/>
    <w:next w:val="1074"/>
    <w:qFormat/>
    <w:pPr>
      <w:jc w:val="center"/>
      <w:spacing w:line="360" w:lineRule="exact"/>
      <w:widowControl w:val="off"/>
    </w:pPr>
    <w:rPr>
      <w:rFonts w:eastAsia="仿宋_GB2312"/>
      <w:sz w:val="28"/>
      <w:szCs w:val="24"/>
    </w:rPr>
  </w:style>
  <w:style w:type="paragraph" w:styleId="1074" w:customStyle="1">
    <w:name w:val="目录 111"/>
    <w:basedOn w:val="1073"/>
    <w:next w:val="1073"/>
    <w:qFormat/>
    <w:pPr>
      <w:jc w:val="left"/>
      <w:spacing w:after="100" w:line="259" w:lineRule="auto"/>
      <w:widowControl/>
    </w:pPr>
    <w:rPr>
      <w:rFonts w:ascii="Calibri" w:hAnsi="Calibri"/>
      <w:sz w:val="22"/>
      <w:szCs w:val="22"/>
    </w:rPr>
  </w:style>
  <w:style w:type="character" w:styleId="1075" w:customStyle="1">
    <w:name w:val="NormalCharacter11"/>
    <w:semiHidden/>
    <w:qFormat/>
    <w:rPr>
      <w:rFonts w:ascii="Times New Roman" w:hAnsi="Times New Roman" w:eastAsia="宋体" w:cs="Times New Roman"/>
      <w:sz w:val="21"/>
      <w:szCs w:val="24"/>
      <w:lang w:val="en-US" w:eastAsia="zh-CN" w:bidi="ar-SA"/>
    </w:rPr>
  </w:style>
  <w:style w:type="character" w:styleId="1076" w:customStyle="1">
    <w:name w:val="font71"/>
    <w:basedOn w:val="810"/>
    <w:qFormat/>
    <w:rPr>
      <w:rFonts w:hint="eastAsia" w:ascii="宋体" w:hAnsi="宋体" w:eastAsia="宋体" w:cs="宋体"/>
      <w:color w:val="000000"/>
      <w:sz w:val="21"/>
      <w:szCs w:val="21"/>
      <w:u w:val="none"/>
    </w:rPr>
  </w:style>
  <w:style w:type="character" w:styleId="1077" w:customStyle="1">
    <w:name w:val="font81"/>
    <w:basedOn w:val="810"/>
    <w:qFormat/>
    <w:rPr>
      <w:rFonts w:ascii="Times New Roman" w:hAnsi="Times New Roman" w:cs="Times New Roman"/>
      <w:color w:val="000000"/>
      <w:sz w:val="21"/>
      <w:szCs w:val="21"/>
      <w:u w:val="none"/>
    </w:rPr>
  </w:style>
  <w:style w:type="character" w:styleId="1078" w:customStyle="1">
    <w:name w:val="font91"/>
    <w:basedOn w:val="810"/>
    <w:qFormat/>
    <w:rPr>
      <w:rFonts w:hint="eastAsia" w:ascii="宋体" w:hAnsi="宋体" w:eastAsia="宋体" w:cs="宋体"/>
      <w:color w:val="000000"/>
      <w:sz w:val="21"/>
      <w:szCs w:val="21"/>
      <w:u w:val="none"/>
    </w:rPr>
  </w:style>
  <w:style w:type="paragraph" w:styleId="1079" w:customStyle="1">
    <w:name w:val="页脚1"/>
    <w:basedOn w:val="742"/>
    <w:qFormat/>
    <w:pPr>
      <w:jc w:val="left"/>
      <w:tabs>
        <w:tab w:val="center" w:pos="4153" w:leader="none"/>
        <w:tab w:val="right" w:pos="8306" w:leader="none"/>
      </w:tabs>
    </w:pPr>
    <w:rPr>
      <w:sz w:val="18"/>
      <w:szCs w:val="18"/>
    </w:rPr>
  </w:style>
  <w:style w:type="paragraph" w:styleId="1080" w:customStyle="1">
    <w:name w:val="列表段落1"/>
    <w:basedOn w:val="895"/>
    <w:next w:val="742"/>
    <w:uiPriority w:val="99"/>
    <w:qFormat/>
    <w:pPr>
      <w:ind w:firstLine="420"/>
    </w:pPr>
  </w:style>
  <w:style w:type="paragraph" w:styleId="1081" w:customStyle="1">
    <w:name w:val="正文缩进11"/>
    <w:basedOn w:val="742"/>
    <w:unhideWhenUsed/>
    <w:qFormat/>
    <w:pPr>
      <w:ind w:firstLine="420"/>
    </w:pPr>
  </w:style>
  <w:style w:type="paragraph" w:styleId="1082" w:customStyle="1">
    <w:name w:val="列表段落"/>
    <w:basedOn w:val="742"/>
    <w:uiPriority w:val="34"/>
    <w:qFormat/>
    <w:pPr>
      <w:contextualSpacing/>
      <w:ind w:left="720"/>
    </w:pPr>
  </w:style>
  <w:style w:type="paragraph" w:styleId="1083" w:customStyle="1">
    <w:name w:val="普通(网站)1"/>
    <w:basedOn w:val="742"/>
    <w:qFormat/>
    <w:pPr>
      <w:jc w:val="left"/>
      <w:spacing w:before="100" w:beforeAutospacing="1" w:after="100" w:afterAutospacing="1"/>
      <w:widowControl/>
    </w:pPr>
    <w:rPr>
      <w:rFonts w:ascii="宋体" w:hAnsi="宋体" w:cs="宋体"/>
      <w:color w:val="000000"/>
      <w:sz w:val="24"/>
      <w:szCs w:val="20"/>
    </w:rPr>
  </w:style>
  <w:style w:type="paragraph" w:styleId="1084" w:customStyle="1">
    <w:name w:val="纯文本11"/>
    <w:basedOn w:val="742"/>
    <w:qFormat/>
    <w:rPr>
      <w:rFonts w:ascii="宋体" w:hAnsi="Courier New"/>
      <w:szCs w:val="20"/>
    </w:rPr>
  </w:style>
  <w:style w:type="paragraph" w:styleId="1085" w:customStyle="1">
    <w:name w:val="纯文本1"/>
    <w:basedOn w:val="895"/>
    <w:qFormat/>
    <w:rPr>
      <w:rFonts w:hAnsi="Courier New"/>
      <w:sz w:val="20"/>
    </w:rPr>
  </w:style>
  <w:style w:type="paragraph" w:styleId="1086" w:customStyle="1">
    <w:name w:val="Body text|21"/>
    <w:basedOn w:val="742"/>
    <w:qFormat/>
    <w:pPr>
      <w:spacing w:before="500" w:after="260" w:line="200" w:lineRule="exact"/>
      <w:shd w:val="clear" w:color="auto" w:fill="ffffff"/>
    </w:pPr>
    <w:rPr>
      <w:rFonts w:ascii="PMingLiU" w:hAnsi="PMingLiU" w:eastAsia="PMingLiU" w:cs="PMingLiU"/>
      <w:spacing w:val="10"/>
      <w:sz w:val="20"/>
      <w:szCs w:val="20"/>
    </w:rPr>
  </w:style>
  <w:style w:type="character" w:styleId="1087" w:customStyle="1">
    <w:name w:val="NormalCharacter"/>
    <w:link w:val="896"/>
    <w:qFormat/>
    <w:rPr>
      <w:sz w:val="21"/>
      <w:szCs w:val="24"/>
    </w:rPr>
  </w:style>
  <w:style w:type="paragraph" w:styleId="1088" w:customStyle="1">
    <w:name w:val="Compact"/>
    <w:basedOn w:val="778"/>
    <w:qFormat/>
    <w:pPr>
      <w:jc w:val="left"/>
      <w:spacing w:before="36" w:after="36"/>
      <w:widowControl/>
    </w:pPr>
    <w:rPr>
      <w:rFonts w:asciiTheme="minorHAnsi" w:hAnsiTheme="minorHAnsi" w:eastAsiaTheme="minorEastAsia" w:cstheme="minorBidi"/>
      <w:sz w:val="24"/>
    </w:rPr>
  </w:style>
  <w:style w:type="table" w:styleId="1089" w:customStyle="1">
    <w:name w:val="Table"/>
    <w:semiHidden/>
    <w:unhideWhenUsed/>
    <w:qFormat/>
    <w:pPr>
      <w:spacing w:after="200"/>
    </w:pPr>
    <w:rPr>
      <w:rFonts w:asciiTheme="minorHAnsi" w:hAnsiTheme="minorHAnsi" w:eastAsiaTheme="minorEastAsia" w:cstheme="minorBidi"/>
      <w:sz w:val="24"/>
      <w:szCs w:val="24"/>
    </w:rPr>
    <w:tblPr>
      <w:tblCellMar>
        <w:left w:w="108" w:type="dxa"/>
        <w:top w:w="0" w:type="dxa"/>
        <w:right w:w="108" w:type="dxa"/>
        <w:bottom w:w="0" w:type="dxa"/>
      </w:tblCellMar>
    </w:tblPr>
    <w:tblStylePr w:type="firstRow">
      <w:tcPr>
        <w:tcBorders>
          <w:bottom w:val="single" w:color="auto" w:sz="0" w:space="0"/>
        </w:tcBorders>
        <w:vAlign w:val="bottom"/>
      </w:tcPr>
    </w:tblStylePr>
  </w:style>
  <w:style w:type="character" w:styleId="1090" w:customStyle="1">
    <w:name w:val="正文文本 字符"/>
    <w:basedOn w:val="752"/>
    <w:link w:val="778"/>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16"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17"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18"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19"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0"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1"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2" Type="http://schemas.openxmlformats.org/officeDocument/2006/relationships/hyperlink" Target="http://www.caigou2003.com/" TargetMode="External"/><Relationship Id="rId23" Type="http://schemas.openxmlformats.org/officeDocument/2006/relationships/hyperlink" Target="http://lilun.caigou2003.com/recijiedu/2365668.html" TargetMode="External"/><Relationship Id="rId24" Type="http://schemas.openxmlformats.org/officeDocument/2006/relationships/hyperlink" Target="http://lilun.caigou2003.com/recijiedu/2365667.html" TargetMode="External"/><Relationship Id="rId25" Type="http://schemas.openxmlformats.org/officeDocument/2006/relationships/image" Target="media/image2.png"/><Relationship Id="rId26" Type="http://schemas.openxmlformats.org/officeDocument/2006/relationships/hyperlink" Target="http://jszfcg.jsczt.cn/&#65289;--&#24050;&#25253;&#21517;&#39033;&#30446;--&#25253;&#21517;&#35814;&#24773;&#39029;&#38754;&#20869;&#30456;&#24212;&#38142;&#25509;&#36827;&#34892;&#19979;&#36733;&#65307;&#20379;&#24212;&#21830;&#25805;&#20316;&#25163;&#20876;&#21450;&#25919;&#24220;&#37319;&#36141;&#23458;&#25143;&#31471;&#24037;&#20855;&#20063;&#21487;&#36890;&#36807;&#24464;&#24030;&#25919;&#24220;&#37319;&#36141;&#32593;--&#19994;&#21153;&#24037;&#20316;--&#24555;&#36895;&#26381;&#21153;--&#19979;&#36733;&#19987;&#21306;&#65292;&#28857;&#20987;&#36827;&#20837;&#12298;&#27743;&#33487;&#30465;&#25919;&#24220;&#37319;&#36141;&#31649;&#29702;&#20132;&#26131;&#31995;&#32479;&#65288;&#33487;&#37319;&#20113;&#65289;&#20379;&#24212;&#21830;&#25805;&#20316;&#25163;&#20876;&#21450;&#25919;&#24220;&#37319;&#36141;&#23458;&#25143;&#31471;&#12299;&#65292;&#36827;&#34892;&#19979;&#36733;&#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仝曼</cp:lastModifiedBy>
  <cp:revision>7</cp:revision>
  <dcterms:created xsi:type="dcterms:W3CDTF">2026-10-09T03:09:00Z</dcterms:created>
  <dcterms:modified xsi:type="dcterms:W3CDTF">2026-10-09T07:36:03Z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eyJoZGlkIjoiNDNjYjNjNDcxMDBiZjYzZmFiZWM2ODY1OWM2NzZkMjYiLCJ1c2VySWQiOiIxMTcyMzA0MjEzIn0=</vt:lpwstr>
  </property>
  <property fmtid="{D5CDD505-2E9C-101B-9397-08002B2CF9AE}" pid="3" name="KSOProductBuildVer">
    <vt:lpwstr>2052-12.1.0.28505</vt:lpwstr>
  </property>
  <property fmtid="{D5CDD505-2E9C-101B-9397-08002B2CF9AE}" pid="4" name="ICV">
    <vt:lpwstr>1847F732EF4F40C8B0B9272A826CA087_12</vt:lpwstr>
  </property>
</Properties>
</file>