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2"/>
        <w:ind w:firstLine="0"/>
        <w:jc w:val="center"/>
        <w:rPr>
          <w:rFonts w:hint="eastAsia" w:eastAsia="黑体"/>
          <w:b/>
          <w:bCs/>
          <w:color w:val="000000"/>
          <w:sz w:val="84"/>
          <w:highlight w:val="none"/>
        </w:rPr>
      </w:pPr>
      <w:r>
        <w:rPr>
          <w:rFonts w:hint="eastAsia" w:eastAsia="黑体"/>
          <w:b/>
          <w:bCs/>
          <w:color w:val="000000"/>
          <w:sz w:val="84"/>
          <w:highlight w:val="none"/>
        </w:rPr>
        <w:t xml:space="preserve">竞争性磋商文件</w:t>
      </w:r>
      <w:r>
        <w:rPr>
          <w:rFonts w:hint="eastAsia" w:eastAsia="黑体"/>
          <w:b/>
          <w:bCs/>
          <w:color w:val="000000"/>
          <w:sz w:val="84"/>
          <w:highlight w:val="none"/>
        </w:rPr>
      </w:r>
      <w:r/>
    </w:p>
    <w:p>
      <w:pPr>
        <w:pStyle w:val="869"/>
        <w:ind w:firstLine="1606"/>
        <w:rPr>
          <w:rFonts w:hint="eastAsia" w:ascii="Arial" w:hAnsi="Arial"/>
          <w:b/>
          <w:bCs/>
          <w:color w:val="000000"/>
          <w:sz w:val="32"/>
          <w:szCs w:val="24"/>
          <w:highlight w:val="none"/>
          <w:u w:val="single"/>
        </w:rPr>
      </w:pPr>
      <w:r>
        <w:rPr>
          <w:rFonts w:hint="eastAsia" w:ascii="Arial" w:hAnsi="Arial"/>
          <w:b/>
          <w:bCs/>
          <w:color w:val="000000"/>
          <w:sz w:val="32"/>
          <w:szCs w:val="24"/>
          <w:highlight w:val="none"/>
        </w:rPr>
        <w:t xml:space="preserve">项目名称：脑机接口实验室智能管理系统</w:t>
      </w:r>
      <w:r>
        <w:rPr>
          <w:rFonts w:hint="eastAsia"/>
          <w:b/>
          <w:color w:val="000000"/>
          <w:sz w:val="32"/>
          <w:szCs w:val="32"/>
          <w:highlight w:val="none"/>
        </w:rPr>
        <w:t xml:space="preserve"> </w:t>
      </w:r>
      <w:r>
        <w:rPr>
          <w:rFonts w:hint="eastAsia" w:ascii="Arial" w:hAnsi="Arial"/>
          <w:b/>
          <w:bCs/>
          <w:color w:val="000000"/>
          <w:sz w:val="32"/>
          <w:szCs w:val="24"/>
          <w:highlight w:val="none"/>
          <w:u w:val="single"/>
        </w:rPr>
      </w:r>
      <w:r/>
    </w:p>
    <w:p>
      <w:pPr>
        <w:pStyle w:val="869"/>
        <w:ind w:firstLine="1606"/>
        <w:jc w:val="left"/>
        <w:spacing w:before="120" w:after="120" w:line="360" w:lineRule="auto"/>
        <w:rPr>
          <w:color w:val="000000"/>
          <w:highlight w:val="none"/>
        </w:rPr>
      </w:pPr>
      <w:r>
        <w:rPr>
          <w:rFonts w:hint="eastAsia" w:ascii="Arial" w:hAnsi="Arial"/>
          <w:b/>
          <w:bCs/>
          <w:color w:val="000000"/>
          <w:sz w:val="32"/>
          <w:szCs w:val="24"/>
          <w:highlight w:val="none"/>
        </w:rPr>
        <w:t xml:space="preserve">项目编号：</w:t>
      </w:r>
      <w:r>
        <w:rPr>
          <w:rFonts w:hint="eastAsia"/>
          <w:b/>
          <w:color w:val="000000"/>
          <w:sz w:val="32"/>
          <w:szCs w:val="32"/>
          <w:highlight w:val="none"/>
          <w:lang w:eastAsia="zh-CN"/>
        </w:rPr>
        <w:t xml:space="preserve">JSZC-320100-JZCG-C2026-0344</w:t>
      </w:r>
      <w:r>
        <w:rPr>
          <w:rFonts w:hint="eastAsia"/>
          <w:b/>
          <w:color w:val="000000"/>
          <w:sz w:val="32"/>
          <w:szCs w:val="32"/>
          <w:highlight w:val="none"/>
        </w:rPr>
        <w:tab/>
      </w:r>
      <w:r>
        <w:rPr>
          <w:color w:val="000000"/>
          <w:highlight w:val="none"/>
        </w:rPr>
      </w:r>
      <w:r/>
    </w:p>
    <w:p>
      <w:pPr>
        <w:pStyle w:val="869"/>
        <w:jc w:val="center"/>
        <w:rPr>
          <w:color w:val="00000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color w:val="000000"/>
          <w:highlight w:val="none"/>
        </w:rPr>
      </w:r>
      <w:r/>
    </w:p>
    <w:p>
      <w:pPr>
        <w:pStyle w:val="869"/>
        <w:jc w:val="center"/>
        <w:spacing w:line="48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2"/>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69"/>
        <w:jc w:val="center"/>
        <w:rPr>
          <w:rFonts w:hint="eastAsia"/>
          <w:b/>
          <w:color w:val="000000"/>
          <w:sz w:val="32"/>
          <w:szCs w:val="32"/>
          <w:highlight w:val="none"/>
        </w:rPr>
      </w:pPr>
      <w:r>
        <w:rPr>
          <w:rFonts w:hint="eastAsia"/>
          <w:b/>
          <w:color w:val="000000"/>
          <w:sz w:val="32"/>
          <w:szCs w:val="32"/>
          <w:highlight w:val="none"/>
        </w:rPr>
        <w:t xml:space="preserve">2026年</w:t>
      </w:r>
      <w:r>
        <w:rPr>
          <w:rFonts w:hint="eastAsia"/>
          <w:b/>
          <w:color w:val="000000"/>
          <w:sz w:val="32"/>
          <w:szCs w:val="32"/>
          <w:highlight w:val="none"/>
          <w:lang w:val="en-US" w:eastAsia="zh-CN"/>
        </w:rPr>
        <w:t xml:space="preserve">1</w:t>
      </w:r>
      <w:r>
        <w:rPr>
          <w:rFonts w:hint="eastAsia"/>
          <w:b/>
          <w:color w:val="000000"/>
          <w:sz w:val="32"/>
          <w:szCs w:val="32"/>
          <w:highlight w:val="none"/>
          <w:lang w:val="en-US" w:eastAsia="zh-CN"/>
        </w:rPr>
        <w:t xml:space="preserve">0</w:t>
      </w:r>
      <w:r>
        <w:rPr>
          <w:rFonts w:hint="eastAsia"/>
          <w:b/>
          <w:color w:val="000000"/>
          <w:sz w:val="32"/>
          <w:szCs w:val="32"/>
          <w:highlight w:val="none"/>
        </w:rPr>
        <w:t xml:space="preserve">月</w:t>
      </w:r>
      <w:r>
        <w:rPr>
          <w:rFonts w:hint="eastAsia"/>
          <w:b/>
          <w:color w:val="000000"/>
          <w:sz w:val="32"/>
          <w:szCs w:val="32"/>
          <w:highlight w:val="none"/>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69"/>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bookmarkStart w:id="0" w:name="_Toc513029200"/>
      <w:r/>
      <w:bookmarkStart w:id="1" w:name="_Toc479757206"/>
      <w:r/>
      <w:bookmarkStart w:id="2" w:name="_Toc20823272"/>
      <w:r/>
      <w:bookmarkStart w:id="3" w:name="_Toc120614210"/>
      <w:r/>
      <w:bookmarkStart w:id="4" w:name="_Toc523127445"/>
      <w:r/>
      <w:bookmarkStart w:id="5" w:name="_Toc16938516"/>
      <w:r>
        <w:rPr>
          <w:rFonts w:hint="eastAsia" w:ascii="仿宋_GB2312" w:hAnsi="Arial" w:eastAsia="仿宋_GB2312"/>
          <w:b/>
          <w:color w:val="000000"/>
          <w:sz w:val="28"/>
          <w:szCs w:val="21"/>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磋商邀请…………………………………… 2</w:t>
      </w:r>
      <w:r>
        <w:rPr>
          <w:rFonts w:hint="eastAsia" w:ascii="黑体" w:hAnsi="宋体" w:eastAsia="黑体"/>
          <w:color w:val="000000"/>
          <w:sz w:val="36"/>
          <w:szCs w:val="21"/>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供应商须知………………………………… 4</w:t>
      </w:r>
      <w:r>
        <w:rPr>
          <w:rFonts w:hint="eastAsia" w:ascii="黑体" w:hAnsi="宋体" w:eastAsia="黑体"/>
          <w:color w:val="000000"/>
          <w:sz w:val="36"/>
          <w:szCs w:val="21"/>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合同文本……………………………………12</w:t>
      </w:r>
      <w:r>
        <w:rPr>
          <w:rFonts w:hint="eastAsia" w:ascii="黑体" w:hAnsi="宋体" w:eastAsia="黑体"/>
          <w:color w:val="000000"/>
          <w:sz w:val="36"/>
          <w:szCs w:val="21"/>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采购需求……………………………………16</w:t>
      </w:r>
      <w:r>
        <w:rPr>
          <w:rFonts w:hint="eastAsia" w:ascii="黑体" w:hAnsi="宋体" w:eastAsia="黑体"/>
          <w:color w:val="000000"/>
          <w:sz w:val="36"/>
          <w:szCs w:val="21"/>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评审方法与评审标准………………………20</w:t>
      </w:r>
      <w:r>
        <w:rPr>
          <w:rFonts w:hint="eastAsia" w:ascii="黑体" w:hAnsi="宋体" w:eastAsia="黑体"/>
          <w:color w:val="000000"/>
          <w:sz w:val="36"/>
          <w:szCs w:val="21"/>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响应文件格式………………………………26</w:t>
      </w:r>
      <w:r>
        <w:rPr>
          <w:rFonts w:hint="eastAsia" w:ascii="黑体" w:hAnsi="宋体" w:eastAsia="黑体"/>
          <w:color w:val="000000"/>
          <w:sz w:val="36"/>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rPr>
          <w:rFonts w:hint="eastAsia"/>
          <w:color w:val="000000"/>
          <w:szCs w:val="21"/>
          <w:highlight w:val="none"/>
        </w:rPr>
      </w:pPr>
      <w:r>
        <w:rPr>
          <w:rFonts w:hint="eastAsia"/>
          <w:color w:val="000000"/>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磋商邀请</w:t>
      </w:r>
      <w:r>
        <w:rPr>
          <w:rFonts w:hint="eastAsia" w:ascii="方正小标宋简体" w:hAnsi="方正小标宋简体" w:eastAsia="方正小标宋简体" w:cs="方正小标宋简体"/>
          <w:color w:val="000000"/>
          <w:sz w:val="36"/>
          <w:szCs w:val="36"/>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JSZC-320100-JZCG-C2026-0344</w:t>
      </w:r>
      <w:r>
        <w:rPr>
          <w:rFonts w:hint="eastAsia" w:ascii="宋体" w:hAnsi="宋体"/>
          <w:color w:val="000000"/>
          <w:sz w:val="24"/>
          <w:szCs w:val="24"/>
          <w:highlight w:val="none"/>
        </w:rPr>
        <w:tab/>
      </w:r>
      <w:r>
        <w:rPr>
          <w:rFonts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2.项目名称：脑机接口实验室智能管理系统</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3.预算金额：50万元</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4.最高限价：50万元</w:t>
      </w:r>
      <w:r>
        <w:rPr>
          <w:rFonts w:hint="eastAsia" w:ascii="宋体" w:hAnsi="宋体"/>
          <w:color w:val="000000"/>
          <w:sz w:val="24"/>
          <w:szCs w:val="24"/>
          <w:highlight w:val="none"/>
        </w:rPr>
      </w:r>
      <w:r/>
    </w:p>
    <w:p>
      <w:pPr>
        <w:pStyle w:val="869"/>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color w:val="000000"/>
          <w:sz w:val="24"/>
          <w:szCs w:val="24"/>
          <w:highlight w:val="none"/>
        </w:rPr>
        <w:t xml:space="preserve">本项目旨在建设一套实验室智能管理系统，实现实验室运营全流程的数字化与智能化管理。系统能实现的功能须涵盖人员准入与权限管理、设备管理与预约、智能计费管理、视频监控与安全管理、数据管理与溯源、移动化支持功能、多维统计报表功能。</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69"/>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w:t>
      </w:r>
      <w:r>
        <w:rPr>
          <w:rFonts w:hint="eastAsia" w:ascii="宋体" w:hAnsi="宋体" w:eastAsia="宋体" w:cs="宋体"/>
          <w:color w:val="000000"/>
          <w:sz w:val="24"/>
          <w:szCs w:val="24"/>
          <w:highlight w:val="none"/>
        </w:rPr>
        <w:t xml:space="preserve">期限：</w:t>
      </w:r>
      <w:r>
        <w:rPr>
          <w:rFonts w:ascii="宋体" w:hAnsi="宋体" w:cs="宋体"/>
          <w:color w:val="000000"/>
          <w:sz w:val="24"/>
          <w:szCs w:val="24"/>
          <w:highlight w:val="none"/>
        </w:rPr>
        <w:t xml:space="preserve">合同签订后</w:t>
      </w:r>
      <w:r>
        <w:rPr>
          <w:rFonts w:hint="eastAsia" w:ascii="宋体" w:hAnsi="宋体"/>
          <w:color w:val="000000"/>
          <w:sz w:val="24"/>
          <w:szCs w:val="24"/>
          <w:highlight w:val="none"/>
        </w:rPr>
        <w:t xml:space="preserve">30</w:t>
      </w:r>
      <w:r>
        <w:rPr>
          <w:rFonts w:ascii="宋体" w:hAnsi="宋体" w:cs="宋体"/>
          <w:color w:val="000000"/>
          <w:sz w:val="24"/>
          <w:szCs w:val="24"/>
          <w:highlight w:val="none"/>
        </w:rPr>
        <w:t xml:space="preserve">天内交付</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69"/>
        <w:ind w:firstLine="480"/>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本项目不接受联合体参加</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9"/>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8.本项目不接受进口产品。</w:t>
      </w:r>
      <w:r>
        <w:rPr>
          <w:rFonts w:hint="eastAsia" w:ascii="宋体" w:hAnsi="宋体" w:cs="宋体"/>
          <w:color w:val="000000"/>
          <w:sz w:val="24"/>
          <w:szCs w:val="24"/>
          <w:highlight w:val="none"/>
        </w:rPr>
      </w:r>
      <w:r/>
    </w:p>
    <w:p>
      <w:pPr>
        <w:pStyle w:val="869"/>
        <w:ind w:firstLine="480"/>
        <w:widowControl/>
        <w:rPr>
          <w:rFonts w:hint="eastAsia"/>
          <w:color w:val="000000"/>
          <w:highlight w:val="none"/>
        </w:rPr>
      </w:pPr>
      <w:r>
        <w:rPr>
          <w:rFonts w:hint="eastAsia" w:ascii="宋体" w:hAnsi="宋体" w:cs="宋体"/>
          <w:color w:val="000000"/>
          <w:sz w:val="24"/>
          <w:szCs w:val="24"/>
          <w:highlight w:val="none"/>
        </w:rPr>
        <w:t xml:space="preserve">9.本项目不允许分包。</w:t>
      </w:r>
      <w:r>
        <w:rPr>
          <w:rFonts w:hint="eastAsia"/>
          <w:color w:val="000000"/>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w:t>
      </w: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zh-CN"/>
        </w:rPr>
        <w:t xml:space="preserve">信用承诺函》（格式见第六章）。</w:t>
      </w:r>
      <w:r>
        <w:rPr>
          <w:rFonts w:hint="eastAsia" w:ascii="宋体" w:hAnsi="宋体"/>
          <w:color w:val="000000"/>
          <w:sz w:val="24"/>
          <w:szCs w:val="24"/>
          <w:highlight w:val="none"/>
          <w:lang w:val="zh-CN"/>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2.未被“信用中国”网站列入失信被执行人、重大税收违法失信主体名单、政府采购严重违法失信行为记录名单。（资格审查环节查询，响应文件中无需提供证明材料）</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color w:val="000000"/>
          <w:sz w:val="24"/>
          <w:szCs w:val="24"/>
          <w:highlight w:val="none"/>
          <w:lang w:val="zh-CN"/>
        </w:rPr>
        <w:t xml:space="preserve">落实政府采购政策需满足的资格要求：无。</w:t>
      </w:r>
      <w:r>
        <w:rPr>
          <w:rFonts w:hint="eastAsia" w:ascii="宋体" w:hAnsi="宋体"/>
          <w:color w:val="000000"/>
          <w:sz w:val="24"/>
          <w:szCs w:val="24"/>
          <w:highlight w:val="none"/>
          <w:lang w:val="zh-CN"/>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（三）本项目的特定资格要求：</w:t>
      </w:r>
      <w:r>
        <w:rPr>
          <w:rFonts w:hint="eastAsia" w:ascii="宋体" w:hAnsi="宋体"/>
          <w:color w:val="000000"/>
          <w:sz w:val="24"/>
          <w:szCs w:val="24"/>
          <w:highlight w:val="none"/>
          <w:lang w:val="zh-CN"/>
        </w:rPr>
        <w:t xml:space="preserve">无。</w:t>
      </w:r>
      <w:r>
        <w:rPr>
          <w:rFonts w:hint="eastAsia" w:ascii="宋体" w:hAnsi="宋体"/>
          <w:color w:val="000000"/>
          <w:sz w:val="24"/>
          <w:szCs w:val="24"/>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86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1.时间：自磋商文件公告发布之日起。</w:t>
      </w:r>
      <w:r>
        <w:rPr>
          <w:rFonts w:hint="eastAsia" w:ascii="宋体" w:hAnsi="宋体" w:cs="宋体"/>
          <w:color w:val="000000"/>
          <w:sz w:val="24"/>
          <w:szCs w:val="24"/>
          <w:highlight w:val="none"/>
        </w:rPr>
      </w:r>
      <w:r/>
    </w:p>
    <w:p>
      <w:pPr>
        <w:pStyle w:val="86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2.方式：在“江苏政府采购网”免费下载。</w:t>
      </w:r>
      <w:r>
        <w:rPr>
          <w:rFonts w:hint="eastAsia" w:ascii="宋体" w:hAnsi="宋体" w:cs="宋体"/>
          <w:color w:val="000000"/>
          <w:sz w:val="24"/>
          <w:szCs w:val="24"/>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869"/>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202</w:t>
      </w:r>
      <w:r>
        <w:rPr>
          <w:rFonts w:hint="eastAsia" w:ascii="宋体" w:hAnsi="宋体" w:cs="宋体"/>
          <w:color w:val="000000"/>
          <w:sz w:val="24"/>
          <w:szCs w:val="24"/>
          <w:highlight w:val="none"/>
        </w:rPr>
        <w:t xml:space="preserve">6</w:t>
      </w:r>
      <w:r>
        <w:rPr>
          <w:rFonts w:hint="eastAsia" w:ascii="宋体" w:hAnsi="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color w:val="000000"/>
          <w:sz w:val="24"/>
          <w:szCs w:val="24"/>
          <w:highlight w:val="none"/>
        </w:rPr>
        <w:t xml:space="preserve">月27</w:t>
      </w:r>
      <w:r>
        <w:rPr>
          <w:rFonts w:hint="eastAsia" w:ascii="宋体" w:hAnsi="宋体"/>
          <w:color w:val="000000"/>
          <w:sz w:val="24"/>
          <w:szCs w:val="24"/>
          <w:highlight w:val="none"/>
        </w:rPr>
        <w:t xml:space="preserve">日9</w:t>
      </w:r>
      <w:r>
        <w:rPr>
          <w:rFonts w:hint="eastAsia"/>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color w:val="000000"/>
          <w:sz w:val="24"/>
          <w:szCs w:val="24"/>
          <w:highlight w:val="none"/>
        </w:rPr>
        <w:t xml:space="preserve">分（北京时间）。</w:t>
      </w:r>
      <w:r>
        <w:rPr>
          <w:rFonts w:hint="eastAsia" w:ascii="宋体" w:hAnsi="宋体"/>
          <w:color w:val="000000"/>
          <w:sz w:val="24"/>
          <w:szCs w:val="24"/>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86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869"/>
        <w:ind w:firstLine="480"/>
        <w:tabs>
          <w:tab w:val="left" w:pos="900" w:leader="none"/>
        </w:tabs>
        <w:rPr>
          <w:rFonts w:hint="eastAsia" w:ascii="宋体" w:hAnsi="宋体"/>
          <w:bCs/>
          <w:color w:val="000000"/>
          <w:sz w:val="24"/>
          <w:szCs w:val="24"/>
          <w:highlight w:val="none"/>
        </w:rPr>
      </w:pPr>
      <w:r/>
      <w:bookmarkStart w:id="6" w:name="_Toc35393796"/>
      <w:r/>
      <w:bookmarkStart w:id="7" w:name="_Toc28359085"/>
      <w:r/>
      <w:bookmarkStart w:id="8" w:name="_Toc28359008"/>
      <w:r/>
      <w:bookmarkStart w:id="9" w:name="_Toc38985269"/>
      <w:r/>
      <w:bookmarkStart w:id="10" w:name="_Toc35393627"/>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w:t>
      </w:r>
      <w:r>
        <w:rPr>
          <w:rFonts w:hint="eastAsia" w:ascii="宋体" w:hAnsi="宋体"/>
          <w:bCs/>
          <w:color w:val="000000"/>
          <w:sz w:val="24"/>
          <w:szCs w:val="24"/>
          <w:highlight w:val="none"/>
          <w:lang w:val="en-US" w:eastAsia="zh-CN"/>
        </w:rPr>
        <w:t xml:space="preserve">磋商</w:t>
      </w:r>
      <w:r>
        <w:rPr>
          <w:rFonts w:hint="eastAsia" w:ascii="宋体" w:hAnsi="宋体"/>
          <w:bCs/>
          <w:color w:val="000000"/>
          <w:sz w:val="24"/>
          <w:szCs w:val="24"/>
          <w:highlight w:val="none"/>
        </w:rPr>
        <w:t xml:space="preserve">不收取保证金。</w:t>
      </w:r>
      <w:r>
        <w:rPr>
          <w:rFonts w:hint="eastAsia" w:ascii="宋体" w:hAnsi="宋体"/>
          <w:bCs/>
          <w:color w:val="000000"/>
          <w:sz w:val="24"/>
          <w:szCs w:val="24"/>
          <w:highlight w:val="none"/>
        </w:rPr>
      </w:r>
      <w:r/>
    </w:p>
    <w:p>
      <w:pPr>
        <w:pStyle w:val="869"/>
        <w:ind w:firstLine="480"/>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2.本项目不组织勘察及答疑，供应商如对采购需求有疑问，请咨询采购人。 </w:t>
      </w:r>
      <w:r>
        <w:rPr>
          <w:rFonts w:hint="eastAsia" w:ascii="宋体" w:hAnsi="宋体"/>
          <w:color w:val="000000"/>
          <w:sz w:val="24"/>
          <w:szCs w:val="24"/>
          <w:highlight w:val="none"/>
        </w:rPr>
      </w:r>
      <w:r/>
    </w:p>
    <w:p>
      <w:pPr>
        <w:pStyle w:val="869"/>
        <w:ind w:firstLine="480"/>
        <w:rPr>
          <w:color w:val="000000"/>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rPr>
          <w:color w:val="00000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对采购方式、采购需求、供应商资格条件、</w:t>
      </w:r>
      <w:r>
        <w:rPr>
          <w:rFonts w:hint="eastAsia" w:ascii="宋体" w:hAnsi="宋体"/>
          <w:b/>
          <w:bCs/>
          <w:color w:val="000000"/>
          <w:sz w:val="24"/>
          <w:highlight w:val="none"/>
        </w:rPr>
        <w:t xml:space="preserve">成交</w:t>
      </w:r>
      <w:r>
        <w:rPr>
          <w:rFonts w:hint="eastAsia" w:ascii="宋体" w:hAnsi="宋体"/>
          <w:b/>
          <w:bCs/>
          <w:color w:val="000000"/>
          <w:sz w:val="24"/>
          <w:highlight w:val="none"/>
          <w:lang w:val="zh-CN"/>
        </w:rPr>
        <w:t xml:space="preserve">标准、合同文本的询问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869"/>
        <w:ind w:firstLine="480"/>
        <w:spacing w:line="252" w:lineRule="auto"/>
        <w:rPr>
          <w:rFonts w:ascii="宋体" w:hAnsi="宋体"/>
          <w:color w:val="000000"/>
          <w:sz w:val="24"/>
          <w:highlight w:val="none"/>
        </w:rPr>
      </w:pPr>
      <w:r>
        <w:rPr>
          <w:rFonts w:hint="eastAsia" w:ascii="宋体" w:hAnsi="宋体"/>
          <w:color w:val="000000"/>
          <w:sz w:val="24"/>
          <w:highlight w:val="none"/>
        </w:rPr>
        <w:t xml:space="preserve">采购人《质疑函》收件人：</w:t>
      </w:r>
      <w:r>
        <w:rPr>
          <w:rFonts w:hint="eastAsia" w:ascii="宋体" w:hAnsi="宋体"/>
          <w:color w:val="000000"/>
          <w:sz w:val="24"/>
          <w:highlight w:val="none"/>
          <w:lang w:val="en-US" w:eastAsia="zh-CN"/>
        </w:rPr>
        <w:t xml:space="preserve">顾女士</w:t>
      </w:r>
      <w:r>
        <w:rPr>
          <w:rFonts w:hint="eastAsia" w:ascii="宋体" w:hAnsi="宋体"/>
          <w:color w:val="000000"/>
          <w:sz w:val="24"/>
          <w:highlight w:val="none"/>
        </w:rPr>
        <w:t xml:space="preserve">，收件地址：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lang w:val="en-US" w:eastAsia="zh-CN"/>
        </w:rPr>
        <w:t xml:space="preserve">栖霞区纬地</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号</w:t>
      </w:r>
      <w:r>
        <w:rPr>
          <w:rFonts w:hint="eastAsia" w:ascii="宋体" w:hAnsi="宋体" w:cs="宋体"/>
          <w:color w:val="000000"/>
          <w:sz w:val="24"/>
          <w:szCs w:val="24"/>
          <w:highlight w:val="none"/>
          <w:lang w:val="en-US" w:eastAsia="zh-CN"/>
        </w:rPr>
        <w:t xml:space="preserve">A3栋311</w:t>
      </w:r>
      <w:r>
        <w:rPr>
          <w:rFonts w:hint="eastAsia" w:ascii="宋体" w:hAnsi="宋体" w:cs="宋体"/>
          <w:color w:val="000000"/>
          <w:sz w:val="24"/>
          <w:szCs w:val="24"/>
          <w:highlight w:val="none"/>
        </w:rPr>
        <w:t xml:space="preserve">室，</w:t>
      </w:r>
      <w:r>
        <w:rPr>
          <w:rFonts w:hint="eastAsia" w:ascii="宋体" w:hAnsi="宋体"/>
          <w:color w:val="000000"/>
          <w:sz w:val="24"/>
          <w:highlight w:val="none"/>
        </w:rPr>
        <w:t xml:space="preserve">联系电话：</w:t>
      </w:r>
      <w:r>
        <w:rPr>
          <w:rFonts w:hint="eastAsia" w:ascii="宋体" w:hAnsi="宋体"/>
          <w:color w:val="000000"/>
          <w:sz w:val="24"/>
          <w:highlight w:val="none"/>
          <w:lang w:val="en-US" w:eastAsia="zh-CN"/>
        </w:rPr>
        <w:t xml:space="preserve">025-69567700</w:t>
      </w:r>
      <w:r>
        <w:rPr>
          <w:rFonts w:hint="eastAsia" w:ascii="宋体" w:hAnsi="宋体"/>
          <w:color w:val="000000"/>
          <w:sz w:val="24"/>
          <w:highlight w:val="none"/>
        </w:rPr>
        <w:t xml:space="preserve">。</w:t>
      </w:r>
      <w:r>
        <w:rPr>
          <w:rFonts w:ascii="宋体" w:hAnsi="宋体"/>
          <w:color w:val="000000"/>
          <w:sz w:val="24"/>
          <w:highlight w:val="none"/>
        </w:rPr>
      </w:r>
      <w:r/>
    </w:p>
    <w:p>
      <w:pPr>
        <w:pStyle w:val="869"/>
        <w:ind w:firstLine="480"/>
        <w:spacing w:line="252"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交易中心《质疑函》收件人：南京市公共资源交易中心政府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收件</w:t>
      </w:r>
      <w:r>
        <w:rPr>
          <w:rFonts w:hint="eastAsia" w:ascii="宋体" w:hAnsi="宋体"/>
          <w:color w:val="000000"/>
          <w:sz w:val="24"/>
          <w:highlight w:val="none"/>
          <w:lang w:val="zh-CN"/>
        </w:rPr>
        <w:t xml:space="preserve">地址：南京市</w:t>
      </w:r>
      <w:r>
        <w:rPr>
          <w:rFonts w:hint="eastAsia" w:ascii="宋体" w:hAnsi="宋体"/>
          <w:color w:val="000000"/>
          <w:sz w:val="24"/>
          <w:highlight w:val="none"/>
        </w:rPr>
        <w:t xml:space="preserve">建邺区</w:t>
      </w:r>
      <w:r>
        <w:rPr>
          <w:rFonts w:hint="eastAsia" w:ascii="宋体" w:hAnsi="宋体"/>
          <w:color w:val="000000"/>
          <w:sz w:val="24"/>
          <w:highlight w:val="none"/>
          <w:lang w:val="zh-CN"/>
        </w:rPr>
        <w:t xml:space="preserve">江东中路265号南京市公共资源交易中心北门，联系电话：025-68505926。</w:t>
      </w:r>
      <w:r>
        <w:rPr>
          <w:rFonts w:hint="eastAsia" w:ascii="宋体" w:hAnsi="宋体"/>
          <w:color w:val="000000"/>
          <w:sz w:val="24"/>
          <w:highlight w:val="none"/>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t xml:space="preserve">本次磋商联系方式</w:t>
      </w:r>
      <w:r>
        <w:rPr>
          <w:rFonts w:hint="eastAsia" w:ascii="方正黑体_GBK" w:hAnsi="方正黑体_GBK" w:eastAsia="方正黑体_GBK" w:cs="方正黑体_GBK"/>
          <w:b w:val="0"/>
          <w:bCs w:val="0"/>
          <w:color w:val="000000"/>
          <w:sz w:val="30"/>
          <w:szCs w:val="30"/>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val="en-US" w:eastAsia="zh-CN"/>
        </w:rPr>
        <w:t xml:space="preserve">江苏脑机接口研究院</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lang w:val="en-US" w:eastAsia="zh-CN"/>
        </w:rPr>
        <w:t xml:space="preserve">栖霞区纬地</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号</w:t>
      </w:r>
      <w:r>
        <w:rPr>
          <w:rFonts w:hint="eastAsia" w:ascii="宋体" w:hAnsi="宋体" w:cs="宋体"/>
          <w:color w:val="000000"/>
          <w:sz w:val="24"/>
          <w:szCs w:val="24"/>
          <w:highlight w:val="none"/>
          <w:lang w:val="en-US" w:eastAsia="zh-CN"/>
        </w:rPr>
        <w:t xml:space="preserve">A3栋</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顾女士</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hint="eastAsia" w:ascii="宋体" w:hAnsi="宋体"/>
          <w:color w:val="000000"/>
          <w:sz w:val="24"/>
          <w:highlight w:val="none"/>
          <w:lang w:val="en-US" w:eastAsia="zh-CN"/>
        </w:rPr>
        <w:t xml:space="preserve">69567700</w:t>
      </w:r>
      <w:r>
        <w:rPr>
          <w:rFonts w:hint="eastAsia" w:ascii="宋体" w:hAnsi="宋体"/>
          <w:color w:val="000000"/>
          <w:sz w:val="24"/>
          <w:szCs w:val="24"/>
          <w:highlight w:val="none"/>
        </w:rPr>
        <w:t xml:space="preserve"> </w:t>
      </w:r>
      <w:bookmarkStart w:id="11" w:name="_Toc28359009"/>
      <w:r/>
      <w:bookmarkStart w:id="12" w:name="_Toc28359086"/>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11"/>
      <w:r/>
      <w:bookmarkEnd w:id="12"/>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联系人：郭先生</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联系电话：025-68505815 </w:t>
      </w:r>
      <w:r>
        <w:rPr>
          <w:rFonts w:hint="eastAsia" w:ascii="宋体" w:hAnsi="宋体"/>
          <w:color w:val="000000"/>
          <w:sz w:val="24"/>
          <w:szCs w:val="24"/>
          <w:highlight w:val="none"/>
        </w:rPr>
      </w:r>
      <w:r/>
    </w:p>
    <w:p>
      <w:pPr>
        <w:pStyle w:val="869"/>
        <w:ind w:firstLine="480"/>
        <w:rPr>
          <w:rFonts w:ascii="宋体" w:hAnsi="宋体"/>
          <w:color w:val="000000"/>
          <w:sz w:val="24"/>
          <w:szCs w:val="24"/>
          <w:highlight w:val="none"/>
        </w:rPr>
      </w:pPr>
      <w:r>
        <w:rPr>
          <w:rFonts w:ascii="宋体" w:hAnsi="宋体"/>
          <w:color w:val="000000"/>
          <w:sz w:val="24"/>
          <w:szCs w:val="24"/>
          <w:highlight w:val="none"/>
        </w:rPr>
      </w:r>
      <w:r/>
    </w:p>
    <w:p>
      <w:pPr>
        <w:pStyle w:val="869"/>
        <w:ind w:firstLine="72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供应商须知</w:t>
      </w:r>
      <w:r>
        <w:rPr>
          <w:rFonts w:hint="eastAsia" w:ascii="方正小标宋简体" w:hAnsi="方正小标宋简体" w:eastAsia="方正小标宋简体" w:cs="方正小标宋简体"/>
          <w:color w:val="000000"/>
          <w:sz w:val="36"/>
          <w:szCs w:val="36"/>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13" w:name="_Hlt16619475"/>
      <w:r/>
      <w:bookmarkEnd w:id="13"/>
      <w:r/>
      <w:bookmarkStart w:id="14" w:name="_Toc458694821"/>
      <w:r/>
      <w:bookmarkStart w:id="15" w:name="_Toc20823276"/>
      <w:r/>
      <w:bookmarkStart w:id="16" w:name="_Toc513029204"/>
      <w:r/>
      <w:bookmarkStart w:id="17" w:name="_Toc16938520"/>
      <w:r>
        <w:rPr>
          <w:rFonts w:hint="eastAsia" w:ascii="方正楷体_GBK" w:hAnsi="方正楷体_GBK" w:eastAsia="方正楷体_GBK" w:cs="方正楷体_GBK"/>
          <w:color w:val="000000"/>
          <w:highlight w:val="none"/>
        </w:rPr>
        <w:t xml:space="preserve">1</w:t>
      </w:r>
      <w:bookmarkEnd w:id="14"/>
      <w:r>
        <w:rPr>
          <w:rFonts w:hint="eastAsia" w:ascii="方正楷体_GBK" w:hAnsi="方正楷体_GBK" w:eastAsia="方正楷体_GBK" w:cs="方正楷体_GBK"/>
          <w:color w:val="000000"/>
          <w:highlight w:val="none"/>
        </w:rPr>
        <w:t xml:space="preserve">.采购方式</w:t>
      </w:r>
      <w:bookmarkEnd w:id="15"/>
      <w:r/>
      <w:bookmarkEnd w:id="16"/>
      <w:r/>
      <w:bookmarkEnd w:id="17"/>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本次政府采购活动采取竞争性磋商（以下简称“磋商”）方式，本文件仅适用于采购公告中所述项目。</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18" w:name="_Toc16938521"/>
      <w:r/>
      <w:bookmarkStart w:id="19" w:name="_Toc20823277"/>
      <w:r/>
      <w:bookmarkStart w:id="20" w:name="_Toc513029205"/>
      <w:r>
        <w:rPr>
          <w:rFonts w:hint="eastAsia" w:ascii="方正楷体_GBK" w:hAnsi="方正楷体_GBK" w:eastAsia="方正楷体_GBK" w:cs="方正楷体_GBK"/>
          <w:color w:val="000000"/>
          <w:highlight w:val="none"/>
        </w:rPr>
        <w:t xml:space="preserve">2.合格的</w:t>
      </w:r>
      <w:bookmarkEnd w:id="18"/>
      <w:r/>
      <w:bookmarkEnd w:id="19"/>
      <w:r/>
      <w:bookmarkEnd w:id="20"/>
      <w:r>
        <w:rPr>
          <w:rFonts w:hint="eastAsia" w:ascii="方正楷体_GBK" w:hAnsi="方正楷体_GBK" w:eastAsia="方正楷体_GBK" w:cs="方正楷体_GBK"/>
          <w:color w:val="000000"/>
          <w:highlight w:val="none"/>
        </w:rPr>
        <w:t xml:space="preserve">供应商</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 满足采购公告对供应商资格要求。</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 满足磋商文件规定的实质性要求。</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21" w:name="_Toc20823278"/>
      <w:r/>
      <w:bookmarkStart w:id="22" w:name="_Toc513029206"/>
      <w:r/>
      <w:bookmarkStart w:id="23" w:name="_Toc16938522"/>
      <w:r>
        <w:rPr>
          <w:rFonts w:hint="eastAsia" w:ascii="方正楷体_GBK" w:hAnsi="方正楷体_GBK" w:eastAsia="方正楷体_GBK" w:cs="方正楷体_GBK"/>
          <w:color w:val="000000"/>
          <w:highlight w:val="none"/>
        </w:rPr>
        <w:t xml:space="preserve">3.适用法律</w:t>
      </w:r>
      <w:bookmarkEnd w:id="21"/>
      <w:r/>
      <w:bookmarkEnd w:id="22"/>
      <w:r/>
      <w:bookmarkEnd w:id="23"/>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3.1 本次采购及由此产生的合同受中华人民共和国有关的法律法规制约和保护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24" w:name="_Toc513029207"/>
      <w:r/>
      <w:bookmarkStart w:id="25" w:name="_Toc16938523"/>
      <w:r/>
      <w:bookmarkStart w:id="26" w:name="_Toc462564067"/>
      <w:r/>
      <w:bookmarkStart w:id="27" w:name="_Toc20823279"/>
      <w:r>
        <w:rPr>
          <w:rFonts w:hint="eastAsia" w:ascii="方正楷体_GBK" w:hAnsi="方正楷体_GBK" w:eastAsia="方正楷体_GBK" w:cs="方正楷体_GBK"/>
          <w:color w:val="000000"/>
          <w:highlight w:val="none"/>
        </w:rPr>
        <w:t xml:space="preserve">4.磋商费用</w:t>
      </w:r>
      <w:bookmarkEnd w:id="24"/>
      <w:r/>
      <w:bookmarkEnd w:id="25"/>
      <w:r/>
      <w:bookmarkEnd w:id="26"/>
      <w:r/>
      <w:bookmarkEnd w:id="27"/>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4.1 供应商应自行承担所有与参加采购有关的费用，</w:t>
      </w:r>
      <w:r>
        <w:rPr>
          <w:rFonts w:hint="eastAsia" w:ascii="宋体" w:hAnsi="宋体"/>
          <w:color w:val="000000"/>
          <w:sz w:val="24"/>
          <w:highlight w:val="none"/>
        </w:rPr>
        <w:t xml:space="preserve">交易中心</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4.2 本次采购交易中心和采购人不收取磋商文件工本费与成交服务费。</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5.磋商文件的约束力</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5.1 供应商一旦参加本项目采购活动，即被认为接受了本文件的规定和约束。</w:t>
      </w:r>
      <w:r>
        <w:rPr>
          <w:rFonts w:hint="eastAsia" w:ascii="宋体" w:hAnsi="宋体"/>
          <w:color w:val="000000"/>
          <w:sz w:val="24"/>
          <w:szCs w:val="21"/>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28" w:name="_Toc513029209"/>
      <w:r/>
      <w:bookmarkStart w:id="29" w:name="_Toc120614215"/>
      <w:r/>
      <w:bookmarkStart w:id="30" w:name="_Toc20823281"/>
      <w:r/>
      <w:bookmarkStart w:id="31" w:name="_Toc16938525"/>
      <w:r>
        <w:rPr>
          <w:rFonts w:hint="eastAsia" w:ascii="方正黑体_GBK" w:hAnsi="方正黑体_GBK" w:eastAsia="方正黑体_GBK" w:cs="方正黑体_GBK"/>
          <w:b w:val="0"/>
          <w:bCs w:val="0"/>
          <w:color w:val="000000"/>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32" w:name="_Toc16938526"/>
      <w:r/>
      <w:bookmarkStart w:id="33" w:name="_Toc513029210"/>
      <w:r/>
      <w:bookmarkStart w:id="34" w:name="_Toc20823282"/>
      <w:r>
        <w:rPr>
          <w:rFonts w:hint="eastAsia" w:ascii="方正楷体_GBK" w:hAnsi="方正楷体_GBK" w:eastAsia="方正楷体_GBK" w:cs="方正楷体_GBK"/>
          <w:color w:val="000000"/>
          <w:highlight w:val="none"/>
        </w:rPr>
        <w:t xml:space="preserve">6.磋商文件构成</w:t>
      </w:r>
      <w:bookmarkEnd w:id="32"/>
      <w:r/>
      <w:bookmarkEnd w:id="33"/>
      <w:r/>
      <w:bookmarkEnd w:id="34"/>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6.1 磋商文件由以下部分组成：</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（1）磋商邀请</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（2）供应商须知</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（3）合同文本</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（4）采购需求</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（5）评审方法与评审标准</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（6）响应文件格式</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供应商应仔细检查磋商文件是否齐全，如有缺漏请立即与交易中心联系。</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35" w:name="_Toc513029211"/>
      <w:r/>
      <w:bookmarkStart w:id="36" w:name="_Toc462564070"/>
      <w:r/>
      <w:bookmarkStart w:id="37" w:name="_Toc16938527"/>
      <w:r/>
      <w:bookmarkStart w:id="38" w:name="_Toc20823283"/>
      <w:r>
        <w:rPr>
          <w:rFonts w:hint="eastAsia" w:ascii="方正楷体_GBK" w:hAnsi="方正楷体_GBK" w:eastAsia="方正楷体_GBK" w:cs="方正楷体_GBK"/>
          <w:color w:val="000000"/>
          <w:highlight w:val="none"/>
        </w:rPr>
        <w:t xml:space="preserve">7.磋商文件的澄清</w:t>
      </w:r>
      <w:bookmarkEnd w:id="35"/>
      <w:r/>
      <w:bookmarkEnd w:id="36"/>
      <w:r/>
      <w:bookmarkEnd w:id="37"/>
      <w:r/>
      <w:bookmarkEnd w:id="38"/>
      <w:r>
        <w:rPr>
          <w:rFonts w:hint="eastAsia" w:ascii="方正楷体_GBK" w:hAnsi="方正楷体_GBK" w:eastAsia="方正楷体_GBK" w:cs="方正楷体_GBK"/>
          <w:color w:val="000000"/>
          <w:highlight w:val="none"/>
        </w:rPr>
        <w:t xml:space="preserve">或修改</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7.2 供应商应在提交响应文件截止时间前，关注原公告发布媒体有关本项目的更正公告，根据更正公告内容自行决定是否需要重新制作和提交响应文件，并承担由此产生的相应责任。</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7.3 交易中心有权按照法定的要求推迟提交响应文件截止时间，并在原公告发布媒体发布更正公告。</w:t>
      </w:r>
      <w:r>
        <w:rPr>
          <w:rFonts w:hint="eastAsia" w:ascii="宋体" w:hAnsi="宋体"/>
          <w:color w:val="000000"/>
          <w:sz w:val="24"/>
          <w:szCs w:val="21"/>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8.响应文件的语言及度量衡单位</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8.1 供应商提交的响应文件以及供应商与交易中心就有关磋商的所有来往通知、函件和文件均应使用简体中文。</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8.2 除技术性能另有规定外，响应文件所使用的度量衡单位，均须采用国家法定计量单位。</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9.响应文件构成</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9.1 供应商编写的响应文件应包括资格证明文件、符合性证明文件、磋商报价表、分项报价表、响应及偏离表、磋商响应函、法定代表人授权委托书。</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9.2 </w:t>
      </w:r>
      <w:r>
        <w:rPr>
          <w:rFonts w:hint="eastAsia" w:ascii="宋体" w:hAnsi="宋体"/>
          <w:b/>
          <w:bCs/>
          <w:color w:val="000000"/>
          <w:sz w:val="24"/>
          <w:szCs w:val="21"/>
          <w:highlight w:val="none"/>
        </w:rPr>
        <w:t xml:space="preserve">如标书制作工具与“江苏政府采购网”发布的磋商文件内容不一致，以“江苏政府采购网”发布的磋商文件为准。</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39" w:name="_Hlt26954838"/>
      <w:r/>
      <w:bookmarkEnd w:id="39"/>
      <w:r/>
      <w:bookmarkStart w:id="40" w:name="_Hlt26670360"/>
      <w:r/>
      <w:bookmarkEnd w:id="40"/>
      <w:r/>
      <w:bookmarkStart w:id="41" w:name="_Hlt26668975"/>
      <w:r/>
      <w:bookmarkEnd w:id="41"/>
      <w:r>
        <w:rPr>
          <w:rFonts w:hint="eastAsia" w:ascii="方正楷体_GBK" w:hAnsi="方正楷体_GBK" w:eastAsia="方正楷体_GBK" w:cs="方正楷体_GBK"/>
          <w:color w:val="000000"/>
          <w:highlight w:val="none"/>
        </w:rPr>
        <w:t xml:space="preserve">10.磋商报价</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10.1 响应文件中的单价和总价无特殊规定的采用人民币报价，以元为单位标注。磋商文件另有规定的按规定执行。</w:t>
      </w:r>
      <w:r>
        <w:rPr>
          <w:rFonts w:hint="eastAsia" w:ascii="宋体" w:hAnsi="宋体"/>
          <w:color w:val="000000"/>
          <w:sz w:val="24"/>
          <w:szCs w:val="21"/>
          <w:highlight w:val="none"/>
        </w:rPr>
      </w:r>
      <w:r/>
    </w:p>
    <w:p>
      <w:pPr>
        <w:pStyle w:val="869"/>
        <w:ind w:firstLine="420"/>
        <w:rPr>
          <w:rFonts w:hint="eastAsia" w:ascii="宋体" w:hAnsi="宋体"/>
          <w:b/>
          <w:bCs/>
          <w:color w:val="000000"/>
          <w:sz w:val="24"/>
          <w:szCs w:val="21"/>
          <w:highlight w:val="none"/>
        </w:rPr>
      </w:pPr>
      <w:r>
        <w:rPr>
          <w:rFonts w:hint="eastAsia" w:ascii="宋体" w:hAnsi="宋体"/>
          <w:color w:val="000000"/>
          <w:sz w:val="24"/>
          <w:szCs w:val="21"/>
          <w:highlight w:val="none"/>
        </w:rPr>
        <w:t xml:space="preserve">10.2</w:t>
      </w:r>
      <w:r>
        <w:rPr>
          <w:rFonts w:hint="eastAsia" w:ascii="宋体" w:hAnsi="宋体"/>
          <w:b/>
          <w:bCs/>
          <w:color w:val="000000"/>
          <w:sz w:val="24"/>
          <w:szCs w:val="21"/>
          <w:highlight w:val="none"/>
        </w:rPr>
        <w:t xml:space="preserve"> 供应商应按照磋商文件规定完整、准确填报磋商报价表和分项报价表，否则作为无效响应。</w:t>
      </w:r>
      <w:r>
        <w:rPr>
          <w:rFonts w:hint="eastAsia" w:ascii="宋体" w:hAnsi="宋体"/>
          <w:b/>
          <w:bCs/>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42" w:name="_Hlt26954731"/>
      <w:r/>
      <w:bookmarkEnd w:id="42"/>
      <w:r/>
      <w:bookmarkStart w:id="43" w:name="_Hlt26954846"/>
      <w:r/>
      <w:bookmarkEnd w:id="43"/>
      <w:r/>
      <w:bookmarkStart w:id="44" w:name="_Hlt26954848"/>
      <w:r/>
      <w:bookmarkEnd w:id="44"/>
      <w:r/>
      <w:bookmarkStart w:id="45" w:name="_Hlt26670486"/>
      <w:r/>
      <w:bookmarkEnd w:id="45"/>
      <w:r/>
      <w:bookmarkStart w:id="46" w:name="_Hlt26670482"/>
      <w:r/>
      <w:bookmarkEnd w:id="46"/>
      <w:r>
        <w:rPr>
          <w:rFonts w:hint="eastAsia" w:ascii="方正楷体_GBK" w:hAnsi="方正楷体_GBK" w:eastAsia="方正楷体_GBK" w:cs="方正楷体_GBK"/>
          <w:color w:val="000000"/>
          <w:highlight w:val="none"/>
        </w:rPr>
        <w:t xml:space="preserve">11.响应及偏离表</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1</w:t>
      </w: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供应商需对磋商文件中的技术要求与商务要求逐项作出响应或偏离说明。</w:t>
      </w:r>
      <w:r>
        <w:rPr>
          <w:rFonts w:hint="eastAsia" w:ascii="宋体" w:hAnsi="宋体"/>
          <w:color w:val="000000"/>
          <w:sz w:val="24"/>
          <w:szCs w:val="21"/>
          <w:highlight w:val="none"/>
          <w:lang w:val="zh-CN"/>
        </w:rPr>
      </w:r>
      <w:r/>
    </w:p>
    <w:p>
      <w:pPr>
        <w:pStyle w:val="869"/>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1</w:t>
      </w: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供应商可在响应文件中提供认为需要的其他技术文件或说明。</w:t>
      </w:r>
      <w:r>
        <w:rPr>
          <w:rFonts w:hint="eastAsia" w:ascii="宋体" w:hAnsi="宋体"/>
          <w:color w:val="000000"/>
          <w:sz w:val="24"/>
          <w:szCs w:val="21"/>
          <w:highlight w:val="none"/>
          <w:lang w:val="zh-CN"/>
        </w:rPr>
      </w:r>
      <w:r/>
    </w:p>
    <w:p>
      <w:pPr>
        <w:pStyle w:val="873"/>
        <w:ind w:firstLine="420"/>
        <w:spacing w:before="0" w:after="0" w:line="240" w:lineRule="auto"/>
        <w:tabs>
          <w:tab w:val="left" w:pos="6491" w:leader="none"/>
        </w:tabs>
        <w:rPr>
          <w:rFonts w:hint="eastAsia" w:ascii="方正楷体_GBK" w:hAnsi="方正楷体_GBK" w:eastAsia="方正楷体_GBK" w:cs="方正楷体_GBK"/>
          <w:color w:val="000000"/>
          <w:highlight w:val="none"/>
          <w:lang w:eastAsia="zh-CN"/>
        </w:rPr>
      </w:pPr>
      <w:r>
        <w:rPr>
          <w:rFonts w:hint="eastAsia" w:ascii="方正楷体_GBK" w:hAnsi="方正楷体_GBK" w:eastAsia="方正楷体_GBK" w:cs="方正楷体_GBK"/>
          <w:color w:val="000000"/>
          <w:highlight w:val="none"/>
        </w:rPr>
        <w:t xml:space="preserve">12.磋商响应函和授权委托书</w:t>
      </w:r>
      <w:r>
        <w:rPr>
          <w:rFonts w:hint="eastAsia" w:ascii="方正楷体_GBK" w:hAnsi="方正楷体_GBK" w:eastAsia="方正楷体_GBK" w:cs="方正楷体_GBK"/>
          <w:color w:val="000000"/>
          <w:highlight w:val="none"/>
          <w:lang w:eastAsia="zh-CN"/>
        </w:rPr>
      </w:r>
      <w:r/>
    </w:p>
    <w:p>
      <w:pPr>
        <w:pStyle w:val="869"/>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12.1 </w:t>
      </w:r>
      <w:r>
        <w:rPr>
          <w:rFonts w:hint="eastAsia" w:ascii="宋体" w:hAnsi="宋体"/>
          <w:b/>
          <w:bCs/>
          <w:color w:val="000000"/>
          <w:sz w:val="24"/>
          <w:szCs w:val="21"/>
          <w:highlight w:val="none"/>
        </w:rPr>
        <w:t xml:space="preserve">供应商</w:t>
      </w:r>
      <w:r>
        <w:rPr>
          <w:rFonts w:hint="eastAsia" w:ascii="宋体" w:hAnsi="宋体"/>
          <w:b/>
          <w:bCs/>
          <w:color w:val="000000"/>
          <w:sz w:val="24"/>
          <w:szCs w:val="21"/>
          <w:highlight w:val="none"/>
          <w:lang w:val="zh-CN"/>
        </w:rPr>
        <w:t xml:space="preserve">应按照</w:t>
      </w:r>
      <w:r>
        <w:rPr>
          <w:rFonts w:hint="eastAsia" w:ascii="宋体" w:hAnsi="宋体"/>
          <w:b/>
          <w:bCs/>
          <w:color w:val="000000"/>
          <w:sz w:val="24"/>
          <w:szCs w:val="21"/>
          <w:highlight w:val="none"/>
        </w:rPr>
        <w:t xml:space="preserve">磋商</w:t>
      </w:r>
      <w:r>
        <w:rPr>
          <w:rFonts w:hint="eastAsia" w:ascii="宋体" w:hAnsi="宋体"/>
          <w:b/>
          <w:bCs/>
          <w:color w:val="000000"/>
          <w:sz w:val="24"/>
          <w:szCs w:val="21"/>
          <w:highlight w:val="none"/>
          <w:lang w:val="zh-CN"/>
        </w:rPr>
        <w:t xml:space="preserve">文件规定完整、正确填报</w:t>
      </w:r>
      <w:r>
        <w:rPr>
          <w:rFonts w:hint="eastAsia" w:ascii="宋体" w:hAnsi="宋体"/>
          <w:b/>
          <w:bCs/>
          <w:color w:val="000000"/>
          <w:sz w:val="24"/>
          <w:szCs w:val="21"/>
          <w:highlight w:val="none"/>
        </w:rPr>
        <w:t xml:space="preserve">磋商响应</w:t>
      </w:r>
      <w:r>
        <w:rPr>
          <w:rFonts w:hint="eastAsia" w:ascii="宋体" w:hAnsi="宋体"/>
          <w:b/>
          <w:bCs/>
          <w:color w:val="000000"/>
          <w:sz w:val="24"/>
          <w:szCs w:val="21"/>
          <w:highlight w:val="none"/>
          <w:lang w:val="zh-CN"/>
        </w:rPr>
        <w:t xml:space="preserve">函和法定代表人授权委托书，否则作为无效</w:t>
      </w:r>
      <w:r>
        <w:rPr>
          <w:rFonts w:hint="eastAsia" w:ascii="宋体" w:hAnsi="宋体"/>
          <w:b/>
          <w:bCs/>
          <w:color w:val="000000"/>
          <w:sz w:val="24"/>
          <w:szCs w:val="21"/>
          <w:highlight w:val="none"/>
        </w:rPr>
        <w:t xml:space="preserve">响应</w:t>
      </w:r>
      <w:r>
        <w:rPr>
          <w:rFonts w:hint="eastAsia" w:ascii="宋体" w:hAnsi="宋体"/>
          <w:b/>
          <w:bCs/>
          <w:color w:val="000000"/>
          <w:sz w:val="24"/>
          <w:szCs w:val="21"/>
          <w:highlight w:val="none"/>
          <w:lang w:val="zh-CN"/>
        </w:rPr>
        <w:t xml:space="preserve">。</w:t>
      </w:r>
      <w:r>
        <w:rPr>
          <w:rFonts w:hint="eastAsia" w:ascii="宋体" w:hAnsi="宋体"/>
          <w:color w:val="000000"/>
          <w:sz w:val="24"/>
          <w:szCs w:val="21"/>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47" w:name="_Toc14577360"/>
      <w:r/>
      <w:bookmarkStart w:id="48" w:name="_Toc49090511"/>
      <w:r>
        <w:rPr>
          <w:rFonts w:hint="eastAsia" w:ascii="方正楷体_GBK" w:hAnsi="方正楷体_GBK" w:eastAsia="方正楷体_GBK" w:cs="方正楷体_GBK"/>
          <w:color w:val="000000"/>
          <w:highlight w:val="none"/>
        </w:rPr>
        <w:t xml:space="preserve">13.磋商有效期</w:t>
      </w:r>
      <w:bookmarkEnd w:id="47"/>
      <w:r/>
      <w:bookmarkEnd w:id="48"/>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13.1 磋商有效期为采购公告规定的提交响应文件截止之日起</w:t>
      </w:r>
      <w:r>
        <w:rPr>
          <w:rFonts w:hint="eastAsia" w:ascii="宋体" w:hAnsi="宋体"/>
          <w:color w:val="000000"/>
          <w:sz w:val="24"/>
          <w:szCs w:val="21"/>
          <w:highlight w:val="none"/>
          <w:lang w:val="zh-CN"/>
        </w:rPr>
        <w:t xml:space="preserve">六十天</w:t>
      </w:r>
      <w:r>
        <w:rPr>
          <w:rFonts w:hint="eastAsia" w:ascii="宋体" w:hAnsi="宋体"/>
          <w:color w:val="000000"/>
          <w:sz w:val="24"/>
          <w:szCs w:val="21"/>
          <w:highlight w:val="none"/>
        </w:rPr>
        <w:t xml:space="preserve">。磋商有效期比规定短的将被视为非实质性响应磋商文件，其磋商响应将被拒绝。</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14.磋商有效期的延长</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highlight w:val="none"/>
        </w:rPr>
      </w:r>
      <w:r/>
    </w:p>
    <w:p>
      <w:pPr>
        <w:pStyle w:val="872"/>
        <w:ind w:firstLine="465"/>
        <w:spacing w:before="145" w:after="145" w:line="240" w:lineRule="auto"/>
        <w:rPr>
          <w:rFonts w:ascii="方正黑体_GBK" w:hAnsi="方正黑体_GBK" w:eastAsia="方正黑体_GBK" w:cs="方正黑体_GBK"/>
          <w:b w:val="0"/>
          <w:bCs w:val="0"/>
          <w:color w:val="000000"/>
          <w:sz w:val="30"/>
          <w:szCs w:val="30"/>
          <w:highlight w:val="none"/>
        </w:rPr>
      </w:pPr>
      <w:r/>
      <w:bookmarkStart w:id="49" w:name="_Hlt26954852"/>
      <w:r/>
      <w:bookmarkEnd w:id="49"/>
      <w:r/>
      <w:bookmarkStart w:id="50" w:name="_Toc513029224"/>
      <w:r/>
      <w:bookmarkStart w:id="51" w:name="_Toc20823296"/>
      <w:r/>
      <w:bookmarkStart w:id="52" w:name="_Toc16938540"/>
      <w:r/>
      <w:bookmarkStart w:id="53" w:name="_Toc120614217"/>
      <w:r/>
      <w:bookmarkStart w:id="54" w:name="_Hlt26954739"/>
      <w:r/>
      <w:bookmarkEnd w:id="54"/>
      <w:r>
        <w:rPr>
          <w:rFonts w:hint="eastAsia" w:ascii="方正黑体_GBK" w:hAnsi="方正黑体_GBK" w:eastAsia="方正黑体_GBK" w:cs="方正黑体_GBK"/>
          <w:b w:val="0"/>
          <w:bCs w:val="0"/>
          <w:color w:val="000000"/>
          <w:sz w:val="30"/>
          <w:szCs w:val="30"/>
          <w:highlight w:val="none"/>
        </w:rPr>
        <w:t xml:space="preserve">四、响应文件的递交</w:t>
      </w:r>
      <w:bookmarkEnd w:id="50"/>
      <w:r/>
      <w:bookmarkEnd w:id="51"/>
      <w:r/>
      <w:bookmarkEnd w:id="52"/>
      <w:r/>
      <w:bookmarkEnd w:id="53"/>
      <w:r>
        <w:rPr>
          <w:rFonts w:hint="eastAsia" w:ascii="方正黑体_GBK" w:hAnsi="方正黑体_GBK" w:eastAsia="方正黑体_GBK" w:cs="方正黑体_GBK"/>
          <w:b w:val="0"/>
          <w:bCs w:val="0"/>
          <w:color w:val="000000"/>
          <w:sz w:val="30"/>
          <w:szCs w:val="30"/>
          <w:highlight w:val="none"/>
        </w:rPr>
        <w:t xml:space="preserve">、撤回和修改</w:t>
      </w:r>
      <w:r>
        <w:rPr>
          <w:rFonts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55" w:name="_Toc462564084"/>
      <w:r/>
      <w:bookmarkStart w:id="56" w:name="_Toc20823297"/>
      <w:r/>
      <w:bookmarkStart w:id="57" w:name="_Toc513029225"/>
      <w:r/>
      <w:bookmarkStart w:id="58" w:name="_Toc16938541"/>
      <w:r>
        <w:rPr>
          <w:rFonts w:hint="eastAsia" w:ascii="方正楷体_GBK" w:hAnsi="方正楷体_GBK" w:eastAsia="方正楷体_GBK" w:cs="方正楷体_GBK"/>
          <w:color w:val="000000"/>
          <w:highlight w:val="none"/>
        </w:rPr>
        <w:t xml:space="preserve">15.</w:t>
      </w:r>
      <w:bookmarkEnd w:id="55"/>
      <w:r/>
      <w:bookmarkEnd w:id="56"/>
      <w:r/>
      <w:bookmarkEnd w:id="57"/>
      <w:r/>
      <w:bookmarkEnd w:id="58"/>
      <w:r>
        <w:rPr>
          <w:rFonts w:hint="eastAsia" w:ascii="方正楷体_GBK" w:hAnsi="方正楷体_GBK" w:eastAsia="方正楷体_GBK" w:cs="方正楷体_GBK"/>
          <w:color w:val="000000"/>
          <w:highlight w:val="none"/>
        </w:rPr>
        <w:t xml:space="preserve">响应文件的递交</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15.1 供应商应在采购公告规定的提交响应文件截止时间前制作并上传电子响应文件。</w:t>
      </w:r>
      <w:bookmarkStart w:id="59" w:name="_Toc16938542"/>
      <w:r/>
      <w:bookmarkStart w:id="60" w:name="_Toc513029226"/>
      <w:r/>
      <w:bookmarkStart w:id="61" w:name="_Toc20823298"/>
      <w:r>
        <w:rPr>
          <w:rFonts w:hint="eastAsia" w:ascii="宋体" w:hAnsi="宋体"/>
          <w:color w:val="000000"/>
          <w:sz w:val="24"/>
          <w:szCs w:val="21"/>
          <w:highlight w:val="none"/>
        </w:rPr>
        <w:t xml:space="preserve">提交响应文件截止时间后上传的响应文件将被拒绝。</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bookmarkEnd w:id="59"/>
      <w:r/>
      <w:bookmarkEnd w:id="60"/>
      <w:r/>
      <w:bookmarkEnd w:id="61"/>
      <w:r>
        <w:rPr>
          <w:rFonts w:hint="eastAsia" w:ascii="宋体" w:hAnsi="宋体"/>
          <w:color w:val="000000"/>
          <w:sz w:val="24"/>
          <w:szCs w:val="21"/>
          <w:highlight w:val="none"/>
        </w:rPr>
        <w:t xml:space="preserve">15.2 供应商应充分考虑网络环境、网络带宽等因素</w:t>
      </w:r>
      <w:r>
        <w:rPr>
          <w:rFonts w:hint="eastAsia" w:ascii="宋体" w:hAnsi="宋体"/>
          <w:color w:val="000000"/>
          <w:sz w:val="24"/>
          <w:highlight w:val="none"/>
        </w:rPr>
        <w:t xml:space="preserve">可能产生的影响</w:t>
      </w:r>
      <w:r>
        <w:rPr>
          <w:rFonts w:hint="eastAsia" w:ascii="宋体" w:hAnsi="宋体"/>
          <w:color w:val="000000"/>
          <w:sz w:val="24"/>
          <w:szCs w:val="21"/>
          <w:highlight w:val="none"/>
        </w:rPr>
        <w:t xml:space="preserve">，如因供应商自身原因造成的电子响应文件上传不成功的，按照本磋商文件第二章第22.1条规定做无效响应处理。</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15.3 交易中心可以按照规定，通过修改磋商文件酌情延长提交响应文件截止日期，在此情况下，供应商的所有权利和义务均以延长后新的截止日期为准。</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62" w:name="_Toc16938544"/>
      <w:r/>
      <w:bookmarkStart w:id="63" w:name="_Toc20823300"/>
      <w:r/>
      <w:bookmarkStart w:id="64" w:name="_Toc513029228"/>
      <w:r>
        <w:rPr>
          <w:rFonts w:hint="eastAsia" w:ascii="方正楷体_GBK" w:hAnsi="方正楷体_GBK" w:eastAsia="方正楷体_GBK" w:cs="方正楷体_GBK"/>
          <w:color w:val="000000"/>
          <w:highlight w:val="none"/>
        </w:rPr>
        <w:t xml:space="preserve">16.响应文件的撤回和修改</w:t>
      </w:r>
      <w:bookmarkEnd w:id="62"/>
      <w:r/>
      <w:bookmarkEnd w:id="63"/>
      <w:r/>
      <w:bookmarkEnd w:id="64"/>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 响应文件的撤回</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16.1.1 供应商可在提交响应文件截止时间前，撤回其电子响应文件。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16.1.2 供应商撤回电子响应文件，则认为其不再参与本项目磋商活动。</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16.1.3 在提交响应文件截止时间至磋商文件中规定的磋商有效期满之间的这段时间内，供应商不得撤回其响应文件。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16.2 响应文件的修改</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16.2.1 供应商可在提交响应文件截止时间前，对其电子响应文件进行修改。</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16.2.2 提交响应文件截止时间之后，供应商不得对其电子响应文件作任何修改。</w:t>
      </w:r>
      <w:r>
        <w:rPr>
          <w:rFonts w:hint="eastAsia" w:ascii="宋体" w:hAnsi="宋体"/>
          <w:color w:val="000000"/>
          <w:sz w:val="24"/>
          <w:szCs w:val="21"/>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65" w:name="_Toc20823301"/>
      <w:r/>
      <w:bookmarkStart w:id="66" w:name="_Toc16938545"/>
      <w:r/>
      <w:bookmarkStart w:id="67" w:name="_Toc513029229"/>
      <w:r/>
      <w:bookmarkStart w:id="68" w:name="_Toc120614218"/>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5"/>
      <w:r/>
      <w:bookmarkEnd w:id="66"/>
      <w:r/>
      <w:bookmarkEnd w:id="67"/>
      <w:r/>
      <w:bookmarkEnd w:id="68"/>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17.响应文件解密</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17.1 供应商应当在苏采云系统规定的时间内对响应文件进行解密。</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18.评审</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18.1 依法组建的磋商小组对响应文件进行评审。</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18.2 磋商小组由采购人代表和有关方面的专家组成，人员构成符合政府采购有关规定。</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18.3 磋商小组独立工作，负责评审所有响应文件并推荐成交候选人，或根据采购人授权直接确定成交供应商。</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19.评审过程的保密与公正</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19.2 供应商不得以任何方式影响评审过程。</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19.3 交易中心和磋商小组不向未成交的供应商解释未成交原因，也不公布评审过程中的相关细节。</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69" w:name="_Toc16938548"/>
      <w:r/>
      <w:bookmarkStart w:id="70" w:name="_Toc513029232"/>
      <w:r/>
      <w:bookmarkStart w:id="71" w:name="_Toc20823304"/>
      <w:r>
        <w:rPr>
          <w:rFonts w:hint="eastAsia" w:ascii="方正楷体_GBK" w:hAnsi="方正楷体_GBK" w:eastAsia="方正楷体_GBK" w:cs="方正楷体_GBK"/>
          <w:color w:val="000000"/>
          <w:highlight w:val="none"/>
        </w:rPr>
        <w:t xml:space="preserve">20.评审过程中的澄清</w:t>
      </w:r>
      <w:bookmarkEnd w:id="69"/>
      <w:r/>
      <w:bookmarkEnd w:id="70"/>
      <w:r/>
      <w:bookmarkEnd w:id="71"/>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供应商的澄清、说明或者补正不得超出响应文件的范围或者改变响应文件的实质性内容。</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磋商小组并非对每个供应商都做澄清要求。</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20.2 需要供应商进行澄清、说明和补正的，磋商小组将通过苏采云系统向供应商发出</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，接到</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的供应商应当按照要求在苏采云系统中提交</w:t>
      </w:r>
      <w:r>
        <w:rPr>
          <w:rFonts w:hint="eastAsia" w:ascii="宋体" w:hAnsi="宋体"/>
          <w:color w:val="000000"/>
          <w:sz w:val="24"/>
          <w:highlight w:val="none"/>
          <w:lang w:val="zh-CN"/>
        </w:rPr>
        <w:t xml:space="preserve">《澄清响应函》</w:t>
      </w:r>
      <w:r>
        <w:rPr>
          <w:rFonts w:hint="eastAsia" w:ascii="宋体" w:hAnsi="宋体"/>
          <w:color w:val="000000"/>
          <w:sz w:val="24"/>
          <w:szCs w:val="21"/>
          <w:highlight w:val="none"/>
        </w:rPr>
        <w:t xml:space="preserve">并加盖电子公章。澄清、说明和补正的内容作为响应文件的补充部分。</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20.3 接到磋商小组澄清、说明和补正要求的供应商如未按规定做出澄清、说明和补正，其风险由供应商自行承担。</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72" w:name="_Toc16938549"/>
      <w:r/>
      <w:bookmarkStart w:id="73" w:name="_Toc20823305"/>
      <w:r/>
      <w:bookmarkStart w:id="74" w:name="_Toc513029233"/>
      <w:r>
        <w:rPr>
          <w:rFonts w:hint="eastAsia" w:ascii="方正楷体_GBK" w:hAnsi="方正楷体_GBK" w:eastAsia="方正楷体_GBK" w:cs="方正楷体_GBK"/>
          <w:color w:val="000000"/>
          <w:highlight w:val="none"/>
        </w:rPr>
        <w:t xml:space="preserve">21.响应文件的审</w:t>
      </w:r>
      <w:bookmarkEnd w:id="72"/>
      <w:r/>
      <w:bookmarkEnd w:id="73"/>
      <w:r/>
      <w:bookmarkEnd w:id="74"/>
      <w:r>
        <w:rPr>
          <w:rFonts w:hint="eastAsia" w:ascii="方正楷体_GBK" w:hAnsi="方正楷体_GBK" w:eastAsia="方正楷体_GBK" w:cs="方正楷体_GBK"/>
          <w:color w:val="000000"/>
          <w:highlight w:val="none"/>
        </w:rPr>
        <w:t xml:space="preserve">查</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21.1 响应文件审查分为资格审查和符合性审查。</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21.1.1 资格审查。依据法律法规和磋商文件的规定，磋商小组对响应文件中的资格证明文件进行审查，以确定供应商是否具备参加磋商的资格。</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磋商小组进行资格审查时，将在“信用中国”网站查询供应商的信用记录，以确定供应商是否具备磋商资格</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查询结果留存并归档。</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21.1.2 符合性审查。磋商小组</w:t>
      </w:r>
      <w:r>
        <w:rPr>
          <w:rFonts w:hint="eastAsia" w:ascii="宋体" w:hAnsi="宋体"/>
          <w:color w:val="000000"/>
          <w:sz w:val="24"/>
          <w:szCs w:val="21"/>
          <w:highlight w:val="none"/>
          <w:lang w:val="zh-CN"/>
        </w:rPr>
        <w:t xml:space="preserve">对</w:t>
      </w:r>
      <w:r>
        <w:rPr>
          <w:rFonts w:hint="eastAsia" w:ascii="宋体" w:hAnsi="宋体"/>
          <w:color w:val="000000"/>
          <w:sz w:val="24"/>
          <w:szCs w:val="21"/>
          <w:highlight w:val="none"/>
        </w:rPr>
        <w:t xml:space="preserve">通过</w:t>
      </w:r>
      <w:r>
        <w:rPr>
          <w:rFonts w:hint="eastAsia" w:ascii="宋体" w:hAnsi="宋体"/>
          <w:color w:val="000000"/>
          <w:sz w:val="24"/>
          <w:szCs w:val="21"/>
          <w:highlight w:val="none"/>
          <w:lang w:val="zh-CN"/>
        </w:rPr>
        <w:t xml:space="preserve">资格</w:t>
      </w:r>
      <w:r>
        <w:rPr>
          <w:rFonts w:hint="eastAsia" w:ascii="宋体" w:hAnsi="宋体"/>
          <w:color w:val="000000"/>
          <w:sz w:val="24"/>
          <w:szCs w:val="21"/>
          <w:highlight w:val="none"/>
        </w:rPr>
        <w:t xml:space="preserve">审查</w:t>
      </w:r>
      <w:r>
        <w:rPr>
          <w:rFonts w:hint="eastAsia" w:ascii="宋体" w:hAnsi="宋体"/>
          <w:color w:val="000000"/>
          <w:sz w:val="24"/>
          <w:szCs w:val="21"/>
          <w:highlight w:val="none"/>
          <w:lang w:val="zh-CN"/>
        </w:rPr>
        <w:t xml:space="preserve">的</w:t>
      </w:r>
      <w:r>
        <w:rPr>
          <w:rFonts w:hint="eastAsia" w:ascii="宋体" w:hAnsi="宋体"/>
          <w:color w:val="000000"/>
          <w:sz w:val="24"/>
          <w:szCs w:val="21"/>
          <w:highlight w:val="none"/>
        </w:rPr>
        <w:t xml:space="preserve">供应商</w:t>
      </w:r>
      <w:r>
        <w:rPr>
          <w:rFonts w:hint="eastAsia" w:ascii="宋体" w:hAnsi="宋体"/>
          <w:color w:val="000000"/>
          <w:sz w:val="24"/>
          <w:szCs w:val="21"/>
          <w:highlight w:val="none"/>
          <w:lang w:val="zh-CN"/>
        </w:rPr>
        <w:t xml:space="preserve">的</w:t>
      </w:r>
      <w:r>
        <w:rPr>
          <w:rFonts w:hint="eastAsia" w:ascii="宋体" w:hAnsi="宋体"/>
          <w:color w:val="000000"/>
          <w:sz w:val="24"/>
          <w:szCs w:val="21"/>
          <w:highlight w:val="none"/>
        </w:rPr>
        <w:t xml:space="preserve">响应文件进行符合性审查，以确定其是否满足磋商文件的实质性要求。</w:t>
      </w:r>
      <w:r>
        <w:rPr>
          <w:rFonts w:hint="eastAsia" w:ascii="宋体" w:hAnsi="宋体"/>
          <w:b/>
          <w:bCs/>
          <w:iCs/>
          <w:color w:val="000000"/>
          <w:sz w:val="24"/>
          <w:highlight w:val="none"/>
          <w:lang w:val="zh-CN"/>
        </w:rPr>
        <w:t xml:space="preserve">本文件中打“</w:t>
      </w:r>
      <w:r>
        <w:rPr>
          <w:rFonts w:hint="eastAsia" w:ascii="宋体" w:hAnsi="宋体"/>
          <w:b/>
          <w:bCs/>
          <w:iCs/>
          <w:color w:val="000000"/>
          <w:sz w:val="24"/>
          <w:highlight w:val="none"/>
        </w:rPr>
        <w:t xml:space="preserve">★</w:t>
      </w:r>
      <w:r>
        <w:rPr>
          <w:rFonts w:hint="eastAsia" w:ascii="宋体" w:hAnsi="宋体"/>
          <w:b/>
          <w:bCs/>
          <w:iCs/>
          <w:color w:val="000000"/>
          <w:sz w:val="24"/>
          <w:highlight w:val="none"/>
          <w:lang w:val="zh-CN"/>
        </w:rPr>
        <w:t xml:space="preserve">”内容为实质性要求。</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21.1.3 未通过资格审查或符合性审查的供应商，磋商小组将通过苏采云系统告知具体原因，评审结束后将不再接受有关询问。</w:t>
      </w:r>
      <w:r>
        <w:rPr>
          <w:rFonts w:hint="eastAsia" w:ascii="宋体" w:hAnsi="宋体"/>
          <w:color w:val="000000"/>
          <w:sz w:val="24"/>
          <w:szCs w:val="21"/>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磋商小组</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w:t>
      </w:r>
      <w:r>
        <w:rPr>
          <w:rFonts w:hint="eastAsia" w:ascii="宋体" w:hAnsi="宋体"/>
          <w:color w:val="000000"/>
          <w:sz w:val="24"/>
          <w:szCs w:val="21"/>
          <w:highlight w:val="none"/>
        </w:rPr>
        <w:t xml:space="preserve">磋商小组</w:t>
      </w:r>
      <w:r>
        <w:rPr>
          <w:rFonts w:hint="eastAsia" w:ascii="宋体" w:hAnsi="宋体"/>
          <w:color w:val="000000"/>
          <w:sz w:val="24"/>
          <w:highlight w:val="none"/>
        </w:rPr>
        <w:t xml:space="preserve">认</w:t>
      </w:r>
      <w:r>
        <w:rPr>
          <w:rFonts w:hint="eastAsia" w:ascii="宋体" w:hAnsi="宋体"/>
          <w:color w:val="000000"/>
          <w:sz w:val="24"/>
          <w:highlight w:val="none"/>
          <w:lang w:val="zh-CN"/>
        </w:rPr>
        <w:t xml:space="preserve">定响应文件的响应性只根据响应文件本身的内容，而不寻求外部的证据。</w:t>
      </w:r>
      <w:r>
        <w:rPr>
          <w:rFonts w:hint="eastAsia" w:ascii="宋体" w:hAnsi="宋体"/>
          <w:color w:val="000000"/>
          <w:sz w:val="24"/>
          <w:highlight w:val="none"/>
          <w:lang w:val="zh-CN"/>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21.4 供应商在项目评审全过程中应保持通讯畅通，</w:t>
      </w:r>
      <w:r>
        <w:rPr>
          <w:rFonts w:hint="eastAsia" w:ascii="宋体" w:hAnsi="宋体"/>
          <w:color w:val="000000"/>
          <w:sz w:val="24"/>
          <w:highlight w:val="none"/>
          <w:lang w:val="zh-CN"/>
        </w:rPr>
        <w:t xml:space="preserve">及时登录苏采云系统查阅、答复相关信息。</w:t>
      </w:r>
      <w:r>
        <w:rPr>
          <w:rFonts w:hint="eastAsia" w:ascii="宋体" w:hAnsi="宋体"/>
          <w:color w:val="000000"/>
          <w:sz w:val="24"/>
          <w:szCs w:val="21"/>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 </w:t>
      </w:r>
      <w:r>
        <w:rPr>
          <w:rFonts w:hint="eastAsia" w:ascii="宋体" w:hAnsi="宋体"/>
          <w:color w:val="000000"/>
          <w:sz w:val="24"/>
          <w:highlight w:val="none"/>
          <w:lang w:val="zh-CN"/>
        </w:rPr>
        <w:t xml:space="preserve">异常低价审查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w:t>
      </w:r>
      <w:r>
        <w:rPr>
          <w:rFonts w:hint="eastAsia" w:ascii="宋体" w:hAnsi="宋体"/>
          <w:color w:val="000000"/>
          <w:sz w:val="24"/>
          <w:highlight w:val="none"/>
        </w:rPr>
        <w:t xml:space="preserve">审</w:t>
      </w:r>
      <w:r>
        <w:rPr>
          <w:rFonts w:hint="eastAsia" w:ascii="宋体" w:hAnsi="宋体"/>
          <w:color w:val="000000"/>
          <w:sz w:val="24"/>
          <w:highlight w:val="none"/>
          <w:lang w:val="zh-CN"/>
        </w:rPr>
        <w:t xml:space="preserve">过程中出现下列情形之一的，</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应当启动异常低价审查程序：</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低于全部通过符合性审查供应商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平均值</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&lt;全部通过符合性审查供应商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平均值×</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低于通过符合性审查的次低报价供应商</w:t>
      </w:r>
      <w:r>
        <w:rPr>
          <w:rFonts w:hint="eastAsia" w:ascii="宋体" w:hAnsi="宋体"/>
          <w:color w:val="000000"/>
          <w:sz w:val="24"/>
          <w:szCs w:val="21"/>
          <w:highlight w:val="none"/>
        </w:rPr>
        <w:t xml:space="preserve">报价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&lt;通过符合性审查的次低报价供应商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低于采购项目最高限价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&lt;采购项目最高限价×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基于专业判断，认为供应商</w:t>
      </w:r>
      <w:r>
        <w:rPr>
          <w:rFonts w:hint="eastAsia" w:ascii="宋体" w:hAnsi="宋体"/>
          <w:color w:val="000000"/>
          <w:sz w:val="24"/>
          <w:highlight w:val="none"/>
        </w:rPr>
        <w:t xml:space="preserve">报价</w:t>
      </w:r>
      <w:r>
        <w:rPr>
          <w:rFonts w:hint="eastAsia" w:ascii="宋体" w:hAnsi="宋体"/>
          <w:color w:val="000000"/>
          <w:sz w:val="24"/>
          <w:highlight w:val="none"/>
          <w:lang w:val="zh-CN"/>
        </w:rPr>
        <w:t xml:space="preserve">过低，有可能影响产品质量或者不能诚信履约的其他情形。</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启动异常低价审查后，属于前述第（1）项至第（4）项情形的，应当要求相关供应商在评审现场合理的时间内对</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文件一并提交相关书面说明及必要的证明材料的，在评</w:t>
      </w:r>
      <w:r>
        <w:rPr>
          <w:rFonts w:hint="eastAsia" w:ascii="宋体" w:hAnsi="宋体"/>
          <w:color w:val="000000"/>
          <w:sz w:val="24"/>
          <w:highlight w:val="none"/>
        </w:rPr>
        <w:t xml:space="preserve">审</w:t>
      </w:r>
      <w:r>
        <w:rPr>
          <w:rFonts w:hint="eastAsia" w:ascii="宋体" w:hAnsi="宋体"/>
          <w:color w:val="000000"/>
          <w:sz w:val="24"/>
          <w:highlight w:val="none"/>
          <w:lang w:val="zh-CN"/>
        </w:rPr>
        <w:t xml:space="preserve">现场可不再重复提交。</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依据专业经验，参考同类项目</w:t>
      </w:r>
      <w:r>
        <w:rPr>
          <w:rFonts w:hint="eastAsia" w:ascii="宋体" w:hAnsi="宋体"/>
          <w:color w:val="000000"/>
          <w:sz w:val="24"/>
          <w:highlight w:val="none"/>
        </w:rPr>
        <w:t xml:space="preserve">成交</w:t>
      </w:r>
      <w:r>
        <w:rPr>
          <w:rFonts w:hint="eastAsia" w:ascii="宋体" w:hAnsi="宋体"/>
          <w:color w:val="000000"/>
          <w:sz w:val="24"/>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highlight w:val="none"/>
        </w:rPr>
        <w:t xml:space="preserve">磋商小组</w:t>
      </w:r>
      <w:r>
        <w:rPr>
          <w:rFonts w:hint="eastAsia" w:ascii="宋体" w:hAnsi="宋体"/>
          <w:color w:val="000000"/>
          <w:sz w:val="24"/>
          <w:highlight w:val="none"/>
          <w:lang w:val="zh-CN"/>
        </w:rPr>
        <w:t xml:space="preserve">应当将其作为</w:t>
      </w:r>
      <w:r>
        <w:rPr>
          <w:rFonts w:hint="eastAsia" w:ascii="宋体" w:hAnsi="宋体"/>
          <w:color w:val="000000"/>
          <w:sz w:val="24"/>
          <w:highlight w:val="none"/>
        </w:rPr>
        <w:t xml:space="preserve">未实质性响应磋商文件</w:t>
      </w:r>
      <w:r>
        <w:rPr>
          <w:rFonts w:hint="eastAsia" w:ascii="宋体" w:hAnsi="宋体"/>
          <w:color w:val="000000"/>
          <w:sz w:val="24"/>
          <w:highlight w:val="none"/>
          <w:lang w:val="zh-CN"/>
        </w:rPr>
        <w:t xml:space="preserve">处理。</w:t>
      </w:r>
      <w:r>
        <w:rPr>
          <w:rFonts w:hint="eastAsia" w:ascii="宋体" w:hAnsi="宋体"/>
          <w:color w:val="000000"/>
          <w:sz w:val="24"/>
          <w:highlight w:val="none"/>
          <w:lang w:val="zh-CN"/>
        </w:rPr>
      </w:r>
      <w:r/>
    </w:p>
    <w:p>
      <w:pPr>
        <w:pStyle w:val="869"/>
        <w:ind w:firstLine="455"/>
        <w:rPr>
          <w:rFonts w:hint="eastAsia" w:ascii="方正楷体_GBK" w:hAnsi="方正楷体_GBK" w:eastAsia="方正楷体_GBK" w:cs="方正楷体_GBK"/>
          <w:b/>
          <w:bCs/>
          <w:color w:val="000000"/>
          <w:sz w:val="26"/>
          <w:szCs w:val="26"/>
          <w:highlight w:val="none"/>
        </w:rPr>
      </w:pPr>
      <w:r>
        <w:rPr>
          <w:rFonts w:hint="eastAsia" w:ascii="方正楷体_GBK" w:hAnsi="方正楷体_GBK" w:eastAsia="方正楷体_GBK" w:cs="方正楷体_GBK"/>
          <w:b/>
          <w:bCs/>
          <w:color w:val="000000"/>
          <w:sz w:val="26"/>
          <w:szCs w:val="26"/>
          <w:highlight w:val="none"/>
        </w:rPr>
        <w:t xml:space="preserve">22.无效响应</w:t>
      </w:r>
      <w:r>
        <w:rPr>
          <w:rFonts w:hint="eastAsia" w:ascii="方正楷体_GBK" w:hAnsi="方正楷体_GBK" w:eastAsia="方正楷体_GBK" w:cs="方正楷体_GBK"/>
          <w:b/>
          <w:bCs/>
          <w:color w:val="000000"/>
          <w:sz w:val="26"/>
          <w:szCs w:val="26"/>
          <w:highlight w:val="none"/>
        </w:rPr>
      </w:r>
      <w:r/>
    </w:p>
    <w:p>
      <w:pPr>
        <w:pStyle w:val="869"/>
        <w:ind w:firstLine="422"/>
        <w:rPr>
          <w:rFonts w:hint="eastAsia" w:ascii="宋体" w:hAnsi="宋体"/>
          <w:color w:val="000000"/>
          <w:sz w:val="24"/>
          <w:szCs w:val="21"/>
          <w:highlight w:val="none"/>
        </w:rPr>
      </w:pPr>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2</w:t>
      </w:r>
      <w:r>
        <w:rPr>
          <w:rFonts w:hint="eastAsia" w:ascii="宋体" w:hAnsi="宋体"/>
          <w:b/>
          <w:bCs/>
          <w:color w:val="000000"/>
          <w:sz w:val="24"/>
          <w:highlight w:val="none"/>
          <w:lang w:val="zh-CN"/>
        </w:rPr>
        <w:t xml:space="preserve">.1</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无效</w:t>
      </w:r>
      <w:r>
        <w:rPr>
          <w:rFonts w:hint="eastAsia" w:ascii="宋体" w:hAnsi="宋体"/>
          <w:b/>
          <w:bCs/>
          <w:color w:val="000000"/>
          <w:sz w:val="24"/>
          <w:highlight w:val="none"/>
        </w:rPr>
        <w:t xml:space="preserve">响应</w:t>
      </w:r>
      <w:r>
        <w:rPr>
          <w:rFonts w:hint="eastAsia" w:ascii="宋体" w:hAnsi="宋体"/>
          <w:b/>
          <w:bCs/>
          <w:color w:val="000000"/>
          <w:sz w:val="24"/>
          <w:highlight w:val="none"/>
          <w:lang w:val="zh-CN"/>
        </w:rPr>
        <w:t xml:space="preserve">情形</w:t>
      </w:r>
      <w:r>
        <w:rPr>
          <w:rFonts w:hint="eastAsia" w:ascii="宋体" w:hAnsi="宋体"/>
          <w:color w:val="000000"/>
          <w:sz w:val="24"/>
          <w:szCs w:val="21"/>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22.1.1 未在</w:t>
      </w:r>
      <w:r>
        <w:rPr>
          <w:rFonts w:hint="eastAsia" w:ascii="宋体" w:hAnsi="宋体"/>
          <w:color w:val="000000"/>
          <w:sz w:val="24"/>
          <w:highlight w:val="none"/>
        </w:rPr>
        <w:t xml:space="preserve">磋商</w:t>
      </w:r>
      <w:r>
        <w:rPr>
          <w:rFonts w:hint="eastAsia" w:ascii="宋体" w:hAnsi="宋体"/>
          <w:color w:val="000000"/>
          <w:sz w:val="24"/>
          <w:highlight w:val="none"/>
          <w:lang w:val="zh-CN"/>
        </w:rPr>
        <w:t xml:space="preserve">文件</w:t>
      </w:r>
      <w:r>
        <w:rPr>
          <w:rFonts w:hint="eastAsia" w:ascii="宋体" w:hAnsi="宋体"/>
          <w:color w:val="000000"/>
          <w:sz w:val="24"/>
          <w:highlight w:val="none"/>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22.1.2 未在苏采云系统规定的时间内成功解密电子响应文件。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磋商文件另有约定的除外</w:t>
      </w:r>
      <w:r>
        <w:rPr>
          <w:rFonts w:hint="eastAsia" w:ascii="宋体" w:hAnsi="宋体"/>
          <w:color w:val="000000"/>
          <w:sz w:val="24"/>
          <w:highlight w:val="none"/>
          <w:lang w:val="zh-CN"/>
        </w:rPr>
        <w:t xml:space="preserve">）</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22.1.4 供应商不具备磋商文件中规定的资格要求。</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22.1.5 供应商的报价超过了采购预算或最高限价或单价上限。</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22.1.6 未通过符合性审查。</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22.1.7 响应文件含有采购人不能接受的附加条件。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22.1.8 磋商小组按照本磋商文件规定对供应商进行异常低价审查后，认为供应商不能证明其报价合理性的。</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22.1.9 响应文件未按照磋商文件要求加盖电子公章。</w:t>
      </w:r>
      <w:r>
        <w:rPr>
          <w:rFonts w:hint="eastAsia" w:ascii="宋体" w:hAnsi="宋体"/>
          <w:color w:val="000000"/>
          <w:sz w:val="24"/>
          <w:szCs w:val="21"/>
          <w:highlight w:val="none"/>
        </w:rPr>
      </w:r>
      <w:r/>
    </w:p>
    <w:p>
      <w:pPr>
        <w:pStyle w:val="869"/>
        <w:ind w:firstLine="420"/>
        <w:rPr>
          <w:rFonts w:ascii="宋体" w:hAnsi="宋体"/>
          <w:color w:val="000000"/>
          <w:sz w:val="24"/>
          <w:szCs w:val="21"/>
          <w:highlight w:val="none"/>
        </w:rPr>
      </w:pPr>
      <w:r>
        <w:rPr>
          <w:rFonts w:hint="eastAsia" w:ascii="宋体" w:hAnsi="宋体"/>
          <w:color w:val="000000"/>
          <w:sz w:val="24"/>
          <w:szCs w:val="21"/>
          <w:highlight w:val="none"/>
        </w:rPr>
        <w:t xml:space="preserve">22.1.10 供应商串通响应。</w:t>
      </w:r>
      <w:r>
        <w:rPr>
          <w:rFonts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22.1.11 法律法规及本磋商文件规定的其他无效响应的情形。</w:t>
      </w:r>
      <w:r>
        <w:rPr>
          <w:rFonts w:hint="eastAsia" w:ascii="宋体" w:hAnsi="宋体"/>
          <w:color w:val="000000"/>
          <w:sz w:val="24"/>
          <w:szCs w:val="21"/>
          <w:highlight w:val="none"/>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的</w:t>
      </w:r>
      <w:r>
        <w:rPr>
          <w:rFonts w:hint="eastAsia" w:ascii="宋体" w:hAnsi="宋体"/>
          <w:color w:val="000000"/>
          <w:sz w:val="24"/>
          <w:szCs w:val="21"/>
          <w:highlight w:val="none"/>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的</w:t>
      </w:r>
      <w:r>
        <w:rPr>
          <w:rFonts w:hint="eastAsia" w:ascii="宋体" w:hAnsi="宋体"/>
          <w:color w:val="000000"/>
          <w:sz w:val="24"/>
          <w:szCs w:val="21"/>
          <w:highlight w:val="none"/>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869"/>
        <w:ind w:firstLine="420"/>
        <w:rPr>
          <w:rFonts w:hint="eastAsia" w:ascii="宋体" w:hAnsi="宋体"/>
          <w:color w:val="000000"/>
          <w:sz w:val="24"/>
          <w:szCs w:val="21"/>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.5</w:t>
      </w:r>
      <w:r>
        <w:rPr>
          <w:rFonts w:hint="eastAsia" w:ascii="宋体" w:hAnsi="宋体"/>
          <w:color w:val="000000"/>
          <w:sz w:val="24"/>
          <w:szCs w:val="21"/>
          <w:highlight w:val="none"/>
          <w:lang w:val="zh-CN"/>
        </w:rPr>
        <w:t xml:space="preserve"> 不同</w:t>
      </w:r>
      <w:r>
        <w:rPr>
          <w:rFonts w:hint="eastAsia" w:ascii="宋体" w:hAnsi="宋体"/>
          <w:color w:val="000000"/>
          <w:sz w:val="24"/>
          <w:highlight w:val="none"/>
        </w:rPr>
        <w:t xml:space="preserve">供应商</w:t>
      </w:r>
      <w:r>
        <w:rPr>
          <w:rFonts w:hint="eastAsia" w:ascii="宋体" w:hAnsi="宋体"/>
          <w:color w:val="000000"/>
          <w:sz w:val="24"/>
          <w:szCs w:val="21"/>
          <w:highlight w:val="none"/>
          <w:lang w:val="zh-CN"/>
        </w:rPr>
        <w:t xml:space="preserve">的</w:t>
      </w:r>
      <w:r>
        <w:rPr>
          <w:rFonts w:hint="eastAsia" w:ascii="宋体" w:hAnsi="宋体"/>
          <w:color w:val="000000"/>
          <w:sz w:val="24"/>
          <w:szCs w:val="21"/>
          <w:highlight w:val="none"/>
        </w:rPr>
        <w:t xml:space="preserve">响应</w:t>
      </w:r>
      <w:r>
        <w:rPr>
          <w:rFonts w:hint="eastAsia" w:ascii="宋体" w:hAnsi="宋体"/>
          <w:color w:val="000000"/>
          <w:sz w:val="24"/>
          <w:szCs w:val="21"/>
          <w:highlight w:val="none"/>
          <w:lang w:val="zh-CN"/>
        </w:rPr>
        <w:t xml:space="preserve">文件相互混装。</w:t>
      </w:r>
      <w:r>
        <w:rPr>
          <w:rFonts w:hint="eastAsia" w:ascii="宋体" w:hAnsi="宋体"/>
          <w:color w:val="000000"/>
          <w:sz w:val="24"/>
          <w:szCs w:val="21"/>
          <w:highlight w:val="none"/>
          <w:lang w:val="zh-CN"/>
        </w:rPr>
      </w:r>
      <w:r/>
    </w:p>
    <w:p>
      <w:pPr>
        <w:pStyle w:val="869"/>
        <w:ind w:firstLine="420"/>
        <w:widowControl/>
        <w:rPr>
          <w:rFonts w:hint="eastAsia" w:ascii="宋体" w:hAnsi="宋体"/>
          <w:color w:val="000000"/>
          <w:sz w:val="24"/>
          <w:szCs w:val="21"/>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.6 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的MAC地址</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标书制作工具客户端标识码一致。</w:t>
      </w:r>
      <w:r>
        <w:rPr>
          <w:rFonts w:hint="eastAsia" w:ascii="宋体" w:hAnsi="宋体"/>
          <w:color w:val="000000"/>
          <w:sz w:val="24"/>
          <w:szCs w:val="21"/>
          <w:highlight w:val="none"/>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23.磋商程序及采购活动终止</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bookmarkStart w:id="75" w:name="_Toc120614219"/>
      <w:r/>
      <w:bookmarkStart w:id="76" w:name="_Toc513029235"/>
      <w:r/>
      <w:bookmarkStart w:id="77" w:name="_Toc16938551"/>
      <w:r/>
      <w:bookmarkStart w:id="78" w:name="_Toc20823307"/>
      <w:r>
        <w:rPr>
          <w:rFonts w:hint="eastAsia" w:ascii="宋体" w:hAnsi="宋体"/>
          <w:color w:val="000000"/>
          <w:sz w:val="24"/>
          <w:szCs w:val="21"/>
          <w:highlight w:val="none"/>
        </w:rPr>
        <w:t xml:space="preserve">23.1 磋商程序</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23.1.3 供应商未在磋商小组规定的时间内在苏采云系统中提交最后报价的视为放弃磋商，其响应文件按无效响应处理，最后报价格式表须加盖电子公章</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highlight w:val="none"/>
        </w:rPr>
      </w:r>
      <w:r/>
    </w:p>
    <w:p>
      <w:pPr>
        <w:pStyle w:val="869"/>
        <w:ind w:firstLine="422"/>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23.2 采购活动终止情形</w:t>
      </w:r>
      <w:r>
        <w:rPr>
          <w:rFonts w:hint="eastAsia" w:ascii="宋体" w:hAnsi="宋体"/>
          <w:b/>
          <w:bCs/>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23.2.1 因情况变化，不再符合竞争性磋商采购方式适用情形。</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23.2.2 出现影响采购公正的违法、违规行为。</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23.2.3 在苏采云系统规定时间内成功解密电子响应文件的供应商不足三家。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3</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2</w:t>
      </w:r>
      <w:r>
        <w:rPr>
          <w:rFonts w:hint="eastAsia" w:ascii="宋体" w:hAnsi="宋体"/>
          <w:color w:val="000000"/>
          <w:sz w:val="24"/>
          <w:szCs w:val="21"/>
          <w:highlight w:val="none"/>
          <w:lang w:val="zh-CN"/>
        </w:rPr>
        <w:t xml:space="preserve">.5</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法律法规规定的其他应当终止情形。</w:t>
      </w:r>
      <w:r>
        <w:rPr>
          <w:rFonts w:hint="eastAsia" w:ascii="宋体" w:hAnsi="宋体"/>
          <w:color w:val="000000"/>
          <w:sz w:val="24"/>
          <w:szCs w:val="21"/>
          <w:highlight w:val="none"/>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5"/>
      <w:r/>
      <w:bookmarkEnd w:id="76"/>
      <w:r/>
      <w:bookmarkEnd w:id="77"/>
      <w:r/>
      <w:bookmarkEnd w:id="78"/>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79" w:name="_Toc513029238"/>
      <w:r/>
      <w:bookmarkStart w:id="80" w:name="_Toc20823310"/>
      <w:r/>
      <w:bookmarkStart w:id="81" w:name="_Toc16938554"/>
      <w:r>
        <w:rPr>
          <w:rFonts w:hint="eastAsia" w:ascii="方正楷体_GBK" w:hAnsi="方正楷体_GBK" w:eastAsia="方正楷体_GBK" w:cs="方正楷体_GBK"/>
          <w:color w:val="000000"/>
          <w:highlight w:val="none"/>
        </w:rPr>
        <w:t xml:space="preserve">2</w:t>
      </w:r>
      <w:bookmarkEnd w:id="79"/>
      <w:r>
        <w:rPr>
          <w:rFonts w:hint="eastAsia" w:ascii="方正楷体_GBK" w:hAnsi="方正楷体_GBK" w:eastAsia="方正楷体_GBK" w:cs="方正楷体_GBK"/>
          <w:color w:val="000000"/>
          <w:highlight w:val="none"/>
        </w:rPr>
        <w:t xml:space="preserve">4.确定</w:t>
      </w:r>
      <w:bookmarkEnd w:id="80"/>
      <w:r/>
      <w:bookmarkEnd w:id="81"/>
      <w:r>
        <w:rPr>
          <w:rFonts w:hint="eastAsia" w:ascii="方正楷体_GBK" w:hAnsi="方正楷体_GBK" w:eastAsia="方正楷体_GBK" w:cs="方正楷体_GBK"/>
          <w:color w:val="000000"/>
          <w:highlight w:val="none"/>
        </w:rPr>
        <w:t xml:space="preserve">成交单位</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24.1 成交候选供应商的确定原则和数量见磋商文件第五章。</w:t>
      </w:r>
      <w:r>
        <w:rPr>
          <w:rFonts w:hint="eastAsia" w:ascii="宋体" w:hAnsi="宋体"/>
          <w:color w:val="000000"/>
          <w:sz w:val="24"/>
          <w:szCs w:val="21"/>
          <w:highlight w:val="none"/>
        </w:rPr>
      </w:r>
      <w:r/>
    </w:p>
    <w:p>
      <w:pPr>
        <w:pStyle w:val="869"/>
        <w:ind w:firstLine="420"/>
        <w:rPr>
          <w:rFonts w:ascii="宋体" w:hAnsi="宋体"/>
          <w:color w:val="000000"/>
          <w:sz w:val="24"/>
          <w:szCs w:val="24"/>
          <w:highlight w:val="none"/>
        </w:rPr>
      </w:pPr>
      <w:r>
        <w:rPr>
          <w:rFonts w:hint="eastAsia" w:ascii="宋体" w:hAnsi="宋体"/>
          <w:color w:val="000000"/>
          <w:sz w:val="24"/>
          <w:szCs w:val="21"/>
          <w:highlight w:val="none"/>
        </w:rPr>
        <w:t xml:space="preserve">24.2 </w:t>
      </w:r>
      <w:r>
        <w:rPr>
          <w:rFonts w:hint="eastAsia" w:ascii="宋体" w:hAnsi="宋体"/>
          <w:color w:val="000000"/>
          <w:sz w:val="24"/>
          <w:szCs w:val="21"/>
          <w:highlight w:val="none"/>
          <w:lang w:val="zh-CN"/>
        </w:rPr>
        <w:t xml:space="preserve">按以下第（</w:t>
      </w:r>
      <w:r>
        <w:rPr>
          <w:rFonts w:hint="eastAsia" w:ascii="宋体" w:hAnsi="宋体"/>
          <w:color w:val="000000"/>
          <w:sz w:val="24"/>
          <w:szCs w:val="21"/>
          <w:highlight w:val="none"/>
        </w:rPr>
        <w:t xml:space="preserve">2</w:t>
      </w:r>
      <w:r>
        <w:rPr>
          <w:rFonts w:hint="eastAsia" w:ascii="宋体" w:hAnsi="宋体"/>
          <w:color w:val="000000"/>
          <w:sz w:val="24"/>
          <w:szCs w:val="21"/>
          <w:highlight w:val="none"/>
          <w:lang w:val="zh-CN"/>
        </w:rPr>
        <w:t xml:space="preserve">）种方式确定</w:t>
      </w:r>
      <w:r>
        <w:rPr>
          <w:rFonts w:hint="eastAsia" w:ascii="宋体" w:hAnsi="宋体"/>
          <w:color w:val="000000"/>
          <w:sz w:val="24"/>
          <w:szCs w:val="21"/>
          <w:highlight w:val="none"/>
        </w:rPr>
        <w:t xml:space="preserve">成交供应商</w:t>
      </w:r>
      <w:r>
        <w:rPr>
          <w:rFonts w:ascii="宋体" w:hAnsi="宋体"/>
          <w:color w:val="000000"/>
          <w:sz w:val="24"/>
          <w:szCs w:val="24"/>
          <w:highlight w:val="none"/>
        </w:rPr>
      </w:r>
      <w:r/>
    </w:p>
    <w:p>
      <w:pPr>
        <w:pStyle w:val="869"/>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直接确定排名第一的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为</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869"/>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（2）采购人在</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869"/>
        <w:ind w:firstLine="420"/>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按第二种方式确定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24.3 交易中心将在“江苏政府采购网”发布成交结果公告，公告期限为1个工作日。</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 </w:t>
      </w:r>
      <w:r>
        <w:rPr>
          <w:rFonts w:hint="eastAsia" w:ascii="宋体" w:hAnsi="宋体"/>
          <w:b/>
          <w:bCs/>
          <w:color w:val="000000"/>
          <w:sz w:val="24"/>
          <w:szCs w:val="21"/>
          <w:highlight w:val="none"/>
        </w:rPr>
        <w:t xml:space="preserve">若有充分证据证明成交供应商有下列情况之一的，一经查实将被取消成交资格：</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24.4.1 提供虚假材料谋取成交。</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24.4.2 向评审专家、采购人或交易中心工作人员行贿或者提供其他不正当利益。</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24.4.3 与其他供应商、评审专家、采购人或交易中心工作人员恶意串通。</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24.4.4 不满足本磋商文件规定的实质性要求，但在评审过程中未被磋商小组发现。</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24.4.5 采取不正当手段诋毁、排挤其他供应商。</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bookmarkStart w:id="82" w:name="_Toc200451960"/>
      <w:r>
        <w:rPr>
          <w:rFonts w:hint="eastAsia" w:ascii="方正楷体_GBK" w:hAnsi="方正楷体_GBK" w:eastAsia="方正楷体_GBK" w:cs="方正楷体_GBK"/>
          <w:color w:val="000000"/>
          <w:highlight w:val="none"/>
        </w:rPr>
        <w:t xml:space="preserve">25.成交通知书</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 成交结果确定后，交易中心将向成交供应商发出《成交通知书》。成交供应商可在成交结果公告届满之日起三十日内，登录苏采云系统下载。    </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26.签订合同</w:t>
      </w:r>
      <w:r>
        <w:rPr>
          <w:rFonts w:hint="eastAsia" w:ascii="方正楷体_GBK" w:hAnsi="方正楷体_GBK" w:eastAsia="方正楷体_GBK" w:cs="方正楷体_GBK"/>
          <w:color w:val="000000"/>
          <w:highlight w:val="none"/>
        </w:rPr>
      </w:r>
      <w:r/>
    </w:p>
    <w:p>
      <w:pPr>
        <w:pStyle w:val="869"/>
        <w:ind w:firstLine="420"/>
        <w:rPr>
          <w:rFonts w:ascii="宋体" w:hAnsi="宋体"/>
          <w:color w:val="000000"/>
          <w:sz w:val="24"/>
          <w:highlight w:val="none"/>
        </w:rPr>
      </w:pPr>
      <w:r>
        <w:rPr>
          <w:rFonts w:hint="eastAsia" w:ascii="宋体" w:hAnsi="宋体"/>
          <w:color w:val="000000"/>
          <w:sz w:val="24"/>
          <w:szCs w:val="21"/>
          <w:highlight w:val="none"/>
        </w:rPr>
        <w:t xml:space="preserve">26.1 成交供应商应当在《成交通知书》发出之日起三十日内，按照磋商文件确定的事项与采购人签订政府采购合同。</w:t>
      </w:r>
      <w:r>
        <w:rPr>
          <w:rFonts w:hint="eastAsia" w:ascii="宋体" w:hAnsi="宋体"/>
          <w:color w:val="000000"/>
          <w:sz w:val="24"/>
          <w:highlight w:val="none"/>
        </w:rPr>
        <w:t xml:space="preserve">采购人于合同签订后2个工作日内通过苏采云系统进行公示。</w:t>
      </w:r>
      <w:r>
        <w:rPr>
          <w:rFonts w:ascii="宋体" w:hAnsi="宋体"/>
          <w:color w:val="000000"/>
          <w:sz w:val="24"/>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26.2 磋商文件、成交供应商的响应文件及磋商过程中有关澄清、承诺文件均作为合同附件。</w:t>
      </w:r>
      <w:r>
        <w:rPr>
          <w:rFonts w:hint="eastAsia" w:ascii="宋体" w:hAnsi="宋体"/>
          <w:color w:val="000000"/>
          <w:sz w:val="24"/>
          <w:szCs w:val="21"/>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26.3 </w:t>
      </w:r>
      <w:r>
        <w:rPr>
          <w:rFonts w:hint="eastAsia" w:ascii="宋体" w:hAnsi="宋体"/>
          <w:color w:val="000000"/>
          <w:sz w:val="24"/>
          <w:highlight w:val="none"/>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color w:val="000000"/>
          <w:sz w:val="24"/>
          <w:szCs w:val="21"/>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26.4成交供应商不得将合同标的进行转包，否则采购人有权取消其成交资格或终止合同。转包造成采购人损失的，成交供应商应承担相应赔偿责任。</w:t>
      </w:r>
      <w:r>
        <w:rPr>
          <w:rFonts w:hint="eastAsia" w:ascii="宋体" w:hAnsi="宋体"/>
          <w:color w:val="000000"/>
          <w:sz w:val="24"/>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26.5 成交供应商因自身原因拒绝与采购人签订合同的，</w:t>
      </w:r>
      <w:r>
        <w:rPr>
          <w:rFonts w:hint="eastAsia" w:ascii="宋体" w:hAnsi="宋体"/>
          <w:color w:val="000000"/>
          <w:sz w:val="24"/>
          <w:highlight w:val="none"/>
          <w:lang w:val="zh-CN"/>
        </w:rPr>
        <w:t xml:space="preserve">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27.标的物的追加</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28.政府采购履约资金扶持政策</w:t>
      </w:r>
      <w:r>
        <w:rPr>
          <w:rFonts w:hint="eastAsia"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28.1 成交供应商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69"/>
        <w:ind w:firstLine="420"/>
        <w:rPr>
          <w:rFonts w:hint="eastAsia"/>
          <w:color w:val="000000"/>
          <w:highlight w:val="none"/>
          <w:lang w:val="zh-CN"/>
        </w:rPr>
      </w:pPr>
      <w:r>
        <w:rPr>
          <w:rFonts w:hint="eastAsia" w:ascii="宋体" w:hAnsi="宋体"/>
          <w:color w:val="000000"/>
          <w:sz w:val="24"/>
          <w:highlight w:val="none"/>
        </w:rPr>
        <w:t xml:space="preserve">28.2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150号），需要缴纳履约保证金的，成交供应商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69"/>
        <w:ind w:firstLine="420"/>
        <w:rPr>
          <w:rFonts w:hint="eastAsia" w:ascii="宋体" w:hAnsi="宋体"/>
          <w:color w:val="000000"/>
          <w:sz w:val="24"/>
          <w:highlight w:val="none"/>
          <w:lang w:val="zh-CN"/>
        </w:rPr>
      </w:pPr>
      <w:r/>
      <w:bookmarkEnd w:id="82"/>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.提出质疑的供应商应当是参与所质疑项目采购活动的供应商，潜在供应商依法获取其可质疑的磋商文件的，可以对磋商文件提出质疑。</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按照第32条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第33</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对磋商文件提出质疑的，为收到磋商文件之日或者磋商文件公告期限届满之日。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对采购过程提出质疑的，为各采购程序环节结束之日。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对成交结果提出质疑的，为成交结果公告期限届满之日。</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采购人将只对供应商第一次质疑作出答复。</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69"/>
        <w:ind w:firstLine="420"/>
        <w:jc w:val="left"/>
        <w:rPr>
          <w:rFonts w:hint="eastAsia" w:ascii="宋体" w:hAnsi="宋体"/>
          <w:b/>
          <w:bCs/>
          <w:color w:val="000000"/>
          <w:sz w:val="24"/>
          <w:highlight w:val="none"/>
          <w:lang w:val="zh-CN"/>
        </w:rPr>
      </w:pPr>
      <w:r>
        <w:rPr>
          <w:rFonts w:hint="eastAsia" w:ascii="宋体" w:hAnsi="宋体"/>
          <w:color w:val="000000"/>
          <w:sz w:val="24"/>
          <w:highlight w:val="none"/>
        </w:rPr>
        <w:t xml:space="preserve">33.</w:t>
      </w:r>
      <w:r>
        <w:rPr>
          <w:rFonts w:hint="eastAsia" w:ascii="宋体" w:hAnsi="宋体"/>
          <w:b/>
          <w:bCs/>
          <w:color w:val="000000"/>
          <w:sz w:val="24"/>
          <w:highlight w:val="none"/>
        </w:rPr>
        <w:t xml:space="preserve">供应商根据质疑事项向相应的质疑答复主体提出质疑，具体详见磋商文件第一章。由采购人负责答复的质疑，采购人将《质疑函》《质疑答复函》抄送交易中心。</w:t>
      </w:r>
      <w:r>
        <w:rPr>
          <w:rFonts w:hint="eastAsia" w:ascii="宋体" w:hAnsi="宋体"/>
          <w:b/>
          <w:bCs/>
          <w:color w:val="000000"/>
          <w:sz w:val="24"/>
          <w:highlight w:val="none"/>
          <w:lang w:val="zh-CN"/>
        </w:rPr>
      </w:r>
      <w:r/>
    </w:p>
    <w:p>
      <w:pPr>
        <w:pStyle w:val="869"/>
        <w:ind w:firstLine="422"/>
        <w:rPr>
          <w:rFonts w:hint="eastAsia" w:ascii="宋体" w:hAnsi="宋体"/>
          <w:b/>
          <w:bCs/>
          <w:color w:val="000000"/>
          <w:sz w:val="24"/>
          <w:highlight w:val="none"/>
        </w:rPr>
      </w:pPr>
      <w:r>
        <w:rPr>
          <w:rFonts w:hint="eastAsia" w:ascii="宋体" w:hAnsi="宋体"/>
          <w:b/>
          <w:bCs/>
          <w:color w:val="000000"/>
          <w:sz w:val="24"/>
          <w:szCs w:val="21"/>
          <w:highlight w:val="none"/>
        </w:rPr>
        <w:t xml:space="preserve">供应商对采购人、交易中心的质疑答复不满意，或者采购人、交易中心未在规定时间内作出质疑答复的，可以在答复期满后15个工作日内向</w:t>
      </w:r>
      <w:r>
        <w:rPr>
          <w:rFonts w:hint="eastAsia" w:ascii="宋体" w:hAnsi="宋体"/>
          <w:b/>
          <w:bCs/>
          <w:color w:val="000000"/>
          <w:sz w:val="24"/>
          <w:szCs w:val="21"/>
          <w:highlight w:val="none"/>
          <w:lang w:val="en-US" w:eastAsia="zh-CN"/>
        </w:rPr>
        <w:t xml:space="preserve">南京市</w:t>
      </w:r>
      <w:r>
        <w:rPr>
          <w:rFonts w:hint="eastAsia" w:ascii="宋体" w:hAnsi="宋体"/>
          <w:b/>
          <w:bCs/>
          <w:color w:val="000000"/>
          <w:sz w:val="24"/>
          <w:szCs w:val="21"/>
          <w:highlight w:val="none"/>
          <w:lang w:val="en-US" w:eastAsia="zh-CN"/>
        </w:rPr>
        <w:t xml:space="preserve">栖霞区</w:t>
      </w:r>
      <w:r>
        <w:rPr>
          <w:rFonts w:hint="eastAsia" w:ascii="宋体" w:hAnsi="宋体"/>
          <w:b/>
          <w:bCs/>
          <w:color w:val="000000"/>
          <w:sz w:val="24"/>
          <w:szCs w:val="21"/>
          <w:highlight w:val="none"/>
        </w:rPr>
        <w:t xml:space="preserve">财政局提起投诉。</w:t>
      </w:r>
      <w:r>
        <w:rPr>
          <w:rFonts w:hint="eastAsia" w:ascii="宋体" w:hAnsi="宋体"/>
          <w:b/>
          <w:bCs/>
          <w:color w:val="000000"/>
          <w:sz w:val="24"/>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.1 超出政府采购法定期限的质疑；</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.2 </w:t>
      </w:r>
      <w:r>
        <w:rPr>
          <w:rFonts w:hint="eastAsia" w:ascii="宋体" w:hAnsi="宋体"/>
          <w:color w:val="000000"/>
          <w:sz w:val="24"/>
          <w:highlight w:val="none"/>
        </w:rPr>
        <w:t xml:space="preserve">属于第31条规定的对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35</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72"/>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73"/>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6</w:t>
      </w:r>
      <w:r>
        <w:rPr>
          <w:rFonts w:hint="eastAsia" w:ascii="方正楷体_GBK" w:hAnsi="方正楷体_GBK" w:eastAsia="方正楷体_GBK" w:cs="方正楷体_GBK"/>
          <w:color w:val="000000"/>
          <w:highlight w:val="none"/>
          <w:lang w:val="zh-CN"/>
        </w:rPr>
        <w:t xml:space="preserve">.促进中小企业发展</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36.1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highlight w:val="none"/>
        </w:rPr>
        <w:t xml:space="preserve">&lt;</w:t>
      </w:r>
      <w:r>
        <w:rPr>
          <w:rFonts w:hint="eastAsia" w:ascii="宋体" w:hAnsi="宋体"/>
          <w:color w:val="000000"/>
          <w:sz w:val="24"/>
          <w:highlight w:val="none"/>
          <w:lang w:val="zh-CN"/>
        </w:rPr>
        <w:t xml:space="preserve">统计上大中小微型企业划分办法（2017）</w:t>
      </w:r>
      <w:r>
        <w:rPr>
          <w:rFonts w:hint="eastAsia" w:ascii="宋体" w:hAnsi="宋体"/>
          <w:color w:val="000000"/>
          <w:sz w:val="24"/>
          <w:highlight w:val="none"/>
        </w:rPr>
        <w:t xml:space="preserve">&gt;</w:t>
      </w:r>
      <w:r>
        <w:rPr>
          <w:rFonts w:hint="eastAsia" w:ascii="宋体" w:hAnsi="宋体"/>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36.2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869"/>
        <w:ind w:firstLine="420"/>
        <w:rPr>
          <w:rFonts w:hint="eastAsia" w:ascii="宋体" w:hAnsi="宋体" w:cs="宋体"/>
          <w:b/>
          <w:bCs/>
          <w:color w:val="000000"/>
          <w:sz w:val="24"/>
          <w:szCs w:val="24"/>
          <w:highlight w:val="none"/>
        </w:rPr>
      </w:pPr>
      <w:r>
        <w:rPr>
          <w:rFonts w:hint="eastAsia" w:ascii="宋体" w:hAnsi="宋体"/>
          <w:color w:val="000000"/>
          <w:sz w:val="24"/>
          <w:highlight w:val="none"/>
        </w:rPr>
        <w:t xml:space="preserve">36.3 </w:t>
      </w:r>
      <w:r>
        <w:rPr>
          <w:rFonts w:hint="eastAsia" w:ascii="宋体" w:hAnsi="宋体" w:cs="宋体"/>
          <w:b/>
          <w:bCs/>
          <w:color w:val="000000"/>
          <w:sz w:val="24"/>
          <w:szCs w:val="24"/>
          <w:highlight w:val="none"/>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color w:val="000000"/>
          <w:sz w:val="24"/>
          <w:szCs w:val="24"/>
          <w:highlight w:val="none"/>
        </w:rPr>
      </w:r>
      <w:r/>
    </w:p>
    <w:p>
      <w:pPr>
        <w:pStyle w:val="869"/>
        <w:ind w:firstLine="420"/>
        <w:widowControl/>
        <w:rPr>
          <w:rFonts w:hint="eastAsia" w:ascii="宋体" w:hAnsi="宋体"/>
          <w:color w:val="000000"/>
          <w:sz w:val="24"/>
          <w:highlight w:val="none"/>
        </w:rPr>
      </w:pPr>
      <w:r>
        <w:rPr>
          <w:rFonts w:hint="eastAsia" w:ascii="宋体" w:hAnsi="宋体" w:cs="宋体"/>
          <w:color w:val="000000"/>
          <w:sz w:val="24"/>
          <w:szCs w:val="24"/>
          <w:highlight w:val="none"/>
        </w:rPr>
        <w:t xml:space="preserve">36.4 </w:t>
      </w:r>
      <w:r>
        <w:rPr>
          <w:rFonts w:hint="eastAsia" w:ascii="宋体" w:hAnsi="宋体"/>
          <w:b/>
          <w:bCs/>
          <w:color w:val="000000"/>
          <w:sz w:val="24"/>
          <w:highlight w:val="none"/>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color w:val="000000"/>
          <w:sz w:val="24"/>
          <w:highlight w:val="none"/>
          <w:lang w:val="zh-CN"/>
        </w:rPr>
        <w:t xml:space="preserve">。</w:t>
      </w:r>
      <w:r>
        <w:rPr>
          <w:rFonts w:hint="eastAsia" w:ascii="宋体" w:hAnsi="宋体"/>
          <w:color w:val="000000"/>
          <w:sz w:val="24"/>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36.5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监狱和戒毒企业（统称监狱企业）视同小型、微型企业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残疾人福利性单位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节能产品和环境标志产品</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37.2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37.3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38.1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文件执行。磋商文件对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38.2 采购产品中涉及数据中心相关设备、运维服务的，应按照《关于印发&lt;绿色数据中心政府采购需求标准（试行）&gt;的通知》（财办库〔2023〕7号）、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rPr>
        <w:t xml:space="preserve">39.1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3"/>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40.1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40.2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41.</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.2本国产品应当符合以下条件：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（1）在中国境内生产</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（3）特定产品的关键组件、关键工序符合相关要求</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41.4对本国产品的支持政策</w:t>
      </w:r>
      <w:r>
        <w:rPr>
          <w:rFonts w:ascii="宋体" w:hAnsi="宋体"/>
          <w:color w:val="000000"/>
          <w:sz w:val="24"/>
          <w:highlight w:val="none"/>
        </w:rPr>
      </w:r>
      <w:r/>
    </w:p>
    <w:p>
      <w:pPr>
        <w:pStyle w:val="86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41.5政策执行要求</w:t>
      </w:r>
      <w:r>
        <w:rPr>
          <w:rFonts w:ascii="宋体" w:hAnsi="宋体"/>
          <w:color w:val="000000"/>
          <w:sz w:val="24"/>
          <w:highlight w:val="none"/>
        </w:rPr>
      </w:r>
      <w:r/>
    </w:p>
    <w:p>
      <w:pPr>
        <w:pStyle w:val="86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6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b/>
          <w:bCs/>
          <w:color w:val="000000"/>
          <w:sz w:val="24"/>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highlight w:val="none"/>
          <w:lang w:val="zh-CN"/>
        </w:rPr>
      </w:r>
      <w:r/>
    </w:p>
    <w:p>
      <w:pPr>
        <w:pStyle w:val="873"/>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rPr>
        <w:t xml:space="preserve">2</w:t>
      </w:r>
      <w:r>
        <w:rPr>
          <w:rFonts w:hint="eastAsia" w:ascii="方正楷体_GBK" w:hAnsi="方正楷体_GBK" w:eastAsia="方正楷体_GBK" w:cs="方正楷体_GBK"/>
          <w:color w:val="000000"/>
          <w:highlight w:val="none"/>
          <w:lang w:val="zh-CN"/>
        </w:rPr>
        <w:t xml:space="preserve">.数据交易说明</w:t>
      </w:r>
      <w:r>
        <w:rPr>
          <w:rFonts w:hint="eastAsia" w:ascii="方正楷体_GBK" w:hAnsi="方正楷体_GBK" w:eastAsia="方正楷体_GBK" w:cs="方正楷体_GBK"/>
          <w:color w:val="000000"/>
          <w:highlight w:val="none"/>
          <w:lang w:val="zh-CN"/>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数据交易标的包括数据产品、数据服务、数据工具。</w:t>
      </w:r>
      <w:r>
        <w:rPr>
          <w:rFonts w:hint="eastAsia" w:ascii="宋体" w:hAnsi="宋体"/>
          <w:color w:val="000000"/>
          <w:sz w:val="24"/>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数据产品是指用于交易的数据和数据衍生产品，包括但不限于数据集、数据分析报告、数据可视化产品、数据指数、API 数据、加密数据等。</w:t>
      </w:r>
      <w:r>
        <w:rPr>
          <w:rFonts w:hint="eastAsia" w:ascii="宋体" w:hAnsi="宋体"/>
          <w:color w:val="000000"/>
          <w:sz w:val="24"/>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highlight w:val="none"/>
        </w:rPr>
      </w:r>
      <w:r/>
    </w:p>
    <w:p>
      <w:pPr>
        <w:pStyle w:val="881"/>
        <w:ind w:firstLine="480"/>
        <w:rPr>
          <w:rFonts w:hint="eastAsia"/>
          <w:color w:val="000000"/>
          <w:sz w:val="24"/>
          <w:highlight w:val="none"/>
          <w:lang w:val="zh-CN"/>
        </w:rPr>
      </w:pPr>
      <w:r>
        <w:rPr>
          <w:rFonts w:hint="eastAsia"/>
          <w:color w:val="000000"/>
          <w:sz w:val="24"/>
          <w:highlight w:val="none"/>
          <w:lang w:val="zh-CN"/>
        </w:rPr>
      </w:r>
      <w:r/>
    </w:p>
    <w:p>
      <w:pPr>
        <w:pStyle w:val="869"/>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881"/>
        <w:ind w:firstLine="480"/>
        <w:rPr>
          <w:rFonts w:hint="eastAsia"/>
          <w:color w:val="000000"/>
          <w:sz w:val="24"/>
          <w:highlight w:val="none"/>
          <w:lang w:val="zh-CN"/>
        </w:rPr>
      </w:pPr>
      <w:r>
        <w:rPr>
          <w:rFonts w:hint="eastAsia"/>
          <w:color w:val="000000"/>
          <w:sz w:val="24"/>
          <w:highlight w:val="none"/>
          <w:lang w:val="zh-CN"/>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869"/>
        <w:jc w:val="center"/>
        <w:spacing w:before="145" w:after="145"/>
        <w:rPr>
          <w:rFonts w:hint="eastAsia" w:ascii="宋体" w:hAnsi="宋体"/>
          <w:bCs/>
          <w:color w:val="000000"/>
          <w:sz w:val="24"/>
          <w:szCs w:val="21"/>
          <w:highlight w:val="none"/>
        </w:rPr>
      </w:pPr>
      <w:r>
        <w:rPr>
          <w:rFonts w:hint="eastAsia" w:ascii="宋体" w:hAnsi="宋体"/>
          <w:bCs/>
          <w:color w:val="000000"/>
          <w:sz w:val="24"/>
          <w:szCs w:val="21"/>
          <w:highlight w:val="none"/>
        </w:rPr>
        <w:t xml:space="preserve">以下为本项目的合同条款，合同双方不得对磋商、响应文件内容作实质性修改。</w:t>
      </w:r>
      <w:r>
        <w:rPr>
          <w:rFonts w:hint="eastAsia" w:ascii="宋体" w:hAnsi="宋体"/>
          <w:bCs/>
          <w:color w:val="000000"/>
          <w:sz w:val="24"/>
          <w:szCs w:val="21"/>
          <w:highlight w:val="none"/>
        </w:rPr>
      </w:r>
      <w:r/>
    </w:p>
    <w:p>
      <w:pPr>
        <w:pStyle w:val="949"/>
        <w:ind w:left="0"/>
        <w:rPr>
          <w:rFonts w:hint="eastAsia"/>
          <w:color w:val="000000"/>
          <w:highlight w:val="none"/>
        </w:rPr>
      </w:pPr>
      <w:r>
        <w:rPr>
          <w:rFonts w:hint="eastAsia"/>
          <w:color w:val="000000"/>
          <w:highlight w:val="none"/>
        </w:rPr>
      </w:r>
      <w:r/>
    </w:p>
    <w:p>
      <w:pPr>
        <w:pStyle w:val="869"/>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69"/>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6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69"/>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标的质量：按磋商文件及响应文件执行。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标的数量（规模）：按磋商文件及响应文件执行。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履行时间（期限）：按磋商文件及响应文件执行。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履行方式：按磋商文件及响应文件执行。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包装方式：按磋商文件及响应文件执行。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w:t>
      </w:r>
      <w:r>
        <w:rPr>
          <w:rFonts w:hint="eastAsia" w:ascii="宋体" w:hAnsi="宋体" w:cs="宋体"/>
          <w:color w:val="000000"/>
          <w:sz w:val="24"/>
          <w:szCs w:val="24"/>
          <w:highlight w:val="none"/>
        </w:rPr>
        <w:t xml:space="preserve">磋商</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响应</w:t>
      </w:r>
      <w:r>
        <w:rPr>
          <w:rFonts w:ascii="宋体" w:hAnsi="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11"/>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本合同金额为：人民币____________________元，（大写：_____________________）。</w:t>
      </w:r>
      <w:r>
        <w:rPr>
          <w:rFonts w:hAnsi="宋体"/>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乙方应按磋商文件规定的时间向甲方提供服务（包含与服务相关的货物）的有关技术资料。</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outlineLvl w:val="2"/>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69"/>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乙方不得将合同标的转包给他人履行，否则甲方有权终止合同。</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宋体" w:hAnsi="宋体" w:cs="Courier New"/>
          <w:color w:val="000000"/>
          <w:sz w:val="24"/>
          <w:szCs w:val="24"/>
          <w:highlight w:val="none"/>
        </w:rPr>
        <w:t xml:space="preserve">7.2 除磋商文件允许的分包情况外，乙方不得将合同标的分包给他人履行，否则甲方有权终止合同。</w:t>
      </w:r>
      <w:r>
        <w:rPr>
          <w:rFonts w:hint="eastAsia" w:ascii="方正黑体_GBK" w:hAnsi="方正黑体_GBK" w:eastAsia="方正黑体_GBK" w:cs="方正黑体_GBK"/>
          <w:bCs/>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11"/>
        <w:rPr>
          <w:rFonts w:hint="eastAsia" w:hAnsi="宋体"/>
          <w:color w:val="000000"/>
          <w:sz w:val="24"/>
          <w:szCs w:val="24"/>
          <w:highlight w:val="none"/>
        </w:rPr>
        <w:outlineLvl w:val="2"/>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合同签订且服务团队人员到位后，甲方支付合同总价款的30%作为预付款。</w:t>
      </w:r>
      <w:r>
        <w:rPr>
          <w:rFonts w:hint="eastAsia" w:ascii="宋体" w:hAnsi="宋体" w:cs="Courier New"/>
          <w:color w:val="000000"/>
          <w:sz w:val="24"/>
          <w:szCs w:val="24"/>
          <w:highlight w:val="none"/>
        </w:rPr>
      </w:r>
      <w:r/>
    </w:p>
    <w:p>
      <w:pPr>
        <w:pStyle w:val="911"/>
        <w:spacing w:line="264" w:lineRule="auto"/>
        <w:rPr>
          <w:rFonts w:hint="eastAsia"/>
          <w:color w:val="000000"/>
          <w:highlight w:val="none"/>
        </w:rPr>
      </w:pPr>
      <w:r>
        <w:rPr>
          <w:rFonts w:hint="eastAsia" w:hAnsi="宋体"/>
          <w:color w:val="000000"/>
          <w:sz w:val="24"/>
          <w:szCs w:val="24"/>
          <w:highlight w:val="none"/>
        </w:rPr>
        <w:t xml:space="preserve">8.1.2 系统开发完成并验收合格后，甲方支付合同总价款的70%。</w:t>
      </w:r>
      <w:r>
        <w:rPr>
          <w:rFonts w:hint="eastAsia"/>
          <w:color w:val="000000"/>
          <w:highlight w:val="none"/>
        </w:rPr>
      </w:r>
      <w:r/>
    </w:p>
    <w:p>
      <w:pPr>
        <w:pStyle w:val="911"/>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hAnsi="宋体"/>
          <w:color w:val="000000"/>
          <w:sz w:val="24"/>
          <w:szCs w:val="24"/>
          <w:highlight w:val="none"/>
        </w:rPr>
      </w:r>
      <w:r/>
    </w:p>
    <w:p>
      <w:pPr>
        <w:pStyle w:val="911"/>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列明各项服务的验收情况及项目总体评价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甲方将及时报告本级财政部门。</w:t>
      </w:r>
      <w:r>
        <w:rPr>
          <w:rFonts w:hint="eastAsia" w:ascii="宋体" w:hAnsi="宋体" w:cs="Courier New"/>
          <w:color w:val="000000"/>
          <w:sz w:val="24"/>
          <w:szCs w:val="24"/>
          <w:highlight w:val="none"/>
        </w:rPr>
      </w:r>
      <w:r/>
    </w:p>
    <w:p>
      <w:pPr>
        <w:pStyle w:val="869"/>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lang w:val="zh-CN"/>
        </w:rPr>
        <w:t xml:space="preserve">10.7 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869"/>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highlight w:val="none"/>
        </w:rPr>
      </w:r>
      <w:r/>
    </w:p>
    <w:p>
      <w:pPr>
        <w:pStyle w:val="869"/>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86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十四、合同生效及其他</w:t>
      </w:r>
      <w:r>
        <w:rPr>
          <w:rFonts w:hint="eastAsia" w:ascii="方正黑体_GBK" w:hAnsi="方正黑体_GBK" w:eastAsia="方正黑体_GBK" w:cs="方正黑体_GBK"/>
          <w:bCs/>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6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1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1"/>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911"/>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911"/>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911"/>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11"/>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1"/>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      年    月   日</w:t>
      </w:r>
      <w:r>
        <w:rPr>
          <w:rFonts w:hint="eastAsia" w:hAnsi="宋体"/>
          <w:color w:val="000000"/>
          <w:sz w:val="24"/>
          <w:szCs w:val="24"/>
          <w:highlight w:val="none"/>
        </w:rPr>
      </w:r>
      <w:r/>
    </w:p>
    <w:p>
      <w:pPr>
        <w:pStyle w:val="911"/>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869"/>
        <w:jc w:val="center"/>
        <w:spacing w:before="145" w:after="145"/>
        <w:rPr>
          <w:rFonts w:hint="eastAsia" w:ascii="宋体" w:hAnsi="宋体"/>
          <w:b/>
          <w:color w:val="000000"/>
          <w:sz w:val="30"/>
          <w:szCs w:val="21"/>
          <w:highlight w:val="none"/>
        </w:rPr>
        <w:outlineLvl w:val="1"/>
      </w:pPr>
      <w:r>
        <w:rPr>
          <w:rFonts w:hint="eastAsia" w:ascii="宋体" w:hAnsi="宋体"/>
          <w:b/>
          <w:color w:val="000000"/>
          <w:sz w:val="30"/>
          <w:szCs w:val="21"/>
          <w:highlight w:val="none"/>
        </w:rPr>
        <w:t xml:space="preserve">《*******合同》补充协议（合同附件）</w:t>
      </w:r>
      <w:r>
        <w:rPr>
          <w:rFonts w:hint="eastAsia" w:ascii="宋体" w:hAnsi="宋体"/>
          <w:b/>
          <w:color w:val="000000"/>
          <w:sz w:val="30"/>
          <w:szCs w:val="21"/>
          <w:highlight w:val="none"/>
        </w:rPr>
      </w:r>
      <w:r/>
    </w:p>
    <w:p>
      <w:pPr>
        <w:pStyle w:val="911"/>
        <w:jc w:val="left"/>
        <w:spacing w:before="120" w:after="120"/>
        <w:rPr>
          <w:rFonts w:hAnsi="宋体"/>
          <w:color w:val="000000"/>
          <w:sz w:val="24"/>
          <w:szCs w:val="24"/>
          <w:highlight w:val="none"/>
        </w:rPr>
      </w:pPr>
      <w:r>
        <w:rPr>
          <w:rFonts w:hint="eastAsia" w:hAnsi="宋体"/>
          <w:color w:val="000000"/>
          <w:sz w:val="24"/>
          <w:szCs w:val="24"/>
          <w:highlight w:val="none"/>
        </w:rPr>
        <w:t xml:space="preserve">    如遇磋商文件及合同未约定事项，双方可友好协商签订补充协议。</w:t>
      </w:r>
      <w:r>
        <w:rPr>
          <w:rFonts w:hAnsi="宋体"/>
          <w:color w:val="000000"/>
          <w:sz w:val="24"/>
          <w:szCs w:val="24"/>
          <w:highlight w:val="none"/>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bookmarkEnd w:id="0"/>
      <w:r/>
      <w:bookmarkEnd w:id="1"/>
      <w:r/>
      <w:bookmarkEnd w:id="2"/>
      <w:r/>
      <w:bookmarkEnd w:id="3"/>
      <w:r/>
      <w:bookmarkEnd w:id="4"/>
      <w:r/>
      <w:bookmarkEnd w:id="5"/>
      <w:r/>
      <w:bookmarkStart w:id="83" w:name="_Toc16938590"/>
      <w:r/>
      <w:bookmarkStart w:id="84" w:name="_Toc120614244"/>
      <w:r/>
      <w:bookmarkStart w:id="85" w:name="_Toc20823346"/>
      <w:r/>
      <w:bookmarkStart w:id="86" w:name="_Hlt16619350"/>
      <w:r/>
      <w:bookmarkStart w:id="87" w:name="_Toc479757211"/>
      <w:r/>
      <w:bookmarkStart w:id="88" w:name="_Toc462564139"/>
      <w:r>
        <w:rPr>
          <w:rFonts w:hint="eastAsia" w:hAnsi="宋体"/>
          <w:color w:val="000000"/>
          <w:sz w:val="24"/>
          <w:szCs w:val="24"/>
          <w:highlight w:val="none"/>
        </w:rPr>
        <w:br w:type="page" w:clear="all"/>
      </w:r>
      <w:bookmarkEnd w:id="83"/>
      <w:r/>
      <w:bookmarkEnd w:id="84"/>
      <w:r/>
      <w:bookmarkEnd w:id="85"/>
      <w:r/>
      <w:bookmarkEnd w:id="86"/>
      <w:r/>
      <w:bookmarkStart w:id="89" w:name="_Toc26554093"/>
      <w:r/>
      <w:bookmarkStart w:id="90" w:name="_Toc49090575"/>
      <w:r>
        <w:rPr>
          <w:rFonts w:hint="eastAsia" w:ascii="方正小标宋简体" w:hAnsi="方正小标宋简体" w:eastAsia="方正小标宋简体" w:cs="方正小标宋简体"/>
          <w:color w:val="000000"/>
          <w:sz w:val="36"/>
          <w:szCs w:val="36"/>
          <w:highlight w:val="none"/>
        </w:rPr>
        <w:t xml:space="preserve">第四章  采购需求</w:t>
      </w:r>
      <w:r>
        <w:rPr>
          <w:rFonts w:hint="eastAsia" w:ascii="方正小标宋简体" w:hAnsi="方正小标宋简体" w:eastAsia="方正小标宋简体" w:cs="方正小标宋简体"/>
          <w:color w:val="000000"/>
          <w:sz w:val="36"/>
          <w:szCs w:val="36"/>
          <w:highlight w:val="none"/>
        </w:rPr>
      </w:r>
      <w:r/>
    </w:p>
    <w:p>
      <w:pPr>
        <w:pStyle w:val="869"/>
        <w:ind w:firstLine="480"/>
        <w:spacing w:line="240" w:lineRule="auto"/>
        <w:rPr>
          <w:rFonts w:hint="eastAsia" w:ascii="宋体" w:hAnsi="宋体" w:cs="宋体"/>
          <w:bCs/>
          <w:color w:val="000000"/>
          <w:sz w:val="24"/>
          <w:szCs w:val="24"/>
          <w:highlight w:val="none"/>
        </w:rPr>
      </w:pPr>
      <w:r/>
      <w:bookmarkStart w:id="91" w:name="_Toc120614281"/>
      <w:r>
        <w:rPr>
          <w:rFonts w:hint="eastAsia" w:ascii="黑体" w:hAnsi="黑体" w:eastAsia="黑体" w:cs="黑体"/>
          <w:color w:val="000000"/>
          <w:sz w:val="24"/>
          <w:szCs w:val="24"/>
          <w:highlight w:val="none"/>
        </w:rPr>
        <w:t xml:space="preserve">一、项目属性：</w:t>
      </w:r>
      <w:r>
        <w:rPr>
          <w:rFonts w:hint="eastAsia" w:ascii="宋体" w:hAnsi="宋体" w:cs="宋体"/>
          <w:bCs/>
          <w:color w:val="000000"/>
          <w:sz w:val="24"/>
          <w:szCs w:val="24"/>
          <w:highlight w:val="none"/>
        </w:rPr>
        <w:t xml:space="preserve">服务类项目。</w:t>
      </w:r>
      <w:r>
        <w:rPr>
          <w:rFonts w:hint="eastAsia" w:ascii="宋体" w:hAnsi="宋体" w:cs="宋体"/>
          <w:bCs/>
          <w:color w:val="000000"/>
          <w:sz w:val="24"/>
          <w:szCs w:val="24"/>
          <w:highlight w:val="none"/>
        </w:rPr>
      </w:r>
      <w:r/>
    </w:p>
    <w:p>
      <w:pPr>
        <w:pStyle w:val="869"/>
        <w:ind w:firstLine="480"/>
        <w:spacing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69"/>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（一）项目背景</w:t>
      </w:r>
      <w:r>
        <w:rPr>
          <w:rFonts w:hint="eastAsia" w:ascii="宋体" w:hAnsi="宋体" w:eastAsia="宋体" w:cs="宋体"/>
          <w:bCs/>
          <w:color w:val="000000"/>
          <w:sz w:val="24"/>
          <w:szCs w:val="24"/>
          <w:highlight w:val="none"/>
        </w:rPr>
      </w:r>
      <w:r/>
    </w:p>
    <w:p>
      <w:pPr>
        <w:pStyle w:val="869"/>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旨在建设一套实验室智能管理系统，实现实验室运营全流程的数字化与智能化管理。系统能实现的功能须涵盖人员准入与权限管理、设备管理与预约、智能计费管理、视频监控与安全管理、数据管理与溯源、移动化支持功能、多维统计报表功能</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69"/>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（二）项目建设遵循标准</w:t>
      </w:r>
      <w:r>
        <w:rPr>
          <w:rFonts w:hint="eastAsia" w:ascii="宋体" w:hAnsi="宋体" w:eastAsia="宋体" w:cs="宋体"/>
          <w:bCs/>
          <w:color w:val="000000"/>
          <w:sz w:val="24"/>
          <w:szCs w:val="24"/>
          <w:highlight w:val="none"/>
        </w:rPr>
      </w:r>
      <w:r/>
    </w:p>
    <w:p>
      <w:pPr>
        <w:pStyle w:val="869"/>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遵循国家、行业及地方现行的规范和标准。</w:t>
      </w:r>
      <w:r>
        <w:rPr>
          <w:rFonts w:hint="eastAsia" w:ascii="宋体" w:hAnsi="宋体" w:eastAsia="宋体" w:cs="宋体"/>
          <w:bCs/>
          <w:color w:val="000000"/>
          <w:sz w:val="24"/>
          <w:szCs w:val="24"/>
          <w:highlight w:val="none"/>
        </w:rPr>
      </w:r>
      <w:r/>
    </w:p>
    <w:p>
      <w:pPr>
        <w:pStyle w:val="869"/>
        <w:ind w:firstLine="480"/>
        <w:spacing w:line="240" w:lineRule="auto"/>
        <w:rPr>
          <w:rFonts w:hint="eastAsia" w:ascii="宋体" w:hAnsi="宋体" w:cs="宋体"/>
          <w:bCs/>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宋体" w:hAnsi="宋体" w:cs="宋体"/>
          <w:bCs/>
          <w:color w:val="000000"/>
          <w:sz w:val="24"/>
          <w:szCs w:val="24"/>
          <w:highlight w:val="none"/>
        </w:rPr>
      </w:r>
      <w:r/>
    </w:p>
    <w:tbl>
      <w:tblPr>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50"/>
        <w:gridCol w:w="1949"/>
        <w:gridCol w:w="727"/>
        <w:gridCol w:w="695"/>
        <w:gridCol w:w="1056"/>
        <w:gridCol w:w="1197"/>
        <w:gridCol w:w="1560"/>
        <w:gridCol w:w="992"/>
        <w:gridCol w:w="960"/>
      </w:tblGrid>
      <w:tr>
        <w:trPr>
          <w:trHeight w:val="470"/>
        </w:trPr>
        <w:tc>
          <w:tcPr>
            <w:tcW w:w="650"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1949"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727"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695"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rFonts w:hint="eastAsia" w:ascii="宋体" w:hAnsi="宋体" w:cs="宋体"/>
                <w:bCs/>
                <w:color w:val="000000"/>
                <w:sz w:val="24"/>
                <w:szCs w:val="24"/>
                <w:highlight w:val="none"/>
              </w:rPr>
            </w:r>
            <w:r/>
          </w:p>
        </w:tc>
        <w:tc>
          <w:tcPr>
            <w:tcW w:w="1056"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单价上限</w:t>
            </w:r>
            <w:r>
              <w:rPr>
                <w:rFonts w:hint="eastAsia" w:ascii="宋体" w:hAnsi="宋体" w:cs="宋体"/>
                <w:bCs/>
                <w:color w:val="000000"/>
                <w:sz w:val="24"/>
                <w:szCs w:val="24"/>
                <w:highlight w:val="none"/>
              </w:rPr>
            </w:r>
            <w:r/>
          </w:p>
          <w:p>
            <w:pPr>
              <w:pStyle w:val="869"/>
              <w:jc w:val="center"/>
              <w:spacing w:line="240" w:lineRule="auto"/>
              <w:rPr>
                <w:rFonts w:hint="eastAsia"/>
                <w:color w:val="000000"/>
                <w:highlight w:val="none"/>
              </w:rPr>
            </w:pPr>
            <w:r>
              <w:rPr>
                <w:rFonts w:hint="eastAsia" w:ascii="宋体" w:hAnsi="宋体" w:cs="宋体"/>
                <w:bCs/>
                <w:color w:val="000000"/>
                <w:sz w:val="24"/>
                <w:szCs w:val="24"/>
                <w:highlight w:val="none"/>
              </w:rPr>
              <w:t xml:space="preserve">（元）</w:t>
            </w:r>
            <w:r>
              <w:rPr>
                <w:rFonts w:hint="eastAsia"/>
                <w:color w:val="000000"/>
                <w:highlight w:val="none"/>
              </w:rPr>
            </w:r>
            <w:r/>
          </w:p>
        </w:tc>
        <w:tc>
          <w:tcPr>
            <w:tcW w:w="1197"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1560"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中小企业划分标准所属行业</w:t>
            </w:r>
            <w:r>
              <w:rPr>
                <w:rFonts w:hint="eastAsia" w:ascii="宋体" w:hAnsi="宋体" w:cs="宋体"/>
                <w:bCs/>
                <w:color w:val="000000"/>
                <w:sz w:val="24"/>
                <w:szCs w:val="24"/>
                <w:highlight w:val="none"/>
              </w:rPr>
            </w:r>
            <w:r/>
          </w:p>
        </w:tc>
        <w:tc>
          <w:tcPr>
            <w:tcW w:w="992"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960" w:type="dxa"/>
            <w:vAlign w:val="center"/>
            <w:textDirection w:val="lrTb"/>
            <w:noWrap w:val="false"/>
          </w:tcPr>
          <w:p>
            <w:pPr>
              <w:pStyle w:val="869"/>
              <w:jc w:val="center"/>
              <w:spacing w:line="240" w:lineRule="auto"/>
              <w:rPr>
                <w:rFonts w:hint="eastAsia" w:ascii="宋体" w:hAnsi="宋体" w:eastAsia="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备注</w:t>
            </w:r>
            <w:r>
              <w:rPr>
                <w:rFonts w:hint="eastAsia" w:ascii="宋体" w:hAnsi="宋体" w:eastAsia="宋体"/>
                <w:bCs/>
                <w:color w:val="000000"/>
                <w:sz w:val="24"/>
                <w:szCs w:val="24"/>
                <w:highlight w:val="none"/>
                <w:lang w:eastAsia="zh-CN"/>
              </w:rPr>
            </w:r>
            <w:r/>
          </w:p>
        </w:tc>
      </w:tr>
      <w:tr>
        <w:trPr>
          <w:trHeight w:val="460"/>
        </w:trPr>
        <w:tc>
          <w:tcPr>
            <w:tcW w:w="650"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949" w:type="dxa"/>
            <w:vAlign w:val="center"/>
            <w:textDirection w:val="lrTb"/>
            <w:noWrap w:val="false"/>
          </w:tcPr>
          <w:p>
            <w:pPr>
              <w:pStyle w:val="869"/>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实验室智能管理系统</w:t>
            </w:r>
            <w:r>
              <w:rPr>
                <w:rFonts w:hint="eastAsia" w:ascii="宋体" w:hAnsi="宋体" w:cs="宋体"/>
                <w:bCs/>
                <w:color w:val="000000"/>
                <w:sz w:val="24"/>
                <w:szCs w:val="24"/>
                <w:highlight w:val="none"/>
              </w:rPr>
            </w:r>
            <w:r/>
          </w:p>
        </w:tc>
        <w:tc>
          <w:tcPr>
            <w:tcW w:w="727"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695"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w:t>
            </w:r>
            <w:r>
              <w:rPr>
                <w:rFonts w:hint="eastAsia" w:ascii="宋体" w:hAnsi="宋体" w:cs="宋体"/>
                <w:bCs/>
                <w:color w:val="000000"/>
                <w:sz w:val="24"/>
                <w:szCs w:val="24"/>
                <w:highlight w:val="none"/>
              </w:rPr>
            </w:r>
            <w:r/>
          </w:p>
        </w:tc>
        <w:tc>
          <w:tcPr>
            <w:tcW w:w="1056" w:type="dxa"/>
            <w:vAlign w:val="center"/>
            <w:textDirection w:val="lrTb"/>
            <w:noWrap w:val="false"/>
          </w:tcPr>
          <w:p>
            <w:pPr>
              <w:pStyle w:val="869"/>
              <w:jc w:val="center"/>
              <w:spacing w:line="24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1197"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主要产品</w:t>
            </w:r>
            <w:r>
              <w:rPr>
                <w:rFonts w:hint="eastAsia" w:ascii="宋体" w:hAnsi="宋体" w:cs="宋体"/>
                <w:bCs/>
                <w:color w:val="000000"/>
                <w:sz w:val="24"/>
                <w:szCs w:val="24"/>
                <w:highlight w:val="none"/>
              </w:rPr>
            </w:r>
            <w:r/>
          </w:p>
        </w:tc>
        <w:tc>
          <w:tcPr>
            <w:tcW w:w="1560"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hint="eastAsia" w:ascii="宋体" w:hAnsi="宋体" w:cs="宋体"/>
                <w:bCs/>
                <w:color w:val="000000"/>
                <w:sz w:val="24"/>
                <w:szCs w:val="24"/>
                <w:highlight w:val="none"/>
              </w:rPr>
            </w:r>
            <w:r/>
          </w:p>
        </w:tc>
        <w:tc>
          <w:tcPr>
            <w:tcW w:w="992"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960" w:type="dxa"/>
            <w:vAlign w:val="center"/>
            <w:textDirection w:val="lrTb"/>
            <w:noWrap w:val="false"/>
          </w:tcPr>
          <w:p>
            <w:pPr>
              <w:pStyle w:val="869"/>
              <w:jc w:val="center"/>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869"/>
        <w:ind w:firstLine="480"/>
        <w:spacing w:line="240"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四、拟采购产品需要满足的技术、商务要求</w:t>
      </w:r>
      <w:r>
        <w:rPr>
          <w:rFonts w:hint="eastAsia" w:ascii="宋体" w:hAnsi="宋体" w:cs="宋体"/>
          <w:b/>
          <w:color w:val="000000"/>
          <w:sz w:val="24"/>
          <w:szCs w:val="24"/>
          <w:highlight w:val="none"/>
        </w:rPr>
      </w:r>
      <w:r/>
    </w:p>
    <w:p>
      <w:pPr>
        <w:pStyle w:val="869"/>
        <w:ind w:firstLine="480"/>
        <w:spacing w:before="0" w:after="0" w:line="240" w:lineRule="auto"/>
        <w:rPr>
          <w:rFonts w:hint="eastAsia" w:ascii="宋体" w:hAnsi="宋体" w:eastAsia="宋体" w:cs="Times New Roman"/>
          <w:color w:val="000000"/>
          <w:sz w:val="24"/>
          <w:highlight w:val="none"/>
        </w:rPr>
        <w:outlineLvl w:val="2"/>
      </w:pPr>
      <w:r>
        <w:rPr>
          <w:rFonts w:hint="eastAsia" w:ascii="宋体" w:hAnsi="宋体" w:eastAsia="宋体" w:cs="Times New Roman"/>
          <w:bCs w:val="0"/>
          <w:color w:val="000000"/>
          <w:sz w:val="24"/>
          <w:szCs w:val="22"/>
          <w:highlight w:val="none"/>
        </w:rPr>
        <w:t xml:space="preserve">（一）</w:t>
      </w:r>
      <w:r>
        <w:rPr>
          <w:rFonts w:hint="eastAsia" w:ascii="宋体" w:hAnsi="宋体" w:eastAsia="宋体" w:cs="Times New Roman"/>
          <w:b w:val="0"/>
          <w:color w:val="000000"/>
          <w:sz w:val="24"/>
          <w:highlight w:val="none"/>
        </w:rPr>
        <w:t xml:space="preserve">技术</w:t>
      </w:r>
      <w:r>
        <w:rPr>
          <w:rFonts w:hint="eastAsia" w:ascii="宋体" w:hAnsi="宋体" w:eastAsia="宋体" w:cs="Times New Roman"/>
          <w:b w:val="0"/>
          <w:color w:val="000000"/>
          <w:sz w:val="24"/>
          <w:szCs w:val="22"/>
          <w:highlight w:val="none"/>
          <w:lang w:val="en-US" w:eastAsia="zh-CN"/>
        </w:rPr>
        <w:t xml:space="preserve">要求</w:t>
      </w:r>
      <w:r>
        <w:rPr>
          <w:rFonts w:hint="eastAsia" w:ascii="宋体" w:hAnsi="宋体" w:eastAsia="宋体" w:cs="Times New Roman"/>
          <w:color w:val="000000"/>
          <w:sz w:val="24"/>
          <w:highlight w:val="none"/>
        </w:rPr>
      </w:r>
      <w:r/>
    </w:p>
    <w:p>
      <w:pPr>
        <w:pStyle w:val="869"/>
        <w:ind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实验室智能管理系统以“人员准入—设备使用—安全监控—数据溯源”为主线，覆盖以下核心功能模块：</w:t>
      </w:r>
      <w:r>
        <w:rPr>
          <w:rFonts w:hint="eastAsia" w:ascii="宋体" w:hAnsi="宋体" w:eastAsia="宋体" w:cs="宋体"/>
          <w:color w:val="000000"/>
          <w:sz w:val="24"/>
          <w:szCs w:val="24"/>
          <w:highlight w:val="none"/>
        </w:rPr>
      </w:r>
      <w:r/>
    </w:p>
    <w:tbl>
      <w:tblPr>
        <w:tblW w:w="4995" w:type="pct"/>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496"/>
        <w:gridCol w:w="7710"/>
      </w:tblGrid>
      <w:tr>
        <w:trPr>
          <w:trHeight w:val="34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功能模块</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功能要求</w:t>
            </w:r>
            <w:r>
              <w:rPr>
                <w:rFonts w:hint="eastAsia" w:ascii="宋体" w:hAnsi="宋体" w:eastAsia="宋体" w:cs="宋体"/>
                <w:color w:val="000000"/>
                <w:sz w:val="24"/>
                <w:szCs w:val="24"/>
                <w:highlight w:val="none"/>
              </w:rPr>
            </w:r>
            <w:r/>
          </w:p>
        </w:tc>
      </w:tr>
      <w:tr>
        <w:trPr>
          <w:trHeight w:val="34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人员准入与权限管理</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门禁系统对接：结合</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t xml:space="preserve">已安装的门禁系统，实现数据对接。实验人员在系统中提交预约申请并通过审批后，系统根据预约的实验室、时间段及所需设备信息，自动向门禁系统下发对应门点的通行权限；预约结束后，系统自动回收该时段权限，确保实验室访问的时效性和安全性。</w:t>
            </w:r>
            <w:r>
              <w:rPr>
                <w:rFonts w:hint="eastAsia" w:ascii="宋体" w:hAnsi="宋体" w:eastAsia="宋体" w:cs="宋体"/>
                <w:color w:val="000000"/>
                <w:sz w:val="24"/>
                <w:szCs w:val="24"/>
                <w:highlight w:val="none"/>
              </w:rPr>
            </w:r>
            <w:r/>
          </w:p>
          <w:p>
            <w:pPr>
              <w:jc w:val="left"/>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人员资料库建设：建立实验人员资料库，完成基本信息录入。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分级权限控制：基于人员角色实施分级权限控制，确保设备访问的合规性与可追溯性。</w:t>
            </w:r>
            <w:r/>
          </w:p>
        </w:tc>
      </w:tr>
      <w:tr>
        <w:trPr>
          <w:trHeight w:val="34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设备管理与预约</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numPr>
                <w:ilvl w:val="0"/>
                <w:numId w:val="0"/>
              </w:numPr>
              <w:jc w:val="left"/>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统一预约平台：建立统一的设备及展厅预约平台，实行在线预约制度。</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2.设备使用日志：完整记录设备使用日志。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检修维护履历：覆盖设备检修维护履历记录。</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设备全生命周期档案管理：实现设备全生命周期的电子化档案管理。</w:t>
            </w:r>
            <w:r>
              <w:rPr>
                <w:rFonts w:hint="eastAsia" w:ascii="宋体" w:hAnsi="宋体" w:eastAsia="宋体" w:cs="宋体"/>
                <w:color w:val="000000"/>
                <w:sz w:val="24"/>
                <w:szCs w:val="24"/>
                <w:highlight w:val="none"/>
              </w:rPr>
            </w:r>
            <w:r/>
          </w:p>
        </w:tc>
      </w:tr>
      <w:tr>
        <w:trPr>
          <w:trHeight w:val="34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检验检测业务管理</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检测任务在线登记与送检预约：支持检测任务的在线登记与送检预约。</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样品信息关联匹配：实现样品信息（名称、型号、数量、检测标准等）与检测设备、检测能力的一体化关联匹配。</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检验检测全流程数据覆盖：覆盖样品接收、检测任务分配、检测过程记录、原始数据存档、报告生成与发放等环节。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全链条电子化追溯：形成从样品送检到报告出具的全链条电子化追溯体系，实现检验检测业务与设备管理协同的电子化档案管理。</w:t>
            </w:r>
            <w:r>
              <w:rPr>
                <w:rFonts w:hint="eastAsia" w:ascii="宋体" w:hAnsi="宋体" w:eastAsia="宋体" w:cs="宋体"/>
                <w:color w:val="000000"/>
                <w:sz w:val="24"/>
                <w:szCs w:val="24"/>
                <w:highlight w:val="none"/>
              </w:rPr>
            </w:r>
            <w:r/>
          </w:p>
        </w:tc>
      </w:tr>
      <w:tr>
        <w:trPr>
          <w:trHeight w:val="34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智能计费管理</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设备使用计费：支持按使用时长、资源类型等维度自动核算设备使用费用。</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检验检测计费：针对样品检验检测业务，支持按检测项目、检测方法、样品数量、加急程度等维度进行多元化计费配置。</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统一结算：实现设备使用费与检验检测费的统一结算，支持精细化成本管理。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费用管理：支持费用明细查询、账单自动生成、结算状态跟踪及费用统计分析，为资源运营与检测服务定价提供数据支撑。</w:t>
            </w:r>
            <w:r>
              <w:rPr>
                <w:rFonts w:hint="eastAsia" w:ascii="宋体" w:hAnsi="宋体" w:eastAsia="宋体" w:cs="宋体"/>
                <w:color w:val="000000"/>
                <w:sz w:val="24"/>
                <w:szCs w:val="24"/>
                <w:highlight w:val="none"/>
              </w:rPr>
            </w:r>
            <w:r/>
          </w:p>
        </w:tc>
      </w:tr>
      <w:tr>
        <w:trPr>
          <w:trHeight w:val="34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视频监控与安全管理</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视频监控对接与查看：结合本院已在公共区域及重点区域部署的摄像装置，支持PC端与移动端实时查看。</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巡检与值日机制：建立安全巡检、假期巡检及值日记录机制。</w:t>
            </w:r>
            <w:r>
              <w:rPr>
                <w:rFonts w:hint="eastAsia" w:ascii="宋体" w:hAnsi="宋体" w:eastAsia="宋体" w:cs="宋体"/>
                <w:color w:val="000000"/>
                <w:sz w:val="24"/>
                <w:szCs w:val="24"/>
                <w:highlight w:val="none"/>
              </w:rPr>
            </w:r>
            <w:r/>
          </w:p>
        </w:tc>
      </w:tr>
      <w:tr>
        <w:trPr>
          <w:trHeight w:val="34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数据管理与溯源</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原始数据管理：支持实验原始数据的上传、存储与全程溯源。</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生命周期操作日志：系统自动记录数据的全生命周期操作日志，包括上传人、上传时间、来源设备、关联实验任务、修改记录、审批流转等信息，确保每一条数据均可精准定位其产生背景与流转路径，保障科研数据的真实性与完整性。</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分级数据权限管控：结合人员角色实施分级数据权限管控，对敏感实验数据设置访问、下载、共享的细粒度权限，满足研究院在数据安全、知识产权保护和合规审计方面的管理要求。</w:t>
            </w:r>
            <w:r>
              <w:rPr>
                <w:rFonts w:hint="eastAsia" w:ascii="宋体" w:hAnsi="宋体" w:eastAsia="宋体" w:cs="宋体"/>
                <w:color w:val="000000"/>
                <w:sz w:val="24"/>
                <w:szCs w:val="24"/>
                <w:highlight w:val="none"/>
              </w:rPr>
            </w:r>
            <w:r/>
          </w:p>
        </w:tc>
      </w:tr>
      <w:tr>
        <w:trPr>
          <w:trHeight w:val="34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移动化支持功能</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多端访问入口：提供微信公众号端与微信小程序（原生开发）端访问入口。</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移动端功能：支持手机端预约、仪器设备管理、远程监控查看等功能。</w:t>
            </w: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496"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多维统计报表功能</w:t>
            </w:r>
            <w:r>
              <w:rPr>
                <w:rFonts w:hint="eastAsia" w:ascii="宋体" w:hAnsi="宋体" w:eastAsia="宋体" w:cs="宋体"/>
                <w:color w:val="000000"/>
                <w:sz w:val="24"/>
                <w:szCs w:val="24"/>
                <w:highlight w:val="none"/>
              </w:rPr>
            </w:r>
            <w:r/>
          </w:p>
        </w:tc>
        <w:tc>
          <w:tcPr>
            <w:tcW w:w="7712"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多维统计及决策支撑：提供多维统计功能，包括实验室服务人数报表、设备运行时长统计等。提供决策支撑，为管理决策提供数据支撑。</w:t>
            </w:r>
            <w:r>
              <w:rPr>
                <w:rFonts w:hint="eastAsia" w:ascii="宋体" w:hAnsi="宋体" w:eastAsia="宋体" w:cs="宋体"/>
                <w:color w:val="000000"/>
                <w:sz w:val="24"/>
                <w:szCs w:val="24"/>
                <w:highlight w:val="none"/>
              </w:rPr>
            </w:r>
            <w:r/>
          </w:p>
        </w:tc>
      </w:tr>
    </w:tbl>
    <w:p>
      <w:pPr>
        <w:pStyle w:val="869"/>
        <w:spacing w:line="240" w:lineRule="auto"/>
        <w:rPr>
          <w:color w:val="000000"/>
          <w:highlight w:val="none"/>
        </w:rPr>
      </w:pPr>
      <w:r>
        <w:rPr>
          <w:color w:val="000000"/>
          <w:highlight w:val="none"/>
        </w:rPr>
      </w:r>
      <w:r/>
    </w:p>
    <w:p>
      <w:pPr>
        <w:pStyle w:val="869"/>
        <w:ind w:firstLine="480"/>
        <w:spacing w:line="240" w:lineRule="auto"/>
        <w:rPr>
          <w:rFonts w:hint="eastAsia" w:ascii="宋体" w:hAnsi="宋体" w:cs="宋体"/>
          <w:bCs/>
          <w:color w:val="000000"/>
          <w:sz w:val="24"/>
          <w:szCs w:val="24"/>
          <w:highlight w:val="none"/>
        </w:rPr>
        <w:outlineLvl w:val="2"/>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69"/>
        <w:ind w:firstLine="48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文件中列明的项目外，还应包括保障产品正常使用应当具有的物资和服务，对产品正常使用应当具有的物资和服务理解不一致的以采购人理解为准。</w:t>
      </w:r>
      <w:r>
        <w:rPr>
          <w:rFonts w:hint="eastAsia"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869"/>
        <w:ind w:firstLine="480"/>
        <w:spacing w:line="240"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根据技术要求和响应文件情况，项目进度计划与措施需具体、可行。</w:t>
      </w:r>
      <w:r>
        <w:rPr>
          <w:rFonts w:hint="eastAsia"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注重系统的开放性，以适应系统扩展的需要。开放性包括对环境的开放，提供跨系统、跨平台的标准接口，使各分系统有较强的交互操作能力；开放性还需考虑系统的互联、升级、扩展和更新等方面。</w:t>
      </w:r>
      <w:r>
        <w:rPr>
          <w:rFonts w:hint="eastAsia"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充分考虑软件系统的可扩展性，以满足业务的不断发展，形成一个易于管理、可持续发展的体系架构。</w:t>
      </w:r>
      <w:r>
        <w:rPr>
          <w:rFonts w:hint="eastAsia"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数据接口具有高度灵活性、开放性和扩展性，支持对各种数据类型的抽取与转换。</w:t>
      </w:r>
      <w:r>
        <w:rPr>
          <w:rFonts w:hint="eastAsia"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运维要求</w:t>
      </w:r>
      <w:r>
        <w:rPr>
          <w:rFonts w:hint="eastAsia" w:ascii="宋体" w:hAnsi="宋体" w:cs="宋体"/>
          <w:color w:val="000000"/>
          <w:sz w:val="24"/>
          <w:szCs w:val="24"/>
          <w:highlight w:val="none"/>
        </w:rPr>
      </w:r>
      <w:r/>
    </w:p>
    <w:p>
      <w:pPr>
        <w:pStyle w:val="869"/>
        <w:ind w:firstLine="48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供应商提供专职运维人员，</w:t>
      </w:r>
      <w:r>
        <w:rPr>
          <w:rFonts w:hint="eastAsia" w:ascii="宋体" w:hAnsi="宋体" w:cs="宋体"/>
          <w:color w:val="000000"/>
          <w:sz w:val="24"/>
          <w:szCs w:val="24"/>
          <w:highlight w:val="none"/>
          <w:lang w:val="en-US" w:eastAsia="zh-CN"/>
        </w:rPr>
        <w:t xml:space="preserve">运维</w:t>
      </w:r>
      <w:r>
        <w:rPr>
          <w:rFonts w:hint="eastAsia" w:ascii="宋体" w:hAnsi="宋体" w:cs="宋体"/>
          <w:color w:val="000000"/>
          <w:sz w:val="24"/>
          <w:szCs w:val="24"/>
          <w:highlight w:val="none"/>
        </w:rPr>
        <w:t xml:space="preserve">期内根据采购人需求提供现场技术支持，包含功能模块及参数配置、业务场景适配调优（如实验室空间、设备新增或变动适配调整等）、专项运营培训与实操指导等相关服务。</w:t>
      </w:r>
      <w:r>
        <w:rPr>
          <w:rFonts w:ascii="宋体" w:hAnsi="宋体" w:eastAsia="宋体" w:cs="宋体"/>
          <w:color w:val="000000"/>
          <w:sz w:val="24"/>
          <w:szCs w:val="24"/>
          <w:highlight w:val="none"/>
        </w:rPr>
        <w:t xml:space="preserve">本项目要求</w:t>
      </w:r>
      <w:r>
        <w:rPr>
          <w:rFonts w:hint="eastAsia" w:ascii="宋体" w:hAnsi="宋体" w:eastAsia="宋体" w:cs="宋体"/>
          <w:color w:val="000000"/>
          <w:sz w:val="24"/>
          <w:szCs w:val="24"/>
          <w:highlight w:val="none"/>
          <w:lang w:val="en-US" w:eastAsia="zh-CN"/>
        </w:rPr>
        <w:t xml:space="preserve">运维</w:t>
      </w:r>
      <w:r>
        <w:rPr>
          <w:rFonts w:ascii="宋体" w:hAnsi="宋体" w:eastAsia="宋体" w:cs="宋体"/>
          <w:color w:val="000000"/>
          <w:sz w:val="24"/>
          <w:szCs w:val="24"/>
          <w:highlight w:val="none"/>
        </w:rPr>
        <w:t xml:space="preserve">期3年，从验收合格之日起计算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运维费用包含在本次总报价中</w:t>
      </w:r>
      <w:r>
        <w:rPr>
          <w:rFonts w:ascii="宋体" w:hAnsi="宋体" w:eastAsia="宋体" w:cs="宋体"/>
          <w:color w:val="000000"/>
          <w:sz w:val="24"/>
          <w:szCs w:val="24"/>
          <w:highlight w:val="none"/>
        </w:rPr>
        <w:t xml:space="preserve">。</w:t>
      </w:r>
      <w:r>
        <w:rPr>
          <w:rFonts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（3）性能要求</w:t>
      </w:r>
      <w:r>
        <w:rPr>
          <w:rFonts w:hint="eastAsia" w:ascii="宋体" w:hAnsi="宋体" w:cs="宋体"/>
          <w:color w:val="000000"/>
          <w:sz w:val="24"/>
          <w:szCs w:val="24"/>
          <w:highlight w:val="none"/>
        </w:rPr>
      </w:r>
      <w:r/>
    </w:p>
    <w:tbl>
      <w:tblPr>
        <w:tblW w:w="0" w:type="auto"/>
        <w:jc w:val="center"/>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814"/>
        <w:gridCol w:w="7227"/>
      </w:tblGrid>
      <w:tr>
        <w:trPr/>
        <w:tc>
          <w:tcPr>
            <w:tcW w:w="852"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14"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性能类别</w:t>
            </w:r>
            <w:r>
              <w:rPr>
                <w:rFonts w:hint="eastAsia" w:ascii="宋体" w:hAnsi="宋体" w:eastAsia="宋体" w:cs="宋体"/>
                <w:color w:val="000000"/>
                <w:sz w:val="24"/>
                <w:szCs w:val="24"/>
                <w:highlight w:val="none"/>
              </w:rPr>
            </w:r>
            <w:r/>
          </w:p>
        </w:tc>
        <w:tc>
          <w:tcPr>
            <w:tcW w:w="7227"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性能要求</w:t>
            </w:r>
            <w:r>
              <w:rPr>
                <w:rFonts w:hint="eastAsia" w:ascii="宋体" w:hAnsi="宋体" w:eastAsia="宋体" w:cs="宋体"/>
                <w:color w:val="000000"/>
                <w:sz w:val="24"/>
                <w:szCs w:val="24"/>
                <w:highlight w:val="none"/>
              </w:rPr>
            </w:r>
            <w:r/>
          </w:p>
        </w:tc>
      </w:tr>
      <w:tr>
        <w:trPr/>
        <w:tc>
          <w:tcPr>
            <w:tcW w:w="852"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14"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总体性能要求</w:t>
            </w:r>
            <w:r>
              <w:rPr>
                <w:rFonts w:hint="eastAsia" w:ascii="宋体" w:hAnsi="宋体" w:eastAsia="宋体" w:cs="宋体"/>
                <w:color w:val="000000"/>
                <w:sz w:val="24"/>
                <w:szCs w:val="24"/>
                <w:highlight w:val="none"/>
              </w:rPr>
            </w:r>
            <w:r/>
          </w:p>
        </w:tc>
        <w:tc>
          <w:tcPr>
            <w:tcW w:w="7227"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支持从数据层面到业务层面高可用，满足系统可用性；系统易于扩展，满足高可靠性需求；系统具备完善的数据加密，数据传输的安全机制、专业的认证体系和数据访问机制，保障数据安全；确保系统具有高度的安全性，提供安全的登录和访问措施，防止系统被攻击。</w:t>
            </w:r>
            <w:r>
              <w:rPr>
                <w:rFonts w:hint="eastAsia" w:ascii="宋体" w:hAnsi="宋体" w:eastAsia="宋体" w:cs="宋体"/>
                <w:color w:val="000000"/>
                <w:sz w:val="24"/>
                <w:szCs w:val="24"/>
                <w:highlight w:val="none"/>
              </w:rPr>
            </w:r>
            <w:r/>
          </w:p>
        </w:tc>
      </w:tr>
      <w:tr>
        <w:trPr/>
        <w:tc>
          <w:tcPr>
            <w:tcW w:w="852"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814"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计算性能要求</w:t>
            </w:r>
            <w:r>
              <w:rPr>
                <w:rFonts w:hint="eastAsia" w:ascii="宋体" w:hAnsi="宋体" w:eastAsia="宋体" w:cs="宋体"/>
                <w:color w:val="000000"/>
                <w:sz w:val="24"/>
                <w:szCs w:val="24"/>
                <w:highlight w:val="none"/>
              </w:rPr>
            </w:r>
            <w:r/>
          </w:p>
        </w:tc>
        <w:tc>
          <w:tcPr>
            <w:tcW w:w="7227"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可用性≥99.95%；简单操作及普通数据查询操作界面响应时间≤3秒；吞吐量在保证性能的前提下，系统设计能够满足未来五年的数据高峰量。对于导入、导出、批量操作等功能，每100条要求系统响应时间不超过2秒，避免用户体验不佳。</w:t>
            </w:r>
            <w:r>
              <w:rPr>
                <w:rFonts w:hint="eastAsia" w:ascii="宋体" w:hAnsi="宋体" w:eastAsia="宋体" w:cs="宋体"/>
                <w:color w:val="000000"/>
                <w:sz w:val="24"/>
                <w:szCs w:val="24"/>
                <w:highlight w:val="none"/>
              </w:rPr>
            </w:r>
            <w:r/>
          </w:p>
        </w:tc>
      </w:tr>
      <w:tr>
        <w:trPr/>
        <w:tc>
          <w:tcPr>
            <w:tcW w:w="852" w:type="dxa"/>
            <w:vAlign w:val="center"/>
            <w:textDirection w:val="lrTb"/>
            <w:noWrap w:val="false"/>
          </w:tcPr>
          <w:p>
            <w:pPr>
              <w:pStyle w:val="869"/>
              <w:jc w:val="center"/>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814"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应用性能要求</w:t>
            </w:r>
            <w:r>
              <w:rPr>
                <w:rFonts w:hint="eastAsia" w:ascii="宋体" w:hAnsi="宋体" w:eastAsia="宋体" w:cs="宋体"/>
                <w:color w:val="000000"/>
                <w:sz w:val="24"/>
                <w:szCs w:val="24"/>
                <w:highlight w:val="none"/>
              </w:rPr>
            </w:r>
            <w:r/>
          </w:p>
        </w:tc>
        <w:tc>
          <w:tcPr>
            <w:tcW w:w="7227" w:type="dxa"/>
            <w:vAlign w:val="center"/>
            <w:textDirection w:val="lrTb"/>
            <w:noWrap w:val="false"/>
          </w:tcPr>
          <w:p>
            <w:pPr>
              <w:pStyle w:val="869"/>
              <w:spacing w:before="20" w:after="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具备良好的并发响应能力，整体响应性能在3秒以内；系统应满足用户的要求，稳定、可靠、实用。人机界面友好，输出、输入方便，图表生成灵活美观，检索、查询简单快捷</w:t>
            </w:r>
            <w:r>
              <w:rPr>
                <w:rFonts w:hint="eastAsia" w:ascii="宋体" w:hAnsi="宋体" w:eastAsia="宋体" w:cs="宋体"/>
                <w:color w:val="000000"/>
                <w:sz w:val="24"/>
                <w:szCs w:val="24"/>
                <w:highlight w:val="none"/>
              </w:rPr>
              <w:t xml:space="preserve">；根据业务处理类型的不同，把作业划分为交互类业务、查询类业务和统计分析类业务，分别给出响应时间要求的参考值，包括峰值响应时间和最大响应时间。平时工作中在系统中进行的业务处理等交互类业务，如录入，修改或删除一条记录等操作，用户交互响应时间：不超过2秒；峰值响应时间：不超过3秒。如信息查询、统计报表生成或决策支持的信息查询等查询类业务，简单查询响应时间：1～3秒；复杂查询响应时间：3～5秒；极限数据查询时间：最大样本量时数据查询时间不超过10秒。统计分析类业务一般统计时间：不超过3秒；一般分析时间：不超过5秒。</w:t>
            </w:r>
            <w:r>
              <w:rPr>
                <w:rFonts w:hint="eastAsia" w:ascii="宋体" w:hAnsi="宋体" w:eastAsia="宋体" w:cs="宋体"/>
                <w:color w:val="000000"/>
                <w:sz w:val="24"/>
                <w:szCs w:val="24"/>
                <w:highlight w:val="none"/>
              </w:rPr>
            </w:r>
            <w:r/>
          </w:p>
        </w:tc>
      </w:tr>
    </w:tbl>
    <w:p>
      <w:pPr>
        <w:pStyle w:val="869"/>
        <w:numPr>
          <w:ilvl w:val="0"/>
          <w:numId w:val="0"/>
        </w:numPr>
        <w:ind w:firstLine="480"/>
        <w:keepLines w:val="0"/>
        <w:keepNext w:val="0"/>
        <w:pageBreakBefore w:val="0"/>
        <w:spacing w:line="240" w:lineRule="auto"/>
        <w:widowControl/>
        <w:rPr>
          <w:rFonts w:ascii="宋体" w:hAnsi="宋体" w:eastAsia="宋体" w:cs="宋体"/>
          <w:bCs w:val="0"/>
          <w:color w:val="000000"/>
          <w:sz w:val="24"/>
          <w:szCs w:val="24"/>
          <w:highlight w:val="none"/>
          <w:lang w:val="en-US" w:eastAsia="zh-CN"/>
        </w:rPr>
      </w:pPr>
      <w:r>
        <w:rPr>
          <w:rFonts w:ascii="宋体" w:hAnsi="宋体" w:eastAsia="宋体" w:cs="宋体"/>
          <w:color w:val="000000"/>
          <w:sz w:val="24"/>
          <w:szCs w:val="24"/>
          <w:highlight w:val="none"/>
        </w:rPr>
        <w:t xml:space="preserve">（4）</w:t>
      </w:r>
      <w:r>
        <w:rPr>
          <w:rFonts w:ascii="宋体" w:hAnsi="宋体" w:eastAsia="宋体" w:cs="宋体"/>
          <w:bCs w:val="0"/>
          <w:color w:val="000000"/>
          <w:sz w:val="24"/>
          <w:szCs w:val="24"/>
          <w:highlight w:val="none"/>
          <w:lang w:val="en-US" w:eastAsia="zh-CN"/>
        </w:rPr>
        <w:t xml:space="preserve">人员要求：供应商应组建不少于5人的专业团队，包括项目经理、技术负责人、安全负责人和运维服务人员</w:t>
      </w:r>
      <w:r>
        <w:rPr>
          <w:rFonts w:hint="eastAsia" w:ascii="宋体" w:hAnsi="宋体" w:eastAsia="宋体" w:cs="宋体"/>
          <w:bCs w:val="0"/>
          <w:color w:val="000000"/>
          <w:sz w:val="24"/>
          <w:szCs w:val="24"/>
          <w:highlight w:val="none"/>
          <w:lang w:val="en-US" w:eastAsia="zh-CN"/>
        </w:rPr>
        <w:t xml:space="preserve">等</w:t>
      </w:r>
      <w:r>
        <w:rPr>
          <w:rFonts w:ascii="宋体" w:hAnsi="宋体" w:eastAsia="宋体" w:cs="宋体"/>
          <w:bCs w:val="0"/>
          <w:color w:val="000000"/>
          <w:sz w:val="24"/>
          <w:szCs w:val="24"/>
          <w:highlight w:val="none"/>
          <w:lang w:val="en-US" w:eastAsia="zh-CN"/>
        </w:rPr>
        <w:t xml:space="preserve">，要求如下</w:t>
      </w:r>
      <w:r>
        <w:rPr>
          <w:rFonts w:hint="eastAsia" w:ascii="宋体" w:hAnsi="宋体" w:eastAsia="宋体" w:cs="宋体"/>
          <w:bCs w:val="0"/>
          <w:color w:val="000000"/>
          <w:sz w:val="24"/>
          <w:szCs w:val="24"/>
          <w:highlight w:val="none"/>
          <w:lang w:val="en-US" w:eastAsia="zh-CN"/>
        </w:rPr>
        <w:t xml:space="preserve">：</w:t>
      </w:r>
      <w:r>
        <w:rPr>
          <w:rFonts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40" w:lineRule="auto"/>
        <w:widowControl/>
        <w:rPr>
          <w:rFonts w:ascii="宋体" w:hAnsi="宋体" w:eastAsia="宋体" w:cs="宋体"/>
          <w:bCs w:val="0"/>
          <w:color w:val="000000"/>
          <w:sz w:val="24"/>
          <w:szCs w:val="24"/>
          <w:highlight w:val="none"/>
          <w:lang w:val="en-US" w:eastAsia="zh-CN"/>
        </w:rPr>
      </w:pPr>
      <w:r>
        <w:rPr>
          <w:rFonts w:ascii="宋体" w:hAnsi="宋体" w:eastAsia="宋体" w:cs="宋体"/>
          <w:bCs w:val="0"/>
          <w:color w:val="000000"/>
          <w:sz w:val="24"/>
          <w:szCs w:val="24"/>
          <w:highlight w:val="none"/>
          <w:lang w:val="en-US" w:eastAsia="zh-CN"/>
        </w:rPr>
        <w:t xml:space="preserve">项目经理：1人，具有5年</w:t>
      </w:r>
      <w:r>
        <w:rPr>
          <w:rFonts w:hint="eastAsia" w:ascii="宋体" w:hAnsi="宋体" w:eastAsia="宋体" w:cs="宋体"/>
          <w:bCs w:val="0"/>
          <w:color w:val="000000"/>
          <w:sz w:val="24"/>
          <w:szCs w:val="24"/>
          <w:highlight w:val="none"/>
          <w:lang w:val="en-US" w:eastAsia="zh-CN"/>
        </w:rPr>
        <w:t xml:space="preserve">（含）以上</w:t>
      </w:r>
      <w:r>
        <w:rPr>
          <w:rFonts w:ascii="宋体" w:hAnsi="宋体" w:eastAsia="宋体" w:cs="宋体"/>
          <w:bCs w:val="0"/>
          <w:color w:val="000000"/>
          <w:sz w:val="24"/>
          <w:szCs w:val="24"/>
          <w:highlight w:val="none"/>
          <w:lang w:val="en-US" w:eastAsia="zh-CN"/>
        </w:rPr>
        <w:t xml:space="preserve">信息化项目管理工作经验。主要负责项目的整体规划、执行与监控，明确项目目标、制定项目计划、领导技术团队、协调资源分配，确保项目进度、质量。</w:t>
      </w:r>
      <w:r>
        <w:rPr>
          <w:rFonts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40" w:lineRule="auto"/>
        <w:widowControl/>
        <w:rPr>
          <w:rFonts w:ascii="宋体" w:hAnsi="宋体" w:eastAsia="宋体" w:cs="宋体"/>
          <w:bCs w:val="0"/>
          <w:color w:val="000000"/>
          <w:sz w:val="24"/>
          <w:szCs w:val="24"/>
          <w:highlight w:val="none"/>
          <w:lang w:val="en-US" w:eastAsia="zh-CN"/>
        </w:rPr>
      </w:pPr>
      <w:r>
        <w:rPr>
          <w:rFonts w:ascii="宋体" w:hAnsi="宋体" w:eastAsia="宋体" w:cs="宋体"/>
          <w:bCs w:val="0"/>
          <w:color w:val="000000"/>
          <w:sz w:val="24"/>
          <w:szCs w:val="24"/>
          <w:highlight w:val="none"/>
          <w:lang w:val="en-US" w:eastAsia="zh-CN"/>
        </w:rPr>
        <w:t xml:space="preserve">技术负责人：1人，具有5年</w:t>
      </w:r>
      <w:r>
        <w:rPr>
          <w:rFonts w:hint="eastAsia" w:ascii="宋体" w:hAnsi="宋体" w:eastAsia="宋体" w:cs="宋体"/>
          <w:bCs w:val="0"/>
          <w:color w:val="000000"/>
          <w:sz w:val="24"/>
          <w:szCs w:val="24"/>
          <w:highlight w:val="none"/>
          <w:lang w:val="en-US" w:eastAsia="zh-CN"/>
        </w:rPr>
        <w:t xml:space="preserve">（含）</w:t>
      </w:r>
      <w:r>
        <w:rPr>
          <w:rFonts w:ascii="宋体" w:hAnsi="宋体" w:eastAsia="宋体" w:cs="宋体"/>
          <w:bCs w:val="0"/>
          <w:color w:val="000000"/>
          <w:sz w:val="24"/>
          <w:szCs w:val="24"/>
          <w:highlight w:val="none"/>
          <w:lang w:val="en-US" w:eastAsia="zh-CN"/>
        </w:rPr>
        <w:t xml:space="preserve">以上信息化项目技术管理工作经验。主要负责项目的技术策略制定、架构设计、团队技术指导，确保技术选型合理、代码质量高、系统性能稳定，同时解决技术难题。</w:t>
      </w:r>
      <w:r>
        <w:rPr>
          <w:rFonts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40" w:lineRule="auto"/>
        <w:widowControl/>
        <w:rPr>
          <w:rFonts w:ascii="宋体" w:hAnsi="宋体" w:eastAsia="宋体" w:cs="宋体"/>
          <w:bCs w:val="0"/>
          <w:color w:val="000000"/>
          <w:sz w:val="24"/>
          <w:szCs w:val="24"/>
          <w:highlight w:val="none"/>
          <w:lang w:val="en-US" w:eastAsia="zh-CN"/>
        </w:rPr>
      </w:pPr>
      <w:r>
        <w:rPr>
          <w:rFonts w:ascii="宋体" w:hAnsi="宋体" w:eastAsia="宋体" w:cs="宋体"/>
          <w:bCs w:val="0"/>
          <w:color w:val="000000"/>
          <w:sz w:val="24"/>
          <w:szCs w:val="24"/>
          <w:highlight w:val="none"/>
          <w:lang w:val="en-US" w:eastAsia="zh-CN"/>
        </w:rPr>
        <w:t xml:space="preserve">安全负责人：1人</w:t>
      </w:r>
      <w:r>
        <w:rPr>
          <w:rFonts w:hint="eastAsia" w:ascii="宋体" w:hAnsi="宋体" w:eastAsia="宋体" w:cs="宋体"/>
          <w:bCs w:val="0"/>
          <w:color w:val="000000"/>
          <w:sz w:val="24"/>
          <w:szCs w:val="24"/>
          <w:highlight w:val="none"/>
          <w:lang w:val="en-US" w:eastAsia="zh-CN"/>
        </w:rPr>
        <w:t xml:space="preserve">，</w:t>
      </w:r>
      <w:r>
        <w:rPr>
          <w:rFonts w:ascii="宋体" w:hAnsi="宋体" w:eastAsia="宋体" w:cs="宋体"/>
          <w:bCs w:val="0"/>
          <w:color w:val="000000"/>
          <w:sz w:val="24"/>
          <w:szCs w:val="24"/>
          <w:highlight w:val="none"/>
          <w:lang w:val="en-US" w:eastAsia="zh-CN"/>
        </w:rPr>
        <w:t xml:space="preserve">具有信息化工作经验，主要负责制定并执行信息安全政策、监控和分析安全威胁、组织安全培训、与业务部门合作提供安全建议和支持，从而保障软件在开发、测试及运行过程中的安全稳定。</w:t>
      </w:r>
      <w:r>
        <w:rPr>
          <w:rFonts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40" w:lineRule="auto"/>
        <w:widowControl/>
        <w:rPr>
          <w:rFonts w:ascii="宋体" w:hAnsi="宋体" w:eastAsia="宋体" w:cs="宋体"/>
          <w:bCs w:val="0"/>
          <w:color w:val="000000"/>
          <w:sz w:val="24"/>
          <w:szCs w:val="24"/>
          <w:highlight w:val="none"/>
          <w:lang w:val="en-US" w:eastAsia="zh-CN"/>
        </w:rPr>
      </w:pPr>
      <w:r>
        <w:rPr>
          <w:rFonts w:ascii="宋体" w:hAnsi="宋体" w:eastAsia="宋体" w:cs="宋体"/>
          <w:bCs w:val="0"/>
          <w:color w:val="000000"/>
          <w:sz w:val="24"/>
          <w:szCs w:val="24"/>
          <w:highlight w:val="none"/>
          <w:lang w:val="en-US" w:eastAsia="zh-CN"/>
        </w:rPr>
        <w:t xml:space="preserve">运维服务人员：不少于2人</w:t>
      </w:r>
      <w:r>
        <w:rPr>
          <w:rFonts w:hint="eastAsia" w:ascii="宋体" w:hAnsi="宋体" w:eastAsia="宋体" w:cs="宋体"/>
          <w:bCs w:val="0"/>
          <w:color w:val="000000"/>
          <w:sz w:val="24"/>
          <w:szCs w:val="24"/>
          <w:highlight w:val="none"/>
          <w:lang w:val="en-US" w:eastAsia="zh-CN"/>
        </w:rPr>
        <w:t xml:space="preserve">（其中1人为运维负责人），</w:t>
      </w:r>
      <w:r>
        <w:rPr>
          <w:rFonts w:ascii="宋体" w:hAnsi="宋体" w:eastAsia="宋体" w:cs="宋体"/>
          <w:bCs w:val="0"/>
          <w:color w:val="000000"/>
          <w:sz w:val="24"/>
          <w:szCs w:val="24"/>
          <w:highlight w:val="none"/>
          <w:lang w:val="en-US" w:eastAsia="zh-CN"/>
        </w:rPr>
        <w:t xml:space="preserve">具有信息化工作经验，主要负责监控系统状态，及时排查、处理故障以及环境维护、数据备份与安全巡检。</w:t>
      </w:r>
      <w:r>
        <w:rPr>
          <w:rFonts w:ascii="宋体" w:hAnsi="宋体" w:eastAsia="宋体" w:cs="宋体"/>
          <w:bCs w:val="0"/>
          <w:color w:val="000000"/>
          <w:sz w:val="24"/>
          <w:szCs w:val="24"/>
          <w:highlight w:val="none"/>
          <w:lang w:val="en-US" w:eastAsia="zh-CN"/>
        </w:rPr>
      </w:r>
      <w:r/>
    </w:p>
    <w:p>
      <w:pPr>
        <w:pStyle w:val="869"/>
        <w:ind w:firstLine="480"/>
        <w:spacing w:line="24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69"/>
        <w:ind w:firstLine="480"/>
        <w:spacing w:line="240"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69"/>
        <w:ind w:firstLine="48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69"/>
        <w:ind w:firstLine="480"/>
        <w:spacing w:line="240"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olor w:val="000000"/>
          <w:sz w:val="24"/>
          <w:szCs w:val="24"/>
          <w:highlight w:val="none"/>
        </w:rPr>
        <w:t xml:space="preserve">30</w:t>
      </w:r>
      <w:r>
        <w:rPr>
          <w:rFonts w:ascii="宋体" w:hAnsi="宋体" w:cs="宋体"/>
          <w:color w:val="000000"/>
          <w:sz w:val="24"/>
          <w:szCs w:val="24"/>
          <w:highlight w:val="none"/>
        </w:rPr>
        <w:t xml:space="preserve">天内交付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69"/>
        <w:ind w:firstLine="480"/>
        <w:spacing w:line="240"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69"/>
        <w:ind w:firstLine="480"/>
        <w:spacing w:line="240" w:lineRule="auto"/>
        <w:rPr>
          <w:rFonts w:hint="eastAsia" w:ascii="宋体" w:hAnsi="宋体" w:cs="宋体"/>
          <w:color w:val="000000"/>
          <w:sz w:val="24"/>
          <w:szCs w:val="24"/>
          <w:highlight w:val="none"/>
        </w:rPr>
      </w:pPr>
      <w:r/>
      <w:bookmarkStart w:id="92" w:name="OLE_LINK1"/>
      <w:r>
        <w:rPr>
          <w:rFonts w:hint="eastAsia" w:ascii="宋体" w:hAnsi="宋体" w:cs="宋体"/>
          <w:color w:val="000000"/>
          <w:sz w:val="24"/>
          <w:szCs w:val="24"/>
          <w:highlight w:val="none"/>
        </w:rPr>
        <w:t xml:space="preserve">6.其他要求</w:t>
      </w:r>
      <w:r>
        <w:rPr>
          <w:rFonts w:hint="eastAsia" w:ascii="宋体" w:hAnsi="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磋商文件中要求提供证明材料的，签订合同时供应商应按磋商文件要求和响应文件响应内容提供相应证明材料原件供采购人核验，否则采购人将取消其成交资格。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spacing w:line="240" w:lineRule="auto"/>
        <w:rPr>
          <w:rFonts w:hint="eastAsia" w:ascii="宋体" w:hAnsi="宋体" w:cs="宋体"/>
          <w:bCs/>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bookmarkEnd w:id="92"/>
      <w:r>
        <w:rPr>
          <w:rFonts w:hint="eastAsia" w:ascii="宋体" w:hAnsi="宋体" w:cs="宋体"/>
          <w:bCs/>
          <w:color w:val="000000"/>
          <w:sz w:val="24"/>
          <w:szCs w:val="24"/>
          <w:highlight w:val="none"/>
        </w:rPr>
      </w:r>
      <w:r/>
    </w:p>
    <w:p>
      <w:pPr>
        <w:pStyle w:val="869"/>
        <w:rPr>
          <w:rFonts w:hint="eastAsia"/>
          <w:color w:val="000000"/>
          <w:highlight w:val="none"/>
        </w:rPr>
      </w:pP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评审方法与评审标准</w:t>
      </w:r>
      <w:r>
        <w:rPr>
          <w:rFonts w:hint="eastAsia" w:ascii="方正小标宋简体" w:hAnsi="方正小标宋简体" w:eastAsia="方正小标宋简体" w:cs="方正小标宋简体"/>
          <w:color w:val="000000"/>
          <w:sz w:val="36"/>
          <w:szCs w:val="36"/>
          <w:highlight w:val="none"/>
        </w:rPr>
      </w:r>
      <w:r/>
    </w:p>
    <w:p>
      <w:pPr>
        <w:pStyle w:val="869"/>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69"/>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一、评审方法</w:t>
      </w:r>
      <w:r>
        <w:rPr>
          <w:rFonts w:hint="eastAsia" w:ascii="黑体" w:hAnsi="黑体" w:eastAsia="黑体" w:cs="黑体"/>
          <w:color w:val="000000"/>
          <w:sz w:val="24"/>
          <w:szCs w:val="24"/>
          <w:highlight w:val="none"/>
        </w:rPr>
      </w:r>
      <w:r/>
    </w:p>
    <w:p>
      <w:pPr>
        <w:pStyle w:val="86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color w:val="000000"/>
          <w:sz w:val="24"/>
          <w:szCs w:val="24"/>
          <w:highlight w:val="none"/>
        </w:rPr>
        <w:t xml:space="preserve">磋商小组按照评审总分由高到低顺序推荐</w:t>
      </w:r>
      <w:r>
        <w:rPr>
          <w:rFonts w:hint="eastAsia" w:ascii="宋体" w:hAnsi="宋体"/>
          <w:b/>
          <w:bCs/>
          <w:color w:val="000000"/>
          <w:sz w:val="24"/>
          <w:szCs w:val="24"/>
          <w:highlight w:val="none"/>
        </w:rPr>
        <w:t xml:space="preserve">3名</w:t>
      </w:r>
      <w:r>
        <w:rPr>
          <w:rFonts w:hint="eastAsia" w:ascii="宋体" w:hAnsi="宋体" w:cs="宋体"/>
          <w:b/>
          <w:bCs/>
          <w:color w:val="000000"/>
          <w:sz w:val="24"/>
          <w:szCs w:val="24"/>
          <w:highlight w:val="none"/>
        </w:rPr>
        <w:t xml:space="preserve">成交候选供应商，符合本磋商文件第二章第23.1.2条第三款情形的，可以推荐2名成交候选供应商。</w:t>
      </w:r>
      <w:r>
        <w:rPr>
          <w:rFonts w:hint="eastAsia" w:ascii="宋体" w:hAnsi="宋体" w:cs="宋体"/>
          <w:color w:val="000000"/>
          <w:sz w:val="24"/>
          <w:szCs w:val="24"/>
          <w:highlight w:val="none"/>
        </w:rPr>
        <w:t xml:space="preserve">评审得分相同的，按照最后报价由低到高的顺序推荐。评审得分且最后报价相同的，按照“评审标准-2.技术”得分由高到低顺序推荐。</w:t>
      </w:r>
      <w:r>
        <w:rPr>
          <w:rFonts w:hint="eastAsia" w:ascii="宋体" w:hAnsi="宋体" w:cs="宋体"/>
          <w:color w:val="000000"/>
          <w:sz w:val="24"/>
          <w:szCs w:val="24"/>
          <w:highlight w:val="none"/>
        </w:rPr>
      </w:r>
      <w:r/>
    </w:p>
    <w:p>
      <w:pPr>
        <w:pStyle w:val="869"/>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rPr>
          <w:rFonts w:hint="eastAsia" w:ascii="黑体" w:hAnsi="黑体" w:eastAsia="黑体" w:cs="黑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6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的价格扣除，用扣除后的价格参与评审。残疾人福利性单位、监狱企业属于小型、微型企业的，不重复享受价格扣除。</w:t>
      </w:r>
      <w:r>
        <w:rPr>
          <w:rFonts w:hint="eastAsia" w:ascii="宋体" w:hAnsi="宋体" w:cs="宋体"/>
          <w:color w:val="000000"/>
          <w:sz w:val="24"/>
          <w:szCs w:val="24"/>
          <w:highlight w:val="none"/>
        </w:rPr>
      </w:r>
      <w:r/>
    </w:p>
    <w:p>
      <w:pPr>
        <w:pStyle w:val="869"/>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、评审标准</w:t>
      </w:r>
      <w:r>
        <w:rPr>
          <w:rFonts w:hint="eastAsia" w:ascii="黑体" w:hAnsi="黑体" w:eastAsia="黑体" w:cs="黑体"/>
          <w:color w:val="000000"/>
          <w:sz w:val="24"/>
          <w:szCs w:val="24"/>
          <w:highlight w:val="none"/>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spacing w:before="122" w:line="288"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序号</w:t>
            </w:r>
            <w:r>
              <w:rPr>
                <w:rFonts w:ascii="Times New Roman" w:hAnsi="Times New Roman" w:cs="Times New Roman"/>
                <w:b/>
                <w:bCs/>
                <w:color w:val="000000"/>
                <w:spacing w:val="-3"/>
                <w:szCs w:val="21"/>
                <w:highlight w:val="none"/>
              </w:rPr>
            </w:r>
            <w:r/>
          </w:p>
        </w:tc>
        <w:tc>
          <w:tcPr>
            <w:tcW w:w="1179" w:type="dxa"/>
            <w:vAlign w:val="top"/>
            <w:textDirection w:val="lrTb"/>
            <w:noWrap w:val="false"/>
          </w:tcPr>
          <w:p>
            <w:pPr>
              <w:pStyle w:val="869"/>
              <w:jc w:val="center"/>
              <w:spacing w:before="122" w:line="288"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评审因素</w:t>
            </w:r>
            <w:r>
              <w:rPr>
                <w:rFonts w:ascii="Times New Roman" w:hAnsi="Times New Roman" w:cs="Times New Roman"/>
                <w:b/>
                <w:bCs/>
                <w:color w:val="000000"/>
                <w:spacing w:val="-3"/>
                <w:szCs w:val="21"/>
                <w:highlight w:val="none"/>
              </w:rPr>
            </w:r>
            <w:r/>
          </w:p>
        </w:tc>
        <w:tc>
          <w:tcPr>
            <w:tcW w:w="6330" w:type="dxa"/>
            <w:vAlign w:val="top"/>
            <w:textDirection w:val="lrTb"/>
            <w:noWrap w:val="false"/>
          </w:tcPr>
          <w:p>
            <w:pPr>
              <w:pStyle w:val="869"/>
              <w:jc w:val="center"/>
              <w:spacing w:before="122" w:line="288"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评审细则</w:t>
            </w:r>
            <w:r>
              <w:rPr>
                <w:rFonts w:ascii="Times New Roman" w:hAnsi="Times New Roman" w:cs="Times New Roman"/>
                <w:b/>
                <w:bCs/>
                <w:color w:val="000000"/>
                <w:spacing w:val="-3"/>
                <w:szCs w:val="21"/>
                <w:highlight w:val="none"/>
              </w:rPr>
            </w:r>
            <w:r/>
          </w:p>
        </w:tc>
        <w:tc>
          <w:tcPr>
            <w:tcW w:w="647" w:type="dxa"/>
            <w:vAlign w:val="top"/>
            <w:textDirection w:val="lrTb"/>
            <w:noWrap w:val="false"/>
          </w:tcPr>
          <w:p>
            <w:pPr>
              <w:pStyle w:val="869"/>
              <w:jc w:val="center"/>
              <w:spacing w:before="122" w:line="288"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分值</w:t>
            </w:r>
            <w:r>
              <w:rPr>
                <w:rFonts w:ascii="Times New Roman" w:hAnsi="Times New Roman" w:cs="Times New Roman"/>
                <w:b/>
                <w:bCs/>
                <w:color w:val="000000"/>
                <w:spacing w:val="-3"/>
                <w:szCs w:val="21"/>
                <w:highlight w:val="none"/>
              </w:rPr>
            </w:r>
            <w:r/>
          </w:p>
        </w:tc>
        <w:tc>
          <w:tcPr>
            <w:tcW w:w="900" w:type="dxa"/>
            <w:vAlign w:val="top"/>
            <w:textDirection w:val="lrTb"/>
            <w:noWrap w:val="false"/>
          </w:tcPr>
          <w:p>
            <w:pPr>
              <w:pStyle w:val="869"/>
              <w:jc w:val="center"/>
              <w:spacing w:before="122" w:line="288"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类型</w:t>
            </w:r>
            <w:r>
              <w:rPr>
                <w:rFonts w:ascii="Times New Roman" w:hAnsi="Times New Roman" w:cs="Times New Roman"/>
                <w:b/>
                <w:bCs/>
                <w:color w:val="000000"/>
                <w:spacing w:val="-3"/>
                <w:szCs w:val="21"/>
                <w:highlight w:val="none"/>
              </w:rPr>
            </w:r>
            <w:r/>
          </w:p>
        </w:tc>
      </w:tr>
      <w:tr>
        <w:trPr>
          <w:trHeight w:val="460"/>
        </w:trPr>
        <w:tc>
          <w:tcPr>
            <w:gridSpan w:val="5"/>
            <w:tcW w:w="9575" w:type="dxa"/>
            <w:vAlign w:val="top"/>
            <w:textDirection w:val="lrTb"/>
            <w:noWrap w:val="false"/>
          </w:tcPr>
          <w:p>
            <w:pPr>
              <w:pStyle w:val="869"/>
              <w:ind w:left="114"/>
              <w:spacing w:before="122" w:line="264" w:lineRule="auto"/>
              <w:rPr>
                <w:rFonts w:ascii="Times New Roman" w:hAnsi="Times New Roman" w:cs="Times New Roman"/>
                <w:color w:val="000000"/>
                <w:highlight w:val="none"/>
              </w:rPr>
            </w:pPr>
            <w:r>
              <w:rPr>
                <w:rFonts w:ascii="Times New Roman" w:hAnsi="Times New Roman" w:cs="Times New Roman"/>
                <w:b/>
                <w:bCs/>
                <w:color w:val="000000"/>
                <w:spacing w:val="-3"/>
                <w:highlight w:val="none"/>
              </w:rPr>
              <w:t xml:space="preserve">1.</w:t>
            </w:r>
            <w:r>
              <w:rPr>
                <w:rFonts w:ascii="Times New Roman" w:hAnsi="Times New Roman" w:cs="Times New Roman"/>
                <w:b/>
                <w:bCs/>
                <w:color w:val="000000"/>
                <w:spacing w:val="-3"/>
                <w:highlight w:val="none"/>
              </w:rPr>
              <w:t xml:space="preserve">价</w:t>
            </w:r>
            <w:r>
              <w:rPr>
                <w:rFonts w:ascii="Times New Roman" w:hAnsi="Times New Roman" w:cs="Times New Roman"/>
                <w:b/>
                <w:bCs/>
                <w:color w:val="000000"/>
                <w:spacing w:val="-2"/>
                <w:highlight w:val="none"/>
              </w:rPr>
              <w:t xml:space="preserve">格</w:t>
            </w:r>
            <w:r>
              <w:rPr>
                <w:rFonts w:ascii="Times New Roman" w:hAnsi="Times New Roman" w:cs="Times New Roman"/>
                <w:color w:val="000000"/>
                <w:highlight w:val="none"/>
              </w:rPr>
            </w:r>
            <w:r/>
          </w:p>
        </w:tc>
      </w:tr>
      <w:tr>
        <w:trPr>
          <w:trHeight w:val="90"/>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rFonts w:ascii="Times New Roman" w:hAnsi="Times New Roman" w:cs="Times New Roman"/>
                <w:color w:val="000000"/>
                <w:spacing w:val="-6"/>
                <w:highlight w:val="none"/>
              </w:rPr>
              <w:t xml:space="preserve">1</w:t>
            </w:r>
            <w:r>
              <w:rPr>
                <w:rFonts w:ascii="Times New Roman" w:hAnsi="Times New Roman" w:cs="Times New Roman"/>
                <w:color w:val="000000"/>
                <w:spacing w:val="-5"/>
                <w:highlight w:val="none"/>
              </w:rPr>
              <w:t xml:space="preserve">.1</w:t>
            </w:r>
            <w:r>
              <w:rPr>
                <w:rFonts w:ascii="Times New Roman" w:hAnsi="Times New Roman" w:cs="Times New Roman"/>
                <w:color w:val="000000"/>
                <w:highlight w:val="none"/>
              </w:rPr>
            </w:r>
            <w:r/>
          </w:p>
        </w:tc>
        <w:tc>
          <w:tcPr>
            <w:tcW w:w="1179" w:type="dxa"/>
            <w:vAlign w:val="center"/>
            <w:textDirection w:val="lrTb"/>
            <w:noWrap w:val="false"/>
          </w:tcPr>
          <w:p>
            <w:pPr>
              <w:pStyle w:val="869"/>
              <w:jc w:val="left"/>
              <w:spacing w:before="68" w:line="264" w:lineRule="auto"/>
              <w:rPr>
                <w:rFonts w:ascii="Times New Roman" w:hAnsi="Times New Roman" w:cs="Times New Roman"/>
                <w:color w:val="000000"/>
                <w:highlight w:val="none"/>
              </w:rPr>
            </w:pPr>
            <w:r>
              <w:rPr>
                <w:rFonts w:ascii="Times New Roman" w:hAnsi="Times New Roman" w:cs="Times New Roman"/>
                <w:color w:val="000000"/>
                <w:spacing w:val="-2"/>
                <w:highlight w:val="none"/>
              </w:rPr>
              <w:t xml:space="preserve">价格分</w:t>
            </w:r>
            <w:r>
              <w:rPr>
                <w:rFonts w:ascii="Times New Roman" w:hAnsi="Times New Roman" w:cs="Times New Roman"/>
                <w:color w:val="000000"/>
                <w:highlight w:val="none"/>
              </w:rPr>
            </w:r>
            <w:r/>
          </w:p>
        </w:tc>
        <w:tc>
          <w:tcPr>
            <w:tcW w:w="6330" w:type="dxa"/>
            <w:vAlign w:val="center"/>
            <w:textDirection w:val="lrTb"/>
            <w:noWrap w:val="false"/>
          </w:tcPr>
          <w:p>
            <w:pPr>
              <w:pStyle w:val="869"/>
              <w:jc w:val="left"/>
              <w:spacing w:line="264"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采用低价优先法计算，即满足磋商文件要求且最终报价最低的供应商报价为评审基准价，其价格分为满分。其他供应商的价格分统一按照下列公式计算：报价得分=（评审基准价/最终报价）×价格分值（小数点保留两位）</w:t>
            </w:r>
            <w:r>
              <w:rPr>
                <w:rFonts w:ascii="Times New Roman" w:hAnsi="Times New Roman" w:cs="Times New Roman"/>
                <w:color w:val="000000"/>
                <w:highlight w:val="none"/>
              </w:rPr>
            </w:r>
            <w:r/>
          </w:p>
          <w:p>
            <w:pPr>
              <w:pStyle w:val="869"/>
              <w:jc w:val="left"/>
              <w:spacing w:line="264" w:lineRule="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因落实政府采购政策进行价格调整的，以调整后的价格计算评</w:t>
            </w:r>
            <w:r>
              <w:rPr>
                <w:rFonts w:ascii="Times New Roman" w:hAnsi="Times New Roman" w:cs="Times New Roman"/>
                <w:color w:val="000000"/>
                <w:highlight w:val="none"/>
              </w:rPr>
              <w:t xml:space="preserve">审</w:t>
            </w:r>
            <w:r>
              <w:rPr>
                <w:rFonts w:ascii="Times New Roman" w:hAnsi="Times New Roman" w:cs="Times New Roman"/>
                <w:color w:val="000000"/>
                <w:szCs w:val="21"/>
                <w:highlight w:val="none"/>
              </w:rPr>
              <w:t xml:space="preserve">基准价和最终报价。</w:t>
            </w:r>
            <w:r>
              <w:rPr>
                <w:rFonts w:ascii="Times New Roman" w:hAnsi="Times New Roman" w:cs="Times New Roman"/>
                <w:color w:val="000000"/>
                <w:highlight w:val="none"/>
              </w:rPr>
            </w:r>
            <w:r/>
          </w:p>
        </w:tc>
        <w:tc>
          <w:tcPr>
            <w:tcW w:w="647"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w:t>
            </w:r>
            <w:r>
              <w:rPr>
                <w:rFonts w:ascii="Times New Roman" w:hAnsi="Times New Roman" w:cs="Times New Roman"/>
                <w:color w:val="000000"/>
                <w:highlight w:val="none"/>
              </w:rPr>
            </w:r>
            <w:r/>
          </w:p>
        </w:tc>
        <w:tc>
          <w:tcPr>
            <w:tcW w:w="900"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价格分</w:t>
            </w:r>
            <w:r>
              <w:rPr>
                <w:rFonts w:ascii="Times New Roman" w:hAnsi="Times New Roman" w:cs="Times New Roman"/>
                <w:color w:val="000000"/>
                <w:highlight w:val="none"/>
              </w:rPr>
            </w:r>
            <w:r/>
          </w:p>
        </w:tc>
      </w:tr>
      <w:tr>
        <w:trPr>
          <w:trHeight w:val="460"/>
        </w:trPr>
        <w:tc>
          <w:tcPr>
            <w:gridSpan w:val="5"/>
            <w:tcW w:w="9575" w:type="dxa"/>
            <w:vAlign w:val="top"/>
            <w:textDirection w:val="lrTb"/>
            <w:noWrap w:val="false"/>
          </w:tcPr>
          <w:p>
            <w:pPr>
              <w:pStyle w:val="869"/>
              <w:ind w:left="114"/>
              <w:spacing w:before="123" w:line="264" w:lineRule="auto"/>
              <w:rPr>
                <w:rFonts w:ascii="Times New Roman" w:hAnsi="Times New Roman" w:cs="Times New Roman"/>
                <w:color w:val="000000"/>
                <w:highlight w:val="none"/>
              </w:rPr>
            </w:pPr>
            <w:r>
              <w:rPr>
                <w:rFonts w:ascii="Times New Roman" w:hAnsi="Times New Roman" w:cs="Times New Roman"/>
                <w:b/>
                <w:bCs/>
                <w:color w:val="000000"/>
                <w:spacing w:val="-3"/>
                <w:highlight w:val="none"/>
              </w:rPr>
              <w:t xml:space="preserve">2.技术</w:t>
            </w:r>
            <w:r>
              <w:rPr>
                <w:rFonts w:ascii="Times New Roman" w:hAnsi="Times New Roman" w:cs="Times New Roman"/>
                <w:color w:val="000000"/>
                <w:highlight w:val="none"/>
              </w:rPr>
            </w:r>
            <w:r/>
          </w:p>
        </w:tc>
      </w:tr>
      <w:tr>
        <w:trPr>
          <w:trHeight w:val="479"/>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spacing w:val="-2"/>
                <w:highlight w:val="none"/>
              </w:rPr>
            </w:pPr>
            <w:r>
              <w:rPr>
                <w:rFonts w:ascii="Times New Roman" w:hAnsi="Times New Roman" w:cs="Times New Roman"/>
                <w:color w:val="000000"/>
                <w:spacing w:val="-2"/>
                <w:highlight w:val="none"/>
              </w:rPr>
              <w:t xml:space="preserve">2.1</w:t>
            </w:r>
            <w:r>
              <w:rPr>
                <w:rFonts w:ascii="Times New Roman" w:hAnsi="Times New Roman" w:cs="Times New Roman"/>
                <w:color w:val="000000"/>
                <w:spacing w:val="-2"/>
                <w:highlight w:val="none"/>
              </w:rPr>
            </w:r>
            <w:r/>
          </w:p>
        </w:tc>
        <w:tc>
          <w:tcPr>
            <w:tcW w:w="1179" w:type="dxa"/>
            <w:vAlign w:val="center"/>
            <w:textDirection w:val="lrTb"/>
            <w:noWrap w:val="false"/>
          </w:tcPr>
          <w:p>
            <w:pPr>
              <w:pStyle w:val="869"/>
              <w:jc w:val="center"/>
              <w:rPr>
                <w:rFonts w:ascii="Times New Roman" w:hAnsi="Times New Roman" w:cs="Times New Roman"/>
                <w:color w:val="000000"/>
                <w:spacing w:val="-2"/>
                <w:highlight w:val="none"/>
              </w:rPr>
            </w:pPr>
            <w:r>
              <w:rPr>
                <w:rFonts w:ascii="Times New Roman" w:hAnsi="Times New Roman" w:cs="Times New Roman"/>
                <w:color w:val="000000"/>
                <w:szCs w:val="21"/>
                <w:highlight w:val="none"/>
              </w:rPr>
              <w:t xml:space="preserve">技术要求响应</w:t>
            </w:r>
            <w:r>
              <w:rPr>
                <w:rFonts w:ascii="Times New Roman" w:hAnsi="Times New Roman" w:cs="Times New Roman"/>
                <w:color w:val="000000"/>
                <w:spacing w:val="-2"/>
                <w:highlight w:val="none"/>
              </w:rPr>
            </w:r>
            <w:r/>
          </w:p>
        </w:tc>
        <w:tc>
          <w:tcPr>
            <w:tcW w:w="6330" w:type="dxa"/>
            <w:vAlign w:val="center"/>
            <w:textDirection w:val="lrTb"/>
            <w:noWrap w:val="false"/>
          </w:tcPr>
          <w:p>
            <w:pPr>
              <w:pStyle w:val="869"/>
              <w:rPr>
                <w:rFonts w:ascii="Times New Roman" w:hAnsi="Times New Roman" w:cs="Times New Roman"/>
                <w:color w:val="000000"/>
                <w:highlight w:val="none"/>
              </w:rPr>
            </w:pPr>
            <w:r>
              <w:rPr>
                <w:rFonts w:ascii="Times New Roman" w:hAnsi="Times New Roman" w:cs="Times New Roman"/>
                <w:color w:val="000000"/>
                <w:szCs w:val="21"/>
                <w:highlight w:val="none"/>
              </w:rPr>
              <w:t xml:space="preserve">技术要求响应全部满足招标要求的得满分15分；打▲号为重要指标，有一项负偏离扣2分；其他参数，有一项负偏离扣</w:t>
            </w:r>
            <w:r>
              <w:rPr>
                <w:rFonts w:ascii="Times New Roman" w:hAnsi="Times New Roman" w:cs="Times New Roman"/>
                <w:color w:val="000000"/>
                <w:szCs w:val="21"/>
                <w:highlight w:val="none"/>
              </w:rPr>
              <w:t xml:space="preserve">0.35</w:t>
            </w:r>
            <w:r>
              <w:rPr>
                <w:rFonts w:ascii="Times New Roman" w:hAnsi="Times New Roman" w:cs="Times New Roman"/>
                <w:color w:val="000000"/>
                <w:szCs w:val="21"/>
                <w:highlight w:val="none"/>
              </w:rPr>
              <w:t xml:space="preserve">分。</w:t>
            </w:r>
            <w:r>
              <w:rPr>
                <w:rFonts w:ascii="Times New Roman" w:hAnsi="Times New Roman" w:cs="Times New Roman"/>
                <w:color w:val="000000"/>
                <w:highlight w:val="none"/>
              </w:rPr>
            </w:r>
            <w:r/>
          </w:p>
        </w:tc>
        <w:tc>
          <w:tcPr>
            <w:tcW w:w="647" w:type="dxa"/>
            <w:vAlign w:val="center"/>
            <w:textDirection w:val="lrTb"/>
            <w:noWrap w:val="false"/>
          </w:tcPr>
          <w:p>
            <w:pPr>
              <w:pStyle w:val="869"/>
              <w:jc w:val="center"/>
              <w:rPr>
                <w:rFonts w:ascii="Times New Roman" w:hAnsi="Times New Roman" w:cs="Times New Roman"/>
                <w:color w:val="000000"/>
                <w:highlight w:val="none"/>
              </w:rPr>
            </w:pPr>
            <w:r>
              <w:rPr>
                <w:rFonts w:ascii="Times New Roman" w:hAnsi="Times New Roman" w:cs="Times New Roman"/>
                <w:color w:val="000000"/>
                <w:szCs w:val="21"/>
                <w:highlight w:val="none"/>
              </w:rPr>
              <w:t xml:space="preserve">15</w:t>
            </w:r>
            <w:r>
              <w:rPr>
                <w:rFonts w:ascii="Times New Roman" w:hAnsi="Times New Roman" w:cs="Times New Roman"/>
                <w:color w:val="000000"/>
                <w:highlight w:val="none"/>
              </w:rPr>
            </w:r>
            <w:r/>
          </w:p>
        </w:tc>
        <w:tc>
          <w:tcPr>
            <w:tcW w:w="900"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rFonts w:ascii="Times New Roman" w:hAnsi="Times New Roman" w:cs="Times New Roman"/>
                <w:color w:val="000000"/>
                <w:spacing w:val="-6"/>
                <w:highlight w:val="none"/>
              </w:rPr>
              <w:t xml:space="preserve">客</w:t>
            </w:r>
            <w:r>
              <w:rPr>
                <w:rFonts w:ascii="Times New Roman" w:hAnsi="Times New Roman" w:cs="Times New Roman"/>
                <w:color w:val="000000"/>
                <w:spacing w:val="-4"/>
                <w:highlight w:val="none"/>
              </w:rPr>
              <w:t xml:space="preserve">观</w:t>
            </w:r>
            <w:r>
              <w:rPr>
                <w:rFonts w:ascii="Times New Roman" w:hAnsi="Times New Roman" w:cs="Times New Roman"/>
                <w:color w:val="000000"/>
                <w:spacing w:val="-4"/>
                <w:highlight w:val="none"/>
              </w:rPr>
              <w:t xml:space="preserve">分</w:t>
            </w:r>
            <w:r>
              <w:rPr>
                <w:rFonts w:ascii="Times New Roman" w:hAnsi="Times New Roman" w:cs="Times New Roman"/>
                <w:color w:val="000000"/>
                <w:highlight w:val="none"/>
              </w:rPr>
            </w:r>
            <w:r/>
          </w:p>
        </w:tc>
      </w:tr>
      <w:tr>
        <w:trPr>
          <w:trHeight w:val="315"/>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spacing w:val="-2"/>
                <w:highlight w:val="none"/>
              </w:rPr>
            </w:pPr>
            <w:r>
              <w:rPr>
                <w:color w:val="000000"/>
                <w:spacing w:val="-2"/>
                <w:highlight w:val="none"/>
              </w:rPr>
              <w:t xml:space="preserve">2.2</w:t>
            </w:r>
            <w:r>
              <w:rPr>
                <w:rFonts w:ascii="Times New Roman" w:hAnsi="Times New Roman" w:cs="Times New Roman"/>
                <w:color w:val="000000"/>
                <w:spacing w:val="-2"/>
                <w:highlight w:val="none"/>
              </w:rPr>
            </w:r>
            <w:r/>
          </w:p>
        </w:tc>
        <w:tc>
          <w:tcPr>
            <w:tcW w:w="1179" w:type="dxa"/>
            <w:vAlign w:val="center"/>
            <w:textDirection w:val="lrTb"/>
            <w:noWrap w:val="false"/>
          </w:tcPr>
          <w:p>
            <w:pPr>
              <w:pStyle w:val="869"/>
              <w:spacing w:line="264" w:lineRule="auto"/>
              <w:rPr>
                <w:rFonts w:ascii="Times New Roman" w:hAnsi="Times New Roman" w:cs="Times New Roman"/>
                <w:color w:val="000000"/>
                <w:highlight w:val="none"/>
              </w:rPr>
            </w:pPr>
            <w:r>
              <w:rPr>
                <w:color w:val="000000"/>
                <w:szCs w:val="21"/>
                <w:highlight w:val="none"/>
              </w:rPr>
              <w:t xml:space="preserve">总体方案</w:t>
            </w:r>
            <w:r>
              <w:rPr>
                <w:rFonts w:ascii="Times New Roman" w:hAnsi="Times New Roman" w:cs="Times New Roman"/>
                <w:color w:val="000000"/>
                <w:highlight w:val="none"/>
              </w:rPr>
            </w:r>
            <w:r/>
          </w:p>
        </w:tc>
        <w:tc>
          <w:tcPr>
            <w:tcW w:w="6330" w:type="dxa"/>
            <w:vAlign w:val="center"/>
            <w:textDirection w:val="lrTb"/>
            <w:noWrap w:val="false"/>
          </w:tcPr>
          <w:p>
            <w:pPr>
              <w:pStyle w:val="869"/>
              <w:rPr>
                <w:color w:val="000000"/>
                <w:szCs w:val="21"/>
                <w:highlight w:val="none"/>
              </w:rPr>
            </w:pPr>
            <w:r>
              <w:rPr>
                <w:color w:val="000000"/>
                <w:szCs w:val="21"/>
                <w:highlight w:val="none"/>
              </w:rPr>
              <w:t xml:space="preserve">根据本项目采购需求编制总体方案，内容包含：1.项目</w:t>
            </w:r>
            <w:r>
              <w:rPr>
                <w:rFonts w:hint="eastAsia"/>
                <w:color w:val="000000"/>
                <w:highlight w:val="none"/>
                <w:lang w:val="en-US" w:eastAsia="zh-CN"/>
              </w:rPr>
              <w:t xml:space="preserve">情况分析</w:t>
            </w:r>
            <w:r>
              <w:rPr>
                <w:rFonts w:hint="eastAsia"/>
                <w:color w:val="000000"/>
                <w:szCs w:val="21"/>
                <w:highlight w:val="none"/>
                <w:lang w:eastAsia="zh-CN"/>
              </w:rPr>
              <w:t xml:space="preserve">；</w:t>
            </w:r>
            <w:r>
              <w:rPr>
                <w:color w:val="000000"/>
                <w:szCs w:val="21"/>
                <w:highlight w:val="none"/>
              </w:rPr>
              <w:t xml:space="preserve">2.</w:t>
            </w:r>
            <w:r>
              <w:rPr>
                <w:rFonts w:hint="eastAsia"/>
                <w:color w:val="000000"/>
                <w:szCs w:val="21"/>
                <w:highlight w:val="none"/>
              </w:rPr>
              <w:t xml:space="preserve">需求理解；3.总体</w:t>
            </w:r>
            <w:r>
              <w:rPr>
                <w:color w:val="000000"/>
                <w:szCs w:val="21"/>
                <w:highlight w:val="none"/>
              </w:rPr>
              <w:t xml:space="preserve">设计。以上每项内容逐项评分：</w:t>
            </w:r>
            <w:r>
              <w:rPr>
                <w:color w:val="000000"/>
                <w:szCs w:val="21"/>
                <w:highlight w:val="none"/>
              </w:rPr>
            </w:r>
            <w:r/>
          </w:p>
          <w:p>
            <w:pPr>
              <w:pStyle w:val="869"/>
              <w:rPr>
                <w:color w:val="000000"/>
                <w:highlight w:val="none"/>
              </w:rPr>
            </w:pPr>
            <w:r>
              <w:rPr>
                <w:color w:val="000000"/>
                <w:highlight w:val="none"/>
              </w:rPr>
              <w:t xml:space="preserve">方案内容</w:t>
            </w:r>
            <w:r>
              <w:rPr>
                <w:color w:val="000000"/>
                <w:szCs w:val="21"/>
                <w:highlight w:val="none"/>
              </w:rPr>
              <w:t xml:space="preserve">全面、科学合理，且</w:t>
            </w:r>
            <w:r>
              <w:rPr>
                <w:color w:val="000000"/>
                <w:highlight w:val="none"/>
              </w:rPr>
              <w:t xml:space="preserve">专门针对本项目，契合采购需求视为符合；方案内容属于通用类，非专门针对本项目，部分契合采购需求视为部分符合；方案内容非专门针对本项目，脱离采购需求视为不符合。</w:t>
            </w:r>
            <w:r>
              <w:rPr>
                <w:color w:val="000000"/>
                <w:highlight w:val="none"/>
              </w:rPr>
            </w:r>
            <w:r/>
          </w:p>
          <w:p>
            <w:pPr>
              <w:pStyle w:val="869"/>
              <w:rPr>
                <w:color w:val="000000"/>
                <w:highlight w:val="none"/>
              </w:rPr>
            </w:pPr>
            <w:r>
              <w:rPr>
                <w:color w:val="000000"/>
                <w:highlight w:val="none"/>
              </w:rPr>
              <w:t xml:space="preserve">上述每项内容符合得</w:t>
            </w:r>
            <w:r>
              <w:rPr>
                <w:rFonts w:hint="eastAsia"/>
                <w:color w:val="000000"/>
                <w:highlight w:val="none"/>
              </w:rPr>
              <w:t xml:space="preserve">2</w:t>
            </w:r>
            <w:r>
              <w:rPr>
                <w:color w:val="000000"/>
                <w:highlight w:val="none"/>
              </w:rPr>
              <w:t xml:space="preserve">分；部分符合得1分；不符合或不提供不得分。</w:t>
            </w:r>
            <w:r>
              <w:rPr>
                <w:color w:val="000000"/>
                <w:highlight w:val="none"/>
              </w:rPr>
            </w:r>
            <w:r/>
          </w:p>
        </w:tc>
        <w:tc>
          <w:tcPr>
            <w:tcW w:w="647"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rFonts w:hint="eastAsia"/>
                <w:color w:val="000000"/>
                <w:szCs w:val="21"/>
                <w:highlight w:val="none"/>
              </w:rPr>
              <w:t xml:space="preserve">6</w:t>
            </w:r>
            <w:r>
              <w:rPr>
                <w:rFonts w:ascii="Times New Roman" w:hAnsi="Times New Roman" w:cs="Times New Roman"/>
                <w:color w:val="000000"/>
                <w:highlight w:val="none"/>
              </w:rPr>
            </w:r>
            <w:r/>
          </w:p>
        </w:tc>
        <w:tc>
          <w:tcPr>
            <w:tcW w:w="900"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color w:val="000000"/>
                <w:spacing w:val="-4"/>
                <w:highlight w:val="none"/>
              </w:rPr>
              <w:t xml:space="preserve">主观分</w:t>
            </w:r>
            <w:r>
              <w:rPr>
                <w:rFonts w:ascii="Times New Roman" w:hAnsi="Times New Roman" w:cs="Times New Roman"/>
                <w:color w:val="000000"/>
                <w:highlight w:val="none"/>
              </w:rPr>
            </w:r>
            <w:r/>
          </w:p>
        </w:tc>
      </w:tr>
      <w:tr>
        <w:trPr>
          <w:trHeight w:val="315"/>
        </w:trPr>
        <w:tc>
          <w:tcPr>
            <w:tcW w:w="519" w:type="dxa"/>
            <w:vAlign w:val="center"/>
            <w:textDirection w:val="lrTb"/>
            <w:noWrap w:val="false"/>
          </w:tcPr>
          <w:p>
            <w:pPr>
              <w:pStyle w:val="869"/>
              <w:jc w:val="center"/>
              <w:rPr>
                <w:rFonts w:ascii="Times New Roman" w:hAnsi="Times New Roman" w:cs="Times New Roman"/>
                <w:color w:val="000000"/>
                <w:spacing w:val="-2"/>
                <w:highlight w:val="none"/>
              </w:rPr>
            </w:pPr>
            <w:r>
              <w:rPr>
                <w:color w:val="000000"/>
                <w:szCs w:val="21"/>
                <w:highlight w:val="none"/>
              </w:rPr>
              <w:t xml:space="preserve">2.3</w:t>
            </w:r>
            <w:r>
              <w:rPr>
                <w:rFonts w:ascii="Times New Roman" w:hAnsi="Times New Roman" w:cs="Times New Roman"/>
                <w:color w:val="000000"/>
                <w:spacing w:val="-2"/>
                <w:highlight w:val="none"/>
              </w:rPr>
            </w:r>
            <w:r/>
          </w:p>
        </w:tc>
        <w:tc>
          <w:tcPr>
            <w:tcW w:w="1179" w:type="dxa"/>
            <w:vAlign w:val="center"/>
            <w:textDirection w:val="lrTb"/>
            <w:noWrap w:val="false"/>
          </w:tcPr>
          <w:p>
            <w:pPr>
              <w:pStyle w:val="869"/>
              <w:jc w:val="center"/>
              <w:rPr>
                <w:rFonts w:ascii="Times New Roman" w:hAnsi="Times New Roman" w:cs="Times New Roman"/>
                <w:color w:val="000000"/>
                <w:szCs w:val="21"/>
                <w:highlight w:val="none"/>
              </w:rPr>
            </w:pPr>
            <w:r>
              <w:rPr>
                <w:rFonts w:hint="eastAsia"/>
                <w:color w:val="000000"/>
                <w:szCs w:val="21"/>
                <w:highlight w:val="none"/>
              </w:rPr>
              <w:t xml:space="preserve">人员与设备管理</w:t>
            </w:r>
            <w:r>
              <w:rPr>
                <w:color w:val="000000"/>
                <w:szCs w:val="21"/>
                <w:highlight w:val="none"/>
              </w:rPr>
              <w:t xml:space="preserve">方案</w:t>
            </w:r>
            <w:r>
              <w:rPr>
                <w:rFonts w:ascii="Times New Roman" w:hAnsi="Times New Roman" w:cs="Times New Roman"/>
                <w:color w:val="000000"/>
                <w:szCs w:val="21"/>
                <w:highlight w:val="none"/>
              </w:rPr>
            </w:r>
            <w:r/>
          </w:p>
        </w:tc>
        <w:tc>
          <w:tcPr>
            <w:tcW w:w="6330" w:type="dxa"/>
            <w:vAlign w:val="center"/>
            <w:textDirection w:val="lrTb"/>
            <w:noWrap w:val="false"/>
          </w:tcPr>
          <w:p>
            <w:pPr>
              <w:pStyle w:val="869"/>
              <w:rPr>
                <w:color w:val="000000"/>
                <w:szCs w:val="21"/>
                <w:highlight w:val="none"/>
              </w:rPr>
            </w:pPr>
            <w:r>
              <w:rPr>
                <w:color w:val="000000"/>
                <w:szCs w:val="21"/>
                <w:highlight w:val="none"/>
              </w:rPr>
              <w:t xml:space="preserve">根据本项目采购需求编制</w:t>
            </w:r>
            <w:r>
              <w:rPr>
                <w:rFonts w:hint="eastAsia"/>
                <w:color w:val="000000"/>
                <w:szCs w:val="21"/>
                <w:highlight w:val="none"/>
              </w:rPr>
              <w:t xml:space="preserve">人员与设备管理</w:t>
            </w:r>
            <w:r>
              <w:rPr>
                <w:color w:val="000000"/>
                <w:szCs w:val="21"/>
                <w:highlight w:val="none"/>
              </w:rPr>
              <w:t xml:space="preserve">方案，内容包含：1.</w:t>
            </w:r>
            <w:r>
              <w:rPr>
                <w:color w:val="000000"/>
                <w:highlight w:val="none"/>
              </w:rPr>
              <w:t xml:space="preserve">人员准入与权限管理；2.设备管理与预约；3.检验检测业务管理；4.智能计费管理。</w:t>
            </w:r>
            <w:r>
              <w:rPr>
                <w:color w:val="000000"/>
                <w:szCs w:val="21"/>
                <w:highlight w:val="none"/>
              </w:rPr>
              <w:t xml:space="preserve">以上每项内容逐项评分：</w:t>
            </w:r>
            <w:r>
              <w:rPr>
                <w:color w:val="000000"/>
                <w:szCs w:val="21"/>
                <w:highlight w:val="none"/>
              </w:rPr>
            </w:r>
            <w:r/>
          </w:p>
          <w:p>
            <w:pPr>
              <w:pStyle w:val="869"/>
              <w:rPr>
                <w:color w:val="000000"/>
                <w:highlight w:val="none"/>
              </w:rPr>
            </w:pPr>
            <w:r>
              <w:rPr>
                <w:color w:val="000000"/>
                <w:highlight w:val="none"/>
              </w:rPr>
              <w:t xml:space="preserve">方案内容</w:t>
            </w:r>
            <w:r>
              <w:rPr>
                <w:color w:val="000000"/>
                <w:szCs w:val="21"/>
                <w:highlight w:val="none"/>
              </w:rPr>
              <w:t xml:space="preserve">全面、科学合理，且</w:t>
            </w:r>
            <w:r>
              <w:rPr>
                <w:color w:val="000000"/>
                <w:highlight w:val="none"/>
              </w:rPr>
              <w:t xml:space="preserve">专门针对本项目，契合采购需求视为符合；方案内容属于通用类，非专门针对本项目，部分契合采购需求视为部分符合；方案内容非专门针对本项目，脱离采购需求视为不符合。</w:t>
            </w:r>
            <w:r>
              <w:rPr>
                <w:color w:val="000000"/>
                <w:highlight w:val="none"/>
              </w:rPr>
            </w:r>
            <w:r/>
          </w:p>
          <w:p>
            <w:pPr>
              <w:pStyle w:val="869"/>
              <w:rPr>
                <w:rFonts w:ascii="Times New Roman" w:hAnsi="Times New Roman" w:cs="Times New Roman"/>
                <w:color w:val="000000"/>
                <w:szCs w:val="21"/>
                <w:highlight w:val="none"/>
              </w:rPr>
            </w:pPr>
            <w:r>
              <w:rPr>
                <w:color w:val="000000"/>
                <w:highlight w:val="none"/>
              </w:rPr>
              <w:t xml:space="preserve">上述每项内容符合得</w:t>
            </w:r>
            <w:r>
              <w:rPr>
                <w:rFonts w:hint="eastAsia"/>
                <w:color w:val="000000"/>
                <w:highlight w:val="none"/>
              </w:rPr>
              <w:t xml:space="preserve">2</w:t>
            </w:r>
            <w:r>
              <w:rPr>
                <w:color w:val="000000"/>
                <w:highlight w:val="none"/>
              </w:rPr>
              <w:t xml:space="preserve">分；部分符合得</w:t>
            </w:r>
            <w:r>
              <w:rPr>
                <w:rFonts w:hint="eastAsia"/>
                <w:color w:val="000000"/>
                <w:highlight w:val="none"/>
              </w:rPr>
              <w:t xml:space="preserve">1</w:t>
            </w:r>
            <w:r>
              <w:rPr>
                <w:color w:val="000000"/>
                <w:highlight w:val="none"/>
              </w:rPr>
              <w:t xml:space="preserve">分；不符合或不提供不得分。</w:t>
            </w:r>
            <w:r>
              <w:rPr>
                <w:rFonts w:ascii="Times New Roman" w:hAnsi="Times New Roman" w:cs="Times New Roman"/>
                <w:color w:val="000000"/>
                <w:szCs w:val="21"/>
                <w:highlight w:val="none"/>
              </w:rPr>
            </w:r>
            <w:r/>
          </w:p>
        </w:tc>
        <w:tc>
          <w:tcPr>
            <w:tcW w:w="647" w:type="dxa"/>
            <w:vAlign w:val="center"/>
            <w:textDirection w:val="lrTb"/>
            <w:noWrap w:val="false"/>
          </w:tcPr>
          <w:p>
            <w:pPr>
              <w:pStyle w:val="869"/>
              <w:jc w:val="center"/>
              <w:rPr>
                <w:rFonts w:ascii="Times New Roman" w:hAnsi="Times New Roman" w:cs="Times New Roman"/>
                <w:color w:val="000000"/>
                <w:szCs w:val="21"/>
                <w:highlight w:val="none"/>
              </w:rPr>
            </w:pPr>
            <w:r>
              <w:rPr>
                <w:rFonts w:hint="eastAsia"/>
                <w:color w:val="000000"/>
                <w:szCs w:val="21"/>
                <w:highlight w:val="none"/>
              </w:rPr>
              <w:t xml:space="preserve">8</w:t>
            </w:r>
            <w:r>
              <w:rPr>
                <w:rFonts w:ascii="Times New Roman" w:hAnsi="Times New Roman" w:cs="Times New Roman"/>
                <w:color w:val="000000"/>
                <w:szCs w:val="21"/>
                <w:highlight w:val="none"/>
              </w:rPr>
            </w:r>
            <w:r/>
          </w:p>
        </w:tc>
        <w:tc>
          <w:tcPr>
            <w:tcW w:w="900" w:type="dxa"/>
            <w:vAlign w:val="center"/>
            <w:textDirection w:val="lrTb"/>
            <w:noWrap w:val="false"/>
          </w:tcPr>
          <w:p>
            <w:pPr>
              <w:pStyle w:val="869"/>
              <w:jc w:val="center"/>
              <w:rPr>
                <w:rFonts w:ascii="Times New Roman" w:hAnsi="Times New Roman" w:cs="Times New Roman"/>
                <w:color w:val="000000"/>
                <w:spacing w:val="-4"/>
                <w:highlight w:val="none"/>
              </w:rPr>
            </w:pPr>
            <w:r>
              <w:rPr>
                <w:color w:val="000000"/>
                <w:highlight w:val="none"/>
              </w:rPr>
              <w:t xml:space="preserve">主观分</w:t>
            </w:r>
            <w:r>
              <w:rPr>
                <w:rFonts w:ascii="Times New Roman" w:hAnsi="Times New Roman" w:cs="Times New Roman"/>
                <w:color w:val="000000"/>
                <w:spacing w:val="-4"/>
                <w:highlight w:val="none"/>
              </w:rPr>
            </w:r>
            <w:r/>
          </w:p>
        </w:tc>
      </w:tr>
      <w:tr>
        <w:trPr>
          <w:trHeight w:val="472"/>
        </w:trPr>
        <w:tc>
          <w:tcPr>
            <w:tcW w:w="519" w:type="dxa"/>
            <w:vAlign w:val="center"/>
            <w:textDirection w:val="lrTb"/>
            <w:noWrap w:val="false"/>
          </w:tcPr>
          <w:p>
            <w:pPr>
              <w:pStyle w:val="869"/>
              <w:jc w:val="center"/>
              <w:rPr>
                <w:rFonts w:ascii="Times New Roman" w:hAnsi="Times New Roman" w:cs="Times New Roman"/>
                <w:color w:val="000000"/>
                <w:highlight w:val="none"/>
              </w:rPr>
            </w:pPr>
            <w:r>
              <w:rPr>
                <w:rFonts w:hint="eastAsia"/>
                <w:color w:val="000000"/>
                <w:szCs w:val="21"/>
                <w:highlight w:val="none"/>
              </w:rPr>
              <w:t xml:space="preserve">2.4</w:t>
            </w:r>
            <w:r>
              <w:rPr>
                <w:rFonts w:ascii="Times New Roman" w:hAnsi="Times New Roman" w:cs="Times New Roman"/>
                <w:color w:val="000000"/>
                <w:highlight w:val="none"/>
              </w:rPr>
            </w:r>
            <w:r/>
          </w:p>
        </w:tc>
        <w:tc>
          <w:tcPr>
            <w:tcW w:w="1179" w:type="dxa"/>
            <w:vAlign w:val="center"/>
            <w:textDirection w:val="lrTb"/>
            <w:noWrap w:val="false"/>
          </w:tcPr>
          <w:p>
            <w:pPr>
              <w:pStyle w:val="869"/>
              <w:jc w:val="center"/>
              <w:rPr>
                <w:color w:val="000000"/>
                <w:highlight w:val="none"/>
              </w:rPr>
            </w:pPr>
            <w:r>
              <w:rPr>
                <w:rFonts w:hint="eastAsia"/>
                <w:color w:val="000000"/>
                <w:szCs w:val="21"/>
                <w:highlight w:val="none"/>
              </w:rPr>
              <w:t xml:space="preserve">安全与数据管理方案</w:t>
            </w:r>
            <w:r>
              <w:rPr>
                <w:color w:val="000000"/>
                <w:highlight w:val="none"/>
              </w:rPr>
            </w:r>
            <w:r/>
          </w:p>
        </w:tc>
        <w:tc>
          <w:tcPr>
            <w:tcW w:w="6330" w:type="dxa"/>
            <w:vAlign w:val="center"/>
            <w:textDirection w:val="lrTb"/>
            <w:noWrap w:val="false"/>
          </w:tcPr>
          <w:p>
            <w:pPr>
              <w:pStyle w:val="869"/>
              <w:rPr>
                <w:color w:val="000000"/>
                <w:szCs w:val="21"/>
                <w:highlight w:val="none"/>
              </w:rPr>
            </w:pPr>
            <w:r>
              <w:rPr>
                <w:color w:val="000000"/>
                <w:szCs w:val="21"/>
                <w:highlight w:val="none"/>
              </w:rPr>
              <w:t xml:space="preserve">根据本项目采购需求编制</w:t>
            </w:r>
            <w:r>
              <w:rPr>
                <w:rFonts w:hint="eastAsia"/>
                <w:color w:val="000000"/>
                <w:szCs w:val="21"/>
                <w:highlight w:val="none"/>
              </w:rPr>
              <w:t xml:space="preserve">安全与数据管理</w:t>
            </w:r>
            <w:r>
              <w:rPr>
                <w:color w:val="000000"/>
                <w:szCs w:val="21"/>
                <w:highlight w:val="none"/>
              </w:rPr>
              <w:t xml:space="preserve">方案，内容包含：</w:t>
            </w:r>
            <w:r>
              <w:rPr>
                <w:rFonts w:hint="eastAsia"/>
                <w:color w:val="000000"/>
                <w:szCs w:val="21"/>
                <w:highlight w:val="none"/>
              </w:rPr>
              <w:t xml:space="preserve">1</w:t>
            </w:r>
            <w:r>
              <w:rPr>
                <w:rFonts w:hint="eastAsia"/>
                <w:color w:val="000000"/>
                <w:szCs w:val="21"/>
                <w:highlight w:val="none"/>
                <w:lang w:val="en-US" w:eastAsia="zh-CN"/>
              </w:rPr>
              <w:t xml:space="preserve">.</w:t>
            </w:r>
            <w:r>
              <w:rPr>
                <w:color w:val="000000"/>
                <w:highlight w:val="none"/>
              </w:rPr>
              <w:t xml:space="preserve">视频监控与安全管理；</w:t>
            </w:r>
            <w:r>
              <w:rPr>
                <w:rFonts w:hint="eastAsia"/>
                <w:color w:val="000000"/>
                <w:highlight w:val="none"/>
              </w:rPr>
              <w:t xml:space="preserve">2</w:t>
            </w:r>
            <w:r>
              <w:rPr>
                <w:color w:val="000000"/>
                <w:highlight w:val="none"/>
              </w:rPr>
              <w:t xml:space="preserve">.数据管理与溯源；</w:t>
            </w:r>
            <w:r>
              <w:rPr>
                <w:rFonts w:hint="eastAsia"/>
                <w:color w:val="000000"/>
                <w:highlight w:val="none"/>
              </w:rPr>
              <w:t xml:space="preserve">3</w:t>
            </w:r>
            <w:r>
              <w:rPr>
                <w:color w:val="000000"/>
                <w:highlight w:val="none"/>
              </w:rPr>
              <w:t xml:space="preserve">.移动化支持功能；</w:t>
            </w:r>
            <w:r>
              <w:rPr>
                <w:rFonts w:hint="eastAsia"/>
                <w:color w:val="000000"/>
                <w:highlight w:val="none"/>
              </w:rPr>
              <w:t xml:space="preserve">4</w:t>
            </w:r>
            <w:r>
              <w:rPr>
                <w:color w:val="000000"/>
                <w:highlight w:val="none"/>
              </w:rPr>
              <w:t xml:space="preserve">.多维统计报表功能。</w:t>
            </w:r>
            <w:r>
              <w:rPr>
                <w:color w:val="000000"/>
                <w:szCs w:val="21"/>
                <w:highlight w:val="none"/>
              </w:rPr>
              <w:t xml:space="preserve">以上每项内容逐项评分：</w:t>
            </w:r>
            <w:r>
              <w:rPr>
                <w:color w:val="000000"/>
                <w:szCs w:val="21"/>
                <w:highlight w:val="none"/>
              </w:rPr>
            </w:r>
            <w:r/>
          </w:p>
          <w:p>
            <w:pPr>
              <w:pStyle w:val="869"/>
              <w:rPr>
                <w:color w:val="000000"/>
                <w:highlight w:val="none"/>
              </w:rPr>
            </w:pPr>
            <w:r>
              <w:rPr>
                <w:color w:val="000000"/>
                <w:highlight w:val="none"/>
              </w:rPr>
              <w:t xml:space="preserve">方案内容</w:t>
            </w:r>
            <w:r>
              <w:rPr>
                <w:color w:val="000000"/>
                <w:szCs w:val="21"/>
                <w:highlight w:val="none"/>
              </w:rPr>
              <w:t xml:space="preserve">全面、科学合理，且</w:t>
            </w:r>
            <w:r>
              <w:rPr>
                <w:color w:val="000000"/>
                <w:highlight w:val="none"/>
              </w:rPr>
              <w:t xml:space="preserve">专门针对本项目，契合采购需求视为符合；方案内容属于通用类，非专门针对本项目，部分契合采购需求视为部分符合；方案内容非专门针对本项目，脱离采购需求视为不符合。</w:t>
            </w:r>
            <w:r>
              <w:rPr>
                <w:color w:val="000000"/>
                <w:highlight w:val="none"/>
              </w:rPr>
            </w:r>
            <w:r/>
          </w:p>
          <w:p>
            <w:pPr>
              <w:pStyle w:val="869"/>
              <w:rPr>
                <w:color w:val="000000"/>
                <w:highlight w:val="none"/>
              </w:rPr>
            </w:pPr>
            <w:r>
              <w:rPr>
                <w:color w:val="000000"/>
                <w:highlight w:val="none"/>
              </w:rPr>
              <w:t xml:space="preserve">上述每项内容符合得</w:t>
            </w:r>
            <w:r>
              <w:rPr>
                <w:rFonts w:hint="eastAsia"/>
                <w:color w:val="000000"/>
                <w:highlight w:val="none"/>
              </w:rPr>
              <w:t xml:space="preserve">2</w:t>
            </w:r>
            <w:r>
              <w:rPr>
                <w:color w:val="000000"/>
                <w:highlight w:val="none"/>
              </w:rPr>
              <w:t xml:space="preserve">分；部分符合得</w:t>
            </w:r>
            <w:r>
              <w:rPr>
                <w:rFonts w:hint="eastAsia"/>
                <w:color w:val="000000"/>
                <w:highlight w:val="none"/>
              </w:rPr>
              <w:t xml:space="preserve">1</w:t>
            </w:r>
            <w:r>
              <w:rPr>
                <w:color w:val="000000"/>
                <w:highlight w:val="none"/>
              </w:rPr>
              <w:t xml:space="preserve">分；不符合或不提供不得分。</w:t>
            </w:r>
            <w:r>
              <w:rPr>
                <w:color w:val="000000"/>
                <w:highlight w:val="none"/>
              </w:rPr>
            </w:r>
            <w:r/>
          </w:p>
        </w:tc>
        <w:tc>
          <w:tcPr>
            <w:tcW w:w="647" w:type="dxa"/>
            <w:vAlign w:val="center"/>
            <w:textDirection w:val="lrTb"/>
            <w:noWrap w:val="false"/>
          </w:tcPr>
          <w:p>
            <w:pPr>
              <w:pStyle w:val="869"/>
              <w:jc w:val="center"/>
              <w:rPr>
                <w:color w:val="000000"/>
                <w:highlight w:val="none"/>
              </w:rPr>
            </w:pPr>
            <w:r>
              <w:rPr>
                <w:rFonts w:hint="eastAsia"/>
                <w:color w:val="000000"/>
                <w:szCs w:val="21"/>
                <w:highlight w:val="none"/>
              </w:rPr>
              <w:t xml:space="preserve">8</w:t>
            </w:r>
            <w:r>
              <w:rPr>
                <w:color w:val="000000"/>
                <w:highlight w:val="none"/>
              </w:rPr>
            </w:r>
            <w:r/>
          </w:p>
        </w:tc>
        <w:tc>
          <w:tcPr>
            <w:tcW w:w="900" w:type="dxa"/>
            <w:vAlign w:val="center"/>
            <w:textDirection w:val="lrTb"/>
            <w:noWrap w:val="false"/>
          </w:tcPr>
          <w:p>
            <w:pPr>
              <w:pStyle w:val="869"/>
              <w:jc w:val="center"/>
              <w:rPr>
                <w:color w:val="000000"/>
                <w:highlight w:val="none"/>
              </w:rPr>
            </w:pPr>
            <w:r>
              <w:rPr>
                <w:rFonts w:hint="eastAsia"/>
                <w:color w:val="000000"/>
                <w:highlight w:val="none"/>
              </w:rPr>
              <w:t xml:space="preserve">主观分</w:t>
            </w:r>
            <w:r>
              <w:rPr>
                <w:color w:val="000000"/>
                <w:highlight w:val="none"/>
              </w:rPr>
            </w:r>
            <w:r/>
          </w:p>
        </w:tc>
      </w:tr>
      <w:tr>
        <w:trPr>
          <w:trHeight w:val="388"/>
        </w:trPr>
        <w:tc>
          <w:tcPr>
            <w:gridSpan w:val="5"/>
            <w:tcW w:w="9575" w:type="dxa"/>
            <w:vAlign w:val="center"/>
            <w:textDirection w:val="lrTb"/>
            <w:noWrap w:val="false"/>
          </w:tcPr>
          <w:p>
            <w:pPr>
              <w:pStyle w:val="869"/>
              <w:spacing w:before="68" w:line="264" w:lineRule="auto"/>
              <w:rPr>
                <w:rFonts w:ascii="Times New Roman" w:hAnsi="Times New Roman" w:cs="Times New Roman"/>
                <w:color w:val="000000"/>
                <w:spacing w:val="-6"/>
                <w:highlight w:val="none"/>
              </w:rPr>
            </w:pPr>
            <w:r>
              <w:rPr>
                <w:b/>
                <w:bCs/>
                <w:color w:val="000000"/>
                <w:spacing w:val="-3"/>
                <w:highlight w:val="none"/>
              </w:rPr>
              <w:t xml:space="preserve">3.服务</w:t>
            </w:r>
            <w:r>
              <w:rPr>
                <w:rFonts w:ascii="Times New Roman" w:hAnsi="Times New Roman" w:cs="Times New Roman"/>
                <w:color w:val="000000"/>
                <w:spacing w:val="-6"/>
                <w:highlight w:val="none"/>
              </w:rPr>
            </w:r>
            <w:r/>
          </w:p>
        </w:tc>
      </w:tr>
      <w:tr>
        <w:trPr>
          <w:trHeight w:val="1083"/>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spacing w:val="-2"/>
                <w:highlight w:val="none"/>
              </w:rPr>
            </w:pPr>
            <w:r>
              <w:rPr>
                <w:color w:val="000000"/>
                <w:spacing w:val="-2"/>
                <w:highlight w:val="none"/>
              </w:rPr>
              <w:t xml:space="preserve">3.1</w:t>
            </w:r>
            <w:r>
              <w:rPr>
                <w:rFonts w:ascii="Times New Roman" w:hAnsi="Times New Roman" w:cs="Times New Roman"/>
                <w:color w:val="000000"/>
                <w:spacing w:val="-2"/>
                <w:highlight w:val="none"/>
              </w:rPr>
            </w:r>
            <w:r/>
          </w:p>
        </w:tc>
        <w:tc>
          <w:tcPr>
            <w:tcW w:w="1179" w:type="dxa"/>
            <w:vAlign w:val="center"/>
            <w:textDirection w:val="lrTb"/>
            <w:noWrap w:val="false"/>
          </w:tcPr>
          <w:p>
            <w:pPr>
              <w:pStyle w:val="869"/>
              <w:spacing w:line="264" w:lineRule="auto"/>
              <w:rPr>
                <w:rFonts w:ascii="Times New Roman" w:hAnsi="Times New Roman" w:cs="Times New Roman"/>
                <w:color w:val="000000"/>
                <w:szCs w:val="21"/>
                <w:highlight w:val="none"/>
              </w:rPr>
            </w:pPr>
            <w:r>
              <w:rPr>
                <w:color w:val="000000"/>
                <w:szCs w:val="21"/>
                <w:highlight w:val="none"/>
              </w:rPr>
              <w:t xml:space="preserve">实施方案</w:t>
            </w:r>
            <w:r>
              <w:rPr>
                <w:rFonts w:ascii="Times New Roman" w:hAnsi="Times New Roman" w:cs="Times New Roman"/>
                <w:color w:val="000000"/>
                <w:szCs w:val="21"/>
                <w:highlight w:val="none"/>
              </w:rPr>
            </w:r>
            <w:r/>
          </w:p>
        </w:tc>
        <w:tc>
          <w:tcPr>
            <w:tcW w:w="6330" w:type="dxa"/>
            <w:vAlign w:val="center"/>
            <w:textDirection w:val="lrTb"/>
            <w:noWrap w:val="false"/>
          </w:tcPr>
          <w:p>
            <w:pPr>
              <w:pStyle w:val="999"/>
              <w:shd w:val="clear" w:color="auto" w:fill="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根据本项目采购需求编制</w:t>
            </w:r>
            <w:r>
              <w:rPr>
                <w:color w:val="000000"/>
                <w:szCs w:val="21"/>
                <w:highlight w:val="none"/>
              </w:rPr>
              <w:t xml:space="preserve">实施</w:t>
            </w:r>
            <w:r>
              <w:rPr>
                <w:rFonts w:ascii="Times New Roman" w:hAnsi="Times New Roman" w:cs="Times New Roman"/>
                <w:color w:val="000000"/>
                <w:sz w:val="21"/>
                <w:szCs w:val="21"/>
                <w:highlight w:val="none"/>
                <w:lang w:val="en-US" w:bidi="ar-SA"/>
              </w:rPr>
              <w:t xml:space="preserve">方案，内容包含：1.进度管理；2.质</w:t>
            </w:r>
            <w:r>
              <w:rPr>
                <w:rFonts w:ascii="Times New Roman" w:hAnsi="Times New Roman" w:eastAsia="宋体" w:cs="Times New Roman"/>
                <w:color w:val="000000"/>
                <w:sz w:val="21"/>
                <w:szCs w:val="21"/>
                <w:highlight w:val="none"/>
                <w:lang w:val="en-US"/>
              </w:rPr>
              <w:t xml:space="preserve">量管理</w:t>
            </w:r>
            <w:r>
              <w:rPr>
                <w:rFonts w:hint="eastAsia" w:ascii="Times New Roman" w:hAnsi="Times New Roman" w:eastAsia="宋体" w:cs="Times New Roman"/>
                <w:color w:val="000000"/>
                <w:sz w:val="21"/>
                <w:szCs w:val="21"/>
                <w:highlight w:val="none"/>
                <w:lang w:val="en-US" w:eastAsia="zh-CN"/>
              </w:rPr>
              <w:t xml:space="preserve">；3.风险管控</w:t>
            </w:r>
            <w:r>
              <w:rPr>
                <w:rFonts w:ascii="Times New Roman" w:hAnsi="Times New Roman" w:eastAsia="宋体" w:cs="Times New Roman"/>
                <w:color w:val="000000"/>
                <w:sz w:val="21"/>
                <w:szCs w:val="21"/>
                <w:highlight w:val="none"/>
                <w:lang w:val="en-US"/>
              </w:rPr>
              <w:t xml:space="preserve">。以上每项</w:t>
            </w:r>
            <w:r>
              <w:rPr>
                <w:rFonts w:ascii="Times New Roman" w:hAnsi="Times New Roman" w:cs="Times New Roman"/>
                <w:color w:val="000000"/>
                <w:sz w:val="21"/>
                <w:szCs w:val="21"/>
                <w:highlight w:val="none"/>
                <w:lang w:val="en-US" w:bidi="ar-SA"/>
              </w:rPr>
              <w:t xml:space="preserve">内容逐项评分：</w:t>
            </w:r>
            <w:r>
              <w:rPr>
                <w:rFonts w:ascii="Times New Roman" w:hAnsi="Times New Roman" w:cs="Times New Roman"/>
                <w:color w:val="000000"/>
                <w:sz w:val="21"/>
                <w:szCs w:val="21"/>
                <w:highlight w:val="none"/>
                <w:lang w:val="en-US" w:bidi="ar-SA"/>
              </w:rPr>
            </w:r>
            <w:r/>
          </w:p>
          <w:p>
            <w:pPr>
              <w:pStyle w:val="999"/>
              <w:shd w:val="clear" w:color="auto" w:fill="auto"/>
              <w:rPr>
                <w:rFonts w:ascii="Times New Roman" w:hAnsi="Times New Roman" w:eastAsia="宋体" w:cs="Times New Roman"/>
                <w:color w:val="000000"/>
                <w:sz w:val="21"/>
                <w:szCs w:val="21"/>
                <w:highlight w:val="none"/>
                <w:lang w:val="en-US"/>
              </w:rPr>
            </w:pPr>
            <w:r>
              <w:rPr>
                <w:rFonts w:ascii="Times New Roman" w:hAnsi="Times New Roman" w:cs="Times New Roman"/>
                <w:color w:val="000000"/>
                <w:highlight w:val="none"/>
                <w:lang w:val="en-US"/>
              </w:rPr>
              <w:t xml:space="preserve">方案内容</w:t>
            </w:r>
            <w:r>
              <w:rPr>
                <w:rFonts w:ascii="Times New Roman" w:hAnsi="Times New Roman" w:cs="Times New Roman"/>
                <w:color w:val="000000"/>
                <w:sz w:val="21"/>
                <w:szCs w:val="21"/>
                <w:highlight w:val="none"/>
              </w:rPr>
              <w:t xml:space="preserve">全面、科学合理、可行性强</w:t>
            </w:r>
            <w:r>
              <w:rPr>
                <w:rFonts w:ascii="Times New Roman" w:hAnsi="Times New Roman" w:cs="Times New Roman"/>
                <w:color w:val="000000"/>
                <w:sz w:val="21"/>
                <w:szCs w:val="21"/>
                <w:highlight w:val="none"/>
                <w:lang w:val="en-US" w:bidi="ar-SA"/>
              </w:rPr>
              <w:t xml:space="preserve">，且</w:t>
            </w:r>
            <w:r>
              <w:rPr>
                <w:rFonts w:ascii="Times New Roman" w:hAnsi="Times New Roman" w:cs="Times New Roman"/>
                <w:color w:val="000000"/>
                <w:highlight w:val="none"/>
                <w:lang w:val="en-US"/>
              </w:rPr>
              <w:t xml:space="preserve">专</w:t>
            </w:r>
            <w:r>
              <w:rPr>
                <w:rFonts w:ascii="Times New Roman" w:hAnsi="Times New Roman" w:cs="Times New Roman"/>
                <w:color w:val="000000"/>
                <w:sz w:val="21"/>
                <w:szCs w:val="21"/>
                <w:highlight w:val="none"/>
                <w:lang w:val="en-US" w:bidi="ar-SA"/>
              </w:rPr>
              <w:t xml:space="preserve">门针对本项目，符合采购需求和实际情况视为符合；方案内容属于通用类，非专门针对本项目，部分符合实际情况视为部分符合；方案内容复制粘贴采购需求，非专门针对本项目，不符合实际情况</w:t>
            </w:r>
            <w:r>
              <w:rPr>
                <w:rFonts w:ascii="Times New Roman" w:hAnsi="Times New Roman" w:eastAsia="宋体" w:cs="Times New Roman"/>
                <w:color w:val="000000"/>
                <w:sz w:val="21"/>
                <w:szCs w:val="21"/>
                <w:highlight w:val="none"/>
                <w:lang w:val="en-US"/>
              </w:rPr>
              <w:t xml:space="preserve">或未提供视为不符合。</w:t>
            </w:r>
            <w:r>
              <w:rPr>
                <w:rFonts w:ascii="Times New Roman" w:hAnsi="Times New Roman" w:eastAsia="宋体" w:cs="Times New Roman"/>
                <w:color w:val="000000"/>
                <w:sz w:val="21"/>
                <w:szCs w:val="21"/>
                <w:highlight w:val="none"/>
                <w:lang w:val="en-US"/>
              </w:rPr>
            </w:r>
            <w:r/>
          </w:p>
          <w:p>
            <w:pPr>
              <w:pStyle w:val="999"/>
              <w:shd w:val="clear" w:color="auto" w:fill="auto"/>
              <w:rPr>
                <w:rFonts w:ascii="Times New Roman" w:hAnsi="Times New Roman" w:cs="Times New Roman"/>
                <w:color w:val="000000"/>
                <w:szCs w:val="21"/>
                <w:highlight w:val="none"/>
              </w:rPr>
            </w:pPr>
            <w:r>
              <w:rPr>
                <w:rFonts w:ascii="Times New Roman" w:hAnsi="Times New Roman" w:eastAsia="宋体" w:cs="Times New Roman"/>
                <w:color w:val="000000"/>
                <w:sz w:val="21"/>
                <w:szCs w:val="21"/>
                <w:highlight w:val="none"/>
                <w:lang w:val="en-US"/>
              </w:rPr>
              <w:t xml:space="preserve">上述每项内容符合得</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rPr>
              <w:t xml:space="preserve">分；部分</w:t>
            </w:r>
            <w:r>
              <w:rPr>
                <w:rFonts w:ascii="Times New Roman" w:hAnsi="Times New Roman" w:cs="Times New Roman"/>
                <w:color w:val="000000"/>
                <w:sz w:val="21"/>
                <w:szCs w:val="21"/>
                <w:highlight w:val="none"/>
                <w:lang w:val="en-US" w:bidi="ar-SA"/>
              </w:rPr>
              <w:t xml:space="preserve">符合得1分；不符合或不提供不得分。</w:t>
            </w:r>
            <w:r>
              <w:rPr>
                <w:rFonts w:ascii="Times New Roman" w:hAnsi="Times New Roman" w:cs="Times New Roman"/>
                <w:color w:val="000000"/>
                <w:szCs w:val="21"/>
                <w:highlight w:val="none"/>
              </w:rPr>
            </w:r>
            <w:r/>
          </w:p>
        </w:tc>
        <w:tc>
          <w:tcPr>
            <w:tcW w:w="647" w:type="dxa"/>
            <w:vAlign w:val="center"/>
            <w:textDirection w:val="lrTb"/>
            <w:noWrap w:val="false"/>
          </w:tcPr>
          <w:p>
            <w:pPr>
              <w:pStyle w:val="869"/>
              <w:jc w:val="center"/>
              <w:spacing w:before="68" w:line="264" w:lineRule="auto"/>
              <w:rPr>
                <w:rFonts w:ascii="Times New Roman" w:hAnsi="Times New Roman" w:cs="Times New Roman"/>
                <w:color w:val="000000"/>
                <w:szCs w:val="21"/>
                <w:highlight w:val="none"/>
              </w:rPr>
            </w:pPr>
            <w:r>
              <w:rPr>
                <w:color w:val="000000"/>
                <w:szCs w:val="21"/>
                <w:highlight w:val="none"/>
              </w:rPr>
              <w:t xml:space="preserve">6</w:t>
            </w:r>
            <w:r>
              <w:rPr>
                <w:rFonts w:ascii="Times New Roman" w:hAnsi="Times New Roman" w:cs="Times New Roman"/>
                <w:color w:val="000000"/>
                <w:szCs w:val="21"/>
                <w:highlight w:val="none"/>
              </w:rPr>
            </w:r>
            <w:r/>
          </w:p>
        </w:tc>
        <w:tc>
          <w:tcPr>
            <w:tcW w:w="900" w:type="dxa"/>
            <w:vAlign w:val="center"/>
            <w:textDirection w:val="lrTb"/>
            <w:noWrap w:val="false"/>
          </w:tcPr>
          <w:p>
            <w:pPr>
              <w:pStyle w:val="869"/>
              <w:jc w:val="center"/>
              <w:spacing w:before="68" w:line="264" w:lineRule="auto"/>
              <w:rPr>
                <w:rFonts w:ascii="Times New Roman" w:hAnsi="Times New Roman" w:cs="Times New Roman"/>
                <w:color w:val="000000"/>
                <w:spacing w:val="-6"/>
                <w:szCs w:val="21"/>
                <w:highlight w:val="none"/>
              </w:rPr>
            </w:pPr>
            <w:r>
              <w:rPr>
                <w:color w:val="000000"/>
                <w:spacing w:val="-6"/>
                <w:szCs w:val="21"/>
                <w:highlight w:val="none"/>
              </w:rPr>
              <w:t xml:space="preserve">主观分</w:t>
            </w:r>
            <w:r>
              <w:rPr>
                <w:rFonts w:ascii="Times New Roman" w:hAnsi="Times New Roman" w:cs="Times New Roman"/>
                <w:color w:val="000000"/>
                <w:spacing w:val="-6"/>
                <w:szCs w:val="21"/>
                <w:highlight w:val="none"/>
              </w:rPr>
            </w:r>
            <w:r/>
          </w:p>
        </w:tc>
      </w:tr>
      <w:tr>
        <w:trPr>
          <w:trHeight w:val="269"/>
        </w:trPr>
        <w:tc>
          <w:tcPr>
            <w:tcW w:w="519" w:type="dxa"/>
            <w:vAlign w:val="center"/>
            <w:textDirection w:val="lrTb"/>
            <w:noWrap w:val="false"/>
          </w:tcPr>
          <w:p>
            <w:pPr>
              <w:pStyle w:val="869"/>
              <w:jc w:val="center"/>
              <w:rPr>
                <w:rFonts w:ascii="Times New Roman" w:hAnsi="Times New Roman" w:cs="Times New Roman"/>
                <w:color w:val="000000"/>
                <w:highlight w:val="none"/>
              </w:rPr>
            </w:pPr>
            <w:r>
              <w:rPr>
                <w:color w:val="000000"/>
                <w:szCs w:val="21"/>
                <w:highlight w:val="none"/>
              </w:rPr>
              <w:t xml:space="preserve">3.2</w:t>
            </w:r>
            <w:r>
              <w:rPr>
                <w:rFonts w:ascii="Times New Roman" w:hAnsi="Times New Roman" w:cs="Times New Roman"/>
                <w:color w:val="000000"/>
                <w:highlight w:val="none"/>
              </w:rPr>
            </w:r>
            <w:r/>
          </w:p>
        </w:tc>
        <w:tc>
          <w:tcPr>
            <w:tcW w:w="1179" w:type="dxa"/>
            <w:vAlign w:val="center"/>
            <w:textDirection w:val="lrTb"/>
            <w:noWrap w:val="false"/>
          </w:tcPr>
          <w:p>
            <w:pPr>
              <w:pStyle w:val="869"/>
              <w:jc w:val="center"/>
              <w:rPr>
                <w:color w:val="000000"/>
                <w:highlight w:val="none"/>
              </w:rPr>
            </w:pPr>
            <w:r>
              <w:rPr>
                <w:color w:val="000000"/>
                <w:szCs w:val="21"/>
                <w:highlight w:val="none"/>
              </w:rPr>
              <w:t xml:space="preserve">售后服务方案</w:t>
            </w:r>
            <w:r>
              <w:rPr>
                <w:color w:val="000000"/>
                <w:highlight w:val="none"/>
              </w:rPr>
            </w:r>
            <w:r/>
          </w:p>
        </w:tc>
        <w:tc>
          <w:tcPr>
            <w:tcW w:w="6330" w:type="dxa"/>
            <w:vAlign w:val="center"/>
            <w:textDirection w:val="lrTb"/>
            <w:noWrap w:val="false"/>
          </w:tcPr>
          <w:p>
            <w:pPr>
              <w:pStyle w:val="999"/>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根据本项目采购需求编制</w:t>
            </w:r>
            <w:r>
              <w:rPr>
                <w:color w:val="000000"/>
                <w:szCs w:val="21"/>
                <w:highlight w:val="none"/>
              </w:rPr>
              <w:t xml:space="preserve">售后服务</w:t>
            </w:r>
            <w:r>
              <w:rPr>
                <w:rFonts w:ascii="Times New Roman" w:hAnsi="Times New Roman" w:cs="Times New Roman"/>
                <w:color w:val="000000"/>
                <w:sz w:val="21"/>
                <w:szCs w:val="21"/>
                <w:highlight w:val="none"/>
                <w:lang w:val="en-US" w:bidi="ar-SA"/>
              </w:rPr>
              <w:t xml:space="preserve">方案，内容包含：1.</w:t>
            </w:r>
            <w:r>
              <w:rPr>
                <w:rFonts w:hint="eastAsia" w:ascii="Times New Roman" w:hAnsi="Times New Roman" w:cs="Times New Roman"/>
                <w:color w:val="000000"/>
                <w:sz w:val="21"/>
                <w:szCs w:val="21"/>
                <w:highlight w:val="none"/>
                <w:lang w:val="en-US" w:eastAsia="zh-CN" w:bidi="ar-SA"/>
              </w:rPr>
              <w:t xml:space="preserve">客户服务方案</w:t>
            </w:r>
            <w:r>
              <w:rPr>
                <w:rFonts w:ascii="Times New Roman" w:hAnsi="Times New Roman" w:cs="Times New Roman"/>
                <w:color w:val="000000"/>
                <w:sz w:val="21"/>
                <w:szCs w:val="21"/>
                <w:highlight w:val="none"/>
                <w:lang w:val="en-US" w:bidi="ar-SA"/>
              </w:rPr>
              <w:t xml:space="preserve">；2.运维方案；3.培训方案。以上每项内容逐项评分：</w:t>
            </w:r>
            <w:r>
              <w:rPr>
                <w:rFonts w:ascii="Times New Roman" w:hAnsi="Times New Roman" w:cs="Times New Roman"/>
                <w:color w:val="000000"/>
                <w:sz w:val="21"/>
                <w:szCs w:val="21"/>
                <w:highlight w:val="none"/>
                <w:lang w:val="en-US" w:bidi="ar-SA"/>
              </w:rPr>
            </w:r>
            <w:r/>
          </w:p>
          <w:p>
            <w:pPr>
              <w:pStyle w:val="999"/>
              <w:rPr>
                <w:rFonts w:ascii="Times New Roman" w:hAnsi="Times New Roman" w:cs="Times New Roman"/>
                <w:color w:val="000000"/>
                <w:sz w:val="21"/>
                <w:szCs w:val="21"/>
                <w:highlight w:val="none"/>
                <w:lang w:val="en-US" w:bidi="ar-SA"/>
              </w:rPr>
            </w:pPr>
            <w:r>
              <w:rPr>
                <w:rFonts w:ascii="Times New Roman" w:hAnsi="Times New Roman" w:cs="Times New Roman"/>
                <w:color w:val="000000"/>
                <w:highlight w:val="none"/>
                <w:lang w:val="en-US"/>
              </w:rPr>
              <w:t xml:space="preserve">方案内容</w:t>
            </w:r>
            <w:r>
              <w:rPr>
                <w:rFonts w:ascii="Times New Roman" w:hAnsi="Times New Roman" w:cs="Times New Roman"/>
                <w:color w:val="000000"/>
                <w:sz w:val="21"/>
                <w:szCs w:val="21"/>
                <w:highlight w:val="none"/>
              </w:rPr>
              <w:t xml:space="preserve">全面、科学合理、可行性强</w:t>
            </w:r>
            <w:r>
              <w:rPr>
                <w:rFonts w:ascii="Times New Roman" w:hAnsi="Times New Roman" w:cs="Times New Roman"/>
                <w:color w:val="000000"/>
                <w:sz w:val="21"/>
                <w:szCs w:val="21"/>
                <w:highlight w:val="none"/>
                <w:lang w:val="en-US" w:bidi="ar-SA"/>
              </w:rPr>
              <w:t xml:space="preserve">，且</w:t>
            </w:r>
            <w:r>
              <w:rPr>
                <w:rFonts w:ascii="Times New Roman" w:hAnsi="Times New Roman" w:cs="Times New Roman"/>
                <w:color w:val="000000"/>
                <w:highlight w:val="none"/>
                <w:lang w:val="en-US"/>
              </w:rPr>
              <w:t xml:space="preserve">专</w:t>
            </w:r>
            <w:r>
              <w:rPr>
                <w:rFonts w:ascii="Times New Roman" w:hAnsi="Times New Roman" w:cs="Times New Roman"/>
                <w:color w:val="000000"/>
                <w:sz w:val="21"/>
                <w:szCs w:val="21"/>
                <w:highlight w:val="none"/>
                <w:lang w:val="en-US" w:bidi="ar-SA"/>
              </w:rPr>
              <w:t xml:space="preserve">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ascii="Times New Roman" w:hAnsi="Times New Roman" w:cs="Times New Roman"/>
                <w:color w:val="000000"/>
                <w:sz w:val="21"/>
                <w:szCs w:val="21"/>
                <w:highlight w:val="none"/>
                <w:lang w:val="en-US" w:bidi="ar-SA"/>
              </w:rPr>
            </w:r>
            <w:r/>
          </w:p>
          <w:p>
            <w:pPr>
              <w:pStyle w:val="869"/>
              <w:rPr>
                <w:color w:val="000000"/>
                <w:highlight w:val="none"/>
              </w:rPr>
            </w:pPr>
            <w:r>
              <w:rPr>
                <w:color w:val="000000"/>
                <w:szCs w:val="21"/>
                <w:highlight w:val="none"/>
              </w:rPr>
              <w:t xml:space="preserve">上述每项内容符合得2分；部分符合得</w:t>
            </w:r>
            <w:r>
              <w:rPr>
                <w:rFonts w:hint="eastAsia"/>
                <w:color w:val="000000"/>
                <w:szCs w:val="21"/>
                <w:highlight w:val="none"/>
                <w:lang w:val="en-US" w:eastAsia="zh-CN"/>
              </w:rPr>
              <w:t xml:space="preserve">1</w:t>
            </w:r>
            <w:r>
              <w:rPr>
                <w:color w:val="000000"/>
                <w:szCs w:val="21"/>
                <w:highlight w:val="none"/>
              </w:rPr>
              <w:t xml:space="preserve">分；不符合或不提供不得分。</w:t>
            </w:r>
            <w:r>
              <w:rPr>
                <w:color w:val="000000"/>
                <w:highlight w:val="none"/>
              </w:rPr>
            </w:r>
            <w:r/>
          </w:p>
        </w:tc>
        <w:tc>
          <w:tcPr>
            <w:tcW w:w="647" w:type="dxa"/>
            <w:vAlign w:val="center"/>
            <w:textDirection w:val="lrTb"/>
            <w:noWrap w:val="false"/>
          </w:tcPr>
          <w:p>
            <w:pPr>
              <w:pStyle w:val="869"/>
              <w:jc w:val="center"/>
              <w:rPr>
                <w:color w:val="000000"/>
                <w:highlight w:val="none"/>
              </w:rPr>
            </w:pPr>
            <w:r>
              <w:rPr>
                <w:color w:val="000000"/>
                <w:szCs w:val="21"/>
                <w:highlight w:val="none"/>
              </w:rPr>
              <w:t xml:space="preserve">6</w:t>
            </w:r>
            <w:r>
              <w:rPr>
                <w:color w:val="000000"/>
                <w:highlight w:val="none"/>
              </w:rPr>
            </w:r>
            <w:r/>
          </w:p>
        </w:tc>
        <w:tc>
          <w:tcPr>
            <w:tcW w:w="900" w:type="dxa"/>
            <w:vAlign w:val="center"/>
            <w:textDirection w:val="lrTb"/>
            <w:noWrap w:val="false"/>
          </w:tcPr>
          <w:p>
            <w:pPr>
              <w:pStyle w:val="869"/>
              <w:jc w:val="center"/>
              <w:rPr>
                <w:color w:val="000000"/>
                <w:highlight w:val="none"/>
              </w:rPr>
            </w:pPr>
            <w:r>
              <w:rPr>
                <w:color w:val="000000"/>
                <w:highlight w:val="none"/>
              </w:rPr>
              <w:t xml:space="preserve">主观分</w:t>
            </w:r>
            <w:r>
              <w:rPr>
                <w:color w:val="000000"/>
                <w:highlight w:val="none"/>
              </w:rPr>
            </w:r>
            <w:r/>
          </w:p>
        </w:tc>
      </w:tr>
      <w:tr>
        <w:trPr>
          <w:trHeight w:val="269"/>
        </w:trPr>
        <w:tc>
          <w:tcPr>
            <w:tcW w:w="519" w:type="dxa"/>
            <w:vAlign w:val="center"/>
            <w:textDirection w:val="lrTb"/>
            <w:noWrap w:val="false"/>
          </w:tcPr>
          <w:p>
            <w:pPr>
              <w:pStyle w:val="869"/>
              <w:jc w:val="center"/>
              <w:spacing w:before="68" w:line="264" w:lineRule="auto"/>
              <w:rPr>
                <w:rFonts w:hint="eastAsia" w:ascii="Times New Roman" w:hAnsi="Times New Roman" w:eastAsia="宋体" w:cs="Times New Roman"/>
                <w:color w:val="000000"/>
                <w:sz w:val="21"/>
                <w:szCs w:val="22"/>
                <w:highlight w:val="none"/>
                <w:lang w:val="en-US" w:eastAsia="zh-CN" w:bidi="ar-SA"/>
              </w:rPr>
            </w:pPr>
            <w:r>
              <w:rPr>
                <w:rFonts w:hint="eastAsia"/>
                <w:color w:val="000000"/>
                <w:spacing w:val="-2"/>
                <w:highlight w:val="none"/>
                <w:lang w:val="en-US" w:eastAsia="zh-CN"/>
              </w:rPr>
              <w:t xml:space="preserve">3</w:t>
            </w:r>
            <w:r>
              <w:rPr>
                <w:color w:val="000000"/>
                <w:spacing w:val="-2"/>
                <w:highlight w:val="none"/>
              </w:rPr>
              <w:t xml:space="preserve">.</w:t>
            </w:r>
            <w:r>
              <w:rPr>
                <w:rFonts w:hint="eastAsia"/>
                <w:color w:val="000000"/>
                <w:spacing w:val="-2"/>
                <w:highlight w:val="none"/>
                <w:lang w:val="en-US" w:eastAsia="zh-CN"/>
              </w:rPr>
              <w:t xml:space="preserve">3</w:t>
            </w:r>
            <w:r>
              <w:rPr>
                <w:rFonts w:hint="eastAsia" w:ascii="Times New Roman" w:hAnsi="Times New Roman" w:eastAsia="宋体" w:cs="Times New Roman"/>
                <w:color w:val="000000"/>
                <w:sz w:val="21"/>
                <w:szCs w:val="22"/>
                <w:highlight w:val="none"/>
                <w:lang w:val="en-US" w:eastAsia="zh-CN" w:bidi="ar-SA"/>
              </w:rPr>
            </w:r>
            <w:r/>
          </w:p>
        </w:tc>
        <w:tc>
          <w:tcPr>
            <w:tcW w:w="1179" w:type="dxa"/>
            <w:vAlign w:val="center"/>
            <w:textDirection w:val="lrTb"/>
            <w:noWrap w:val="false"/>
          </w:tcPr>
          <w:p>
            <w:pPr>
              <w:pStyle w:val="869"/>
              <w:jc w:val="center"/>
              <w:rPr>
                <w:rFonts w:ascii="Times New Roman" w:hAnsi="Times New Roman" w:cs="Times New Roman"/>
                <w:color w:val="000000"/>
                <w:spacing w:val="-2"/>
                <w:sz w:val="21"/>
                <w:szCs w:val="22"/>
                <w:highlight w:val="none"/>
                <w:lang w:val="en-US" w:eastAsia="zh-CN" w:bidi="ar-SA"/>
              </w:rPr>
            </w:pPr>
            <w:r>
              <w:rPr>
                <w:color w:val="000000"/>
                <w:szCs w:val="21"/>
                <w:highlight w:val="none"/>
              </w:rPr>
              <w:t xml:space="preserve">本地化服务</w:t>
            </w:r>
            <w:r>
              <w:rPr>
                <w:rFonts w:ascii="Times New Roman" w:hAnsi="Times New Roman" w:cs="Times New Roman"/>
                <w:color w:val="000000"/>
                <w:spacing w:val="-2"/>
                <w:sz w:val="21"/>
                <w:szCs w:val="22"/>
                <w:highlight w:val="none"/>
                <w:lang w:val="en-US" w:eastAsia="zh-CN" w:bidi="ar-SA"/>
              </w:rPr>
            </w:r>
            <w:r/>
          </w:p>
        </w:tc>
        <w:tc>
          <w:tcPr>
            <w:tcW w:w="6330" w:type="dxa"/>
            <w:vAlign w:val="center"/>
            <w:textDirection w:val="lrTb"/>
            <w:noWrap w:val="false"/>
          </w:tcPr>
          <w:p>
            <w:pPr>
              <w:pStyle w:val="869"/>
              <w:rPr>
                <w:color w:val="000000"/>
                <w:sz w:val="21"/>
                <w:szCs w:val="22"/>
                <w:highlight w:val="none"/>
                <w:lang w:val="en-US" w:eastAsia="zh-CN" w:bidi="ar-SA"/>
              </w:rPr>
            </w:pPr>
            <w:r>
              <w:rPr>
                <w:color w:val="000000"/>
                <w:highlight w:val="none"/>
              </w:rPr>
              <w:t xml:space="preserve">供应商成交</w:t>
            </w:r>
            <w:r>
              <w:rPr>
                <w:color w:val="000000"/>
                <w:szCs w:val="21"/>
                <w:highlight w:val="none"/>
              </w:rPr>
              <w:t xml:space="preserve">后能够提供</w:t>
            </w:r>
            <w:r>
              <w:rPr>
                <w:color w:val="000000"/>
                <w:highlight w:val="none"/>
              </w:rPr>
              <w:t xml:space="preserve">本地化服务的得3分。（提供承诺书或有效证明材料）</w:t>
            </w:r>
            <w:r>
              <w:rPr>
                <w:color w:val="000000"/>
                <w:sz w:val="21"/>
                <w:szCs w:val="22"/>
                <w:highlight w:val="none"/>
                <w:lang w:val="en-US" w:eastAsia="zh-CN" w:bidi="ar-SA"/>
              </w:rPr>
            </w:r>
            <w:r/>
          </w:p>
        </w:tc>
        <w:tc>
          <w:tcPr>
            <w:tcW w:w="647" w:type="dxa"/>
            <w:vAlign w:val="center"/>
            <w:textDirection w:val="lrTb"/>
            <w:noWrap w:val="false"/>
          </w:tcPr>
          <w:p>
            <w:pPr>
              <w:pStyle w:val="869"/>
              <w:jc w:val="center"/>
              <w:rPr>
                <w:rFonts w:ascii="Times New Roman" w:hAnsi="Times New Roman" w:cs="Times New Roman"/>
                <w:color w:val="000000"/>
                <w:sz w:val="21"/>
                <w:szCs w:val="22"/>
                <w:highlight w:val="none"/>
                <w:lang w:val="en-US" w:eastAsia="zh-CN" w:bidi="ar-SA"/>
              </w:rPr>
            </w:pPr>
            <w:r>
              <w:rPr>
                <w:color w:val="000000"/>
                <w:szCs w:val="21"/>
                <w:highlight w:val="none"/>
              </w:rPr>
              <w:t xml:space="preserve">3</w:t>
            </w:r>
            <w:r>
              <w:rPr>
                <w:rFonts w:ascii="Times New Roman" w:hAnsi="Times New Roman" w:cs="Times New Roman"/>
                <w:color w:val="000000"/>
                <w:sz w:val="21"/>
                <w:szCs w:val="22"/>
                <w:highlight w:val="none"/>
                <w:lang w:val="en-US" w:eastAsia="zh-CN" w:bidi="ar-SA"/>
              </w:rPr>
            </w:r>
            <w:r/>
          </w:p>
        </w:tc>
        <w:tc>
          <w:tcPr>
            <w:tcW w:w="900" w:type="dxa"/>
            <w:vAlign w:val="center"/>
            <w:textDirection w:val="lrTb"/>
            <w:noWrap w:val="false"/>
          </w:tcPr>
          <w:p>
            <w:pPr>
              <w:pStyle w:val="869"/>
              <w:jc w:val="center"/>
              <w:rPr>
                <w:color w:val="000000"/>
                <w:sz w:val="21"/>
                <w:szCs w:val="22"/>
                <w:highlight w:val="none"/>
                <w:lang w:val="en-US" w:eastAsia="zh-CN" w:bidi="ar-SA"/>
              </w:rPr>
            </w:pPr>
            <w:r>
              <w:rPr>
                <w:color w:val="000000"/>
                <w:highlight w:val="none"/>
              </w:rPr>
              <w:t xml:space="preserve">客观分</w:t>
            </w:r>
            <w:r>
              <w:rPr>
                <w:color w:val="000000"/>
                <w:sz w:val="21"/>
                <w:szCs w:val="22"/>
                <w:highlight w:val="none"/>
                <w:lang w:val="en-US" w:eastAsia="zh-CN" w:bidi="ar-SA"/>
              </w:rPr>
            </w:r>
            <w:r/>
          </w:p>
        </w:tc>
      </w:tr>
      <w:tr>
        <w:trPr>
          <w:trHeight w:val="387"/>
        </w:trPr>
        <w:tc>
          <w:tcPr>
            <w:gridSpan w:val="5"/>
            <w:tcW w:w="9575" w:type="dxa"/>
            <w:vAlign w:val="top"/>
            <w:textDirection w:val="lrTb"/>
            <w:noWrap w:val="false"/>
          </w:tcPr>
          <w:p>
            <w:pPr>
              <w:pStyle w:val="869"/>
              <w:spacing w:before="123" w:line="264" w:lineRule="auto"/>
              <w:rPr>
                <w:rFonts w:ascii="Times New Roman" w:hAnsi="Times New Roman" w:cs="Times New Roman"/>
                <w:color w:val="000000"/>
                <w:highlight w:val="none"/>
              </w:rPr>
            </w:pPr>
            <w:r>
              <w:rPr>
                <w:b/>
                <w:bCs/>
                <w:color w:val="000000"/>
                <w:spacing w:val="-3"/>
                <w:highlight w:val="none"/>
              </w:rPr>
              <w:t xml:space="preserve">4.履约能力</w:t>
            </w:r>
            <w:r>
              <w:rPr>
                <w:rFonts w:ascii="Times New Roman" w:hAnsi="Times New Roman" w:cs="Times New Roman"/>
                <w:color w:val="000000"/>
                <w:highlight w:val="none"/>
              </w:rPr>
            </w:r>
            <w:r/>
          </w:p>
        </w:tc>
      </w:tr>
      <w:tr>
        <w:trPr>
          <w:trHeight w:val="383"/>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spacing w:val="-2"/>
                <w:highlight w:val="none"/>
              </w:rPr>
            </w:pPr>
            <w:r>
              <w:rPr>
                <w:color w:val="000000"/>
                <w:spacing w:val="-2"/>
                <w:sz w:val="21"/>
                <w:szCs w:val="24"/>
                <w:highlight w:val="none"/>
              </w:rPr>
              <w:t xml:space="preserve">4.1</w:t>
            </w:r>
            <w:r>
              <w:rPr>
                <w:rFonts w:ascii="Times New Roman" w:hAnsi="Times New Roman" w:cs="Times New Roman"/>
                <w:color w:val="000000"/>
                <w:spacing w:val="-2"/>
                <w:highlight w:val="none"/>
              </w:rPr>
            </w:r>
            <w:r/>
          </w:p>
        </w:tc>
        <w:tc>
          <w:tcPr>
            <w:tcW w:w="1179" w:type="dxa"/>
            <w:vAlign w:val="center"/>
            <w:textDirection w:val="lrTb"/>
            <w:noWrap w:val="false"/>
          </w:tcPr>
          <w:p>
            <w:pPr>
              <w:pStyle w:val="869"/>
              <w:spacing w:line="264" w:lineRule="auto"/>
              <w:rPr>
                <w:rFonts w:ascii="Times New Roman" w:hAnsi="Times New Roman" w:cs="Times New Roman"/>
                <w:color w:val="000000"/>
                <w:highlight w:val="none"/>
              </w:rPr>
            </w:pPr>
            <w:r>
              <w:rPr>
                <w:rFonts w:hint="eastAsia" w:eastAsia="宋体"/>
                <w:color w:val="000000"/>
                <w:sz w:val="21"/>
                <w:szCs w:val="24"/>
                <w:highlight w:val="none"/>
              </w:rPr>
              <w:t xml:space="preserve">履约能力1</w:t>
            </w:r>
            <w:r>
              <w:rPr>
                <w:rFonts w:ascii="Times New Roman" w:hAnsi="Times New Roman" w:cs="Times New Roman"/>
                <w:color w:val="000000"/>
                <w:highlight w:val="none"/>
              </w:rPr>
            </w:r>
            <w:r/>
          </w:p>
        </w:tc>
        <w:tc>
          <w:tcPr>
            <w:tcW w:w="6330" w:type="dxa"/>
            <w:vAlign w:val="center"/>
            <w:textDirection w:val="lrTb"/>
            <w:noWrap w:val="false"/>
          </w:tcPr>
          <w:p>
            <w:pPr>
              <w:pStyle w:val="869"/>
              <w:spacing w:line="264" w:lineRule="auto"/>
              <w:rPr>
                <w:color w:val="000000"/>
                <w:sz w:val="21"/>
                <w:szCs w:val="24"/>
                <w:highlight w:val="none"/>
              </w:rPr>
            </w:pPr>
            <w:r>
              <w:rPr>
                <w:rFonts w:hint="eastAsia" w:eastAsia="宋体"/>
                <w:color w:val="000000"/>
                <w:sz w:val="21"/>
                <w:szCs w:val="24"/>
                <w:highlight w:val="none"/>
              </w:rPr>
              <w:t xml:space="preserve">供应商拟投入本项目的</w:t>
            </w:r>
            <w:r>
              <w:rPr>
                <w:rFonts w:hint="eastAsia" w:eastAsia="宋体"/>
                <w:color w:val="000000"/>
                <w:sz w:val="21"/>
                <w:szCs w:val="24"/>
                <w:highlight w:val="none"/>
              </w:rPr>
              <w:t xml:space="preserve">项目经理</w:t>
            </w:r>
            <w:r>
              <w:rPr>
                <w:rFonts w:hint="eastAsia" w:eastAsia="宋体"/>
                <w:color w:val="000000"/>
                <w:sz w:val="21"/>
                <w:szCs w:val="24"/>
                <w:highlight w:val="none"/>
              </w:rPr>
              <w:t xml:space="preserve">具有：</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人力资源和社会保障部、工业和信息化部颁发的信息系统项目管理师（高级）证书；</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人力资源和社会保障部门颁发的高级工程师证书（电子信息）；</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工业和信息化部教育与考试中心颁发的信息安全工程师证书；</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中国信息安全测评中心颁发的注册信息安全专业人员（CISP）证书；</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每提供1个证书得2分，最高得</w:t>
            </w:r>
            <w:r>
              <w:rPr>
                <w:color w:val="000000"/>
                <w:sz w:val="21"/>
                <w:szCs w:val="24"/>
                <w:highlight w:val="none"/>
              </w:rPr>
              <w:t xml:space="preserve">8</w:t>
            </w:r>
            <w:r>
              <w:rPr>
                <w:rFonts w:hint="eastAsia" w:eastAsia="宋体"/>
                <w:color w:val="000000"/>
                <w:sz w:val="21"/>
                <w:szCs w:val="24"/>
                <w:highlight w:val="none"/>
              </w:rPr>
              <w:t xml:space="preserve">分。</w:t>
            </w:r>
            <w:r>
              <w:rPr>
                <w:color w:val="000000"/>
                <w:sz w:val="21"/>
                <w:szCs w:val="24"/>
                <w:highlight w:val="none"/>
              </w:rPr>
            </w:r>
            <w:r/>
          </w:p>
          <w:p>
            <w:pPr>
              <w:pStyle w:val="869"/>
              <w:spacing w:line="264" w:lineRule="auto"/>
              <w:rPr>
                <w:rFonts w:ascii="Times New Roman" w:hAnsi="Times New Roman" w:cs="Times New Roman"/>
                <w:color w:val="000000"/>
                <w:highlight w:val="none"/>
              </w:rPr>
            </w:pPr>
            <w:r>
              <w:rPr>
                <w:rFonts w:hint="eastAsia" w:eastAsia="宋体"/>
                <w:color w:val="000000"/>
                <w:sz w:val="21"/>
                <w:szCs w:val="24"/>
                <w:highlight w:val="none"/>
                <w:lang w:val="zh-CN"/>
              </w:rPr>
              <w:t xml:space="preserve">（提供人员证书，</w:t>
            </w:r>
            <w:r>
              <w:rPr>
                <w:rFonts w:hint="eastAsia" w:eastAsia="宋体"/>
                <w:color w:val="000000"/>
                <w:sz w:val="21"/>
                <w:szCs w:val="24"/>
                <w:highlight w:val="none"/>
              </w:rPr>
              <w:t xml:space="preserve">供应商为其缴纳的2026年3月以来任意一个月的社保证明材料，缺一不可）</w:t>
            </w:r>
            <w:r>
              <w:rPr>
                <w:rFonts w:ascii="Times New Roman" w:hAnsi="Times New Roman" w:cs="Times New Roman"/>
                <w:color w:val="000000"/>
                <w:highlight w:val="none"/>
              </w:rPr>
            </w:r>
            <w:r/>
          </w:p>
        </w:tc>
        <w:tc>
          <w:tcPr>
            <w:tcW w:w="647"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color w:val="000000"/>
                <w:sz w:val="21"/>
                <w:szCs w:val="24"/>
                <w:highlight w:val="none"/>
              </w:rPr>
              <w:t xml:space="preserve">8</w:t>
            </w:r>
            <w:r>
              <w:rPr>
                <w:rFonts w:ascii="Times New Roman" w:hAnsi="Times New Roman" w:cs="Times New Roman"/>
                <w:color w:val="000000"/>
                <w:highlight w:val="none"/>
              </w:rPr>
            </w:r>
            <w:r/>
          </w:p>
        </w:tc>
        <w:tc>
          <w:tcPr>
            <w:tcW w:w="900"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rFonts w:hint="eastAsia" w:eastAsia="宋体"/>
                <w:color w:val="000000"/>
                <w:spacing w:val="-6"/>
                <w:sz w:val="21"/>
                <w:szCs w:val="24"/>
                <w:highlight w:val="none"/>
              </w:rPr>
              <w:t xml:space="preserve">客</w:t>
            </w:r>
            <w:r>
              <w:rPr>
                <w:rFonts w:hint="eastAsia" w:eastAsia="宋体"/>
                <w:color w:val="000000"/>
                <w:spacing w:val="-4"/>
                <w:sz w:val="21"/>
                <w:szCs w:val="24"/>
                <w:highlight w:val="none"/>
              </w:rPr>
              <w:t xml:space="preserve">观分</w:t>
            </w:r>
            <w:r>
              <w:rPr>
                <w:rFonts w:ascii="Times New Roman" w:hAnsi="Times New Roman" w:cs="Times New Roman"/>
                <w:color w:val="000000"/>
                <w:highlight w:val="none"/>
              </w:rPr>
            </w:r>
            <w:r/>
          </w:p>
        </w:tc>
      </w:tr>
      <w:tr>
        <w:trPr>
          <w:trHeight w:val="383"/>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spacing w:val="-2"/>
                <w:highlight w:val="none"/>
              </w:rPr>
            </w:pPr>
            <w:r>
              <w:rPr>
                <w:color w:val="000000"/>
                <w:spacing w:val="-2"/>
                <w:sz w:val="21"/>
                <w:szCs w:val="24"/>
                <w:highlight w:val="none"/>
              </w:rPr>
              <w:t xml:space="preserve">4.2</w:t>
            </w:r>
            <w:r>
              <w:rPr>
                <w:rFonts w:ascii="Times New Roman" w:hAnsi="Times New Roman" w:cs="Times New Roman"/>
                <w:color w:val="000000"/>
                <w:spacing w:val="-2"/>
                <w:highlight w:val="none"/>
              </w:rPr>
            </w:r>
            <w:r/>
          </w:p>
        </w:tc>
        <w:tc>
          <w:tcPr>
            <w:tcW w:w="1179" w:type="dxa"/>
            <w:vAlign w:val="center"/>
            <w:textDirection w:val="lrTb"/>
            <w:noWrap w:val="false"/>
          </w:tcPr>
          <w:p>
            <w:pPr>
              <w:pStyle w:val="869"/>
              <w:spacing w:line="264" w:lineRule="auto"/>
              <w:rPr>
                <w:rFonts w:ascii="Times New Roman" w:hAnsi="Times New Roman" w:cs="Times New Roman"/>
                <w:color w:val="000000"/>
                <w:highlight w:val="none"/>
              </w:rPr>
            </w:pPr>
            <w:r>
              <w:rPr>
                <w:rFonts w:hint="eastAsia" w:eastAsia="宋体"/>
                <w:color w:val="000000"/>
                <w:sz w:val="21"/>
                <w:szCs w:val="24"/>
                <w:highlight w:val="none"/>
              </w:rPr>
              <w:t xml:space="preserve">履约能力2</w:t>
            </w:r>
            <w:r>
              <w:rPr>
                <w:rFonts w:ascii="Times New Roman" w:hAnsi="Times New Roman" w:cs="Times New Roman"/>
                <w:color w:val="000000"/>
                <w:highlight w:val="none"/>
              </w:rPr>
            </w:r>
            <w:r/>
          </w:p>
        </w:tc>
        <w:tc>
          <w:tcPr>
            <w:tcW w:w="6330" w:type="dxa"/>
            <w:vAlign w:val="center"/>
            <w:textDirection w:val="lrTb"/>
            <w:noWrap w:val="false"/>
          </w:tcPr>
          <w:p>
            <w:pPr>
              <w:pStyle w:val="869"/>
              <w:spacing w:line="264" w:lineRule="auto"/>
              <w:rPr>
                <w:color w:val="000000"/>
                <w:sz w:val="21"/>
                <w:szCs w:val="24"/>
                <w:highlight w:val="none"/>
              </w:rPr>
            </w:pPr>
            <w:r>
              <w:rPr>
                <w:rFonts w:hint="eastAsia" w:eastAsia="宋体"/>
                <w:color w:val="000000"/>
                <w:sz w:val="21"/>
                <w:szCs w:val="24"/>
                <w:highlight w:val="none"/>
              </w:rPr>
              <w:t xml:space="preserve">供应商拟投入本项目的技术负责人具有：</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人力资源和社会保障部、工业和信息化部颁发的系统架构设计师证书；</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中国信息安全测评中心颁发的注册信息安全专业人员（CISP）证书；</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工业和信息化部教育与考试中心颁发的软件工程造价师证书；</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工业和信息化部教育与考试中心颁发的软件测试工程师（高级）</w:t>
            </w:r>
            <w:r>
              <w:rPr>
                <w:rFonts w:hint="eastAsia" w:eastAsia="宋体"/>
                <w:color w:val="000000"/>
                <w:sz w:val="21"/>
                <w:szCs w:val="24"/>
                <w:highlight w:val="none"/>
                <w:lang w:val="en-US" w:eastAsia="zh-CN"/>
              </w:rPr>
              <w:t xml:space="preserve">证书</w:t>
            </w:r>
            <w:r>
              <w:rPr>
                <w:rFonts w:hint="eastAsia" w:eastAsia="宋体"/>
                <w:color w:val="000000"/>
                <w:sz w:val="21"/>
                <w:szCs w:val="24"/>
                <w:highlight w:val="none"/>
              </w:rPr>
              <w:t xml:space="preserve">；</w:t>
            </w:r>
            <w:r>
              <w:rPr>
                <w:color w:val="000000"/>
                <w:sz w:val="21"/>
                <w:szCs w:val="24"/>
                <w:highlight w:val="none"/>
              </w:rPr>
            </w:r>
            <w:r/>
          </w:p>
          <w:p>
            <w:pPr>
              <w:pStyle w:val="869"/>
              <w:spacing w:line="264" w:lineRule="auto"/>
              <w:rPr>
                <w:color w:val="000000"/>
                <w:sz w:val="21"/>
                <w:szCs w:val="24"/>
                <w:highlight w:val="none"/>
              </w:rPr>
            </w:pPr>
            <w:r>
              <w:rPr>
                <w:rFonts w:hint="eastAsia" w:eastAsia="宋体"/>
                <w:color w:val="000000"/>
                <w:sz w:val="21"/>
                <w:szCs w:val="24"/>
                <w:highlight w:val="none"/>
              </w:rPr>
              <w:t xml:space="preserve">每提供1个证书得2分，最高得</w:t>
            </w:r>
            <w:r>
              <w:rPr>
                <w:color w:val="000000"/>
                <w:sz w:val="21"/>
                <w:szCs w:val="24"/>
                <w:highlight w:val="none"/>
              </w:rPr>
              <w:t xml:space="preserve">8</w:t>
            </w:r>
            <w:r>
              <w:rPr>
                <w:rFonts w:hint="eastAsia" w:eastAsia="宋体"/>
                <w:color w:val="000000"/>
                <w:sz w:val="21"/>
                <w:szCs w:val="24"/>
                <w:highlight w:val="none"/>
              </w:rPr>
              <w:t xml:space="preserve">分。</w:t>
            </w:r>
            <w:r>
              <w:rPr>
                <w:color w:val="000000"/>
                <w:sz w:val="21"/>
                <w:szCs w:val="24"/>
                <w:highlight w:val="none"/>
              </w:rPr>
            </w:r>
            <w:r/>
          </w:p>
          <w:p>
            <w:pPr>
              <w:pStyle w:val="869"/>
              <w:spacing w:line="264" w:lineRule="auto"/>
              <w:rPr>
                <w:rFonts w:hint="eastAsia"/>
                <w:color w:val="000000"/>
                <w:szCs w:val="21"/>
                <w:highlight w:val="none"/>
              </w:rPr>
            </w:pPr>
            <w:r>
              <w:rPr>
                <w:rFonts w:hint="eastAsia" w:eastAsia="宋体"/>
                <w:color w:val="000000"/>
                <w:sz w:val="21"/>
                <w:szCs w:val="24"/>
                <w:highlight w:val="none"/>
              </w:rPr>
              <w:t xml:space="preserve">（提供人员证书</w:t>
            </w:r>
            <w:r>
              <w:rPr>
                <w:rFonts w:hint="eastAsia" w:eastAsia="宋体"/>
                <w:color w:val="000000"/>
                <w:sz w:val="21"/>
                <w:szCs w:val="24"/>
                <w:highlight w:val="none"/>
                <w:lang w:val="zh-CN"/>
              </w:rPr>
              <w:t xml:space="preserve">，</w:t>
            </w:r>
            <w:r>
              <w:rPr>
                <w:rFonts w:hint="eastAsia" w:eastAsia="宋体"/>
                <w:color w:val="000000"/>
                <w:sz w:val="21"/>
                <w:szCs w:val="24"/>
                <w:highlight w:val="none"/>
              </w:rPr>
              <w:t xml:space="preserve">供应商为其缴纳的2026年3月以来任意一个月的社保证明材料，缺一不可）</w:t>
            </w:r>
            <w:r>
              <w:rPr>
                <w:rFonts w:hint="eastAsia"/>
                <w:color w:val="000000"/>
                <w:szCs w:val="21"/>
                <w:highlight w:val="none"/>
              </w:rPr>
            </w:r>
            <w:r/>
          </w:p>
        </w:tc>
        <w:tc>
          <w:tcPr>
            <w:tcW w:w="647" w:type="dxa"/>
            <w:vAlign w:val="center"/>
            <w:textDirection w:val="lrTb"/>
            <w:noWrap w:val="false"/>
          </w:tcPr>
          <w:p>
            <w:pPr>
              <w:pStyle w:val="869"/>
              <w:jc w:val="center"/>
              <w:spacing w:before="68" w:line="264" w:lineRule="auto"/>
              <w:rPr>
                <w:rFonts w:ascii="Times New Roman" w:hAnsi="Times New Roman" w:cs="Times New Roman"/>
                <w:color w:val="000000"/>
                <w:spacing w:val="-6"/>
                <w:highlight w:val="none"/>
              </w:rPr>
            </w:pPr>
            <w:r>
              <w:rPr>
                <w:color w:val="000000"/>
                <w:sz w:val="21"/>
                <w:szCs w:val="24"/>
                <w:highlight w:val="none"/>
              </w:rPr>
              <w:t xml:space="preserve">8</w:t>
            </w:r>
            <w:r>
              <w:rPr>
                <w:rFonts w:ascii="Times New Roman" w:hAnsi="Times New Roman" w:cs="Times New Roman"/>
                <w:color w:val="000000"/>
                <w:spacing w:val="-6"/>
                <w:highlight w:val="none"/>
              </w:rPr>
            </w:r>
            <w:r/>
          </w:p>
        </w:tc>
        <w:tc>
          <w:tcPr>
            <w:tcW w:w="900" w:type="dxa"/>
            <w:vAlign w:val="center"/>
            <w:textDirection w:val="lrTb"/>
            <w:noWrap w:val="false"/>
          </w:tcPr>
          <w:p>
            <w:pPr>
              <w:pStyle w:val="869"/>
              <w:jc w:val="center"/>
              <w:spacing w:before="68" w:line="264" w:lineRule="auto"/>
              <w:rPr>
                <w:color w:val="000000"/>
                <w:highlight w:val="none"/>
              </w:rPr>
            </w:pPr>
            <w:r>
              <w:rPr>
                <w:rFonts w:hint="eastAsia" w:eastAsia="宋体"/>
                <w:color w:val="000000"/>
                <w:spacing w:val="-6"/>
                <w:sz w:val="21"/>
                <w:szCs w:val="24"/>
                <w:highlight w:val="none"/>
              </w:rPr>
              <w:t xml:space="preserve">客</w:t>
            </w:r>
            <w:r>
              <w:rPr>
                <w:rFonts w:hint="eastAsia" w:eastAsia="宋体"/>
                <w:color w:val="000000"/>
                <w:spacing w:val="-4"/>
                <w:sz w:val="21"/>
                <w:szCs w:val="24"/>
                <w:highlight w:val="none"/>
              </w:rPr>
              <w:t xml:space="preserve">观分</w:t>
            </w:r>
            <w:r>
              <w:rPr>
                <w:color w:val="000000"/>
                <w:highlight w:val="none"/>
              </w:rPr>
            </w:r>
            <w:r/>
          </w:p>
        </w:tc>
      </w:tr>
      <w:tr>
        <w:trPr>
          <w:trHeight w:val="383"/>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spacing w:val="-2"/>
                <w:highlight w:val="none"/>
              </w:rPr>
            </w:pPr>
            <w:r>
              <w:rPr>
                <w:color w:val="000000"/>
                <w:spacing w:val="-2"/>
                <w:sz w:val="21"/>
                <w:szCs w:val="24"/>
                <w:highlight w:val="none"/>
              </w:rPr>
              <w:t xml:space="preserve">4.3</w:t>
            </w:r>
            <w:r>
              <w:rPr>
                <w:rFonts w:ascii="Times New Roman" w:hAnsi="Times New Roman" w:cs="Times New Roman"/>
                <w:color w:val="000000"/>
                <w:spacing w:val="-2"/>
                <w:highlight w:val="none"/>
              </w:rPr>
            </w:r>
            <w:r/>
          </w:p>
        </w:tc>
        <w:tc>
          <w:tcPr>
            <w:tcW w:w="1179" w:type="dxa"/>
            <w:vAlign w:val="center"/>
            <w:textDirection w:val="lrTb"/>
            <w:noWrap w:val="false"/>
          </w:tcPr>
          <w:p>
            <w:pPr>
              <w:pStyle w:val="869"/>
              <w:spacing w:line="264" w:lineRule="auto"/>
              <w:rPr>
                <w:rFonts w:ascii="Times New Roman" w:hAnsi="Times New Roman" w:cs="Times New Roman"/>
                <w:color w:val="000000"/>
                <w:highlight w:val="none"/>
              </w:rPr>
            </w:pPr>
            <w:r>
              <w:rPr>
                <w:rFonts w:hint="eastAsia" w:eastAsia="宋体"/>
                <w:color w:val="000000"/>
                <w:sz w:val="21"/>
                <w:szCs w:val="24"/>
                <w:highlight w:val="none"/>
              </w:rPr>
              <w:t xml:space="preserve">履约能力3</w:t>
            </w:r>
            <w:r>
              <w:rPr>
                <w:rFonts w:ascii="Times New Roman" w:hAnsi="Times New Roman" w:cs="Times New Roman"/>
                <w:color w:val="000000"/>
                <w:highlight w:val="none"/>
              </w:rPr>
            </w:r>
            <w:r/>
          </w:p>
        </w:tc>
        <w:tc>
          <w:tcPr>
            <w:tcW w:w="6330" w:type="dxa"/>
            <w:vAlign w:val="center"/>
            <w:textDirection w:val="lrTb"/>
            <w:noWrap w:val="false"/>
          </w:tcPr>
          <w:p>
            <w:pPr>
              <w:pStyle w:val="901"/>
              <w:rPr>
                <w:rFonts w:hint="eastAsia"/>
                <w:color w:val="000000"/>
                <w:sz w:val="21"/>
                <w:szCs w:val="21"/>
                <w:highlight w:val="none"/>
              </w:rPr>
            </w:pPr>
            <w:r>
              <w:rPr>
                <w:rFonts w:hint="eastAsia"/>
                <w:color w:val="000000"/>
                <w:sz w:val="21"/>
                <w:szCs w:val="21"/>
                <w:highlight w:val="none"/>
              </w:rPr>
              <w:t xml:space="preserve">供应商拟投入本项目的安全负责人具有：</w:t>
            </w:r>
            <w:r>
              <w:rPr>
                <w:rFonts w:hint="eastAsia"/>
                <w:color w:val="000000"/>
                <w:sz w:val="21"/>
                <w:szCs w:val="21"/>
                <w:highlight w:val="none"/>
              </w:rPr>
            </w:r>
            <w:r/>
          </w:p>
          <w:p>
            <w:pPr>
              <w:pStyle w:val="901"/>
              <w:rPr>
                <w:rFonts w:hint="eastAsia"/>
                <w:color w:val="000000"/>
                <w:sz w:val="21"/>
                <w:szCs w:val="21"/>
                <w:highlight w:val="none"/>
              </w:rPr>
            </w:pPr>
            <w:r>
              <w:rPr>
                <w:rFonts w:hint="eastAsia"/>
                <w:color w:val="000000"/>
                <w:sz w:val="21"/>
                <w:szCs w:val="21"/>
                <w:highlight w:val="none"/>
              </w:rPr>
              <w:t xml:space="preserve">人力资源和社会保障部门颁发的高级工程师证书（数字经济或电子信息）；</w:t>
            </w:r>
            <w:r>
              <w:rPr>
                <w:rFonts w:hint="eastAsia"/>
                <w:color w:val="000000"/>
                <w:sz w:val="21"/>
                <w:szCs w:val="21"/>
                <w:highlight w:val="none"/>
              </w:rPr>
            </w:r>
            <w:r/>
          </w:p>
          <w:p>
            <w:pPr>
              <w:pStyle w:val="901"/>
              <w:rPr>
                <w:rFonts w:hint="eastAsia"/>
                <w:color w:val="000000"/>
                <w:sz w:val="21"/>
                <w:szCs w:val="21"/>
                <w:highlight w:val="none"/>
              </w:rPr>
            </w:pPr>
            <w:r>
              <w:rPr>
                <w:rFonts w:hint="eastAsia"/>
                <w:color w:val="000000"/>
                <w:sz w:val="21"/>
                <w:szCs w:val="21"/>
                <w:highlight w:val="none"/>
              </w:rPr>
              <w:t xml:space="preserve">人力资源和社会保障部、工业和信息化部颁发的系统规划与管理师证书；</w:t>
            </w:r>
            <w:r>
              <w:rPr>
                <w:rFonts w:hint="eastAsia"/>
                <w:color w:val="000000"/>
                <w:sz w:val="21"/>
                <w:szCs w:val="21"/>
                <w:highlight w:val="none"/>
              </w:rPr>
            </w:r>
            <w:r/>
          </w:p>
          <w:p>
            <w:pPr>
              <w:pStyle w:val="901"/>
              <w:rPr>
                <w:rFonts w:hint="eastAsia"/>
                <w:color w:val="000000"/>
                <w:sz w:val="21"/>
                <w:szCs w:val="21"/>
                <w:highlight w:val="none"/>
              </w:rPr>
            </w:pPr>
            <w:r>
              <w:rPr>
                <w:rFonts w:hint="eastAsia"/>
                <w:color w:val="000000"/>
                <w:sz w:val="21"/>
                <w:szCs w:val="21"/>
                <w:highlight w:val="none"/>
              </w:rPr>
              <w:t xml:space="preserve">人力资源和社会保障部、工业和信息化部颁发的信息系统项目管理师证书；</w:t>
            </w:r>
            <w:r>
              <w:rPr>
                <w:rFonts w:hint="eastAsia"/>
                <w:color w:val="000000"/>
                <w:sz w:val="21"/>
                <w:szCs w:val="21"/>
                <w:highlight w:val="none"/>
              </w:rPr>
            </w:r>
            <w:r/>
          </w:p>
          <w:p>
            <w:pPr>
              <w:pStyle w:val="901"/>
              <w:rPr>
                <w:rFonts w:hint="eastAsia"/>
                <w:color w:val="000000"/>
                <w:sz w:val="21"/>
                <w:szCs w:val="21"/>
                <w:highlight w:val="none"/>
              </w:rPr>
            </w:pPr>
            <w:r>
              <w:rPr>
                <w:rFonts w:hint="eastAsia"/>
                <w:color w:val="000000"/>
                <w:sz w:val="21"/>
                <w:szCs w:val="21"/>
                <w:highlight w:val="none"/>
              </w:rPr>
              <w:t xml:space="preserve">中国网络安全审查认证和市场监管大数据中心颁发的信息安全保障人员认证（CISAW）证书（应急服务）；</w:t>
            </w:r>
            <w:r>
              <w:rPr>
                <w:rFonts w:hint="eastAsia"/>
                <w:color w:val="000000"/>
                <w:sz w:val="21"/>
                <w:szCs w:val="21"/>
                <w:highlight w:val="none"/>
              </w:rPr>
            </w:r>
            <w:r/>
          </w:p>
          <w:p>
            <w:pPr>
              <w:pStyle w:val="901"/>
              <w:rPr>
                <w:color w:val="000000"/>
                <w:sz w:val="21"/>
                <w:szCs w:val="21"/>
                <w:highlight w:val="none"/>
              </w:rPr>
            </w:pPr>
            <w:r>
              <w:rPr>
                <w:rFonts w:hint="eastAsia"/>
                <w:color w:val="000000"/>
                <w:sz w:val="21"/>
                <w:szCs w:val="21"/>
                <w:highlight w:val="none"/>
              </w:rPr>
              <w:t xml:space="preserve">每提供1个证书得2分，最高得8分。</w:t>
            </w:r>
            <w:r>
              <w:rPr>
                <w:color w:val="000000"/>
                <w:sz w:val="21"/>
                <w:szCs w:val="21"/>
                <w:highlight w:val="none"/>
              </w:rPr>
            </w:r>
            <w:r/>
          </w:p>
          <w:p>
            <w:pPr>
              <w:pStyle w:val="901"/>
              <w:ind w:left="0" w:right="0"/>
              <w:rPr>
                <w:rFonts w:ascii="Times New Roman" w:hAnsi="Times New Roman" w:cs="Times New Roman"/>
                <w:color w:val="000000"/>
                <w:highlight w:val="none"/>
              </w:rPr>
            </w:pPr>
            <w:r>
              <w:rPr>
                <w:rFonts w:hint="eastAsia"/>
                <w:color w:val="000000"/>
                <w:sz w:val="21"/>
                <w:szCs w:val="21"/>
                <w:highlight w:val="none"/>
              </w:rPr>
              <w:t xml:space="preserve">（提供人员证书</w:t>
            </w:r>
            <w:r>
              <w:rPr>
                <w:rFonts w:hint="eastAsia"/>
                <w:color w:val="000000"/>
                <w:sz w:val="21"/>
                <w:szCs w:val="21"/>
                <w:highlight w:val="none"/>
                <w:lang w:val="zh-CN"/>
              </w:rPr>
              <w:t xml:space="preserve">，</w:t>
            </w:r>
            <w:r>
              <w:rPr>
                <w:rFonts w:hint="eastAsia"/>
                <w:color w:val="000000"/>
                <w:sz w:val="21"/>
                <w:szCs w:val="21"/>
                <w:highlight w:val="none"/>
              </w:rPr>
              <w:t xml:space="preserve">供应商为其缴纳的2026年3月以来任意一个月的社保证明材料，缺一不可）</w:t>
            </w:r>
            <w:r>
              <w:rPr>
                <w:rFonts w:ascii="Times New Roman" w:hAnsi="Times New Roman" w:cs="Times New Roman"/>
                <w:color w:val="000000"/>
                <w:highlight w:val="none"/>
              </w:rPr>
            </w:r>
            <w:r/>
          </w:p>
        </w:tc>
        <w:tc>
          <w:tcPr>
            <w:tcW w:w="647" w:type="dxa"/>
            <w:vAlign w:val="center"/>
            <w:textDirection w:val="lrTb"/>
            <w:noWrap w:val="false"/>
          </w:tcPr>
          <w:p>
            <w:pPr>
              <w:pStyle w:val="869"/>
              <w:jc w:val="center"/>
              <w:spacing w:before="68" w:line="264" w:lineRule="auto"/>
              <w:rPr>
                <w:rFonts w:ascii="Times New Roman" w:hAnsi="Times New Roman" w:cs="Times New Roman"/>
                <w:color w:val="000000"/>
                <w:szCs w:val="21"/>
                <w:highlight w:val="none"/>
              </w:rPr>
            </w:pPr>
            <w:r>
              <w:rPr>
                <w:color w:val="000000"/>
                <w:sz w:val="21"/>
                <w:szCs w:val="24"/>
                <w:highlight w:val="none"/>
              </w:rPr>
              <w:t xml:space="preserve">8</w:t>
            </w:r>
            <w:r>
              <w:rPr>
                <w:rFonts w:ascii="Times New Roman" w:hAnsi="Times New Roman" w:cs="Times New Roman"/>
                <w:color w:val="000000"/>
                <w:szCs w:val="21"/>
                <w:highlight w:val="none"/>
              </w:rPr>
            </w:r>
            <w:r/>
          </w:p>
        </w:tc>
        <w:tc>
          <w:tcPr>
            <w:tcW w:w="900" w:type="dxa"/>
            <w:vAlign w:val="center"/>
            <w:textDirection w:val="lrTb"/>
            <w:noWrap w:val="false"/>
          </w:tcPr>
          <w:p>
            <w:pPr>
              <w:pStyle w:val="869"/>
              <w:jc w:val="center"/>
              <w:spacing w:before="68" w:line="264" w:lineRule="auto"/>
              <w:rPr>
                <w:color w:val="000000"/>
                <w:highlight w:val="none"/>
              </w:rPr>
            </w:pPr>
            <w:r>
              <w:rPr>
                <w:rFonts w:hint="eastAsia" w:eastAsia="宋体"/>
                <w:color w:val="000000"/>
                <w:spacing w:val="-6"/>
                <w:sz w:val="21"/>
                <w:szCs w:val="24"/>
                <w:highlight w:val="none"/>
              </w:rPr>
              <w:t xml:space="preserve">客</w:t>
            </w:r>
            <w:r>
              <w:rPr>
                <w:rFonts w:hint="eastAsia" w:eastAsia="宋体"/>
                <w:color w:val="000000"/>
                <w:spacing w:val="-4"/>
                <w:sz w:val="21"/>
                <w:szCs w:val="24"/>
                <w:highlight w:val="none"/>
              </w:rPr>
              <w:t xml:space="preserve">观分</w:t>
            </w:r>
            <w:r>
              <w:rPr>
                <w:color w:val="000000"/>
                <w:highlight w:val="none"/>
              </w:rPr>
            </w:r>
            <w:r/>
          </w:p>
        </w:tc>
      </w:tr>
      <w:tr>
        <w:trPr>
          <w:trHeight w:val="383"/>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spacing w:val="-2"/>
                <w:highlight w:val="none"/>
              </w:rPr>
            </w:pPr>
            <w:r>
              <w:rPr>
                <w:color w:val="000000"/>
                <w:spacing w:val="-2"/>
                <w:sz w:val="21"/>
                <w:szCs w:val="24"/>
                <w:highlight w:val="none"/>
              </w:rPr>
              <w:t xml:space="preserve">4.4</w:t>
            </w:r>
            <w:r>
              <w:rPr>
                <w:rFonts w:ascii="Times New Roman" w:hAnsi="Times New Roman" w:cs="Times New Roman"/>
                <w:color w:val="000000"/>
                <w:spacing w:val="-2"/>
                <w:highlight w:val="none"/>
              </w:rPr>
            </w:r>
            <w:r/>
          </w:p>
        </w:tc>
        <w:tc>
          <w:tcPr>
            <w:tcW w:w="1179" w:type="dxa"/>
            <w:vAlign w:val="center"/>
            <w:textDirection w:val="lrTb"/>
            <w:noWrap w:val="false"/>
          </w:tcPr>
          <w:p>
            <w:pPr>
              <w:pStyle w:val="869"/>
              <w:spacing w:line="264" w:lineRule="auto"/>
              <w:rPr>
                <w:rFonts w:ascii="Times New Roman" w:hAnsi="Times New Roman" w:cs="Times New Roman"/>
                <w:color w:val="000000"/>
                <w:highlight w:val="none"/>
              </w:rPr>
            </w:pPr>
            <w:r>
              <w:rPr>
                <w:rFonts w:hint="eastAsia" w:eastAsia="宋体"/>
                <w:color w:val="000000"/>
                <w:sz w:val="21"/>
                <w:szCs w:val="24"/>
                <w:highlight w:val="none"/>
              </w:rPr>
              <w:t xml:space="preserve">履约能力</w:t>
            </w:r>
            <w:r>
              <w:rPr>
                <w:color w:val="000000"/>
                <w:sz w:val="21"/>
                <w:szCs w:val="24"/>
                <w:highlight w:val="none"/>
              </w:rPr>
              <w:t xml:space="preserve">4</w:t>
            </w:r>
            <w:r>
              <w:rPr>
                <w:rFonts w:ascii="Times New Roman" w:hAnsi="Times New Roman" w:cs="Times New Roman"/>
                <w:color w:val="000000"/>
                <w:highlight w:val="none"/>
              </w:rPr>
            </w:r>
            <w:r/>
          </w:p>
        </w:tc>
        <w:tc>
          <w:tcPr>
            <w:tcW w:w="6330" w:type="dxa"/>
            <w:vAlign w:val="center"/>
            <w:textDirection w:val="lrTb"/>
            <w:noWrap w:val="false"/>
          </w:tcPr>
          <w:p>
            <w:pPr>
              <w:pStyle w:val="869"/>
              <w:spacing w:line="264" w:lineRule="auto"/>
              <w:rPr>
                <w:rFonts w:hint="eastAsia"/>
                <w:color w:val="000000"/>
                <w:sz w:val="21"/>
                <w:szCs w:val="21"/>
                <w:highlight w:val="none"/>
              </w:rPr>
            </w:pPr>
            <w:r>
              <w:rPr>
                <w:rFonts w:hint="eastAsia" w:eastAsia="宋体"/>
                <w:color w:val="000000"/>
                <w:sz w:val="21"/>
                <w:szCs w:val="24"/>
                <w:highlight w:val="none"/>
              </w:rPr>
            </w:r>
            <w:r>
              <w:rPr>
                <w:rFonts w:hint="eastAsia"/>
                <w:color w:val="000000"/>
                <w:sz w:val="21"/>
                <w:szCs w:val="21"/>
                <w:highlight w:val="none"/>
              </w:rPr>
              <w:t xml:space="preserve">供应商拟投入本项目的运维负责人具有：</w:t>
            </w:r>
            <w:r>
              <w:rPr>
                <w:rFonts w:hint="eastAsia"/>
                <w:color w:val="000000"/>
                <w:sz w:val="21"/>
                <w:szCs w:val="21"/>
                <w:highlight w:val="none"/>
              </w:rPr>
            </w:r>
            <w:r/>
          </w:p>
          <w:p>
            <w:pPr>
              <w:pStyle w:val="901"/>
              <w:rPr>
                <w:rFonts w:hint="eastAsia"/>
                <w:color w:val="000000"/>
                <w:sz w:val="21"/>
                <w:szCs w:val="21"/>
                <w:highlight w:val="none"/>
              </w:rPr>
            </w:pPr>
            <w:r>
              <w:rPr>
                <w:rFonts w:hint="eastAsia"/>
                <w:color w:val="000000"/>
                <w:sz w:val="21"/>
                <w:szCs w:val="21"/>
                <w:highlight w:val="none"/>
              </w:rPr>
              <w:t xml:space="preserve">人力资源和社会保障部、工业和信息化部颁发的通信专业技术人员职业资格（中级）证书；</w:t>
            </w:r>
            <w:r>
              <w:rPr>
                <w:rFonts w:hint="eastAsia"/>
                <w:color w:val="000000"/>
                <w:sz w:val="21"/>
                <w:szCs w:val="21"/>
                <w:highlight w:val="none"/>
              </w:rPr>
            </w:r>
            <w:r/>
          </w:p>
          <w:p>
            <w:pPr>
              <w:pStyle w:val="901"/>
              <w:rPr>
                <w:rFonts w:hint="eastAsia"/>
                <w:color w:val="000000"/>
                <w:sz w:val="21"/>
                <w:szCs w:val="21"/>
                <w:highlight w:val="none"/>
              </w:rPr>
            </w:pPr>
            <w:r>
              <w:rPr>
                <w:rFonts w:hint="eastAsia"/>
                <w:color w:val="000000"/>
                <w:sz w:val="21"/>
                <w:szCs w:val="21"/>
                <w:highlight w:val="none"/>
              </w:rPr>
              <w:t xml:space="preserve">国家计算机网络应急技术处理协调中心颁发的网络安全能力认证（CCSC）网络安全管理（</w:t>
            </w:r>
            <w:r>
              <w:rPr>
                <w:color w:val="000000"/>
                <w:sz w:val="21"/>
                <w:szCs w:val="21"/>
                <w:highlight w:val="none"/>
              </w:rPr>
              <w:t xml:space="preserve">Ⅱ</w:t>
            </w:r>
            <w:r>
              <w:rPr>
                <w:rFonts w:hint="eastAsia"/>
                <w:color w:val="000000"/>
                <w:sz w:val="21"/>
                <w:szCs w:val="21"/>
                <w:highlight w:val="none"/>
              </w:rPr>
              <w:t xml:space="preserve">级）证书；</w:t>
            </w:r>
            <w:r>
              <w:rPr>
                <w:rFonts w:hint="eastAsia"/>
                <w:color w:val="000000"/>
                <w:sz w:val="21"/>
                <w:szCs w:val="21"/>
                <w:highlight w:val="none"/>
              </w:rPr>
            </w:r>
            <w:r/>
          </w:p>
          <w:p>
            <w:pPr>
              <w:pStyle w:val="901"/>
              <w:rPr>
                <w:color w:val="000000"/>
                <w:sz w:val="21"/>
                <w:szCs w:val="21"/>
                <w:highlight w:val="none"/>
              </w:rPr>
            </w:pPr>
            <w:r>
              <w:rPr>
                <w:rFonts w:hint="eastAsia"/>
                <w:color w:val="000000"/>
                <w:sz w:val="21"/>
                <w:szCs w:val="21"/>
                <w:highlight w:val="none"/>
              </w:rPr>
              <w:t xml:space="preserve">中国信息安全测评中心颁发的注册信息安全专业人员（CISP）证书；</w:t>
            </w:r>
            <w:r>
              <w:rPr>
                <w:color w:val="000000"/>
                <w:sz w:val="21"/>
                <w:szCs w:val="21"/>
                <w:highlight w:val="none"/>
              </w:rPr>
            </w:r>
            <w:r/>
          </w:p>
          <w:p>
            <w:pPr>
              <w:pStyle w:val="901"/>
              <w:rPr>
                <w:rFonts w:hint="eastAsia"/>
                <w:color w:val="000000"/>
                <w:sz w:val="21"/>
                <w:szCs w:val="21"/>
                <w:highlight w:val="none"/>
              </w:rPr>
            </w:pPr>
            <w:r>
              <w:rPr>
                <w:rFonts w:hint="eastAsia"/>
                <w:color w:val="000000"/>
                <w:sz w:val="21"/>
                <w:szCs w:val="21"/>
                <w:highlight w:val="none"/>
              </w:rPr>
              <w:t xml:space="preserve">中国网络安全审查认证和市场监管大数据中心颁发的信息安全保障人员认证（CISAW）证书（安全运维）；</w:t>
            </w:r>
            <w:r>
              <w:rPr>
                <w:rFonts w:hint="eastAsia"/>
                <w:color w:val="000000"/>
                <w:sz w:val="21"/>
                <w:szCs w:val="21"/>
                <w:highlight w:val="none"/>
              </w:rPr>
            </w:r>
            <w:r/>
          </w:p>
          <w:p>
            <w:pPr>
              <w:pStyle w:val="901"/>
              <w:rPr>
                <w:color w:val="000000"/>
                <w:sz w:val="21"/>
                <w:szCs w:val="21"/>
                <w:highlight w:val="none"/>
              </w:rPr>
            </w:pPr>
            <w:r>
              <w:rPr>
                <w:rFonts w:hint="eastAsia"/>
                <w:color w:val="000000"/>
                <w:sz w:val="21"/>
                <w:szCs w:val="21"/>
                <w:highlight w:val="none"/>
              </w:rPr>
              <w:t xml:space="preserve">每提供1个证书得2分，最高得8分。</w:t>
            </w:r>
            <w:r>
              <w:rPr>
                <w:color w:val="000000"/>
                <w:sz w:val="21"/>
                <w:szCs w:val="21"/>
                <w:highlight w:val="none"/>
              </w:rPr>
            </w:r>
            <w:r/>
          </w:p>
          <w:p>
            <w:pPr>
              <w:pStyle w:val="901"/>
              <w:ind w:left="0" w:right="0"/>
              <w:rPr>
                <w:rFonts w:ascii="Times New Roman" w:hAnsi="Times New Roman" w:cs="Times New Roman"/>
                <w:color w:val="000000"/>
                <w:highlight w:val="none"/>
              </w:rPr>
            </w:pPr>
            <w:r>
              <w:rPr>
                <w:rFonts w:hint="eastAsia"/>
                <w:color w:val="000000"/>
                <w:sz w:val="21"/>
                <w:szCs w:val="21"/>
                <w:highlight w:val="none"/>
              </w:rPr>
              <w:t xml:space="preserve">（提供人员证书，供应商为其缴纳的2026年3月以来任意一个月的社保证明材料，缺一不可）</w:t>
            </w:r>
            <w:r>
              <w:rPr>
                <w:rFonts w:ascii="Times New Roman" w:hAnsi="Times New Roman" w:cs="Times New Roman"/>
                <w:color w:val="000000"/>
                <w:highlight w:val="none"/>
              </w:rPr>
            </w:r>
            <w:r/>
          </w:p>
        </w:tc>
        <w:tc>
          <w:tcPr>
            <w:tcW w:w="647" w:type="dxa"/>
            <w:vAlign w:val="center"/>
            <w:textDirection w:val="lrTb"/>
            <w:noWrap w:val="false"/>
          </w:tcPr>
          <w:p>
            <w:pPr>
              <w:pStyle w:val="869"/>
              <w:jc w:val="center"/>
              <w:spacing w:before="68" w:line="264" w:lineRule="auto"/>
              <w:rPr>
                <w:rFonts w:ascii="Times New Roman" w:hAnsi="Times New Roman" w:cs="Times New Roman"/>
                <w:color w:val="000000"/>
                <w:spacing w:val="-6"/>
                <w:highlight w:val="none"/>
              </w:rPr>
            </w:pPr>
            <w:r>
              <w:rPr>
                <w:color w:val="000000"/>
                <w:sz w:val="21"/>
                <w:szCs w:val="24"/>
                <w:highlight w:val="none"/>
              </w:rPr>
              <w:t xml:space="preserve">8</w:t>
            </w:r>
            <w:r>
              <w:rPr>
                <w:rFonts w:ascii="Times New Roman" w:hAnsi="Times New Roman" w:cs="Times New Roman"/>
                <w:color w:val="000000"/>
                <w:spacing w:val="-6"/>
                <w:highlight w:val="none"/>
              </w:rPr>
            </w:r>
            <w:r/>
          </w:p>
        </w:tc>
        <w:tc>
          <w:tcPr>
            <w:tcW w:w="900" w:type="dxa"/>
            <w:vAlign w:val="center"/>
            <w:textDirection w:val="lrTb"/>
            <w:noWrap w:val="false"/>
          </w:tcPr>
          <w:p>
            <w:pPr>
              <w:pStyle w:val="869"/>
              <w:jc w:val="center"/>
              <w:spacing w:before="68" w:line="264" w:lineRule="auto"/>
              <w:rPr>
                <w:color w:val="000000"/>
                <w:highlight w:val="none"/>
              </w:rPr>
            </w:pPr>
            <w:r>
              <w:rPr>
                <w:rFonts w:hint="eastAsia" w:eastAsia="宋体"/>
                <w:color w:val="000000"/>
                <w:spacing w:val="-6"/>
                <w:sz w:val="21"/>
                <w:szCs w:val="24"/>
                <w:highlight w:val="none"/>
              </w:rPr>
              <w:t xml:space="preserve">客</w:t>
            </w:r>
            <w:r>
              <w:rPr>
                <w:rFonts w:hint="eastAsia" w:eastAsia="宋体"/>
                <w:color w:val="000000"/>
                <w:spacing w:val="-4"/>
                <w:sz w:val="21"/>
                <w:szCs w:val="24"/>
                <w:highlight w:val="none"/>
              </w:rPr>
              <w:t xml:space="preserve">观分</w:t>
            </w:r>
            <w:r>
              <w:rPr>
                <w:color w:val="000000"/>
                <w:highlight w:val="none"/>
              </w:rPr>
            </w:r>
            <w:r/>
          </w:p>
        </w:tc>
      </w:tr>
      <w:tr>
        <w:trPr>
          <w:trHeight w:val="464"/>
        </w:trPr>
        <w:tc>
          <w:tcPr>
            <w:tcW w:w="519" w:type="dxa"/>
            <w:vAlign w:val="center"/>
            <w:textDirection w:val="lrTb"/>
            <w:noWrap w:val="false"/>
          </w:tcPr>
          <w:p>
            <w:pPr>
              <w:pStyle w:val="869"/>
              <w:jc w:val="center"/>
              <w:spacing w:before="68" w:line="264" w:lineRule="auto"/>
              <w:rPr>
                <w:rFonts w:ascii="Times New Roman" w:hAnsi="Times New Roman" w:cs="Times New Roman"/>
                <w:color w:val="000000"/>
                <w:highlight w:val="none"/>
              </w:rPr>
            </w:pPr>
            <w:r>
              <w:rPr>
                <w:color w:val="000000"/>
                <w:spacing w:val="-2"/>
                <w:sz w:val="21"/>
                <w:szCs w:val="24"/>
                <w:highlight w:val="none"/>
              </w:rPr>
              <w:t xml:space="preserve">4.5</w:t>
            </w:r>
            <w:r>
              <w:rPr>
                <w:rFonts w:ascii="Times New Roman" w:hAnsi="Times New Roman" w:cs="Times New Roman"/>
                <w:color w:val="000000"/>
                <w:highlight w:val="none"/>
              </w:rPr>
            </w:r>
            <w:r/>
          </w:p>
        </w:tc>
        <w:tc>
          <w:tcPr>
            <w:tcW w:w="1179" w:type="dxa"/>
            <w:vAlign w:val="center"/>
            <w:textDirection w:val="lrTb"/>
            <w:noWrap w:val="false"/>
          </w:tcPr>
          <w:p>
            <w:pPr>
              <w:pStyle w:val="869"/>
              <w:spacing w:line="264" w:lineRule="auto"/>
              <w:rPr>
                <w:rFonts w:ascii="Times New Roman" w:hAnsi="Times New Roman" w:cs="Times New Roman"/>
                <w:color w:val="000000"/>
                <w:spacing w:val="-2"/>
                <w:highlight w:val="none"/>
              </w:rPr>
            </w:pPr>
            <w:r>
              <w:rPr>
                <w:rFonts w:hint="eastAsia" w:eastAsia="宋体"/>
                <w:color w:val="000000"/>
                <w:sz w:val="21"/>
                <w:szCs w:val="24"/>
                <w:highlight w:val="none"/>
              </w:rPr>
              <w:t xml:space="preserve">履约能力</w:t>
            </w:r>
            <w:r>
              <w:rPr>
                <w:color w:val="000000"/>
                <w:sz w:val="21"/>
                <w:szCs w:val="24"/>
                <w:highlight w:val="none"/>
              </w:rPr>
              <w:t xml:space="preserve">5</w:t>
            </w:r>
            <w:r>
              <w:rPr>
                <w:rFonts w:ascii="Times New Roman" w:hAnsi="Times New Roman" w:cs="Times New Roman"/>
                <w:color w:val="000000"/>
                <w:spacing w:val="-2"/>
                <w:highlight w:val="none"/>
              </w:rPr>
            </w:r>
            <w:r/>
          </w:p>
        </w:tc>
        <w:tc>
          <w:tcPr>
            <w:tcW w:w="6330" w:type="dxa"/>
            <w:vAlign w:val="center"/>
            <w:textDirection w:val="lrTb"/>
            <w:noWrap w:val="false"/>
          </w:tcPr>
          <w:p>
            <w:pPr>
              <w:pStyle w:val="901"/>
              <w:rPr>
                <w:rFonts w:hint="eastAsia"/>
                <w:color w:val="000000"/>
                <w:sz w:val="21"/>
                <w:szCs w:val="21"/>
                <w:highlight w:val="none"/>
                <w14:ligatures w14:val="none"/>
              </w:rPr>
            </w:pPr>
            <w:r>
              <w:rPr>
                <w:rFonts w:hint="eastAsia"/>
                <w:color w:val="000000"/>
                <w:sz w:val="21"/>
                <w:szCs w:val="21"/>
                <w:highlight w:val="none"/>
              </w:rPr>
              <w:t xml:space="preserve">供应商具有本项目相关的软件著作权证书，包括“智慧门禁”、“ 电子档案业务管理”、“视频监控”，每提供1个证书得2分，最高得</w:t>
            </w:r>
            <w:r>
              <w:rPr>
                <w:rFonts w:hint="eastAsia"/>
                <w:color w:val="000000"/>
                <w:sz w:val="21"/>
                <w:szCs w:val="21"/>
                <w:highlight w:val="none"/>
              </w:rPr>
              <w:t xml:space="preserve">6</w:t>
            </w:r>
            <w:r>
              <w:rPr>
                <w:rFonts w:hint="eastAsia"/>
                <w:color w:val="000000"/>
                <w:sz w:val="21"/>
                <w:szCs w:val="21"/>
                <w:highlight w:val="none"/>
              </w:rPr>
              <w:t xml:space="preserve">分。 </w:t>
            </w:r>
            <w:r>
              <w:rPr>
                <w:rFonts w:hint="eastAsia"/>
                <w:color w:val="000000"/>
                <w:sz w:val="21"/>
                <w:szCs w:val="21"/>
                <w:highlight w:val="none"/>
              </w:rPr>
            </w:r>
            <w:r/>
          </w:p>
          <w:p>
            <w:pPr>
              <w:pStyle w:val="901"/>
              <w:rPr>
                <w:rFonts w:hint="eastAsia"/>
                <w:color w:val="000000"/>
                <w:sz w:val="21"/>
                <w:szCs w:val="21"/>
                <w:highlight w:val="none"/>
                <w14:ligatures w14:val="none"/>
              </w:rPr>
            </w:pPr>
            <w:r>
              <w:rPr>
                <w:rFonts w:hint="eastAsia"/>
                <w:color w:val="000000"/>
                <w:sz w:val="21"/>
                <w:szCs w:val="21"/>
                <w:highlight w:val="none"/>
              </w:rPr>
              <w:t xml:space="preserve">（所提供证书“软件名称”与评分细则规定不同时，应提供符合上述要求的内容（功能）说明及关键信息，否则不予认可。）</w:t>
            </w:r>
            <w:r>
              <w:rPr>
                <w:rFonts w:hint="eastAsia"/>
                <w:color w:val="000000"/>
                <w:sz w:val="21"/>
                <w:szCs w:val="21"/>
                <w:highlight w:val="none"/>
              </w:rPr>
            </w:r>
            <w:r/>
          </w:p>
        </w:tc>
        <w:tc>
          <w:tcPr>
            <w:tcW w:w="647" w:type="dxa"/>
            <w:vAlign w:val="center"/>
            <w:textDirection w:val="lrTb"/>
            <w:noWrap w:val="false"/>
          </w:tcPr>
          <w:p>
            <w:pPr>
              <w:pStyle w:val="869"/>
              <w:jc w:val="center"/>
              <w:spacing w:before="68" w:line="264" w:lineRule="auto"/>
              <w:rPr>
                <w:color w:val="000000"/>
                <w:highlight w:val="none"/>
              </w:rPr>
            </w:pPr>
            <w:r>
              <w:rPr>
                <w:color w:val="000000"/>
                <w:sz w:val="21"/>
                <w:szCs w:val="24"/>
                <w:highlight w:val="none"/>
              </w:rPr>
              <w:t xml:space="preserve">6</w:t>
            </w:r>
            <w:r>
              <w:rPr>
                <w:color w:val="000000"/>
                <w:highlight w:val="none"/>
              </w:rPr>
            </w:r>
            <w:r/>
          </w:p>
        </w:tc>
        <w:tc>
          <w:tcPr>
            <w:tcW w:w="900" w:type="dxa"/>
            <w:vAlign w:val="center"/>
            <w:textDirection w:val="lrTb"/>
            <w:noWrap w:val="false"/>
          </w:tcPr>
          <w:p>
            <w:pPr>
              <w:pStyle w:val="869"/>
              <w:jc w:val="center"/>
              <w:spacing w:before="68" w:line="264" w:lineRule="auto"/>
              <w:rPr>
                <w:color w:val="000000"/>
                <w:highlight w:val="none"/>
              </w:rPr>
            </w:pPr>
            <w:r>
              <w:rPr>
                <w:rFonts w:hint="eastAsia" w:eastAsia="宋体"/>
                <w:color w:val="000000"/>
                <w:spacing w:val="-6"/>
                <w:sz w:val="21"/>
                <w:szCs w:val="24"/>
                <w:highlight w:val="none"/>
              </w:rPr>
              <w:t xml:space="preserve">客</w:t>
            </w:r>
            <w:r>
              <w:rPr>
                <w:rFonts w:hint="eastAsia" w:eastAsia="宋体"/>
                <w:color w:val="000000"/>
                <w:spacing w:val="-4"/>
                <w:sz w:val="21"/>
                <w:szCs w:val="24"/>
                <w:highlight w:val="none"/>
              </w:rPr>
              <w:t xml:space="preserve">观分</w:t>
            </w:r>
            <w:r>
              <w:rPr>
                <w:color w:val="000000"/>
                <w:highlight w:val="none"/>
              </w:rPr>
            </w:r>
            <w:r/>
          </w:p>
        </w:tc>
      </w:tr>
    </w:tbl>
    <w:p>
      <w:pPr>
        <w:pStyle w:val="949"/>
        <w:spacing w:line="288" w:lineRule="auto"/>
        <w:rPr>
          <w:rFonts w:hint="eastAsia"/>
          <w:color w:val="000000"/>
          <w:highlight w:val="none"/>
        </w:rPr>
      </w:pPr>
      <w:r>
        <w:rPr>
          <w:rFonts w:hint="eastAsia"/>
          <w:color w:val="000000"/>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黑体"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w:t>
      </w:r>
      <w:bookmarkEnd w:id="89"/>
      <w:r/>
      <w:bookmarkEnd w:id="90"/>
      <w:r/>
      <w:bookmarkEnd w:id="91"/>
      <w:r>
        <w:rPr>
          <w:rFonts w:hint="eastAsia" w:ascii="方正小标宋简体" w:hAnsi="方正小标宋简体" w:eastAsia="方正小标宋简体" w:cs="方正小标宋简体"/>
          <w:color w:val="000000"/>
          <w:sz w:val="36"/>
          <w:szCs w:val="36"/>
          <w:highlight w:val="none"/>
        </w:rPr>
        <w:t xml:space="preserve">响应文件格式 </w:t>
      </w:r>
      <w:r>
        <w:rPr>
          <w:rFonts w:hint="eastAsia" w:ascii="方正小标宋简体" w:hAnsi="方正小标宋简体" w:eastAsia="方正小标宋简体" w:cs="方正小标宋简体"/>
          <w:color w:val="000000"/>
          <w:sz w:val="36"/>
          <w:szCs w:val="36"/>
          <w:highlight w:val="none"/>
        </w:rPr>
      </w:r>
      <w:r/>
    </w:p>
    <w:p>
      <w:pPr>
        <w:pStyle w:val="869"/>
        <w:jc w:val="center"/>
        <w:rPr>
          <w:rFonts w:hint="eastAsia" w:ascii="宋体" w:hAnsi="宋体"/>
          <w:b/>
          <w:color w:val="000000"/>
          <w:sz w:val="72"/>
          <w:szCs w:val="21"/>
          <w:highlight w:val="none"/>
        </w:rPr>
      </w:pPr>
      <w:r/>
      <w:bookmarkStart w:id="93" w:name="_Hlt26955039"/>
      <w:r/>
      <w:bookmarkEnd w:id="93"/>
      <w:r/>
      <w:bookmarkStart w:id="94" w:name="_Hlt26671244"/>
      <w:r/>
      <w:bookmarkEnd w:id="94"/>
      <w:r/>
      <w:bookmarkStart w:id="95" w:name="_Toc49090576"/>
      <w:r/>
      <w:bookmarkStart w:id="96" w:name="_Toc26554094"/>
      <w:r/>
      <w:bookmarkStart w:id="97" w:name="_Toc120614282"/>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69"/>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69"/>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869"/>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szCs w:val="21"/>
          <w:highlight w:val="none"/>
        </w:rPr>
      </w:pPr>
      <w:r>
        <w:rPr>
          <w:rFonts w:ascii="宋体" w:hAnsi="宋体"/>
          <w:color w:val="000000"/>
          <w:szCs w:val="21"/>
          <w:highlight w:val="none"/>
        </w:rPr>
      </w:r>
      <w:r/>
    </w:p>
    <w:p>
      <w:pPr>
        <w:pStyle w:val="869"/>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二、法定代表人授权委托书</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三、磋商响应函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四、磋商报价表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五、分项报价表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六、技术要求响应及偏离表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七、商务要求响应及偏离表</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八、中小企业声明函（如有）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九、残疾人福利性单位声明函（如有）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十一、关于符合本国产品标准的声明函（如有）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十二、分包情况说明及分包意向协议（如有）</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rPr>
        <w:t xml:space="preserve">一、信用承诺函</w:t>
      </w:r>
      <w:r>
        <w:rPr>
          <w:rFonts w:hint="eastAsia"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rPr>
          <w:rFonts w:hint="eastAsia" w:ascii="方正小标宋简体" w:hAnsi="方正小标宋简体" w:eastAsia="方正小标宋简体" w:cs="方正小标宋简体"/>
          <w:color w:val="000000"/>
          <w:sz w:val="32"/>
          <w:szCs w:val="32"/>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（供应商名称）郑重承诺，我公司（单位）符合下列要求：</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69"/>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869"/>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如果我公司（单位）成交，将在成交结果公示后七个工作日内向采购人提供下列材料核验：</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69"/>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jc w:val="left"/>
        <w:spacing w:line="360" w:lineRule="auto"/>
        <w:rPr>
          <w:rFonts w:hint="eastAsia" w:ascii="黑体" w:hAnsi="黑体" w:eastAsia="黑体"/>
          <w:color w:val="000000"/>
          <w:sz w:val="32"/>
          <w:szCs w:val="32"/>
          <w:highlight w:val="none"/>
        </w:rPr>
      </w:pPr>
      <w:r>
        <w:rPr>
          <w:rFonts w:hint="eastAsia"/>
          <w:color w:val="000000"/>
          <w:highlight w:val="none"/>
        </w:rPr>
        <w:br w:type="page" w:clear="all"/>
      </w:r>
      <w:r>
        <w:rPr>
          <w:rFonts w:hint="eastAsia" w:ascii="黑体" w:hAnsi="黑体" w:eastAsia="黑体"/>
          <w:color w:val="000000"/>
          <w:sz w:val="32"/>
          <w:szCs w:val="32"/>
          <w:highlight w:val="none"/>
        </w:rPr>
        <w:t xml:space="preserve">二、法定代表人授权委托书</w:t>
      </w:r>
      <w:r>
        <w:rPr>
          <w:rFonts w:hint="eastAsia" w:ascii="黑体" w:hAnsi="黑体" w:eastAsia="黑体"/>
          <w:color w:val="000000"/>
          <w:sz w:val="32"/>
          <w:szCs w:val="32"/>
          <w:highlight w:val="none"/>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法定代表人授权委托书</w:t>
      </w:r>
      <w:r>
        <w:rPr>
          <w:rFonts w:hint="eastAsia" w:ascii="方正小标宋简体" w:hAnsi="方正小标宋简体" w:eastAsia="方正小标宋简体" w:cs="方正小标宋简体"/>
          <w:color w:val="000000"/>
          <w:sz w:val="32"/>
          <w:szCs w:val="32"/>
          <w:highlight w:val="none"/>
        </w:rPr>
      </w:r>
      <w:r/>
    </w:p>
    <w:p>
      <w:pPr>
        <w:pStyle w:val="96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本人</w:t>
      </w:r>
      <w:r>
        <w:rPr>
          <w:rFonts w:hint="eastAsia"/>
          <w:color w:val="000000"/>
          <w:sz w:val="24"/>
          <w:szCs w:val="24"/>
          <w:highlight w:val="none"/>
          <w:u w:val="single"/>
        </w:rPr>
        <w:t xml:space="preserve">    </w:t>
      </w:r>
      <w:r>
        <w:rPr>
          <w:rFonts w:hint="eastAsia"/>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（供应商名称）的法定代表人（单位负责人），现代表我单位授权委托</w:t>
      </w:r>
      <w:r>
        <w:rPr>
          <w:rFonts w:hint="eastAsia"/>
          <w:color w:val="000000"/>
          <w:sz w:val="24"/>
          <w:szCs w:val="24"/>
          <w:highlight w:val="none"/>
          <w:u w:val="single"/>
        </w:rPr>
        <w:t xml:space="preserve">    </w:t>
      </w:r>
      <w:r>
        <w:rPr>
          <w:rFonts w:hint="eastAsia"/>
          <w:color w:val="000000"/>
          <w:sz w:val="24"/>
          <w:szCs w:val="24"/>
          <w:highlight w:val="none"/>
        </w:rPr>
        <w:t xml:space="preserve">（姓名，职务）为我方合法代理人参加</w:t>
      </w:r>
      <w:r>
        <w:rPr>
          <w:rFonts w:hint="eastAsia"/>
          <w:color w:val="000000"/>
          <w:sz w:val="24"/>
          <w:szCs w:val="24"/>
          <w:highlight w:val="none"/>
          <w:u w:val="single"/>
        </w:rPr>
        <w:t xml:space="preserve">     </w:t>
      </w:r>
      <w:r>
        <w:rPr>
          <w:rFonts w:hint="eastAsia"/>
          <w:color w:val="000000"/>
          <w:sz w:val="24"/>
          <w:szCs w:val="24"/>
          <w:highlight w:val="none"/>
        </w:rPr>
        <w:t xml:space="preserve">（项目编号）</w:t>
      </w:r>
      <w:r>
        <w:rPr>
          <w:rFonts w:hint="eastAsia"/>
          <w:color w:val="000000"/>
          <w:sz w:val="24"/>
          <w:szCs w:val="24"/>
          <w:highlight w:val="none"/>
          <w:u w:val="single"/>
        </w:rPr>
        <w:t xml:space="preserve">      </w:t>
      </w:r>
      <w:r>
        <w:rPr>
          <w:rFonts w:hint="eastAsia"/>
          <w:color w:val="000000"/>
          <w:sz w:val="24"/>
          <w:szCs w:val="24"/>
          <w:highlight w:val="none"/>
        </w:rPr>
        <w:t xml:space="preserve">（项目名称）的政府采购活动，由其代表我方办理上述项目在响应、磋商、澄清确认过程中的相关事宜，其法律后果由我方承担。</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委托期限：自本授权委托书签署之日起至磋商有效期届满之日止。</w:t>
      </w:r>
      <w:r>
        <w:rPr>
          <w:rFonts w:hint="eastAsia"/>
          <w:color w:val="000000"/>
          <w:sz w:val="24"/>
          <w:szCs w:val="24"/>
          <w:highlight w:val="none"/>
        </w:rPr>
      </w:r>
      <w:r/>
    </w:p>
    <w:p>
      <w:pPr>
        <w:pStyle w:val="960"/>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代理人无转委托权。</w:t>
      </w:r>
      <w:r>
        <w:rPr>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供应商名称（加盖公章）：________________</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法定代表人（单位负责人）（签字或签章）：________________</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代理人（签字或签章）：________________ </w:t>
      </w:r>
      <w:r>
        <w:rPr>
          <w:rFonts w:hint="eastAsia"/>
          <w:color w:val="000000"/>
          <w:sz w:val="24"/>
          <w:szCs w:val="24"/>
          <w:highlight w:val="none"/>
        </w:rPr>
      </w:r>
      <w:r/>
    </w:p>
    <w:p>
      <w:pPr>
        <w:pStyle w:val="960"/>
        <w:ind w:firstLine="480"/>
        <w:spacing w:line="480" w:lineRule="exact"/>
        <w:tabs>
          <w:tab w:val="left" w:pos="360" w:leader="none"/>
        </w:tabs>
        <w:rPr>
          <w:color w:val="000000"/>
          <w:sz w:val="24"/>
          <w:szCs w:val="24"/>
          <w:highlight w:val="none"/>
          <w:lang w:val="en-US"/>
        </w:rPr>
      </w:pPr>
      <w:r>
        <w:rPr>
          <w:rFonts w:hint="eastAsia" w:ascii="Times New Roman" w:hAnsi="Times New Roman" w:eastAsia="宋体" w:cs="Times New Roman"/>
          <w:i w:val="0"/>
          <w:color w:val="000000"/>
          <w:sz w:val="24"/>
          <w:szCs w:val="24"/>
          <w:highlight w:val="none"/>
          <w:u w:val="none"/>
          <w:lang w:val="en-US" w:eastAsia="zh-CN"/>
        </w:rPr>
        <w:t xml:space="preserve">代理人联系方式（手机号码）：  </w:t>
      </w:r>
      <w:r>
        <w:rPr>
          <w:rFonts w:hint="eastAsia" w:ascii="Times New Roman" w:hAnsi="Times New Roman" w:eastAsia="宋体" w:cs="Times New Roman"/>
          <w:i w:val="0"/>
          <w:color w:val="000000"/>
          <w:sz w:val="24"/>
          <w:szCs w:val="24"/>
          <w:highlight w:val="none"/>
          <w:u w:val="single"/>
          <w:lang w:val="en-US" w:eastAsia="zh-CN"/>
        </w:rPr>
        <w:t xml:space="preserve">               </w:t>
      </w:r>
      <w:r>
        <w:rPr>
          <w:color w:val="000000"/>
          <w:sz w:val="24"/>
          <w:szCs w:val="24"/>
          <w:highlight w:val="none"/>
          <w:lang w:val="en-US"/>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日期：_____年______月______日</w:t>
      </w:r>
      <w:r>
        <w:rPr>
          <w:rFonts w:hint="eastAsia"/>
          <w:color w:val="000000"/>
          <w:sz w:val="24"/>
          <w:szCs w:val="24"/>
          <w:highlight w:val="none"/>
        </w:rPr>
      </w:r>
      <w:r/>
    </w:p>
    <w:p>
      <w:pPr>
        <w:pStyle w:val="960"/>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附：法定代表人（单位负责人）及代理人有效身份证明文件</w:t>
      </w:r>
      <w:r>
        <w:rPr>
          <w:color w:val="000000"/>
          <w:sz w:val="24"/>
          <w:szCs w:val="24"/>
          <w:highlight w:val="none"/>
        </w:rPr>
      </w:r>
      <w:r/>
    </w:p>
    <w:p>
      <w:pPr>
        <w:pStyle w:val="888"/>
        <w:ind w:firstLine="0"/>
        <w:rPr>
          <w:rFonts w:hint="eastAsia"/>
          <w:color w:val="000000"/>
          <w:highlight w:val="none"/>
        </w:rPr>
      </w:pPr>
      <w:r>
        <w:rPr>
          <w:rFonts w:hint="eastAsia"/>
          <w:color w:val="000000"/>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说明：</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1.若供应商为事业单位或其他组织或分支机构（仅限磋商文件注明允许分支机构投标情形），则法定代表人（单位负责人）处的签署人可为单位负责人。</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3.供应商为自然人的，可不提供本《法定代表人授权委托书》。</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4.供应商应同时提供法定代表人（单位负责人）及代理人的身份证或护照等有效身份证明文件（彩色复印件或者彩色扫描件）。</w:t>
      </w:r>
      <w:r>
        <w:rPr>
          <w:rFonts w:hint="eastAsia"/>
          <w:b/>
          <w:bCs/>
          <w:color w:val="000000"/>
          <w:sz w:val="24"/>
          <w:szCs w:val="24"/>
          <w:highlight w:val="none"/>
        </w:rPr>
        <w:t xml:space="preserve">提供身份证的，应同时提供身份证双面</w:t>
      </w:r>
      <w:r>
        <w:rPr>
          <w:rFonts w:hint="eastAsia"/>
          <w:color w:val="000000"/>
          <w:sz w:val="24"/>
          <w:szCs w:val="24"/>
          <w:highlight w:val="none"/>
        </w:rPr>
        <w:t xml:space="preserve">。</w:t>
      </w:r>
      <w:r>
        <w:rPr>
          <w:rFonts w:hint="eastAsia"/>
          <w:color w:val="000000"/>
          <w:sz w:val="24"/>
          <w:szCs w:val="24"/>
          <w:highlight w:val="none"/>
        </w:rPr>
      </w:r>
      <w:r/>
    </w:p>
    <w:p>
      <w:pPr>
        <w:pStyle w:val="960"/>
        <w:ind w:firstLine="482"/>
        <w:spacing w:line="480" w:lineRule="exact"/>
        <w:tabs>
          <w:tab w:val="left" w:pos="360" w:leader="none"/>
        </w:tabs>
        <w:rPr>
          <w:rFonts w:hint="eastAsia"/>
          <w:b/>
          <w:bCs/>
          <w:color w:val="000000"/>
          <w:sz w:val="24"/>
          <w:szCs w:val="24"/>
          <w:highlight w:val="none"/>
        </w:rPr>
      </w:pPr>
      <w:r>
        <w:rPr>
          <w:rFonts w:hint="eastAsia"/>
          <w:b/>
          <w:bCs/>
          <w:color w:val="000000"/>
          <w:sz w:val="24"/>
          <w:szCs w:val="24"/>
          <w:highlight w:val="none"/>
        </w:rPr>
        <w:t xml:space="preserve">5.未按磋商文件要求和格式提供《法定代表人授权委托书》的，将作为无效响应处理。</w:t>
      </w:r>
      <w:r>
        <w:rPr>
          <w:rFonts w:hint="eastAsia"/>
          <w:b/>
          <w:bCs/>
          <w:color w:val="000000"/>
          <w:sz w:val="24"/>
          <w:szCs w:val="24"/>
          <w:highlight w:val="none"/>
        </w:rPr>
      </w:r>
      <w:r/>
    </w:p>
    <w:p>
      <w:pPr>
        <w:pStyle w:val="869"/>
        <w:rPr>
          <w:rFonts w:hint="eastAsia" w:ascii="黑体" w:hAnsi="黑体" w:eastAsia="黑体"/>
          <w:color w:val="000000"/>
          <w:sz w:val="32"/>
          <w:szCs w:val="32"/>
          <w:highlight w:val="none"/>
        </w:rPr>
      </w:pPr>
      <w:r>
        <w:rPr>
          <w:rFonts w:hint="eastAsia" w:ascii="楷体" w:hAnsi="楷体" w:eastAsia="楷体"/>
          <w:bCs/>
          <w:color w:val="000000"/>
          <w:sz w:val="24"/>
          <w:szCs w:val="24"/>
          <w:highlight w:val="none"/>
        </w:rPr>
        <w:br w:type="page" w:clear="all"/>
      </w:r>
      <w:bookmarkEnd w:id="95"/>
      <w:r/>
      <w:bookmarkEnd w:id="96"/>
      <w:r/>
      <w:bookmarkEnd w:id="97"/>
      <w:r/>
      <w:bookmarkStart w:id="98" w:name="_Toc120614284"/>
      <w:r>
        <w:rPr>
          <w:rFonts w:hint="eastAsia" w:ascii="黑体" w:hAnsi="黑体" w:eastAsia="黑体"/>
          <w:color w:val="000000"/>
          <w:sz w:val="32"/>
          <w:szCs w:val="32"/>
          <w:highlight w:val="none"/>
        </w:rPr>
        <w:t xml:space="preserve">三、磋商响应函</w:t>
      </w:r>
      <w:r>
        <w:rPr>
          <w:rFonts w:hint="eastAsia"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6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                    （采购人名称）</w:t>
      </w:r>
      <w:r>
        <w:rPr>
          <w:rFonts w:hint="eastAsia" w:ascii="宋体" w:hAnsi="宋体" w:eastAsia="宋体" w:cs="宋体"/>
          <w:color w:val="000000"/>
          <w:sz w:val="24"/>
          <w:szCs w:val="24"/>
          <w:highlight w:val="none"/>
        </w:rPr>
      </w:r>
      <w:r/>
    </w:p>
    <w:p>
      <w:pPr>
        <w:pStyle w:val="962"/>
        <w:spacing w:before="0" w:after="0"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根据贵方</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（项目编号）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（项目名称）的</w:t>
      </w:r>
      <w:r>
        <w:rPr>
          <w:rFonts w:hint="eastAsia" w:ascii="宋体" w:hAnsi="宋体" w:cs="宋体"/>
          <w:color w:val="000000"/>
          <w:szCs w:val="24"/>
          <w:highlight w:val="none"/>
        </w:rPr>
        <w:t xml:space="preserve">磋商文件，我方正式提</w:t>
      </w:r>
      <w:r>
        <w:rPr>
          <w:rFonts w:hint="eastAsia" w:ascii="宋体" w:hAnsi="宋体" w:cs="宋体"/>
          <w:color w:val="000000"/>
          <w:highlight w:val="none"/>
        </w:rPr>
        <w:t xml:space="preserve">交磋商响应函，</w:t>
      </w:r>
      <w:r>
        <w:rPr>
          <w:rFonts w:hint="eastAsia" w:ascii="宋体" w:hAnsi="宋体" w:cs="宋体"/>
          <w:color w:val="000000"/>
          <w:szCs w:val="24"/>
          <w:highlight w:val="none"/>
        </w:rPr>
        <w:t xml:space="preserve">并宣布同意如下内容：</w:t>
      </w:r>
      <w:r>
        <w:rPr>
          <w:rFonts w:hint="eastAsia" w:ascii="宋体" w:hAnsi="宋体" w:cs="宋体"/>
          <w:color w:val="000000"/>
          <w:szCs w:val="24"/>
          <w:highlight w:val="none"/>
        </w:rPr>
      </w:r>
      <w:r/>
    </w:p>
    <w:p>
      <w:pPr>
        <w:pStyle w:val="86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1.按磋商文件规定的各项要求，向贵方提供所需服务（包含与服务相关的货物）。</w:t>
      </w:r>
      <w:r>
        <w:rPr>
          <w:rFonts w:hint="eastAsia" w:ascii="宋体" w:hAnsi="宋体" w:eastAsia="宋体" w:cs="宋体"/>
          <w:color w:val="000000"/>
          <w:sz w:val="24"/>
          <w:szCs w:val="24"/>
          <w:highlight w:val="none"/>
        </w:rPr>
      </w:r>
      <w:r/>
    </w:p>
    <w:p>
      <w:pPr>
        <w:pStyle w:val="86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2.我们完全理解贵方不一定将合同授予最低报价的供应商。</w:t>
      </w:r>
      <w:r>
        <w:rPr>
          <w:rFonts w:hint="eastAsia" w:ascii="宋体" w:hAnsi="宋体" w:eastAsia="宋体" w:cs="宋体"/>
          <w:color w:val="000000"/>
          <w:sz w:val="24"/>
          <w:szCs w:val="24"/>
          <w:highlight w:val="none"/>
        </w:rPr>
      </w:r>
      <w:r/>
    </w:p>
    <w:p>
      <w:pPr>
        <w:pStyle w:val="86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eastAsia="宋体" w:cs="宋体"/>
          <w:color w:val="000000"/>
          <w:sz w:val="24"/>
          <w:szCs w:val="24"/>
          <w:highlight w:val="none"/>
        </w:rPr>
      </w:r>
      <w:r/>
    </w:p>
    <w:p>
      <w:pPr>
        <w:pStyle w:val="86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4.我们同意从规定的磋商日期起遵循本响应文件，并在规定的磋商有效期期满之前均具有约束力。</w:t>
      </w:r>
      <w:r>
        <w:rPr>
          <w:rFonts w:hint="eastAsia" w:ascii="宋体" w:hAnsi="宋体" w:eastAsia="宋体" w:cs="宋体"/>
          <w:color w:val="000000"/>
          <w:sz w:val="24"/>
          <w:szCs w:val="24"/>
          <w:highlight w:val="none"/>
        </w:rPr>
      </w:r>
      <w:r/>
    </w:p>
    <w:p>
      <w:pPr>
        <w:pStyle w:val="86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 w:val="24"/>
          <w:szCs w:val="24"/>
          <w:highlight w:val="none"/>
        </w:rPr>
      </w:r>
      <w:r/>
    </w:p>
    <w:p>
      <w:pPr>
        <w:pStyle w:val="86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6.一旦我方成交，我方将根据磋商文件的规定，严格履行合同的责任和义务,并保证在磋商文件规定的时间完成项目，交付贵方验收、使用。</w:t>
      </w:r>
      <w:r>
        <w:rPr>
          <w:rFonts w:hint="eastAsia" w:ascii="宋体" w:hAnsi="宋体" w:eastAsia="宋体" w:cs="宋体"/>
          <w:color w:val="000000"/>
          <w:sz w:val="24"/>
          <w:szCs w:val="24"/>
          <w:highlight w:val="none"/>
        </w:rPr>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w:t>
      </w:r>
      <w:r>
        <w:rPr>
          <w:rFonts w:hint="eastAsia" w:ascii="宋体" w:hAnsi="宋体" w:eastAsia="宋体" w:cs="宋体"/>
          <w:color w:val="000000"/>
          <w:sz w:val="24"/>
          <w:szCs w:val="24"/>
          <w:highlight w:val="none"/>
        </w:rPr>
        <w:t xml:space="preserve">为：</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val="zh-CN"/>
        </w:rPr>
        <w:t xml:space="preserve">打</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1"/>
        <w:ind w:firstLine="480"/>
        <w:spacing w:line="360" w:lineRule="auto"/>
        <w:rPr>
          <w:rFonts w:hint="eastAsia" w:cs="宋体"/>
          <w:color w:val="000000"/>
          <w:sz w:val="24"/>
          <w:szCs w:val="24"/>
          <w:highlight w:val="none"/>
        </w:rPr>
      </w:pPr>
      <w:r>
        <w:rPr>
          <w:rFonts w:hint="eastAsia" w:cs="宋体"/>
          <w:color w:val="000000"/>
          <w:sz w:val="24"/>
          <w:szCs w:val="24"/>
          <w:highlight w:val="none"/>
        </w:rPr>
        <w:t xml:space="preserve">8.我方为：</w:t>
      </w:r>
      <w:r>
        <w:rPr>
          <w:rFonts w:ascii="Wingdings" w:hAnsi="Wingdings" w:eastAsia="Wingdings" w:cs="Wingdings"/>
          <w:color w:val="000000"/>
          <w:sz w:val="24"/>
          <w:szCs w:val="24"/>
          <w:highlight w:val="none"/>
        </w:rPr>
        <w:t xml:space="preserve">¨</w:t>
      </w:r>
      <w:r>
        <w:rPr>
          <w:rFonts w:hint="eastAsia" w:cs="宋体"/>
          <w:color w:val="000000"/>
          <w:sz w:val="24"/>
          <w:szCs w:val="24"/>
          <w:highlight w:val="none"/>
        </w:rPr>
        <w:t xml:space="preserve">民营企业 </w:t>
      </w:r>
      <w:r>
        <w:rPr>
          <w:rFonts w:ascii="Wingdings" w:hAnsi="Wingdings" w:eastAsia="Wingdings" w:cs="Wingdings"/>
          <w:color w:val="000000"/>
          <w:sz w:val="24"/>
          <w:szCs w:val="24"/>
          <w:highlight w:val="none"/>
        </w:rPr>
        <w:t xml:space="preserve">¨</w:t>
      </w:r>
      <w:r>
        <w:rPr>
          <w:rFonts w:hint="eastAsia" w:cs="宋体"/>
          <w:color w:val="000000"/>
          <w:sz w:val="24"/>
          <w:szCs w:val="24"/>
          <w:highlight w:val="none"/>
        </w:rPr>
        <w:t xml:space="preserve">非民营企业 </w:t>
      </w:r>
      <w:r>
        <w:rPr>
          <w:rFonts w:ascii="Wingdings" w:hAnsi="Wingdings" w:eastAsia="Wingdings" w:cs="Wingdings"/>
          <w:color w:val="000000"/>
          <w:sz w:val="24"/>
          <w:szCs w:val="24"/>
          <w:highlight w:val="none"/>
        </w:rPr>
        <w:t xml:space="preserve">¨</w:t>
      </w:r>
      <w:r>
        <w:rPr>
          <w:rFonts w:hint="eastAsia" w:cs="宋体"/>
          <w:color w:val="000000"/>
          <w:sz w:val="24"/>
          <w:szCs w:val="24"/>
          <w:highlight w:val="none"/>
        </w:rPr>
        <w:t xml:space="preserve">事业单位或其他组织（在对应</w:t>
      </w:r>
      <w:r>
        <w:rPr>
          <w:rFonts w:ascii="Wingdings" w:hAnsi="Wingdings" w:eastAsia="Wingdings" w:cs="Wingdings"/>
          <w:color w:val="000000"/>
          <w:sz w:val="24"/>
          <w:szCs w:val="24"/>
          <w:highlight w:val="none"/>
        </w:rPr>
        <w:t xml:space="preserve">¨</w:t>
      </w:r>
      <w:r>
        <w:rPr>
          <w:rFonts w:hint="eastAsia" w:cs="宋体"/>
          <w:color w:val="000000"/>
          <w:sz w:val="24"/>
          <w:szCs w:val="24"/>
          <w:highlight w:val="none"/>
        </w:rPr>
        <w:t xml:space="preserve">内</w:t>
      </w:r>
      <w:r>
        <w:rPr>
          <w:rFonts w:hint="eastAsia" w:cs="宋体"/>
          <w:color w:val="000000"/>
          <w:sz w:val="24"/>
          <w:szCs w:val="24"/>
          <w:highlight w:val="none"/>
          <w:lang w:val="zh-CN"/>
        </w:rPr>
        <w:t xml:space="preserve">打</w:t>
      </w:r>
      <w:r>
        <w:rPr>
          <w:rFonts w:hint="eastAsia" w:cs="宋体"/>
          <w:color w:val="000000"/>
          <w:sz w:val="24"/>
          <w:szCs w:val="24"/>
          <w:highlight w:val="none"/>
          <w:lang w:val="zh-CN"/>
        </w:rPr>
        <w:t xml:space="preserve">“√”</w:t>
      </w:r>
      <w:r>
        <w:rPr>
          <w:rFonts w:hint="eastAsia" w:cs="宋体"/>
          <w:color w:val="000000"/>
          <w:sz w:val="24"/>
          <w:szCs w:val="24"/>
          <w:highlight w:val="none"/>
        </w:rPr>
        <w:t xml:space="preserve">）               </w:t>
      </w:r>
      <w:r>
        <w:rPr>
          <w:rFonts w:hint="eastAsia" w:cs="宋体"/>
          <w:color w:val="000000"/>
          <w:sz w:val="24"/>
          <w:szCs w:val="24"/>
          <w:highlight w:val="none"/>
        </w:rPr>
      </w:r>
      <w:r/>
    </w:p>
    <w:p>
      <w:pPr>
        <w:pStyle w:val="86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9.我方与本磋商有关的正式通讯地址为：</w:t>
      </w:r>
      <w:r>
        <w:rPr>
          <w:rFonts w:hint="eastAsia" w:ascii="宋体" w:hAnsi="宋体" w:eastAsia="宋体" w:cs="宋体"/>
          <w:color w:val="000000"/>
          <w:sz w:val="24"/>
          <w:szCs w:val="24"/>
          <w:highlight w:val="none"/>
        </w:rPr>
      </w:r>
      <w:r/>
    </w:p>
    <w:p>
      <w:pPr>
        <w:pStyle w:val="962"/>
        <w:spacing w:before="0" w:after="0"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地  址：</w:t>
      </w:r>
      <w:r>
        <w:rPr>
          <w:rFonts w:hint="eastAsia" w:ascii="宋体" w:hAnsi="宋体" w:cs="宋体"/>
          <w:color w:val="000000"/>
          <w:szCs w:val="24"/>
          <w:highlight w:val="none"/>
        </w:rPr>
      </w:r>
      <w:r/>
    </w:p>
    <w:p>
      <w:pPr>
        <w:pStyle w:val="962"/>
        <w:spacing w:before="0" w:after="0"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邮  编：</w:t>
      </w:r>
      <w:r>
        <w:rPr>
          <w:rFonts w:hint="eastAsia" w:ascii="宋体" w:hAnsi="宋体" w:cs="宋体"/>
          <w:color w:val="000000"/>
          <w:szCs w:val="24"/>
          <w:highlight w:val="none"/>
        </w:rPr>
      </w:r>
      <w:r/>
    </w:p>
    <w:p>
      <w:pPr>
        <w:pStyle w:val="962"/>
        <w:spacing w:before="0" w:after="0" w:line="360" w:lineRule="auto"/>
        <w:rPr>
          <w:rFonts w:hint="eastAsia" w:ascii="宋体" w:hAnsi="宋体" w:cs="宋体"/>
          <w:color w:val="000000"/>
          <w:szCs w:val="24"/>
          <w:highlight w:val="none"/>
          <w:u w:val="single"/>
        </w:rPr>
      </w:pPr>
      <w:r>
        <w:rPr>
          <w:rFonts w:hint="eastAsia" w:ascii="宋体" w:hAnsi="宋体" w:cs="宋体"/>
          <w:color w:val="000000"/>
          <w:szCs w:val="24"/>
          <w:highlight w:val="none"/>
        </w:rPr>
        <w:t xml:space="preserve">电  话：</w:t>
      </w:r>
      <w:r>
        <w:rPr>
          <w:rFonts w:hint="eastAsia" w:ascii="宋体" w:hAnsi="宋体" w:cs="宋体"/>
          <w:color w:val="000000"/>
          <w:szCs w:val="24"/>
          <w:highlight w:val="none"/>
          <w:u w:val="single"/>
        </w:rPr>
      </w:r>
      <w:r/>
    </w:p>
    <w:p>
      <w:pPr>
        <w:pStyle w:val="962"/>
        <w:spacing w:before="0" w:after="0" w:line="360" w:lineRule="auto"/>
        <w:rPr>
          <w:rFonts w:hint="eastAsia" w:ascii="宋体" w:hAnsi="宋体" w:cs="宋体"/>
          <w:color w:val="000000"/>
          <w:szCs w:val="24"/>
          <w:highlight w:val="none"/>
          <w:u w:val="single"/>
        </w:rPr>
      </w:pPr>
      <w:r>
        <w:rPr>
          <w:rFonts w:hint="eastAsia" w:ascii="宋体" w:hAnsi="宋体" w:cs="宋体"/>
          <w:color w:val="000000"/>
          <w:szCs w:val="24"/>
          <w:highlight w:val="none"/>
        </w:rPr>
        <w:t xml:space="preserve">传  真：</w:t>
      </w:r>
      <w:r>
        <w:rPr>
          <w:rFonts w:hint="eastAsia" w:ascii="宋体" w:hAnsi="宋体" w:cs="宋体"/>
          <w:color w:val="000000"/>
          <w:szCs w:val="24"/>
          <w:highlight w:val="none"/>
          <w:u w:val="single"/>
        </w:rPr>
      </w:r>
      <w:r/>
    </w:p>
    <w:p>
      <w:pPr>
        <w:pStyle w:val="962"/>
        <w:spacing w:before="0" w:after="0" w:line="360" w:lineRule="auto"/>
        <w:rPr>
          <w:rFonts w:hint="eastAsia" w:ascii="宋体" w:hAnsi="宋体" w:cs="宋体"/>
          <w:color w:val="000000"/>
          <w:szCs w:val="24"/>
          <w:highlight w:val="none"/>
          <w:u w:val="single"/>
        </w:rPr>
      </w:pPr>
      <w:r>
        <w:rPr>
          <w:rFonts w:hint="eastAsia" w:ascii="宋体" w:hAnsi="宋体" w:cs="宋体"/>
          <w:color w:val="000000"/>
          <w:szCs w:val="24"/>
          <w:highlight w:val="none"/>
        </w:rPr>
        <w:t xml:space="preserve">开户行：</w:t>
      </w:r>
      <w:r>
        <w:rPr>
          <w:rFonts w:hint="eastAsia" w:ascii="宋体" w:hAnsi="宋体" w:cs="宋体"/>
          <w:color w:val="000000"/>
          <w:szCs w:val="24"/>
          <w:highlight w:val="none"/>
          <w:u w:val="single"/>
        </w:rPr>
      </w:r>
      <w:r/>
    </w:p>
    <w:p>
      <w:pPr>
        <w:pStyle w:val="962"/>
        <w:spacing w:before="0" w:after="0" w:line="360" w:lineRule="auto"/>
        <w:rPr>
          <w:rFonts w:hint="eastAsia" w:ascii="宋体" w:hAnsi="宋体" w:cs="宋体"/>
          <w:color w:val="000000"/>
          <w:szCs w:val="24"/>
          <w:highlight w:val="none"/>
          <w:u w:val="single"/>
        </w:rPr>
      </w:pPr>
      <w:r>
        <w:rPr>
          <w:rFonts w:hint="eastAsia" w:ascii="宋体" w:hAnsi="宋体" w:cs="宋体"/>
          <w:color w:val="000000"/>
          <w:szCs w:val="24"/>
          <w:highlight w:val="none"/>
        </w:rPr>
        <w:t xml:space="preserve">账  号：</w:t>
      </w:r>
      <w:r>
        <w:rPr>
          <w:rFonts w:hint="eastAsia" w:ascii="宋体" w:hAnsi="宋体" w:cs="宋体"/>
          <w:color w:val="000000"/>
          <w:szCs w:val="24"/>
          <w:highlight w:val="none"/>
          <w:u w:val="single"/>
        </w:rPr>
      </w:r>
      <w:r/>
    </w:p>
    <w:p>
      <w:pPr>
        <w:pStyle w:val="869"/>
        <w:ind w:right="1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供应商名称：（加盖电子公章）</w:t>
      </w:r>
      <w:r>
        <w:rPr>
          <w:rFonts w:hint="eastAsia" w:ascii="宋体" w:hAnsi="宋体" w:eastAsia="宋体" w:cs="宋体"/>
          <w:color w:val="000000"/>
          <w:sz w:val="24"/>
          <w:szCs w:val="24"/>
          <w:highlight w:val="none"/>
        </w:rPr>
      </w:r>
      <w:r/>
    </w:p>
    <w:p>
      <w:pPr>
        <w:pStyle w:val="962"/>
        <w:spacing w:before="0" w:after="0"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日  期：</w:t>
      </w:r>
      <w:r>
        <w:rPr>
          <w:rFonts w:hint="eastAsia" w:ascii="宋体" w:hAnsi="宋体" w:cs="宋体"/>
          <w:color w:val="000000"/>
          <w:szCs w:val="24"/>
          <w:highlight w:val="none"/>
        </w:rPr>
      </w:r>
      <w:r/>
    </w:p>
    <w:p>
      <w:pPr>
        <w:pStyle w:val="869"/>
        <w:rPr>
          <w:rFonts w:hint="eastAsia" w:ascii="宋体" w:hAnsi="宋体"/>
          <w:color w:val="000000"/>
          <w:szCs w:val="21"/>
          <w:highlight w:val="none"/>
        </w:rPr>
      </w:pPr>
      <w:r>
        <w:rPr>
          <w:rFonts w:hint="eastAsia" w:ascii="宋体" w:hAnsi="宋体"/>
          <w:color w:val="000000"/>
          <w:szCs w:val="21"/>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宋体" w:hAnsi="宋体"/>
          <w:color w:val="000000"/>
          <w:szCs w:val="21"/>
          <w:highlight w:val="none"/>
        </w:rPr>
        <w:br w:type="page" w:clear="all"/>
      </w:r>
      <w:r>
        <w:rPr>
          <w:rFonts w:hint="eastAsia" w:ascii="黑体" w:hAnsi="黑体" w:eastAsia="黑体"/>
          <w:color w:val="000000"/>
          <w:sz w:val="32"/>
          <w:szCs w:val="32"/>
          <w:highlight w:val="none"/>
        </w:rPr>
        <w:t xml:space="preserve">四、磋商报价表</w:t>
      </w:r>
      <w:r>
        <w:rPr>
          <w:rFonts w:hint="eastAsia" w:ascii="黑体" w:hAnsi="黑体" w:eastAsia="黑体"/>
          <w:color w:val="000000"/>
          <w:sz w:val="32"/>
          <w:szCs w:val="32"/>
          <w:highlight w:val="none"/>
        </w:rPr>
      </w:r>
      <w:r/>
    </w:p>
    <w:p>
      <w:pPr>
        <w:pStyle w:val="869"/>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磋商报价表</w:t>
      </w:r>
      <w:r>
        <w:rPr>
          <w:rFonts w:hint="eastAsia" w:ascii="方正小标宋简体" w:hAnsi="方正小标宋简体" w:eastAsia="方正小标宋简体" w:cs="方正小标宋简体"/>
          <w:color w:val="000000"/>
          <w:sz w:val="32"/>
          <w:szCs w:val="32"/>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 </w:t>
      </w:r>
      <w:r>
        <w:rPr>
          <w:rFonts w:hint="eastAsia" w:ascii="宋体" w:hAnsi="宋体"/>
          <w:color w:val="000000"/>
          <w:sz w:val="24"/>
          <w:szCs w:val="24"/>
          <w:highlight w:val="none"/>
        </w:rPr>
      </w:r>
      <w:r/>
    </w:p>
    <w:p>
      <w:pPr>
        <w:pStyle w:val="869"/>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rPr>
      </w:r>
      <w:r/>
    </w:p>
    <w:p>
      <w:pPr>
        <w:pStyle w:val="869"/>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采购包号：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2"/>
              <w:ind w:firstLine="0"/>
              <w:spacing w:before="0" w:after="0" w:line="480"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rPr>
          <w:rFonts w:ascii="宋体" w:hAnsi="宋体"/>
          <w:color w:val="000000"/>
          <w:sz w:val="24"/>
          <w:szCs w:val="24"/>
          <w:highlight w:val="none"/>
        </w:rPr>
      </w:pPr>
      <w:r>
        <w:rPr>
          <w:rFonts w:ascii="宋体" w:hAnsi="宋体"/>
          <w:color w:val="000000"/>
          <w:sz w:val="24"/>
          <w:szCs w:val="24"/>
          <w:highlight w:val="none"/>
        </w:rPr>
      </w:r>
      <w:r/>
    </w:p>
    <w:p>
      <w:pPr>
        <w:pStyle w:val="869"/>
        <w:ind w:firstLine="480"/>
        <w:spacing w:line="48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69"/>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69"/>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69"/>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69"/>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69"/>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0"/>
        <w:rPr>
          <w:rFonts w:hint="eastAsia"/>
          <w:color w:val="000000"/>
          <w:highlight w:val="none"/>
        </w:rPr>
      </w:pPr>
      <w:r>
        <w:rPr>
          <w:rFonts w:hint="eastAsia"/>
          <w:color w:val="000000"/>
          <w:highlight w:val="none"/>
        </w:rPr>
      </w:r>
      <w:r/>
    </w:p>
    <w:p>
      <w:pPr>
        <w:pStyle w:val="94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69"/>
        <w:rPr>
          <w:rFonts w:hint="eastAsia"/>
          <w:color w:val="000000"/>
          <w:highlight w:val="none"/>
        </w:rPr>
      </w:pPr>
      <w:r>
        <w:rPr>
          <w:rFonts w:hint="eastAsia"/>
          <w:color w:val="000000"/>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49"/>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869"/>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五、分项报价表</w:t>
      </w:r>
      <w:r>
        <w:rPr>
          <w:rFonts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分项报价表</w:t>
      </w:r>
      <w:r>
        <w:rPr>
          <w:rFonts w:hint="eastAsia" w:ascii="方正小标宋简体" w:hAnsi="方正小标宋简体" w:eastAsia="方正小标宋简体" w:cs="方正小标宋简体"/>
          <w:color w:val="000000"/>
          <w:sz w:val="32"/>
          <w:szCs w:val="32"/>
          <w:highlight w:val="none"/>
        </w:rPr>
      </w:r>
      <w:r/>
    </w:p>
    <w:p>
      <w:pPr>
        <w:pStyle w:val="869"/>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69"/>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69"/>
        <w:ind w:right="180" w:firstLine="480"/>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10479" w:type="dxa"/>
        <w:tblInd w:w="-6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240"/>
        <w:gridCol w:w="970"/>
        <w:gridCol w:w="1790"/>
        <w:gridCol w:w="1470"/>
        <w:gridCol w:w="830"/>
        <w:gridCol w:w="820"/>
        <w:gridCol w:w="826"/>
        <w:gridCol w:w="1434"/>
      </w:tblGrid>
      <w:tr>
        <w:trPr>
          <w:cantSplit/>
          <w:trHeight w:val="544"/>
        </w:trPr>
        <w:tc>
          <w:tcPr>
            <w:tcW w:w="1099" w:type="dxa"/>
            <w:vAlign w:val="center"/>
            <w:vMerge w:val="restart"/>
            <w:textDirection w:val="lrTb"/>
            <w:noWrap w:val="false"/>
          </w:tcPr>
          <w:p>
            <w:pPr>
              <w:pStyle w:val="869"/>
              <w:ind w:right="1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9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47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3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82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826"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434" w:type="dxa"/>
            <w:vAlign w:val="center"/>
            <w:textDirection w:val="lrTb"/>
            <w:noWrap w:val="false"/>
          </w:tcPr>
          <w:p>
            <w:pPr>
              <w:pStyle w:val="869"/>
              <w:ind w:right="180"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294"/>
        </w:trPr>
        <w:tc>
          <w:tcPr>
            <w:tcW w:w="1099"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1099"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1099"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1099"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1099"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6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总报价（元）：</w:t>
            </w:r>
            <w:r>
              <w:rPr>
                <w:rFonts w:hint="eastAsia" w:ascii="宋体" w:hAnsi="宋体"/>
                <w:color w:val="000000"/>
                <w:sz w:val="24"/>
                <w:szCs w:val="24"/>
                <w:highlight w:val="none"/>
              </w:rPr>
            </w:r>
            <w:r/>
          </w:p>
        </w:tc>
      </w:tr>
      <w:tr>
        <w:trPr>
          <w:cantSplit/>
          <w:trHeight w:val="654"/>
        </w:trPr>
        <w:tc>
          <w:tcPr>
            <w:gridSpan w:val="9"/>
            <w:tcW w:w="10479" w:type="dxa"/>
            <w:vAlign w:val="center"/>
            <w:textDirection w:val="lrTb"/>
            <w:noWrap w:val="false"/>
          </w:tcPr>
          <w:p>
            <w:pPr>
              <w:pStyle w:val="86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spacing w:line="360" w:lineRule="auto"/>
        <w:rPr>
          <w:rFonts w:ascii="宋体" w:hAnsi="宋体"/>
          <w:color w:val="000000"/>
          <w:sz w:val="24"/>
          <w:highlight w:val="none"/>
        </w:rPr>
      </w:pPr>
      <w:r>
        <w:rPr>
          <w:rFonts w:ascii="宋体" w:hAnsi="宋体"/>
          <w:color w:val="000000"/>
          <w:sz w:val="24"/>
          <w:highlight w:val="none"/>
        </w:rPr>
      </w:r>
      <w:r/>
    </w:p>
    <w:p>
      <w:pPr>
        <w:pStyle w:val="93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1.“总报价”应包括为完成整个项目所产生的所有费用，磋商文件另有规定的除外。</w:t>
      </w:r>
      <w:r>
        <w:rPr>
          <w:rFonts w:hint="eastAsia"/>
          <w:color w:val="000000"/>
          <w:highlight w:val="none"/>
        </w:rPr>
      </w:r>
      <w:r/>
    </w:p>
    <w:p>
      <w:pPr>
        <w:pStyle w:val="93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2.《分项报价表》中“总报价”应当与《磋商报价表》中“总报价”一致。</w:t>
      </w:r>
      <w:r>
        <w:rPr>
          <w:rFonts w:hint="eastAsia"/>
          <w:color w:val="000000"/>
          <w:highlight w:val="none"/>
        </w:rPr>
      </w:r>
      <w:r/>
    </w:p>
    <w:p>
      <w:pPr>
        <w:pStyle w:val="93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w:t>
      </w:r>
      <w:r>
        <w:rPr>
          <w:rFonts w:hint="eastAsia"/>
          <w:b/>
          <w:bCs/>
          <w:color w:val="000000"/>
          <w:highlight w:val="none"/>
        </w:rPr>
        <w:t xml:space="preserve">分项报价表》中的分项名称须与“第四章采购需求-项目清单”中的分项名称一一对应，如有缺项、漏项或者超出单价上限的，视为无效响应。</w:t>
      </w:r>
      <w:r>
        <w:rPr>
          <w:rFonts w:hint="eastAsia"/>
          <w:color w:val="000000"/>
          <w:highlight w:val="none"/>
        </w:rPr>
      </w:r>
      <w:r/>
    </w:p>
    <w:p>
      <w:pPr>
        <w:pStyle w:val="935"/>
        <w:ind w:firstLine="480"/>
        <w:jc w:val="both"/>
        <w:spacing w:before="0" w:beforeAutospacing="0" w:after="0" w:afterAutospacing="0" w:line="360" w:lineRule="auto"/>
        <w:rPr>
          <w:color w:val="000000"/>
          <w:highlight w:val="none"/>
        </w:rPr>
      </w:pPr>
      <w:r>
        <w:rPr>
          <w:color w:val="000000"/>
          <w:highlight w:val="none"/>
        </w:rPr>
      </w:r>
      <w:r/>
    </w:p>
    <w:p>
      <w:pPr>
        <w:pStyle w:val="869"/>
        <w:rPr>
          <w:rFonts w:hint="eastAsia" w:ascii="黑体" w:hAnsi="黑体" w:eastAsia="黑体"/>
          <w:iCs/>
          <w:color w:val="000000"/>
          <w:sz w:val="32"/>
          <w:szCs w:val="32"/>
          <w:highlight w:val="none"/>
        </w:rPr>
      </w:pPr>
      <w:r>
        <w:rPr>
          <w:rFonts w:hint="eastAsia" w:ascii="黑体" w:hAnsi="黑体" w:eastAsia="黑体"/>
          <w:i/>
          <w:color w:val="000000"/>
          <w:sz w:val="32"/>
          <w:szCs w:val="32"/>
          <w:highlight w:val="none"/>
          <w:u w:val="single"/>
        </w:rPr>
        <w:br w:type="page" w:clear="all"/>
      </w:r>
      <w:bookmarkEnd w:id="87"/>
      <w:r/>
      <w:bookmarkEnd w:id="88"/>
      <w:r/>
      <w:bookmarkEnd w:id="98"/>
      <w:r>
        <w:rPr>
          <w:rFonts w:hint="eastAsia" w:ascii="黑体" w:hAnsi="黑体" w:eastAsia="黑体"/>
          <w:iCs/>
          <w:color w:val="000000"/>
          <w:sz w:val="32"/>
          <w:szCs w:val="32"/>
          <w:highlight w:val="none"/>
        </w:rPr>
        <w:t xml:space="preserve">六、技术要求响应及偏离表</w:t>
      </w:r>
      <w:r>
        <w:rPr>
          <w:rFonts w:hint="eastAsia" w:ascii="黑体" w:hAnsi="黑体" w:eastAsia="黑体"/>
          <w:iCs/>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p>
      <w:pPr>
        <w:pStyle w:val="869"/>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69"/>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69"/>
        <w:ind w:right="180" w:firstLine="480"/>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869"/>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1.供应商须对磋商文件技术要求中的实质性要求（打“★”内容）作出明确响应，否则视为无效响应。</w:t>
      </w:r>
      <w:r>
        <w:rPr>
          <w:rFonts w:hint="eastAsia"/>
          <w:b/>
          <w:bCs/>
          <w:color w:val="000000"/>
          <w:highlight w:val="none"/>
        </w:rPr>
      </w:r>
      <w:r/>
    </w:p>
    <w:p>
      <w:pPr>
        <w:pStyle w:val="93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2.技术要求中实质性要求及其他要求明确需要提供证明材料的，签订合同时成交供应商应按磋商文件要求和响应文件内容提供相应证明材料供采购人核验，否则采购人将取消其成交资格。</w:t>
      </w:r>
      <w:r>
        <w:rPr>
          <w:rFonts w:hint="eastAsia"/>
          <w:b/>
          <w:bCs/>
          <w:color w:val="000000"/>
          <w:highlight w:val="none"/>
        </w:rPr>
      </w:r>
      <w:r/>
    </w:p>
    <w:p>
      <w:pPr>
        <w:pStyle w:val="93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69"/>
        <w:rPr>
          <w:rFonts w:hint="eastAsia" w:ascii="黑体" w:hAnsi="黑体" w:eastAsia="黑体"/>
          <w:iCs/>
          <w:color w:val="000000"/>
          <w:sz w:val="32"/>
          <w:szCs w:val="32"/>
          <w:highlight w:val="none"/>
        </w:rPr>
      </w:pPr>
      <w:r>
        <w:rPr>
          <w:rFonts w:hint="eastAsia" w:ascii="黑体" w:hAnsi="Arial" w:eastAsia="黑体"/>
          <w:b/>
          <w:color w:val="000000"/>
          <w:sz w:val="36"/>
          <w:szCs w:val="21"/>
          <w:highlight w:val="none"/>
        </w:rPr>
        <w:br w:type="page" w:clear="all"/>
      </w:r>
      <w:r>
        <w:rPr>
          <w:rFonts w:hint="eastAsia" w:ascii="黑体" w:hAnsi="黑体" w:eastAsia="黑体" w:cs="Times New Roman"/>
          <w:iCs/>
          <w:color w:val="000000"/>
          <w:sz w:val="32"/>
          <w:szCs w:val="32"/>
          <w:highlight w:val="none"/>
          <w:lang w:val="en-US" w:eastAsia="zh-CN"/>
        </w:rPr>
        <w:t xml:space="preserve">七</w:t>
      </w:r>
      <w:r>
        <w:rPr>
          <w:rFonts w:hint="eastAsia" w:ascii="黑体" w:hAnsi="黑体" w:eastAsia="黑体" w:cs="Times New Roman"/>
          <w:iCs/>
          <w:color w:val="000000"/>
          <w:sz w:val="32"/>
          <w:szCs w:val="32"/>
          <w:highlight w:val="none"/>
        </w:rPr>
        <w:t xml:space="preserve">、商</w:t>
      </w:r>
      <w:r>
        <w:rPr>
          <w:rFonts w:hint="eastAsia" w:ascii="黑体" w:hAnsi="黑体" w:eastAsia="黑体"/>
          <w:iCs/>
          <w:color w:val="000000"/>
          <w:sz w:val="32"/>
          <w:szCs w:val="32"/>
          <w:highlight w:val="none"/>
        </w:rPr>
        <w:t xml:space="preserve">务要求响应及偏离表</w:t>
      </w:r>
      <w:r>
        <w:rPr>
          <w:rFonts w:hint="eastAsia" w:ascii="黑体" w:hAnsi="黑体" w:eastAsia="黑体"/>
          <w:iCs/>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869"/>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69"/>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69"/>
        <w:ind w:right="180" w:firstLine="480"/>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99" w:name="_Hlt26580838"/>
            <w:r/>
            <w:bookmarkEnd w:id="99"/>
            <w:r/>
            <w:bookmarkStart w:id="100" w:name="_Hlt26671343"/>
            <w:r/>
            <w:bookmarkEnd w:id="100"/>
            <w:r/>
            <w:bookmarkStart w:id="101" w:name="_Hlt26671372"/>
            <w:r/>
            <w:bookmarkEnd w:id="101"/>
            <w:r/>
            <w:bookmarkStart w:id="102" w:name="_Hlt26955056"/>
            <w:r/>
            <w:bookmarkEnd w:id="102"/>
            <w:r/>
            <w:bookmarkStart w:id="103" w:name="_Hlt26609391"/>
            <w:r/>
            <w:bookmarkEnd w:id="103"/>
            <w:r/>
            <w:bookmarkStart w:id="104" w:name="_Hlt24879081"/>
            <w:r/>
            <w:bookmarkEnd w:id="104"/>
            <w:r/>
            <w:bookmarkStart w:id="105" w:name="_Hlt26782999"/>
            <w:r/>
            <w:bookmarkEnd w:id="105"/>
            <w:r/>
            <w:bookmarkStart w:id="106" w:name="_Hlt26955064"/>
            <w:r/>
            <w:bookmarkEnd w:id="10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869"/>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35"/>
        <w:ind w:firstLine="482"/>
        <w:jc w:val="both"/>
        <w:spacing w:before="0" w:beforeAutospacing="0" w:after="0" w:afterAutospacing="0" w:line="360" w:lineRule="auto"/>
        <w:rPr>
          <w:b/>
          <w:bCs/>
          <w:color w:val="000000"/>
          <w:highlight w:val="none"/>
        </w:rPr>
      </w:pPr>
      <w:r>
        <w:rPr>
          <w:rFonts w:hint="eastAsia"/>
          <w:b/>
          <w:bCs/>
          <w:color w:val="000000"/>
          <w:highlight w:val="none"/>
        </w:rPr>
        <w:t xml:space="preserve">1.供应商须对磋商文件商务要求中的实质性要求（打“★”内容）做出明确响应，否则视为无效响应。</w:t>
      </w:r>
      <w:r>
        <w:rPr>
          <w:b/>
          <w:bCs/>
          <w:color w:val="000000"/>
          <w:highlight w:val="none"/>
        </w:rPr>
      </w:r>
      <w:r/>
    </w:p>
    <w:p>
      <w:pPr>
        <w:pStyle w:val="93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69"/>
        <w:rPr>
          <w:color w:val="000000"/>
          <w:highlight w:val="none"/>
        </w:rPr>
      </w:pPr>
      <w:r>
        <w:rPr>
          <w:color w:val="000000"/>
          <w:highlight w:val="none"/>
        </w:rPr>
      </w:r>
      <w:r/>
    </w:p>
    <w:p>
      <w:pPr>
        <w:pStyle w:val="869"/>
        <w:rPr>
          <w:rFonts w:hint="eastAsia" w:ascii="黑体" w:hAnsi="黑体" w:eastAsia="黑体"/>
          <w:iCs/>
          <w:color w:val="000000"/>
          <w:sz w:val="32"/>
          <w:szCs w:val="32"/>
          <w:highlight w:val="none"/>
        </w:rPr>
      </w:pPr>
      <w:r>
        <w:rPr>
          <w:color w:val="000000"/>
          <w:highlight w:val="none"/>
        </w:rPr>
        <w:br w:type="page" w:clear="all"/>
      </w:r>
      <w:r>
        <w:rPr>
          <w:rFonts w:hint="eastAsia" w:ascii="黑体" w:hAnsi="黑体" w:eastAsia="黑体"/>
          <w:iCs/>
          <w:color w:val="000000"/>
          <w:sz w:val="32"/>
          <w:szCs w:val="32"/>
          <w:highlight w:val="none"/>
        </w:rPr>
        <w:t xml:space="preserve">八、中小企业声明函</w:t>
      </w:r>
      <w:r>
        <w:rPr>
          <w:rFonts w:hint="eastAsia" w:ascii="黑体" w:hAnsi="黑体" w:eastAsia="黑体"/>
          <w:iCs/>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8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服务全部由符合政策的中小企业承接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hint="eastAsia" w:ascii="宋体" w:hAnsi="宋体"/>
          <w:color w:val="000000"/>
          <w:sz w:val="24"/>
          <w:szCs w:val="24"/>
          <w:highlight w:val="none"/>
        </w:rPr>
      </w:r>
      <w:r/>
    </w:p>
    <w:p>
      <w:pPr>
        <w:pStyle w:val="869"/>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69"/>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69"/>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360" w:lineRule="auto"/>
        <w:rPr>
          <w:rFonts w:hint="eastAsia"/>
          <w:color w:val="000000"/>
          <w:highlight w:val="none"/>
        </w:rPr>
      </w:pPr>
      <w:r>
        <w:rPr>
          <w:rFonts w:hint="eastAsia"/>
          <w:color w:val="000000"/>
          <w:highlight w:val="none"/>
        </w:rPr>
      </w:r>
      <w:r/>
    </w:p>
    <w:p>
      <w:pPr>
        <w:pStyle w:val="869"/>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69"/>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869"/>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color w:val="000000"/>
          <w:sz w:val="24"/>
          <w:szCs w:val="24"/>
          <w:highlight w:val="none"/>
        </w:rPr>
        <w:t xml:space="preserve">项目</w:t>
      </w:r>
      <w:r>
        <w:rPr>
          <w:rFonts w:hint="eastAsia" w:ascii="宋体" w:hAnsi="宋体"/>
          <w:b/>
          <w:bCs/>
          <w:color w:val="000000"/>
          <w:sz w:val="24"/>
          <w:szCs w:val="24"/>
          <w:highlight w:val="none"/>
        </w:rPr>
        <w:t xml:space="preserve">清单”中的“服务”产品需在此声明函中的“标的名称”中全部列明，并填写承接企业的具体情况。</w:t>
      </w:r>
      <w:r>
        <w:rPr>
          <w:rFonts w:hint="eastAsia" w:ascii="宋体" w:hAnsi="宋体"/>
          <w:b/>
          <w:bCs/>
          <w:color w:val="000000"/>
          <w:sz w:val="24"/>
          <w:szCs w:val="24"/>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宋体" w:hAnsi="宋体"/>
          <w:b/>
          <w:bCs/>
          <w:color w:val="000000"/>
          <w:sz w:val="24"/>
          <w:szCs w:val="24"/>
          <w:highlight w:val="none"/>
        </w:rPr>
        <w:br w:type="page" w:clear="all"/>
      </w:r>
      <w:r>
        <w:rPr>
          <w:rFonts w:hint="eastAsia" w:ascii="黑体" w:hAnsi="黑体" w:eastAsia="黑体"/>
          <w:iCs/>
          <w:color w:val="000000"/>
          <w:sz w:val="32"/>
          <w:szCs w:val="32"/>
          <w:highlight w:val="none"/>
        </w:rPr>
        <w:t xml:space="preserve">九、</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69"/>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360" w:lineRule="auto"/>
        <w:rPr>
          <w:rFonts w:hint="eastAsia"/>
          <w:color w:val="000000"/>
          <w:highlight w:val="none"/>
        </w:rPr>
      </w:pPr>
      <w:r>
        <w:rPr>
          <w:rFonts w:hint="eastAsia"/>
          <w:color w:val="000000"/>
          <w:highlight w:val="none"/>
        </w:rPr>
      </w:r>
      <w:r/>
    </w:p>
    <w:p>
      <w:pPr>
        <w:pStyle w:val="869"/>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69"/>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ind w:firstLine="643"/>
        <w:jc w:val="center"/>
        <w:widowControl/>
        <w:rPr>
          <w:rFonts w:hint="eastAsia" w:ascii="方正小标宋简体" w:hAnsi="方正小标宋简体" w:eastAsia="方正小标宋简体" w:cs="方正小标宋简体"/>
          <w:color w:val="000000"/>
          <w:sz w:val="32"/>
          <w:szCs w:val="32"/>
          <w:highlight w:val="none"/>
        </w:rPr>
      </w:pPr>
      <w:r>
        <w:rPr>
          <w:rFonts w:hint="eastAsia" w:ascii="黑体" w:hAnsi="黑体" w:eastAsia="黑体"/>
          <w:b/>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69"/>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69"/>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69"/>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69"/>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qFormat/>
    <w:pPr>
      <w:ind w:left="420"/>
      <w:spacing w:after="120"/>
    </w:pPr>
  </w:style>
  <w:style w:type="character" w:styleId="883">
    <w:name w:val="正文文本缩进 字符"/>
    <w:next w:val="883"/>
    <w:link w:val="882"/>
    <w:uiPriority w:val="99"/>
    <w:semiHidden/>
    <w:qFormat/>
  </w:style>
  <w:style w:type="paragraph" w:styleId="884">
    <w:name w:val="寄信人地址"/>
    <w:basedOn w:val="869"/>
    <w:next w:val="884"/>
    <w:link w:val="869"/>
    <w:qFormat/>
    <w:rPr>
      <w:rFonts w:ascii="Arial" w:hAnsi="Arial" w:eastAsia="宋体" w:cs="宋体"/>
    </w:rPr>
  </w:style>
  <w:style w:type="character" w:styleId="885">
    <w:name w:val="正文文本首行缩进 2 字符"/>
    <w:next w:val="885"/>
    <w:link w:val="881"/>
    <w:rPr>
      <w:rFonts w:ascii="宋体" w:hAnsi="宋体" w:eastAsia="宋体" w:cs="Times New Roman"/>
      <w:szCs w:val="20"/>
    </w:rPr>
  </w:style>
  <w:style w:type="character" w:styleId="886">
    <w:name w:val="标题 1 字符"/>
    <w:next w:val="886"/>
    <w:link w:val="870"/>
    <w:rPr>
      <w:rFonts w:ascii="楷体_GB2312" w:hAnsi="Times New Roman" w:eastAsia="楷体_GB2312" w:cs="Times New Roman"/>
      <w:sz w:val="28"/>
      <w:szCs w:val="28"/>
    </w:rPr>
  </w:style>
  <w:style w:type="character" w:styleId="887">
    <w:name w:val="标题 2 字符"/>
    <w:next w:val="887"/>
    <w:link w:val="871"/>
    <w:qFormat/>
    <w:rPr>
      <w:rFonts w:ascii="Arial" w:hAnsi="Arial" w:eastAsia="幼圆" w:cs="Arial"/>
      <w:b/>
      <w:bCs/>
      <w:sz w:val="44"/>
      <w:szCs w:val="44"/>
    </w:rPr>
  </w:style>
  <w:style w:type="paragraph" w:styleId="888">
    <w:name w:val="正文缩进"/>
    <w:basedOn w:val="869"/>
    <w:next w:val="888"/>
    <w:link w:val="889"/>
    <w:qFormat/>
    <w:pPr>
      <w:ind w:firstLine="420"/>
    </w:pPr>
    <w:rPr>
      <w:szCs w:val="21"/>
    </w:rPr>
  </w:style>
  <w:style w:type="character" w:styleId="889">
    <w:name w:val="正文缩进 字符"/>
    <w:next w:val="889"/>
    <w:link w:val="888"/>
    <w:qFormat/>
    <w:rPr>
      <w:szCs w:val="21"/>
    </w:rPr>
  </w:style>
  <w:style w:type="character" w:styleId="890">
    <w:name w:val="标题 3 字符"/>
    <w:next w:val="890"/>
    <w:link w:val="872"/>
    <w:qFormat/>
    <w:rPr>
      <w:rFonts w:ascii="Times New Roman" w:hAnsi="Times New Roman" w:eastAsia="宋体" w:cs="Times New Roman"/>
      <w:b/>
      <w:bCs/>
      <w:sz w:val="32"/>
      <w:szCs w:val="32"/>
    </w:rPr>
  </w:style>
  <w:style w:type="character" w:styleId="891">
    <w:name w:val="标题 4 字符"/>
    <w:next w:val="891"/>
    <w:link w:val="873"/>
    <w:qFormat/>
    <w:rPr>
      <w:rFonts w:ascii="Arial" w:hAnsi="Arial" w:eastAsia="黑体" w:cs="Arial"/>
      <w:b/>
      <w:bCs/>
      <w:sz w:val="28"/>
      <w:szCs w:val="28"/>
    </w:rPr>
  </w:style>
  <w:style w:type="character" w:styleId="892">
    <w:name w:val="标题 5 字符"/>
    <w:next w:val="892"/>
    <w:link w:val="874"/>
    <w:qFormat/>
    <w:rPr>
      <w:rFonts w:ascii="宋体" w:hAnsi="Times New Roman" w:eastAsia="宋体" w:cs="Times New Roman"/>
      <w:color w:val="000000"/>
      <w:sz w:val="28"/>
      <w:szCs w:val="28"/>
    </w:rPr>
  </w:style>
  <w:style w:type="character" w:styleId="893">
    <w:name w:val="标题 6 字符"/>
    <w:next w:val="893"/>
    <w:link w:val="875"/>
    <w:qFormat/>
    <w:rPr>
      <w:rFonts w:ascii="Arial" w:hAnsi="Arial" w:eastAsia="黑体" w:cs="Times New Roman"/>
      <w:b/>
      <w:bCs/>
      <w:sz w:val="24"/>
      <w:szCs w:val="24"/>
    </w:rPr>
  </w:style>
  <w:style w:type="character" w:styleId="894">
    <w:name w:val="标题 7 字符"/>
    <w:next w:val="894"/>
    <w:link w:val="876"/>
    <w:qFormat/>
    <w:rPr>
      <w:rFonts w:ascii="Times New Roman" w:hAnsi="Times New Roman" w:eastAsia="宋体" w:cs="Times New Roman"/>
      <w:b/>
      <w:bCs/>
      <w:sz w:val="24"/>
      <w:szCs w:val="24"/>
    </w:rPr>
  </w:style>
  <w:style w:type="character" w:styleId="895">
    <w:name w:val="标题 8 字符"/>
    <w:next w:val="895"/>
    <w:link w:val="877"/>
    <w:qFormat/>
    <w:rPr>
      <w:rFonts w:ascii="Arial" w:hAnsi="Arial" w:eastAsia="黑体" w:cs="Times New Roman"/>
      <w:sz w:val="24"/>
      <w:szCs w:val="24"/>
    </w:rPr>
  </w:style>
  <w:style w:type="character" w:styleId="896">
    <w:name w:val="标题 9 字符"/>
    <w:next w:val="896"/>
    <w:link w:val="878"/>
    <w:qFormat/>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字符"/>
    <w:next w:val="900"/>
    <w:link w:val="899"/>
    <w:semiHidden/>
    <w:qFormat/>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字符"/>
    <w:next w:val="902"/>
    <w:link w:val="901"/>
    <w:uiPriority w:val="99"/>
    <w:semiHidden/>
    <w:qFormat/>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字符"/>
    <w:next w:val="904"/>
    <w:link w:val="903"/>
    <w:qFormat/>
    <w:rPr>
      <w:rFonts w:ascii="仿宋_GB2312" w:hAnsi="Arial" w:eastAsia="仿宋_GB2312" w:cs="Times New Roman"/>
      <w:sz w:val="32"/>
      <w:szCs w:val="32"/>
    </w:rPr>
  </w:style>
  <w:style w:type="paragraph" w:styleId="905">
    <w:name w:val="正文文本"/>
    <w:basedOn w:val="869"/>
    <w:next w:val="905"/>
    <w:link w:val="906"/>
    <w:qFormat/>
    <w:rPr>
      <w:rFonts w:ascii="楷体_GB2312" w:hAnsi="Arial" w:eastAsia="楷体_GB2312" w:cs="Times New Roman"/>
      <w:sz w:val="28"/>
      <w:szCs w:val="28"/>
    </w:rPr>
  </w:style>
  <w:style w:type="character" w:styleId="906">
    <w:name w:val="正文文本 字符"/>
    <w:next w:val="906"/>
    <w:link w:val="905"/>
    <w:rPr>
      <w:rFonts w:ascii="楷体_GB2312" w:hAnsi="Arial" w:eastAsia="楷体_GB2312" w:cs="Times New Roman"/>
      <w:sz w:val="28"/>
      <w:szCs w:val="28"/>
    </w:rPr>
  </w:style>
  <w:style w:type="paragraph" w:styleId="907">
    <w:name w:val="列表 2"/>
    <w:basedOn w:val="869"/>
    <w:next w:val="907"/>
    <w:link w:val="869"/>
    <w:qFormat/>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qFormat/>
    <w:pPr>
      <w:ind w:left="840"/>
      <w:jc w:val="left"/>
    </w:pPr>
    <w:rPr>
      <w:rFonts w:ascii="Times New Roman" w:hAnsi="Times New Roman" w:eastAsia="宋体" w:cs="Times New Roman"/>
      <w:szCs w:val="21"/>
    </w:rPr>
  </w:style>
  <w:style w:type="paragraph" w:styleId="910">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1">
    <w:name w:val="纯文本"/>
    <w:basedOn w:val="869"/>
    <w:next w:val="911"/>
    <w:link w:val="912"/>
    <w:qFormat/>
    <w:rPr>
      <w:rFonts w:ascii="宋体" w:hAnsi="Courier New" w:eastAsia="宋体" w:cs="Courier New"/>
      <w:szCs w:val="21"/>
    </w:rPr>
  </w:style>
  <w:style w:type="character" w:styleId="912">
    <w:name w:val="纯文本 字符"/>
    <w:next w:val="912"/>
    <w:link w:val="911"/>
    <w:rPr>
      <w:rFonts w:ascii="宋体" w:hAnsi="Courier New" w:eastAsia="宋体" w:cs="Courier New"/>
      <w:szCs w:val="21"/>
    </w:rPr>
  </w:style>
  <w:style w:type="paragraph" w:styleId="913">
    <w:name w:val="目录 8"/>
    <w:basedOn w:val="869"/>
    <w:next w:val="869"/>
    <w:link w:val="869"/>
    <w:semiHidden/>
    <w:qFormat/>
    <w:pPr>
      <w:ind w:left="1470"/>
      <w:jc w:val="left"/>
    </w:pPr>
    <w:rPr>
      <w:rFonts w:ascii="Times New Roman" w:hAnsi="Times New Roman" w:eastAsia="宋体" w:cs="Times New Roman"/>
      <w:szCs w:val="21"/>
    </w:rPr>
  </w:style>
  <w:style w:type="paragraph" w:styleId="914">
    <w:name w:val="日期"/>
    <w:basedOn w:val="869"/>
    <w:next w:val="869"/>
    <w:link w:val="915"/>
    <w:qFormat/>
    <w:rPr>
      <w:rFonts w:ascii="Times New Roman" w:hAnsi="Times New Roman" w:eastAsia="宋体" w:cs="Times New Roman"/>
      <w:sz w:val="24"/>
      <w:szCs w:val="24"/>
    </w:rPr>
  </w:style>
  <w:style w:type="character" w:styleId="915">
    <w:name w:val="日期 字符"/>
    <w:next w:val="915"/>
    <w:link w:val="914"/>
    <w:qFormat/>
    <w:rPr>
      <w:rFonts w:ascii="Times New Roman" w:hAnsi="Times New Roman" w:eastAsia="宋体" w:cs="Times New Roman"/>
      <w:sz w:val="24"/>
      <w:szCs w:val="24"/>
    </w:rPr>
  </w:style>
  <w:style w:type="paragraph" w:styleId="916">
    <w:name w:val="正文文本缩进 2"/>
    <w:basedOn w:val="869"/>
    <w:next w:val="916"/>
    <w:link w:val="917"/>
    <w:qFormat/>
    <w:pPr>
      <w:ind w:left="630" w:firstLine="645"/>
    </w:pPr>
    <w:rPr>
      <w:rFonts w:ascii="Arial" w:hAnsi="Arial" w:eastAsia="仿宋_GB2312" w:cs="Arial"/>
      <w:sz w:val="32"/>
      <w:szCs w:val="32"/>
    </w:rPr>
  </w:style>
  <w:style w:type="character" w:styleId="917">
    <w:name w:val="正文文本缩进 2 字符"/>
    <w:next w:val="917"/>
    <w:link w:val="916"/>
    <w:qFormat/>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字符"/>
    <w:next w:val="919"/>
    <w:link w:val="918"/>
    <w:semiHidden/>
    <w:qFormat/>
    <w:rPr>
      <w:rFonts w:ascii="Times New Roman" w:hAnsi="Times New Roman" w:eastAsia="宋体" w:cs="Times New Roman"/>
      <w:sz w:val="18"/>
      <w:szCs w:val="18"/>
    </w:rPr>
  </w:style>
  <w:style w:type="paragraph" w:styleId="920">
    <w:name w:val="页脚"/>
    <w:basedOn w:val="869"/>
    <w:next w:val="920"/>
    <w:link w:val="921"/>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字符"/>
    <w:next w:val="921"/>
    <w:link w:val="920"/>
    <w:qFormat/>
    <w:rPr>
      <w:rFonts w:ascii="Times New Roman" w:hAnsi="Times New Roman" w:eastAsia="宋体" w:cs="Times New Roman"/>
      <w:sz w:val="18"/>
      <w:szCs w:val="18"/>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字符"/>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qFormat/>
    <w:pPr>
      <w:ind w:left="200" w:hanging="200"/>
    </w:pPr>
    <w:rPr>
      <w:rFonts w:ascii="Times New Roman" w:hAnsi="Times New Roman" w:eastAsia="宋体" w:cs="Times New Roman"/>
      <w:szCs w:val="21"/>
    </w:rPr>
  </w:style>
  <w:style w:type="paragraph" w:styleId="927">
    <w:name w:val="目录 6"/>
    <w:basedOn w:val="869"/>
    <w:next w:val="869"/>
    <w:link w:val="869"/>
    <w:semiHidden/>
    <w:qFormat/>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字符"/>
    <w:next w:val="929"/>
    <w:link w:val="928"/>
    <w:rPr>
      <w:rFonts w:ascii="Arial" w:hAnsi="Arial" w:eastAsia="仿宋_GB2312" w:cs="Arial"/>
      <w:color w:val="ffff00"/>
      <w:sz w:val="32"/>
      <w:szCs w:val="32"/>
    </w:rPr>
  </w:style>
  <w:style w:type="paragraph" w:styleId="930">
    <w:name w:val="图表目录"/>
    <w:basedOn w:val="869"/>
    <w:next w:val="869"/>
    <w:link w:val="869"/>
    <w:semiHidden/>
    <w:qFormat/>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qFormat/>
    <w:pPr>
      <w:jc w:val="center"/>
      <w:widowControl/>
    </w:pPr>
    <w:rPr>
      <w:rFonts w:ascii="楷体_GB2312" w:hAnsi="Times New Roman" w:eastAsia="楷体_GB2312" w:cs="Times New Roman"/>
      <w:sz w:val="28"/>
      <w:szCs w:val="28"/>
    </w:rPr>
  </w:style>
  <w:style w:type="character" w:styleId="934">
    <w:name w:val="正文文本 2 字符"/>
    <w:next w:val="934"/>
    <w:link w:val="933"/>
    <w:qFormat/>
    <w:rPr>
      <w:rFonts w:ascii="楷体_GB2312" w:hAnsi="Times New Roman" w:eastAsia="楷体_GB2312" w:cs="Times New Roman"/>
      <w:sz w:val="28"/>
      <w:szCs w:val="28"/>
    </w:rPr>
  </w:style>
  <w:style w:type="paragraph" w:styleId="935">
    <w:name w:val="普通(网站)"/>
    <w:basedOn w:val="869"/>
    <w:next w:val="935"/>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qFormat/>
    <w:rPr>
      <w:rFonts w:ascii="Times New Roman" w:hAnsi="Times New Roman" w:eastAsia="宋体" w:cs="Times New Roman"/>
      <w:b/>
      <w:bCs/>
      <w:szCs w:val="21"/>
    </w:rPr>
  </w:style>
  <w:style w:type="character" w:styleId="938">
    <w:name w:val="批注主题 字符"/>
    <w:next w:val="938"/>
    <w:link w:val="937"/>
    <w:semiHidden/>
    <w:qFormat/>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文本首行缩进 字符"/>
    <w:next w:val="940"/>
    <w:link w:val="939"/>
    <w:qFormat/>
    <w:rPr>
      <w:rFonts w:ascii="仿宋_GB2312" w:hAnsi="Times New Roman" w:eastAsia="仿宋_GB2312" w:cs="Times New Roman"/>
      <w:sz w:val="30"/>
      <w:szCs w:val="3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paragraph" w:styleId="948">
    <w:name w:val="正文1"/>
    <w:basedOn w:val="869"/>
    <w:next w:val="948"/>
    <w:link w:val="869"/>
    <w:qFormat/>
    <w:pPr>
      <w:ind w:left="350" w:firstLine="0"/>
    </w:pPr>
    <w:rPr>
      <w:rFonts w:cs="Times New Roman"/>
      <w:sz w:val="20"/>
      <w:szCs w:val="24"/>
    </w:rPr>
  </w:style>
  <w:style w:type="paragraph" w:styleId="949">
    <w:name w:val="索引 41"/>
    <w:basedOn w:val="869"/>
    <w:next w:val="869"/>
    <w:link w:val="869"/>
    <w:semiHidden/>
    <w:qFormat/>
    <w:pPr>
      <w:ind w:left="1260"/>
    </w:pPr>
    <w:rPr>
      <w:rFonts w:ascii="Calibri" w:hAnsi="Calibri" w:eastAsia="Calibri" w:cs="宋体"/>
      <w:sz w:val="20"/>
      <w:lang w:val="zh-CN"/>
    </w:rPr>
  </w:style>
  <w:style w:type="paragraph" w:styleId="950">
    <w:name w:val="正文文本缩进1"/>
    <w:basedOn w:val="869"/>
    <w:next w:val="951"/>
    <w:link w:val="869"/>
    <w:unhideWhenUsed/>
    <w:qFormat/>
    <w:pPr>
      <w:ind w:left="420"/>
      <w:spacing w:after="120"/>
    </w:pPr>
  </w:style>
  <w:style w:type="paragraph" w:styleId="951">
    <w:name w:val="正文首行缩进 21"/>
    <w:basedOn w:val="950"/>
    <w:next w:val="951"/>
    <w:link w:val="869"/>
    <w:qFormat/>
    <w:pPr>
      <w:ind w:left="0" w:firstLine="420"/>
      <w:spacing w:after="0" w:line="360" w:lineRule="auto"/>
    </w:pPr>
    <w:rPr>
      <w:rFonts w:ascii="宋体" w:hAnsi="宋体"/>
      <w:sz w:val="20"/>
      <w:szCs w:val="20"/>
      <w:lang w:val="en-US" w:eastAsia="en-US"/>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qFormat/>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
    <w:next w:val="955"/>
    <w:link w:val="956"/>
    <w:qFormat/>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5"/>
    <w:link w:val="869"/>
    <w:qFormat/>
    <w:pPr>
      <w:spacing w:after="120"/>
    </w:pPr>
    <w:rPr>
      <w:rFonts w:ascii="宋体" w:hAnsi="Arial" w:eastAsia="宋体" w:cs="Times New Roman"/>
      <w:bCs/>
      <w:iCs/>
      <w:szCs w:val="24"/>
    </w:rPr>
  </w:style>
  <w:style w:type="paragraph" w:styleId="958">
    <w:name w:val="xl27"/>
    <w:basedOn w:val="869"/>
    <w:next w:val="958"/>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9"/>
    <w:next w:val="961"/>
    <w:link w:val="869"/>
    <w:rPr>
      <w:rFonts w:ascii="Tahoma" w:hAnsi="Tahoma"/>
      <w:sz w:val="24"/>
      <w:szCs w:val="24"/>
    </w:rPr>
  </w:style>
  <w:style w:type="paragraph" w:styleId="962">
    <w:name w:val="普通正文"/>
    <w:basedOn w:val="869"/>
    <w:next w:val="962"/>
    <w:link w:val="869"/>
    <w:qFormat/>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qFormat/>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9"/>
    <w:next w:val="966"/>
    <w:link w:val="869"/>
    <w:pPr>
      <w:spacing w:line="360" w:lineRule="auto"/>
    </w:pPr>
    <w:rPr>
      <w:rFonts w:ascii="Tahoma" w:hAnsi="Tahoma"/>
      <w:sz w:val="24"/>
      <w:szCs w:val="24"/>
    </w:rPr>
  </w:style>
  <w:style w:type="paragraph" w:styleId="967">
    <w:name w:val="列表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8"/>
    <w:link w:val="869"/>
    <w:qFormat/>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qFormat/>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qFormat/>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qFormat/>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9"/>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_Style 112"/>
    <w:next w:val="986"/>
    <w:link w:val="869"/>
    <w:uiPriority w:val="99"/>
    <w:semiHidden/>
    <w:rPr>
      <w:sz w:val="21"/>
      <w:szCs w:val="21"/>
      <w:lang w:val="en-US" w:eastAsia="zh-CN" w:bidi="ar-SA"/>
    </w:rPr>
  </w:style>
  <w:style w:type="paragraph" w:styleId="987">
    <w:name w:val="无间隔"/>
    <w:next w:val="987"/>
    <w:link w:val="869"/>
    <w:uiPriority w:val="99"/>
    <w:qFormat/>
    <w:pPr>
      <w:jc w:val="both"/>
      <w:widowControl w:val="off"/>
    </w:pPr>
    <w:rPr>
      <w:sz w:val="21"/>
      <w:szCs w:val="21"/>
      <w:lang w:val="en-US" w:eastAsia="zh-CN" w:bidi="ar-SA"/>
    </w:rPr>
  </w:style>
  <w:style w:type="table" w:styleId="988">
    <w:name w:val="Table Normal"/>
    <w:next w:val="988"/>
    <w:link w:val="869"/>
    <w:qFormat/>
    <w:rPr>
      <w:lang w:val="en-US" w:eastAsia="zh-CN" w:bidi="ar-SA"/>
    </w:rPr>
    <w:tblPr/>
  </w:style>
  <w:style w:type="paragraph" w:styleId="989">
    <w:name w:val="正文文本 211"/>
    <w:basedOn w:val="869"/>
    <w:next w:val="989"/>
    <w:link w:val="869"/>
    <w:uiPriority w:val="99"/>
    <w:qFormat/>
    <w:pPr>
      <w:jc w:val="center"/>
    </w:pPr>
    <w:rPr>
      <w:b/>
      <w:bCs/>
      <w:sz w:val="20"/>
      <w:szCs w:val="20"/>
    </w:rPr>
  </w:style>
  <w:style w:type="paragraph" w:styleId="990">
    <w:name w:val="正文文本1"/>
    <w:basedOn w:val="869"/>
    <w:next w:val="869"/>
    <w:link w:val="869"/>
    <w:semiHidden/>
    <w:qFormat/>
    <w:rPr>
      <w:rFonts w:ascii="Arial" w:hAnsi="Arial" w:eastAsia="Arial" w:cs="Arial"/>
      <w:sz w:val="21"/>
      <w:szCs w:val="21"/>
      <w:lang w:val="en-US" w:eastAsia="en-US" w:bidi="ar-SA"/>
    </w:rPr>
  </w:style>
  <w:style w:type="paragraph" w:styleId="991">
    <w:name w:val="正文文本12"/>
    <w:basedOn w:val="869"/>
    <w:next w:val="991"/>
    <w:link w:val="869"/>
    <w:uiPriority w:val="1"/>
    <w:qFormat/>
    <w:pPr>
      <w:ind w:left="120"/>
    </w:pPr>
    <w:rPr>
      <w:rFonts w:ascii="宋体" w:hAnsi="宋体" w:eastAsia="宋体" w:cs="宋体"/>
      <w:sz w:val="21"/>
      <w:szCs w:val="21"/>
      <w:lang w:val="zh-CN" w:eastAsia="zh-CN" w:bidi="zh-CN"/>
    </w:rPr>
  </w:style>
  <w:style w:type="paragraph" w:styleId="992">
    <w:name w:val="纯文本1"/>
    <w:basedOn w:val="869"/>
    <w:next w:val="992"/>
    <w:link w:val="869"/>
    <w:qFormat/>
    <w:rPr>
      <w:rFonts w:ascii="宋体" w:hAnsi="Courier New" w:cs="Courier New"/>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rPr>
      <w:lang w:val="en-US" w:eastAsia="zh-CN" w:bidi="ar-SA"/>
    </w:rPr>
    <w:tblPr/>
  </w:style>
  <w:style w:type="character" w:styleId="995">
    <w:name w:val="15"/>
    <w:next w:val="995"/>
    <w:link w:val="869"/>
    <w:rPr>
      <w:rFonts w:ascii="Times New Roman" w:hAnsi="Times New Roman" w:cs="Times New Roman"/>
    </w:rPr>
  </w:style>
  <w:style w:type="paragraph" w:styleId="996">
    <w:name w:val="正文首行缩进 211"/>
    <w:basedOn w:val="997"/>
    <w:next w:val="869"/>
    <w:link w:val="869"/>
    <w:qFormat/>
    <w:pPr>
      <w:ind w:left="0" w:firstLine="420"/>
      <w:spacing w:after="0" w:line="360" w:lineRule="auto"/>
    </w:pPr>
    <w:rPr>
      <w:rFonts w:ascii="宋体" w:hAnsi="宋体" w:eastAsia="宋体" w:cs="Times New Roman"/>
      <w:szCs w:val="20"/>
    </w:rPr>
  </w:style>
  <w:style w:type="paragraph" w:styleId="997">
    <w:name w:val="正文文本缩进11"/>
    <w:basedOn w:val="869"/>
    <w:next w:val="998"/>
    <w:link w:val="869"/>
    <w:unhideWhenUsed/>
    <w:qFormat/>
    <w:pPr>
      <w:ind w:left="420"/>
      <w:spacing w:after="120"/>
    </w:pPr>
  </w:style>
  <w:style w:type="paragraph" w:styleId="998">
    <w:name w:val="寄信人地址1"/>
    <w:basedOn w:val="869"/>
    <w:next w:val="998"/>
    <w:link w:val="869"/>
    <w:qFormat/>
    <w:rPr>
      <w:rFonts w:ascii="Arial" w:hAnsi="Arial" w:eastAsia="宋体" w:cs="宋体"/>
    </w:rPr>
  </w:style>
  <w:style w:type="paragraph" w:styleId="999">
    <w:name w:val="Table Paragraph"/>
    <w:basedOn w:val="869"/>
    <w:next w:val="999"/>
    <w:link w:val="869"/>
    <w:uiPriority w:val="1"/>
    <w:qFormat/>
    <w:pPr>
      <w:jc w:val="left"/>
    </w:pPr>
    <w:rPr>
      <w:rFonts w:ascii="宋体" w:hAnsi="宋体" w:eastAsia="宋体" w:cs="宋体"/>
      <w:sz w:val="22"/>
      <w:szCs w:val="22"/>
      <w:lang w:val="zh-CN" w:bidi="zh-CN"/>
    </w:rPr>
  </w:style>
  <w:style w:type="paragraph" w:styleId="1000">
    <w:name w:val="修订"/>
    <w:next w:val="1000"/>
    <w:link w:val="869"/>
    <w:uiPriority w:val="99"/>
    <w:unhideWhenUsed/>
    <w:rPr>
      <w:sz w:val="21"/>
      <w:szCs w:val="22"/>
      <w:lang w:val="en-US" w:eastAsia="zh-CN" w:bidi="ar-SA"/>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4</cp:revision>
  <dcterms:created xsi:type="dcterms:W3CDTF">2023-03-27T07:28:00Z</dcterms:created>
  <dcterms:modified xsi:type="dcterms:W3CDTF">2026-10-14T01:27:26Z</dcterms:modified>
</cp:coreProperties>
</file>