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盐城市海堤防御能力提升工程项目建议书咨询评估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0"/>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项目编号：JSZC-320000-JSFH-G2026-0040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招标人：江苏省水利厅</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招标代理机构：江苏富华工程造价咨询有限公司</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日期：2026年9月</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32392" w:history="1">
        <w:r>
          <w:rPr>
            <w:rStyle w:val="798"/>
            <w:rFonts w:ascii="SimSun" w:hAnsi="SimSun" w:eastAsia="SimSun" w:cs="SimSun"/>
            <w:color w:val="0000ee"/>
            <w:sz w:val="21"/>
            <w:u w:val="single"/>
          </w:rPr>
          <w:t xml:space="preserve">第一章招标公告</w:t>
        </w:r>
        <w:r>
          <w:rPr>
            <w:rStyle w:val="798"/>
            <w:rFonts w:ascii="Arial" w:hAnsi="Arial" w:eastAsia="Arial" w:cs="Arial"/>
            <w:color w:val="0000ee"/>
            <w:sz w:val="21"/>
            <w:u w:val="none"/>
          </w:rPr>
          <w:t xml:space="preserve">2</w:t>
        </w:r>
      </w:hyperlink>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3964" w:history="1">
        <w:r>
          <w:rPr>
            <w:rStyle w:val="798"/>
            <w:rFonts w:ascii="SimSun" w:hAnsi="SimSun" w:eastAsia="SimSun" w:cs="SimSun"/>
            <w:color w:val="0000ee"/>
            <w:sz w:val="21"/>
            <w:u w:val="single"/>
          </w:rPr>
          <w:t xml:space="preserve">第二章投标人须知</w:t>
        </w:r>
        <w:r>
          <w:rPr>
            <w:rStyle w:val="798"/>
            <w:rFonts w:ascii="Arial" w:hAnsi="Arial" w:eastAsia="Arial" w:cs="Arial"/>
            <w:color w:val="0000ee"/>
            <w:sz w:val="21"/>
            <w:u w:val="none"/>
          </w:rPr>
          <w:t xml:space="preserve">6</w:t>
        </w:r>
      </w:hyperlink>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0581" w:history="1">
        <w:r>
          <w:rPr>
            <w:rStyle w:val="798"/>
            <w:rFonts w:ascii="SimSun" w:hAnsi="SimSun" w:eastAsia="SimSun" w:cs="SimSun"/>
            <w:color w:val="0000ee"/>
            <w:sz w:val="21"/>
            <w:u w:val="single"/>
          </w:rPr>
          <w:t xml:space="preserve">第三章合同条款及格式</w:t>
        </w:r>
        <w:r>
          <w:rPr>
            <w:rStyle w:val="798"/>
            <w:rFonts w:ascii="Arial" w:hAnsi="Arial" w:eastAsia="Arial" w:cs="Arial"/>
            <w:color w:val="0000ee"/>
            <w:sz w:val="21"/>
            <w:u w:val="none"/>
          </w:rPr>
          <w:t xml:space="preserve">24</w:t>
        </w:r>
      </w:hyperlink>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2176" w:history="1">
        <w:r>
          <w:rPr>
            <w:rStyle w:val="798"/>
            <w:rFonts w:ascii="SimSun" w:hAnsi="SimSun" w:eastAsia="SimSun" w:cs="SimSun"/>
            <w:color w:val="0000ee"/>
            <w:sz w:val="21"/>
            <w:u w:val="single"/>
          </w:rPr>
          <w:t xml:space="preserve">第四章采购需求</w:t>
        </w:r>
        <w:r>
          <w:rPr>
            <w:rStyle w:val="798"/>
            <w:rFonts w:ascii="Arial" w:hAnsi="Arial" w:eastAsia="Arial" w:cs="Arial"/>
            <w:color w:val="0000ee"/>
            <w:sz w:val="21"/>
            <w:u w:val="none"/>
          </w:rPr>
          <w:t xml:space="preserve">28</w:t>
        </w:r>
      </w:hyperlink>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9751" w:history="1">
        <w:r>
          <w:rPr>
            <w:rStyle w:val="798"/>
            <w:rFonts w:ascii="SimSun" w:hAnsi="SimSun" w:eastAsia="SimSun" w:cs="SimSun"/>
            <w:color w:val="0000ee"/>
            <w:sz w:val="21"/>
            <w:u w:val="single"/>
          </w:rPr>
          <w:t xml:space="preserve">第五章评标方法与评标标准</w:t>
        </w:r>
        <w:r>
          <w:rPr>
            <w:rStyle w:val="798"/>
            <w:rFonts w:ascii="Arial" w:hAnsi="Arial" w:eastAsia="Arial" w:cs="Arial"/>
            <w:color w:val="0000ee"/>
            <w:sz w:val="21"/>
            <w:u w:val="none"/>
          </w:rPr>
          <w:t xml:space="preserve">30</w:t>
        </w:r>
      </w:hyperlink>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9175" w:history="1">
        <w:r>
          <w:rPr>
            <w:rStyle w:val="798"/>
            <w:rFonts w:ascii="SimSun" w:hAnsi="SimSun" w:eastAsia="SimSun" w:cs="SimSun"/>
            <w:color w:val="0000ee"/>
            <w:sz w:val="21"/>
            <w:u w:val="single"/>
          </w:rPr>
          <w:t xml:space="preserve">第六章投标文件格式</w:t>
        </w:r>
        <w:r>
          <w:rPr>
            <w:rStyle w:val="798"/>
            <w:rFonts w:ascii="Arial" w:hAnsi="Arial" w:eastAsia="Arial" w:cs="Arial"/>
            <w:color w:val="0000ee"/>
            <w:sz w:val="21"/>
            <w:u w:val="none"/>
          </w:rPr>
          <w:t xml:space="preserve">32</w:t>
        </w:r>
      </w:hyperlink>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8"/>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第一章招标公告</w:t>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盐城市海堤防御能力提升工程项目建议书咨询评估</w:t>
      </w:r>
      <w:r/>
    </w:p>
    <w:p>
      <w:pPr>
        <w:ind w:left="0" w:right="0"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盐城市海堤防御能力提升工程项目建议书咨询评估JSZC-320000-JSFH-G2026-0040招标项目的潜在投标人应在江苏政府采购“苏采云”系统获取招标文件，并于2026-10-12  09:30（北京时间）前递交投标文件。</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项目编号：JSZC-320000-JSFH-G2026-0040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项目名称：盐城市海堤防御能力提升工程项目建议书咨询评估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w:t>
      </w:r>
      <w:r>
        <w:rPr>
          <w:rFonts w:ascii="SimSun" w:hAnsi="SimSun" w:eastAsia="SimSun" w:cs="SimSun"/>
          <w:color w:val="000000"/>
          <w:sz w:val="22"/>
        </w:rPr>
        <w:t xml:space="preserve">214万元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b/>
          <w:color w:val="000000"/>
          <w:sz w:val="24"/>
        </w:rPr>
        <w:t xml:space="preserve">212万元，供应商的投标报价不得超过该最高限价，否则按无效响应处理。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none"/>
        </w:rPr>
        <w:t xml:space="preserve">对</w:t>
      </w:r>
      <w:r>
        <w:rPr>
          <w:rFonts w:ascii="SimSun" w:hAnsi="SimSun" w:eastAsia="SimSun" w:cs="SimSun"/>
          <w:color w:val="000000"/>
          <w:sz w:val="24"/>
        </w:rPr>
        <w:t xml:space="preserve">盐城市海堤防御能力提升工程项目建议书阶段进行咨询评估，主要是（但不限于）对以下几方面内容提出咨询评估意见：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（1）评估项目建设的必要性和迫切性；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（2）评估基本确定工程场址的主要水文参数和成果；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（3）初步评价区域构造稳定性，初步查明主要建筑物工程地质条件；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（4）评估基本选定的工程规模和工程总体布局的合理性；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（5）评估基本选定的工程等级、设计标准、工程场址等；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（6）评估初步确定的工程布置及工程设计的合理性；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（7）评估初步选定的水力机械、电气、金属结构、施工组织设计、征地拆迁等方案的合理性；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（8）工程量计算、投资估算编制的正确性；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（9）评估初步确定的工程效益分析的规范性等。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7日内完成符合性审查；收到通过符合性审查的项目建议书报告后，30日内提出项目建议书报告修改意见送采购人；技术审查会后且收到项目建议书报告修订本后20日内提出正式咨询成果。服务期直至项目建议书通过省水利厅审查上报发改委后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rPr>
          <w:rFonts w:ascii="SimSun" w:hAnsi="SimSun" w:eastAsia="SimSun" w:cs="SimSun"/>
          <w:b/>
          <w:color w:val="000000"/>
          <w:sz w:val="24"/>
        </w:rPr>
        <w:t xml:space="preserve">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（1）《政府采购促进中小企业发展管理办法》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（2）《关于政府采购支持监狱企业发展有关问题的通知》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（3）《关于促进残疾人就业政府采购政策的通知》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（4）《关于调整优化节能产品、环境标志产品政府采购执行机制的通知》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（5）《关于做好政府采购支持企业发展有关事项的通知》</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w:t>
      </w:r>
      <w:r>
        <w:rPr>
          <w:rFonts w:ascii="SimSun" w:hAnsi="SimSun" w:eastAsia="SimSun" w:cs="SimSun"/>
          <w:color w:val="000000"/>
          <w:sz w:val="24"/>
        </w:rPr>
        <w:t xml:space="preserve">招标文件公告发布之日起5个工作日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1.提交投标文件截止时间、开标时间：2026-10-12  9:30（北京时间）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2.地点：江苏政府采购“苏采云”系统网上开标大厅</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1.本次采购公告在中国政府采购网、江苏政府采购网发布,有关本次采购的事项若存在变动或修改，敬请及时关注江苏政府采购网发布的关于本项目的信息更正公告。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3.本项目采购标的所属行业为：其他未列明行业。</w:t>
      </w:r>
      <w:r/>
    </w:p>
    <w:p>
      <w:pPr>
        <w:ind w:left="0" w:right="0" w:firstLine="477"/>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供应商单位负责人为同一或者存在直接控股、管理关系的不同供应商，不得参加同一合同项下的政府采购活动。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凡为本项目提供整体设计、规范编制或者项目管理、监理、检测等服务的供应商，不得参加本次项目的采购活动。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供应商被“信用中国”网站（https://www.creditchina.gov.cn/）、“中国政府采购网”（http://www.ccgp.gov.cn/）列入失信被执行人、重大税收违法案件当事人名单、政府采购严重违法失信行为记录名单。</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单位名称：江苏省水利厅</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单位地址：南京市上海路5号江苏水利大厦</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联系人：张天歌</w:t>
      </w:r>
      <w:r/>
    </w:p>
    <w:p>
      <w:pPr>
        <w:ind w:left="0" w:right="0" w:firstLine="7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联系方式：025-86338046</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单位名称：江苏富华工程造价咨询有限公司</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单位地址：南京市建邺区嘉陵江东街50号康缘智汇港A栋16楼</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联系人：陶亮</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联系方式：13357739791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项目联系人：陶亮</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电话：13357739791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8"/>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投标人须知前附表</w:t>
      </w:r>
      <w:r>
        <w:rPr>
          <w:rFonts w:ascii="SimHei" w:hAnsi="SimHei" w:eastAsia="SimHei" w:cs="SimHei"/>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本表是对《投标人须知》正文的具体补充和修改，如有矛盾，以本《前附表》为准。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2279"/>
        <w:gridCol w:w="5645"/>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编列内容规定</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盐城市海堤防御能力提升工程项目建议书咨询评估</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名称：江苏省水利厅</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4"/>
              </w:rPr>
              <w:t xml:space="preserve">张天歌</w:t>
            </w:r>
            <w:r>
              <w:rPr>
                <w:rFonts w:ascii="SimSun" w:hAnsi="SimSun" w:eastAsia="SimSun" w:cs="SimSun"/>
                <w:color w:val="000000"/>
                <w:sz w:val="22"/>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电话：025-86338046  </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名称：江苏富华工程造价咨询有限公司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联系人：陶亮</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电话：13357739791、13951623632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详见招标文件第一章《招标公告》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投标样品递交：不需要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214万元。</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212万元。供应商的投标报价不得超过该最高限价，否则按无效响应处理。</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详见招标文件第一章《招标公告》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投标报价的其他要求：无</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自提交投标文件的截止之日起算90日历天</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投标人应当按照《操作手册》规定，在招标公告规定的投标截止时间前制作并上传电子投标文件。招标代理机构拒绝接收提交投标文件截止时间后上传的任何电子投标文件。</w:t>
            </w:r>
            <w:r/>
          </w:p>
        </w:tc>
      </w:tr>
      <w:tr>
        <w:trPr>
          <w:trHeight w:val="1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提交投标文件的截止时间、地点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详见招标文件第一章《招标公告》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详见招标文件第一章《招标公告》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5人及以上单数。</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服务类项目，本项目不涉及核心产品。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确定中标单位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1.评委会根据本采购文件规定评分办法与评分标准综合打分，并确定排名第一的中标候选人为中标人。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2.中标供应商因不可抗力或者自身原因不能履行采购合同的，采购人可以与排位在中标供应商之后第一位的中标候选供应商签订采购合同，以此类推；采购人也可以重新开展采购活动。</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533" w:right="0" w:firstLine="533"/>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供应商对采购文件的</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时间：2026年</w:t>
            </w:r>
            <w:r>
              <w:rPr>
                <w:rFonts w:ascii="SimSun" w:hAnsi="SimSun" w:eastAsia="SimSun" w:cs="SimSun"/>
                <w:b/>
                <w:color w:val="000000"/>
                <w:sz w:val="22"/>
              </w:rPr>
              <w:t xml:space="preserve">9月28日</w:t>
            </w:r>
            <w:r>
              <w:rPr>
                <w:rFonts w:ascii="SimSun" w:hAnsi="SimSun" w:eastAsia="SimSun" w:cs="SimSun"/>
                <w:color w:val="000000"/>
                <w:sz w:val="22"/>
              </w:rPr>
              <w:t xml:space="preserve">17:00前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w:t>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533" w:right="0" w:firstLine="533"/>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供应商对采购文件提出的</w:t>
            </w:r>
            <w:r/>
          </w:p>
          <w:p>
            <w:pPr>
              <w:ind w:left="-533" w:right="0" w:firstLine="533"/>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形式：以书面形式通知采购代理机构。如采用邮件形式（盖章扫描件及WPS兼容格式文件发至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9"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本项目招标代理服务费由采购人支付。</w:t>
            </w:r>
            <w:r/>
          </w:p>
        </w:tc>
      </w:tr>
    </w:tbl>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投标人须知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w:t>
      </w:r>
      <w:r>
        <w:rPr>
          <w:rFonts w:ascii="SimSun" w:hAnsi="SimSun" w:eastAsia="SimSun" w:cs="SimSun"/>
          <w:b/>
          <w:color w:val="000000"/>
          <w:sz w:val="22"/>
        </w:rPr>
        <w:t xml:space="preserve">总则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1.采购方式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本次招标采取公开招标方式，本招标文件仅适用于招标公告中所述项目。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2.1“采购人”是指依法进行政府采购的国家机关、事业单位、团体组织。本次政府采购的采购人名称、地址、电话、联系人见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2.3“采购方”是指采购人和采购代理机构的合称。</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2.4“供应商”是指向采购人提供货物、工程或者服务的法人、其他组织或者自然人。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2.5“中标供应商”是指在投标过程中获得采购项目合同签订资格的供应商。中标供应商是由专家经过评审后推荐并经采购人确认的。本招标文件中中标供应商也称中标人。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2.6“评标委员会”是依据政府采购相关法律法规规定组建，依法履行评审采购活动职责的评审成员。</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2.7“货物”是指各种形态和种类的物品，包括原材料、燃料、设备、产品等。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2.8“工程”是指建设工程，包括建筑物和构筑物的新建、改建、扩建、装修、拆除、修缮等。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2.9“服务”是指除货物和工程以外的其他政府采购对象。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2.11“进口产品”是指通过中国海关报关验放进入中国境内且产自关境外的产品。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4.政府采购政策（包括但不限于下列具体政策要求）</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促进中小企业发展，在政府采购活动中，供应商提供的货物、工程或者服务符合《政府采购促进中小企业发展管理办法》（财库〔2020〕46号）、《关于进一步加大政府采购支持中小企业力度的通知》（财库〔2022〕19号）、《江苏省财政厅关于进一步加大政府采购支持中小企业力度的通知》（苏财购〔2022〕45号）的规定的，享受中小企业扶持政策。</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于专门面向中小企业或小型、微型企业的项目，只面向中小企业或小型、微型企业采购。对于非专门面向中小企业的项目，对小型和微型企业的报价给予10%的扣除，用扣除后的价格参与评审。参加投标的中小企业，应当提供《中小企业声明函》（“中小企业划型标准”详见《关于印发中小企业划型标准规定的通知》工信部联企业〔2011〕300号及《国家统计局关于印发&lt;统计上大中小微型企业划分办法（2017）&gt;的通知》国统字〔2017〕213号）。</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以联合体形式参加政府采购活动的，联合体各方均为中小企业的，联合体视同中小企业。其中，联合体各方均为小微企业的，联合体视同小微企业。</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（3）依据《政府采购促进中小企业发展管理办法》（财库〔2020〕46号）规定的扶持政策获取政府采购合同后，小型、微型企业不得将合同采购包给大型、中型企业，中型企业不得将合同采购包给大型企业。</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政府采购支持监狱和戒毒企业发展政策，监狱和戒毒企业提供的工程和服务在评标时将获得优势，参加应答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政府采购促进残疾人就业政策，残疾人福利性单位提供的工程和服务在评标时将获得优势，参加应答的残疾人福利性单位，应当提供《残疾人福利性单位声明函》，残疾人福利性单位享受政府采购支持政策的要求详见《关于促进残疾人就业政府采购政策的通知》（财库〔2017〕141号）。</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五章。参加政府采购活动的节能产品、环境标志产品投标人应当提供国家确定的认证机构出具的、处于有效期之内的节能产品、环境标志产品认证证书。</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4.5强制采购信息安全产品。参加政府采购活动的信息安全产品投标人应当选择经国家认证的信息安全产品应答，并提供由国家信息安全认证中心按国家标准认证颁发的有效认证证书。</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4.6进口产品政策</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（1）除采购公告载明接受进口产品参加外，不允许进口产品参加。进口产品认定依照《财政部关于政府采购进口产品管理有关问题的通知》（财办库〔2008〕248号）的规定。</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5.相关费用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rPr>
          <w:rFonts w:ascii="SimSun" w:hAnsi="SimSun" w:eastAsia="SimSun" w:cs="SimSun"/>
          <w:color w:val="000000"/>
          <w:sz w:val="22"/>
          <w:u w:val="none"/>
        </w:rPr>
        <w:t xml:space="preserve">参加投标活动的投标人应自行承担所有与参加投标有关的费用，无论投标过程中的做法和结果如何，采购人在任何情况下均无义务和责任承担这些费用。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6.保密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7.语言文字、计量单位</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7.1所有文件使用的语言文字为中文。专用术语使用外文的，应附有中文注释。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7.2所有文件中的计量单位，除招标文件有特殊要求外，应采用国家法定计量单位。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8.现场考察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规定现场考察的，供应商须按照</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规定的时间、地点参加踏勘，以获得有关编制投标文件和签署合同所涉及现场的资料。供应商承担现场考察所发生的自身费用、责任和风险。</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8.3除非有特殊要求，招标文件不提供项目所在地的自然环境、气候条件、公用设施等情况，供应商被视为熟悉上述与履行合同有关的一切情况。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9.开标前答疑会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规定召开开标前答疑会的，采购方按</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规定的时间和地点召开开标前答疑会，澄清供应商提出的询问。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9.2供应商应按</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规定的时间和形式将提出的询问送达采购方，以便采购方在会议期间澄清，逾期的询问将不被接受。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10.联合体投标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10.1本项目是否接受联合体形式参与详见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10.2供应商为联合体形式的，应遵守以下规定：</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（1）联合体各方必须签订联合体协议书，明确联合体牵头人和各方权利、义务及分工、合同工作量比例；</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（2）联合体各方均应当符合《政府采购法》第二十二条第一款规定的条件；</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（3）除另有规定外，联合体各方中至少有一方应当符合采购人规定的特定资格条件；</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（4）联合体中有同类资质的供应商按照联合体分工承担相同工作的，应当按照资质等级较低的供应商确定资质等级；</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（5）以联合体形式参加政府采购活动的，联合体各方不得再单独参加或者与其他供应商另外组成联合体参加同一合同项下的政府采购活动。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11.分包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11.1采购人允许采用分包方式履行合同的，中标人可以依法在中标后将中标项目的非主体、非关键性工作采取分包方式履行合同。本项目的非主体、非关键性工作是否允许分包，见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12.样品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12.1本项目是否要求投标人提供样品，以及样品制作的标准和要求、是否需要随样品提交相关检测报告、样品的提交要求等详见投标人须知前附表。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12.2样品的评审方法以及评审标准等内容见第五章《评标方法与评标标准》。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13.采购进口产品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13.1本项目是否采购进口产品及相关要求见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14.采购项目预算及最高限价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14.1本项目采购资金已列入政府采购预算，预算金额见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14.2本项目最高限价要求见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供应商资格条件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15.1供应商资格条件见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二．招标文件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16.招标文件的构成</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16.1招标文件各章节的内容如下：</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第二章：投标人须知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第三章：合同条款及格式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第四章：采购需求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第五章：评标方法与评标标准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w:t>
      </w:r>
      <w:r>
        <w:rPr>
          <w:rFonts w:ascii="SimSun" w:hAnsi="SimSun" w:eastAsia="SimSun" w:cs="SimSun"/>
          <w:color w:val="000000"/>
          <w:sz w:val="22"/>
          <w:u w:val="none"/>
        </w:rPr>
        <w:t xml:space="preserve">投标文件格式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对招标文件所作的澄清、修改，构成招标文件的组成部分。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如标书制作工具中格式和内容与“江苏政府采购网”发布的招标文件不一致的，以上述网站发布的招标文件为准。</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★招标文件中标注</w:t>
      </w:r>
      <w:r>
        <w:rPr>
          <w:rFonts w:ascii="SimSun" w:hAnsi="SimSun" w:eastAsia="SimSun" w:cs="SimSun"/>
          <w:color w:val="000000"/>
          <w:sz w:val="22"/>
        </w:rPr>
        <w:t xml:space="preserve">“</w:t>
      </w:r>
      <w:r>
        <w:rPr>
          <w:rFonts w:ascii="SimSun" w:hAnsi="SimSun" w:eastAsia="SimSun" w:cs="SimSun"/>
          <w:b/>
          <w:color w:val="000000"/>
          <w:sz w:val="22"/>
        </w:rPr>
        <w:t xml:space="preserve">★</w:t>
      </w:r>
      <w:r>
        <w:rPr>
          <w:rFonts w:ascii="SimSun" w:hAnsi="SimSun" w:eastAsia="SimSun" w:cs="SimSun"/>
          <w:color w:val="000000"/>
          <w:sz w:val="22"/>
        </w:rPr>
        <w:t xml:space="preserve">”</w:t>
      </w:r>
      <w:r>
        <w:rPr>
          <w:rFonts w:ascii="SimSun" w:hAnsi="SimSun" w:eastAsia="SimSun" w:cs="SimSun"/>
          <w:b/>
          <w:color w:val="000000"/>
          <w:sz w:val="22"/>
        </w:rPr>
        <w:t xml:space="preserve">符号的条款为实质性要求条款（即重要条款）。</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16.2供应商应仔细阅读和检查招标文件的全部内容。如发现招标文件内容不全，应及时向采购方提出，以便补齐。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16.3供应商按照招标文件要求编制投标文件。任何对招标文件的忽略或误解，不能作为投标文件存在缺陷或瑕疵的理由，其风险由供应商承担。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16.4本项目招标文件如包括多个分包，则除非特别说明，招标文件所列各项要求均为各分包通用要求。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17.招标文件的澄清或者修改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17.3投标人应在提交投标文件截止时间前，关注原公告媒体有关本项目的更正公告，根据更正公告内容自行决定是否需要重新制作和提交投标文件，并承担由此产生的相应责任。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三．投标文件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18.投标文件的组成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18.1投标文件由价格及商务部分、技术部分以及其他部分组成，格式见招标文件第六章《投标文件格式》。</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18.2投标文件的价格及商务部分，包括但不限于下列文件：</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（2）分项报价表法。</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（3）商务响应偏离表。</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（4）投标函。</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（5）定代表人身份证明。</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（6）法定代表人授权委托书。</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（7）投标人具备投标资格的证明文件。</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18.3投标文件的技术部分，包括但不限于下列文件：</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（1）技术响应偏离表。</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（2）技术方案或服务方案。</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（3）投标人售后服务承诺（如需）。</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（4）拟参与本项目服务人员一览表。</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（5）投标人类似业绩情况表。</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（6）投标标的物符合招标文件规定的证明文件（如需）。</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18.4投标文件的其他部分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18.4.1投标文件的其他部分由投标人根据编制投标文件需要提供的其他相关文件组成。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19.投标文件编制的原则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19.1投标人应在认真阅读招标文件所有内容的基础上，按照招标文件的要求编制完整的投标文件。招标文件中对投标文件格式有要求的，投标人应按格式逐项填写内容。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19.2投标人必须保证投标文件所提供的全部资料真实可靠。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19.3投标文件须对招标文件中的内容做出实质性和完整的响应。</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20.投标报价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20.1所有投标均以人民币报价，应包括国家规定的增值税税金。</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★20.2投标文件的价格部分是对采购标的价格构成的说明，招标文件如无特别说明，每项货物、服务或工程等只允许有一个报价，任何有选择的报价将不予接受，将作为无效投标文件处理</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投标人要按开标一览表、分项报价表的内容填写投标报价及其它事项。开标一览表须加盖公章或电子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20.5投标报价的其他要求见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21.投标有效期</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21.1投标有效期见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，在此期间投标文件对投标人具有法律约束力，以保证采购人有足够的时间完成评标、定标以及签订合同。投标有效期从</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规定的投标截止之日起计算。</w:t>
      </w:r>
      <w:r>
        <w:rPr>
          <w:rFonts w:ascii="SimSun" w:hAnsi="SimSun" w:eastAsia="SimSun" w:cs="SimSun"/>
          <w:b/>
          <w:color w:val="000000"/>
          <w:sz w:val="22"/>
        </w:rPr>
        <w:t xml:space="preserve">★投标有效期不足的，在评标时将其视为无效投标。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22.投标保证金（本项目无需递交投标保证金，因此本条不适用）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22.1本项目是否交纳投标保证金见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规定交纳投标保证金的，投标人应以支票、汇票、本票或金融机构、担保机构出具的保函等非现金形式，在</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规定的投标截止时间前，向采购方提交</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规定的投标保证金(数额采用四舍五入，计算至元)。投标保证金有效期应与</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规定的投标有效期一致。</w:t>
      </w:r>
      <w:r>
        <w:rPr>
          <w:rFonts w:ascii="SimSun" w:hAnsi="SimSun" w:eastAsia="SimSun" w:cs="SimSun"/>
          <w:b/>
          <w:color w:val="000000"/>
          <w:sz w:val="22"/>
        </w:rPr>
        <w:t xml:space="preserve">★投标人未按规定缴纳投标保证金的或由于到账时间晚于投标截止时间的，或者票据错误、印鉴不清等原因导致不能到账的，其投标无效。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22.3联合体投标的，可以由联合体中的一方或者共同提交投标保证金。以一方名义提交投标保证金的，对联合体各方均具有约束力。</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22.4未中标的投标人的投标保证金，将在中标通知书发出后5个工作日内退还，但因投标人自身原因导致无法及时退还的除外。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22.5中标的投标人的投标保证金，将在政府采购合同签订后5个工作日内退还中标人。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22.6投标人有以下情形之一的，投标保证金可以不予退还（本款仅适用于要求递交投标保证金的项目）：</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w:t>
      </w:r>
      <w:r>
        <w:rPr>
          <w:rFonts w:ascii="SimSun" w:hAnsi="SimSun" w:eastAsia="SimSun" w:cs="SimSun"/>
          <w:color w:val="000000"/>
          <w:sz w:val="22"/>
        </w:rPr>
        <w:t xml:space="preserve">1）投标人在招标文件规定的投标有效期内撤销其投标文件；</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（2）投标人在投标文件中提供虚假材料的；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（3）投标人在本次采购活动中存在恶意串通行为的；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（4）中标人未能按规定交纳采购代理服务费；</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（5）中标人在收到中标通知书后，无正当理由不与采购人订立合同，在签订合同时向采购人提出附加条件，或者不按照招标文件要求提交履约保证金（如有）；</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（6）招标文件规定的其他可以不予退还投标保证金的情形。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23.投标文件的制作和签署</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w:t>
      </w:r>
      <w:r>
        <w:rPr>
          <w:rFonts w:ascii="SimSun" w:hAnsi="SimSun" w:eastAsia="SimSun" w:cs="SimSun"/>
          <w:b/>
          <w:color w:val="000000"/>
          <w:sz w:val="22"/>
        </w:rPr>
        <w:t xml:space="preserve">★投标文件应加盖CA电子公章并由投标人法定代表人（单位负责人）或其授权代表签字或盖章。若为授权代表负责的，须提供法定代表人出具的</w:t>
      </w:r>
      <w:r>
        <w:rPr>
          <w:rFonts w:ascii="SimSun" w:hAnsi="SimSun" w:eastAsia="SimSun" w:cs="SimSun"/>
          <w:color w:val="000000"/>
          <w:sz w:val="22"/>
        </w:rPr>
        <w:t xml:space="preserve">“</w:t>
      </w:r>
      <w:r>
        <w:rPr>
          <w:rFonts w:ascii="SimSun" w:hAnsi="SimSun" w:eastAsia="SimSun" w:cs="SimSun"/>
          <w:b/>
          <w:color w:val="000000"/>
          <w:sz w:val="22"/>
        </w:rPr>
        <w:t xml:space="preserve">法定代表人授权书”授权其负责本项目投标。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23.3投标文件规定盖章的地方，应盖单位公章或电子公章（文件中的单位盖章、印章、公章等处均仅指与投标人名称全称相一致的标准公章，如投标人为自然人可不加盖公章，仅由本人签字）。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23.4除投标人对错处做必要修改外，投标文件不得行间插字、涂改或增删。如有修改错漏处，必须由法定代表人或其授权代表签字或盖章方有效。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四．投标文件的递交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24.投标文件的递交</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25.解密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25.1投标人应当按照《操作手册》规定，在“苏采云”系统规定的时间内对投标文件进行解密。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投标人应充分考虑网络环境、网络带宽等因素可能对投标产生的影响，因供应商网络与电源不稳定、未按操作手册要求配置软硬件、解密锁发生故障或用错、故意不按要求时限内完成解密等自身原因，导致投标文件在规定时间内未能解密、解密失败、中断或解密超时，视为供应商撤销其投标文件，系统内投标文件将被退回。因“苏采云”系统发生故障，导致无法按时完成投标文件解密或开、评标工作无法进行的，可根据实际情况相应延迟解密时间或调整开、评标时间。本项目在限定的解密时间内，只要有一家供应商解密成功，即视为“苏采云”系统运行无故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26.投标文件的修改和撤回</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26.1投标人在递交投标文件后，可以修改或撤回其投标文件，但这种修改和撤回，必须在规定的投标截止时间前，以书面形式通知采购方。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26.2投标人对投标文件的补充、修改的内容应当按照采购文件要求签署、盖章、密封后，作为投标文件的组成部分。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在投标截止时间之后，投标人不得对其投标文件作任何修改。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在投标截止时间至采购文件中规定的投标有效期满之间的这段时间内，投标人不得撤回其投标。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27.诚实信用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27.1投标人应当遵循公平竞争的原则，不得恶意串通，不得妨碍其他投标人的竞争行为，不得损害采购人或者其他投标人的合法权益。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27.2在评标过程中发现投标人有上述情形的，评标委员会应当认定其投标无效，并书面报告本级财政部门。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五．开标和评标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28.开标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投标人在开标过程中涉及到的投标文件解密、开标结果确认等工作，应按照《操作手册》规定执行。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28.3投标人不足3家的，不得开标。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（1）招标文件存在不合理条款或者招标程序不符合规定的，采购人、采购代理机构改正后依法重新招标；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28.6投标人未参加开标的，视同认可开标结果。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29.资格性审查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29.1投标文件的资格性检查。公开招标采购项目开标结束后，采购人或采购代理机构应依法对投标人的资格进行审查。资格审查合格的投标人不足3家的，不进行评标。</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★29.2投标人不具备招标文件规定的投标人资格条件的，应在资格审查时按照无效投标处理。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29.3已经进行资格预审的，可以不再对投标人资格进行审查，资格预审合格的投标人在评标阶段资格发生变化的，应当通知采购方。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30.1评标委员会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30.1.1评标委员会成员组成见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，负责具体评标事务，并独立履行职责。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30.2符合性审查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★30.2.2如果投标文件没有响应招标文件实质性要求，评标委员会将予以拒绝，投标人不得通过修改或撤销不合要求的偏离或保留而使其投标成为实质性响应的投标。</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★30.2.3投标文件有下列情况之一的，在符合性检查时按照无效投标处理：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w:t>
      </w:r>
      <w:r>
        <w:rPr>
          <w:rFonts w:ascii="SimSun" w:hAnsi="SimSun" w:eastAsia="SimSun" w:cs="SimSun"/>
          <w:color w:val="000000"/>
          <w:sz w:val="22"/>
        </w:rPr>
        <w:t xml:space="preserve">1）投标人在“苏采云”系统规定的时间内未成功解密电子投标文件的；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（2）投标人未按照招标文件要求上传电子投标文件的；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（3）同一投标人提交两个（含两个）以上不同的投标报价的；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（4）投标文件未按照招标文件要求加盖电子公章的；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（5）不具备招标文件中规定的资格要求的；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（6）报价超过招标文件中规定的预算金额或者最高限价的；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（7）投标文件含有采购人不能接受的附加条件的；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（8）投标文件内容不全或不符合招标文件中规定的其他实质性要求的；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（9）现行法律、法规、规章和招标文件规定的其他无效情形。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30.3 政府采购异常低价审查</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（一）政府采购评审中出现下列情形之一的，评审委员会启动异常低价投标（响应）审查程序： </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1.投标（响应）报价低于全部通过符合性审查供应商投标（响应）报价平均值50%的，即投标（响应）报价&lt;全部通过符合性审查供应商投标（响应）报价平均值×50%； </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2.投标（响应）报价低于通过符合性审查的次低报价供应商投标（响应）报价50%的，即投标（响应）报价&lt;通过符合性审查的次低报价供应商投标（响应）报价×50%； </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3.投标（响应）报价低于采购项目最高限价45%的，即投标（响应）报价&lt;采购项目最高限价×45%； </w:t>
      </w:r>
      <w:r/>
    </w:p>
    <w:p>
      <w:pPr>
        <w:ind w:left="0" w:right="0" w:firstLine="44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4.评审委员会基于专业判断，认为供应商报价过低，有可能影响产品质量或者不能诚信履约的其他情形。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采购人可以结合具体项目实际情况，提高上述第1项至第3项中启动异常低价投标（响应）审查的数值标准，但是最高不得超过65%。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相关法律法规对供应商报价有规定的，从其规定。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30.4投标文件澄清</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30.4.2投标人的澄清、说明或者补正应当采用书面形式，并加盖公章，或者由法定代表人或其授权的代表签字。投标人的澄清、说明或者补正不得超出投标文件的范围或者改变投标文件的实质性内容。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30.4.3评标委员会不接受投标人主动提出的澄清、说明。</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30.4.4有效的书面澄清材料，是投标文件的补充材料，成为投标文件的组成部分。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30.5报价修正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30.5.1投标文件报价出现前后不一致的，除招标文件另有规定外，按照下列规定修正：</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同时出现两种以上不一致的，按照前款规定的顺序修正。修正后的报价按照上述规定经投标人确认后产生约束力，投标人不确认的，其投标无效。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30.6同品牌多家投标人处理原则（本项目属于服务，不适用本条款）</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30.6.3非单一产品采购项目，根据采购项目技术构成、产品价格比重等合理确定核心产品，核心产品见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。多家投标人提供的核心产品品牌相同的，按前两款规定处理。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30.7比较与评价</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30.7.1评标委员会应当按照招标文件中第五章《评标方法和评标标准》，对符合性审查合格的投标文件进行比较与评价。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30.8编写评标报告</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30.8.1评标委员会根据全体评标成员签字的原始评标记录和评标结果编写评标报告。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30.9评标过程的保密</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30.9.1评标委员会成员名单在评标结果公示前应当保密。</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30.9.2采购方应当采取必要的措施，保证评标在严格保密的情况下进行。</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30.9.3有关人员对评标情况以及在评标过程中获悉的国家秘密、商业秘密负有保密责任。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六．确定中标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31.确定中标人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31.1评委会根据本采购文件规定评分办法与评分标准综合打分，并按综合得分由高到低顺序向项目采购人推荐1名中标候选人。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31.4评审结束后，采购人如未委托评标委员会直接确定中标人的，代理在评标结束后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个工作日内，在省级以上财政部门指定的媒体上公布中标人结果，中标公告期为1个工作日，公告媒体见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公告的同时向中标人发出中标通知书。中标人可在中标结果公告届满之日起三十日内,登录苏采云系统下载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32.中标通知书</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32.1采购代理机构将在中标公告发布的同时向中标人发出中标通知书。</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32.2中标通知书将是合同的组成部分。对采购人和中标人均具有法律效力。</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w:t>
      </w:r>
      <w:r>
        <w:rPr>
          <w:rFonts w:ascii="SimSun" w:hAnsi="SimSun" w:eastAsia="SimSun" w:cs="SimSun"/>
          <w:color w:val="000000"/>
          <w:sz w:val="22"/>
          <w:u w:val="none"/>
        </w:rPr>
        <w:t xml:space="preserve">中标通知书发出后，中标人无正当理由不得放弃中标，否则将依法承担法律责任。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33.废标</w:t>
      </w:r>
      <w:r/>
    </w:p>
    <w:p>
      <w:pPr>
        <w:ind w:left="0" w:right="0" w:firstLine="316"/>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★33.1出现下列情形之一的，应予废标：</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（1）符合专业条件的投标人或者对招标文件作实质响应的投标人不足三家的；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31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33.2废标后，采购人将废标理由通知所有投标人。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34.签订合同</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34.2中标人拒绝与采购人签订合同的，采购人可以按照评标报告推荐的中标候选人名单排序，确定下一候选人为中标人，也可以重新开展政府采购活动。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34.3联合体中标的，联合体各方应当共同与采购人签订合同，就中标项目向采购人承担连带责任。</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34.4政府采购合同不能转包。未经采购人同意，中标人也不得采用分包的形式履行合同，否则采购人有权终止合同。转包或分包造成采购人损失的，中标人应承担相应赔偿责任。</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34.5中标通知书发出后，中标人无正当理由拒绝与采购人签订合同的，情节严重的，财政部门将其列入不良行为记录名单，在一至三年内不得参加南京市政府采购活动，并予以通报。</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34.6政府采购合同履行中，采购人需追加与合同标的相同的货物的，在不改变合同其他条款的前提下，可以与投标人协商签订补充合同，但所有补充合同的采购金额不得超过原合同采购金额的百分之十。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35.履约保证金</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35.1本项目是否缴纳履约保证金见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35.2</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规定交纳履约保证金的，中标人在签订采购合同前，向采购人提交履约保证金。联合体成交的，履约保证金以联合体各方或联合体中牵头人的名义提交。</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35.3中标人没有按照</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的规定提交履约保证金的，视为放弃中标，其投标保证金不予退还。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七．询问与质疑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36.询问</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36.1供应商对政府采购活动事项有疑问的，可依法提出询问，并按</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载明的形式通知采购方。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36.2采购方对供应商依法提出的询问，在3个工作日内作出答复，但答复的内容不得涉及商业秘密。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37.质疑</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37.1供应商认为采购文件、采购过程和成交结果使自己的权益受到损害的，可以在知道或者应知其权益受到损害之日起7个工作日内，以</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的要求向采购代理机构提出质疑。采购代理机构将以书面形式答复质疑供应商，但答复的内容不涉及商业秘密。投标人在法定质疑期内针对同一采购程序环节的质疑必须一次性提出。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37.2以联合体形式参加投标的，应当由组成联合体的所有供应商共同提出。</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37.3质疑函应使用财政部制定的范本文件。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八．其他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38.招标代理服务费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38.1中标人是否交纳投招标代理服务费及相关要求见</w:t>
      </w:r>
      <w:r>
        <w:rPr>
          <w:rFonts w:ascii="SimSun" w:hAnsi="SimSun" w:eastAsia="SimSun" w:cs="SimSun"/>
          <w:b/>
          <w:color w:val="000000"/>
          <w:sz w:val="22"/>
        </w:rPr>
        <w:t xml:space="preserve">投标人须知前附表</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39.其他规定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39.1投标文件的其他规定见</w:t>
      </w:r>
      <w:r>
        <w:rPr>
          <w:rFonts w:ascii="SimSun" w:hAnsi="SimSun" w:eastAsia="SimSun" w:cs="SimSun"/>
          <w:b/>
          <w:color w:val="000000"/>
          <w:sz w:val="22"/>
        </w:rPr>
        <w:t xml:space="preserve">投标人须知前附</w:t>
      </w:r>
      <w:r>
        <w:rPr>
          <w:rFonts w:ascii="SimSun" w:hAnsi="SimSun" w:eastAsia="SimSun" w:cs="SimSun"/>
          <w:color w:val="000000"/>
          <w:sz w:val="22"/>
        </w:rPr>
        <w:t xml:space="preserve">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40.文件解释权</w:t>
      </w:r>
      <w:r/>
    </w:p>
    <w:p>
      <w:pPr>
        <w:ind w:left="0" w:right="0" w:firstLine="4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40.1本招标文件的解释权归采购人（或采购代理机构）所有。</w:t>
      </w:r>
      <w:r/>
    </w:p>
    <w:p>
      <w:pPr>
        <w:pStyle w:val="63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合同协议书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依据《中华人民共和国民法典》、《中华人民共和国政府采购法》与项目行业有关的法律法规，以及</w:t>
      </w:r>
      <w:r>
        <w:rPr>
          <w:rFonts w:ascii="SimSun" w:hAnsi="SimSun" w:eastAsia="SimSun" w:cs="SimSun"/>
          <w:b/>
          <w:color w:val="000000"/>
          <w:sz w:val="24"/>
          <w:u w:val="single"/>
        </w:rPr>
        <w:t xml:space="preserve">盐城市海堤防御能力提升工程项目建议书咨询评估</w:t>
      </w:r>
      <w:r>
        <w:rPr>
          <w:rFonts w:ascii="SimSun" w:hAnsi="SimSun" w:eastAsia="SimSun" w:cs="SimSun"/>
          <w:color w:val="000000"/>
          <w:sz w:val="24"/>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4"/>
        </w:rPr>
        <w:t xml:space="preserve">）的《招标文件》，乙方的《投标文件》及《中标通知书》，甲、乙双方同意签订本合同。相关技术资料、文件、经双方确认进入合同的其他文件等均为本合同的组成部分。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1、项目名称：盐城市海堤防御能力提升工程项目建议书咨询评估</w:t>
      </w:r>
      <w:r/>
    </w:p>
    <w:p>
      <w:pPr>
        <w:ind w:left="0" w:right="0" w:firstLine="480"/>
        <w:jc w:val="both"/>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海堤防御能力提升工程范围北起一号哨所，南至新洋港闸，跨响水、滨海和射阳三县。拟建主海堤巩固提标建设工程44km（不含正在实施的东小海海堤巩固完善工程11.4km），防护保滩工程65.3km（不含正在实施的东小海海堤巩固完善工程8.1km），建筑物工程8座。按防潮标准100年一遇，重点建设新洋港以北至灌河口主海堤，针对主海堤险工患段开展除险加固；针对现状防潮标准与防潮需求不匹配段开展巩固提标；针对海岸侵蚀段开展保滩工程。各县区治理内容如下：①响水县：主海堤巩固提标工程23.4km，高港闸~中山河闸段25</w:t>
      </w:r>
      <w:r>
        <w:rPr>
          <w:rFonts w:ascii="SimSun" w:hAnsi="SimSun" w:eastAsia="SimSun" w:cs="SimSun"/>
          <w:color w:val="000000"/>
          <w:sz w:val="24"/>
        </w:rPr>
        <w:t xml:space="preserve">.1km防护保滩工程，小型穿堤涵洞除险加固3座；②滨海县：中山河闸~虾须港段主海堤巩固提标工程0.8km，中山河闸~南八滩闸段22.8km防护保滩工程；③射阳县：六垛南闸-扁担港口、基地扬水站段、运粮河闸下港堤及金海岛大桥北~运棉河闸段共计19.86km主海堤巩固工程，扁担港口~金海岛大桥南段共计17.39km防护保滩工程，以及5座建筑物工程。盐城市海堤防御能力提升工程估算静态总投资272896万元。</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服务期限及工作成果：</w:t>
      </w:r>
      <w:r>
        <w:rPr>
          <w:rFonts w:ascii="SimSun" w:hAnsi="SimSun" w:eastAsia="SimSun" w:cs="SimSun"/>
          <w:b/>
          <w:color w:val="000000"/>
          <w:sz w:val="24"/>
        </w:rPr>
        <w:t xml:space="preserve">合同签订后，7日内完成符合性审查；收到通过符合性审查的项目建议书报告后，30日内提出项目建议书报告修改意见送甲方；技术审查会后且收到项目建议书报告修订本后20日内提出正式咨询成果。服务期直至项目建议书通过省水利厅审查上报发改委后终止</w:t>
      </w:r>
      <w:r>
        <w:rPr>
          <w:rFonts w:ascii="SimSun" w:hAnsi="SimSun" w:eastAsia="SimSun" w:cs="SimSun"/>
          <w:color w:val="000000"/>
          <w:sz w:val="24"/>
        </w:rPr>
        <w:t xml:space="preserve">。</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服务内容与质量标准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对盐城市海堤防御能力提升工程项目建议书阶段进行咨询评估，主要是（但不限于）对以下几方面内容提出咨询评估意见：</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（1）评估项目建设的必要性和迫切性；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（2）评估基本确定工程场址的主要水文参数和成果；</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（3）初步评价区域构造稳定性，初步查明主要建筑物工程地质条件；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（4）评估基本选定的工程规模和工程总体布局的合理性；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（5）评估基本选定的工程等级、设计标准、工程场址等；</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（6）评估初步确定的工程布置及工程设计的合理性；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（7）评估初步选定的水力机械、电气、金属结构、施工组织设计、征地拆迁等方案的合理性；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（8）工程量计算、投资估算编制的正确性；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（9）评估初步确定的工程效益分析的规范性等。</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乙方在规定时间内完成合同约定的各项服务内容，并通过甲方组织的技术审查会提交正式咨询报告。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服务费用及支付方式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本项目服务费用（大写）：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支付方式：完成合同规定的工作内容，通过甲方组织的技术审查会，并提交正式咨询报告后，一次性支付全部合同价款。</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乙方应保证所提供的服务或其任何一部分均不会侵犯任何第三方的专利权、商标权或著作权。</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无产权瑕疵条款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乙方保证所提供的服务的所有权完全属于乙方且无任何抵押、查封等产权瑕疵。如有产权瑕疵的，视为乙方违约。乙方应负担由此而产生的一切损失。</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2、甲方有权依据双方签订的考评办法对乙方提供的服务进行定期考评。当考评结果未达到标准时，有权依据考评办法约定的数额扣除履约保证金（如有）。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3、负责检查监督乙方管理工作的实施及制度的执行情况。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4、根据本合同规定，按时向乙方支付应付服务费用。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5、国家法律、法规所规定由甲方承担的其它责任。</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1、对本合同规定的委托服务范围内的项目享有管理权及服务义务。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2、根据本合同的规定向甲方收取相关服务费用，并有权在本项目管理范围内管理及合理使用。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3、及时向甲方通告本项目服务范围内有关服务的重大事项，及时配合处理投诉。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4、接受项目行业管理部门及政府有关部门的指导，接受甲方的监督。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5、国家法律、法规所规定由乙方承担的其它责任。</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1、甲乙双方必须遵守本合同并执行合同中的各项规定，保证本合同的正常履行。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2、不可抗力事件发生后，应立即通知对方，并寄送有关权威机构出具的证明。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w:t>
      </w:r>
      <w:r>
        <w:rPr>
          <w:rFonts w:ascii="SimSun" w:hAnsi="SimSun" w:eastAsia="SimSun" w:cs="SimSun"/>
          <w:color w:val="000000"/>
          <w:sz w:val="21"/>
        </w:rPr>
        <w:t xml:space="preserve">90</w:t>
      </w:r>
      <w:r>
        <w:rPr>
          <w:rFonts w:ascii="SimSun" w:hAnsi="SimSun" w:eastAsia="SimSun" w:cs="SimSun"/>
          <w:color w:val="000000"/>
          <w:sz w:val="24"/>
        </w:rPr>
        <w:t xml:space="preserve">天以上，双方应通过友好协商，确定是否继续履行合同。</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争议的解决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2、因履行本合同引起的或与本合同有关的争议，甲、乙双方应首先通过友好协商解决，如果协商不能解决争议，则可向甲方所在地有管辖权的人民法院提起诉讼。  </w:t>
      </w:r>
      <w:r/>
    </w:p>
    <w:p>
      <w:pPr>
        <w:numPr>
          <w:ilvl w:val="0"/>
          <w:numId w:val="3"/>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合同生效及其他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1、合同经双方法定代表人或授权委托代理人签字并加盖单位公章后生效。</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2、合同执行中涉及采购资金和采购内容修改或补充的，须经政府采购监管部门审批，并签书面补充协议报政府采购监督管理部门备案，方可作为主合同不可分割的一部分。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w:t>
      </w:r>
      <w:r>
        <w:rPr>
          <w:rFonts w:ascii="SimSun" w:hAnsi="SimSun" w:eastAsia="SimSun" w:cs="SimSun"/>
          <w:color w:val="000000"/>
          <w:sz w:val="21"/>
        </w:rPr>
        <w:t xml:space="preserve">6</w:t>
      </w:r>
      <w:r>
        <w:rPr>
          <w:rFonts w:ascii="SimSun" w:hAnsi="SimSun" w:eastAsia="SimSun" w:cs="SimSun"/>
          <w:color w:val="000000"/>
          <w:sz w:val="24"/>
        </w:rPr>
        <w:t xml:space="preserve">份，自双方签章之日起生效。甲方</w:t>
      </w:r>
      <w:r>
        <w:rPr>
          <w:rFonts w:ascii="SimSun" w:hAnsi="SimSun" w:eastAsia="SimSun" w:cs="SimSun"/>
          <w:color w:val="000000"/>
          <w:sz w:val="21"/>
        </w:rPr>
        <w:t xml:space="preserve">3</w:t>
      </w:r>
      <w:r>
        <w:rPr>
          <w:rFonts w:ascii="SimSun" w:hAnsi="SimSun" w:eastAsia="SimSun" w:cs="SimSun"/>
          <w:color w:val="000000"/>
          <w:sz w:val="24"/>
        </w:rPr>
        <w:t xml:space="preserve">份，乙方</w:t>
      </w:r>
      <w:r>
        <w:rPr>
          <w:rFonts w:ascii="SimSun" w:hAnsi="SimSun" w:eastAsia="SimSun" w:cs="SimSun"/>
          <w:color w:val="000000"/>
          <w:sz w:val="21"/>
        </w:rPr>
        <w:t xml:space="preserve">2</w:t>
      </w:r>
      <w:r>
        <w:rPr>
          <w:rFonts w:ascii="SimSun" w:hAnsi="SimSun" w:eastAsia="SimSun" w:cs="SimSun"/>
          <w:color w:val="000000"/>
          <w:sz w:val="24"/>
        </w:rPr>
        <w:t xml:space="preserve">份，同级财政部门备案</w:t>
      </w:r>
      <w:r>
        <w:rPr>
          <w:rFonts w:ascii="SimSun" w:hAnsi="SimSun" w:eastAsia="SimSun" w:cs="SimSun"/>
          <w:color w:val="000000"/>
          <w:sz w:val="21"/>
        </w:rPr>
        <w:t xml:space="preserve">1</w:t>
      </w:r>
      <w:r>
        <w:rPr>
          <w:rFonts w:ascii="SimSun" w:hAnsi="SimSun" w:eastAsia="SimSun" w:cs="SimSun"/>
          <w:color w:val="000000"/>
          <w:sz w:val="24"/>
        </w:rPr>
        <w:t xml:space="preserve">份，具有同等法律效力。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甲方：江苏省水利厅（盖章）    乙方：（盖章）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法定代表人（授权代表）：法定代表人（授权代表）：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rPr>
          <w:rFonts w:ascii="SimSun" w:hAnsi="SimSun" w:eastAsia="SimSun" w:cs="SimSun"/>
          <w:color w:val="000000"/>
          <w:sz w:val="21"/>
        </w:rPr>
        <w:t xml:space="preserve">      </w:t>
      </w: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8"/>
        <w:ind w:left="0" w:right="0" w:firstLine="0"/>
        <w:jc w:val="center"/>
        <w:spacing w:before="0" w:after="2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4"/>
        </w:rPr>
        <w:t xml:space="preserve">项目名称：盐城市海堤防御能力提升工程项目建议书咨询评估</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海堤防御能力提升工程范围北起一号哨所，南至新洋港闸，跨响水、滨海和射阳三县。拟建主海堤巩固提标建设工程44km（不含正在实施的东小海海堤巩固完善工程11.4km），防护保滩工程65.3km（不含正在实施的东小海海堤巩固完善工程8.1km），建筑物工程8座。按防潮标准100年一遇，重点建设新洋港以北至灌河口主海堤，针对主海堤险工患段开展除险加固；针对现状防潮标准与防潮需求不匹配段开展巩固提标；针对海岸侵蚀段开展保滩工程。各县区治理内容如下：①响水县：主海堤巩固提标工程23.4km，高港闸~中山河闸段25</w:t>
      </w:r>
      <w:r>
        <w:rPr>
          <w:rFonts w:ascii="SimSun" w:hAnsi="SimSun" w:eastAsia="SimSun" w:cs="SimSun"/>
          <w:color w:val="000000"/>
          <w:sz w:val="24"/>
        </w:rPr>
        <w:t xml:space="preserve">.1km防护保滩工程，小型穿堤涵洞除险加固3座；②滨海县：中山河闸~虾须港段主海堤巩固提标工程0.8km，中山河闸~南八滩闸段22.8km防护保滩工程；③射阳县：六垛南闸-扁担港口、基地扬水站段、运粮河闸下港堤及金海岛大桥北~运棉河闸段共计19.86km主海堤巩固工程，扁担港口~金海岛大桥南段共计17.39km防护保滩工程，以及5座建筑物工程。盐城市海堤防御能力提升工程估算静态总投资272896万元。</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技术服务要求及内容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对盐城市海堤防御能力提升工程项目建议书阶段进行咨询评估，主要是（但不限于）对以下几方面内容提出咨询评估意见：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（1）评估项目建设的必要性和迫切性；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（2）评估基本确定工程场址的主要水文参数和成果；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（3）初步评价区域构造稳定性，初步查明主要建筑物工程地质条件；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（4）评估基本选定的工程规模和工程总体布局的合理性；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（5）评估基本选定的工程等级、设计标准、工程场址等；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（6）评估初步确定的工程布置及工程设计的合理性；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（7）评估初步选定的水力机械、电气、金属结构、施工组织设计、征地拆迁等方案的合理性；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（8）工程量计算、投资估算编制的正确性；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（9）评估初步确定的工程效益分析的规范性等。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7日内完成符合性审查；收到通过符合性审查的项目建议书报告后，30日内提出项目建议书报告修改意见送采购人；技术审查会后且收到项目建议书报告修订本后20日内提出正式咨询成果。服务期直至项目建议书通过省水利厅审查上报发改委后终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4.验收要求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成交供应商在规定时间内完成合同约定的各项服务内容，并通过采购人组织的技术审查会提交正式咨询报告。</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5.付款方式</w:t>
      </w:r>
      <w:r/>
    </w:p>
    <w:p>
      <w:pPr>
        <w:ind w:left="0" w:right="0" w:firstLine="480"/>
        <w:jc w:val="both"/>
        <w:spacing w:before="21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完成合同规定的工作内容，通过采购人组织的技术审查会，并提交正式咨询报告后，一次性支付全部合同价款。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38"/>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pStyle w:val="640"/>
        <w:ind w:left="0" w:right="0" w:firstLine="440"/>
        <w:spacing w:before="0" w:after="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对确定为实质性响应招标文件要求的投标文件进行评价和比较，评标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440"/>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A.</w:t>
      </w:r>
      <w:r>
        <w:rPr>
          <w:rFonts w:ascii="SimSun" w:hAnsi="SimSun" w:eastAsia="SimSun" w:cs="SimSun"/>
          <w:color w:val="000000"/>
          <w:sz w:val="22"/>
        </w:rPr>
        <w:t xml:space="preserve">价格部分（15分）</w:t>
      </w:r>
      <w:r/>
    </w:p>
    <w:p>
      <w:pPr>
        <w:ind w:left="0" w:right="0" w:firstLine="44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实质性要求的投标报价不高于最高限价的，为有效投标报价。高于最高限价的投标报价为无效报价，无效报价的投标文件不参与评审。以满足招标文件实质性要求且投标报价最低的有效报价为评标基准价，该投标人报价得分为满分，即15分。</w:t>
      </w:r>
      <w:r>
        <w:rPr>
          <w:rFonts w:ascii="SimSun" w:hAnsi="SimSun" w:eastAsia="SimSun" w:cs="SimSun"/>
          <w:color w:val="000000"/>
          <w:sz w:val="21"/>
        </w:rPr>
        <w:t xml:space="preserve">其他投标人的价格分统一按照下列公式计算：</w:t>
      </w:r>
      <w:r/>
    </w:p>
    <w:p>
      <w:pPr>
        <w:ind w:left="0" w:right="0" w:firstLine="44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w:t>
      </w:r>
      <w:r>
        <w:rPr>
          <w:rFonts w:ascii="Arial" w:hAnsi="Arial" w:eastAsia="Arial" w:cs="Arial"/>
          <w:color w:val="000000"/>
          <w:sz w:val="22"/>
        </w:rPr>
        <w:t xml:space="preserve">15%</w:t>
      </w:r>
      <w:r>
        <w:rPr>
          <w:rFonts w:ascii="SimSun" w:hAnsi="SimSun" w:eastAsia="SimSun" w:cs="SimSun"/>
          <w:color w:val="000000"/>
          <w:sz w:val="22"/>
        </w:rPr>
        <w:t xml:space="preserve">×</w:t>
      </w:r>
      <w:r>
        <w:rPr>
          <w:rFonts w:ascii="Arial" w:hAnsi="Arial" w:eastAsia="Arial" w:cs="Arial"/>
          <w:color w:val="000000"/>
          <w:sz w:val="22"/>
        </w:rPr>
        <w:t xml:space="preserve">100</w:t>
      </w:r>
      <w:r>
        <w:rPr>
          <w:rFonts w:ascii="SimSun" w:hAnsi="SimSun" w:eastAsia="SimSun" w:cs="SimSun"/>
          <w:color w:val="000000"/>
          <w:sz w:val="22"/>
        </w:rPr>
        <w:t xml:space="preserve">。</w:t>
      </w:r>
      <w:r/>
    </w:p>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B.</w:t>
      </w:r>
      <w:r>
        <w:rPr>
          <w:rFonts w:ascii="SimSun" w:hAnsi="SimSun" w:eastAsia="SimSun" w:cs="SimSun"/>
          <w:b/>
          <w:color w:val="000000"/>
          <w:sz w:val="24"/>
          <w:u w:val="none"/>
        </w:rPr>
        <w:t xml:space="preserve">技术及资信等部分（</w:t>
      </w:r>
      <w:r>
        <w:rPr>
          <w:rFonts w:ascii="SimSun" w:hAnsi="SimSun" w:eastAsia="SimSun" w:cs="SimSun"/>
          <w:b/>
          <w:color w:val="000000"/>
          <w:sz w:val="24"/>
        </w:rPr>
        <w:t xml:space="preserve">85分）</w:t>
      </w:r>
      <w:r>
        <w:rPr>
          <w:rFonts w:ascii="Arial" w:hAnsi="Arial" w:eastAsia="Arial" w:cs="Arial"/>
          <w:b/>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1121"/>
        <w:gridCol w:w="5867"/>
        <w:gridCol w:w="827"/>
      </w:tblGrid>
      <w:tr>
        <w:trPr>
          <w:trHeight w:val="22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项目管理机构（20分）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项目负责人素质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1.项目负责人具有水利工程专业正高级工程师</w:t>
            </w:r>
            <w:r>
              <w:rPr>
                <w:rFonts w:ascii="SimSun" w:hAnsi="SimSun" w:eastAsia="SimSun" w:cs="SimSun"/>
                <w:b/>
                <w:color w:val="000000"/>
                <w:sz w:val="22"/>
              </w:rPr>
              <w:t xml:space="preserve">（正高级职称）</w:t>
            </w:r>
            <w:r>
              <w:rPr>
                <w:rFonts w:ascii="SimSun" w:hAnsi="SimSun" w:eastAsia="SimSun" w:cs="SimSun"/>
                <w:color w:val="000000"/>
                <w:sz w:val="22"/>
              </w:rPr>
              <w:t xml:space="preserve">得5分；具有水利工程专业副高级工程师</w:t>
            </w:r>
            <w:r>
              <w:rPr>
                <w:rFonts w:ascii="SimSun" w:hAnsi="SimSun" w:eastAsia="SimSun" w:cs="SimSun"/>
                <w:b/>
                <w:color w:val="000000"/>
                <w:sz w:val="22"/>
              </w:rPr>
              <w:t xml:space="preserve">（副高级职称）</w:t>
            </w:r>
            <w:r>
              <w:rPr>
                <w:rFonts w:ascii="SimSun" w:hAnsi="SimSun" w:eastAsia="SimSun" w:cs="SimSun"/>
                <w:color w:val="000000"/>
                <w:sz w:val="22"/>
              </w:rPr>
              <w:t xml:space="preserve">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2.项目负责人具备水利水电专业咨询工程师(投资)登记证书的得1分。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3.项目负责人具有一级注册造价工程师证书（水利工程专业）的得1分，其他专业得0.5分。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（需提供相关证书及近三个月内任一个月本单位为其缴纳的社会保险缴费证明材料并</w:t>
            </w:r>
            <w:r>
              <w:rPr>
                <w:rFonts w:ascii="SimSun" w:hAnsi="SimSun" w:eastAsia="SimSun" w:cs="SimSun"/>
                <w:color w:val="000000"/>
                <w:sz w:val="21"/>
              </w:rPr>
              <w:t xml:space="preserve">加盖CA电子公章</w:t>
            </w:r>
            <w:r>
              <w:rPr>
                <w:rFonts w:ascii="SimSun" w:hAnsi="SimSun" w:eastAsia="SimSun" w:cs="SimSu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7分</w:t>
            </w:r>
            <w:r/>
          </w:p>
        </w:tc>
      </w:tr>
      <w:tr>
        <w:trPr>
          <w:trHeight w:val="255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人员专业配备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1.人员专业配置（规划、水文、岩土、水工、金结、造价、移民、水保、环境）合理，数量能够满足咨询工作需要，得9分；少一个专业扣1分；没有不得分。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（人员需提供近三个月内任一个月本单位为其缴纳的社会保险缴费证明材料，专业需提供毕业证书或职称证书或资格证书或注册证书证明材料</w:t>
            </w:r>
            <w:r>
              <w:rPr>
                <w:rFonts w:ascii="SimSun" w:hAnsi="SimSun" w:eastAsia="SimSun" w:cs="SimSun"/>
                <w:color w:val="000000"/>
                <w:sz w:val="21"/>
              </w:rPr>
              <w:t xml:space="preserve">并加盖CA电子公章</w:t>
            </w:r>
            <w:r>
              <w:rPr>
                <w:rFonts w:ascii="SimSun" w:hAnsi="SimSun" w:eastAsia="SimSun" w:cs="SimSun"/>
                <w:color w:val="000000"/>
                <w:sz w:val="22"/>
              </w:rPr>
              <w:t xml:space="preserve">，否则不得分）。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2.上述专业人员具备</w:t>
            </w:r>
            <w:r>
              <w:rPr>
                <w:rFonts w:ascii="SimSun" w:hAnsi="SimSun" w:eastAsia="SimSun" w:cs="SimSun"/>
                <w:color w:val="000000"/>
                <w:sz w:val="21"/>
              </w:rPr>
              <w:t xml:space="preserve">咨询工程师（投资）</w:t>
            </w:r>
            <w:r>
              <w:rPr>
                <w:rFonts w:ascii="SimSun" w:hAnsi="SimSun" w:eastAsia="SimSun" w:cs="SimSun"/>
                <w:color w:val="000000"/>
                <w:sz w:val="22"/>
              </w:rPr>
              <w:t xml:space="preserve">登记证书的，每有1人得1分，最高得4分。</w:t>
            </w:r>
            <w:r>
              <w:rPr>
                <w:rFonts w:ascii="SimSun" w:hAnsi="SimSun" w:eastAsia="SimSun" w:cs="SimSun"/>
                <w:color w:val="000000"/>
                <w:sz w:val="21"/>
              </w:rPr>
              <w:t xml:space="preserve">（提供相关证书扫描件并加盖CA电子公章。）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13分</w:t>
            </w:r>
            <w:r/>
          </w:p>
        </w:tc>
      </w:tr>
      <w:tr>
        <w:trPr>
          <w:trHeight w:val="2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技术部分（技术说明与服务方案）(48分)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项目咨询评估的理解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对项目建议书报告审查咨询的重点、难点分析理解准确、技术规范得当，得15分；</w:t>
              <w:br/>
              <w:t xml:space="preserve">对项目建议书报告审查咨询的重点、难点分析理解较准确、技术规范较得当，得12分；</w:t>
              <w:br/>
              <w:t xml:space="preserve">对项目建议书报告审查咨询的重点、难点分析理解基本准确、技术规范基本得当，得8分；</w:t>
              <w:br/>
              <w:t xml:space="preserve">对项目建议书报告审查咨询的重点、难点分析理解不准确、技术规范不得当，得4分。</w:t>
              <w:br/>
              <w:t xml:space="preserve">没有相应内容的得0分。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r>
      <w:tr>
        <w:trPr>
          <w:trHeight w:val="164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项目咨询技术方案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项目建议书报告审查咨询技术方案针对性及可操作性强，得15分；</w:t>
              <w:br/>
              <w:t xml:space="preserve">项目建议书报告审查咨询技术方案针对性及可操作性较强，得12分；</w:t>
              <w:br/>
              <w:t xml:space="preserve">项目建议书报告审查咨询技术方案针对性及可操作性一般，得8分；</w:t>
              <w:br/>
              <w:t xml:space="preserve">项目建议书报告审查咨询技术方案针对性及可操作性较差，得4分。</w:t>
              <w:br/>
              <w:t xml:space="preserve">没有相应内容的得0分。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r>
      <w:tr>
        <w:trPr>
          <w:trHeight w:val="11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针对本项目制定的质量管理措施、制度切实可行，能够提高项目成果质量等进行综合评价：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满足要求得9分；较好满足要求的得7分；部分满足要求的得5分；与要求偏离较大得3分；无相应内容不得分。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rHeight w:val="9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进度计划满足招标文件要求，进度保证措施合理、可行得9分；较好满足要求的得7分；部分满足要求的得5分；与要求偏离较大得3分；无相应内容不得分。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rHeight w:val="2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投标人近5年(时间以2021年9月1日以后签订的合同为准）具有水利工程的项目建议书或可行性研究报告或初步设计报告咨询评估业绩，每有一项得</w:t>
            </w:r>
            <w:r>
              <w:rPr>
                <w:rFonts w:ascii="SimSun" w:hAnsi="SimSun" w:eastAsia="SimSun" w:cs="SimSun"/>
                <w:b/>
                <w:color w:val="000000"/>
                <w:sz w:val="22"/>
              </w:rPr>
              <w:t xml:space="preserve">3</w:t>
            </w:r>
            <w:r>
              <w:rPr>
                <w:rFonts w:ascii="SimSun" w:hAnsi="SimSun" w:eastAsia="SimSun" w:cs="SimSun"/>
                <w:color w:val="000000"/>
                <w:sz w:val="22"/>
              </w:rPr>
              <w:t xml:space="preserve">分，最多得12分。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备注：同一业绩企业与项目负责人不重复得分，项目负责人优先得分，需提供合同协议书及批复文件</w:t>
            </w:r>
            <w:r>
              <w:rPr>
                <w:rFonts w:ascii="SimSun" w:hAnsi="SimSun" w:eastAsia="SimSun" w:cs="SimSun"/>
                <w:color w:val="000000"/>
                <w:sz w:val="21"/>
              </w:rPr>
              <w:t xml:space="preserve">复印件或扫描件并加盖CA电子公章</w:t>
            </w:r>
            <w:r>
              <w:rPr>
                <w:rFonts w:ascii="SimSun" w:hAnsi="SimSun" w:eastAsia="SimSun" w:cs="SimSun"/>
                <w:color w:val="000000"/>
                <w:sz w:val="22"/>
              </w:rPr>
              <w:t xml:space="preserve">；如合同无法反映相关评审因素的，应出具业主证明材料予以明确，否则不得分。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w:t>
            </w:r>
            <w:r/>
          </w:p>
        </w:tc>
      </w:tr>
      <w:tr>
        <w:trPr>
          <w:trHeight w:val="11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项目负责人等业绩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1.项目负责人近5年(时间以2021年9月1日以后签订的合同为准)具有水利工程的项目建议书或可行性研究报告或初步设计报告咨询评估的项目负责人业绩的得3分；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2.其他人员近5年具有参加水利工程的项目建议书或可行性研究报告或初步设计报告咨询评估业绩的每人每一项得1分，最多得2分。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备注：需提供合同协议书及批复文件</w:t>
            </w:r>
            <w:r>
              <w:rPr>
                <w:rFonts w:ascii="SimSun" w:hAnsi="SimSun" w:eastAsia="SimSun" w:cs="SimSun"/>
                <w:color w:val="000000"/>
                <w:sz w:val="21"/>
              </w:rPr>
              <w:t xml:space="preserve">复印件或扫描件并加盖CA电子公章</w:t>
            </w:r>
            <w:r>
              <w:rPr>
                <w:rFonts w:ascii="SimSun" w:hAnsi="SimSun" w:eastAsia="SimSun" w:cs="SimSun"/>
                <w:color w:val="000000"/>
                <w:sz w:val="22"/>
              </w:rPr>
              <w:t xml:space="preserve">；如合同无法反映相关评审因素的，应出具业主证明材料予以明确，否则不得分。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r>
    </w:tbl>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必须保证全部响应资料的真实性，如有虚假或对招标文件所要求说明的情况故意隐瞒或虚报，视为不实质性响应招标文件，为无效响应。已中标的将取消中标资格，并按《中华人民共和国政府采购法》等法律法规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2.响应资料中相关证明材料只需提供复印件或扫描件，并加盖CA电子公章。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8"/>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1259" w:right="0" w:hanging="41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一、基本目录</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1.开标一览表（总价）</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5.投标函</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6.法定代表人（非法人单位负责人）身份证明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7.法定代表人授权委托书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开标一览表（总价）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分项报价表</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8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1、中标人住宿、交通自理。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技术响应偏离表</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2565"/>
        <w:gridCol w:w="2815"/>
        <w:gridCol w:w="1914"/>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注：1.对于某项指标的数据存在证明文件内容不一致的情况，取指标较低的为准，对于可以用量化形式表示的条款，投标人必须明确回答，或以功能描述回答。</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2.作为投标文件重要的组成部分，不能通过简单拷贝招标文件技术要求或简单标注“符合”、“满足”。</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3.偏离包括正、负偏离，正偏离指投标人的响应高于招标文件要求，负偏离指投标人的响应低于招标文件要求。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商务响应偏离表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2565"/>
        <w:gridCol w:w="2815"/>
        <w:gridCol w:w="1914"/>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如投标人无任何偏离，也需在响应表中注明并在投标文件中递交此表。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偏离包括正、负偏离，正偏离指投标人的响应高于招标文件要求，负偏离指投标人的响应低于招标文件要求。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江苏省水利厅：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w:t>
      </w:r>
      <w:r>
        <w:rPr>
          <w:rFonts w:ascii="SimSun" w:hAnsi="SimSun" w:eastAsia="SimSun" w:cs="SimSun"/>
          <w:color w:val="000000"/>
          <w:sz w:val="21"/>
        </w:rPr>
        <w:t xml:space="preserve">招标文件（包括更正通知，如果有的话）收悉</w:t>
      </w:r>
      <w:r>
        <w:rPr>
          <w:rFonts w:ascii="SimSun" w:hAnsi="SimSun" w:eastAsia="SimSun" w:cs="SimSun"/>
          <w:color w:val="000000"/>
          <w:sz w:val="22"/>
        </w:rPr>
        <w:t xml:space="preserve">，我们经详细审阅和研究，现决定参加投标。</w:t>
      </w:r>
      <w:r/>
    </w:p>
    <w:p>
      <w:pPr>
        <w:ind w:left="0" w:right="0" w:firstLine="5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1．我们郑重承诺：我们是符合《中华人民共和国政府采购法》第二十二条规定的投标人，并严格遵守《中华人民共和国政府采购法》的规定。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2．我们接受招标文件的所有的条款和规定。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我们同意按照招标文件第二章“投标人须知”第21条的规定，本投标文件的有效期为从投标截止日期起计算的九十天，在此期间，本投标文件将始终对我们具有约束力，并可随时被接受。如果我们中标，本投标文件在此期间之后将继续保持有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4．我们同意提供招标人要求的有关本次招标的所有资料。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5．我们理解，你们无义务必须接受投标价最低的投标，并有权拒绝所有的投标。同时也理解你们不承担我们本次投标的费用。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w:t>
      </w:r>
      <w:r>
        <w:rPr>
          <w:rFonts w:ascii="SimSun" w:hAnsi="SimSun" w:eastAsia="SimSun" w:cs="SimSun"/>
          <w:color w:val="000000"/>
          <w:sz w:val="21"/>
          <w:u w:val="single"/>
        </w:rPr>
        <w:t xml:space="preserve">              （加盖CA电子公章）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职务：</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法定代表人（非法人单位负责人）身份证明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pacing w:val="-3"/>
          <w:sz w:val="21"/>
        </w:rPr>
        <w:t xml:space="preserve">（</w:t>
      </w:r>
      <w:r>
        <w:rPr>
          <w:rFonts w:ascii="SimSun" w:hAnsi="SimSun" w:eastAsia="SimSun" w:cs="SimSun"/>
          <w:color w:val="000000"/>
          <w:sz w:val="21"/>
        </w:rPr>
        <w:t xml:space="preserve">投标人</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人/非法人单位负责人。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附：法定代表人（非法人单位负责人）有效期内的身份证复印件（正反面）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1260" w:right="0" w:firstLine="0"/>
        <w:jc w:val="both"/>
        <w:spacing w:before="1"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投标人名称（加盖CA电子公章）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法定代表人授权委托书</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的在法定代表人（签字或盖章）处签字的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代表本单位授权</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投标人名称（加盖CA电子公章）：</w:t>
      </w:r>
      <w:r>
        <w:rPr>
          <w:rFonts w:ascii="Arial" w:hAnsi="Arial" w:eastAsia="Arial" w:cs="Arial"/>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Arial" w:hAnsi="Arial" w:eastAsia="Arial" w:cs="Arial"/>
          <w:color w:val="000000"/>
          <w:sz w:val="21"/>
        </w:rPr>
        <w:t xml:space="preserve"> </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附：法定代表人有效期内的身份证复印件（正反面）</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65"/>
        <w:gridCol w:w="432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23"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59"/>
        <w:gridCol w:w="434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9"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 </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1.若供应商为分公司或分支机构等无法定代表人的机构（仅当招标文件注明允许分公司或分支机构等投标时），则本投标文件各法定代表人签字处的签署人可为单位负责人。</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2.若投标文件中签字之处均为法定代表人本人签署，则可不提供本《授权委托书》，但须提供《法定代表人（非法人单位负责人）身份证明》。</w:t>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二、资格证明文件</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（5）《关于做好政府采购支持企业发展有关事项的通知》</w:t>
      </w:r>
      <w:r/>
    </w:p>
    <w:p>
      <w:pPr>
        <w:ind w:left="0" w:right="0" w:firstLine="44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（三）本项目的特定资格要求：无。</w:t>
      </w:r>
      <w:r/>
    </w:p>
    <w:p>
      <w:pPr>
        <w:ind w:left="0" w:right="0" w:firstLine="43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注：上述证明材料加盖CA电子公章。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具有履行合同所必需的设备和专业技术能力的书面声明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我单位郑重声明：我单位具有履行本项采购合同所必需的设备和专业技术能力，为履行本项采购合同我公司具备如下主要设备和主要专业技术能力：</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投标人名称（加盖CA电子公章）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参加本次政府采购活动前3年内在经营活动中没有重大违法记录的书面声明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致：江苏省水利厅</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参加本次政府采购活动前三年内，我单位在经营活动中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投标人名称（加盖CA电子公章）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的实质性要求逐条做出响应，并按照招标文件要求提供证明材料，否则作无效投标处理。（格式如下表格）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实质性要求响应及偏离表（采购包号：**）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4"/>
        <w:gridCol w:w="3212"/>
        <w:gridCol w:w="2928"/>
        <w:gridCol w:w="13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技术要求和商务要求中的实质性要求</w:t>
            </w: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1.投标人必须对技术要求和商务要求中的实质性要求</w:t>
      </w: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号条款为实质性要求）</w:t>
      </w:r>
      <w:r>
        <w:rPr>
          <w:rFonts w:ascii="SimSun" w:hAnsi="SimSun" w:eastAsia="SimSun" w:cs="SimSun"/>
          <w:color w:val="000000"/>
          <w:sz w:val="22"/>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3.投标人未对实质性要求逐条作出明确响应的，或未按招标文件要求提供证明材料的，该采购包作无效投标处理。</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四、综合评审评分项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投标人针对招标文件和评标办法，认为应该列入的材料。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645"/>
        <w:gridCol w:w="498"/>
        <w:gridCol w:w="527"/>
        <w:gridCol w:w="795"/>
        <w:gridCol w:w="667"/>
        <w:gridCol w:w="723"/>
        <w:gridCol w:w="707"/>
        <w:gridCol w:w="636"/>
        <w:gridCol w:w="616"/>
        <w:gridCol w:w="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1342"/>
        <w:gridCol w:w="1166"/>
        <w:gridCol w:w="812"/>
        <w:gridCol w:w="1215"/>
        <w:gridCol w:w="1167"/>
        <w:gridCol w:w="7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签约及服务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1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SimSun" w:hAnsi="SimSun" w:eastAsia="SimSun" w:cs="SimSun"/>
          <w:b/>
          <w:color w:val="000000"/>
          <w:sz w:val="32"/>
          <w:u w:val="none"/>
        </w:rPr>
        <w:t xml:space="preserve">小微企业、监狱和戒毒企业、残疾人福利单位声明函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附件一、中小</w:t>
      </w:r>
      <w:r>
        <w:rPr>
          <w:rFonts w:ascii="SimSun" w:hAnsi="SimSun" w:eastAsia="SimSun" w:cs="SimSun"/>
          <w:b/>
          <w:color w:val="000000"/>
          <w:sz w:val="24"/>
        </w:rPr>
        <w:t xml:space="preserve">微企业声明函格式（若供应商为中小微企业须提供）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附件二、残疾人福利性单位声明函格式（若供应商为残疾人福利性单位须提供）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项目（项目名称）采购活动由本单位提供服务。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日期：_____年____月____日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附件三、属于监狱企业的证明文件（若供应商为监狱企业须提供）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Microsoft New Tai Lue">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392"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964"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58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7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51"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17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陶亮</cp:lastModifiedBy>
  <cp:revision>2</cp:revision>
  <dcterms:created xsi:type="dcterms:W3CDTF">2026-09-18T07:46:08Z</dcterms:created>
  <dcterms:modified xsi:type="dcterms:W3CDTF">2026-09-19T13:46:04Z</dcterms:modified>
</cp:coreProperties>
</file>