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b/>
          <w:color w:val="auto"/>
          <w:sz w:val="72"/>
          <w:szCs w:val="72"/>
          <w:highlight w:val="none"/>
        </w:rPr>
      </w:pPr>
      <w:r>
        <w:rPr>
          <w:rFonts w:ascii="宋体"/>
          <w:b/>
          <w:color w:val="auto"/>
          <w:sz w:val="72"/>
          <w:szCs w:val="72"/>
          <w:highlight w:val="none"/>
        </w:rPr>
      </w:r>
      <w:r/>
    </w:p>
    <w:p>
      <w:pPr>
        <w:jc w:val="left"/>
        <w:rPr>
          <w:rFonts w:ascii="宋体"/>
          <w:b/>
          <w:color w:val="auto"/>
          <w:sz w:val="72"/>
          <w:szCs w:val="72"/>
          <w:highlight w:val="none"/>
        </w:rPr>
      </w:pPr>
      <w:r>
        <w:rPr>
          <w:rFonts w:ascii="宋体"/>
          <w:b/>
          <w:color w:val="auto"/>
          <w:sz w:val="72"/>
          <w:szCs w:val="72"/>
          <w:highlight w:val="none"/>
        </w:rPr>
      </w:r>
      <w:r/>
    </w:p>
    <w:p>
      <w:pPr>
        <w:jc w:val="center"/>
        <w:spacing w:line="960" w:lineRule="auto"/>
        <w:rPr>
          <w:rFonts w:hint="eastAsia" w:ascii="宋体" w:hAnsi="宋体" w:eastAsia="宋体" w:cs="宋体"/>
          <w:b/>
          <w:color w:val="auto"/>
          <w:spacing w:val="40"/>
          <w:sz w:val="72"/>
          <w:szCs w:val="72"/>
          <w:highlight w:val="none"/>
        </w:rPr>
      </w:pPr>
      <w:r>
        <w:rPr>
          <w:rFonts w:hint="eastAsia" w:ascii="宋体" w:hAnsi="宋体" w:eastAsia="宋体" w:cs="宋体"/>
          <w:b/>
          <w:color w:val="auto"/>
          <w:spacing w:val="40"/>
          <w:sz w:val="72"/>
          <w:szCs w:val="72"/>
          <w:highlight w:val="none"/>
        </w:rPr>
        <w:t xml:space="preserve">苏州市吴江区政府采购</w:t>
      </w:r>
      <w:r/>
    </w:p>
    <w:p>
      <w:pPr>
        <w:jc w:val="center"/>
        <w:rPr>
          <w:rFonts w:hint="eastAsia" w:ascii="宋体" w:hAnsi="宋体" w:eastAsia="宋体" w:cs="宋体"/>
          <w:b/>
          <w:color w:val="auto"/>
          <w:sz w:val="144"/>
          <w:szCs w:val="72"/>
          <w:highlight w:val="none"/>
        </w:rPr>
      </w:pPr>
      <w:r>
        <w:rPr>
          <w:rFonts w:hint="eastAsia" w:ascii="宋体" w:hAnsi="宋体" w:eastAsia="宋体" w:cs="宋体"/>
          <w:b/>
          <w:color w:val="auto"/>
          <w:spacing w:val="40"/>
          <w:sz w:val="72"/>
          <w:szCs w:val="72"/>
          <w:highlight w:val="none"/>
        </w:rPr>
        <w:t xml:space="preserve">招标</w:t>
      </w:r>
      <w:r>
        <w:rPr>
          <w:rFonts w:hint="eastAsia" w:ascii="宋体" w:hAnsi="宋体" w:eastAsia="宋体" w:cs="宋体"/>
          <w:b/>
          <w:color w:val="auto"/>
          <w:spacing w:val="20"/>
          <w:sz w:val="72"/>
          <w:szCs w:val="72"/>
          <w:highlight w:val="none"/>
        </w:rPr>
        <w:t xml:space="preserve">文件</w:t>
      </w:r>
      <w:r/>
    </w:p>
    <w:p>
      <w:pPr>
        <w:jc w:val="left"/>
        <w:rPr>
          <w:rFonts w:hint="eastAsia" w:ascii="宋体" w:hAnsi="宋体" w:eastAsia="宋体" w:cs="宋体"/>
          <w:b/>
          <w:color w:val="auto"/>
          <w:sz w:val="72"/>
          <w:szCs w:val="72"/>
          <w:highlight w:val="none"/>
        </w:rPr>
      </w:pPr>
      <w:r/>
      <w:bookmarkStart w:id="14" w:name="_GoBack"/>
      <w:r/>
      <w:bookmarkEnd w:id="14"/>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85"/>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项目编号：JSXH2026-ZZ-GKZB-027</w:t>
      </w:r>
      <w:r/>
    </w:p>
    <w:p>
      <w:pPr>
        <w:ind w:firstLine="1285"/>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采购单位：苏州市吴江区第四人民医院</w:t>
      </w:r>
      <w:r/>
    </w:p>
    <w:p>
      <w:pPr>
        <w:ind w:firstLine="1285"/>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项目名称：吴江四院扩建工程-智能化二标段</w:t>
      </w:r>
      <w:r/>
    </w:p>
    <w:p>
      <w:pPr>
        <w:ind w:firstLine="1285"/>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采购类别：货物类（含安装、调试、系统集成）</w:t>
      </w:r>
      <w:r/>
    </w:p>
    <w:p>
      <w:pPr>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554"/>
        <w:jc w:val="left"/>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w:r>
      <w:r/>
    </w:p>
    <w:p>
      <w:pPr>
        <w:ind w:firstLine="2554"/>
        <w:jc w:val="left"/>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w:r>
      <w:r/>
    </w:p>
    <w:p>
      <w:pPr>
        <w:pStyle w:val="955"/>
        <w:ind w:firstLine="316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554"/>
        <w:jc w:val="left"/>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w:r>
      <w:r/>
    </w:p>
    <w:p>
      <w:pPr>
        <w:jc w:val="center"/>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w:t xml:space="preserve">江苏祥和项目管理有限公司</w:t>
      </w:r>
      <w:r/>
    </w:p>
    <w:p>
      <w:pPr>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二〇二六年</w:t>
      </w:r>
      <w:r>
        <w:rPr>
          <w:rFonts w:hint="eastAsia" w:ascii="宋体" w:hAnsi="宋体" w:cs="宋体"/>
          <w:b/>
          <w:bCs/>
          <w:color w:val="auto"/>
          <w:sz w:val="32"/>
          <w:highlight w:val="none"/>
          <w:lang w:val="en-US" w:eastAsia="zh-CN"/>
        </w:rPr>
        <w:t xml:space="preserve">九</w:t>
      </w:r>
      <w:r>
        <w:rPr>
          <w:rFonts w:hint="eastAsia" w:ascii="宋体" w:hAnsi="宋体" w:eastAsia="宋体" w:cs="宋体"/>
          <w:b/>
          <w:bCs/>
          <w:color w:val="auto"/>
          <w:sz w:val="32"/>
          <w:highlight w:val="none"/>
        </w:rPr>
        <w:t xml:space="preserve">月</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前附表</w:t>
      </w:r>
      <w:r/>
    </w:p>
    <w:tbl>
      <w:tblPr>
        <w:tblStyle w:val="910"/>
        <w:tblW w:w="100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
        <w:gridCol w:w="1425"/>
        <w:gridCol w:w="8106"/>
      </w:tblGrid>
      <w:tr>
        <w:trPr>
          <w:jc w:val="center"/>
          <w:trHeight w:val="607"/>
        </w:trPr>
        <w:tc>
          <w:tcPr>
            <w:tcW w:w="0" w:type="auto"/>
            <w:vAlign w:val="center"/>
            <w:textDirection w:val="lrTb"/>
            <w:noWrap w:val="false"/>
          </w:tcPr>
          <w:p>
            <w:pPr>
              <w:jc w:val="center"/>
              <w:tabs>
                <w:tab w:val="left" w:pos="900" w:leader="none"/>
              </w:tabs>
              <w:rPr>
                <w:rFonts w:hint="eastAsia" w:ascii="宋体" w:hAnsi="宋体" w:eastAsia="宋体" w:cs="宋体"/>
                <w:b/>
                <w:color w:val="auto"/>
                <w:highlight w:val="none"/>
              </w:rPr>
            </w:pPr>
            <w:r>
              <w:rPr>
                <w:rFonts w:hint="eastAsia" w:ascii="宋体" w:hAnsi="宋体" w:eastAsia="宋体" w:cs="宋体"/>
                <w:color w:val="auto"/>
                <w:highlight w:val="none"/>
              </w:rPr>
              <w:t xml:space="preserve">序号</w:t>
            </w:r>
            <w:r/>
          </w:p>
        </w:tc>
        <w:tc>
          <w:tcPr>
            <w:tcW w:w="1425" w:type="dxa"/>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项   目</w:t>
            </w:r>
            <w:r/>
          </w:p>
        </w:tc>
        <w:tc>
          <w:tcPr>
            <w:tcW w:w="8106" w:type="dxa"/>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内     容</w:t>
            </w:r>
            <w:r/>
          </w:p>
        </w:tc>
      </w:tr>
      <w:tr>
        <w:trPr>
          <w:jc w:val="center"/>
          <w:trHeight w:val="388"/>
        </w:trPr>
        <w:tc>
          <w:tcPr>
            <w:tcW w:w="0" w:type="auto"/>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1425" w:type="dxa"/>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采购项目</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吴江四院扩建工程-智能化二标段</w:t>
            </w:r>
            <w:r/>
          </w:p>
        </w:tc>
      </w:tr>
      <w:tr>
        <w:trPr>
          <w:jc w:val="center"/>
          <w:trHeight w:val="394"/>
        </w:trPr>
        <w:tc>
          <w:tcPr>
            <w:tcW w:w="0" w:type="auto"/>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1425" w:type="dxa"/>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采购预算（元）</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人民币玖佰肆拾陆万玖仟柒佰壹拾柒元叁角（小写：9469717.30元）</w:t>
            </w:r>
            <w:r/>
          </w:p>
          <w:p>
            <w:pPr>
              <w:ind w:firstLine="422"/>
              <w:jc w:val="both"/>
              <w:spacing w:line="400" w:lineRule="exact"/>
              <w:tabs>
                <w:tab w:val="left" w:pos="900"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本项目最高限价为人民币玖佰肆拾陆万玖仟柒佰壹拾柒元叁角（小写：9469717.30元）。投标人报价超过最高限价的，其投标无效（《政府采购货物和服务招标投标管理办法》第十二条）。</w:t>
            </w:r>
            <w:r/>
          </w:p>
        </w:tc>
      </w:tr>
      <w:tr>
        <w:trPr>
          <w:jc w:val="center"/>
          <w:trHeight w:val="402"/>
        </w:trPr>
        <w:tc>
          <w:tcPr>
            <w:tcW w:w="0" w:type="auto"/>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1425" w:type="dxa"/>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联合体投标</w:t>
            </w:r>
            <w:r/>
          </w:p>
        </w:tc>
        <w:tc>
          <w:tcPr>
            <w:tcW w:w="8106"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sz w:val="20"/>
                <w:szCs w:val="20"/>
                <w:highlight w:val="none"/>
              </w:rPr>
              <w:t xml:space="preserve">本项目不接受联合体参加投标</w:t>
            </w:r>
            <w:r/>
          </w:p>
        </w:tc>
      </w:tr>
      <w:tr>
        <w:trPr>
          <w:jc w:val="center"/>
          <w:trHeight w:val="995"/>
        </w:trPr>
        <w:tc>
          <w:tcPr>
            <w:tcW w:w="0" w:type="auto"/>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1425" w:type="dxa"/>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现场勘查</w:t>
            </w:r>
            <w:r/>
          </w:p>
        </w:tc>
        <w:tc>
          <w:tcPr>
            <w:tcW w:w="8106" w:type="dxa"/>
            <w:vAlign w:val="center"/>
            <w:textDirection w:val="lrTb"/>
            <w:noWrap w:val="false"/>
          </w:tcPr>
          <w:p>
            <w:pPr>
              <w:jc w:val="left"/>
              <w:spacing w:line="360" w:lineRule="auto"/>
              <w:tabs>
                <w:tab w:val="left" w:pos="915"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采购人不组织，供应商如有需要可自行勘察，勘查现场所发生的费用由供应商自行承担。</w:t>
            </w:r>
            <w:r/>
          </w:p>
        </w:tc>
      </w:tr>
      <w:tr>
        <w:trPr>
          <w:jc w:val="center"/>
          <w:trHeight w:val="1416"/>
        </w:trPr>
        <w:tc>
          <w:tcPr>
            <w:tcW w:w="0" w:type="auto"/>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1425" w:type="dxa"/>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★保证金</w:t>
            </w:r>
            <w:r/>
          </w:p>
        </w:tc>
        <w:tc>
          <w:tcPr>
            <w:tcW w:w="8106" w:type="dxa"/>
            <w:vAlign w:val="center"/>
            <w:textDirection w:val="lrTb"/>
            <w:noWrap w:val="false"/>
          </w:tcPr>
          <w:p>
            <w:pPr>
              <w:jc w:val="left"/>
              <w:spacing w:line="360" w:lineRule="auto"/>
              <w:tabs>
                <w:tab w:val="left" w:pos="91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项目不收取投标保证金，也不收取履约保证金，采购文件中所有与投标保证金、履约保证金相关的条款均不适用。投标人须在投标文件中提交《投标（响应）保证承诺书》（格式见第六章），未提交的视为未实质性响应。采购人、采购代理机构不收取任何没有法律、法规依据的保证金；如依法收取保证金，应当接受银行、保险公司或者担保机构出具的保函，不得限定为现金，并在保证期限届满后及时核算退还（财库〔2019〕38号、《保障中小企业款项支付条例》第十三条）。</w:t>
            </w:r>
            <w:r/>
          </w:p>
        </w:tc>
      </w:tr>
      <w:tr>
        <w:trPr>
          <w:jc w:val="center"/>
          <w:trHeight w:val="505"/>
        </w:trPr>
        <w:tc>
          <w:tcPr>
            <w:tcW w:w="0" w:type="auto"/>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1425" w:type="dxa"/>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投标报价货币</w:t>
            </w:r>
            <w:r/>
          </w:p>
        </w:tc>
        <w:tc>
          <w:tcPr>
            <w:tcW w:w="8106" w:type="dxa"/>
            <w:vAlign w:val="center"/>
            <w:textDirection w:val="lrTb"/>
            <w:noWrap w:val="false"/>
          </w:tcPr>
          <w:p>
            <w:pPr>
              <w:jc w:val="left"/>
              <w:spacing w:line="360" w:lineRule="auto"/>
              <w:tabs>
                <w:tab w:val="left" w:pos="915" w:leader="none"/>
              </w:tabs>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人民币</w:t>
            </w:r>
            <w:r/>
          </w:p>
        </w:tc>
      </w:tr>
      <w:tr>
        <w:trPr>
          <w:jc w:val="center"/>
          <w:trHeight w:val="460"/>
        </w:trPr>
        <w:tc>
          <w:tcPr>
            <w:tcW w:w="0" w:type="auto"/>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1425" w:type="dxa"/>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投标文件份数</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本项目采用电子投标文件，供应商按照采购文件要求制作上传电子投标文件，供应商无需提供纸质投标文件。</w:t>
            </w:r>
            <w:r/>
          </w:p>
        </w:tc>
      </w:tr>
      <w:tr>
        <w:trPr>
          <w:jc w:val="center"/>
          <w:trHeight w:val="525"/>
        </w:trPr>
        <w:tc>
          <w:tcPr>
            <w:tcW w:w="0" w:type="auto"/>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1425" w:type="dxa"/>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★投标文件有效期</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szCs w:val="21"/>
                <w:highlight w:val="none"/>
                <w:u w:val="single"/>
              </w:rPr>
              <w:t xml:space="preserve">90日历天（从提交投标文件截止之日起算）。投标有效期少于90日历天的，其投标无效（《政府采购货物和服务招标投标管理办法》第二十三条）。</w:t>
            </w:r>
            <w:r/>
          </w:p>
        </w:tc>
      </w:tr>
      <w:tr>
        <w:trPr>
          <w:jc w:val="center"/>
          <w:trHeight w:val="570"/>
        </w:trPr>
        <w:tc>
          <w:tcPr>
            <w:tcW w:w="0" w:type="auto"/>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1425" w:type="dxa"/>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投标文件递交开始时间</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时间：2026年11月12日09：00（北京时间）</w:t>
            </w:r>
            <w:r/>
          </w:p>
        </w:tc>
      </w:tr>
      <w:tr>
        <w:trPr>
          <w:jc w:val="center"/>
          <w:trHeight w:val="1714"/>
        </w:trPr>
        <w:tc>
          <w:tcPr>
            <w:tcW w:w="0" w:type="auto"/>
            <w:vAlign w:val="center"/>
            <w:vMerge w:val="restart"/>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1425" w:type="dxa"/>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投标文件递交截止时间和地点</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时间：2026年11月12日09：30（北京时间）（递交开始时间：09：00）</w:t>
            </w:r>
            <w:r/>
          </w:p>
          <w:p>
            <w:pPr>
              <w:jc w:val="both"/>
              <w:spacing w:line="400" w:lineRule="exact"/>
              <w:tabs>
                <w:tab w:val="left" w:pos="900" w:leader="none"/>
              </w:tabs>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地点：苏州市公共资源交易中心吴江分中心开标室（吴江区开平路998号三楼）</w:t>
            </w:r>
            <w:r/>
          </w:p>
          <w:p>
            <w:pPr>
              <w:jc w:val="both"/>
              <w:spacing w:line="400" w:lineRule="exact"/>
              <w:tabs>
                <w:tab w:val="left" w:pos="900" w:leader="none"/>
              </w:tabs>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“苏采云”系统（网址：http：//jszfcg.jsczt.cn）</w:t>
            </w:r>
            <w:r/>
          </w:p>
          <w:p>
            <w:pPr>
              <w:ind w:firstLine="422"/>
              <w:jc w:val="both"/>
              <w:spacing w:line="400" w:lineRule="exact"/>
              <w:tabs>
                <w:tab w:val="left" w:pos="900" w:leader="none"/>
              </w:tabs>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本项目为不见面招标项目，开启阶段投标人（供应商）在【供应商解密】环节必须使用CA证书解密电子投标文件，如在系统规定的解密时间内未能完成解密的，视为放弃投标，其投标无效。</w:t>
            </w:r>
            <w:r/>
          </w:p>
          <w:p>
            <w:pPr>
              <w:ind w:firstLine="422"/>
              <w:jc w:val="both"/>
              <w:spacing w:line="400" w:lineRule="exact"/>
              <w:tabs>
                <w:tab w:val="left" w:pos="900" w:leader="none"/>
              </w:tabs>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开标时间与投标截止时间为同一时间（《政府采购货物和服务招标投标管理办法》第三十九条）。</w:t>
            </w:r>
            <w:r/>
          </w:p>
        </w:tc>
      </w:tr>
      <w:tr>
        <w:trPr>
          <w:jc w:val="center"/>
          <w:trHeight w:val="90"/>
        </w:trPr>
        <w:tc>
          <w:tcPr>
            <w:tcW w:w="0" w:type="auto"/>
            <w:vAlign w:val="center"/>
            <w:vMerge w:val="continue"/>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25" w:type="dxa"/>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开标时间和地点</w:t>
            </w:r>
            <w:r/>
          </w:p>
        </w:tc>
        <w:tc>
          <w:tcPr>
            <w:tcW w:w="8106" w:type="dxa"/>
            <w:vAlign w:val="center"/>
            <w:textDirection w:val="lrTb"/>
            <w:noWrap w:val="false"/>
          </w:tcPr>
          <w:p>
            <w:pPr>
              <w:jc w:val="left"/>
              <w:spacing w:line="360" w:lineRule="auto"/>
              <w:tabs>
                <w:tab w:val="left" w:pos="90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时间：2026年11月12日09：30（北京时间）</w:t>
            </w:r>
            <w:r/>
          </w:p>
          <w:p>
            <w:pPr>
              <w:jc w:val="both"/>
              <w:spacing w:line="400" w:lineRule="exact"/>
              <w:tabs>
                <w:tab w:val="left" w:pos="900" w:leader="none"/>
              </w:tabs>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地点：苏州市公共资源交易中心吴江分中心开标室（吴江区开平路998号三楼）</w:t>
            </w:r>
            <w:r/>
          </w:p>
          <w:p>
            <w:pPr>
              <w:ind w:firstLine="422"/>
              <w:jc w:val="both"/>
              <w:spacing w:line="400" w:lineRule="exact"/>
              <w:tabs>
                <w:tab w:val="left" w:pos="900" w:leader="none"/>
              </w:tabs>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开标应当在招标文件确定的提交投标文件截止时间的同一时间、同一地点公开进行。</w:t>
            </w:r>
            <w:r/>
          </w:p>
        </w:tc>
      </w:tr>
      <w:tr>
        <w:trPr>
          <w:jc w:val="center"/>
          <w:trHeight w:val="471"/>
        </w:trPr>
        <w:tc>
          <w:tcPr>
            <w:tcW w:w="0" w:type="auto"/>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11</w:t>
            </w:r>
            <w:r/>
          </w:p>
        </w:tc>
        <w:tc>
          <w:tcPr>
            <w:tcW w:w="1425" w:type="dxa"/>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评审办法</w:t>
            </w:r>
            <w:r/>
          </w:p>
        </w:tc>
        <w:tc>
          <w:tcPr>
            <w:tcW w:w="8106" w:type="dxa"/>
            <w:vAlign w:val="center"/>
            <w:textDirection w:val="lrTb"/>
            <w:noWrap w:val="false"/>
          </w:tcPr>
          <w:p>
            <w:pPr>
              <w:ind w:firstLine="42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采用综合评分法（《政府采购货物和服务招标投标管理办法》第五十五条）。价格分值占总分值的30%，技术、商务等分值占70%，详见第四章。</w:t>
            </w:r>
            <w:r/>
          </w:p>
        </w:tc>
      </w:tr>
      <w:tr>
        <w:trPr>
          <w:jc w:val="center"/>
          <w:trHeight w:val="471"/>
        </w:trPr>
        <w:tc>
          <w:tcPr>
            <w:tcW w:w="0" w:type="auto"/>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12</w:t>
            </w:r>
            <w:r/>
          </w:p>
        </w:tc>
        <w:tc>
          <w:tcPr>
            <w:tcW w:w="1425" w:type="dxa"/>
            <w:vAlign w:val="center"/>
            <w:textDirection w:val="lrTb"/>
            <w:noWrap w:val="false"/>
          </w:tcPr>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招标代理服务费</w:t>
            </w:r>
            <w:r/>
          </w:p>
          <w:p>
            <w:pPr>
              <w:jc w:val="center"/>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106" w:type="dxa"/>
            <w:vAlign w:val="center"/>
            <w:textDirection w:val="lrTb"/>
            <w:noWrap w:val="false"/>
          </w:tcPr>
          <w:p>
            <w:pPr>
              <w:ind w:firstLine="420"/>
              <w:jc w:val="left"/>
              <w:spacing w:line="360" w:lineRule="auto"/>
              <w:tabs>
                <w:tab w:val="left" w:pos="90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按差额定率累进法计算的金额给予五折优惠后收取，中标人在领取中标通知书时向采购代理机构一次性付清。预算金额100万以下费率为预算金额的1.5%；预算金额100万（含）-500万费率为预算金额的1.1%；预算金额500万（含）-1000万费率为预算金额的0.8%。</w:t>
            </w:r>
            <w:r/>
          </w:p>
          <w:p>
            <w:pPr>
              <w:ind w:firstLine="422"/>
              <w:jc w:val="both"/>
              <w:spacing w:line="400" w:lineRule="exact"/>
              <w:tabs>
                <w:tab w:val="left" w:pos="90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本项目招标代理服务费：人民币肆万陆仟柒佰元整（小写：46700.00元），系按上述费率计算后给予优惠确定的金额。投标人应当在投标报价中综合考虑。</w:t>
            </w:r>
            <w:r/>
          </w:p>
          <w:p>
            <w:pPr>
              <w:ind w:firstLine="422"/>
              <w:jc w:val="both"/>
              <w:spacing w:line="400" w:lineRule="exact"/>
              <w:tabs>
                <w:tab w:val="left" w:pos="90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采购代理机构不向未中标人收取任何费用；招标文件（电子）免费提供。</w:t>
            </w:r>
            <w:r/>
          </w:p>
          <w:p>
            <w:pPr>
              <w:ind w:firstLine="422"/>
              <w:jc w:val="both"/>
              <w:spacing w:line="400" w:lineRule="exact"/>
              <w:tabs>
                <w:tab w:val="left" w:pos="90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缴纳账户：江苏祥和项目管理有限公司</w:t>
            </w:r>
            <w:r/>
          </w:p>
          <w:p>
            <w:pPr>
              <w:ind w:firstLine="422"/>
              <w:jc w:val="both"/>
              <w:spacing w:line="400" w:lineRule="exact"/>
              <w:tabs>
                <w:tab w:val="left" w:pos="90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开户银行：中国银行南京六合支行</w:t>
            </w:r>
            <w:r/>
          </w:p>
          <w:p>
            <w:pPr>
              <w:ind w:firstLine="422"/>
              <w:jc w:val="both"/>
              <w:spacing w:line="400" w:lineRule="exact"/>
              <w:tabs>
                <w:tab w:val="left" w:pos="90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账    号：485875060089</w:t>
            </w:r>
            <w:r/>
          </w:p>
        </w:tc>
      </w:tr>
    </w:tbl>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目录</w:t>
      </w:r>
      <w:r/>
    </w:p>
    <w:p>
      <w:pPr>
        <w:pStyle w:val="954"/>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4"/>
        <w:tabs>
          <w:tab w:val="right" w:pos="9639" w:leader="dot"/>
        </w:tabs>
        <w:rPr>
          <w:rFonts w:hint="eastAsia" w:asciiTheme="majorEastAsia" w:hAnsiTheme="majorEastAsia" w:eastAsiaTheme="majorEastAsia" w:cstheme="majorEastAsia"/>
          <w:color w:val="auto"/>
          <w:sz w:val="36"/>
          <w:szCs w:val="36"/>
          <w:highlight w:val="none"/>
        </w:rPr>
      </w:pPr>
      <w:r>
        <w:rPr>
          <w:rFonts w:hint="eastAsia" w:asciiTheme="majorEastAsia" w:hAnsiTheme="majorEastAsia" w:eastAsiaTheme="majorEastAsia" w:cstheme="majorEastAsia"/>
          <w:color w:val="auto"/>
          <w:sz w:val="36"/>
          <w:szCs w:val="36"/>
          <w:highlight w:val="none"/>
        </w:rPr>
        <w:t xml:space="preserve">第一章 招标公告</w:t>
      </w:r>
      <w:r>
        <w:rPr>
          <w:rFonts w:hint="eastAsia" w:asciiTheme="majorEastAsia" w:hAnsiTheme="majorEastAsia" w:eastAsiaTheme="majorEastAsia" w:cstheme="majorEastAsia"/>
          <w:color w:val="auto"/>
          <w:sz w:val="36"/>
          <w:szCs w:val="36"/>
          <w:highlight w:val="none"/>
        </w:rPr>
        <w:tab/>
      </w:r>
      <w:r>
        <w:rPr>
          <w:rFonts w:hint="eastAsia" w:asciiTheme="majorEastAsia" w:hAnsiTheme="majorEastAsia" w:eastAsiaTheme="majorEastAsia" w:cstheme="majorEastAsia"/>
          <w:color w:val="auto"/>
          <w:sz w:val="36"/>
          <w:szCs w:val="36"/>
          <w:highlight w:val="none"/>
        </w:rPr>
        <w:t xml:space="preserve">5</w:t>
      </w:r>
      <w:r/>
    </w:p>
    <w:p>
      <w:pPr>
        <w:pStyle w:val="924"/>
        <w:tabs>
          <w:tab w:val="right" w:pos="9639" w:leader="dot"/>
        </w:tabs>
        <w:rPr>
          <w:rFonts w:hint="eastAsia" w:asciiTheme="majorEastAsia" w:hAnsiTheme="majorEastAsia" w:eastAsiaTheme="majorEastAsia" w:cstheme="majorEastAsia"/>
          <w:color w:val="auto"/>
          <w:sz w:val="36"/>
          <w:szCs w:val="36"/>
          <w:highlight w:val="none"/>
        </w:rPr>
      </w:pPr>
      <w:r>
        <w:rPr>
          <w:rFonts w:hint="eastAsia" w:asciiTheme="majorEastAsia" w:hAnsiTheme="majorEastAsia" w:eastAsiaTheme="majorEastAsia" w:cstheme="majorEastAsia"/>
          <w:color w:val="auto"/>
          <w:sz w:val="36"/>
          <w:szCs w:val="36"/>
          <w:highlight w:val="none"/>
        </w:rPr>
        <w:t xml:space="preserve">第二章 供应商须知</w:t>
      </w:r>
      <w:r>
        <w:rPr>
          <w:rFonts w:hint="eastAsia" w:asciiTheme="majorEastAsia" w:hAnsiTheme="majorEastAsia" w:eastAsiaTheme="majorEastAsia" w:cstheme="majorEastAsia"/>
          <w:color w:val="auto"/>
          <w:sz w:val="36"/>
          <w:szCs w:val="36"/>
          <w:highlight w:val="none"/>
        </w:rPr>
        <w:tab/>
      </w:r>
      <w:r>
        <w:rPr>
          <w:rFonts w:hint="eastAsia" w:asciiTheme="majorEastAsia" w:hAnsiTheme="majorEastAsia" w:eastAsiaTheme="majorEastAsia" w:cstheme="majorEastAsia"/>
          <w:color w:val="auto"/>
          <w:sz w:val="36"/>
          <w:szCs w:val="36"/>
          <w:highlight w:val="none"/>
        </w:rPr>
        <w:t xml:space="preserve">9</w:t>
      </w:r>
      <w:r/>
    </w:p>
    <w:p>
      <w:pPr>
        <w:pStyle w:val="924"/>
        <w:tabs>
          <w:tab w:val="right" w:pos="9639" w:leader="dot"/>
        </w:tabs>
        <w:rPr>
          <w:rFonts w:hint="eastAsia" w:asciiTheme="majorEastAsia" w:hAnsiTheme="majorEastAsia" w:eastAsiaTheme="majorEastAsia" w:cstheme="majorEastAsia"/>
          <w:color w:val="auto"/>
          <w:sz w:val="36"/>
          <w:szCs w:val="36"/>
          <w:highlight w:val="none"/>
        </w:rPr>
      </w:pPr>
      <w:r>
        <w:rPr>
          <w:rFonts w:hint="eastAsia" w:asciiTheme="majorEastAsia" w:hAnsiTheme="majorEastAsia" w:eastAsiaTheme="majorEastAsia" w:cstheme="majorEastAsia"/>
          <w:color w:val="auto"/>
          <w:sz w:val="36"/>
          <w:szCs w:val="36"/>
          <w:highlight w:val="none"/>
        </w:rPr>
        <w:t xml:space="preserve">第三章 采购需求</w:t>
      </w:r>
      <w:r>
        <w:rPr>
          <w:rFonts w:hint="eastAsia" w:asciiTheme="majorEastAsia" w:hAnsiTheme="majorEastAsia" w:eastAsiaTheme="majorEastAsia" w:cstheme="majorEastAsia"/>
          <w:color w:val="auto"/>
          <w:sz w:val="36"/>
          <w:szCs w:val="36"/>
          <w:highlight w:val="none"/>
        </w:rPr>
        <w:tab/>
      </w:r>
      <w:r>
        <w:rPr>
          <w:rFonts w:hint="eastAsia" w:asciiTheme="majorEastAsia" w:hAnsiTheme="majorEastAsia" w:eastAsiaTheme="majorEastAsia" w:cstheme="majorEastAsia"/>
          <w:color w:val="auto"/>
          <w:sz w:val="36"/>
          <w:szCs w:val="36"/>
          <w:highlight w:val="none"/>
        </w:rPr>
        <w:t xml:space="preserve">19</w:t>
      </w:r>
      <w:r/>
    </w:p>
    <w:p>
      <w:pPr>
        <w:pStyle w:val="924"/>
        <w:tabs>
          <w:tab w:val="right" w:pos="9639" w:leader="dot"/>
        </w:tabs>
        <w:rPr>
          <w:rFonts w:hint="eastAsia" w:asciiTheme="majorEastAsia" w:hAnsiTheme="majorEastAsia" w:eastAsiaTheme="majorEastAsia" w:cstheme="majorEastAsia"/>
          <w:color w:val="auto"/>
          <w:sz w:val="36"/>
          <w:szCs w:val="36"/>
          <w:highlight w:val="none"/>
        </w:rPr>
      </w:pPr>
      <w:r>
        <w:rPr>
          <w:rFonts w:hint="eastAsia" w:asciiTheme="majorEastAsia" w:hAnsiTheme="majorEastAsia" w:eastAsiaTheme="majorEastAsia" w:cstheme="majorEastAsia"/>
          <w:color w:val="auto"/>
          <w:sz w:val="36"/>
          <w:szCs w:val="36"/>
          <w:highlight w:val="none"/>
        </w:rPr>
        <w:t xml:space="preserve">第四章 评审办法及评分标准</w:t>
      </w:r>
      <w:r>
        <w:rPr>
          <w:rFonts w:hint="eastAsia" w:asciiTheme="majorEastAsia" w:hAnsiTheme="majorEastAsia" w:eastAsiaTheme="majorEastAsia" w:cstheme="majorEastAsia"/>
          <w:color w:val="auto"/>
          <w:sz w:val="36"/>
          <w:szCs w:val="36"/>
          <w:highlight w:val="none"/>
        </w:rPr>
        <w:tab/>
      </w:r>
      <w:r>
        <w:rPr>
          <w:rFonts w:hint="eastAsia" w:asciiTheme="majorEastAsia" w:hAnsiTheme="majorEastAsia" w:eastAsiaTheme="majorEastAsia" w:cstheme="majorEastAsia"/>
          <w:color w:val="auto"/>
          <w:sz w:val="36"/>
          <w:szCs w:val="36"/>
          <w:highlight w:val="none"/>
        </w:rPr>
        <w:t xml:space="preserve">82</w:t>
      </w:r>
      <w:r/>
    </w:p>
    <w:p>
      <w:pPr>
        <w:pStyle w:val="924"/>
        <w:tabs>
          <w:tab w:val="right" w:pos="9639" w:leader="dot"/>
        </w:tabs>
        <w:rPr>
          <w:rFonts w:hint="eastAsia" w:asciiTheme="majorEastAsia" w:hAnsiTheme="majorEastAsia" w:eastAsiaTheme="majorEastAsia" w:cstheme="majorEastAsia"/>
          <w:color w:val="auto"/>
          <w:sz w:val="36"/>
          <w:szCs w:val="36"/>
          <w:highlight w:val="none"/>
        </w:rPr>
      </w:pPr>
      <w:r>
        <w:rPr>
          <w:rFonts w:hint="eastAsia" w:asciiTheme="majorEastAsia" w:hAnsiTheme="majorEastAsia" w:eastAsiaTheme="majorEastAsia" w:cstheme="majorEastAsia"/>
          <w:color w:val="auto"/>
          <w:sz w:val="36"/>
          <w:szCs w:val="36"/>
          <w:highlight w:val="none"/>
        </w:rPr>
        <w:t xml:space="preserve">第五章 合同主要条款</w:t>
      </w:r>
      <w:r>
        <w:rPr>
          <w:rFonts w:hint="eastAsia" w:asciiTheme="majorEastAsia" w:hAnsiTheme="majorEastAsia" w:eastAsiaTheme="majorEastAsia" w:cstheme="majorEastAsia"/>
          <w:color w:val="auto"/>
          <w:sz w:val="36"/>
          <w:szCs w:val="36"/>
          <w:highlight w:val="none"/>
        </w:rPr>
        <w:tab/>
      </w:r>
      <w:r>
        <w:rPr>
          <w:rFonts w:hint="eastAsia" w:asciiTheme="majorEastAsia" w:hAnsiTheme="majorEastAsia" w:eastAsiaTheme="majorEastAsia" w:cstheme="majorEastAsia"/>
          <w:color w:val="auto"/>
          <w:sz w:val="36"/>
          <w:szCs w:val="36"/>
          <w:highlight w:val="none"/>
        </w:rPr>
        <w:t xml:space="preserve">87</w:t>
      </w:r>
      <w:r/>
    </w:p>
    <w:p>
      <w:pPr>
        <w:pStyle w:val="924"/>
        <w:tabs>
          <w:tab w:val="right" w:pos="9639" w:leader="dot"/>
        </w:tabs>
        <w:rPr>
          <w:rFonts w:hint="eastAsia" w:asciiTheme="majorEastAsia" w:hAnsiTheme="majorEastAsia" w:eastAsiaTheme="majorEastAsia" w:cstheme="majorEastAsia"/>
          <w:color w:val="auto"/>
          <w:sz w:val="36"/>
          <w:szCs w:val="36"/>
          <w:highlight w:val="none"/>
        </w:rPr>
      </w:pPr>
      <w:r>
        <w:rPr>
          <w:rFonts w:hint="eastAsia" w:asciiTheme="majorEastAsia" w:hAnsiTheme="majorEastAsia" w:eastAsiaTheme="majorEastAsia" w:cstheme="majorEastAsia"/>
          <w:color w:val="auto"/>
          <w:sz w:val="36"/>
          <w:szCs w:val="36"/>
          <w:highlight w:val="none"/>
        </w:rPr>
        <w:t xml:space="preserve">第六章 投标文件部分格式</w:t>
      </w:r>
      <w:r>
        <w:rPr>
          <w:rFonts w:hint="eastAsia" w:asciiTheme="majorEastAsia" w:hAnsiTheme="majorEastAsia" w:eastAsiaTheme="majorEastAsia" w:cstheme="majorEastAsia"/>
          <w:color w:val="auto"/>
          <w:sz w:val="36"/>
          <w:szCs w:val="36"/>
          <w:highlight w:val="none"/>
        </w:rPr>
        <w:tab/>
      </w:r>
      <w:r>
        <w:rPr>
          <w:rFonts w:hint="eastAsia" w:asciiTheme="majorEastAsia" w:hAnsiTheme="majorEastAsia" w:eastAsiaTheme="majorEastAsia" w:cstheme="majorEastAsia"/>
          <w:color w:val="auto"/>
          <w:sz w:val="36"/>
          <w:szCs w:val="36"/>
          <w:highlight w:val="none"/>
        </w:rPr>
        <w:t xml:space="preserve">96</w:t>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left="1533" w:firstLine="1767"/>
        <w:jc w:val="left"/>
        <w:rPr>
          <w:rFonts w:hint="eastAsia" w:ascii="宋体" w:hAnsi="宋体" w:eastAsia="宋体" w:cs="宋体"/>
          <w:b/>
          <w:color w:val="auto"/>
          <w:sz w:val="32"/>
          <w:highlight w:val="none"/>
        </w:rPr>
        <w:outlineLvl w:val="0"/>
      </w:pPr>
      <w:r/>
      <w:bookmarkStart w:id="0" w:name="_Toc20819"/>
      <w:r>
        <w:rPr>
          <w:rFonts w:hint="eastAsia" w:ascii="宋体" w:hAnsi="宋体" w:eastAsia="宋体" w:cs="宋体"/>
          <w:b/>
          <w:color w:val="auto"/>
          <w:sz w:val="32"/>
          <w:highlight w:val="none"/>
        </w:rPr>
        <w:t xml:space="preserve">第一章 招标公告</w:t>
      </w:r>
      <w:bookmarkEnd w:id="0"/>
      <w:r/>
      <w:r/>
    </w:p>
    <w:p>
      <w:pPr>
        <w:ind w:firstLine="420"/>
        <w:spacing w:line="440" w:lineRule="exact"/>
        <w:rPr>
          <w:rFonts w:hint="eastAsia" w:ascii="宋体" w:hAnsi="宋体" w:eastAsia="宋体" w:cs="宋体"/>
          <w:b/>
          <w:color w:val="auto"/>
          <w:szCs w:val="21"/>
          <w:highlight w:val="none"/>
        </w:rPr>
      </w:pPr>
      <w:r/>
      <w:bookmarkStart w:id="1" w:name="OLE_LINK1"/>
      <w:r>
        <w:rPr>
          <w:rFonts w:hint="eastAsia" w:ascii="宋体" w:hAnsi="宋体" w:eastAsia="宋体" w:cs="宋体"/>
          <w:color w:val="auto"/>
          <w:highlight w:val="none"/>
        </w:rPr>
        <w:t xml:space="preserve">受</w:t>
      </w:r>
      <w:r>
        <w:rPr>
          <w:rFonts w:hint="eastAsia" w:ascii="宋体" w:hAnsi="宋体" w:eastAsia="宋体" w:cs="宋体"/>
          <w:color w:val="auto"/>
          <w:highlight w:val="none"/>
          <w:u w:val="single"/>
        </w:rPr>
        <w:t xml:space="preserve">苏州市吴江区第四人民医院</w:t>
      </w:r>
      <w:r>
        <w:rPr>
          <w:rFonts w:hint="eastAsia" w:ascii="宋体" w:hAnsi="宋体" w:eastAsia="宋体" w:cs="宋体"/>
          <w:color w:val="auto"/>
          <w:highlight w:val="none"/>
        </w:rPr>
        <w:t xml:space="preserve">的委托，</w:t>
      </w:r>
      <w:r>
        <w:rPr>
          <w:rFonts w:hint="eastAsia" w:ascii="宋体" w:hAnsi="宋体" w:eastAsia="宋体" w:cs="宋体"/>
          <w:color w:val="auto"/>
          <w:highlight w:val="none"/>
          <w:u w:val="single"/>
        </w:rPr>
        <w:t xml:space="preserve">江苏祥和项目管理有限公司</w:t>
      </w:r>
      <w:r>
        <w:rPr>
          <w:rFonts w:hint="eastAsia" w:ascii="宋体" w:hAnsi="宋体" w:eastAsia="宋体" w:cs="宋体"/>
          <w:color w:val="auto"/>
          <w:highlight w:val="none"/>
        </w:rPr>
        <w:t xml:space="preserve">就其所需的</w:t>
      </w:r>
      <w:r>
        <w:rPr>
          <w:rFonts w:hint="eastAsia" w:ascii="宋体" w:hAnsi="宋体" w:eastAsia="宋体" w:cs="宋体"/>
          <w:color w:val="auto"/>
          <w:highlight w:val="none"/>
          <w:u w:val="single"/>
        </w:rPr>
        <w:t xml:space="preserve">吴江四院扩建工程-智能化二标段</w:t>
      </w:r>
      <w:r>
        <w:rPr>
          <w:rFonts w:hint="eastAsia" w:ascii="宋体" w:hAnsi="宋体" w:eastAsia="宋体" w:cs="宋体"/>
          <w:color w:val="auto"/>
          <w:highlight w:val="none"/>
        </w:rPr>
        <w:t xml:space="preserve">采用</w:t>
      </w:r>
      <w:r>
        <w:rPr>
          <w:rFonts w:hint="eastAsia" w:ascii="宋体" w:hAnsi="宋体" w:eastAsia="宋体" w:cs="宋体"/>
          <w:color w:val="auto"/>
          <w:highlight w:val="none"/>
          <w:u w:val="single"/>
        </w:rPr>
        <w:t xml:space="preserve">公开招标</w:t>
      </w:r>
      <w:r>
        <w:rPr>
          <w:rFonts w:hint="eastAsia" w:ascii="宋体" w:hAnsi="宋体" w:eastAsia="宋体" w:cs="宋体"/>
          <w:color w:val="auto"/>
          <w:highlight w:val="none"/>
        </w:rPr>
        <w:t xml:space="preserve">方式进行采购，欢迎符合资格条件的供应商前来参加。</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一、项目基本情况</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rPr>
          <w:rFonts w:hint="eastAsia" w:ascii="宋体" w:hAnsi="宋体" w:eastAsia="宋体" w:cs="宋体"/>
          <w:color w:val="auto"/>
          <w:szCs w:val="21"/>
          <w:highlight w:val="none"/>
        </w:rPr>
        <w:t xml:space="preserve">JSXH2026-ZZ-GKZB-027</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项目名称：吴江四院扩建工程-智能化二标段</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采购方式：公开招标</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预算金额：</w:t>
      </w:r>
      <w:r>
        <w:rPr>
          <w:rFonts w:hint="eastAsia" w:ascii="宋体" w:hAnsi="宋体" w:eastAsia="宋体" w:cs="宋体"/>
          <w:color w:val="auto"/>
          <w:szCs w:val="21"/>
          <w:highlight w:val="none"/>
        </w:rPr>
        <w:t xml:space="preserve">人民币玖佰</w:t>
      </w:r>
      <w:r>
        <w:rPr>
          <w:rFonts w:hint="eastAsia" w:ascii="宋体" w:hAnsi="宋体" w:cs="宋体"/>
          <w:color w:val="auto"/>
          <w:szCs w:val="21"/>
          <w:highlight w:val="none"/>
          <w:lang w:val="en-US" w:eastAsia="zh-CN"/>
        </w:rPr>
        <w:t xml:space="preserve">肆</w:t>
      </w:r>
      <w:r>
        <w:rPr>
          <w:rFonts w:hint="eastAsia" w:ascii="宋体" w:hAnsi="宋体" w:eastAsia="宋体" w:cs="宋体"/>
          <w:color w:val="auto"/>
          <w:szCs w:val="21"/>
          <w:highlight w:val="none"/>
        </w:rPr>
        <w:t xml:space="preserve">拾</w:t>
      </w:r>
      <w:r>
        <w:rPr>
          <w:rFonts w:hint="eastAsia" w:ascii="宋体" w:hAnsi="宋体" w:cs="宋体"/>
          <w:color w:val="auto"/>
          <w:szCs w:val="21"/>
          <w:highlight w:val="none"/>
          <w:lang w:val="en-US" w:eastAsia="zh-CN"/>
        </w:rPr>
        <w:t xml:space="preserve">陆</w:t>
      </w:r>
      <w:r>
        <w:rPr>
          <w:rFonts w:hint="eastAsia" w:ascii="宋体" w:hAnsi="宋体" w:eastAsia="宋体" w:cs="宋体"/>
          <w:color w:val="auto"/>
          <w:szCs w:val="21"/>
          <w:highlight w:val="none"/>
        </w:rPr>
        <w:t xml:space="preserve">万</w:t>
      </w:r>
      <w:r>
        <w:rPr>
          <w:rFonts w:hint="eastAsia" w:ascii="宋体" w:hAnsi="宋体" w:cs="宋体"/>
          <w:color w:val="auto"/>
          <w:szCs w:val="21"/>
          <w:highlight w:val="none"/>
          <w:lang w:val="en-US" w:eastAsia="zh-CN"/>
        </w:rPr>
        <w:t xml:space="preserve">玖仟柒佰壹拾柒元叁角</w:t>
      </w:r>
      <w:r>
        <w:rPr>
          <w:rFonts w:hint="eastAsia" w:ascii="宋体" w:hAnsi="宋体" w:eastAsia="宋体" w:cs="宋体"/>
          <w:color w:val="auto"/>
          <w:szCs w:val="21"/>
          <w:highlight w:val="none"/>
        </w:rPr>
        <w:t xml:space="preserve">（小写：</w:t>
      </w:r>
      <w:r>
        <w:rPr>
          <w:rFonts w:hint="eastAsia" w:ascii="宋体" w:hAnsi="宋体" w:cs="宋体"/>
          <w:color w:val="auto"/>
          <w:szCs w:val="21"/>
          <w:highlight w:val="none"/>
          <w:lang w:val="en-US" w:eastAsia="zh-CN"/>
        </w:rPr>
        <w:t xml:space="preserve">9469717</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元）</w:t>
      </w:r>
      <w:r/>
    </w:p>
    <w:p>
      <w:pPr>
        <w:ind w:firstLine="422"/>
        <w:jc w:val="both"/>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最高限价：人民币玖佰肆拾陆万玖仟柒佰壹拾柒元叁角（小写：9469717.30元）。</w:t>
      </w:r>
      <w:r/>
    </w:p>
    <w:p>
      <w:pPr>
        <w:ind w:firstLine="422"/>
        <w:jc w:val="both"/>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投标报价超过最高限价的，作无效投标处理（《政府采购货物和服务招标投标管理办法》第十二条、第十三条）。</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采购需求：吴江四院扩建工程-智能化二标段</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t xml:space="preserve">（具体详见采购文件第三章）</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履行期限：从合同签订之日开始至甲方验收通过（本项目计划于2026年12月20日前完成安装、调试并交付使用，具体按合同约定）。经现场勘查，本项目实施条件已具备，具备按期交付的基础；投标人应在投标前自行踏勘现场并充分了解现场施工条件、交叉作业环境及医院运行要求。除因采购人原因或者不可抗力外，因投标人自身原因导致无法在2026年12月20日前完成安装、调试并交付使用的，由投标人承担违约责任。</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不接受联合体投标。中标后不得转包；主体、关键性工作必须由中标人自行完成，非主体、非关键性工作经采购人书面同意后可以依法分包，且不得再次分包（《中华人民共和国政府采购法》第四十八条）。</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二、申请人的资格要求</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1.满足《中华人民共和国政府采购法》第二十二条规定：</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1.1具有独立承担民事责任的能力；</w:t>
      </w:r>
      <w:r/>
    </w:p>
    <w:p>
      <w:pPr>
        <w:ind w:firstLine="420"/>
        <w:spacing w:line="440" w:lineRule="exact"/>
        <w:tabs>
          <w:tab w:val="left" w:pos="5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1.2具有良好的商业信誉和健全的财务会计制度；</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1.3具有履行合同所必需的设备和专业技术能力；</w:t>
      </w:r>
      <w:r/>
    </w:p>
    <w:p>
      <w:pPr>
        <w:ind w:firstLine="420"/>
        <w:spacing w:line="440" w:lineRule="exact"/>
        <w:tabs>
          <w:tab w:val="left" w:pos="5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1.4有依法缴纳税收和社会保障资金的良好记录；</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1.5参加政府采购活动前三年内，在经营活动中没有重大违法记录；</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1.6法律、行政法规规定的其他条件。</w:t>
      </w:r>
      <w:r/>
    </w:p>
    <w:p>
      <w:pPr>
        <w:ind w:firstLine="424"/>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落实政府采购政策需满足的资格要求：经主管预算单位组织评估，本项目采购标的为医院智能化系统设备及相关安装、调试、系统集成服务，技术复杂、专业集成度高，按《政府采购促进中小企业发展管理办法》（财库〔2020〕46号）第六条规定预留采购份额无法确保充分供应、充分竞争，属于该条规定的“预留采购份额无法确保充分供应、充分竞争，或者存在可能</w:t>
      </w:r>
      <w:r>
        <w:rPr>
          <w:rFonts w:hint="eastAsia" w:ascii="宋体" w:hAnsi="宋体" w:eastAsia="宋体" w:cs="宋体"/>
          <w:color w:val="auto"/>
          <w:szCs w:val="21"/>
          <w:highlight w:val="none"/>
        </w:rPr>
        <w:t xml:space="preserve">影响政府采购目标实现的情形”，故本项目不专门面向中小企业预留采购份额。本项目对小型和微型企业（含视同小微企业的监狱企业、残疾人福利性单位）的报价给予10%的价格扣除，用扣除后的价格参与评审；接受大中型企业向小微企业分包，且分包意向协议约定小微企业合同份额占合同总金额30%以上的，给予4%的价格扣除。价格扣除比例对小型企业和微型企业同等对待，不作区分。本项目采购标的对应的中小企业划分标准所属行业为工业（制造业）。投标人拟享受价格扣除的，应当按照第六章格式提供《中小企业声明函》，未提供的不得享受。具体见第四章。</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3.本项目的特定资格要求：无。本项目采购本国产品，不接受进口产品（《政府采购进口产品管理办法》财库〔2007〕119号；依法经财政部门审核同意采购进口产品的除外）。</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4.其他要求：</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单位负责人为同一人或者存在直接控股、管理关系的不同供应商（包含法定代表人为同一个人的两个及两个以上法人，母公司、全资子公司及其控股公司），不得参加同一合同项下的政府采购活动。存在以上情形的，其投标无效。</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未被“信用中国”网站（www.creditchina.gov.cn）列入失信被执行人、重大税收违法失信主体、政府采购严重违法失信行为记录名单。投标人的信用记录由采购人、采购代理机构于投标截止时间查询并留存证据，投标人无需提供查询记录（《财政部关于促进政府采购公平竞争优化营商环境的通知》财库〔2019〕38号）。</w:t>
      </w:r>
      <w:r/>
    </w:p>
    <w:p>
      <w:pPr>
        <w:ind w:firstLine="422"/>
        <w:spacing w:line="440" w:lineRule="exact"/>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rPr>
        <w:t xml:space="preserve">三、采购文件的获取</w:t>
      </w:r>
      <w:r/>
    </w:p>
    <w:p>
      <w:pPr>
        <w:ind w:firstLine="420"/>
        <w:jc w:val="left"/>
        <w:spacing w:line="400" w:lineRule="exact"/>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1.本项目实行供应商网上报名，网上报名截止时间2026年11月11日17：30（北京时间）。报名截止时间不得晚于投标截止时间。</w:t>
      </w:r>
      <w:r/>
    </w:p>
    <w:p>
      <w:pPr>
        <w:ind w:firstLine="422"/>
        <w:jc w:val="left"/>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2.报名流程：</w:t>
      </w:r>
      <w:r/>
    </w:p>
    <w:p>
      <w:pPr>
        <w:ind w:firstLine="422"/>
        <w:jc w:val="left"/>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（1）CA证书办理 </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供应商参</w:t>
      </w:r>
      <w:r>
        <w:rPr>
          <w:rFonts w:hint="eastAsia" w:ascii="宋体" w:hAnsi="宋体" w:eastAsia="宋体" w:cs="宋体"/>
          <w:color w:val="auto"/>
          <w:szCs w:val="21"/>
          <w:highlight w:val="none"/>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p>
    <w:p>
      <w:pPr>
        <w:ind w:firstLine="422"/>
        <w:jc w:val="left"/>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（2）参与采购活动 </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2"/>
        <w:jc w:val="left"/>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（3）电子投标准备 </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在“苏采云”系统中操作参与项目后，必须在“已参与项目”界面中下载电子采购文件（后缀名为“kedt”）并导入政府采购客户端工具后方可进行投标文件制作和提交（具体详见《苏采云系统供应商操作手册》，网址链接：https</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//czju.suzhou.gov.cn/zfcg/html/content/20231220161910031.shtml）。 </w:t>
      </w:r>
      <w:r/>
    </w:p>
    <w:p>
      <w:pPr>
        <w:ind w:firstLine="422"/>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（4）补充通知</w:t>
      </w:r>
      <w:r>
        <w:rPr>
          <w:rFonts w:hint="eastAsia" w:ascii="宋体" w:hAnsi="宋体" w:eastAsia="宋体" w:cs="宋体"/>
          <w:color w:val="auto"/>
          <w:szCs w:val="21"/>
          <w:highlight w:val="none"/>
        </w:rPr>
        <w:t xml:space="preserve">（如有）。成功获取招标文件的供应商通过“苏州市政府采购网”或“苏采云”系统自行查看所报项目的补充通知。</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3.在网上报名和招标过程中如有疑问，请按以下方式联系：</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注册咨询：18261002950； </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CA技术咨询电话：400-608-6099； </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签章使用问题：025-83633811、025-83633812、15380932027、15371015030； </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系统使用指导与咨询：联系电话：18261002950；QQ：3048755361、1315179389、895706745。</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四、提交投标文件截止时间和地点</w:t>
      </w:r>
      <w:r/>
    </w:p>
    <w:p>
      <w:pPr>
        <w:pStyle w:val="914"/>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1.递交投标文件截止时间：2026年11月12日09：30（北京时间）；</w:t>
      </w:r>
      <w:r/>
    </w:p>
    <w:p>
      <w:pPr>
        <w:pStyle w:val="914"/>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2.地点：</w:t>
      </w:r>
      <w:r>
        <w:rPr>
          <w:rFonts w:hint="eastAsia" w:ascii="宋体" w:hAnsi="宋体" w:eastAsia="宋体" w:cs="宋体"/>
          <w:b/>
          <w:bCs/>
          <w:color w:val="auto"/>
          <w:sz w:val="21"/>
          <w:szCs w:val="21"/>
          <w:highlight w:val="none"/>
        </w:rPr>
        <w:t xml:space="preserve">“苏采云”系统（网址：http</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//jszfcg.jsczt.cn）</w:t>
      </w:r>
      <w:r>
        <w:rPr>
          <w:rFonts w:hint="eastAsia" w:ascii="宋体" w:hAnsi="宋体" w:eastAsia="宋体" w:cs="宋体"/>
          <w:bCs/>
          <w:color w:val="auto"/>
          <w:sz w:val="21"/>
          <w:szCs w:val="21"/>
          <w:highlight w:val="none"/>
        </w:rPr>
        <w:t xml:space="preserve">。投标文件网上递交，不需要现场参加采购活动，无需提供纸质投标文件。</w:t>
      </w:r>
      <w:r/>
    </w:p>
    <w:p>
      <w:pPr>
        <w:pStyle w:val="914"/>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bCs/>
          <w:color w:val="auto"/>
          <w:sz w:val="21"/>
          <w:szCs w:val="21"/>
          <w:highlight w:val="none"/>
        </w:rPr>
        <w:t xml:space="preserve">供应商应充分考虑网络环境、网络带宽等风险因素，如因供应商自身原因造成的电子投标文件上传不成功由供应商自行承担全部责任。</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五、开启</w:t>
      </w:r>
      <w:r/>
    </w:p>
    <w:p>
      <w:pPr>
        <w:pStyle w:val="914"/>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1.时间：2026年11月12日09：30（北京时间）；</w:t>
      </w:r>
      <w:r/>
    </w:p>
    <w:p>
      <w:pPr>
        <w:pStyle w:val="914"/>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2.地点：“苏采云”系统（网址：http</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//jszfcg.jsczt.cn/）</w:t>
      </w:r>
      <w:r/>
    </w:p>
    <w:p>
      <w:pPr>
        <w:pStyle w:val="914"/>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highlight w:val="none"/>
        </w:rPr>
        <w:t xml:space="preserve">本项目为不见面招标项目，</w:t>
      </w:r>
      <w:r>
        <w:rPr>
          <w:rFonts w:hint="eastAsia" w:ascii="宋体" w:hAnsi="宋体" w:eastAsia="宋体" w:cs="宋体"/>
          <w:b/>
          <w:color w:val="auto"/>
          <w:sz w:val="21"/>
          <w:szCs w:val="21"/>
          <w:highlight w:val="none"/>
        </w:rPr>
        <w:t xml:space="preserve">开</w:t>
      </w:r>
      <w:r>
        <w:rPr>
          <w:rFonts w:hint="eastAsia" w:ascii="宋体" w:hAnsi="宋体" w:eastAsia="宋体" w:cs="宋体"/>
          <w:b/>
          <w:color w:val="auto"/>
          <w:szCs w:val="21"/>
          <w:highlight w:val="none"/>
        </w:rPr>
        <w:t xml:space="preserve">启</w:t>
      </w:r>
      <w:r>
        <w:rPr>
          <w:rFonts w:hint="eastAsia" w:ascii="宋体" w:hAnsi="宋体" w:eastAsia="宋体" w:cs="宋体"/>
          <w:b/>
          <w:color w:val="auto"/>
          <w:sz w:val="21"/>
          <w:szCs w:val="21"/>
          <w:highlight w:val="none"/>
        </w:rPr>
        <w:t xml:space="preserve">阶段供应商在【供应商解密】环节必须使用 CA证书解密电子</w:t>
      </w:r>
      <w:r>
        <w:rPr>
          <w:rFonts w:hint="eastAsia" w:ascii="宋体" w:hAnsi="宋体" w:eastAsia="宋体" w:cs="宋体"/>
          <w:b/>
          <w:color w:val="auto"/>
          <w:szCs w:val="21"/>
          <w:highlight w:val="none"/>
        </w:rPr>
        <w:t xml:space="preserve">投标文件，如在系统规定的解密时间内未能完成解密的视为放弃参与本项目。</w:t>
      </w:r>
      <w:r/>
    </w:p>
    <w:p>
      <w:pPr>
        <w:pStyle w:val="914"/>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请供应商确保电脑、系统及其他设备（视频输入输出设备等）无误，且开启直至项目结束始终保持系统在线状态。</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六、公告期限</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本公告发布之日起5个工作日（《政府采购货物和服务招标投标管理办法》第十六条）。自招标文件开始发出之日起至投标人提交投标文件截止之日止，不得少于20日（《中华人民共和国政府采购法》第三十五条）；招标文件（电子）免费提供（财库〔2019〕38号）。</w:t>
      </w:r>
      <w:r/>
    </w:p>
    <w:p>
      <w:pPr>
        <w:ind w:firstLine="422"/>
        <w:spacing w:line="440" w:lineRule="exact"/>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rPr>
        <w:t xml:space="preserve">七、其他补充事宜</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1.本项目获取采购文件截止日期之后仍可以下载采购文件并参加投标，但采购人、采购代理机构不再承担因投标人未及时获取澄清、修改信息而产生的责任。</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本项目采购信息在江苏政府采购网（省级以上人民政府财政部门指定的政府采购信息发布媒体）发布；中国招标投标公共服务平台同步发布，但对政府采购当事人具有约束力的信息以江苏政府采购网发布的信息为准（《中华人民共和国政府采购法实施条例》第八条）。</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3.本项目由</w:t>
      </w:r>
      <w:r>
        <w:rPr>
          <w:rFonts w:hint="eastAsia" w:ascii="宋体" w:hAnsi="宋体" w:eastAsia="宋体" w:cs="宋体"/>
          <w:color w:val="auto"/>
          <w:szCs w:val="21"/>
          <w:highlight w:val="none"/>
        </w:rPr>
        <w:t xml:space="preserve">江苏祥和项目管理有限公司</w:t>
      </w:r>
      <w:r>
        <w:rPr>
          <w:rFonts w:hint="eastAsia" w:ascii="宋体" w:hAnsi="宋体" w:eastAsia="宋体" w:cs="宋体"/>
          <w:bCs/>
          <w:color w:val="auto"/>
          <w:szCs w:val="21"/>
          <w:highlight w:val="none"/>
        </w:rPr>
        <w:t xml:space="preserve">代理。</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4.质疑联系方式：</w:t>
      </w:r>
      <w:r/>
    </w:p>
    <w:p>
      <w:pPr>
        <w:ind w:left="372" w:firstLine="424"/>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疑按《中华人民共和国财政部令第94号－－政府采购质疑和投诉办法》中相关规定提出，供应商应在法定质疑期内一次性提出针对同一采购程序环节的质疑，质疑函（必须附投标供应商确认函）现场提交或邮寄至本公司。供应商打印、保留“投标供应商确认函”质疑时与质疑函一并提交。</w:t>
      </w:r>
      <w:r/>
    </w:p>
    <w:p>
      <w:pPr>
        <w:ind w:left="372" w:firstLine="1"/>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rPr>
        <w:t xml:space="preserve">苏州市吴江区领袖云谷21栋1户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项目联系人：董毅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电话：18762303034</w:t>
      </w:r>
      <w:r/>
    </w:p>
    <w:p>
      <w:pPr>
        <w:ind w:firstLine="422"/>
        <w:jc w:val="both"/>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5.供应商对质疑答复不满意，或者采购人、采购代理机构未在规定时间内作出答复的，可以在答复期满后15个工作日内向本级财政部门提起投诉（《政府采购质疑和投诉办法》财政部令第94号）。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八、对本次招标提出询问，请按以下方式联系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名称：苏州市吴江区第四人民医院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地址：江苏省苏州市吴江区震泽镇镇南一路1333号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联系方式：0512-63192201</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2.采购代理机构信息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名称：江苏祥和项目管理有限公司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地址：苏州市吴江区领袖云谷21栋1户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联系方式：董毅  18762303034</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3.项目联系方式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项目联系人：董毅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电话：18762303034</w:t>
      </w:r>
      <w:r/>
    </w:p>
    <w:p>
      <w:pPr>
        <w:ind w:firstLine="420"/>
        <w:jc w:val="left"/>
        <w:spacing w:line="440" w:lineRule="exact"/>
        <w:tabs>
          <w:tab w:val="left" w:pos="5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本次采购的有关信息将在</w:t>
      </w:r>
      <w:r>
        <w:rPr>
          <w:rFonts w:hint="eastAsia" w:ascii="宋体" w:hAnsi="宋体" w:eastAsia="宋体" w:cs="宋体"/>
          <w:bCs/>
          <w:color w:val="auto"/>
          <w:szCs w:val="21"/>
          <w:highlight w:val="none"/>
        </w:rPr>
        <w:t xml:space="preserve">江苏政府采购网、</w:t>
      </w:r>
      <w:r>
        <w:rPr>
          <w:rFonts w:hint="eastAsia" w:ascii="宋体" w:hAnsi="宋体" w:eastAsia="宋体" w:cs="宋体"/>
          <w:color w:val="auto"/>
          <w:szCs w:val="21"/>
          <w:highlight w:val="none"/>
        </w:rPr>
        <w:t xml:space="preserve">中国招标投标公共服务平台</w:t>
      </w:r>
      <w:r>
        <w:rPr>
          <w:rFonts w:hint="eastAsia" w:ascii="宋体" w:hAnsi="宋体" w:eastAsia="宋体" w:cs="宋体"/>
          <w:color w:val="auto"/>
          <w:szCs w:val="21"/>
          <w:highlight w:val="none"/>
        </w:rPr>
        <w:t xml:space="preserve">媒体上发布，敬请留意，请各单位获取本次采购文件后，认真阅读各项内容，进行必要准备工作，按文件的要求详细填写和编制投标文件，并按以上确定的时间、地点准时参加投标。</w:t>
      </w:r>
      <w:bookmarkEnd w:id="1"/>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ind w:left="1533" w:firstLine="1767"/>
        <w:jc w:val="left"/>
        <w:rPr>
          <w:rFonts w:hint="eastAsia" w:ascii="宋体" w:hAnsi="宋体" w:eastAsia="宋体" w:cs="宋体"/>
          <w:b/>
          <w:color w:val="auto"/>
          <w:sz w:val="32"/>
          <w:highlight w:val="none"/>
        </w:rPr>
        <w:outlineLvl w:val="0"/>
      </w:pPr>
      <w:r/>
      <w:bookmarkStart w:id="2" w:name="_Toc11589"/>
      <w:r>
        <w:rPr>
          <w:rFonts w:hint="eastAsia" w:ascii="宋体" w:hAnsi="宋体" w:eastAsia="宋体" w:cs="宋体"/>
          <w:b/>
          <w:color w:val="auto"/>
          <w:sz w:val="32"/>
          <w:highlight w:val="none"/>
        </w:rPr>
        <w:t xml:space="preserve">第二章 供应商须知</w:t>
      </w:r>
      <w:bookmarkEnd w:id="2"/>
      <w:r/>
      <w:r/>
    </w:p>
    <w:p>
      <w:pPr>
        <w:ind w:firstLine="422"/>
        <w:spacing w:line="400" w:lineRule="exact"/>
        <w:rPr>
          <w:rFonts w:hint="eastAsia" w:ascii="宋体" w:hAnsi="宋体" w:eastAsia="宋体" w:cs="宋体"/>
          <w:bCs/>
          <w:color w:val="auto"/>
          <w:szCs w:val="21"/>
          <w:highlight w:val="none"/>
        </w:rPr>
      </w:pPr>
      <w:r>
        <w:rPr>
          <w:rFonts w:hint="eastAsia" w:ascii="宋体" w:hAnsi="宋体" w:eastAsia="宋体" w:cs="宋体"/>
          <w:b/>
          <w:bCs/>
          <w:color w:val="auto"/>
          <w:szCs w:val="21"/>
          <w:highlight w:val="none"/>
        </w:rPr>
        <w:t xml:space="preserve">1.转包、分包与投标费用</w:t>
      </w:r>
      <w:r/>
    </w:p>
    <w:p>
      <w:pPr>
        <w:ind w:firstLine="422"/>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本项目不允许转包。中标人不得将主体、关键性工作分包；非主体、非关键性工作确需分包的，应当在投标文件中载明分包承担主体，经采购人书面同意后方可分包，分包承担主体应当具备相应资格条件且不得再次分包。中标人就采购项目和分包项目向采购人负责，分包供应商就分包项目承担责任（《中华人民共和国政府采购法》第四十八条、《政府采购货物和服务招标投标管理办法》第三十五条）。</w:t>
      </w:r>
      <w:r/>
    </w:p>
    <w:p>
      <w:pPr>
        <w:pStyle w:val="914"/>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1.2.无论投标过程中的做法和结果如何，投标人自行承担所有与参加投标有关的全部费用。</w:t>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2.招标文件的构成</w:t>
      </w:r>
      <w:r/>
    </w:p>
    <w:p>
      <w:pPr>
        <w:pStyle w:val="955"/>
        <w:ind w:firstLine="31680"/>
        <w:spacing w:line="400" w:lineRule="exact"/>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 xml:space="preserve">2.1.招标文件由下列内容组成：</w:t>
      </w:r>
      <w:r/>
    </w:p>
    <w:p>
      <w:pPr>
        <w:pStyle w:val="955"/>
        <w:ind w:firstLine="31680"/>
        <w:spacing w:line="400" w:lineRule="exact"/>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 xml:space="preserve">第一章 招标公告</w:t>
      </w:r>
      <w:r/>
    </w:p>
    <w:p>
      <w:pPr>
        <w:pStyle w:val="955"/>
        <w:ind w:firstLine="31680"/>
        <w:spacing w:line="400" w:lineRule="exact"/>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 xml:space="preserve">第二章 供应商须知</w:t>
      </w:r>
      <w:r/>
    </w:p>
    <w:p>
      <w:pPr>
        <w:pStyle w:val="955"/>
        <w:ind w:firstLine="31680"/>
        <w:spacing w:line="400" w:lineRule="exact"/>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 xml:space="preserve">第三章 采购需求</w:t>
      </w:r>
      <w:r/>
    </w:p>
    <w:p>
      <w:pPr>
        <w:pStyle w:val="955"/>
        <w:ind w:firstLine="31680"/>
        <w:spacing w:line="400" w:lineRule="exact"/>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 xml:space="preserve">第四章 评审办法及评分标准</w:t>
      </w:r>
      <w:r/>
    </w:p>
    <w:p>
      <w:pPr>
        <w:pStyle w:val="955"/>
        <w:ind w:firstLine="31680"/>
        <w:spacing w:line="400" w:lineRule="exact"/>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 xml:space="preserve">第五章 合同主要条款</w:t>
      </w:r>
      <w:r/>
    </w:p>
    <w:p>
      <w:pPr>
        <w:pStyle w:val="955"/>
        <w:ind w:firstLine="31680"/>
        <w:spacing w:line="400" w:lineRule="exact"/>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 xml:space="preserve">第六章 投标文件部分格式</w:t>
      </w:r>
      <w:r/>
    </w:p>
    <w:p>
      <w:pPr>
        <w:pStyle w:val="914"/>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投标人获取招标文件后，应仔细检查招标文件的所有内容，如有残缺等问题应在获取招标文件后7个工作日内向采购人、采购代理机构提出，否则，由此产生的影响由投标人自行承担。投标人同时应认真审阅招标文件中所有的事项、格式、条款和规范要求等，若投标人的投标文件没有按招标文件要求提交全部资料，或投标文件没有对招标文件做出实质性响应，其风险由投标人自行承担，该投标将被认定为无效投标。</w:t>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3.招标文件的澄清和修改</w:t>
      </w:r>
      <w:r/>
    </w:p>
    <w:p>
      <w:pPr>
        <w:pStyle w:val="914"/>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提交投标文件截止时间前，采购人、采购代理机构可以对已发出的招标文件进行必要的澄清或者修改，但不得改变采购标的和资格条件。澄清或者修改的内容可能影响投标文件编制的，采购人、采购代理机构应当在投标截止时间至少15日前，以书面形式（含通过“苏采云”系统发布）通知所有获取招标文件的潜在投标人；不足15日的，采购人、采购代理机构应当顺延提交投标文件的截止时间（《政府采购货物和服务招标投标管理办法》第二十七条）。</w:t>
      </w:r>
      <w:r/>
    </w:p>
    <w:p>
      <w:pPr>
        <w:pStyle w:val="914"/>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3.2.招标文件的澄清、修改等内容与招标文件在同一内容的表述上不一致时，以最后发出的澄清、修改公告为准。</w:t>
      </w:r>
      <w:r/>
    </w:p>
    <w:p>
      <w:pPr>
        <w:pStyle w:val="914"/>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3.3.招标文件的澄清、修改等内容均在江苏政府采购网（省级以上财政部门指定的政府采购信息发布媒体）上发布，作为招标文件的组成部分，对投标人起约束作用。</w:t>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4.投标文件计量单位和使用文字</w:t>
      </w:r>
      <w:r/>
    </w:p>
    <w:p>
      <w:pPr>
        <w:pStyle w:val="914"/>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4.1.投标文件中所使用的计量单位，除招标文件中有特殊要求外，均应使用中华人民共和国法定计量单位。</w:t>
      </w:r>
      <w:r/>
    </w:p>
    <w:p>
      <w:pPr>
        <w:pStyle w:val="914"/>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投标文件应使用中文编制，投标文件中使用其他文字的，必须附有中文译本，且以中文译本为准。对于未附有中文译本和中文译本不准确的投标文件可能引起的对投标人不利的后果，采购人、采购代理机构概不负责。</w:t>
      </w:r>
      <w:r/>
    </w:p>
    <w:p>
      <w:pPr>
        <w:pStyle w:val="914"/>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14"/>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5.★投标文件的组成及要求</w:t>
      </w:r>
      <w:r/>
    </w:p>
    <w:p>
      <w:pPr>
        <w:pStyle w:val="914"/>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5.1封面</w:t>
      </w:r>
      <w:r/>
    </w:p>
    <w:p>
      <w:pPr>
        <w:pStyle w:val="914"/>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5.2开标一览表（报价表）（格式见第六章格式3）及分项报价明细表（格式自拟，随报价表一并提交）；</w:t>
      </w:r>
      <w:r/>
    </w:p>
    <w:p>
      <w:pPr>
        <w:pStyle w:val="914"/>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5.3资格审查资料</w:t>
      </w:r>
      <w:r/>
    </w:p>
    <w:p>
      <w:pPr>
        <w:pStyle w:val="914"/>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5.3.1具有独立承担民事责任的能力证明。提供营业执照或者事业单位法人证书等主体资格证明材料（复印件加盖电子公章）；</w:t>
      </w:r>
      <w:r/>
    </w:p>
    <w:p>
      <w:pPr>
        <w:pStyle w:val="914"/>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5.3.2具有良好的商业信誉和健全的财务会计制度证明（提供最近一期财务报告；其他组织、自然人及成立未满一年的法人应提供银行出具的资信证明）；</w:t>
      </w:r>
      <w:r/>
    </w:p>
    <w:p>
      <w:pPr>
        <w:pStyle w:val="914"/>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5.3.3有依法缴纳税收和社会保障资金的良好记录（提供提交投标文件截止时间前一年内至少一个月依法缴纳税收及缴纳社会保障资金的证明材料，如相关主管部门证明或者银行代扣证明。投标人如依法享受缓缴、免缴税收、社会保障资金的，应提供相关主管部门出具的证明材料）；</w:t>
      </w:r>
      <w:r/>
    </w:p>
    <w:p>
      <w:pPr>
        <w:pStyle w:val="914"/>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5.3.4具有履行合同所必需的设备和专业技术能力的证明材料或者承诺（格式见第六章）；</w:t>
      </w:r>
      <w:r/>
    </w:p>
    <w:p>
      <w:pPr>
        <w:pStyle w:val="914"/>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5.3.5参加政府采购活动前三年内在经营活动中没有重大违法记录的书面声明函（格式见第六章）；</w:t>
      </w:r>
      <w:r/>
    </w:p>
    <w:p>
      <w:pPr>
        <w:pStyle w:val="914"/>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5.3.6法律、行政法规规定的其他条件的证明材料或者承诺；</w:t>
      </w:r>
      <w:r/>
    </w:p>
    <w:p>
      <w:pPr>
        <w:pStyle w:val="914"/>
        <w:ind w:firstLine="422"/>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5.3.7本项目的特定资格要求：无。</w:t>
      </w:r>
      <w:r/>
    </w:p>
    <w:p>
      <w:pPr>
        <w:pStyle w:val="914"/>
        <w:ind w:firstLine="422"/>
        <w:jc w:val="both"/>
        <w:spacing w:line="40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5.3.8投标人信用记录：由采购人、采购代理机构于投标截止时间在“信用中国”网站查询，投标人无需提供查询记录；投标人存在失信记录的，其投标无效（《政府采购货物和服务招标投标管理办法》第二十条第十五项）。</w:t>
      </w:r>
      <w:r/>
    </w:p>
    <w:p>
      <w:pPr>
        <w:pStyle w:val="914"/>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5.4符合性审查资料</w:t>
      </w:r>
      <w:r/>
    </w:p>
    <w:p>
      <w:pPr>
        <w:pStyle w:val="914"/>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5.4.1开标一览表（报价表）（格式见第六章格式3）及分项报价明细表（格式自拟）；</w:t>
      </w:r>
      <w:r/>
    </w:p>
    <w:p>
      <w:pPr>
        <w:pStyle w:val="914"/>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5.4.2投标函（格式见第六章）；</w:t>
      </w:r>
      <w:r/>
    </w:p>
    <w:p>
      <w:pPr>
        <w:pStyle w:val="914"/>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5.4.3投标人法定代表人身份证明及其身份证复印件；</w:t>
      </w:r>
      <w:r/>
    </w:p>
    <w:p>
      <w:pPr>
        <w:pStyle w:val="914"/>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5.4.4法定代表人授权委托书（如有授权，格式见第六章）；</w:t>
      </w:r>
      <w:r/>
    </w:p>
    <w:p>
      <w:pPr>
        <w:pStyle w:val="914"/>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5.4.5投标人授权代理人身份证复印件（如有授权）；</w:t>
      </w:r>
      <w:r/>
    </w:p>
    <w:p>
      <w:pPr>
        <w:pStyle w:val="914"/>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5.4.6关于资格文件的声明函（格式见第六章）；</w:t>
      </w:r>
      <w:r/>
    </w:p>
    <w:p>
      <w:pPr>
        <w:pStyle w:val="914"/>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5.4.7投标人基本情况表（格式见第六章）；</w:t>
      </w:r>
      <w:r/>
    </w:p>
    <w:p>
      <w:pPr>
        <w:pStyle w:val="914"/>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5.4.8技术参数响应/偏离表、商务条款偏离表（格式见第六章）；</w:t>
      </w:r>
      <w:r/>
    </w:p>
    <w:p>
      <w:pPr>
        <w:pStyle w:val="914"/>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5.4.9实质性条款响应承诺函；</w:t>
      </w:r>
      <w:r/>
    </w:p>
    <w:p>
      <w:pPr>
        <w:pStyle w:val="914"/>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5.4.10其他有关符合性证明的文件（投标（响应）保证承诺书等）。</w:t>
      </w:r>
      <w:r/>
    </w:p>
    <w:p>
      <w:pPr>
        <w:pStyle w:val="914"/>
        <w:ind w:firstLine="422"/>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5.4.11中小企业声明函（拟享受价格扣除的投标人提供，格式见第六章）；</w:t>
      </w:r>
      <w:r/>
    </w:p>
    <w:p>
      <w:pPr>
        <w:pStyle w:val="914"/>
        <w:ind w:firstLine="422"/>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5.4.12节能产品、环境标志产品认证证书（所投产品属于政府强制采购品目清单范围的必须提供）；</w:t>
      </w:r>
      <w:r/>
    </w:p>
    <w:p>
      <w:pPr>
        <w:pStyle w:val="914"/>
        <w:ind w:firstLine="422"/>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5.4.13分包意向协议（如有分包）。</w:t>
      </w:r>
      <w:r/>
    </w:p>
    <w:p>
      <w:pPr>
        <w:pStyle w:val="914"/>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注：（1）以上5.3.1-5.3.7为资格审查要求提供的材料，是作为对投标人资格审查、质疑身份认定的依据，投标人必须提供并加盖电子公章，否则其投标文件将被认定为不符合资格审查要求；5.3.8所列信用记录由采购人、采购代理机构于投标截止时间在“信用中国”网站查询，投标人无需提供。</w:t>
      </w:r>
      <w:r/>
    </w:p>
    <w:p>
      <w:pPr>
        <w:pStyle w:val="914"/>
        <w:numPr>
          <w:ilvl w:val="0"/>
          <w:numId w:val="3"/>
        </w:numPr>
        <w:ind w:firstLine="843"/>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以上5.4.1-5.4.10为符合性审查必须提供的资料，投标人必须提供并加盖电子公章，否则其投标文件将被认定为未实质性响应。5.4.11至5.4.13按下列情形提供：（1）拟享受中小企业价格扣除的，提供《中小企业声明函》，未提供的不享受价格扣除，不影响投标有效性；（2）所投产品属于政府强制采购品目清单范围的，提供国家确定的认证机构出具的、处于有效期内的节能产品认证证书，属于该范围而未提供的，其投标无效；（3）有分包的，提供分包意向协议，未提供的不影响投标有效性。</w:t>
      </w:r>
      <w:r/>
    </w:p>
    <w:p>
      <w:pPr>
        <w:pStyle w:val="914"/>
        <w:numPr>
          <w:ilvl w:val="0"/>
          <w:numId w:val="3"/>
        </w:numPr>
        <w:ind w:firstLine="843"/>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制作电子投标文件时必须与投标文件制作软件目录一一对应，将相关资料上传至相应模块。</w:t>
      </w:r>
      <w:r/>
    </w:p>
    <w:p>
      <w:pPr>
        <w:pStyle w:val="914"/>
        <w:ind w:firstLine="843"/>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4）投标文件编制要求：本项目采用电子招投标形式，请投标人按照《苏采云系统供应商操作手册》进行制作、上传电子投标文件。电子投标文件制作完成后请于投标截止时间前成功上传至“苏采云”系统，否则视为放弃参加该采购项目。投标人应充分考虑网络环境、网络带宽等风险因素，如因投标人自身原因造成的电子投标文件上传不成功由投标人自行承担全部责任。</w:t>
      </w:r>
      <w:r/>
    </w:p>
    <w:p>
      <w:pPr>
        <w:pStyle w:val="914"/>
        <w:ind w:firstLine="843"/>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投标过程中如有问题，采购代理机构工作人员会及时通知《投标供应商确认函》留存的手机号与投标人联系。请投标人确保该手机号在投标、开标当日通信畅通，否则导致对投标人不利的后果由投标人自行承担。</w:t>
      </w:r>
      <w:r/>
    </w:p>
    <w:p>
      <w:pPr>
        <w:pStyle w:val="914"/>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14"/>
        <w:ind w:firstLine="422"/>
        <w:jc w:val="left"/>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6.投标文件的解密、开标与评审</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6.1采购人、采购代理机构按本须知规定的时间、地点主持开标活动。开标应当在招标文件确定的提交投标文件截止时间的同一时间、同一地点公开进行；评标委员会成员不得参加开标活动（《政府采购货物和服务招标投标管理办法》第三十九条、第四十条）。</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6.2投标人通过“苏采云”系统在线参加开标活动，应当按照《苏采云系统供应商操作手册》规定的时间对投标文件进行解密。投标人未在规定时间内完成解密的，视为放弃投标，其投标无效。</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6.3投标人不足3家的，不得开标。开标后通过资格审查或者符合性审查的投标人不足3家的，除采购任务取消情形外，按照下列方式处理：（1）招标文件存在不合理条款或者招标程序不符合规定的，改正后依法重新招标；（2）招标文件没有不合理条款、招标程序符合规定，需要采用其他采购方式采购的，采购人依法报财政部门批准（《中华人民共和国政府采购法》第三十六条、《政府采购货物和服务招标投标管理办法》第四十三条）。</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6.4开标结束后，由采购人或者采购代理机构依法对投标人的资格进行审查；合格投标人不足3家的，不得评标（《政府采购货物和服务招标投标管理办法》第四十四条）。</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6.5评标由依法组建的评标委员会负责。评标委员会由采购人代表和评审专家组成，成员人数为5人以上单数，其中评审专家不得少于成员总数的三分之二；评审专家从省级以上财政部门设立的政府采购评审专家库中随机抽取。采购预算金额在1000万元以上、技术复杂或者社会影响较大的项目，评标委员会成员人数应当为7人以上单数（《政府采购货物和服务招标投标管理办法》第四十七条、第四十八条）。</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6.6评标委员会在对投标文件的有效性、完整性和响应程度进行审查时，可以要求投标人对投标文件中含义不明确、同类问题表述不一致或者有明显文字和计算错误的内容等作出必要的澄清、说明或者补正。投标人的澄清、说明或者补正应当采用书面形式并加盖电子公章，且不得超出投标文件的范围或者改变投标文件的实质性内容（《政府采购货物和服务招标投标管理办法》第五十一条）。</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6.7评标委员会并非对每个投标人都作澄清要求。采购人、采购代理机构和评标委员会不得就投标价格、投标方案等实质性内容与投标人进行谈判，投标人不得二次报价。</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6.8本项目采用电子化澄清：评标委员会通过“苏采云”系统向投标人发布“澄清要求函”，接到“澄清要求函”的投标人应当按要求在规定时间内通过“苏采云”系统提交“澄清响应函”并加盖CA电子公章，澄清、说明和补正的内容作为投标文件的补充部分。此处规定时间的计算以系统中的倒计时间为准，投标人应随时保持系统在线，如因投标人自身原因未在规定时间内提交澄清确认资料的，导致的不利后果由投标人自行承担。</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6.9对投标文件的审查</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6.9.1审查分为资格审查和符合性审查。</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6.9.1.1资格审查：由采购人或者采购代理机构依据法律法规和招标文件的规定，对投标文件中的资格证明文件进行审查，以确定投标人是否具备参加投标的资格。</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资格审查的同时，采购人或者采购代理机构将在“信用中国”网站（www.creditchina.gov.cn）查询投标人的信用记录，查询截止时点为投标截止时间，查询结果留存并归档。</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两个以上的自然人、法人或者其他组织组成一个联合体，以一个供应商的身份共同参加政府采购活动的，联合体成员中任何一方存在不良信用记录的，视同联合体存在不良信用记录。本项目不接受联合体投标。</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6.9.1.2符合性审查：由评标委员会依据招标文件的规定，从投标文件的有效性、完整性和对招标文件的响应程度进行审查，以确定是否对招标文件的实质性要求作出响应（《政府采购货物和服务招标投标管理办法》第五十条）。</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6.9.1.3未通过资格审查或者符合性审查的投标人，采购人、采购代理机构将在“苏采云”系统中告知其原因；评审结束后，不再告知未通过资格审查或者符合性审查的原因。</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6.10在详细评审之前，评标委员会将首先审查每份投标文件是否实质性响应了招标文件的要求。实质性响应的投标文件应该与招标文件要求的条款、条件和规格相符，没有重大偏离或者保留。</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所谓重大偏离或者保留是指与招标文件规定的实质性要求存在负偏离，或者在实质上与招标文件不一致，而且限制了合同中采购人和采购代理机构的权利或者投标人的义务，纠正这些偏离或者保留将会对其他实质性响应要求的投标人的竞争地位产生不公正的影响。重大偏离由评标委员会按照少数服从多数的原则认定。评标委员会决定投标文件的响应性只根据投标文件本身的内容，而不寻求外部的证据（《政府采购货物和服务招标投标管理办法》第六十一条）。</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6.11评标委员会按照招标文件规定的评标方法、评审因素和评分标准，对通过资格审查和符合性审查的投标文件进行独立评审、综合比较与评价，汇总得分、排序并推荐中标候选人。评审因素和评分标准详见第四章。</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6.12投标人的报价明显低于其他通过符合性审查投标人的报价，有可能影响产品质量或者不能诚信履约的，评标委员会应当要求其在评审现场合理的时间内提供书面说明，必要时提交相关证明材料；投标人不能证明其报价合理性的，评标委员会应当将其作为无效投标处理（《政府采购货物和服务招标投标管理办法》第六十条）。本项目同时执行《关于推动解决政府采购异常低价问题相关工作的通知》（苏财购〔2025〕62号）的规定。</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6.13评标委员会完成评标后，应当向采购人提交评标报告，并按顺序推荐3名中标候选人。</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6.14采购人自收到评标报告之日起5个工作日内，在评标报告确定的中标候选人名单中按顺序确定中标人；并自中标人确定之日起2个工作日内，在江苏政府采购网公告中标结果，招标文件随中标结果同时公告，中标公告期限为1个工作日；同时向中标人发出中标通知书，告知未通过资格审查的投标人未通过的原因，采用综合评分法的，还应当告知未中标人本人的评审得分与排序（《政府采购货物和服务招标投标管理办法》第六十九条）。</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6.15评审过程的保密与公正</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6.15.1评标委员会、采购人和采购代理机构工作人员、相关监督人员等与评审工作有关的人员，对评审情况以及在评审过程中获悉的国家秘密、商业秘密负有保密责任。</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6.15.2在评审过程中，投标人不得以任何方式影响评审过程，否则其投标无效。</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6.15.3在项目评审期间，采购代理机构设专门人员与投标人联系。</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6.15.4采购代理机构和评标委员会不向未中标的投标人解释未中标原因，也不公布评审过程中的相关细节，但法律、法规规定应当告知的除外。</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6.16评审过程中出现本招标文件未尽事宜的，由评标委员会根据政府采购有关法律法规讨论决定。</w:t>
      </w:r>
      <w:r/>
    </w:p>
    <w:p>
      <w:pPr>
        <w:pStyle w:val="914"/>
        <w:ind w:firstLine="422"/>
        <w:jc w:val="left"/>
        <w:spacing w:line="440" w:lineRule="exact"/>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7.投标无效的情形</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7.1投标人未在“苏采云”系统规定的时间内成功解密电子投标文件的；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7.2投标人未按照招标文件要求上传电子投标文件的；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7.3同一投标人提交两个（含两个）以上不同的投标文件的；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7.4投标人不具备招标文件中规定资格要求的；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7.5投标人的报价超过采购预算或者最高限价的；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7.6投标文件未按照招标文件要求签署、盖章（含未加盖CA电子公章）的；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7.7投标文件含有采购人不能接受的附加条件的；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7.8投标人被“信用中国”网站（www.creditchina.gov.cn）列入失信被执行人、重大税收违法失信主体或者政府采购严重违法失信行为记录名单，或者存在其他不符合《中华人民共和国政府采购法》第二十二条规定条件的信用记录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7.9本项目采购产品属于《节能产品政府采购品目清单》政府强制采购范围的，投标人所投产品不在强制采购范围内，或者未提供国家确定的认证机构出具的、处于有效期之内的节能产品认证证书的；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7.10投标人与采购人、采购代理机构、评标委员会成员或者其他投标人恶意串通，或者存在《政府采购货物和服务招标投标管理办法》第三十七条规定的视为串通投标情形的；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7.11投标人提供虚假材料谋取中标的；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7.12不符合法律、法规和招标文件规定的其他实质性要求的。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7.13未实质性响应招标文件的投标文件按无效投标处理。</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注：</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①如果投标文件实质上没有响应招标文件的要求，评标委员会将予以拒绝，投标人不得通过修改或者撤销不合要求的偏离或者保留而使其成为实质性响应的文件。</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②投标人在项目评审全过程中应保持通信畅通，并安排专人与采购代理机构及评标委员会联系。</w:t>
      </w:r>
      <w:r/>
    </w:p>
    <w:p>
      <w:pPr>
        <w:pStyle w:val="914"/>
        <w:ind w:firstLine="422"/>
        <w:jc w:val="left"/>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8.废标与终止</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8.1出现下列情形之一的，本次公开招标采购活动应当废标或者终止：</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8.1.1符合专业条件的供应商或者对招标文件作实质响应的供应商不足3家的；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8.1.2出现影响采购公正的违法、违规行为的；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8.1.3投标人的报价均超过了采购预算，采购人不能支付的；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8.1.4因重大变故，采购任务取消的。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8.2废标后，采购人应当将废标理由通知所有投标人；除采购任务取消情形外，应当重新组织招标；需要采取其他方式采购的，应当在采购活动开始前获得设区的市、自治州以上人民政府采购监督管理部门的批准（《中华人民共和国政府采购法》第三十七条）。</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8.3投标人应当遵循公平竞争的原则，不得恶意串通，不得妨碍其他投标人的竞争行为，不得损害采购人或者其他投标人的合法权益。</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8.4在评审过程中发现投标人有串通投标、提供虚假材料谋取中标等违法违规情形的，评标委员会应当认定其投标无效，并书面报告本级财政部门。</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8.5有下列情形之一的，视为投标人串通投标，其投标无效（《政府采购货物和服务招标投标管理办法》第三十七条）：</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8.5.1不同投标人的投标文件由同一单位或者个人编制；</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8.5.2不同投标人委托同一单位或者个人办理投标事宜；</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8.5.3不同投标人的投标文件载明的项目管理成员或者联系人员为同一人；</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8.5.4不同投标人的投标文件异常一致或者投标报价呈规律性差异；</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8.5.5不同投标人的投标文件相互混装；</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8.5.6不同投标人的投标保证金从同一单位或者个人的账户转出（本项目不收取投标保证金，本项不适用）。</w:t>
      </w:r>
      <w:r/>
    </w:p>
    <w:p>
      <w:pPr>
        <w:pStyle w:val="914"/>
        <w:ind w:firstLine="422"/>
        <w:jc w:val="left"/>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9.中标与合同签订</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9.1确定中标人</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9.1.1采购人自收到评标报告之日起5个工作日内，在评标报告确定的中标候选人名单中按顺序确定中标人，并将结果通知所有参加投标的投标人；中标候选人并列的，按照招标文件规定的方式确定，招标文件未规定的采取随机抽取方式确定（《政府采购货物和服务招标投标管理办法》第六十八条）。</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9.1.2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政府采购货物和服务招标投标管理办法》第七十一条）。</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9.1.3采购人应当自政府采购合同签订之日起2个工作日内，将政府采购合同在江苏政府采购网上公告，但合同中涉及国家秘密、商业秘密的内容除外（《中华人民共和国政府采购法实施条例》第五十条）；中标人享受中小企业扶持政策的，其《中小企业声明函》应当随中标结果一并公开（《政府采购促进中小企业发展管理办法》财库〔2020〕46号第十三条）。</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9.2若有充分证据证明，中标人出现下列情况之一的，一经查实，将被取消中标资格：</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9.2.1提供虚假材料谋取中标的；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9.2.2与评审专家、采购人、其他投标人或者采购代理机构工作人员恶意串通的；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9.2.3向评审专家、采购人或者采购代理机构工作人员行贿或者提供其他不正当利益的；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9.2.4报价明显低于其自身合理成本且又无法提供证明，被评标委员会认定为无效投标的；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9.2.5不满足本招标文件规定的实质性要求，但在评审过程中又未被评标委员会发现的；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9.2.6中标后无正当理由拒不与采购人签订政府采购合同，或者未按照招标文件确定的事项签订政府采购合同的；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9.2.7将政府采购合同转包的；</w:t>
      </w:r>
      <w:r/>
    </w:p>
    <w:p>
      <w:pPr>
        <w:pStyle w:val="914"/>
        <w:ind w:firstLine="422"/>
        <w:jc w:val="both"/>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9.2.8中标后不按照招标文件规定支付采购代理服务费的。</w:t>
      </w:r>
      <w:r/>
    </w:p>
    <w:p>
      <w:pPr>
        <w:pStyle w:val="914"/>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10.质疑处理</w:t>
      </w:r>
      <w:r/>
    </w:p>
    <w:p>
      <w:pPr>
        <w:pStyle w:val="914"/>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供应商认为采购文件、采购过程或者中标结果使自己的权益受到损害的，可以在知道或者应知其权益受到损害之日起7个工作日内，以书面形式向采购人、采购代理机构提出质疑。采购人、采购代理机构应当在收到供应商书面质疑后7个工作日内作出答复（《政府采购质疑和投诉办法》财政部令第94号）。</w:t>
      </w:r>
      <w:r/>
    </w:p>
    <w:p>
      <w:pPr>
        <w:pStyle w:val="914"/>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10.2本次采购文件要求供应商在法定质疑期内一次性提出针对同一采购程序环节的质疑，否则不予受理。</w:t>
      </w:r>
      <w:r/>
    </w:p>
    <w:p>
      <w:pPr>
        <w:pStyle w:val="914"/>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10.3供应商提出质疑应当提交质疑函和必要的证明材料，质疑函应当包括下列内容：</w:t>
      </w:r>
      <w:r/>
    </w:p>
    <w:p>
      <w:pPr>
        <w:pStyle w:val="914"/>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10.3.1供应商的姓名或者名称（以提供的营业执照副本复印件为准）、地址、邮编、联系人及联系电话；</w:t>
      </w:r>
      <w:r/>
    </w:p>
    <w:p>
      <w:pPr>
        <w:pStyle w:val="914"/>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10.3.2质疑项目的名称、编号；</w:t>
      </w:r>
      <w:r/>
    </w:p>
    <w:p>
      <w:pPr>
        <w:pStyle w:val="914"/>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10.3.3具体、明确的质疑事项和与质疑事项相关的请求；</w:t>
      </w:r>
      <w:r/>
    </w:p>
    <w:p>
      <w:pPr>
        <w:pStyle w:val="914"/>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10.3.4事实依据；</w:t>
      </w:r>
      <w:r/>
    </w:p>
    <w:p>
      <w:pPr>
        <w:pStyle w:val="914"/>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10.3.5必要的法律依据；</w:t>
      </w:r>
      <w:r/>
    </w:p>
    <w:p>
      <w:pPr>
        <w:pStyle w:val="914"/>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10.3.6提出质疑的日期。</w:t>
      </w:r>
      <w:r/>
    </w:p>
    <w:p>
      <w:pPr>
        <w:pStyle w:val="914"/>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 xml:space="preserve">授权委托书</w:t>
      </w:r>
      <w:r>
        <w:rPr>
          <w:rFonts w:hint="eastAsia" w:ascii="宋体" w:hAnsi="宋体" w:eastAsia="宋体" w:cs="宋体"/>
          <w:color w:val="auto"/>
          <w:sz w:val="21"/>
          <w:szCs w:val="21"/>
          <w:highlight w:val="none"/>
        </w:rPr>
        <w:t xml:space="preserve">上应当载明代理人的姓名或者名称、代理事项、具体权限、期限和相关事项。</w:t>
      </w:r>
      <w:r/>
    </w:p>
    <w:p>
      <w:pPr>
        <w:pStyle w:val="914"/>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供应商提交的质疑函必须按照《政府采购供应商质疑函范本》要求的格式和内容进行填写，质疑函范本下载网址详见链接：https</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//czju.suzhou.gov.cn/zfcg/html/content/20180305093615738.shtml</w:t>
      </w:r>
      <w:r>
        <w:rPr>
          <w:rFonts w:hint="eastAsia" w:ascii="宋体" w:hAnsi="宋体" w:eastAsia="宋体" w:cs="宋体"/>
          <w:color w:val="auto"/>
          <w:sz w:val="21"/>
          <w:szCs w:val="21"/>
          <w:highlight w:val="none"/>
        </w:rPr>
        <w:t xml:space="preserve">。</w:t>
      </w:r>
      <w:r/>
    </w:p>
    <w:p>
      <w:pPr>
        <w:pStyle w:val="914"/>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10.4根据《政府采购质疑和投诉办法》（财政部第94号令）第十一条规定，提出质疑的供应商应当是参与所质疑项目采购活动的供应商。因此凡是对采购文件提出质疑的供应商，必须依法获取采购文件，请将合法获取采购文件的证明材料（即</w:t>
      </w:r>
      <w:r>
        <w:rPr>
          <w:rFonts w:hint="eastAsia" w:ascii="宋体" w:hAnsi="宋体" w:eastAsia="宋体" w:cs="宋体"/>
          <w:b/>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914"/>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10.5接收质疑函的方式：书面形式（当场送达或邮寄方式）</w:t>
      </w:r>
      <w:r/>
    </w:p>
    <w:p>
      <w:pPr>
        <w:pStyle w:val="914"/>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质疑联系人：董毅</w:t>
      </w:r>
      <w:r/>
    </w:p>
    <w:p>
      <w:pPr>
        <w:pStyle w:val="914"/>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联系电话：18762303034</w:t>
      </w:r>
      <w:r/>
    </w:p>
    <w:p>
      <w:pPr>
        <w:pStyle w:val="914"/>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现场递交地址：苏州市吴江区领袖云谷 21 栋 1 户</w:t>
      </w:r>
      <w:r/>
    </w:p>
    <w:p>
      <w:pPr>
        <w:pStyle w:val="914"/>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邮寄收取地址：苏州市吴江区领袖云谷 21 栋 1 户</w:t>
      </w:r>
      <w:r/>
    </w:p>
    <w:p>
      <w:pPr>
        <w:pStyle w:val="914"/>
        <w:ind w:firstLine="422"/>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10.6供应商对质疑答复不满意，或者采购人、采购代理机构未在规定时间内作出答复的，可以在答复期满后15个工作日内向本级财政部门提起投诉（《政府采购质疑和投诉办法》财政部令第94号）。</w:t>
      </w:r>
      <w:r/>
    </w:p>
    <w:p>
      <w:pPr>
        <w:pStyle w:val="914"/>
        <w:ind w:firstLine="422"/>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14"/>
        <w:ind w:firstLine="422"/>
        <w:jc w:val="left"/>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11.投标无效和终止招标活动</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11.1除本章第7条规定的情形外，投标人存在下列情况之一的，投标无效：</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11.1.1投标文件未按照招标文件规定要求签署、盖章的；</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11.1.2投标人不具备招标文件中规定资格条件的；</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11.1.3投标报价超过招标文件中规定的预算金额或者最高限价的；</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11.1.4投标文件含有采购人不能接受的附加条件的；</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11.1.5因投标人自身原因导致电子投标文件无法递交或者无法解密的；</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11.1.6不符合法律、法规和招标文件规定的其他实质性要求的。</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11.2投标人应当遵循公平竞争的原则，不得恶意串通，不得妨碍其他投标人的竞争行为，不得损害采购人或者其他投标人的合法权益。</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招标过程中发现投标人有上述情形的，评标委员会应当认定其投标无效，并书面报告本级财政部门。</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11.3有下列情形之一的，视为投标人串通投标，其投标无效（《政府采购货物和服务招标投标管理办法》第三十七条）：</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11.3.1不同投标人的投标文件由同一单位或者个人编制；</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11.3.2不同投标人委托同一单位或者个人办理投标事宜；</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11.3.3不同投标人的投标文件载明的项目管理成员或者联系人员为同一人；</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11.3.4不同投标人的投标文件异常一致或者投标报价呈规律性差异；</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11.3.5不同投标人的投标文件相互混装。</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11.4终止公开招标采购活动的条款</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出现下列情形之一的，采购人、采购代理机构将终止本次公开招标采购活动，发布项目终止公告并说明原因，重新开展采购活动：</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11.4.1因情况变化，不再符合规定的公开招标采购方式适用情形的；</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11.4.2出现影响采购公正的违法、违规行为的；</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11.4.3符合专业条件的供应商或者对招标文件作实质响应的供应商不足3家的。</w:t>
      </w:r>
      <w:r/>
    </w:p>
    <w:p>
      <w:pPr>
        <w:pStyle w:val="914"/>
        <w:ind w:firstLine="422"/>
        <w:jc w:val="both"/>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11.5采购人、采购代理机构在发布招标公告后，除因重大变故采购任务取消情况外，不得擅自终止招标活动；终止招标的，应当及时在原公告发布媒体上发布终止公告，以书面形式通知已经获取招标文件的潜在投标人，并将项目实施情况和采购任务取消原因报告本级财政部门（《政府采购货物和服务招标投标管理办法》第二十九条）。</w:t>
      </w:r>
      <w:r/>
    </w:p>
    <w:p>
      <w:pPr>
        <w:ind w:firstLine="422"/>
        <w:spacing w:line="440" w:lineRule="exact"/>
        <w:tabs>
          <w:tab w:val="left" w:pos="42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12.关于对参与供应商信用记录的政府采购要求</w:t>
      </w:r>
      <w:r/>
    </w:p>
    <w:p>
      <w:pPr>
        <w:ind w:firstLine="420"/>
        <w:spacing w:line="440" w:lineRule="exact"/>
        <w:tabs>
          <w:tab w:val="left" w:pos="4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采购人、采购代理机构将在投标截止时间（即接收投标文件截止时间）通过“信用中国”网站查询相关主体信用记录，并将查询结果递交评标委员会并留档。查询渠道：信用中国（www.creditchina.gov.cn）、中国政府采购网（www.ccgp.gov.cn）；查询截止时点：投标截止时间（《政府采购货物和服务招标投标管理办法》第二十条）。</w:t>
      </w:r>
      <w:r/>
    </w:p>
    <w:p>
      <w:pPr>
        <w:ind w:firstLine="420"/>
        <w:spacing w:line="440"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采购过程中将对供应商信用记录进行甄别，对列入失信被执行人、重大税收违法失信主体、政府采购严重违法失信行为记录名单及其他不符合《中华人民共和国政府采购法》第二十二条规定条件的供应商，应当拒绝其参与政府采购活动。</w:t>
      </w:r>
      <w:r/>
    </w:p>
    <w:p>
      <w:pPr>
        <w:ind w:firstLine="420"/>
        <w:spacing w:line="440"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440" w:lineRule="exact"/>
        <w:tabs>
          <w:tab w:val="left" w:pos="5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12.3投标人若在经营活动中受到罚款的，请携带相关地方、部门对较大数额认定标准的证明材料，与投标文件一并提交。若无法提供，则可能承担投标无效等相应不利后果。</w:t>
      </w:r>
      <w:r/>
    </w:p>
    <w:p>
      <w:pPr>
        <w:ind w:firstLine="420"/>
        <w:spacing w:line="440" w:lineRule="exact"/>
        <w:tabs>
          <w:tab w:val="left" w:pos="4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12.4对存在失信信息的投标人，由失信投标人进行确认。同时，采购代理机构工作人员应当根据评标委员会确认的失信信息，登录相关来源网站页面进行复核并打印，作为证据留存。</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13.合同的签订</w:t>
      </w:r>
      <w:r/>
    </w:p>
    <w:p>
      <w:pPr>
        <w:pStyle w:val="1007"/>
        <w:ind w:firstLine="42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13.1.中标人应当自中标通知书发出之日起30日内，按照中标通知书规定的时间和地点与采购人签订合同（《政府采购货物和服务招标投标管理办法》第七十一条）。</w:t>
      </w:r>
      <w:r/>
    </w:p>
    <w:p>
      <w:pPr>
        <w:pStyle w:val="1007"/>
        <w:ind w:firstLine="420"/>
        <w:jc w:val="both"/>
        <w:spacing w:before="0" w:beforeAutospacing="0" w:after="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13.2.签订合同及合同条款应以招标文件和中标人的投标文件及其澄清承诺文件为依据，不得对招标文件确定的事项和中标人的投标文件作实质性修改。</w:t>
      </w:r>
      <w:r/>
    </w:p>
    <w:p>
      <w:pPr>
        <w:ind w:firstLine="422"/>
        <w:spacing w:line="400" w:lineRule="exact"/>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13.3.《政府采购促进中小企业发展管理办法》规定享受扶持政策获得政府采购合同的，小微企业不得将合同分包给大中型企业，中型企业不得将合同分包给大型企业。</w:t>
      </w:r>
      <w:r/>
    </w:p>
    <w:p>
      <w:pPr>
        <w:ind w:firstLine="422"/>
        <w:jc w:val="both"/>
        <w:spacing w:line="400" w:lineRule="exac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13.4.中标人应当在合同签订后按照合同约定履行义务；采购人应当及时组织履约验收，并按照合同约定及时支付采购资金（《政府采购货物和服务招标投标管理办法》第七十四条、第七十五条）。</w:t>
      </w:r>
      <w:r/>
    </w:p>
    <w:p>
      <w:pPr>
        <w:pStyle w:val="1007"/>
        <w:ind w:firstLine="420"/>
        <w:jc w:val="both"/>
        <w:spacing w:before="0" w:beforeAutospacing="0" w:after="0" w:afterAutospacing="0" w:line="48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07"/>
        <w:ind w:firstLine="420"/>
        <w:jc w:val="both"/>
        <w:spacing w:before="0" w:beforeAutospacing="0" w:after="0" w:afterAutospacing="0" w:line="480" w:lineRule="atLeast"/>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14.投标保证金和履约保证金：本项目不收取投标保证金，也不收取履约保证金，但投标人须在投标文件中提交《投标（响应）保证承诺书》。采购人、采购代理机构不收取任何没有法律、法规依据的保证金（《财政部关于促进政府采购公平竞争优化营商环境的通知》财库〔2019〕38号）；如依法收取保证金，应当接受银行、保险公司或者担保机构出具的保函，不得限定为现金，并在保证期限届满后及时核算退还（《保障中小企业款项支付条例》第十三条）。</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400" w:lineRule="exact"/>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rPr>
        <w:t xml:space="preserve">15</w:t>
      </w:r>
      <w:r>
        <w:rPr>
          <w:rFonts w:hint="eastAsia" w:ascii="宋体" w:hAnsi="宋体" w:eastAsia="宋体" w:cs="宋体"/>
          <w:b/>
          <w:color w:val="auto"/>
          <w:szCs w:val="21"/>
          <w:highlight w:val="none"/>
        </w:rPr>
        <w:t xml:space="preserve">.代理服务费：按差额定率累进法计算的金额给予五折优惠后收取，中标人在领取中标通知书时向采购代理机构一次性付清。预算金额100万以下费率为预算金额的1.5%；预算金额100万（含）-500万费率为预算金额的1.1%；预算金额500万（含）-1000万费率为预算金额的0.8%。本项目招标代理服务费：人民币肆万陆仟柒佰元整（小写：46700.00元），系按上述费率计算后给予优惠确定的金额。招标文件（电子）免费提供；采购代理机构不向未中标人收取任何费用（《政府采购货物和服务招标投标管理办法》第二十条、第二十四条）。</w:t>
      </w:r>
      <w:r/>
    </w:p>
    <w:p>
      <w:pPr>
        <w:ind w:firstLine="422"/>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账户名：江苏祥和项目管理有限公司</w:t>
      </w:r>
      <w:r/>
    </w:p>
    <w:p>
      <w:pPr>
        <w:ind w:firstLine="422"/>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开户行：中国银行南京六合支行</w:t>
      </w:r>
      <w:r/>
    </w:p>
    <w:p>
      <w:pPr>
        <w:ind w:firstLine="422"/>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账　号：485875060089</w:t>
      </w:r>
      <w:r/>
    </w:p>
    <w:p>
      <w:pPr>
        <w:ind w:firstLine="422"/>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注：汇款单上需注明投标人名称、项目编号、金额。</w:t>
      </w:r>
      <w:r/>
    </w:p>
    <w:p>
      <w:pPr>
        <w:ind w:firstLine="422"/>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16.投标说明：</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16.1不符合投标人资格要求的投标文件将被拒绝；</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16.2投标人参加投标活动的，应当由法定代表人或者其授权委托人参加；</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16.3投标文件签署不符合要求的，投标无效；</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16.4投标报价超过采购预算或者最高限价的，不能中标；</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16.5不实质性响应招标文件的不能中标；</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16.6实质性响应招标文件的投标人不足3家的，本次招标失败，按本章第8条的规定处理。</w:t>
      </w:r>
      <w:r/>
    </w:p>
    <w:p>
      <w:pPr>
        <w:ind w:firstLine="422"/>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spacing w:line="40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17.未尽事宜：</w:t>
      </w:r>
      <w:r>
        <w:rPr>
          <w:rFonts w:hint="eastAsia" w:ascii="宋体" w:hAnsi="宋体" w:eastAsia="宋体" w:cs="宋体"/>
          <w:color w:val="auto"/>
          <w:szCs w:val="21"/>
          <w:highlight w:val="none"/>
        </w:rPr>
        <w:t xml:space="preserve">按《中华人民共和国政府采购法》及其他有关的法律法规的规定执行。</w:t>
      </w:r>
      <w:r/>
    </w:p>
    <w:p>
      <w:pPr>
        <w:ind w:firstLine="422"/>
        <w:spacing w:line="440" w:lineRule="exact"/>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18.备注：本招标文件中以“★”标注的条款为实质性条款，投标人不得负偏离，负偏离的其投标无效。本项目的实质性条</w:t>
      </w:r>
      <w:r>
        <w:rPr>
          <w:rFonts w:hint="eastAsia" w:ascii="宋体" w:hAnsi="宋体" w:eastAsia="宋体" w:cs="宋体"/>
          <w:b/>
          <w:bCs/>
          <w:color w:val="auto"/>
          <w:highlight w:val="none"/>
        </w:rPr>
        <w:t xml:space="preserve">款为：（1）第二章第5条规定的投标文件组成、签署及盖章要求；（2）前附表第5项规定的《投标（响应）保证承诺书》提交要求；（3）前附表第8项规定的投标有效期不少于90日历天；（4）第五章第八条约定的付款方式；（5）第五章第十条约定的交货期限；（6）第五章第十二条约定的质保期。以“▲”标注的技术参数为重要技术参数，负偏离的按第四章评分标准扣分，不作无效投标处理；以“■”标注的技术参数为需提供检测报告证明的技术参数，未提供有效检测报告的视为负偏离；未标注符号的技术参数为一般技术参数，负偏离的按第四章评分标准扣分。</w:t>
      </w:r>
      <w:r/>
    </w:p>
    <w:p>
      <w:pPr>
        <w:ind w:left="1533" w:firstLine="1767"/>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1533" w:firstLine="1767"/>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1533" w:firstLine="1767"/>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1533" w:firstLine="1767"/>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1533" w:firstLine="1767"/>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1533" w:firstLine="1767"/>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1533" w:firstLine="1767"/>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color w:val="auto"/>
          <w:sz w:val="32"/>
          <w:highlight w:val="none"/>
        </w:rPr>
      </w:r>
      <w:r>
        <w:rPr>
          <w:rFonts w:hint="eastAsia" w:ascii="宋体" w:hAnsi="宋体" w:eastAsia="宋体" w:cs="宋体"/>
          <w:b/>
          <w:color w:val="auto"/>
          <w:sz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left="1533" w:firstLine="1767"/>
        <w:jc w:val="left"/>
        <w:rPr>
          <w:rFonts w:hint="eastAsia" w:ascii="宋体" w:hAnsi="宋体" w:eastAsia="宋体" w:cs="宋体"/>
          <w:b/>
          <w:bCs/>
          <w:color w:val="auto"/>
          <w:sz w:val="32"/>
          <w:szCs w:val="32"/>
          <w:highlight w:val="none"/>
        </w:rPr>
      </w:pPr>
      <w:r>
        <w:rPr>
          <w:rFonts w:hint="eastAsia" w:ascii="宋体" w:hAnsi="宋体" w:eastAsia="宋体" w:cs="宋体"/>
          <w:b/>
          <w:color w:val="auto"/>
          <w:sz w:val="32"/>
          <w:highlight w:val="none"/>
        </w:rPr>
      </w:r>
      <w:r/>
    </w:p>
    <w:p>
      <w:pPr>
        <w:ind w:left="1533" w:firstLine="1767"/>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1533" w:firstLine="1767"/>
        <w:jc w:val="left"/>
        <w:rPr>
          <w:rFonts w:hint="eastAsia" w:ascii="宋体" w:hAnsi="宋体" w:eastAsia="宋体" w:cs="宋体"/>
          <w:b/>
          <w:color w:val="auto"/>
          <w:sz w:val="32"/>
          <w:highlight w:val="none"/>
        </w:rPr>
        <w:outlineLvl w:val="0"/>
      </w:pPr>
      <w:r/>
      <w:bookmarkStart w:id="3" w:name="_Toc7680"/>
      <w:r>
        <w:rPr>
          <w:rFonts w:hint="eastAsia" w:ascii="宋体" w:hAnsi="宋体" w:eastAsia="宋体" w:cs="宋体"/>
          <w:b/>
          <w:color w:val="auto"/>
          <w:sz w:val="32"/>
          <w:highlight w:val="none"/>
        </w:rPr>
        <w:t xml:space="preserve">第三章 采购需求</w:t>
      </w:r>
      <w:bookmarkEnd w:id="3"/>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受苏州市吴江区第四人民医院的委托，江苏祥和项目管理有限公司就其所需的吴江四院扩建工程-智能化二标段采用公开招标方式进行采购，欢迎符合资格条件的供应商前来参加。</w:t>
      </w:r>
      <w:r/>
    </w:p>
    <w:p>
      <w:pPr>
        <w:ind w:firstLine="422"/>
        <w:jc w:val="left"/>
        <w:spacing w:line="440" w:lineRule="exact"/>
        <w:widowControl/>
        <w:rPr>
          <w:rFonts w:hint="eastAsia" w:ascii="宋体" w:hAnsi="宋体" w:eastAsia="宋体" w:cs="宋体"/>
          <w:bCs/>
          <w:color w:val="auto"/>
          <w:szCs w:val="21"/>
          <w:highlight w:val="none"/>
        </w:rPr>
      </w:pPr>
      <w:r>
        <w:rPr>
          <w:rFonts w:hint="eastAsia" w:ascii="宋体" w:hAnsi="宋体" w:eastAsia="宋体" w:cs="宋体"/>
          <w:b/>
          <w:bCs/>
          <w:color w:val="auto"/>
          <w:szCs w:val="21"/>
          <w:highlight w:val="none"/>
        </w:rPr>
        <w:t xml:space="preserve">一、项目编号：</w:t>
      </w:r>
      <w:r>
        <w:rPr>
          <w:rFonts w:hint="eastAsia" w:ascii="宋体" w:hAnsi="宋体" w:eastAsia="宋体" w:cs="宋体"/>
          <w:color w:val="auto"/>
          <w:szCs w:val="21"/>
          <w:highlight w:val="none"/>
        </w:rPr>
        <w:t xml:space="preserve">JSXH2026-ZZ-GKZB-027</w:t>
      </w:r>
      <w:r/>
    </w:p>
    <w:p>
      <w:pPr>
        <w:ind w:firstLine="422"/>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二、项目名称：</w:t>
      </w:r>
      <w:r>
        <w:rPr>
          <w:rFonts w:hint="eastAsia" w:ascii="宋体" w:hAnsi="宋体" w:eastAsia="宋体" w:cs="宋体"/>
          <w:color w:val="auto"/>
          <w:szCs w:val="21"/>
          <w:highlight w:val="none"/>
        </w:rPr>
        <w:t xml:space="preserve">吴江四院扩建工程-智能化二标段</w:t>
      </w:r>
      <w:r/>
    </w:p>
    <w:p>
      <w:pPr>
        <w:ind w:firstLine="422"/>
        <w:spacing w:line="44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三、</w:t>
      </w:r>
      <w:r>
        <w:rPr>
          <w:rFonts w:hint="eastAsia" w:ascii="宋体" w:hAnsi="宋体" w:eastAsia="宋体" w:cs="宋体"/>
          <w:b/>
          <w:bCs/>
          <w:color w:val="auto"/>
          <w:szCs w:val="21"/>
          <w:highlight w:val="none"/>
        </w:rPr>
        <w:t xml:space="preserve">采购预算：</w:t>
      </w:r>
      <w:r>
        <w:rPr>
          <w:rFonts w:hint="eastAsia" w:ascii="宋体" w:hAnsi="宋体" w:eastAsia="宋体" w:cs="宋体"/>
          <w:color w:val="auto"/>
          <w:szCs w:val="21"/>
          <w:highlight w:val="none"/>
        </w:rPr>
        <w:t xml:space="preserve">人民币玖佰</w:t>
      </w:r>
      <w:r>
        <w:rPr>
          <w:rFonts w:hint="eastAsia" w:ascii="宋体" w:hAnsi="宋体" w:cs="宋体"/>
          <w:color w:val="auto"/>
          <w:szCs w:val="21"/>
          <w:highlight w:val="none"/>
          <w:lang w:val="en-US" w:eastAsia="zh-CN"/>
        </w:rPr>
        <w:t xml:space="preserve">肆</w:t>
      </w:r>
      <w:r>
        <w:rPr>
          <w:rFonts w:hint="eastAsia" w:ascii="宋体" w:hAnsi="宋体" w:eastAsia="宋体" w:cs="宋体"/>
          <w:color w:val="auto"/>
          <w:szCs w:val="21"/>
          <w:highlight w:val="none"/>
        </w:rPr>
        <w:t xml:space="preserve">拾</w:t>
      </w:r>
      <w:r>
        <w:rPr>
          <w:rFonts w:hint="eastAsia" w:ascii="宋体" w:hAnsi="宋体" w:cs="宋体"/>
          <w:color w:val="auto"/>
          <w:szCs w:val="21"/>
          <w:highlight w:val="none"/>
          <w:lang w:val="en-US" w:eastAsia="zh-CN"/>
        </w:rPr>
        <w:t xml:space="preserve">陆</w:t>
      </w:r>
      <w:r>
        <w:rPr>
          <w:rFonts w:hint="eastAsia" w:ascii="宋体" w:hAnsi="宋体" w:eastAsia="宋体" w:cs="宋体"/>
          <w:color w:val="auto"/>
          <w:szCs w:val="21"/>
          <w:highlight w:val="none"/>
        </w:rPr>
        <w:t xml:space="preserve">万</w:t>
      </w:r>
      <w:r>
        <w:rPr>
          <w:rFonts w:hint="eastAsia" w:ascii="宋体" w:hAnsi="宋体" w:cs="宋体"/>
          <w:color w:val="auto"/>
          <w:szCs w:val="21"/>
          <w:highlight w:val="none"/>
          <w:lang w:val="en-US" w:eastAsia="zh-CN"/>
        </w:rPr>
        <w:t xml:space="preserve">玖仟柒佰壹拾柒元叁角</w:t>
      </w:r>
      <w:r>
        <w:rPr>
          <w:rFonts w:hint="eastAsia" w:ascii="宋体" w:hAnsi="宋体" w:eastAsia="宋体" w:cs="宋体"/>
          <w:color w:val="auto"/>
          <w:szCs w:val="21"/>
          <w:highlight w:val="none"/>
        </w:rPr>
        <w:t xml:space="preserve">（小写：</w:t>
      </w:r>
      <w:r>
        <w:rPr>
          <w:rFonts w:hint="eastAsia" w:ascii="宋体" w:hAnsi="宋体" w:cs="宋体"/>
          <w:color w:val="auto"/>
          <w:szCs w:val="21"/>
          <w:highlight w:val="none"/>
          <w:lang w:val="en-US" w:eastAsia="zh-CN"/>
        </w:rPr>
        <w:t xml:space="preserve">9469717</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元）</w:t>
      </w:r>
      <w:r/>
    </w:p>
    <w:p>
      <w:pPr>
        <w:ind w:firstLine="422"/>
        <w:jc w:val="left"/>
        <w:spacing w:line="440" w:lineRule="exact"/>
        <w:tabs>
          <w:tab w:val="left" w:pos="540" w:leader="none"/>
        </w:tabs>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四、合同履行期限：从合同签订之日开始至甲方验收通过（本项目计划于2026年12月20日前完成安装、调试并交付使用，具体按合同约定）。经现场勘查，本项目实施条件已具备，具备按期交付的基础；投标人应在投标前自行踏勘现场并充分了解现场施工条件、交叉作业环境及医院运行要求。除因采购人原因或者不可抗力外，因投标人自身原因导致无法在2026年12月20日前完成安装、调试并交付使用的，由投标人承担违约责任。</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五、</w:t>
      </w:r>
      <w:r>
        <w:rPr>
          <w:rFonts w:hint="eastAsia" w:ascii="宋体" w:hAnsi="宋体" w:eastAsia="宋体" w:cs="宋体"/>
          <w:b/>
          <w:color w:val="auto"/>
          <w:szCs w:val="21"/>
          <w:highlight w:val="none"/>
        </w:rPr>
        <w:t xml:space="preserve">采购内容及相关要求</w:t>
      </w:r>
      <w:r/>
    </w:p>
    <w:p>
      <w:pPr>
        <w:ind w:firstLine="422"/>
        <w:jc w:val="left"/>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（一）项目概况</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吴江四院扩建工程-智能化二标段</w:t>
      </w:r>
      <w:r/>
    </w:p>
    <w:p>
      <w:pPr>
        <w:ind w:firstLine="422"/>
        <w:jc w:val="left"/>
        <w:spacing w:line="44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（二）服务内容和要求</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1.中标人服务内容：本项目智能化系统的设备供货、运输、装卸、安装、调试、系统集成、检测、培训、验收、质保期内的维护及售后服务等，具体见采购清单及第五章合同主要条款。</w:t>
      </w:r>
      <w:r/>
    </w:p>
    <w:p>
      <w:pPr>
        <w:ind w:left="105" w:firstLine="316"/>
        <w:spacing w:line="360" w:lineRule="auto"/>
        <w:rPr>
          <w:rFonts w:hint="eastAsia" w:ascii="宋体" w:hAnsi="宋体" w:eastAsia="宋体" w:cs="宋体"/>
          <w:b/>
          <w:color w:val="auto"/>
          <w:highlight w:val="none"/>
          <w:u w:val="single"/>
        </w:rPr>
      </w:pPr>
      <w:r>
        <w:rPr>
          <w:rFonts w:hint="eastAsia" w:ascii="宋体" w:hAnsi="宋体" w:eastAsia="宋体" w:cs="宋体"/>
          <w:color w:val="auto"/>
          <w:szCs w:val="21"/>
          <w:highlight w:val="none"/>
        </w:rPr>
        <w:t xml:space="preserve">2.</w:t>
      </w:r>
      <w:r>
        <w:rPr>
          <w:rFonts w:hint="eastAsia" w:ascii="宋体" w:hAnsi="宋体" w:eastAsia="宋体" w:cs="宋体"/>
          <w:b/>
          <w:color w:val="auto"/>
          <w:highlight w:val="none"/>
        </w:rPr>
        <w:t xml:space="preserve">质量及甲方要求：</w:t>
      </w:r>
      <w:r>
        <w:rPr>
          <w:rFonts w:hint="eastAsia" w:ascii="宋体" w:hAnsi="宋体" w:eastAsia="宋体" w:cs="宋体"/>
          <w:b/>
          <w:color w:val="auto"/>
          <w:highlight w:val="none"/>
          <w:u w:val="single"/>
        </w:rPr>
        <w:t xml:space="preserve">合格，以甲方具体要求（任务书、图纸等）为准，详细见合同主要条例。</w:t>
      </w:r>
      <w:r/>
    </w:p>
    <w:p>
      <w:pPr>
        <w:ind w:left="105" w:firstLine="316"/>
        <w:spacing w:line="360" w:lineRule="auto"/>
        <w:rPr>
          <w:rFonts w:hint="eastAsia" w:ascii="宋体" w:hAnsi="宋体" w:eastAsia="宋体" w:cs="宋体"/>
          <w:b/>
          <w:color w:val="auto"/>
          <w:highlight w:val="none"/>
          <w:u w:val="single"/>
        </w:rPr>
      </w:pPr>
      <w:r>
        <w:rPr>
          <w:rFonts w:hint="eastAsia" w:ascii="宋体" w:hAnsi="宋体" w:eastAsia="宋体" w:cs="宋体"/>
          <w:b/>
          <w:color w:val="auto"/>
          <w:highlight w:val="none"/>
          <w:u w:val="single"/>
        </w:rPr>
        <w:t xml:space="preserve">3.采购清单：</w:t>
      </w:r>
      <w:r/>
    </w:p>
    <w:tbl>
      <w:tblPr>
        <w:tblStyle w:val="910"/>
        <w:tblW w:w="10092" w:type="dxa"/>
        <w:jc w:val="center"/>
        <w:tblLayout w:type="autofit"/>
        <w:tblCellMar>
          <w:left w:w="108" w:type="dxa"/>
          <w:top w:w="0" w:type="dxa"/>
          <w:right w:w="108" w:type="dxa"/>
          <w:bottom w:w="0" w:type="dxa"/>
        </w:tblCellMar>
        <w:tblLook w:val="04A0" w:firstRow="1" w:lastRow="0" w:firstColumn="1" w:lastColumn="0" w:noHBand="0" w:noVBand="1"/>
      </w:tblPr>
      <w:tblGrid>
        <w:gridCol w:w="680"/>
        <w:gridCol w:w="1701"/>
        <w:gridCol w:w="6236"/>
        <w:gridCol w:w="680"/>
        <w:gridCol w:w="795"/>
      </w:tblGrid>
      <w:tr>
        <w:trPr>
          <w:jc w:val="center"/>
          <w:trHeight w:val="397"/>
          <w:tblHeader/>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参数</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单位</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网络系统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内网核心交换机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1、交换容量≥1000Tbps，包转发率≥345600Mpps；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2、主控引擎≥2，整机业务板槽位≥6，独立交换网板槽位数≥4；</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3、配置主控引擎≥2个，交换网板≥2个，电源≥2个，配置1GE以太网光接口≥16个，1G以太网电接口≥24个，10G以太网光接口≥12个，40G以太网光接口≥16个，≥8个40G多模光模块；</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4、采用正交无中板CLOS架构；</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5、前后风道；</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6、支持融合AC功能：无需额外配置单独硬件，并能在交换机上对所有上线的AP进行管理与配置；</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7、单个业务板卡支持≥74个端口；</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8、支持FW\IPS\负载均衡等安全业务板卡；</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b/>
                <w:bCs/>
                <w:color w:val="auto"/>
                <w:szCs w:val="21"/>
                <w:highlight w:val="none"/>
              </w:rPr>
              <w:t xml:space="preserve">▲</w:t>
            </w:r>
            <w:r>
              <w:rPr>
                <w:rFonts w:hint="eastAsia" w:ascii="宋体" w:hAnsi="宋体" w:eastAsia="宋体" w:cs="宋体"/>
                <w:color w:val="auto"/>
                <w:sz w:val="20"/>
                <w:szCs w:val="20"/>
                <w:highlight w:val="none"/>
              </w:rPr>
              <w:t xml:space="preserve">9、</w:t>
            </w:r>
            <w:r>
              <w:rPr>
                <w:rStyle w:val="1010"/>
                <w:rFonts w:hint="eastAsia" w:ascii="宋体" w:hAnsi="宋体" w:eastAsia="宋体" w:cs="宋体"/>
                <w:color w:val="auto"/>
                <w:highlight w:val="none"/>
              </w:rPr>
              <w:t xml:space="preserve">支持TAP功能，</w:t>
            </w:r>
            <w:r>
              <w:rPr>
                <w:rStyle w:val="1011"/>
                <w:rFonts w:hint="eastAsia" w:ascii="宋体" w:hAnsi="宋体" w:eastAsia="宋体" w:cs="宋体"/>
                <w:color w:val="auto"/>
                <w:highlight w:val="none"/>
              </w:rPr>
              <w:t xml:space="preserve">支持TAP基于同源同宿功能，支持TAP基于报文截断功能，支持TAP基于源端口标识功能；</w:t>
            </w:r>
            <w:r>
              <w:rPr>
                <w:rStyle w:val="1010"/>
                <w:rFonts w:hint="eastAsia" w:ascii="宋体" w:hAnsi="宋体" w:eastAsia="宋体" w:cs="宋体"/>
                <w:color w:val="auto"/>
                <w:highlight w:val="none"/>
              </w:rPr>
              <w:t xml:space="preserve">支持跨设备链路聚合，</w:t>
            </w:r>
            <w:r>
              <w:rPr>
                <w:rStyle w:val="1011"/>
                <w:rFonts w:hint="eastAsia" w:ascii="宋体" w:hAnsi="宋体" w:eastAsia="宋体" w:cs="宋体"/>
                <w:color w:val="auto"/>
                <w:highlight w:val="none"/>
              </w:rPr>
              <w:t xml:space="preserve">支持网络安全协防功能，支持将IP和端口扫描流量重定向给网络安全智能系统进行诱捕，与网络安全智能系统联动实施反制措施，以实现网络安全协防；</w:t>
            </w:r>
            <w:r>
              <w:rPr>
                <w:rStyle w:val="1010"/>
                <w:rFonts w:hint="eastAsia" w:ascii="宋体" w:hAnsi="宋体" w:eastAsia="宋体" w:cs="宋体"/>
                <w:color w:val="auto"/>
                <w:highlight w:val="none"/>
              </w:rPr>
              <w:t xml:space="preserve">支持丢包查询功能，</w:t>
            </w:r>
            <w:r>
              <w:rPr>
                <w:rStyle w:val="1011"/>
                <w:rFonts w:hint="eastAsia" w:ascii="宋体" w:hAnsi="宋体" w:eastAsia="宋体" w:cs="宋体"/>
                <w:color w:val="auto"/>
                <w:highlight w:val="none"/>
              </w:rPr>
              <w:t xml:space="preserve">支持软件安全可信计算，支持系统通过对代码的数字签名来标识软件来源，通过两层签名机制防止软件被篡改，提高系统软件的安全可信</w:t>
            </w:r>
            <w:r>
              <w:rPr>
                <w:rStyle w:val="1011"/>
                <w:rFonts w:hint="eastAsia" w:ascii="宋体" w:hAnsi="宋体" w:cs="宋体"/>
                <w:color w:val="auto"/>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内网OLT</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1、主控交换容量≥9.6Tbit/s，每业务槽位最大带宽≥480Gbit/s；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2、主控板槽位数≥2，业务板槽位数≥6， 电源槽位数≥2；</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3、10G PON端口数≥144，10GE/GE上联端口数≥288，25GE上联端口数≥4，100GE上联端口数≥6；</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4、支持内置DHCP服务器，可为终端动态分配IP地址，支持的地址池规格≥17000；</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5、支持发起Portal认证，可为终端用户提供有线Portal认证安全接入用户数≥16000；</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6、支持线速转发，PON口在满负载的情况下</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对帧进行无差错的转发；</w:t>
            </w:r>
            <w:r/>
          </w:p>
          <w:p>
            <w:pPr>
              <w:jc w:val="left"/>
              <w:keepNext/>
              <w:widowControl/>
              <w:rPr>
                <w:rStyle w:val="1011"/>
                <w:rFonts w:hint="eastAsia" w:ascii="宋体" w:hAnsi="宋体" w:eastAsia="宋体" w:cs="宋体"/>
                <w:color w:val="auto"/>
                <w:highlight w:val="none"/>
              </w:rPr>
            </w:pPr>
            <w:r>
              <w:rPr>
                <w:rFonts w:hint="eastAsia" w:ascii="宋体" w:hAnsi="宋体" w:eastAsia="宋体" w:cs="宋体"/>
                <w:color w:val="auto"/>
                <w:sz w:val="20"/>
                <w:szCs w:val="20"/>
                <w:highlight w:val="none"/>
              </w:rPr>
              <w:t xml:space="preserve">▲7、</w:t>
            </w:r>
            <w:r>
              <w:rPr>
                <w:rStyle w:val="1011"/>
                <w:rFonts w:hint="eastAsia" w:ascii="宋体" w:hAnsi="宋体" w:eastAsia="宋体" w:cs="宋体"/>
                <w:color w:val="auto"/>
                <w:highlight w:val="none"/>
              </w:rPr>
              <w:t xml:space="preserve">支持二层特性VLAN+MAC转发</w:t>
            </w:r>
            <w:r>
              <w:rPr>
                <w:rStyle w:val="1011"/>
                <w:rFonts w:hint="eastAsia" w:ascii="宋体" w:hAnsi="宋体" w:cs="宋体"/>
                <w:color w:val="auto"/>
                <w:highlight w:val="none"/>
                <w:lang w:eastAsia="zh-CN"/>
              </w:rPr>
              <w:t xml:space="preserve">，</w:t>
            </w:r>
            <w:r>
              <w:rPr>
                <w:rStyle w:val="1011"/>
                <w:rFonts w:hint="eastAsia" w:ascii="宋体" w:hAnsi="宋体" w:eastAsia="宋体" w:cs="宋体"/>
                <w:color w:val="auto"/>
                <w:highlight w:val="none"/>
              </w:rPr>
              <w:t xml:space="preserve">SVLAN+CVLAN转发；</w:t>
            </w:r>
            <w:r>
              <w:rPr>
                <w:rStyle w:val="1010"/>
                <w:rFonts w:hint="eastAsia" w:ascii="宋体" w:hAnsi="宋体" w:eastAsia="宋体" w:cs="宋体"/>
                <w:color w:val="auto"/>
                <w:highlight w:val="none"/>
              </w:rPr>
              <w:t xml:space="preserve">支持DHCPv6中继功能，支持DHCP Relay功能，</w:t>
            </w:r>
            <w:r>
              <w:rPr>
                <w:rStyle w:val="1011"/>
                <w:rFonts w:hint="eastAsia" w:ascii="宋体" w:hAnsi="宋体" w:eastAsia="宋体" w:cs="宋体"/>
                <w:color w:val="auto"/>
                <w:highlight w:val="none"/>
              </w:rPr>
              <w:t xml:space="preserve">DHCP Relay报文处理速度需要在每秒1000个以上；</w:t>
            </w:r>
            <w:r>
              <w:rPr>
                <w:rStyle w:val="1010"/>
                <w:rFonts w:hint="eastAsia" w:ascii="宋体" w:hAnsi="宋体" w:eastAsia="宋体" w:cs="宋体"/>
                <w:color w:val="auto"/>
                <w:highlight w:val="none"/>
              </w:rPr>
              <w:t xml:space="preserve">主控和业务板都需支持ISSU，</w:t>
            </w:r>
            <w:r>
              <w:rPr>
                <w:rStyle w:val="1011"/>
                <w:rFonts w:hint="eastAsia" w:ascii="宋体" w:hAnsi="宋体" w:eastAsia="宋体" w:cs="宋体"/>
                <w:color w:val="auto"/>
                <w:highlight w:val="none"/>
              </w:rPr>
              <w:t xml:space="preserve">设备支持ISSU升级过程中ONU不下线，升级不断业务功能，支持802.1X认证、MAC地址认证、Portal认证；</w:t>
            </w:r>
            <w:r/>
          </w:p>
          <w:p>
            <w:pPr>
              <w:jc w:val="left"/>
              <w:keepNext/>
              <w:widowControl/>
              <w:rPr>
                <w:rFonts w:hint="eastAsia" w:ascii="宋体" w:hAnsi="宋体" w:eastAsia="宋体" w:cs="宋体"/>
                <w:color w:val="auto"/>
                <w:sz w:val="20"/>
                <w:szCs w:val="20"/>
                <w:highlight w:val="none"/>
                <w:lang w:eastAsia="zh-CN"/>
              </w:rPr>
            </w:pPr>
            <w:r>
              <w:rPr>
                <w:rStyle w:val="1012"/>
                <w:rFonts w:hint="eastAsia" w:ascii="宋体" w:hAnsi="宋体" w:cs="宋体"/>
                <w:color w:val="auto"/>
                <w:highlight w:val="none"/>
                <w:lang w:val="en-US" w:eastAsia="zh-CN"/>
              </w:rPr>
              <w:t xml:space="preserve">8</w:t>
            </w:r>
            <w:r>
              <w:rPr>
                <w:rStyle w:val="1012"/>
                <w:rFonts w:hint="eastAsia" w:ascii="宋体" w:hAnsi="宋体" w:eastAsia="宋体" w:cs="宋体"/>
                <w:color w:val="auto"/>
                <w:highlight w:val="none"/>
              </w:rPr>
              <w:t xml:space="preserve">、配置主控引擎≥2个，电源≥2个，配置1GE以太网光接口≥20个，1G以太网电接口≥24个，10G以太网光接口≥4个，40G以太网光接口≥8个，100G以太网光接口≥8个，10G PON光接口≥48个（含光模块）</w:t>
            </w:r>
            <w:r>
              <w:rPr>
                <w:rStyle w:val="1012"/>
                <w:rFonts w:hint="eastAsia" w:ascii="宋体" w:hAnsi="宋体" w:cs="宋体"/>
                <w:color w:val="auto"/>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内网分光器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1、支持灵活放置于楼道信息箱，或通过扎带绑定在机柜上；</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2、支持2：8分光比；</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3、适配器类型：SC/UPC</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内网4口万兆ONU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1、≥1个10G PON对称接口，4*GE；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2、工作温度：-10°~55°；</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3、最大功耗＜6W；</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4、采用无风扇静音设计；</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5、金属外壳；</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6、支持10G EPON/XGS-PON自适应；</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■7、</w:t>
            </w:r>
            <w:r>
              <w:rPr>
                <w:rStyle w:val="1010"/>
                <w:rFonts w:hint="eastAsia" w:ascii="宋体" w:hAnsi="宋体" w:eastAsia="宋体" w:cs="宋体"/>
                <w:color w:val="auto"/>
                <w:sz w:val="20"/>
                <w:szCs w:val="20"/>
                <w:highlight w:val="none"/>
              </w:rPr>
              <w:t xml:space="preserve">支持802.1x认证功能，</w:t>
            </w:r>
            <w:r>
              <w:rPr>
                <w:rStyle w:val="1011"/>
                <w:rFonts w:hint="eastAsia" w:ascii="宋体" w:hAnsi="宋体" w:eastAsia="宋体" w:cs="宋体"/>
                <w:color w:val="auto"/>
                <w:sz w:val="20"/>
                <w:szCs w:val="20"/>
                <w:highlight w:val="none"/>
              </w:rPr>
              <w:t xml:space="preserve">支持端口上下行限速功能，支持端口隔离功能</w:t>
            </w:r>
            <w:r>
              <w:rPr>
                <w:rStyle w:val="1011"/>
                <w:rFonts w:hint="eastAsia" w:ascii="宋体" w:hAnsi="宋体" w:eastAsia="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内网8口万兆ONU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1、≥1个10G PON对称接口，8*GE；</w:t>
            </w:r>
            <w:r/>
          </w:p>
          <w:p>
            <w:pPr>
              <w:jc w:val="left"/>
              <w:keepNext/>
              <w:widowControl/>
              <w:rPr>
                <w:rFonts w:hint="eastAsia"/>
                <w:color w:val="auto"/>
                <w:highlight w:val="none"/>
              </w:rPr>
            </w:pPr>
            <w:r>
              <w:rPr>
                <w:rFonts w:hint="eastAsia" w:ascii="宋体" w:hAnsi="宋体" w:eastAsia="宋体" w:cs="宋体"/>
                <w:color w:val="auto"/>
                <w:sz w:val="20"/>
                <w:szCs w:val="20"/>
                <w:highlight w:val="none"/>
              </w:rPr>
              <w:t xml:space="preserve">2、工作温度：-10°~55°；</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3、支持POE+供电，单端口最大30W，整机供电功率最大120W；</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4、金属外壳；</w:t>
            </w:r>
            <w:r/>
          </w:p>
          <w:p>
            <w:pPr>
              <w:jc w:val="left"/>
              <w:keepNext/>
              <w:widowControl/>
              <w:rPr>
                <w:rFonts w:hint="eastAsia" w:ascii="宋体" w:hAnsi="宋体" w:cs="宋体"/>
                <w:color w:val="auto"/>
                <w:sz w:val="20"/>
                <w:szCs w:val="20"/>
                <w:highlight w:val="none"/>
                <w:lang w:eastAsia="zh-CN"/>
              </w:rPr>
            </w:pPr>
            <w:r>
              <w:rPr>
                <w:rFonts w:hint="eastAsia" w:ascii="宋体" w:hAnsi="宋体" w:eastAsia="宋体" w:cs="宋体"/>
                <w:color w:val="auto"/>
                <w:sz w:val="20"/>
                <w:szCs w:val="20"/>
                <w:highlight w:val="none"/>
              </w:rPr>
              <w:t xml:space="preserve">5、支持10G EPON/XGS-PON自适应</w:t>
            </w:r>
            <w:r>
              <w:rPr>
                <w:rFonts w:hint="eastAsia" w:ascii="宋体" w:hAnsi="宋体" w:cs="宋体"/>
                <w:color w:val="auto"/>
                <w:sz w:val="20"/>
                <w:szCs w:val="20"/>
                <w:highlight w:val="none"/>
                <w:lang w:eastAsia="zh-CN"/>
              </w:rPr>
              <w:t xml:space="preserve">。</w:t>
            </w:r>
            <w:r/>
          </w:p>
          <w:p>
            <w:pPr>
              <w:pStyle w:val="935"/>
              <w:ind w:left="0" w:firstLine="0"/>
              <w:rPr>
                <w:rFonts w:hint="default"/>
                <w:color w:val="auto"/>
                <w:highlight w:val="none"/>
                <w:lang w:val="en-US" w:eastAsia="zh-CN"/>
              </w:rPr>
            </w:pPr>
            <w:r>
              <w:rPr>
                <w:rFonts w:hint="eastAsia" w:ascii="宋体" w:hAnsi="宋体" w:eastAsia="宋体" w:cs="宋体"/>
                <w:color w:val="auto"/>
                <w:sz w:val="20"/>
                <w:szCs w:val="20"/>
                <w:highlight w:val="none"/>
                <w:lang w:val="en-US" w:eastAsia="zh-CN"/>
              </w:rPr>
              <w:t xml:space="preserve">6、支持802.1x认证功能，支持端口上下行限速功能，支持端口隔离功能；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内网16口万兆ONU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1、≥1个10G PON对称接口，16*GE；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2、工作温度：-10°~55°；</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3、金属外壳；</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4、支持10G EPON/XGS-PON自适应</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内网24口万兆ONU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1、≥1个10G PON对称接口，24*GE；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2、工作温度：-10°~55°；</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3、金属外壳；</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4、支持10G EPON/XGS-PON/XG-PON/GPON接口</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内网24口万兆ONU带POE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1、≥1个10G PON对称接口，24*GE；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2、工作温度：-10°~55°；</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3、支持POE+供电；</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4、金属外壳；</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5、支持10G EPON/XGS-PON自适应；</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w:t>
            </w:r>
            <w:r>
              <w:rPr>
                <w:rStyle w:val="1010"/>
                <w:rFonts w:hint="eastAsia" w:ascii="宋体" w:hAnsi="宋体" w:eastAsia="宋体" w:cs="宋体"/>
                <w:color w:val="auto"/>
                <w:highlight w:val="none"/>
              </w:rPr>
              <w:t xml:space="preserve">支持802.1x认证功能，</w:t>
            </w:r>
            <w:r>
              <w:rPr>
                <w:rStyle w:val="1011"/>
                <w:rFonts w:hint="eastAsia" w:ascii="宋体" w:hAnsi="宋体" w:eastAsia="宋体" w:cs="宋体"/>
                <w:color w:val="auto"/>
                <w:highlight w:val="none"/>
              </w:rPr>
              <w:t xml:space="preserve">支持端口上下行限速功能，支持端口隔离功能</w:t>
            </w:r>
            <w:r>
              <w:rPr>
                <w:rStyle w:val="1011"/>
                <w:rFonts w:hint="eastAsia" w:ascii="宋体" w:hAnsi="宋体" w:cs="宋体"/>
                <w:color w:val="auto"/>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内网无线控制器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1、小型场景控制器，融合网关/DPI功能；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2、技术标准（ax/ac/n）：11ax/ac/n；</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3、为了满足设备的稳定性，要求所投产品支持双电源冗余供电；</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4、接口数量≥16个千兆电接口，≥8个千兆光接口，≥2个万兆光接口，配置4个千兆多模光模块；</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5、支持常规AP最大数量≥384，本次配置</w:t>
            </w:r>
            <w:r>
              <w:rPr>
                <w:rFonts w:hint="eastAsia" w:ascii="宋体" w:hAnsi="宋体" w:cs="宋体"/>
                <w:color w:val="auto"/>
                <w:sz w:val="20"/>
                <w:szCs w:val="20"/>
                <w:highlight w:val="none"/>
                <w:lang w:val="en-US" w:eastAsia="zh-CN"/>
              </w:rPr>
              <w:t xml:space="preserve">110 </w:t>
            </w:r>
            <w:r>
              <w:rPr>
                <w:rFonts w:hint="eastAsia" w:ascii="宋体" w:hAnsi="宋体" w:eastAsia="宋体" w:cs="宋体"/>
                <w:color w:val="auto"/>
                <w:sz w:val="20"/>
                <w:szCs w:val="20"/>
                <w:highlight w:val="none"/>
              </w:rPr>
              <w:t xml:space="preserve">AP管理授权；</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6、集中转发性能≥10Gbps；</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▲7、</w:t>
            </w:r>
            <w:r>
              <w:rPr>
                <w:rStyle w:val="1010"/>
                <w:rFonts w:hint="eastAsia" w:ascii="宋体" w:hAnsi="宋体" w:eastAsia="宋体" w:cs="宋体"/>
                <w:color w:val="auto"/>
                <w:highlight w:val="none"/>
              </w:rPr>
              <w:t xml:space="preserve">支持访客接入Portal认证，</w:t>
            </w:r>
            <w:r>
              <w:rPr>
                <w:rStyle w:val="1011"/>
                <w:rFonts w:hint="eastAsia" w:ascii="宋体" w:hAnsi="宋体" w:eastAsia="宋体" w:cs="宋体"/>
                <w:color w:val="auto"/>
                <w:highlight w:val="none"/>
              </w:rPr>
              <w:t xml:space="preserve">支持无线用户下线原因追溯，支持信号覆盖黑洞检测；</w:t>
            </w:r>
            <w:r>
              <w:rPr>
                <w:rStyle w:val="1010"/>
                <w:rFonts w:hint="eastAsia" w:ascii="宋体" w:hAnsi="宋体" w:eastAsia="宋体" w:cs="宋体"/>
                <w:color w:val="auto"/>
                <w:highlight w:val="none"/>
              </w:rPr>
              <w:t xml:space="preserve">支持认证用户授权限速，</w:t>
            </w:r>
            <w:r>
              <w:rPr>
                <w:rStyle w:val="1011"/>
                <w:rFonts w:hint="eastAsia" w:ascii="宋体" w:hAnsi="宋体" w:eastAsia="宋体" w:cs="宋体"/>
                <w:color w:val="auto"/>
                <w:highlight w:val="none"/>
              </w:rPr>
              <w:t xml:space="preserve">支持终端画像的漫游调度、支持终端业务的漫游调度</w:t>
            </w:r>
            <w:r>
              <w:rPr>
                <w:rStyle w:val="1011"/>
                <w:rFonts w:hint="eastAsia" w:ascii="宋体" w:hAnsi="宋体" w:cs="宋体"/>
                <w:color w:val="auto"/>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内网零漫游AP</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1、采用整机双频4流设计，可同时工作在802.11a/b/g/n/ac/ac wave2/ax模式；</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2、整机协商速率≥2.975Gbps；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3、≥4个10/100/1000Mbps 自协商以太网口（其中1个支持Poe out对外供电，可用于扩展物联网），≥1个2.5G光口；</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4、内置智能天线系统；</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5、内置 BLE5.1，支持链式物联网扩展能力，最大支持5个BLE、RFID、ZigBee等全制式物联网扩展；</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6、支持壁挂、吸顶和86盒等多种安装方式</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内网管理平台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1、支持麒麟等国产操作系统，及MS SQL、Oracle、达梦等数据库，支持B/S架构</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2、管理员可以首页中通过拖拽，自定义需要在首页展示页面，同时支持Widget扩展</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3、自动发现网络中的所有网络设备，并在拓扑中显示出来，支持拓扑图自定义修改，包括设备、链路等</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支持对全网设备告警的实时监控和统一浏览；支持多种提醒方式，如告警实时提醒（告警板）、告警音响提示；支持多种转发方式，比如转E-mail，转短信，转上级网管或其它网管等。支持告警分析，可以屏蔽重复告警、闪断告警，支持告警自动确认功能；</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5、支持基于任务的性能监控，可定制监控任务，长期监控网络性能，可以形成日报、周报、月报等报表。支持定制性能阈值，可以为监控的性能指标设置两级阈值，当性能指标超过阈值时根据不同的阈值发送不同级别的告警</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6、支持设备面板的显示、定时刷新、面板缩放功能，通过面板管理，网络管理人员可以直观地看到设备、板卡、端口的工作状态；并提供基于设备面板的设备、单板、端口配置功能</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7、配置库包括配置文件和配置片断，配置内容可带有参数，在部署时根据设备的差异设置不同的值；配置文件可部署到设备的启动配置或者运行配置；配置片断只能部署到设备的运行配置； </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8、可以为不同的管理员设置不同的用户名、密码，并限制管理员的管理权限和管理范围，实现用户分权管理。</w:t>
            </w:r>
            <w:r/>
          </w:p>
          <w:p>
            <w:pPr>
              <w:jc w:val="left"/>
              <w:keepNext/>
              <w:widowControl/>
              <w:rPr>
                <w:rStyle w:val="1011"/>
                <w:rFonts w:hint="eastAsia" w:ascii="宋体" w:hAnsi="宋体" w:eastAsia="宋体" w:cs="宋体"/>
                <w:color w:val="auto"/>
                <w:highlight w:val="none"/>
              </w:rPr>
            </w:pP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9、</w:t>
            </w:r>
            <w:r>
              <w:rPr>
                <w:rStyle w:val="1010"/>
                <w:rFonts w:hint="eastAsia" w:ascii="宋体" w:hAnsi="宋体" w:eastAsia="宋体" w:cs="宋体"/>
                <w:color w:val="auto"/>
                <w:highlight w:val="none"/>
              </w:rPr>
              <w:t xml:space="preserve">支持名址绑定功能，</w:t>
            </w:r>
            <w:r>
              <w:rPr>
                <w:rStyle w:val="1011"/>
                <w:rFonts w:hint="eastAsia" w:ascii="宋体" w:hAnsi="宋体" w:eastAsia="宋体" w:cs="宋体"/>
                <w:color w:val="auto"/>
                <w:highlight w:val="none"/>
              </w:rPr>
              <w:t xml:space="preserve">支持根据导入系统的各类哑终端MAC地址列表，实现哑终端的自动化上线，专网隔离、即插即用效果；</w:t>
            </w:r>
            <w:r/>
          </w:p>
          <w:p>
            <w:pPr>
              <w:jc w:val="left"/>
              <w:keepNext/>
              <w:widowControl/>
              <w:rPr>
                <w:rFonts w:hint="eastAsia" w:ascii="宋体" w:hAnsi="宋体" w:eastAsia="宋体" w:cs="宋体"/>
                <w:color w:val="auto"/>
                <w:sz w:val="20"/>
                <w:szCs w:val="20"/>
                <w:highlight w:val="none"/>
                <w:lang w:eastAsia="zh-CN"/>
              </w:rPr>
            </w:pPr>
            <w:r>
              <w:rPr>
                <w:rStyle w:val="1012"/>
                <w:rFonts w:hint="eastAsia" w:ascii="宋体" w:hAnsi="宋体" w:eastAsia="宋体" w:cs="宋体"/>
                <w:color w:val="auto"/>
                <w:highlight w:val="none"/>
              </w:rPr>
              <w:t xml:space="preserve">10、</w:t>
            </w:r>
            <w:r>
              <w:rPr>
                <w:rFonts w:hint="eastAsia" w:ascii="宋体" w:hAnsi="宋体" w:eastAsia="宋体" w:cs="宋体"/>
                <w:color w:val="auto"/>
                <w:sz w:val="20"/>
                <w:szCs w:val="20"/>
                <w:highlight w:val="none"/>
              </w:rPr>
              <w:t xml:space="preserve">≥</w:t>
            </w:r>
            <w:r>
              <w:rPr>
                <w:rStyle w:val="1012"/>
                <w:rFonts w:hint="eastAsia" w:ascii="宋体" w:hAnsi="宋体" w:eastAsia="宋体" w:cs="宋体"/>
                <w:color w:val="auto"/>
                <w:highlight w:val="none"/>
              </w:rPr>
              <w:t xml:space="preserve">25个网络设备管理授权，</w:t>
            </w:r>
            <w:r>
              <w:rPr>
                <w:rFonts w:hint="eastAsia" w:ascii="宋体" w:hAnsi="宋体" w:eastAsia="宋体" w:cs="宋体"/>
                <w:color w:val="auto"/>
                <w:sz w:val="20"/>
                <w:szCs w:val="20"/>
                <w:highlight w:val="none"/>
              </w:rPr>
              <w:t xml:space="preserve">≥</w:t>
            </w:r>
            <w:r>
              <w:rPr>
                <w:rStyle w:val="1012"/>
                <w:rFonts w:hint="eastAsia" w:ascii="宋体" w:hAnsi="宋体" w:eastAsia="宋体" w:cs="宋体"/>
                <w:color w:val="auto"/>
                <w:highlight w:val="none"/>
              </w:rPr>
              <w:t xml:space="preserve">600个PON设备管理授权，</w:t>
            </w:r>
            <w:r>
              <w:rPr>
                <w:rFonts w:hint="eastAsia" w:ascii="宋体" w:hAnsi="宋体" w:eastAsia="宋体" w:cs="宋体"/>
                <w:color w:val="auto"/>
                <w:sz w:val="20"/>
                <w:szCs w:val="20"/>
                <w:highlight w:val="none"/>
              </w:rPr>
              <w:t xml:space="preserve">≥</w:t>
            </w:r>
            <w:r>
              <w:rPr>
                <w:rStyle w:val="1012"/>
                <w:rFonts w:hint="eastAsia" w:ascii="宋体" w:hAnsi="宋体" w:eastAsia="宋体" w:cs="宋体"/>
                <w:color w:val="auto"/>
                <w:highlight w:val="none"/>
              </w:rPr>
              <w:t xml:space="preserve">1</w:t>
            </w:r>
            <w:r>
              <w:rPr>
                <w:rStyle w:val="1012"/>
                <w:rFonts w:hint="eastAsia" w:ascii="宋体" w:hAnsi="宋体" w:cs="宋体"/>
                <w:color w:val="auto"/>
                <w:highlight w:val="none"/>
                <w:lang w:val="en-US" w:eastAsia="zh-CN"/>
              </w:rPr>
              <w:t xml:space="preserve">10</w:t>
            </w:r>
            <w:r>
              <w:rPr>
                <w:rStyle w:val="1012"/>
                <w:rFonts w:hint="eastAsia" w:ascii="宋体" w:hAnsi="宋体" w:eastAsia="宋体" w:cs="宋体"/>
                <w:color w:val="auto"/>
                <w:highlight w:val="none"/>
              </w:rPr>
              <w:t xml:space="preserve">个无线设备管理授权，</w:t>
            </w:r>
            <w:r>
              <w:rPr>
                <w:rFonts w:hint="eastAsia" w:ascii="宋体" w:hAnsi="宋体" w:eastAsia="宋体" w:cs="宋体"/>
                <w:color w:val="auto"/>
                <w:sz w:val="20"/>
                <w:szCs w:val="20"/>
                <w:highlight w:val="none"/>
              </w:rPr>
              <w:t xml:space="preserve">≥</w:t>
            </w:r>
            <w:r>
              <w:rPr>
                <w:rStyle w:val="1012"/>
                <w:rFonts w:hint="eastAsia" w:ascii="宋体" w:hAnsi="宋体" w:eastAsia="宋体" w:cs="宋体"/>
                <w:color w:val="auto"/>
                <w:highlight w:val="none"/>
              </w:rPr>
              <w:t xml:space="preserve">250个终端接入管理授权</w:t>
            </w:r>
            <w:r>
              <w:rPr>
                <w:rStyle w:val="1012"/>
                <w:rFonts w:hint="eastAsia" w:ascii="宋体" w:hAnsi="宋体" w:cs="宋体"/>
                <w:color w:val="auto"/>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外网OLT</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1、主控交换容量≥2.8Tbit/s，每业务槽位最大带宽≥480Gbit/s；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2、主控板槽位数≥2，业务板槽位数≥3， 电源槽位数≥2；</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3、10G PON端口数≥72，10GE/GE上联端口数≥144，40GE上联端口数≥8，100GE上联端口数≥8；</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4、支持内置DHCP服务器，可为终端动态分配IP地址，支持的地址池规格≥17000；</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5、支持发起Portal认证，可为终端用户提供有线Portal认证安全接入用户数≥16000；</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 支持线速转发，PON口在满负载的情况下</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对帧进行无差错的转发；</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7、支持二层特性VLAN+MAC转发</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SVLAN+CVLAN转发；</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8、支持DHCPv6中继功能，支持DHCP Relay功能，DHCP Relay报文处理速度需要在每秒1000个以上；</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9、主控和业务板都需支持ISSU，设备支持ISSU升级过程中ONU不下线，升级不断业务功能，支持802.1X认证、MAC地址认证、Portal认证；</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10、配置主控引擎≥2个，电源≥2个，配置1GE以太网光接口≥20个，1G以太网电接口≥24个，10G以太网光接口≥4个，10G PON光接口≥24个（含光模块）</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外网分光器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1、支持灵活放置于楼道信息箱，或通过扎带绑定在机柜上；</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2、支持2：8分光比；</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3、适配器类型：SC/UPC</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外网16口万兆ONU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1、≥1个10G PON对称接口，16*GE；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2、工作温度：-10°~55°；</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3、金属外壳；</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4、支持10G EPON/XGS-PON自适应</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外网24口万兆ONU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1、≥1个10G PON对称接口，24*GE；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2、工作温度：-10°~55°；</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3、金属外壳；</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4、支持10G EPON/XGS-PON/XG-PON/GPON接口</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外网24口万兆ONU带POE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1、≥1个10G PON对称接口，24*GE；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2、工作温度：-10°~55°；</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3、支持POE+供电；</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4、金属外壳；</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5、支持10G EPON/XGS-PON自适应；</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6、支持802.1x认证功能，支持端口上下行限速功能，支持端口隔离功能</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外网无线控制器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1、小型场景控制器，融合网关/DPI功能；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2、技术标准（ax/ac/n）：11ax/ac/n；</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3、为了满足设备的稳定性，要求所投产品支持双电源冗余供电；</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4、接口数量≥16个千兆电接口，≥8个千兆光接口，≥2个万兆光接口，配置</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4个千兆多模光模块；</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5、支持常规AP最大数量≥384，</w:t>
            </w:r>
            <w:r>
              <w:rPr>
                <w:rFonts w:hint="eastAsia" w:ascii="宋体" w:hAnsi="宋体" w:cs="宋体"/>
                <w:color w:val="auto"/>
                <w:sz w:val="20"/>
                <w:szCs w:val="20"/>
                <w:highlight w:val="none"/>
                <w:lang w:val="en-US" w:eastAsia="zh-CN"/>
              </w:rPr>
              <w:t xml:space="preserve">≥50</w:t>
            </w:r>
            <w:r>
              <w:rPr>
                <w:rFonts w:hint="eastAsia" w:ascii="宋体" w:hAnsi="宋体" w:eastAsia="宋体" w:cs="宋体"/>
                <w:color w:val="auto"/>
                <w:sz w:val="20"/>
                <w:szCs w:val="20"/>
                <w:highlight w:val="none"/>
              </w:rPr>
              <w:t xml:space="preserve">个AP管理授权；</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6、集中转发性能≥10Gbps；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7、支持访客接入Portal认证，支持无线用户下线原因追溯，支持信号覆盖黑洞检测；</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8、支持认证用户授权限速，支持终端画像的漫游调度、支持终端业务的漫游调度</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外网AP（面板）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1、采用整机双频4流设计，可同时工作在802.11a/b/g/n/ac/ac wave2/ax模式；</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2、整机协商速率≥2.975Gbps；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3、≥5个10/100/1000Mbps 自协商以太网口（其中1个支持Poe out对外供电，可用于扩展物联网），</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1个1000Mbps光口；</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4、内置智能天线系统；</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5、内置 BLE5.1/RFID/Zigbee，支持链式物联网扩展能力，最大支持5个BLE、RFID、ZigBee等全制式物联网扩展；</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6、支持壁挂、吸顶和86盒等多种安装方式</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外网管理平台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1、支持Windows、Linux平台、麒麟等国产操作系统，及MS SQL、Oracle、达梦等数据库，支持B/S架构。</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2、管理员可以首页中通过拖拽，自定义需要在首页展示页面，同时支持Widget扩展。</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3、自动发现网络中的所有网络设备，并在拓扑中显示出来，支持拓扑图自定义修改，包括设备、链路等。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支持对全网设备告警的实时监控和统一浏览；支持多种提醒方式，如告警实时提醒（告警板）、告警音响提示；支持多种转发方式，比如转E-mail，转短信，转上级网管或其它网管等。支持告警分析，可以屏蔽重复告警、闪断告警，支持告警自动确认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支持基于任务的性能监控，可定制监控任务，长期监控网络性能，可以形成日报、周报、月报等报表。支持定制性能阈值，可以为监控的性能指标设置两级阈值，当性能指标超过阈值时根据不同的阈值发送不同级别的告警。</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6、支持设备面板的显示、定时刷新、面板缩放功能，通过面板管理，网络管理人员可以直观地看到设备、板卡、端口的工作状态；并提供基于设备面板的设备、单板、端口配置功能。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7、配置库包括配置文件和配置片断，配置内容可带有参数，在部署时根据设备的差异设置不同的值；配置文件可部署到设备的启动配置或者运行配置；配置片断只能部署到设备的运行配置； </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8、可以为不同的管理员设置不同的用户名、密码，并限制管理员的管理权限和管理范围，实现用户分权管理。</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9、支持名址绑定功能，支持根据导入系统的各类哑终端MAC地址列表，实现哑终端的自动化上线，专网隔离、即插即用效果；</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10、本次配置≥25个网络设备管理授权，≥100个PON设备管理授权，≥</w:t>
            </w:r>
            <w:r>
              <w:rPr>
                <w:rFonts w:hint="eastAsia" w:ascii="宋体" w:hAnsi="宋体" w:cs="宋体"/>
                <w:color w:val="auto"/>
                <w:sz w:val="20"/>
                <w:szCs w:val="20"/>
                <w:highlight w:val="none"/>
                <w:lang w:val="en-US" w:eastAsia="zh-CN"/>
              </w:rPr>
              <w:t xml:space="preserve">50</w:t>
            </w:r>
            <w:r>
              <w:rPr>
                <w:rFonts w:hint="eastAsia" w:ascii="宋体" w:hAnsi="宋体" w:eastAsia="宋体" w:cs="宋体"/>
                <w:color w:val="auto"/>
                <w:sz w:val="20"/>
                <w:szCs w:val="20"/>
                <w:highlight w:val="none"/>
              </w:rPr>
              <w:t xml:space="preserve">个无线设备管理授权，≥550个终端接入管理授权</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30人培训室扩声系统（108.64㎡）</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全频音箱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numPr>
                <w:ilvl w:val="0"/>
                <w:numId w:val="0"/>
              </w:num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bidi="ar-SA"/>
              </w:rPr>
              <w:t xml:space="preserve">1、</w:t>
            </w:r>
            <w:r>
              <w:rPr>
                <w:rFonts w:hint="eastAsia" w:ascii="宋体" w:hAnsi="宋体" w:eastAsia="宋体" w:cs="宋体"/>
                <w:color w:val="auto"/>
                <w:sz w:val="20"/>
                <w:szCs w:val="20"/>
                <w:highlight w:val="none"/>
              </w:rPr>
              <w:t xml:space="preserve">配置</w:t>
            </w: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个44芯高音单元</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个10寸低音单元</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采用可旋转号角</w:t>
            </w:r>
            <w:r>
              <w:rPr>
                <w:rFonts w:hint="eastAsia" w:ascii="宋体" w:hAnsi="宋体" w:cs="宋体"/>
                <w:color w:val="auto"/>
                <w:sz w:val="20"/>
                <w:szCs w:val="20"/>
                <w:highlight w:val="none"/>
                <w:lang w:eastAsia="zh-CN"/>
              </w:rPr>
              <w:t xml:space="preserve">；</w:t>
            </w:r>
            <w:r/>
          </w:p>
          <w:p>
            <w:pPr>
              <w:numPr>
                <w:ilvl w:val="0"/>
                <w:numId w:val="0"/>
              </w:num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bidi="ar-SA"/>
              </w:rPr>
              <w:t xml:space="preserve">2、</w:t>
            </w:r>
            <w:r>
              <w:rPr>
                <w:rFonts w:hint="eastAsia" w:ascii="宋体" w:hAnsi="宋体" w:eastAsia="宋体" w:cs="宋体"/>
                <w:color w:val="auto"/>
                <w:sz w:val="20"/>
                <w:szCs w:val="20"/>
                <w:highlight w:val="none"/>
              </w:rPr>
              <w:t xml:space="preserve">箱体采用多层复合夹板</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频率响应：50Hz-20KHz；</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灵敏度</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1W@1m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：≥97dB；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标称抗阻：≤8Ω；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额定功率：≤350W AES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 1400W peak；</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低音单元：</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1×10＂</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250mm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/2.5＂voice coil LF；</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高音单元：</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25mm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/1.75＂voice coil HF；</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扩散角度：90°×50°；</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最大声压级：122dB continuous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128dB peak；</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连接插座：</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2×Speakon NL4</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音箱支架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壁挂支架，多角度调节</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专业功放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额定功率</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rms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 立体声 8Ω：≥2*600W；</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额定功率</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rms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 立体声 4Ω：≥2*900W；</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桥接8Ω：≥1800W；</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信噪比：</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112dB；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转换速率：</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100V/US；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阻尼系数：</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1500：1；</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频率响应：20Hz-20KHz ±0.2dB；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总谐波失真：</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0.025%；</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互调失真：</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0.05%；</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输入灵敏度：0.775V/1.4V（32dB</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输入阻抗：20KΩ</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BLANCE/10KΩ</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UNBLANCE；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输入共模抑制比：</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80dB；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串音干扰/分离度：</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80dB；</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电压增益/放大倍数：×92；</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保护电路：全功能保护电路，包括温度（过热）、短路、直流、压限、过载、过流、失真限幅、欠压/过压、开关机噪音、负载不匹配（低阻）开机软启动、开机防浪涌、无线电干扰、次生波、高频输出自动检测（超高频）等保护；</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16、</w:t>
            </w:r>
            <w:r>
              <w:rPr>
                <w:rFonts w:hint="eastAsia" w:ascii="宋体" w:hAnsi="宋体" w:eastAsia="宋体" w:cs="宋体"/>
                <w:color w:val="auto"/>
                <w:sz w:val="20"/>
                <w:szCs w:val="20"/>
                <w:highlight w:val="none"/>
              </w:rPr>
              <w:t xml:space="preserve">冷却系统：自动无级变速双风扇强制冷却；</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17、</w:t>
            </w:r>
            <w:r>
              <w:rPr>
                <w:rFonts w:hint="eastAsia" w:ascii="宋体" w:hAnsi="宋体" w:eastAsia="宋体" w:cs="宋体"/>
                <w:color w:val="auto"/>
                <w:sz w:val="20"/>
                <w:szCs w:val="20"/>
                <w:highlight w:val="none"/>
              </w:rPr>
              <w:t xml:space="preserve">输出电路类型：H类；</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18、</w:t>
            </w:r>
            <w:r>
              <w:rPr>
                <w:rFonts w:hint="eastAsia" w:ascii="宋体" w:hAnsi="宋体" w:eastAsia="宋体" w:cs="宋体"/>
                <w:color w:val="auto"/>
                <w:sz w:val="20"/>
                <w:szCs w:val="20"/>
                <w:highlight w:val="none"/>
              </w:rPr>
              <w:t xml:space="preserve">最大功耗：≤1500VA/6.5A</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一拖二无线麦克风</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一拖二真分集，手持腰包任意配选；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采用数字导频和ID码身份认证技术；</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3、采</w:t>
            </w:r>
            <w:r>
              <w:rPr>
                <w:rFonts w:hint="eastAsia" w:ascii="宋体" w:hAnsi="宋体" w:eastAsia="宋体" w:cs="宋体"/>
                <w:color w:val="auto"/>
                <w:sz w:val="20"/>
                <w:szCs w:val="20"/>
                <w:highlight w:val="none"/>
              </w:rPr>
              <w:t xml:space="preserve">用锁相环PLL频率合成稳定系统</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提供200个通道；</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采用最新型高频滤波器</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最大限度地滤除带外干扰信号；</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采用二次变频的高频电路设计</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具有极高的灵敏度；</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多重静噪控制电路</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拒绝外部干扰接收距离达250米；</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专门设计的语音压缩扩展电路</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极大地提高信噪比；</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独特的电路设计</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动态大</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频响宽</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噪音小；</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频率范围</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UHF 520-930MHz；</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调制方式</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宽频FM；</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可调范围</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50MHz；</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通道数目</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2x100；</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通道间隔</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250OKHz；</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频率稳定度</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±0.005%以内；</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动态范围</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100dB；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16、</w:t>
            </w:r>
            <w:r>
              <w:rPr>
                <w:rFonts w:hint="eastAsia" w:ascii="宋体" w:hAnsi="宋体" w:eastAsia="宋体" w:cs="宋体"/>
                <w:color w:val="auto"/>
                <w:sz w:val="20"/>
                <w:szCs w:val="20"/>
                <w:highlight w:val="none"/>
              </w:rPr>
              <w:t xml:space="preserve">最大频偏</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±45KHz；</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17、</w:t>
            </w:r>
            <w:r>
              <w:rPr>
                <w:rFonts w:hint="eastAsia" w:ascii="宋体" w:hAnsi="宋体" w:eastAsia="宋体" w:cs="宋体"/>
                <w:color w:val="auto"/>
                <w:sz w:val="20"/>
                <w:szCs w:val="20"/>
                <w:highlight w:val="none"/>
              </w:rPr>
              <w:t xml:space="preserve">音频回应</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80Hz-18KHz</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±3dB</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18、</w:t>
            </w:r>
            <w:r>
              <w:rPr>
                <w:rFonts w:hint="eastAsia" w:ascii="宋体" w:hAnsi="宋体" w:eastAsia="宋体" w:cs="宋体"/>
                <w:color w:val="auto"/>
                <w:sz w:val="20"/>
                <w:szCs w:val="20"/>
                <w:highlight w:val="none"/>
              </w:rPr>
              <w:t xml:space="preserve">综合信噪比</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105dB；</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19、</w:t>
            </w:r>
            <w:r>
              <w:rPr>
                <w:rFonts w:hint="eastAsia" w:ascii="宋体" w:hAnsi="宋体" w:eastAsia="宋体" w:cs="宋体"/>
                <w:color w:val="auto"/>
                <w:sz w:val="20"/>
                <w:szCs w:val="20"/>
                <w:highlight w:val="none"/>
              </w:rPr>
              <w:t xml:space="preserve">综合失真</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≤0.5%</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调音台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12通道设计；</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4/8单声道</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4立体声；平衡XLR输出；</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4辅助编组</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2推子前折返</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1衰减；后辅助，</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1组立体声输出；LR主要TRS输出；外接立体声效果输入与内部效果；</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9段立体声均衡；99DSP效果；MP3播放器；低通滤波XLR输出；+48V幻象电源开关；100MM推子；USB录音功能；可机架安装</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音频处理器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采用最新自动校正频点的算法，迅速抑制啸叫点且对原始信号高度保真不损伤</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2寸</w:t>
            </w:r>
            <w:r>
              <w:rPr>
                <w:rFonts w:hint="eastAsia" w:ascii="宋体" w:hAnsi="宋体" w:cs="宋体"/>
                <w:color w:val="auto"/>
                <w:sz w:val="20"/>
                <w:szCs w:val="20"/>
                <w:highlight w:val="none"/>
                <w:lang w:val="en-US" w:eastAsia="zh-CN"/>
              </w:rPr>
              <w:t xml:space="preserve">屏幕</w:t>
            </w:r>
            <w:r>
              <w:rPr>
                <w:rFonts w:hint="eastAsia" w:ascii="宋体" w:hAnsi="宋体" w:eastAsia="宋体" w:cs="宋体"/>
                <w:color w:val="auto"/>
                <w:sz w:val="20"/>
                <w:szCs w:val="20"/>
                <w:highlight w:val="none"/>
              </w:rPr>
              <w:t xml:space="preserve">，中英文可选</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输入最大电平：+20dBu；</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输出通道最大电平：+20dBu；</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总谐波失真+噪声：&lt;0.0025%；</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最小固定延时：&lt;2ms</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反馈抑制器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输入最大电平：+20dBu；输出通道最大电平：+20dBu；总谐波失真+噪声：&lt;0.0025%；最小固定延时：&lt;2ms；</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采用24-bit A/D及D/A转换芯片；采用自动校正频点算法；AB两路各24个自动陷波点，可设置最多达到12个静态陷波点，剩余为循环的动态陷波点；AB两路各24点PEQ设置，每个点可以分别设置频率、Q值、增益，频率分辨精度1Hz；AB两路各设有高低通滤波器；AB两路各设有四档移频功能，配合陷波器使用，啸叫抑制能力出类拔萃；输入压缩功能，消除反馈同时更可控制人声动态范围；AB两路各设输入通道电平补偿调节，且设置系统总增益，范围为-80dB-+10dB。</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电源时序器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单相三线电源输入，</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10路万能插座电源输出；面板有时序总开关</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8路手动控制按钮以及LED状态指示，可单独控制每路电源的通断；每路电源输出具有过流过压保护；提供</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8路多功能电源插座，另有</w:t>
            </w:r>
            <w:r>
              <w:rPr>
                <w:rFonts w:hint="eastAsia" w:ascii="宋体" w:hAnsi="宋体" w:cs="宋体"/>
                <w:color w:val="auto"/>
                <w:sz w:val="20"/>
                <w:szCs w:val="20"/>
                <w:highlight w:val="none"/>
                <w:lang w:val="en-US" w:eastAsia="zh-CN"/>
              </w:rPr>
              <w:t xml:space="preserve">不少于</w:t>
            </w:r>
            <w:r>
              <w:rPr>
                <w:rFonts w:hint="eastAsia" w:ascii="宋体" w:hAnsi="宋体" w:eastAsia="宋体" w:cs="宋体"/>
                <w:color w:val="auto"/>
                <w:sz w:val="20"/>
                <w:szCs w:val="20"/>
                <w:highlight w:val="none"/>
              </w:rPr>
              <w:t xml:space="preserve">两路备用电源插座；数码显示供电电压，直观了解供电情况；标准19寸机柜安装方式（1U）</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线缆及辅材</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金银线2*300支，PVC25管等</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22U；全柜采用优质冷轧钢板；置顶式散热单元，钣金后门上下散热孔设计</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多媒体地插</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配置接口：</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1个多功能电源，网络，3.5音频，HDMI</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音频隔离器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6.5音响噪音滤波消除电流声变压信号降噪</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音频连接线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1.8米音频连接线：卡侬头（母）-卡侬头（公）</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54人会议室（79.4㎡）</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全频音箱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numPr>
                <w:ilvl w:val="0"/>
                <w:numId w:val="0"/>
              </w:num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bidi="ar-SA"/>
              </w:rPr>
              <w:t xml:space="preserve">1</w:t>
            </w:r>
            <w:r>
              <w:rPr>
                <w:rFonts w:hint="eastAsia" w:ascii="宋体" w:hAnsi="宋体" w:eastAsia="宋体" w:cs="宋体"/>
                <w:color w:val="auto"/>
                <w:sz w:val="20"/>
                <w:szCs w:val="20"/>
                <w:highlight w:val="none"/>
                <w:lang w:val="en-US" w:eastAsia="zh-CN" w:bidi="ar-SA"/>
              </w:rPr>
              <w:t xml:space="preserve">、</w:t>
            </w:r>
            <w:r>
              <w:rPr>
                <w:rFonts w:hint="eastAsia" w:ascii="宋体" w:hAnsi="宋体" w:eastAsia="宋体" w:cs="宋体"/>
                <w:color w:val="auto"/>
                <w:sz w:val="20"/>
                <w:szCs w:val="20"/>
                <w:highlight w:val="none"/>
              </w:rPr>
              <w:t xml:space="preserve">配置</w:t>
            </w: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个44芯高音单元</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个10寸低音单元</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采用可旋转号角</w:t>
            </w:r>
            <w:r>
              <w:rPr>
                <w:rFonts w:hint="eastAsia" w:ascii="宋体" w:hAnsi="宋体" w:cs="宋体"/>
                <w:color w:val="auto"/>
                <w:sz w:val="20"/>
                <w:szCs w:val="20"/>
                <w:highlight w:val="none"/>
                <w:lang w:eastAsia="zh-CN"/>
              </w:rPr>
              <w:t xml:space="preserve">；</w:t>
            </w:r>
            <w:r/>
          </w:p>
          <w:p>
            <w:pPr>
              <w:numPr>
                <w:ilvl w:val="0"/>
                <w:numId w:val="0"/>
              </w:num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bidi="ar-SA"/>
              </w:rPr>
              <w:t xml:space="preserve">2</w:t>
            </w:r>
            <w:r>
              <w:rPr>
                <w:rFonts w:hint="eastAsia" w:ascii="宋体" w:hAnsi="宋体" w:eastAsia="宋体" w:cs="宋体"/>
                <w:color w:val="auto"/>
                <w:sz w:val="20"/>
                <w:szCs w:val="20"/>
                <w:highlight w:val="none"/>
                <w:lang w:val="en-US" w:eastAsia="zh-CN" w:bidi="ar-SA"/>
              </w:rPr>
              <w:t xml:space="preserve">、</w:t>
            </w:r>
            <w:r>
              <w:rPr>
                <w:rFonts w:hint="eastAsia" w:ascii="宋体" w:hAnsi="宋体" w:eastAsia="宋体" w:cs="宋体"/>
                <w:color w:val="auto"/>
                <w:sz w:val="20"/>
                <w:szCs w:val="20"/>
                <w:highlight w:val="none"/>
              </w:rPr>
              <w:t xml:space="preserve">箱体采用多层复合夹板</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频率响应：50Hz-20KHz；</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灵敏度</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1W@1m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：≥97dB；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标称抗阻：≤8Ω；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额定功率：≤350W AES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 1400W peak；</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低音单元：</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1×10＂</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250mm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/2.5＂voice coil LF；</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高音单元：</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25mm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/1.75＂voice coil HF；</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扩散角度：90°×50°；</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最大声压级：122dB continuous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128dB peak；</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连接插座：</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2×Speakon NL4</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音箱支架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壁挂支架，多角度调节</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专业功放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额定功率</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rms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 立体声 8Ω：≥2*600W；</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额定功率</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rms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 立体声 4Ω：≥2*900W；</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桥接8Ω：≥1800W；</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信噪比：</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112dB；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转换速率：</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100V/US；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阻尼系数：</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1500：1；</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频率响应：20Hz-20KHz ±0.2dB；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总谐波失真：</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0.025%；</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互调失真：</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0.05%；</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输入灵敏度：0.775V/1.4V（32dB</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输入阻抗：20KΩ</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BLANCE/10KΩ</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UNBLANCE；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输入共模抑制比：</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80dB；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串音干扰/分离度：</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80dB；</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电压增益/放大倍数：×92；</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保护电路：全功能保护电路，包括温度（过热）、短路、直流、压限、过载、过流、失真限幅、欠压/过压、开关机噪音、负载不匹配（低阻）开机软启动、开机防浪涌、无线电干扰、次生波、高频输出自动检测（超高频）等保护；</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16、</w:t>
            </w:r>
            <w:r>
              <w:rPr>
                <w:rFonts w:hint="eastAsia" w:ascii="宋体" w:hAnsi="宋体" w:eastAsia="宋体" w:cs="宋体"/>
                <w:color w:val="auto"/>
                <w:sz w:val="20"/>
                <w:szCs w:val="20"/>
                <w:highlight w:val="none"/>
              </w:rPr>
              <w:t xml:space="preserve">冷却系统：自动无级变速双风扇强制冷却；</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17、</w:t>
            </w:r>
            <w:r>
              <w:rPr>
                <w:rFonts w:hint="eastAsia" w:ascii="宋体" w:hAnsi="宋体" w:eastAsia="宋体" w:cs="宋体"/>
                <w:color w:val="auto"/>
                <w:sz w:val="20"/>
                <w:szCs w:val="20"/>
                <w:highlight w:val="none"/>
              </w:rPr>
              <w:t xml:space="preserve">输出电路类型：H类；</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18、</w:t>
            </w:r>
            <w:r>
              <w:rPr>
                <w:rFonts w:hint="eastAsia" w:ascii="宋体" w:hAnsi="宋体" w:eastAsia="宋体" w:cs="宋体"/>
                <w:color w:val="auto"/>
                <w:sz w:val="20"/>
                <w:szCs w:val="20"/>
                <w:highlight w:val="none"/>
              </w:rPr>
              <w:t xml:space="preserve">最大功耗：≤1500VA/6.5A</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一拖二无线麦克风</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一拖二真分集，手持腰包任意配选；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采用数字导频和ID码身份认证技术；</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3、采</w:t>
            </w:r>
            <w:r>
              <w:rPr>
                <w:rFonts w:hint="eastAsia" w:ascii="宋体" w:hAnsi="宋体" w:eastAsia="宋体" w:cs="宋体"/>
                <w:color w:val="auto"/>
                <w:sz w:val="20"/>
                <w:szCs w:val="20"/>
                <w:highlight w:val="none"/>
              </w:rPr>
              <w:t xml:space="preserve">用锁相环PLL频率合成稳定系统</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提供200个通道；</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采用最新型高频滤波器</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最大限度地滤除带外干扰信号；</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采用二次变频的高频电路设计</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具有极高的灵敏度；</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多重静噪控制电路</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拒绝外部干扰接收距离达250米；</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专门设计的语音压缩扩展电路</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极大地提高信噪比；</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独特的电路设计</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动态大</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频响宽</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噪音小；</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频率范围</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UHF 520-930MHz；</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调制方式</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宽频FM；</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可调范围</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50MHz；</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通道数目</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2x100；</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通道间隔</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250OKHz；</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频率稳定度</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±0.005%以内；</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动态范围</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100dB；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16、</w:t>
            </w:r>
            <w:r>
              <w:rPr>
                <w:rFonts w:hint="eastAsia" w:ascii="宋体" w:hAnsi="宋体" w:eastAsia="宋体" w:cs="宋体"/>
                <w:color w:val="auto"/>
                <w:sz w:val="20"/>
                <w:szCs w:val="20"/>
                <w:highlight w:val="none"/>
              </w:rPr>
              <w:t xml:space="preserve">最大频偏</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±45KHz；</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17、</w:t>
            </w:r>
            <w:r>
              <w:rPr>
                <w:rFonts w:hint="eastAsia" w:ascii="宋体" w:hAnsi="宋体" w:eastAsia="宋体" w:cs="宋体"/>
                <w:color w:val="auto"/>
                <w:sz w:val="20"/>
                <w:szCs w:val="20"/>
                <w:highlight w:val="none"/>
              </w:rPr>
              <w:t xml:space="preserve">音频回应</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80Hz-18KHz</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±3dB</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18、</w:t>
            </w:r>
            <w:r>
              <w:rPr>
                <w:rFonts w:hint="eastAsia" w:ascii="宋体" w:hAnsi="宋体" w:eastAsia="宋体" w:cs="宋体"/>
                <w:color w:val="auto"/>
                <w:sz w:val="20"/>
                <w:szCs w:val="20"/>
                <w:highlight w:val="none"/>
              </w:rPr>
              <w:t xml:space="preserve">综合信噪比</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105dB；</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19、</w:t>
            </w:r>
            <w:r>
              <w:rPr>
                <w:rFonts w:hint="eastAsia" w:ascii="宋体" w:hAnsi="宋体" w:eastAsia="宋体" w:cs="宋体"/>
                <w:color w:val="auto"/>
                <w:sz w:val="20"/>
                <w:szCs w:val="20"/>
                <w:highlight w:val="none"/>
              </w:rPr>
              <w:t xml:space="preserve">综合失真</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≤0.5%</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调音台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12通道设计；</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4/8单声道</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4立体声；平衡XLR输出；</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4辅助编组</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2推子前折返</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1衰减；后辅助，</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1组立体声输出；LR主要TRS输出；外接立体声效果输入与内部效果；</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9段立体声均衡；99DSP效果；MP3播放器；低通滤波XLR输出；+48V幻象电源开关；100MM推子；USB录音功能；可机架安装</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反馈抑制器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输入最大电平：+20dBu；输出通道最大电平：+20dBu；总谐波失真+噪声：&lt;0.0025%；最小固定延时：&lt;2ms；</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采用24-bit A/D及D/A转换芯片；采用自动校正频点算法；AB两路各24个自动陷波点，可设置最多达到12个静态陷波点，剩余为循环的动态陷波点；AB两路各24点PEQ设置，每个点可以分别设置频率、Q值、增益，频率分辨精度1Hz；AB两路各设有高低通滤波器；AB两路各设有四档移频功能，配合陷波器使用，啸叫抑制能力出类拔萃；输入压缩功能，消除反馈同时更可控制人声动态范围；AB两路各设输入通道电平补偿调节，且设置系统总增益，范围为-80dB-+10dB</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电源时序器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单相三线电源输入，</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10路万能插座电源输出；面板有时序总开关</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8路手动控制按钮以及LED状态指示，可单独控制每路电源的通断；每路电源输出具有过流过压保护；提供</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8路多功能电源插座，另有</w:t>
            </w:r>
            <w:r>
              <w:rPr>
                <w:rFonts w:hint="eastAsia" w:ascii="宋体" w:hAnsi="宋体" w:cs="宋体"/>
                <w:color w:val="auto"/>
                <w:sz w:val="20"/>
                <w:szCs w:val="20"/>
                <w:highlight w:val="none"/>
                <w:lang w:val="en-US" w:eastAsia="zh-CN"/>
              </w:rPr>
              <w:t xml:space="preserve">不少于</w:t>
            </w:r>
            <w:r>
              <w:rPr>
                <w:rFonts w:hint="eastAsia" w:ascii="宋体" w:hAnsi="宋体" w:eastAsia="宋体" w:cs="宋体"/>
                <w:color w:val="auto"/>
                <w:sz w:val="20"/>
                <w:szCs w:val="20"/>
                <w:highlight w:val="none"/>
              </w:rPr>
              <w:t xml:space="preserve">两路备用电源插座；数码显示供电电压，直观了解供电情况；标准19寸机柜安装方式（1U）</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会议主机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具有多种会议模式，最大发言人数</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4人；系统操作简便、直观而易用</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无线方式实现所有功能，摆脱繁琐的电缆铺设，信号覆盖范围内可任意移动，轻松便捷布置会场</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全自动定频，系统预设20组不同的频段通道，可设置多套系统在同一会场使用，满足大型的会议需求，也可避免与其他无线产品的相互干扰</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采用ATGAT技术（自动时隙分配技术）的具有避免和解决通信冲突能力的时分多址接入通信协议（CSTDMA），自动选取最优频率进行通信，无需人工设定工作频率。多台接收机同时工作时，各接收机会自动避开其它接收机已经选用的频点进行工作，全过程全自动进行，无需人工干预，实现智能安装</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内置多种传感器，无线侦测、无线调控、无线匹配、无线加密、无线自动管理，无需任何辅助即可帮您工作顺利完成</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雷达选频自动同步工作，列席单元在同一地址码时，主控机更换通讯频道，所有列席单元自动跟随同步，免除需专业人员的调试安装</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主控机支持168个列席单元，同时发言人数</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4人，可按实际会议需求设定人数</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主控机发言模式设有先进先出、主席模式，具有轮替1-2-3-4-、限制1-2-3-4</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主控机支持中控控制，话筒单元具有开、关话筒发码功能</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主控机可以发起编写单元ID地址，可按需增减单元数量，灵活方便，告别编址繁琐</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主控机具有一键关闭所有会议单元的功能，省去人工手动关闭单元电源的操作</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列席单元无缝接入，随时更换或增加列席单元，无需中断会议进程</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采用真分集芯片，增强无线距离及无线传输的稳定性，适应各种特殊会场环境</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2.8寸，分级菜单设计，会议模式</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使操作简明方便</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主控机采用全金属结构设计，庄重大方，线路与外壳都加强了与地线的连接，保证具备可抗静电8000V的能力</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16、</w:t>
            </w:r>
            <w:r>
              <w:rPr>
                <w:rFonts w:hint="eastAsia" w:ascii="宋体" w:hAnsi="宋体" w:eastAsia="宋体" w:cs="宋体"/>
                <w:color w:val="auto"/>
                <w:sz w:val="20"/>
                <w:szCs w:val="20"/>
                <w:highlight w:val="none"/>
              </w:rPr>
              <w:t xml:space="preserve">主机关机</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2秒钟，列席单元自动关机，避免浪费电池电量，造成不必要麻烦</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17、</w:t>
            </w:r>
            <w:r>
              <w:rPr>
                <w:rFonts w:hint="eastAsia" w:ascii="宋体" w:hAnsi="宋体" w:eastAsia="宋体" w:cs="宋体"/>
                <w:color w:val="auto"/>
                <w:sz w:val="20"/>
                <w:szCs w:val="20"/>
                <w:highlight w:val="none"/>
              </w:rPr>
              <w:t xml:space="preserve">主控机采用标准2U设计，稳重坚固，可安装在19英寸标准机柜。</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18、</w:t>
            </w:r>
            <w:r>
              <w:rPr>
                <w:rFonts w:hint="eastAsia" w:ascii="宋体" w:hAnsi="宋体" w:eastAsia="宋体" w:cs="宋体"/>
                <w:color w:val="auto"/>
                <w:sz w:val="20"/>
                <w:szCs w:val="20"/>
                <w:highlight w:val="none"/>
              </w:rPr>
              <w:t xml:space="preserve">配套外置吸盘天线，可吸附在机柜顶，信号强安装便利。 </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19、</w:t>
            </w:r>
            <w:r>
              <w:rPr>
                <w:rFonts w:hint="eastAsia" w:ascii="宋体" w:hAnsi="宋体" w:eastAsia="宋体" w:cs="宋体"/>
                <w:color w:val="auto"/>
                <w:sz w:val="20"/>
                <w:szCs w:val="20"/>
                <w:highlight w:val="none"/>
              </w:rPr>
              <w:t xml:space="preserve">载波频段：UHF640MHz-690MHz；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20、</w:t>
            </w:r>
            <w:r>
              <w:rPr>
                <w:rFonts w:hint="eastAsia" w:ascii="宋体" w:hAnsi="宋体" w:eastAsia="宋体" w:cs="宋体"/>
                <w:color w:val="auto"/>
                <w:sz w:val="20"/>
                <w:szCs w:val="20"/>
                <w:highlight w:val="none"/>
              </w:rPr>
              <w:t xml:space="preserve">调制方式：FM；</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21、</w:t>
            </w:r>
            <w:r>
              <w:rPr>
                <w:rFonts w:hint="eastAsia" w:ascii="宋体" w:hAnsi="宋体" w:eastAsia="宋体" w:cs="宋体"/>
                <w:color w:val="auto"/>
                <w:sz w:val="20"/>
                <w:szCs w:val="20"/>
                <w:highlight w:val="none"/>
              </w:rPr>
              <w:t xml:space="preserve">工作有效距离：</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60米；</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22、</w:t>
            </w:r>
            <w:r>
              <w:rPr>
                <w:rFonts w:hint="eastAsia" w:ascii="宋体" w:hAnsi="宋体" w:eastAsia="宋体" w:cs="宋体"/>
                <w:color w:val="auto"/>
                <w:sz w:val="20"/>
                <w:szCs w:val="20"/>
                <w:highlight w:val="none"/>
              </w:rPr>
              <w:t xml:space="preserve">震荡方式：PLL相位锁定频率合成；</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23、</w:t>
            </w:r>
            <w:r>
              <w:rPr>
                <w:rFonts w:hint="eastAsia" w:ascii="宋体" w:hAnsi="宋体" w:eastAsia="宋体" w:cs="宋体"/>
                <w:color w:val="auto"/>
                <w:sz w:val="20"/>
                <w:szCs w:val="20"/>
                <w:highlight w:val="none"/>
              </w:rPr>
              <w:t xml:space="preserve">接收灵敏度：-95dBm；</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24、</w:t>
            </w:r>
            <w:r>
              <w:rPr>
                <w:rFonts w:hint="eastAsia" w:ascii="宋体" w:hAnsi="宋体" w:eastAsia="宋体" w:cs="宋体"/>
                <w:color w:val="auto"/>
                <w:sz w:val="20"/>
                <w:szCs w:val="20"/>
                <w:highlight w:val="none"/>
              </w:rPr>
              <w:t xml:space="preserve">频带宽度：30MHz；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25、</w:t>
            </w:r>
            <w:r>
              <w:rPr>
                <w:rFonts w:hint="eastAsia" w:ascii="宋体" w:hAnsi="宋体" w:eastAsia="宋体" w:cs="宋体"/>
                <w:color w:val="auto"/>
                <w:sz w:val="20"/>
                <w:szCs w:val="20"/>
                <w:highlight w:val="none"/>
              </w:rPr>
              <w:t xml:space="preserve">最大偏移度：±45KHz；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26、</w:t>
            </w:r>
            <w:r>
              <w:rPr>
                <w:rFonts w:hint="eastAsia" w:ascii="宋体" w:hAnsi="宋体" w:eastAsia="宋体" w:cs="宋体"/>
                <w:color w:val="auto"/>
                <w:sz w:val="20"/>
                <w:szCs w:val="20"/>
                <w:highlight w:val="none"/>
              </w:rPr>
              <w:t xml:space="preserve">综合信噪比S/N：&gt;105dB；</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27、</w:t>
            </w:r>
            <w:r>
              <w:rPr>
                <w:rFonts w:hint="eastAsia" w:ascii="宋体" w:hAnsi="宋体" w:eastAsia="宋体" w:cs="宋体"/>
                <w:color w:val="auto"/>
                <w:sz w:val="20"/>
                <w:szCs w:val="20"/>
                <w:highlight w:val="none"/>
              </w:rPr>
              <w:t xml:space="preserve">综合T.H.D：&lt;0.7%@1KHz；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28、</w:t>
            </w:r>
            <w:r>
              <w:rPr>
                <w:rFonts w:hint="eastAsia" w:ascii="宋体" w:hAnsi="宋体" w:eastAsia="宋体" w:cs="宋体"/>
                <w:color w:val="auto"/>
                <w:sz w:val="20"/>
                <w:szCs w:val="20"/>
                <w:highlight w:val="none"/>
              </w:rPr>
              <w:t xml:space="preserve">综合频率响应：45Hz-18KHz±1dB；</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29、</w:t>
            </w:r>
            <w:r>
              <w:rPr>
                <w:rFonts w:hint="eastAsia" w:ascii="宋体" w:hAnsi="宋体" w:eastAsia="宋体" w:cs="宋体"/>
                <w:color w:val="auto"/>
                <w:sz w:val="20"/>
                <w:szCs w:val="20"/>
                <w:highlight w:val="none"/>
              </w:rPr>
              <w:t xml:space="preserve">供电：12V 1A；</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30、</w:t>
            </w:r>
            <w:r>
              <w:rPr>
                <w:rFonts w:hint="eastAsia" w:ascii="宋体" w:hAnsi="宋体" w:eastAsia="宋体" w:cs="宋体"/>
                <w:color w:val="auto"/>
                <w:sz w:val="20"/>
                <w:szCs w:val="20"/>
                <w:highlight w:val="none"/>
              </w:rPr>
              <w:t xml:space="preserve">输出插座：XLR平行式及6.3不平行式插座</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主席单元</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无线</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2.8寸，分级菜单设计。具有电量显示和欠压警告，频率信道、信号指示和工作状态等功能。列席单元通信状态下按键长亮蓝色灯。</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人性化功能：高清人声还原、超指向性角度60°、声音探测、独有续航供电、拒绝干扰。</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载波频段：UHF640MHz-690MHz；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振荡方式：PLL相位锁定频率合成；</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谐波辐射：&lt;-65dBm；</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频带宽度：50MHz；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最大偏移度：±45KHz；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传感器：电容式双振膜咪芯、 超心指向性；</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RF功率输出：15mW；</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使用电池：3节5号电池，可以连续工作</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8小时</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待机时长可达12个小时；</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电流消耗：</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200mA</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代表单元</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无线</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2.8寸，分级菜单设计。具有电量显示和欠压警告，频率信道、信号指示和工作状态等功能。列席单元通信状态下按键长亮蓝色灯。</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人性化功能：高清人声还原、超指向性角度60°、声音探测、独有续航供电、拒绝干扰。</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载波频段：UHF640MHz-690MHz；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振荡方式：PLL相位锁定频率合成；</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谐波辐射：&lt;-65dBm；</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频带宽度：50MHz；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最大偏移度：±45KHz；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传感器：电容式双振膜咪芯、 超心指向性；</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RF功率输出：15mW；</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使用电池：3节5号电池，可以连续工作</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8小时</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待机时长可达12个小时；</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电流消耗：</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200mA</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充电箱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总电流：</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25A；</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总功率：</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5V25A/125W；</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USB单口输出：</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2.5A</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发射器</w:t>
            </w:r>
            <w:r/>
          </w:p>
        </w:tc>
        <w:tc>
          <w:tcPr>
            <w:shd w:val="clear" w:color="auto" w:fill="ffffff"/>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1.8寸，显示天线信号状态，麦克风接收机在线状态，电源输出状态；</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带GAIN增益按钮，GAIN可调增益：+3dB</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+6dB</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+9dB可调，屏幕显示增益设置；</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可配置定向天线及全向天线；</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共AB两组8个信号输出：麦克风主机天线接收；</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1个直流DC12V 5A输入：天线放大器主机电源座；</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2个级联输出接口：连接下一台天线放大器；</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4个DC电源输出：直流输出DC12V-1A；</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2个有源天线放大模块</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或无源天线</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输入接口AB：带DC8V 500mA输出；</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天线类型：对数周期偶极阵</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LPDA</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天线；</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连接端子：固定式直角 BNC母座；</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指向极性：垂直</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于垂直安装</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指向性：椭圆形180°典型；</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工作频带：500MHz-900MHz；</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导波器段数：11段；</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16、</w:t>
            </w:r>
            <w:r>
              <w:rPr>
                <w:rFonts w:hint="eastAsia" w:ascii="宋体" w:hAnsi="宋体" w:eastAsia="宋体" w:cs="宋体"/>
                <w:color w:val="auto"/>
                <w:sz w:val="20"/>
                <w:szCs w:val="20"/>
                <w:highlight w:val="none"/>
              </w:rPr>
              <w:t xml:space="preserve">电压驻波比：至1.5；</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17、</w:t>
            </w:r>
            <w:r>
              <w:rPr>
                <w:rFonts w:hint="eastAsia" w:ascii="宋体" w:hAnsi="宋体" w:eastAsia="宋体" w:cs="宋体"/>
                <w:color w:val="auto"/>
                <w:sz w:val="20"/>
                <w:szCs w:val="20"/>
                <w:highlight w:val="none"/>
              </w:rPr>
              <w:t xml:space="preserve">工作电压：8V DC</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会议话筒处理器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功能特点：</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2寸</w:t>
            </w:r>
            <w:r>
              <w:rPr>
                <w:rFonts w:hint="eastAsia" w:ascii="宋体" w:hAnsi="宋体" w:cs="宋体"/>
                <w:color w:val="auto"/>
                <w:sz w:val="20"/>
                <w:szCs w:val="20"/>
                <w:highlight w:val="none"/>
                <w:lang w:val="en-US" w:eastAsia="zh-CN"/>
              </w:rPr>
              <w:t xml:space="preserve">屏幕</w:t>
            </w:r>
            <w:r>
              <w:rPr>
                <w:rFonts w:hint="eastAsia" w:ascii="宋体" w:hAnsi="宋体" w:eastAsia="宋体" w:cs="宋体"/>
                <w:color w:val="auto"/>
                <w:sz w:val="20"/>
                <w:szCs w:val="20"/>
                <w:highlight w:val="none"/>
              </w:rPr>
              <w:t xml:space="preserve">，实时显示当前音频电平，系统音量，麦克风音量；</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2、实时自动扫描啸叫抑制点并自动抑制，有效提升麦克风拾音距离；</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3、100级电子音量调整；</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4、24bit高性能A/D及D/A转换芯片</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语音清晰，还原度高；</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5、4通道48V幻象电源独立开关控制；</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一键对啸叫点进行校正；一键检测啸叫点，Ai自适应算法清除啸叫</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高保真音质，不改变原声</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高低音频频谱显示</w:t>
            </w:r>
            <w:r>
              <w:rPr>
                <w:rFonts w:hint="eastAsia" w:ascii="宋体" w:hAnsi="宋体" w:eastAsia="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信噪比&gt;105dB，超低噪声</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自动增益算法，讲话更轻松</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适配各种动圈或电容式话筒</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移频，陷波双算法。</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参数规格</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1、麦克风输入通道：4路平衡输入XLR和4路非平衡输入TRS；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2、音乐输入通道：1路RCA接口；</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3、输出通道：2路平衡输出XLR，1路RCA；</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4、频率响应：20-20KHz（BYPASS） 100-16KHz（ACTIVE）；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5、信噪比：≥90dB；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6、输入阻抗：10KΩ；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7、输出阻抗：1KΩ；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8、AD采样：48K</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24bit；</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9、额定电压：220V/AC 50Hz；</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10、额定功率：</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20W</w:t>
            </w:r>
            <w:r>
              <w:rPr>
                <w:rFonts w:hint="eastAsia" w:ascii="宋体" w:hAnsi="宋体" w:cs="宋体"/>
                <w:color w:val="auto"/>
                <w:sz w:val="20"/>
                <w:szCs w:val="20"/>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会议灯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电源电压：AC100~240V，50/60Hz；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电源功率：200W24V；</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额定功率：</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180W；</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灯珠：≥0.5W*600颗；</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显色指数：Ra≥92；</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色   温：3200K-5600K可调；</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调   光：0~100%线性调光；</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控制面板：LCD+四按键；</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通道模式：2CH/4CH/6CH；</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出光角度：≥120度；</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散热方式：无风扇自然散热；</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控制模式：DMX512控制/手动模式；</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防护等级：IP20</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灯光控台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电压：220V-240V</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50-60Hz；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总功率：</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10W；</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功能特点：DMX512国际标准；</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≥240路总通道数；</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≥12场程序</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场</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数.23步程序最大步数</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场景</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≥276步程序总步数</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场景</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.0.1-25.5秒/步场景停顿时间</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0.1-25.5秒场景渐变速度；</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≥24通道调光通道；16*2字符；DMX512输出接口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128K大容量记忆卡</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大灯勾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规格：≥28mm厚；重量：228g；承重：≥50kg；卡管：40-58mm。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安全绳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规格：≥4mm；长度：≥800mm；承重：≥150kg。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灯杆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≥φ50*2.5mm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≥22U；全柜采用优质冷轧钢板；置顶式散热单元，钣金后门上下散热孔设计；</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多媒体地插</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配置接口：</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1个多功能电源，网络，3.5音频，HDMI</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音频隔离器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6.5音响噪音滤波消除电流声变压信号降噪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音频连接线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1.8米音频连接线：卡侬头（母）-卡侬头（公）</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70人党员活动室（101.92㎡）</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全频音箱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numPr>
                <w:ilvl w:val="0"/>
                <w:numId w:val="4"/>
              </w:num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配置</w:t>
            </w: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个44芯高音单元</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个10寸低音单元</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采用可旋转号角</w:t>
            </w:r>
            <w:r>
              <w:rPr>
                <w:rFonts w:hint="eastAsia" w:ascii="宋体" w:hAnsi="宋体" w:cs="宋体"/>
                <w:color w:val="auto"/>
                <w:sz w:val="20"/>
                <w:szCs w:val="20"/>
                <w:highlight w:val="none"/>
                <w:lang w:eastAsia="zh-CN"/>
              </w:rPr>
              <w:t xml:space="preserve">；</w:t>
            </w:r>
            <w:r/>
          </w:p>
          <w:p>
            <w:pPr>
              <w:numPr>
                <w:ilvl w:val="0"/>
                <w:numId w:val="4"/>
              </w:num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箱体采用多层复合夹板</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频率响应：50Hz-20KHz；</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灵敏度</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1W@1m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：≥97dB；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标称抗阻：≤8Ω；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额定功率：≤350W AES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 1400W peak；</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低音单元：</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1×10＂</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250mm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/2.5＂voice coil LF；</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高音单元：</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25mm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/1.75＂voice coil HF；</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扩散角度：90°×50°；</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最大声压级：122dB continuous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128dB peak；</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连接插座：</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2×Speakon NL4</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音箱支架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壁挂支架，多角度调节</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专业功放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额定功率</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rms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 立体声 8Ω：≥2*600W；</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额定功率</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rms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 立体声 4Ω：≥2*900W；</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桥接8Ω：≥1800W；</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信噪比：</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112dB；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转换速率：</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100V/US；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阻尼系数：</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1500：1；</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频率响应：20Hz-20KHz ±0.2dB；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总谐波失真：</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0.025%；</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互调失真：</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0.05%；</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输入灵敏度：0.775V/1.4V（32dB</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输入阻抗：20KΩ</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BLANCE/10KΩ</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UNBLANCE；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输入共模抑制比：</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80dB；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串音干扰/分离度：</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80dB；</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电压增益/放大倍数：×92；</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保护电路：全功能保护电路，包括温度（过热）、短路、直流、压限、过载、过流、失真限幅、欠压/过压、开关机噪音、负载不匹配（低阻）开机软启动、开机防浪涌、无线电干扰、次生波、高频输出自动检测（超高频）等保护；</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16、</w:t>
            </w:r>
            <w:r>
              <w:rPr>
                <w:rFonts w:hint="eastAsia" w:ascii="宋体" w:hAnsi="宋体" w:eastAsia="宋体" w:cs="宋体"/>
                <w:color w:val="auto"/>
                <w:sz w:val="20"/>
                <w:szCs w:val="20"/>
                <w:highlight w:val="none"/>
              </w:rPr>
              <w:t xml:space="preserve">冷却系统：自动无级变速双风扇强制冷却；</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17、</w:t>
            </w:r>
            <w:r>
              <w:rPr>
                <w:rFonts w:hint="eastAsia" w:ascii="宋体" w:hAnsi="宋体" w:eastAsia="宋体" w:cs="宋体"/>
                <w:color w:val="auto"/>
                <w:sz w:val="20"/>
                <w:szCs w:val="20"/>
                <w:highlight w:val="none"/>
              </w:rPr>
              <w:t xml:space="preserve">输出电路类型：H类；</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18、</w:t>
            </w:r>
            <w:r>
              <w:rPr>
                <w:rFonts w:hint="eastAsia" w:ascii="宋体" w:hAnsi="宋体" w:eastAsia="宋体" w:cs="宋体"/>
                <w:color w:val="auto"/>
                <w:sz w:val="20"/>
                <w:szCs w:val="20"/>
                <w:highlight w:val="none"/>
              </w:rPr>
              <w:t xml:space="preserve">最大功耗：≤1500VA/6.5A</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一拖二无线麦克风</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一拖二真分集，手持腰包任意配选；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采用数字导频和ID码身份认证技术；</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3、采</w:t>
            </w:r>
            <w:r>
              <w:rPr>
                <w:rFonts w:hint="eastAsia" w:ascii="宋体" w:hAnsi="宋体" w:eastAsia="宋体" w:cs="宋体"/>
                <w:color w:val="auto"/>
                <w:sz w:val="20"/>
                <w:szCs w:val="20"/>
                <w:highlight w:val="none"/>
              </w:rPr>
              <w:t xml:space="preserve">用锁相环PLL频率合成稳定系统</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提供200个通道；</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采用最新型高频滤波器</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最大限度地滤除带外干扰信号；</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采用二次变频的高频电路设计</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具有极高的灵敏度；</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多重静噪控制电路</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拒绝外部干扰接收距离达250米；</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专门设计的语音压缩扩展电路</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极大地提高信噪比；</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独特的电路设计</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动态大</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频响宽</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噪音小；</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频率范围</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UHF 520-930MHz；</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调制方式</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宽频FM；</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可调范围</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50MHz；</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通道数目</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2x100；</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通道间隔</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250OKHz；</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频率稳定度</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±0.005%以内；</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动态范围</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100dB；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16、</w:t>
            </w:r>
            <w:r>
              <w:rPr>
                <w:rFonts w:hint="eastAsia" w:ascii="宋体" w:hAnsi="宋体" w:eastAsia="宋体" w:cs="宋体"/>
                <w:color w:val="auto"/>
                <w:sz w:val="20"/>
                <w:szCs w:val="20"/>
                <w:highlight w:val="none"/>
              </w:rPr>
              <w:t xml:space="preserve">最大频偏</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±45KHz；</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17、</w:t>
            </w:r>
            <w:r>
              <w:rPr>
                <w:rFonts w:hint="eastAsia" w:ascii="宋体" w:hAnsi="宋体" w:eastAsia="宋体" w:cs="宋体"/>
                <w:color w:val="auto"/>
                <w:sz w:val="20"/>
                <w:szCs w:val="20"/>
                <w:highlight w:val="none"/>
              </w:rPr>
              <w:t xml:space="preserve">音频回应</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80Hz-18KHz</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±3dB</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18、</w:t>
            </w:r>
            <w:r>
              <w:rPr>
                <w:rFonts w:hint="eastAsia" w:ascii="宋体" w:hAnsi="宋体" w:eastAsia="宋体" w:cs="宋体"/>
                <w:color w:val="auto"/>
                <w:sz w:val="20"/>
                <w:szCs w:val="20"/>
                <w:highlight w:val="none"/>
              </w:rPr>
              <w:t xml:space="preserve">综合信噪比</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105dB；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19、</w:t>
            </w:r>
            <w:r>
              <w:rPr>
                <w:rFonts w:hint="eastAsia" w:ascii="宋体" w:hAnsi="宋体" w:eastAsia="宋体" w:cs="宋体"/>
                <w:color w:val="auto"/>
                <w:sz w:val="20"/>
                <w:szCs w:val="20"/>
                <w:highlight w:val="none"/>
              </w:rPr>
              <w:t xml:space="preserve">综合失真</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≤0.5%</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调音台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12通道设计；</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4/8单声道</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4立体声；平衡XLR输出；</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4辅助编组</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2推子前折返</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1衰减；后辅助，</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1组立体声输出；LR主要TRS输出；外接立体声效果输入与内部效果；</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9段立体声均衡；99DSP效果；MP3播放器；低通滤波XLR输出；+48V幻象电源开关；100MM推子；USB录音功能；可机架安装</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音频处理器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采用最新自动校正频点的算法，迅速抑制啸叫点且对原始信号高度保真不损伤</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2寸</w:t>
            </w:r>
            <w:r>
              <w:rPr>
                <w:rFonts w:hint="eastAsia" w:ascii="宋体" w:hAnsi="宋体" w:cs="宋体"/>
                <w:color w:val="auto"/>
                <w:sz w:val="20"/>
                <w:szCs w:val="20"/>
                <w:highlight w:val="none"/>
                <w:lang w:val="en-US" w:eastAsia="zh-CN"/>
              </w:rPr>
              <w:t xml:space="preserve">屏幕</w:t>
            </w:r>
            <w:r>
              <w:rPr>
                <w:rFonts w:hint="eastAsia" w:ascii="宋体" w:hAnsi="宋体" w:eastAsia="宋体" w:cs="宋体"/>
                <w:color w:val="auto"/>
                <w:sz w:val="20"/>
                <w:szCs w:val="20"/>
                <w:highlight w:val="none"/>
              </w:rPr>
              <w:t xml:space="preserve">，中英文可选</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输入最大电平：+20dBu；</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输出通道最大电平：+20dBu；</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总谐波失真+噪声：&lt;0.0025%；</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最小固定延时：&lt;2ms</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反馈抑制器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输入最大电平：+20dBu；输出通道最大电平：+20dBu；总谐波失真+噪声：&lt;0.0025%；最小固定延时：&lt;2ms；</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采用24-bit A/D及D/A转换芯片；采用自动校正频点算法；AB两路各24个自动陷波点，可设置最多达到12个静态陷波点，剩余为循环的动态陷波点；AB两路各24点PEQ设置，每个点可以分别设置频率、Q值、增益，频率分辨精度1Hz；AB两路各设有高低通滤波器；AB两路各设有四档移频功能，配合陷波器使用，啸叫抑制能力出类拔萃；输入压缩功能，消除反馈同时更可控制人声动态范围；AB两路各设输入通道电平补偿调节，且设置系统总增益，范围为-80dB-+10dB。</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电源时序器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单相三线电源输入，</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10路万能插座电源输出；面板有时序总开关</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8路手动控制按钮以及LED状态指示，可单独控制每路电源的通断；每路电源输出具有过流过压保护；提供</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8路多功能电源插座，另有</w:t>
            </w:r>
            <w:r>
              <w:rPr>
                <w:rFonts w:hint="eastAsia" w:ascii="宋体" w:hAnsi="宋体" w:cs="宋体"/>
                <w:color w:val="auto"/>
                <w:sz w:val="20"/>
                <w:szCs w:val="20"/>
                <w:highlight w:val="none"/>
                <w:lang w:val="en-US" w:eastAsia="zh-CN"/>
              </w:rPr>
              <w:t xml:space="preserve">不少于</w:t>
            </w:r>
            <w:r>
              <w:rPr>
                <w:rFonts w:hint="eastAsia" w:ascii="宋体" w:hAnsi="宋体" w:eastAsia="宋体" w:cs="宋体"/>
                <w:color w:val="auto"/>
                <w:sz w:val="20"/>
                <w:szCs w:val="20"/>
                <w:highlight w:val="none"/>
              </w:rPr>
              <w:t xml:space="preserve">两路备用电源插座；数码显示供电电压，直观了解供电情况；标准19寸机柜安装方式（1U）</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线缆及辅材</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金银线2*300支，PVC25管等</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会议灯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电源电压：AC100~240V，50/60Hz；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电源功率：200W24V；</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额定功率：</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180W；</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灯珠：≥0.5W*600颗；</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显色指数：Ra≥92；</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色   温：3200K-5600K可调；</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调   光：0~100%线性调光；</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控制面板：LCD+四按键；</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通道模式：2CH/4CH/6CH；</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出光角度：≥120度；</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散热方式：无风扇自然散热；</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控制模式：DMX512控制/手动模式；</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防护等级：IP20</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灯光控台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电压：220V-240V</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50-60Hz；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总功率：</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10W；</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功能特点：DMX512国际标准；</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≥240路总通道数；</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≥12场程序</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场</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数.23步程序最大步数</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场景</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≥276步程序总步数</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场景</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.0.1-25.5秒/步场景停顿时间</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0.1-25.5秒场景渐变速度；</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≥24通道调光通道；16*2字符；DMX512输出接口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128K大容量记忆卡</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大灯勾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规格：≥28mm厚；重量：228g；承重：≥50kg；卡管：40-58mm。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安全绳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规格：≥4mm；长度：≥800mm；承重：≥150kg。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灯杆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≥φ50*2.5mm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≥22U；全柜采用优质冷轧钢板；置顶式散热单元，钣金后门上下散热孔设计；</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多媒体地插</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配置接口：</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1个多功能电源，网络，3.5音频，HDMI</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音频隔离器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6.5音响噪音滤波消除电流声变压信号降噪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无线传屏器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1、配合会议平板使用，无需驱动，即插即用。</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2、无线传输频段：2.4G/5.8G；</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3、射频功率：-2dbm-4dbm；</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4、传输速率：≥10MBps；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5、支持视频分辨率：FHD 60Hz及以上；</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6、无线传输距离：&gt;10m；</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7、最大连接数：≥8个；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HDMI延长器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HDMI延长器135米 hdmi转RJ45单网线</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音频连接线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1.8米GQ音频连接线：卡侬头（母）-卡侬头（公）</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HDMI线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HDMI 5米</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208人大会议室（275㎡）</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主扩音箱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配置≥一个75芯高音单元和≥一个75芯大动态的15寸低音单元。</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采用可旋转号角。箱体采用多层复合夹板。</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频率响应：40Hz-20KHz；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灵敏度</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1W@1m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：≥100dB；</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标称抗阻：≤8Ω；</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额定功率：≤500W AES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 2000W peak；</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低音单元：1×15＂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385mm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/3＂voice coil LF；</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高音单元：1×1.5＂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38mm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/3＂voice coil HF；</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扩散角度：80°×50°；</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最大声压级：126dB continuous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132dB peak；</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连接插座：2×Speakon NL4</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音箱支架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壁挂支架，多角度调节</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主扩功放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额定功率：立体声8Ω：不少于2*400W；立体声4Ω：不少于2*600W；</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信噪比：≥100dB；</w:t>
            </w:r>
            <w:r/>
          </w:p>
          <w:p>
            <w:pPr>
              <w:jc w:val="left"/>
              <w:keepNext/>
              <w:widowControl/>
              <w:rPr>
                <w:rStyle w:val="1014"/>
                <w:rFonts w:hint="eastAsia" w:ascii="宋体" w:hAnsi="宋体" w:eastAsia="宋体" w:cs="宋体"/>
                <w:color w:val="auto"/>
                <w:highlight w:val="none"/>
              </w:rPr>
            </w:pP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3、</w:t>
            </w:r>
            <w:r>
              <w:rPr>
                <w:rStyle w:val="1013"/>
                <w:rFonts w:hint="eastAsia" w:ascii="宋体" w:hAnsi="宋体" w:eastAsia="宋体" w:cs="宋体"/>
                <w:color w:val="auto"/>
                <w:highlight w:val="none"/>
              </w:rPr>
              <w:t xml:space="preserve">自带5路电源时序功能；自带数字静噪功能，通过对启动/关闭响应时间及灵敏度的设置，可适应更多应用场景底噪消除；</w:t>
            </w:r>
            <w:r>
              <w:rPr>
                <w:rStyle w:val="1014"/>
                <w:rFonts w:hint="eastAsia" w:ascii="宋体" w:hAnsi="宋体" w:eastAsia="宋体" w:cs="宋体"/>
                <w:color w:val="auto"/>
                <w:highlight w:val="none"/>
              </w:rPr>
              <w:t xml:space="preserve">自动无极变速双风扇强制冷却。</w:t>
            </w:r>
            <w:r/>
          </w:p>
          <w:p>
            <w:pPr>
              <w:jc w:val="left"/>
              <w:keepNext/>
              <w:widowControl/>
              <w:rPr>
                <w:rFonts w:hint="eastAsia" w:ascii="宋体" w:hAnsi="宋体" w:eastAsia="宋体" w:cs="宋体"/>
                <w:color w:val="auto"/>
                <w:sz w:val="20"/>
                <w:szCs w:val="20"/>
                <w:highlight w:val="none"/>
              </w:rPr>
            </w:pPr>
            <w:r>
              <w:rPr>
                <w:rStyle w:val="1012"/>
                <w:rFonts w:hint="eastAsia" w:ascii="宋体" w:hAnsi="宋体" w:cs="宋体"/>
                <w:color w:val="auto"/>
                <w:highlight w:val="none"/>
                <w:lang w:val="en-US" w:eastAsia="zh-CN"/>
              </w:rPr>
              <w:t xml:space="preserve">4、</w:t>
            </w:r>
            <w:r>
              <w:rPr>
                <w:rStyle w:val="1012"/>
                <w:rFonts w:hint="eastAsia" w:ascii="宋体" w:hAnsi="宋体" w:eastAsia="宋体" w:cs="宋体"/>
                <w:color w:val="auto"/>
                <w:highlight w:val="none"/>
              </w:rPr>
              <w:t xml:space="preserve">全功能保护电路，包括温度</w:t>
            </w:r>
            <w:r>
              <w:rPr>
                <w:rStyle w:val="1012"/>
                <w:rFonts w:hint="eastAsia" w:ascii="宋体" w:hAnsi="宋体" w:cs="宋体"/>
                <w:color w:val="auto"/>
                <w:highlight w:val="none"/>
                <w:lang w:eastAsia="zh-CN"/>
              </w:rPr>
              <w:t xml:space="preserve">（</w:t>
            </w:r>
            <w:r>
              <w:rPr>
                <w:rStyle w:val="1012"/>
                <w:rFonts w:hint="eastAsia" w:ascii="宋体" w:hAnsi="宋体" w:eastAsia="宋体" w:cs="宋体"/>
                <w:color w:val="auto"/>
                <w:highlight w:val="none"/>
              </w:rPr>
              <w:t xml:space="preserve">过热</w:t>
            </w:r>
            <w:r>
              <w:rPr>
                <w:rStyle w:val="1012"/>
                <w:rFonts w:hint="eastAsia" w:ascii="宋体" w:hAnsi="宋体" w:cs="宋体"/>
                <w:color w:val="auto"/>
                <w:highlight w:val="none"/>
                <w:lang w:eastAsia="zh-CN"/>
              </w:rPr>
              <w:t xml:space="preserve">）</w:t>
            </w:r>
            <w:r>
              <w:rPr>
                <w:rStyle w:val="1012"/>
                <w:rFonts w:hint="eastAsia" w:ascii="宋体" w:hAnsi="宋体" w:eastAsia="宋体" w:cs="宋体"/>
                <w:color w:val="auto"/>
                <w:highlight w:val="none"/>
              </w:rPr>
              <w:t xml:space="preserve">、短路、直流、压限、过载、过流、失真限幅、欠压/过压、开关机噪音、负载不匹配</w:t>
            </w:r>
            <w:r>
              <w:rPr>
                <w:rStyle w:val="1012"/>
                <w:rFonts w:hint="eastAsia" w:ascii="宋体" w:hAnsi="宋体" w:cs="宋体"/>
                <w:color w:val="auto"/>
                <w:highlight w:val="none"/>
                <w:lang w:eastAsia="zh-CN"/>
              </w:rPr>
              <w:t xml:space="preserve">（</w:t>
            </w:r>
            <w:r>
              <w:rPr>
                <w:rStyle w:val="1012"/>
                <w:rFonts w:hint="eastAsia" w:ascii="宋体" w:hAnsi="宋体" w:eastAsia="宋体" w:cs="宋体"/>
                <w:color w:val="auto"/>
                <w:highlight w:val="none"/>
              </w:rPr>
              <w:t xml:space="preserve">低阻</w:t>
            </w:r>
            <w:r>
              <w:rPr>
                <w:rStyle w:val="1012"/>
                <w:rFonts w:hint="eastAsia" w:ascii="宋体" w:hAnsi="宋体" w:cs="宋体"/>
                <w:color w:val="auto"/>
                <w:highlight w:val="none"/>
                <w:lang w:eastAsia="zh-CN"/>
              </w:rPr>
              <w:t xml:space="preserve">）</w:t>
            </w:r>
            <w:r>
              <w:rPr>
                <w:rStyle w:val="1012"/>
                <w:rFonts w:hint="eastAsia" w:ascii="宋体" w:hAnsi="宋体" w:eastAsia="宋体" w:cs="宋体"/>
                <w:color w:val="auto"/>
                <w:highlight w:val="none"/>
              </w:rPr>
              <w:t xml:space="preserve">开机软启动、开机防浪涌、无线电干扰、次生波、高频输出自动检测</w:t>
            </w:r>
            <w:r>
              <w:rPr>
                <w:rStyle w:val="1012"/>
                <w:rFonts w:hint="eastAsia" w:ascii="宋体" w:hAnsi="宋体" w:cs="宋体"/>
                <w:color w:val="auto"/>
                <w:highlight w:val="none"/>
                <w:lang w:eastAsia="zh-CN"/>
              </w:rPr>
              <w:t xml:space="preserve">（</w:t>
            </w:r>
            <w:r>
              <w:rPr>
                <w:rStyle w:val="1012"/>
                <w:rFonts w:hint="eastAsia" w:ascii="宋体" w:hAnsi="宋体" w:eastAsia="宋体" w:cs="宋体"/>
                <w:color w:val="auto"/>
                <w:highlight w:val="none"/>
              </w:rPr>
              <w:t xml:space="preserve">超高频</w:t>
            </w:r>
            <w:r>
              <w:rPr>
                <w:rStyle w:val="1012"/>
                <w:rFonts w:hint="eastAsia" w:ascii="宋体" w:hAnsi="宋体" w:cs="宋体"/>
                <w:color w:val="auto"/>
                <w:highlight w:val="none"/>
                <w:lang w:eastAsia="zh-CN"/>
              </w:rPr>
              <w:t xml:space="preserve">）</w:t>
            </w:r>
            <w:r>
              <w:rPr>
                <w:rStyle w:val="1012"/>
                <w:rFonts w:hint="eastAsia" w:ascii="宋体" w:hAnsi="宋体" w:eastAsia="宋体" w:cs="宋体"/>
                <w:color w:val="auto"/>
                <w:highlight w:val="none"/>
              </w:rPr>
              <w:t xml:space="preserve">等保护。</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辅助音箱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频率响应：45Hz-19KHz；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灵敏度</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1W@1m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：≥99dB；</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标称抗阻：≤8Ω；</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额定功率：≤450W AES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 1800W peak；</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低音单元：1×12＂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300mm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/3＂voice coil LF；</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高音单元：1×1＂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25mm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/1.75＂voice coil HF；</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扩散角度：80°×50°；</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最大声压级：126dB continuous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138dB peak；</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连接插座：2×Speakon NL4</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音箱支架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壁挂支架，多角度调节</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辅助功放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额定功率</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rms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 立体声 8Ω：≥2*600W；</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额定功率</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rms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 立体声 4Ω：≥2*900W；</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桥接8Ω：≥1800W；</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信噪比：</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112dB；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转换速率：</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100V/US；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阻尼系数：</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1500：1；</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频率响应：20Hz-20KHz ±0.2dB；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总谐波失真：</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0.025%；</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互调失真：</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0.05%；</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输入灵敏度：0.775V/1.4V（32dB</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输入阻抗：20KΩ</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BLANCE/10KΩ</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UNBLANCE；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输入共模抑制比：</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80dB；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串音干扰/分离度：</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80dB；</w:t>
            </w:r>
            <w:r>
              <w:rPr>
                <w:rFonts w:hint="eastAsia" w:ascii="宋体" w:hAnsi="宋体" w:eastAsia="宋体" w:cs="宋体"/>
                <w:color w:val="auto"/>
                <w:sz w:val="20"/>
                <w:szCs w:val="20"/>
                <w:highlight w:val="none"/>
              </w:rPr>
              <w:br/>
            </w:r>
            <w:r>
              <w:rPr>
                <w:rFonts w:hint="eastAsia" w:ascii="宋体" w:hAnsi="宋体" w:eastAsia="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电压增益/放大倍数：×92；</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保护电路：全功能保护电路，包括温度（过热）、短路、直流、压限、过载、过流、失真限幅、欠压/过压、开关机噪音、负载不匹配（低阻）开机软启动、开机防浪涌、无线电干扰、次生波、高频输出自动检测（超高频）等保护；</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16、</w:t>
            </w:r>
            <w:r>
              <w:rPr>
                <w:rFonts w:hint="eastAsia" w:ascii="宋体" w:hAnsi="宋体" w:eastAsia="宋体" w:cs="宋体"/>
                <w:color w:val="auto"/>
                <w:sz w:val="20"/>
                <w:szCs w:val="20"/>
                <w:highlight w:val="none"/>
              </w:rPr>
              <w:t xml:space="preserve">冷却系统：自动无级变速双风扇强制冷却；</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17、</w:t>
            </w:r>
            <w:r>
              <w:rPr>
                <w:rFonts w:hint="eastAsia" w:ascii="宋体" w:hAnsi="宋体" w:eastAsia="宋体" w:cs="宋体"/>
                <w:color w:val="auto"/>
                <w:sz w:val="20"/>
                <w:szCs w:val="20"/>
                <w:highlight w:val="none"/>
              </w:rPr>
              <w:t xml:space="preserve">输出电路类型：H类；</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18、</w:t>
            </w:r>
            <w:r>
              <w:rPr>
                <w:rFonts w:hint="eastAsia" w:ascii="宋体" w:hAnsi="宋体" w:eastAsia="宋体" w:cs="宋体"/>
                <w:color w:val="auto"/>
                <w:sz w:val="20"/>
                <w:szCs w:val="20"/>
                <w:highlight w:val="none"/>
              </w:rPr>
              <w:t xml:space="preserve">最大功耗：≤1500VA/6.5A</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数字音频处理器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4进8出数字音频处理器，96Khz采样频率，AD/DA动态范围达118dB；输入输出可调延时达1000ms，精度0.02ms；</w:t>
            </w:r>
            <w:r/>
          </w:p>
          <w:p>
            <w:pPr>
              <w:jc w:val="left"/>
              <w:keepNext/>
              <w:widowControl/>
              <w:rPr>
                <w:rStyle w:val="1015"/>
                <w:rFonts w:hint="eastAsia" w:ascii="宋体" w:hAnsi="宋体" w:eastAsia="宋体" w:cs="宋体"/>
                <w:color w:val="auto"/>
                <w:highlight w:val="none"/>
              </w:rPr>
            </w:pPr>
            <w:r>
              <w:rPr>
                <w:rStyle w:val="1013"/>
                <w:rFonts w:hint="eastAsia" w:ascii="宋体" w:hAnsi="宋体" w:cs="宋体"/>
                <w:color w:val="auto"/>
                <w:highlight w:val="none"/>
                <w:lang w:val="en-US" w:eastAsia="zh-CN"/>
              </w:rPr>
              <w:t xml:space="preserve">2、</w:t>
            </w:r>
            <w:r>
              <w:rPr>
                <w:rStyle w:val="1013"/>
                <w:rFonts w:hint="eastAsia" w:ascii="宋体" w:hAnsi="宋体" w:eastAsia="宋体" w:cs="宋体"/>
                <w:color w:val="auto"/>
                <w:highlight w:val="none"/>
              </w:rPr>
              <w:t xml:space="preserve">内置粉红/白噪声/正弦发生器；输入通道：噪声门、反馈抑制器、10段参量均衡、3段动态均衡器、高低通、压缩器、延时；</w:t>
            </w:r>
            <w:r>
              <w:rPr>
                <w:rStyle w:val="1015"/>
                <w:rFonts w:hint="eastAsia" w:ascii="宋体" w:hAnsi="宋体" w:eastAsia="宋体" w:cs="宋体"/>
                <w:color w:val="auto"/>
                <w:highlight w:val="none"/>
              </w:rPr>
              <w:t xml:space="preserve">以太网+USB+RS232/485控制接口，开放TCP/IP及串口协议实现第三方控制；</w:t>
            </w:r>
            <w:r/>
          </w:p>
          <w:p>
            <w:pPr>
              <w:jc w:val="left"/>
              <w:keepNext/>
              <w:widowControl/>
              <w:rPr>
                <w:rFonts w:hint="eastAsia" w:ascii="宋体" w:hAnsi="宋体" w:eastAsia="宋体" w:cs="宋体"/>
                <w:color w:val="auto"/>
                <w:sz w:val="20"/>
                <w:szCs w:val="20"/>
                <w:highlight w:val="none"/>
                <w:lang w:val="en-US" w:eastAsia="zh-CN"/>
              </w:rPr>
            </w:pPr>
            <w:r>
              <w:rPr>
                <w:rStyle w:val="1012"/>
                <w:rFonts w:hint="eastAsia" w:ascii="宋体" w:hAnsi="宋体" w:cs="宋体"/>
                <w:color w:val="auto"/>
                <w:highlight w:val="none"/>
                <w:lang w:val="en-US" w:eastAsia="zh-CN"/>
              </w:rPr>
              <w:t xml:space="preserve">3、</w:t>
            </w:r>
            <w:r>
              <w:rPr>
                <w:rStyle w:val="1012"/>
                <w:rFonts w:hint="eastAsia" w:ascii="宋体" w:hAnsi="宋体" w:eastAsia="宋体" w:cs="宋体"/>
                <w:color w:val="auto"/>
                <w:highlight w:val="none"/>
              </w:rPr>
              <w:t xml:space="preserve">输出通道功能：矩阵混音，10段参量均衡、高低通、压缩器、限幅器、延时器；灵活的GPIO端口（输入输出各2个）便于系统集成联控[可选GPIO扩展盒]；PC 软件搜索发现处理器，支持23组场景预设，可灵活调用</w:t>
            </w:r>
            <w:r>
              <w:rPr>
                <w:rStyle w:val="1012"/>
                <w:rFonts w:hint="eastAsia" w:ascii="宋体" w:hAnsi="宋体" w:cs="宋体"/>
                <w:color w:val="auto"/>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语言增强处理器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采用人工智能宽度学习算法，能明显降低语言扩声过程中非人声类噪音。每路包含ANS智能降噪及增益控制、反馈抑制、10段参量均衡、高低通、AGC自动增益；输入和输出都有4个接口，2个6.35话筒接口和2个卡依母接口；</w:t>
            </w:r>
            <w:r/>
          </w:p>
          <w:p>
            <w:pPr>
              <w:jc w:val="left"/>
              <w:keepNext/>
              <w:widowControl/>
              <w:rPr>
                <w:rStyle w:val="1013"/>
                <w:rFonts w:hint="eastAsia" w:ascii="宋体" w:hAnsi="宋体" w:eastAsia="宋体" w:cs="宋体"/>
                <w:color w:val="auto"/>
                <w:highlight w:val="none"/>
              </w:rPr>
            </w:pP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2、</w:t>
            </w:r>
            <w:r>
              <w:rPr>
                <w:rStyle w:val="1013"/>
                <w:rFonts w:hint="eastAsia" w:ascii="宋体" w:hAnsi="宋体" w:eastAsia="宋体" w:cs="宋体"/>
                <w:color w:val="auto"/>
                <w:highlight w:val="none"/>
              </w:rPr>
              <w:t xml:space="preserve">LCD显示屏指示通道Link状态、ANS降噪等级、AFS移频和AGC自动增益阈值、面板锁状态；输入接口支持＋48V幻像电源以及线路和麦克风信号类型切换；具有10级ANS降噪功能；具有AFS移频啸叫抑制；具有AGC自动增益阈值调节功能；</w:t>
            </w:r>
            <w:r/>
          </w:p>
          <w:p>
            <w:pPr>
              <w:jc w:val="left"/>
              <w:keepNext/>
              <w:widowControl/>
              <w:rPr>
                <w:rFonts w:hint="eastAsia" w:ascii="宋体" w:hAnsi="宋体" w:eastAsia="宋体" w:cs="宋体"/>
                <w:color w:val="auto"/>
                <w:sz w:val="20"/>
                <w:szCs w:val="20"/>
                <w:highlight w:val="none"/>
                <w:lang w:eastAsia="zh-CN"/>
              </w:rPr>
            </w:pPr>
            <w:r>
              <w:rPr>
                <w:rStyle w:val="1012"/>
                <w:rFonts w:hint="eastAsia" w:ascii="宋体" w:hAnsi="宋体" w:cs="宋体"/>
                <w:color w:val="auto"/>
                <w:highlight w:val="none"/>
                <w:lang w:val="en-US" w:eastAsia="zh-CN"/>
              </w:rPr>
              <w:t xml:space="preserve">3、</w:t>
            </w:r>
            <w:r>
              <w:rPr>
                <w:rStyle w:val="1012"/>
                <w:rFonts w:hint="eastAsia" w:ascii="宋体" w:hAnsi="宋体" w:eastAsia="宋体" w:cs="宋体"/>
                <w:color w:val="auto"/>
                <w:highlight w:val="none"/>
              </w:rPr>
              <w:t xml:space="preserve">信号处理功能：人工智能降噪、反馈抑制、10段参量均衡、高低通滤波器、AGC自动增益、压缩、噪声门、相位、动态均衡；23组预设，每个预设独立工作；支持通道拷贝、Link和分组功能</w:t>
            </w:r>
            <w:r>
              <w:rPr>
                <w:rStyle w:val="1012"/>
                <w:rFonts w:hint="eastAsia" w:ascii="宋体" w:hAnsi="宋体" w:cs="宋体"/>
                <w:color w:val="auto"/>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调音台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12通道设计；</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4/8单声道</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4立体声；平衡XLR输出；</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4辅助编组</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2推子前折返</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1衰减；后辅助，</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1组立体声输出；LR主要TRS输出；外接立体声效果输入与内部效果；</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9段立体声均衡；99DSP效果；MP3播放器；低通滤波XLR输出；+48V幻象电源开关；100MM推子；USB录音功能；可机架安装</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一拖二无线麦克风</w:t>
            </w:r>
            <w:r/>
          </w:p>
        </w:tc>
        <w:tc>
          <w:tcPr>
            <w:tcBorders>
              <w:top w:val="single" w:color="000000" w:sz="4" w:space="0"/>
              <w:left w:val="single" w:color="000000" w:sz="4" w:space="0"/>
              <w:bottom w:val="single" w:color="000000" w:sz="4" w:space="0"/>
              <w:right w:val="single" w:color="000000" w:sz="4" w:space="0"/>
            </w:tcBorders>
            <w:tcW w:w="6236" w:type="dxa"/>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红外线对频功能，能方便、快捷的使发射机与接收机频率同步。发射器可以互换，手持、头戴和领夹话筒可任意搭配使用，操作简单、功能先进；</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主机具有300-400米的有效工作距离</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可视距离</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提供200个可调频率，真正分集式接收，有效避免断频现象和延长接收距离；</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采用PLL锁相环多信道频率合成技术设计，UHF600-699MHz频段载波，超高频段双真分集超外差二次变频接收，具备超强抗RF/GSM信号干扰能力；</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具有SCAN自动扫频功能，使用前按SET功能键自动找一个环境最干净的频点处停下来，此频率作为接收机的使用频率；</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中、英文切换，可设置全中文显示和开机LOGO显示方式，同时显示信道号、工作频率、电池电量和开关状态，带8级射频电平显示，8级音频电平显示，频道菜单显示，静音显示；</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可</w:t>
            </w:r>
            <w:r>
              <w:rPr>
                <w:rFonts w:hint="eastAsia" w:ascii="宋体" w:hAnsi="宋体" w:eastAsia="宋体" w:cs="宋体"/>
                <w:color w:val="auto"/>
                <w:sz w:val="20"/>
                <w:szCs w:val="20"/>
                <w:highlight w:val="none"/>
              </w:rPr>
              <w:t xml:space="preserve">清晰明确地显示工作频率或频道、电池电量、开关状态等；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主机面板具有一键自动静音功能，具有锁键功能，使用电子音量控制，防止人为误操作，具有解/锁ID功能，更专业；</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平衡和非平衡两种选择输出端口，适应不同的设备连接需求；</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中频丰富，声音具有磁性感和混厚感，属人声麦克风音质的精华；</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超强的抗干扰能力，能有效抑制由外部带来的噪音干扰及同频干扰；</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金属外壳1U的标准机柜设计，轻触式按钮控制简捷，安装和使用更方便。</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一拖二无线麦克风</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一拖二真分集，手持腰包任意配选；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采用数字导频和ID码身份认证技术；</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3、采</w:t>
            </w:r>
            <w:r>
              <w:rPr>
                <w:rFonts w:hint="eastAsia" w:ascii="宋体" w:hAnsi="宋体" w:eastAsia="宋体" w:cs="宋体"/>
                <w:color w:val="auto"/>
                <w:sz w:val="20"/>
                <w:szCs w:val="20"/>
                <w:highlight w:val="none"/>
              </w:rPr>
              <w:t xml:space="preserve">用锁相环PLL频率合成稳定系统</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提供200个通道；</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采用最新型高频滤波器</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最大限度地滤除带外干扰信号；</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采用二次变频的高频电路设计</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具有极高的灵敏度；</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多重静噪控制电路</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拒绝外部干扰接收距离达250米；</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专门设计的语音压缩扩展电路</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极大地提高信噪比；</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独特的电路设计</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动态大</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频响宽</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噪音小；</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频率范围</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UHF 520-930MHz；</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调制方式</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宽频FM；</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可调范围</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50MHz；</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通道数目</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2x100；</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通道间隔</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250OKHz；</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频率稳定度</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±0.005%以内；</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动态范围</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100dB；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16、</w:t>
            </w:r>
            <w:r>
              <w:rPr>
                <w:rFonts w:hint="eastAsia" w:ascii="宋体" w:hAnsi="宋体" w:eastAsia="宋体" w:cs="宋体"/>
                <w:color w:val="auto"/>
                <w:sz w:val="20"/>
                <w:szCs w:val="20"/>
                <w:highlight w:val="none"/>
              </w:rPr>
              <w:t xml:space="preserve">最大频偏</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±45KHz；</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17、</w:t>
            </w:r>
            <w:r>
              <w:rPr>
                <w:rFonts w:hint="eastAsia" w:ascii="宋体" w:hAnsi="宋体" w:eastAsia="宋体" w:cs="宋体"/>
                <w:color w:val="auto"/>
                <w:sz w:val="20"/>
                <w:szCs w:val="20"/>
                <w:highlight w:val="none"/>
              </w:rPr>
              <w:t xml:space="preserve">音频回应</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80Hz-18KHz</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±3dB</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18、</w:t>
            </w:r>
            <w:r>
              <w:rPr>
                <w:rFonts w:hint="eastAsia" w:ascii="宋体" w:hAnsi="宋体" w:eastAsia="宋体" w:cs="宋体"/>
                <w:color w:val="auto"/>
                <w:sz w:val="20"/>
                <w:szCs w:val="20"/>
                <w:highlight w:val="none"/>
              </w:rPr>
              <w:t xml:space="preserve">综合信噪比</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105dB；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19、</w:t>
            </w:r>
            <w:r>
              <w:rPr>
                <w:rFonts w:hint="eastAsia" w:ascii="宋体" w:hAnsi="宋体" w:eastAsia="宋体" w:cs="宋体"/>
                <w:color w:val="auto"/>
                <w:sz w:val="20"/>
                <w:szCs w:val="20"/>
                <w:highlight w:val="none"/>
              </w:rPr>
              <w:t xml:space="preserve">综合失真</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≤0.5%</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天线分配器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1.8寸，显示天线信号状态，麦克风接收机在线状态，电源输出状态；</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带GAIN增益按钮，GAIN可调增益：+3dB</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+6dB</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+9dB可调，屏幕显示增益设置；</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可配置定向天线及全向天线；</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共AB两组</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8个信号输出：麦克风主机天线接收；</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1个直流DC12V 5A输入：天线放大器主机电源座；</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2个级联输出接口：连接下一台天线放大器；</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4个DC电源输出：直流输出DC12V-1A；</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2个有源天线放大模块</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或无源天线</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输入接口AB：带DC8V 500mA输出；</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天线类型：对数周期偶极阵</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LPDA</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天线；</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连接端子：固定式直角 BNC母座；</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指向极性：垂直</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于垂直安装</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指向性：椭圆形180°典型；</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工作频带：500MHz-900MHz；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导波器段数：</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11段；</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16、</w:t>
            </w:r>
            <w:r>
              <w:rPr>
                <w:rFonts w:hint="eastAsia" w:ascii="宋体" w:hAnsi="宋体" w:eastAsia="宋体" w:cs="宋体"/>
                <w:color w:val="auto"/>
                <w:sz w:val="20"/>
                <w:szCs w:val="20"/>
                <w:highlight w:val="none"/>
              </w:rPr>
              <w:t xml:space="preserve">电压驻波比：至1.5</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有源对数周期天线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射频频率范围等同或优于470～950MHz；</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驻波比：≤2.0；</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输入阻抗：≤50Ω；</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指向性：≥180度指向</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会议系统主机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具有多种会议模式，最大发言人数</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4人；系统操作简便、直观而易用</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无线方式实现所有功能，摆脱繁琐的电缆铺设，信号覆盖范围内可任意移动，轻松便捷布置会场</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全自动定频，系统预设20组不同的频段通道，可设置多套系统在同一会场使用，满足大型的会议需求，也可避免与其他无线产品的相互干扰</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采用ATGAT技术（自动时隙分配技术）的具有避免和解决通信冲突能力的时分多址接入通信协议（CSTDMA），自动选取最优频率进行通信，无需人工设定工作频率。多台接收机同时工作时，各接收机会自动避开其它接收机已经选用的频点进行工作，全过程全自动进行，无需人工干预，实现智能安装</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内置多种传感器，无线侦测、无线调控、无线匹配、无线加密、无线自动管理，无需任何辅助即可帮您工作顺利完成</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雷达选频自动同步工作，列席单元在同一地址码时，主控机更换通讯频道，所有列席单元自动跟随同步，免除需专业人员的调试安装</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主控机支持168个列席单元，同时发言人数</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4人，可按实际会议需求设定人数</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主控机发言模式设有先进先出、主席模式，具有轮替1-2-3-4-、限制1-2-3-4</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主控机支持中控控制，话筒单元具有开、关话筒发码功能</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主控机可以发起编写单元ID地址，可按需增减单元数量，灵活方便，告别编址繁琐</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主控机具有一键关闭所有会议单元的功能，省去人工手动关闭单元电源的操作</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列席单元无缝接入，随时更换或增加列席单元，无需中断会议进程</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采用真分集芯片，增强无线距离及无线传输的稳定性，适应各种特殊会场环境</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2.8寸，分级菜单设计，会议模式</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使操作简明方便</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主控机采用全金属结构设计，庄重大方，线路与外壳都加强了与地线的连接，保证具备可抗静电8000V的能力</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16、</w:t>
            </w:r>
            <w:r>
              <w:rPr>
                <w:rFonts w:hint="eastAsia" w:ascii="宋体" w:hAnsi="宋体" w:eastAsia="宋体" w:cs="宋体"/>
                <w:color w:val="auto"/>
                <w:sz w:val="20"/>
                <w:szCs w:val="20"/>
                <w:highlight w:val="none"/>
              </w:rPr>
              <w:t xml:space="preserve">主机关机</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2秒钟，列席单元自动关机，避免浪费电池电量，造成不必要麻烦</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17、</w:t>
            </w:r>
            <w:r>
              <w:rPr>
                <w:rFonts w:hint="eastAsia" w:ascii="宋体" w:hAnsi="宋体" w:eastAsia="宋体" w:cs="宋体"/>
                <w:color w:val="auto"/>
                <w:sz w:val="20"/>
                <w:szCs w:val="20"/>
                <w:highlight w:val="none"/>
              </w:rPr>
              <w:t xml:space="preserve">主控机采用标准2U设计，稳重坚固，可安装在19英寸标准机柜。</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18、</w:t>
            </w:r>
            <w:r>
              <w:rPr>
                <w:rFonts w:hint="eastAsia" w:ascii="宋体" w:hAnsi="宋体" w:eastAsia="宋体" w:cs="宋体"/>
                <w:color w:val="auto"/>
                <w:sz w:val="20"/>
                <w:szCs w:val="20"/>
                <w:highlight w:val="none"/>
              </w:rPr>
              <w:t xml:space="preserve">配套外置吸盘天线，可吸附在机柜顶，信号强安装便利。 </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19、</w:t>
            </w:r>
            <w:r>
              <w:rPr>
                <w:rFonts w:hint="eastAsia" w:ascii="宋体" w:hAnsi="宋体" w:eastAsia="宋体" w:cs="宋体"/>
                <w:color w:val="auto"/>
                <w:sz w:val="20"/>
                <w:szCs w:val="20"/>
                <w:highlight w:val="none"/>
              </w:rPr>
              <w:t xml:space="preserve">载波频段：UHF640MHz-690MHz；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20、</w:t>
            </w:r>
            <w:r>
              <w:rPr>
                <w:rFonts w:hint="eastAsia" w:ascii="宋体" w:hAnsi="宋体" w:eastAsia="宋体" w:cs="宋体"/>
                <w:color w:val="auto"/>
                <w:sz w:val="20"/>
                <w:szCs w:val="20"/>
                <w:highlight w:val="none"/>
              </w:rPr>
              <w:t xml:space="preserve">调制方式：FM；</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21、</w:t>
            </w:r>
            <w:r>
              <w:rPr>
                <w:rFonts w:hint="eastAsia" w:ascii="宋体" w:hAnsi="宋体" w:eastAsia="宋体" w:cs="宋体"/>
                <w:color w:val="auto"/>
                <w:sz w:val="20"/>
                <w:szCs w:val="20"/>
                <w:highlight w:val="none"/>
              </w:rPr>
              <w:t xml:space="preserve">工作有效距离：</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60米；</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22、</w:t>
            </w:r>
            <w:r>
              <w:rPr>
                <w:rFonts w:hint="eastAsia" w:ascii="宋体" w:hAnsi="宋体" w:eastAsia="宋体" w:cs="宋体"/>
                <w:color w:val="auto"/>
                <w:sz w:val="20"/>
                <w:szCs w:val="20"/>
                <w:highlight w:val="none"/>
              </w:rPr>
              <w:t xml:space="preserve">震荡方式：PLL相位锁定频率合成；</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23、</w:t>
            </w:r>
            <w:r>
              <w:rPr>
                <w:rFonts w:hint="eastAsia" w:ascii="宋体" w:hAnsi="宋体" w:eastAsia="宋体" w:cs="宋体"/>
                <w:color w:val="auto"/>
                <w:sz w:val="20"/>
                <w:szCs w:val="20"/>
                <w:highlight w:val="none"/>
              </w:rPr>
              <w:t xml:space="preserve">接收灵敏度：-95dBm；</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24、</w:t>
            </w:r>
            <w:r>
              <w:rPr>
                <w:rFonts w:hint="eastAsia" w:ascii="宋体" w:hAnsi="宋体" w:eastAsia="宋体" w:cs="宋体"/>
                <w:color w:val="auto"/>
                <w:sz w:val="20"/>
                <w:szCs w:val="20"/>
                <w:highlight w:val="none"/>
              </w:rPr>
              <w:t xml:space="preserve">频带宽度：30MHz；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25、</w:t>
            </w:r>
            <w:r>
              <w:rPr>
                <w:rFonts w:hint="eastAsia" w:ascii="宋体" w:hAnsi="宋体" w:eastAsia="宋体" w:cs="宋体"/>
                <w:color w:val="auto"/>
                <w:sz w:val="20"/>
                <w:szCs w:val="20"/>
                <w:highlight w:val="none"/>
              </w:rPr>
              <w:t xml:space="preserve">最大偏移度：±45KHz；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26、</w:t>
            </w:r>
            <w:r>
              <w:rPr>
                <w:rFonts w:hint="eastAsia" w:ascii="宋体" w:hAnsi="宋体" w:eastAsia="宋体" w:cs="宋体"/>
                <w:color w:val="auto"/>
                <w:sz w:val="20"/>
                <w:szCs w:val="20"/>
                <w:highlight w:val="none"/>
              </w:rPr>
              <w:t xml:space="preserve">综合信噪比S/N：&gt;105dB；</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27、</w:t>
            </w:r>
            <w:r>
              <w:rPr>
                <w:rFonts w:hint="eastAsia" w:ascii="宋体" w:hAnsi="宋体" w:eastAsia="宋体" w:cs="宋体"/>
                <w:color w:val="auto"/>
                <w:sz w:val="20"/>
                <w:szCs w:val="20"/>
                <w:highlight w:val="none"/>
              </w:rPr>
              <w:t xml:space="preserve">综合T.H.D：&lt;0.7%@1KHz；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28、</w:t>
            </w:r>
            <w:r>
              <w:rPr>
                <w:rFonts w:hint="eastAsia" w:ascii="宋体" w:hAnsi="宋体" w:eastAsia="宋体" w:cs="宋体"/>
                <w:color w:val="auto"/>
                <w:sz w:val="20"/>
                <w:szCs w:val="20"/>
                <w:highlight w:val="none"/>
              </w:rPr>
              <w:t xml:space="preserve">综合频率响应：45Hz-18KHz±1dB；</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29、</w:t>
            </w:r>
            <w:r>
              <w:rPr>
                <w:rFonts w:hint="eastAsia" w:ascii="宋体" w:hAnsi="宋体" w:eastAsia="宋体" w:cs="宋体"/>
                <w:color w:val="auto"/>
                <w:sz w:val="20"/>
                <w:szCs w:val="20"/>
                <w:highlight w:val="none"/>
              </w:rPr>
              <w:t xml:space="preserve">供电：12V 1A；</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30、</w:t>
            </w:r>
            <w:r>
              <w:rPr>
                <w:rFonts w:hint="eastAsia" w:ascii="宋体" w:hAnsi="宋体" w:eastAsia="宋体" w:cs="宋体"/>
                <w:color w:val="auto"/>
                <w:sz w:val="20"/>
                <w:szCs w:val="20"/>
                <w:highlight w:val="none"/>
              </w:rPr>
              <w:t xml:space="preserve">输出插座：XLR平行式及6.3不平行式插座</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会议主席单元</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2.8寸，分级菜单设计。具有电量显示和欠压警告，频率信道、信号指示和工作状态等功能。列席单元通信状态下按键长亮蓝色灯。</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人性化功能：高清人声还原、超指向性角度60°、声音探测、独有续航供电、拒绝干扰。</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载波频段：UHF640MHz-690MHz；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振荡方式：PLL相位锁定频率合成；</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谐波辐射：&lt;-65dBm；</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频带宽度：50MHz；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最大偏移度：±45KHz；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传感器：电容式双振膜咪芯、 超心指向性；</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RF功率输出：15mW；</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使用电池：3节5号电池，可以连续工作8小时</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待机时长可达12个小时；</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电流消耗：&lt;200mA</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会议客席单元</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2.8寸，分级菜单设计。具有电量显示和欠压警告，频率信道、信号指示和工作状态等功能。列席单元通信状态下按键长亮蓝色灯。</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人性化功能：高清人声还原、超指向性角度60°、声音探测、独有续航供电、拒绝干扰。</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载波频段：UHF640MHz-690MHz；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振荡方式：PLL相位锁定频率合成；</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谐波辐射：&lt;-65dBm；</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频带宽度：50MHz；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最大偏移度：±45KHz；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传感器：电容式双振膜咪芯、 超心指向性；</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RF功率输出：15mW；</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使用电池：3节5号电池，可以连续工作8小时</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待机时长可达12个小时；</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电流消耗：&lt;200mA</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手拉手延长线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≥20米延长线（一公一母）</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会议话筒处理器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功能特点：</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2寸</w:t>
            </w:r>
            <w:r>
              <w:rPr>
                <w:rFonts w:hint="eastAsia" w:ascii="宋体" w:hAnsi="宋体" w:cs="宋体"/>
                <w:color w:val="auto"/>
                <w:sz w:val="20"/>
                <w:szCs w:val="20"/>
                <w:highlight w:val="none"/>
                <w:lang w:val="en-US" w:eastAsia="zh-CN"/>
              </w:rPr>
              <w:t xml:space="preserve">屏幕</w:t>
            </w:r>
            <w:r>
              <w:rPr>
                <w:rFonts w:hint="eastAsia" w:ascii="宋体" w:hAnsi="宋体" w:eastAsia="宋体" w:cs="宋体"/>
                <w:color w:val="auto"/>
                <w:sz w:val="20"/>
                <w:szCs w:val="20"/>
                <w:highlight w:val="none"/>
              </w:rPr>
              <w:t xml:space="preserve">，实时显示当前音频电平，系统音量，麦克风音量；</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2、实时自动扫描啸叫抑制点并自动抑制，有效提升麦克风拾音距离；</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3、100级电子音量调整；</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4、24bit高性能A/D及D/A转换芯片</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语音清晰，还原度高；</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5、4通道48V幻象电源独立开关控制；</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一键对啸叫点进行校正；一键检测啸叫点，Ai自适应算法清除啸叫</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高保真音质，不改变原声</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高低音频频谱显示</w:t>
            </w:r>
            <w:r>
              <w:rPr>
                <w:rFonts w:hint="eastAsia" w:ascii="宋体" w:hAnsi="宋体" w:eastAsia="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信噪比&gt;105dB，超低噪声</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自动增益算法，讲话更轻松</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适配各种动圈或电容式话筒</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移频，陷波双算法。</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参数规格</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1、麦克风输入通道：4路平衡输入XLR和4路非平衡输入TRS；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2、音乐输入通道：1路RCA接口；</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3、输出通道：2路平衡输出XLR，1路RCA；</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4、频率响应：20-20KHz（BYPASS） 100-16KHz（ACTIVE）；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5、信噪比：≥90dB；</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6、输入阻抗：10KΩ；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7、输出阻抗：1KΩ；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8、AD采样：48K</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24bit；</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9、额定电压：220V/AC 50Hz；</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10、额定功率：</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20W</w:t>
            </w:r>
            <w:r>
              <w:rPr>
                <w:rFonts w:hint="eastAsia" w:ascii="宋体" w:hAnsi="宋体" w:cs="宋体"/>
                <w:color w:val="auto"/>
                <w:sz w:val="20"/>
                <w:szCs w:val="20"/>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有源监听音箱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采用一只4寸全频单元。箱体采用ABS塑胶材质。</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频率响应：75Hz-18KHz；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灵敏度</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1W@1m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：89dB；</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标称抗阻：6Ω；</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额定功率：45 W RMS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180Wpeak；</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全频单元：1×4＂；</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最大声压级：91dB continuous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97dB peak；</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连接插座：RCA/6.3mm</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电源时序器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单相三线电源输入，</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10路万能插座电源输出；面板有时序总开关</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8路手动控制按钮以及LED状态指示，可单独控制每路电源的通断；每路电源输出具有过流过压保护；提供</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8路多功能电源插座，另有</w:t>
            </w:r>
            <w:r>
              <w:rPr>
                <w:rFonts w:hint="eastAsia" w:ascii="宋体" w:hAnsi="宋体" w:cs="宋体"/>
                <w:color w:val="auto"/>
                <w:sz w:val="20"/>
                <w:szCs w:val="20"/>
                <w:highlight w:val="none"/>
                <w:lang w:val="en-US" w:eastAsia="zh-CN"/>
              </w:rPr>
              <w:t xml:space="preserve">不少于</w:t>
            </w:r>
            <w:r>
              <w:rPr>
                <w:rFonts w:hint="eastAsia" w:ascii="宋体" w:hAnsi="宋体" w:eastAsia="宋体" w:cs="宋体"/>
                <w:color w:val="auto"/>
                <w:sz w:val="20"/>
                <w:szCs w:val="20"/>
                <w:highlight w:val="none"/>
              </w:rPr>
              <w:t xml:space="preserve">两路备用电源插座；数码显示供电电压，直观了解供电情况；标准19寸机柜安装方式（1U）</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线缆及辅材</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金银线2*300支，PVC25管等</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高清无缝混插矩阵主机箱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输入输出：最大支持16路信号输入，16路信号输出。 </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插卡式结构设计，采用每张卡4个通道的设计，可灵活配置输入输出信号类型及信号通道数，扩展方便，维护便捷，主机可以同时兼容不同的信号，可以配置AV、VGA、YPbPr、 DVI、HDMI、HD-SDI、光纤、网络等不同的输入输出板卡，互不干扰，同时传输。</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无缝瞬间切换，不黑屏</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不存在缓慢的过度过程</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快如电影换镜头。</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输出分辨率可调。</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支持图像局部细节放大、局部显示。</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每路输入视频都可独立可叠加字幕，支持中文及英文两种语言。字幕可静止或滚动，可更改背景颜色，也可设置为透明背景，字体可调节颜色、大小，字幕内容可通过串口软件随时更改。</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可拼接，兼容了拼接处理器功能，支持普通电视、液晶显示器及DLP等实现大屏幕拼接功能。</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自带音量控制器功能，每路输出音频可独立调节音量，提供串口协议，支持电脑、中控等第三方设备对它进行音量控制</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音量大小可在电视、投影等显示设备上进行数字提示。</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每个输出通道</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可独立调节亮度、对比度、饱和度、锐利度；可对色温进行增益 调节 及补偿调节。</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VGA、AV、HDMI输入板卡都带音频输入，并且音频可溶合到HDMI 输出的视频里，即输出端的HDMI线可同时传输输入的视频和音频，连接电视等HDMI 显示设备，无需另接音频线。</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VGA、AV、HDMI输出板卡都支持独立的音频输出，音频信号可同时在HDMＩ数字接口和3.5Y音频模拟接口输出。HDMI 及 DVI 输入端带数字均衡调整电路，输出带信号预加重增强电路，使信号能进行更长距离传输，输入输出都可超过20米距离。</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所有板卡和主板，采用专业高速连接器。</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支持RS-232、红外、网口 </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选配</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 、APP 控制信号切换功能，支持WEB网页控制（选配）。</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支持一键快速查询功能，方便察看矩阵的切换状态。</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具有掉电记忆功能带有断电现场保护，上电自动恢复关机前状态。</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带宽：10.5Gbps，增益： 0dB。</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16、</w:t>
            </w:r>
            <w:r>
              <w:rPr>
                <w:rFonts w:hint="eastAsia" w:ascii="宋体" w:hAnsi="宋体" w:eastAsia="宋体" w:cs="宋体"/>
                <w:color w:val="auto"/>
                <w:sz w:val="20"/>
                <w:szCs w:val="20"/>
                <w:highlight w:val="none"/>
              </w:rPr>
              <w:t xml:space="preserve">最大传输延时： 5ns。</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17、</w:t>
            </w:r>
            <w:r>
              <w:rPr>
                <w:rFonts w:hint="eastAsia" w:ascii="宋体" w:hAnsi="宋体" w:eastAsia="宋体" w:cs="宋体"/>
                <w:color w:val="auto"/>
                <w:sz w:val="20"/>
                <w:szCs w:val="20"/>
                <w:highlight w:val="none"/>
              </w:rPr>
              <w:t xml:space="preserve">切换速度： 200ns </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最长时间</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18、</w:t>
            </w:r>
            <w:r>
              <w:rPr>
                <w:rFonts w:hint="eastAsia" w:ascii="宋体" w:hAnsi="宋体" w:eastAsia="宋体" w:cs="宋体"/>
                <w:color w:val="auto"/>
                <w:sz w:val="20"/>
                <w:szCs w:val="20"/>
                <w:highlight w:val="none"/>
              </w:rPr>
              <w:t xml:space="preserve">以太网控制接口 </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选配</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 RJ-45母接口，TCP/IP Server 或 UDP 模式</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自适应10M或100M，全双工。</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19、</w:t>
            </w:r>
            <w:r>
              <w:rPr>
                <w:rFonts w:hint="eastAsia" w:ascii="宋体" w:hAnsi="宋体" w:eastAsia="宋体" w:cs="宋体"/>
                <w:color w:val="auto"/>
                <w:sz w:val="20"/>
                <w:szCs w:val="20"/>
                <w:highlight w:val="none"/>
              </w:rPr>
              <w:t xml:space="preserve">平均故障间隔时间： </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MTBF</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 30000 小时。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数字高清音视频输入卡</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4路HDMI-A母接口输入，HDMI输入连接器为母端口；</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4路立体声音频输入信号，输入接口为凤凰端子；</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支持模拟音频加嵌；</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输入最长距离达20M；</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支持EDID编辑功能；</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EDID和DDC：管理支持延伸显示能力识别（EDID）和显示数据频道（DDC）使用DVI和HDMI的标准；</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兼容HDMI1.4的标准，HDCP1.3协议，DVI1.0协议；</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大支持分辨率：HDPC：1920x1200P@60_24bit；HDTV：1920x1080P@60_36bit</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张</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数字高清音视频输出卡</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4路HDMI-A母接口输出，HDMI输入连接器为母端口；</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4路立体声音频输出信号，输入接口为凤凰端子；</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支持模拟音频解嵌；</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输入最长距离达15M；</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支持EDID编辑功能；</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EDID和DDC：管理支持延伸显示能力识别（EDID）和显示数据频道（DDC）使用DVI和HDMI的标准；</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兼容HDMI1.4的标准，HDCP1.3协议，DVI1.0协议；</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最大支持分辨率：HDPC：1920*1200P@60_24bit；HDTV：1920*1080P@60_36bit</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张</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HDMI延长器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1、1080P、3D，传输距离可达100米；4K*2K，传输距离可达70米（非屏蔽6类网线）；</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2、支持全高清，1080P，3D及4K*2K；</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3、标准HDBaseT技术，支持HDMI1.4，兼容HDCP 1.2 协议，支持CEC；</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4、支持双向红外传输，支持串口透传；</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5、支持POE单端供电；</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6、传输速率带宽</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10.2Gbps；</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7、内置ESD保护电路，能有效防止静电损坏</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中心控制管理</w:t>
            </w:r>
            <w:r>
              <w:rPr>
                <w:rFonts w:hint="eastAsia" w:ascii="宋体" w:hAnsi="宋体" w:cs="宋体"/>
                <w:color w:val="auto"/>
                <w:sz w:val="20"/>
                <w:szCs w:val="20"/>
                <w:highlight w:val="none"/>
                <w:lang w:val="en-US" w:eastAsia="zh-CN"/>
              </w:rPr>
              <w:t xml:space="preserve">设备</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1、开放式的可编程控制平台，人性化的中英文操作界面，交互式的控制结构；</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2、类C语言编程方式，结合自定义模块，既可以快速编写常规的控制功能，也可以通过自定义脚本实现复杂逻辑设计，例如数据提取分析、自定义逻辑动作处理；</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3、≥Contex-A9 CPU，512MDDR内存，1GFlash闪存，8G扩展存储； </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≥2个Arm®Cortex®-A9内核，运行频率高达1GH； </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5、前面板</w:t>
            </w:r>
            <w:r>
              <w:rPr>
                <w:rFonts w:hint="eastAsia" w:ascii="宋体" w:hAnsi="宋体" w:cs="宋体"/>
                <w:color w:val="auto"/>
                <w:sz w:val="20"/>
                <w:szCs w:val="20"/>
                <w:highlight w:val="none"/>
                <w:lang w:val="en-US" w:eastAsia="zh-CN"/>
              </w:rPr>
              <w:t xml:space="preserve">屏</w:t>
            </w:r>
            <w:r>
              <w:rPr>
                <w:rFonts w:hint="eastAsia" w:ascii="宋体" w:hAnsi="宋体" w:eastAsia="宋体" w:cs="宋体"/>
                <w:color w:val="auto"/>
                <w:sz w:val="20"/>
                <w:szCs w:val="20"/>
                <w:highlight w:val="none"/>
              </w:rPr>
              <w:t xml:space="preserve">≥4.3寸，支持自定义触摸按键，可显示中控主机网络信息等；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6、≥3路NET总线接口，支持SD-NET协议，支持自定义NET协议，最大可支持4096个总线协议设备。</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7、支持≥8个独立可编程串行接口，每一路独立可编程串行接口支持双向RS232、双向RS485及DMX512协议，最大支持8个DMX512接口，持同一串行接口实时变更配置，实现同一接口多种波特率、配置模式同时运行。</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可支持≥8路红外/IO服用接口，支持红外/IO复用，支持IO高、低电平触发，支持IO高、低电平输出，红外载波全频段兼容、支持独立，验证红外学习及红外仿真，配置双红外学习系统：USB移动红外学习棒及内置主机的学习模块，支持红外硬件学习；</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9、可支持≥8路干接触点接口；</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、支持通过Http协议控制视频会议终端，满足Https认证加密；</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、支持SSH、SFTP、FTP、SCP、TELNET等网络传输协议等文件；</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、内置高精度时钟系统，实时同步网络时钟，支持自定义某一时刻动作触发、定时触发及时间轴触发；</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、内置大容量存储空间，支持数据掉电存储，记录实时历史数据；</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、支持多IP地址设定，支持跨网段控制； </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、系统支持WIFI、有线网络等多种通讯方式，系统支持远程维护、调试、诊断，系统内置web服务器，支持网页控制，系统支持IOS、安卓、window终端控制； </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、控制端软件支持视频、网页、图片、输入框、文本框等控件，支持实时更新内容；</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17</w:t>
            </w:r>
            <w:r>
              <w:rPr>
                <w:rFonts w:hint="eastAsia" w:ascii="宋体" w:hAnsi="宋体" w:eastAsia="宋体" w:cs="宋体"/>
                <w:color w:val="auto"/>
                <w:sz w:val="20"/>
                <w:szCs w:val="20"/>
                <w:highlight w:val="none"/>
              </w:rPr>
              <w:t xml:space="preserve">、支持视频回显，搭配专用视频编码器，可以实现内容实时回显，可视化控制；</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18</w:t>
            </w:r>
            <w:r>
              <w:rPr>
                <w:rFonts w:hint="eastAsia" w:ascii="宋体" w:hAnsi="宋体" w:eastAsia="宋体" w:cs="宋体"/>
                <w:color w:val="auto"/>
                <w:sz w:val="20"/>
                <w:szCs w:val="20"/>
                <w:highlight w:val="none"/>
              </w:rPr>
              <w:t xml:space="preserve">、支持音频电平实时动态显示，支持视频播控进度条实时显示；</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19</w:t>
            </w:r>
            <w:r>
              <w:rPr>
                <w:rFonts w:hint="eastAsia" w:ascii="宋体" w:hAnsi="宋体" w:eastAsia="宋体" w:cs="宋体"/>
                <w:color w:val="auto"/>
                <w:sz w:val="20"/>
                <w:szCs w:val="20"/>
                <w:highlight w:val="none"/>
              </w:rPr>
              <w:t xml:space="preserve">、控制端支持多主页、多子页，子页支持飞入飞出等动态效果； </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val="en-US" w:eastAsia="zh-CN"/>
              </w:rPr>
              <w:t xml:space="preserve">0</w:t>
            </w:r>
            <w:r>
              <w:rPr>
                <w:rFonts w:hint="eastAsia" w:ascii="宋体" w:hAnsi="宋体" w:eastAsia="宋体" w:cs="宋体"/>
                <w:color w:val="auto"/>
                <w:sz w:val="20"/>
                <w:szCs w:val="20"/>
                <w:highlight w:val="none"/>
              </w:rPr>
              <w:t xml:space="preserve">、控制端支持交互性控制方式，支持权限设置，支持登录密码设置； </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、支持按钮控件拖拽和图片控件拖拽控制，配合视频矩阵，可实现更为人性化的拖拽操作；</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、搭配控制软件，可实现平台的视频点播、图片自动播放、PPT播放、指定网页打开，支持飞屏上传内容到指定大屏支持视频进度、音量拖动控制；</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、支持通过云平台远程编程，实现远程上传、下载程序，支持设备远程诊断，可以远程查看设备工作状态、在线状态、运行时间等</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分布式网络继电器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1、内置8个大电流继电器，最大电流值20A，最大负载能力2200W/路，总负载能力16KW；</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2、手动控制：在机器的正前方，有8个拨码开关，紧急情况下可以手动控制继电器的开关，在中控出现故障时可以使用这一功能，很好的保护其他的设备；</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3、IO控制：在机器的内部有8个IO接口，在没有中控的情况下也能使用，用途更广；</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4、ID选择 ：内置ID选码开关，最多可选址255个；</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5、支持8路继电控制，每路继电器都有三连接点的接线柱</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具有常开与常闭的功能；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6、前面面板带LED显示，可指示每个通道工作状态；</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7、支持SD-NET网络接口、RS232/RS485接口、CAN接口，可方便与第三方控制器兼容</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控制端软件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设备控制码对接，实现设备开关独立控制，例如投影开关、会议一体机开关、会议终端开关、机柜设备电源开关、拼接屏开关、LED屏开关等；视频切换控制，例如矩阵视频切换、拼接模式切换等；搭配音频处理器或者音量控制器，实现音量大小和静音的分区控制、音量总体控制；灯光开关控制；自定义场景设定，实现设备一键开关、场景一键联动，无需人员过多操作。</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平板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≥10.8英寸</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≥6GB+128GB</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WIFI</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≥22U；全柜采用优质冷轧钢板；置顶式散热单元，钣金后门上下散热孔设计；</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≥42U；全柜采用优质冷轧钢板；置顶式散热单元，钣金后门上下散热孔设计；</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多媒体地插</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配置接口：</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1个多功能电源，网络，3.5音频，HDMI</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音频隔离器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6.5音响噪音滤波消除电流声变压信号降噪</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无线传屏器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1、配合会议平板使用，无需驱动，即插即用。</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2、无线传输频段：2.4G/5.8G；</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3、射频功率：-2dbm-4dbm</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4、传输速率：≥10MBps；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5、支持视频分辨率：FHD 60Hz及以上；</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6、无线传输距离：&gt;10m；</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7、最大连接数：≥8个</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音频连接线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1.8米音频连接线：卡侬头（母）-卡侬头（公）</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条</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HDMI线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HDMI 5米</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能耗监测系统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控制终端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配套</w:t>
            </w:r>
            <w:r>
              <w:rPr>
                <w:rFonts w:hint="eastAsia" w:ascii="宋体" w:hAnsi="宋体" w:eastAsia="宋体" w:cs="宋体"/>
                <w:color w:val="auto"/>
                <w:sz w:val="20"/>
                <w:szCs w:val="20"/>
                <w:highlight w:val="none"/>
              </w:rPr>
              <w:t xml:space="preserve">智慧建筑能源管理平台</w:t>
            </w:r>
            <w:r>
              <w:rPr>
                <w:rFonts w:hint="eastAsia" w:ascii="宋体" w:hAnsi="宋体" w:cs="宋体"/>
                <w:color w:val="auto"/>
                <w:sz w:val="20"/>
                <w:szCs w:val="20"/>
                <w:highlight w:val="none"/>
                <w:lang w:val="en-US" w:eastAsia="zh-CN"/>
              </w:rPr>
              <w:t xml:space="preserve">使用。</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智慧建筑能源管理平台</w:t>
            </w:r>
            <w:r/>
          </w:p>
        </w:tc>
        <w:tc>
          <w:tcPr>
            <w:tcBorders>
              <w:top w:val="single" w:color="000000" w:sz="4" w:space="0"/>
              <w:left w:val="single" w:color="000000" w:sz="4" w:space="0"/>
              <w:bottom w:val="single" w:color="000000" w:sz="4" w:space="0"/>
              <w:right w:val="single" w:color="000000" w:sz="4" w:space="0"/>
            </w:tcBorders>
            <w:tcW w:w="6236" w:type="dxa"/>
            <w:vAlign w:val="center"/>
            <w:vMerge w:val="restart"/>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控制平台为B/S架构</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对自动化各个子系统进行进行监视、控制、测量与记录</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平面导航图或设备列表对所需区域设备进行实时监控</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查询各个报警信号的实时记录及历史纪录，可选弹出式报警</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授权中心：管理员及密码管理，可按人员的类别设置不同的登陆用户名进行登陆，查询及操作不同的区域集中控制，分散管理</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预付费管理</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余额实时更新，欠费自动断电/断水（可配置阈值）</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费率灵活设置：分时计价（峰谷平电价）、阶梯计价、固定除税主材单价</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远程通断：通过平台或APP远程控制开关</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批量操作：对多用户或区域统一通断。</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能耗报表模块</w:t>
            </w:r>
            <w:r/>
          </w:p>
        </w:tc>
        <w:tc>
          <w:tcPr>
            <w:tcBorders>
              <w:top w:val="single" w:color="000000" w:sz="4" w:space="0"/>
              <w:left w:val="single" w:color="000000" w:sz="4" w:space="0"/>
              <w:bottom w:val="single" w:color="000000" w:sz="4" w:space="0"/>
              <w:right w:val="single" w:color="000000" w:sz="4" w:space="0"/>
            </w:tcBorders>
            <w:tcW w:w="6236" w:type="dxa"/>
            <w:vAlign w:val="center"/>
            <w:vMerge w:val="continue"/>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能耗数据采集、分析模块</w:t>
            </w:r>
            <w:r/>
          </w:p>
        </w:tc>
        <w:tc>
          <w:tcPr>
            <w:tcBorders>
              <w:top w:val="single" w:color="000000" w:sz="4" w:space="0"/>
              <w:left w:val="single" w:color="000000" w:sz="4" w:space="0"/>
              <w:bottom w:val="single" w:color="000000" w:sz="4" w:space="0"/>
              <w:right w:val="single" w:color="000000" w:sz="4" w:space="0"/>
            </w:tcBorders>
            <w:tcW w:w="6236" w:type="dxa"/>
            <w:vAlign w:val="center"/>
            <w:vMerge w:val="continue"/>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能耗数据上传模块</w:t>
            </w:r>
            <w:r/>
          </w:p>
        </w:tc>
        <w:tc>
          <w:tcPr>
            <w:tcBorders>
              <w:top w:val="single" w:color="000000" w:sz="4" w:space="0"/>
              <w:left w:val="single" w:color="000000" w:sz="4" w:space="0"/>
              <w:bottom w:val="single" w:color="000000" w:sz="4" w:space="0"/>
              <w:right w:val="single" w:color="000000" w:sz="4" w:space="0"/>
            </w:tcBorders>
            <w:tcW w:w="6236" w:type="dxa"/>
            <w:vAlign w:val="center"/>
            <w:vMerge w:val="continue"/>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水电表测试集成费</w:t>
            </w:r>
            <w:r/>
          </w:p>
        </w:tc>
        <w:tc>
          <w:tcPr>
            <w:tcBorders>
              <w:top w:val="single" w:color="000000" w:sz="4" w:space="0"/>
              <w:left w:val="single" w:color="000000" w:sz="4" w:space="0"/>
              <w:bottom w:val="single" w:color="000000" w:sz="4" w:space="0"/>
              <w:right w:val="single" w:color="000000" w:sz="4" w:space="0"/>
            </w:tcBorders>
            <w:tcW w:w="6236" w:type="dxa"/>
            <w:vAlign w:val="center"/>
            <w:vMerge w:val="continue"/>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能耗数据采集器</w:t>
            </w:r>
            <w:r/>
          </w:p>
        </w:tc>
        <w:tc>
          <w:tcPr>
            <w:shd w:val="clear" w:color="auto" w:fill="ffffff"/>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电源输入：DC24V；</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通讯端口：RJ45；</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采集端口：</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RS485*4；</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支持远程升级及参数配置；支持自动监测；每条总线最大支持99个计量设备</w:t>
            </w:r>
            <w:r>
              <w:rPr>
                <w:rFonts w:hint="eastAsia" w:ascii="宋体" w:hAnsi="宋体" w:cs="宋体"/>
                <w:color w:val="auto"/>
                <w:sz w:val="20"/>
                <w:szCs w:val="20"/>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能耗数据采集器控制箱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电源输入：AC220V；</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电源模块：AC24V/DC12V选配；</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网关：2个（MAX）；</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内置空气开关、线槽、接触器、导轨支架、盘线图等配件。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建筑设备监控系统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建筑设备监控系统软件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1、实时数据采集：支持MODBUS、BACNET、OPC、MQTT、IEC104、DLT645、HJ212、主流PLC等等近百种设备协议接入</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2、实时数据转发：支持OPC UA、OPC DA、MQTT、IEC104、MODBUS RTU 、MODBUS TCP、HTTP等多种实时数据转发服务</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实时组态监控：内置组态编辑器，实现监控图形的自定义绘制和实时数据绑定，包括：数值、变色、隐藏、闪烁、填充、移动、旋转、缩放等动态显示，以及开关反转、开关置位、模拟量设定、模拟量增减等交互操作</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4、实时历史报警：支持限值/偏差/变化/开关/自定义等多种报警配置策略，支持邮件、短信、电话、企微、钉钉等多种渠道推送，同时支持根据报警的范围、级别、时长进行分层分级推送</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5、实时历史趋势：配置时序数据库，进行历史数据存储并历史趋势查询</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6、运行统计报表：支持差值、均值、开关和条件四种统计策略，并生成运行统计报表</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7、数据任务处理：支持多种任务触发方式，近百种数据任务处理方法，实现异构数据的自由流动</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8、人员组织结构：人员-岗位-角色，形成人员权限的配置管理</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9、OPENAPI：内置OPENAPI接口，与第三方系统进行数据对接</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10、系统控制台：网络配置及拓扑监测、主机资源监测、应用管理、访问安全策略、备份管理、校时管理等配套的系统运维管理</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通用控制模块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电源输入：AC/DC24V；</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CPU：</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ARM 32位M4F@240MHZ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存储器：</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1M FLASH；224K SRAM</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通讯端口：</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RJ45*2；CAN*1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RS485*1；</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全功能口：</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16个（DI/AI/DO/AO）；</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多功能口：</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20个（DI/AI/DO）；</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I/O模块数量：MAX 7个；</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支持双网口，支持级联模式；支持LCD参数显示及调整；支持远程升级及参数配置；支持自动监测及上报点位数量；</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安装方式：标准DIN35导轨式安装</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防护等级：IP20</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DDC智能模块嵌入式软件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配套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数字直接控制器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电源输入：AC/DC24V；</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CPU：</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ARM 32位M4F@240MHZ；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存储器：</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1M FLASH；224K SRAM；</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通讯端口：</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RJ45*2；CAN*1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RS485*1；</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全功能口：</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12个（DI/AI/DO/AO）；</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多功能口：</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16个（DI/AI/DO）；</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I/O模块数量：MAX 7个；</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支持双网口，支持级联模式；支持LCD参数显示及调整；支持远程升级及参数配置；支持自动监测及上报点位数量；</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安装方式：标准DIN35导轨式安装</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防护等级：IP20</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DDC智能模块嵌入式软件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配套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通用控制模块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电源输入：AC/DC24V；</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CPU：</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ARM 32位M4F@240MHZ；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存储器：</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1M FLASH；224K SRAM；</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通讯端口：</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RJ45*2；CAN*1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RS485*1；</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全功能口：</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12个（DI/AI/DO/AO）；</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多功能口：</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16个（DI/AI/DO）；</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I/O模块数量：MAX 7个；</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支持双网口，支持级联模式；支持LCD参数显示及调整；支持远程升级及参数配置；支持自动监测及上报点位数量；</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安装方式：标准DIN35导轨式安装</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防护等级：IP20</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DDC智能模块嵌入式软件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配套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网关模块（室内机接口）</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输入电压：DC24V/2A；</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输出电压：DC12V/1.5A；</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通讯方式：</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RS485*4；RJ45；CAN*1；</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处理器主频：</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240MHz；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SRM：</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224K；</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FLASH：</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1M+64M；</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支持多路RS485通讯及单路网络通讯，适用于协议对接等多种定制化场景</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安装方式：标准DIN35导轨式安装</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防护等级：IP20</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DDC智能模块嵌入式软件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配套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网关模块（室外机接口）</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输入电压：DC24V/2A；</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输出电压：DC12V/1.5A；</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通讯方式：</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RS485*4；RJ45；CAN*1；</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处理器主频：</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240MHz；</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SRM：</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224K；</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FLASH：</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1M+64M；</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支持多路RS485通讯及单路网络通讯，适用于协议对接等多种定制化场景</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安装方式：标准DIN35导轨式安装</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防护等级：IP20</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DDC智能模块嵌入式软件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配套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通用控制箱1</w:t>
            </w:r>
            <w:r/>
          </w:p>
        </w:tc>
        <w:tc>
          <w:tcPr>
            <w:shd w:val="clear" w:color="auto" w:fill="ffffff"/>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安装方式：壁挂</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电源输入：AC220V；</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电源模块：AC24V/DC12V选配；</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最大点位：28个（MAX）；</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内置空气开关、线槽、接触器、导轨支架、盘线图等配件。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通用控制箱2</w:t>
            </w:r>
            <w:r/>
          </w:p>
        </w:tc>
        <w:tc>
          <w:tcPr>
            <w:shd w:val="clear" w:color="auto" w:fill="ffffff"/>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安装方式：壁挂</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电源输入：AC220V；</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电源模块：AC24V/DC12V选配；</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网关：2个（MAX）；</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内置空气开关、线槽、接触器、导轨支架、盘线图等配件。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27</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液位开关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开关特性：SPDT，10A/250VAC</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电气寿命：≥10 万次</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电缆长度：3M</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电缆类型：PVC（聚录乙烯）</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68</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一氧化碳传感器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工作电压：AC24V/DC24V</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精度：±5%</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变送器输出：4-20mA&amp;0-10VDC</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量程：0-100PPM/0-50℃</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寿命：7-10年</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24口接入交换机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1、交换容量≥336Gbps，包转发率≥51Mpps；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2、10/100/1000Base-T自适应以太网端口≥24个，千兆SFP口≥4个；</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3、支持基于端口的VLAN，支持基于协议的VLAN；</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4、支持ERPS功能，收敛时间小于50ms；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5、支持IPv4/IPV6双栈管理和转发，支持静态路由协议和RIP、OSPF等路由协议，支持丰富的管理和安全特性；</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6、支持内置智能图形化管理功能</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光模块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光模块-SFP-GE-单模模块-</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1310nm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10km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LC</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数据机房工程</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1.封闭通道系统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封闭通道系统（20柜位）</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1）活动天窗、固定天窗</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2）无边框全玻璃自动平移门2扇</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3）柜顶钣金桥架</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4）消防联动模块</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5）21寸</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6）每个柜位配置照明灯</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7）人脸+指纹+密码+刷卡门禁</w:t>
            </w:r>
            <w:r/>
          </w:p>
          <w:p>
            <w:pPr>
              <w:jc w:val="left"/>
              <w:keepNext/>
              <w:widowControl/>
              <w:rPr>
                <w:rStyle w:val="1016"/>
                <w:rFonts w:hint="eastAsia" w:ascii="宋体" w:hAnsi="宋体" w:eastAsia="宋体" w:cs="宋体"/>
                <w:b w:val="0"/>
                <w:color w:val="auto"/>
                <w:highlight w:val="none"/>
              </w:rPr>
            </w:pPr>
            <w:r>
              <w:rPr>
                <w:rStyle w:val="1016"/>
                <w:rFonts w:hint="eastAsia" w:ascii="宋体" w:hAnsi="宋体" w:eastAsia="宋体" w:cs="宋体"/>
                <w:b w:val="0"/>
                <w:color w:val="auto"/>
                <w:highlight w:val="none"/>
              </w:rPr>
              <w:t xml:space="preserve">封闭冷通道技术要求：</w:t>
            </w:r>
            <w:r/>
          </w:p>
          <w:p>
            <w:pPr>
              <w:jc w:val="left"/>
              <w:keepNext/>
              <w:widowControl/>
              <w:rPr>
                <w:rStyle w:val="1012"/>
                <w:rFonts w:hint="eastAsia" w:ascii="宋体" w:hAnsi="宋体" w:eastAsia="宋体" w:cs="宋体"/>
                <w:color w:val="auto"/>
                <w:highlight w:val="none"/>
              </w:rPr>
            </w:pPr>
            <w:r>
              <w:rPr>
                <w:rStyle w:val="1012"/>
                <w:rFonts w:hint="eastAsia" w:ascii="宋体" w:hAnsi="宋体" w:eastAsia="宋体" w:cs="宋体"/>
                <w:color w:val="auto"/>
                <w:highlight w:val="none"/>
              </w:rPr>
              <w:t xml:space="preserve">1、封闭通道顶板采用模块化设计，每个单元均能独立安装，并能与相邻的单元连接；可根据机柜宽度不同，提供多种通道顶板规格；</w:t>
            </w:r>
            <w:r/>
          </w:p>
          <w:p>
            <w:pPr>
              <w:jc w:val="left"/>
              <w:keepNext/>
              <w:widowControl/>
              <w:rPr>
                <w:rStyle w:val="1012"/>
                <w:rFonts w:hint="eastAsia" w:ascii="宋体" w:hAnsi="宋体" w:eastAsia="宋体" w:cs="宋体"/>
                <w:color w:val="auto"/>
                <w:highlight w:val="none"/>
              </w:rPr>
            </w:pPr>
            <w:r>
              <w:rPr>
                <w:rStyle w:val="1012"/>
                <w:rFonts w:hint="eastAsia" w:ascii="宋体" w:hAnsi="宋体" w:eastAsia="宋体" w:cs="宋体"/>
                <w:color w:val="auto"/>
                <w:highlight w:val="none"/>
              </w:rPr>
              <w:t xml:space="preserve">2、通道天窗应采用平顶结构，天窗开启后总高度不超过机柜顶部550mm，同时确保通道内高度不小于2米，不影响日常维护工作和维护人员安全；</w:t>
            </w:r>
            <w:r/>
          </w:p>
          <w:p>
            <w:pPr>
              <w:jc w:val="left"/>
              <w:keepNext/>
              <w:widowControl/>
              <w:rPr>
                <w:rStyle w:val="1012"/>
                <w:rFonts w:hint="eastAsia" w:ascii="宋体" w:hAnsi="宋体" w:eastAsia="宋体" w:cs="宋体"/>
                <w:color w:val="auto"/>
                <w:highlight w:val="none"/>
              </w:rPr>
            </w:pPr>
            <w:r>
              <w:rPr>
                <w:rStyle w:val="1012"/>
                <w:rFonts w:hint="eastAsia" w:ascii="宋体" w:hAnsi="宋体" w:eastAsia="宋体" w:cs="宋体"/>
                <w:color w:val="auto"/>
                <w:highlight w:val="none"/>
              </w:rPr>
              <w:t xml:space="preserve">3、通道天窗为全玻璃，无金属框，应采用透光性好，机械强度高的钢化玻璃材料，钢化玻璃厚度≥5mm，透光率不低于90%；</w:t>
            </w:r>
            <w:r/>
          </w:p>
          <w:p>
            <w:pPr>
              <w:jc w:val="left"/>
              <w:keepNext/>
              <w:widowControl/>
              <w:rPr>
                <w:rStyle w:val="1012"/>
                <w:rFonts w:hint="eastAsia" w:ascii="宋体" w:hAnsi="宋体" w:eastAsia="宋体" w:cs="宋体"/>
                <w:color w:val="auto"/>
                <w:highlight w:val="none"/>
              </w:rPr>
            </w:pPr>
            <w:r>
              <w:rPr>
                <w:rStyle w:val="1012"/>
                <w:rFonts w:hint="eastAsia" w:ascii="宋体" w:hAnsi="宋体" w:eastAsia="宋体" w:cs="宋体"/>
                <w:color w:val="auto"/>
                <w:highlight w:val="none"/>
              </w:rPr>
              <w:t xml:space="preserve">4、活动天窗采用电磁锁控制，应与消防信号联动。消防状态下电磁锁自动打开，天窗在重力作用下可自动打开，打开角度90°，并有限位装置，避免天窗开启后频繁大幅度晃动，最大限度地让消防气体进入通道内，动作可靠迅速；</w:t>
            </w:r>
            <w:r/>
          </w:p>
          <w:p>
            <w:pPr>
              <w:jc w:val="left"/>
              <w:keepNext/>
              <w:widowControl/>
              <w:rPr>
                <w:rStyle w:val="1013"/>
                <w:rFonts w:hint="eastAsia" w:ascii="宋体" w:hAnsi="宋体" w:eastAsia="宋体" w:cs="宋体"/>
                <w:color w:val="auto"/>
                <w:highlight w:val="none"/>
              </w:rPr>
            </w:pPr>
            <w:r>
              <w:rPr>
                <w:rStyle w:val="1012"/>
                <w:rFonts w:hint="eastAsia" w:ascii="宋体" w:hAnsi="宋体" w:eastAsia="宋体" w:cs="宋体"/>
                <w:color w:val="auto"/>
                <w:highlight w:val="none"/>
              </w:rPr>
              <w:t xml:space="preserve">5、</w:t>
            </w:r>
            <w:r>
              <w:rPr>
                <w:rStyle w:val="1013"/>
                <w:rFonts w:hint="eastAsia" w:ascii="宋体" w:hAnsi="宋体" w:eastAsia="宋体" w:cs="宋体"/>
                <w:color w:val="auto"/>
                <w:highlight w:val="none"/>
              </w:rPr>
              <w:t xml:space="preserve">微模块内不应采用0类灯具，当采用I类灯具时，灯具的供电线路应有保护线，保护线应与金属灯具外壳做电气连接，微模块内照明照度值应不低于 450 1x；照明控制需智能化，满足人来灯亮，人走延时灭灯；</w:t>
            </w:r>
            <w:r/>
          </w:p>
          <w:p>
            <w:pPr>
              <w:jc w:val="left"/>
              <w:keepNext/>
              <w:widowControl/>
              <w:rPr>
                <w:rStyle w:val="1012"/>
                <w:rFonts w:hint="eastAsia" w:ascii="宋体" w:hAnsi="宋体" w:eastAsia="宋体" w:cs="宋体"/>
                <w:color w:val="auto"/>
                <w:highlight w:val="none"/>
              </w:rPr>
            </w:pPr>
            <w:r>
              <w:rPr>
                <w:rStyle w:val="1012"/>
                <w:rFonts w:hint="eastAsia" w:ascii="宋体" w:hAnsi="宋体" w:eastAsia="宋体" w:cs="宋体"/>
                <w:color w:val="auto"/>
                <w:highlight w:val="none"/>
              </w:rPr>
              <w:t xml:space="preserve">6、通道门为红外自动感应电动平移门，采用全钢化玻璃，无金属边框；同时具备防夹设计，确保人员进出安全。平移门开启时两侧需有多功能组合柜（在微模块长度方向上的深度≤250mm），玻璃平移门中部腰线可定制展示我单位名称；多功能组合柜具有以下功能：①平移门开启时具有藏门功能，平移门不外漏；②满足安装动环设备及显示</w:t>
            </w:r>
            <w:r>
              <w:rPr>
                <w:rStyle w:val="1012"/>
                <w:rFonts w:hint="eastAsia" w:ascii="宋体" w:hAnsi="宋体" w:cs="宋体"/>
                <w:color w:val="auto"/>
                <w:highlight w:val="none"/>
                <w:lang w:val="en-US" w:eastAsia="zh-CN"/>
              </w:rPr>
              <w:t xml:space="preserve">设备</w:t>
            </w:r>
            <w:r>
              <w:rPr>
                <w:rStyle w:val="1012"/>
                <w:rFonts w:hint="eastAsia" w:ascii="宋体" w:hAnsi="宋体" w:eastAsia="宋体" w:cs="宋体"/>
                <w:color w:val="auto"/>
                <w:highlight w:val="none"/>
              </w:rPr>
              <w:t xml:space="preserve">；</w:t>
            </w:r>
            <w:r/>
          </w:p>
          <w:p>
            <w:pPr>
              <w:jc w:val="left"/>
              <w:keepNext/>
              <w:widowControl/>
              <w:rPr>
                <w:rStyle w:val="1012"/>
                <w:rFonts w:hint="eastAsia" w:ascii="宋体" w:hAnsi="宋体" w:eastAsia="宋体" w:cs="宋体"/>
                <w:color w:val="auto"/>
                <w:highlight w:val="none"/>
              </w:rPr>
            </w:pPr>
            <w:r>
              <w:rPr>
                <w:rStyle w:val="1012"/>
                <w:rFonts w:hint="eastAsia" w:ascii="宋体" w:hAnsi="宋体" w:eastAsia="宋体" w:cs="宋体"/>
                <w:color w:val="auto"/>
                <w:highlight w:val="none"/>
              </w:rPr>
              <w:t xml:space="preserve">7、电动平移门顶部能安装可编辑显示内容的屏。（1）支持定制包含本单位logo的开机动画</w:t>
            </w:r>
            <w:r>
              <w:rPr>
                <w:rStyle w:val="1012"/>
                <w:rFonts w:hint="eastAsia" w:ascii="宋体" w:hAnsi="宋体" w:cs="宋体"/>
                <w:color w:val="auto"/>
                <w:highlight w:val="none"/>
                <w:lang w:eastAsia="zh-CN"/>
              </w:rPr>
              <w:t xml:space="preserve">，</w:t>
            </w:r>
            <w:r>
              <w:rPr>
                <w:rStyle w:val="1012"/>
                <w:rFonts w:hint="eastAsia" w:ascii="宋体" w:hAnsi="宋体" w:eastAsia="宋体" w:cs="宋体"/>
                <w:color w:val="auto"/>
                <w:highlight w:val="none"/>
              </w:rPr>
              <w:t xml:space="preserve">（2）支持常用数据展示（平均温度、平均湿度、PUE、负载率、电压、电流、告警等数据）。（3）门楣显示</w:t>
            </w:r>
            <w:r>
              <w:rPr>
                <w:rStyle w:val="1012"/>
                <w:rFonts w:hint="eastAsia" w:ascii="宋体" w:hAnsi="宋体" w:cs="宋体"/>
                <w:color w:val="auto"/>
                <w:highlight w:val="none"/>
                <w:lang w:val="en-US" w:eastAsia="zh-CN"/>
              </w:rPr>
              <w:t xml:space="preserve">设备</w:t>
            </w:r>
            <w:r>
              <w:rPr>
                <w:rStyle w:val="1012"/>
                <w:rFonts w:hint="eastAsia" w:ascii="宋体" w:hAnsi="宋体" w:eastAsia="宋体" w:cs="宋体"/>
                <w:color w:val="auto"/>
                <w:highlight w:val="none"/>
              </w:rPr>
              <w:t xml:space="preserve">支持滚屏功能，可以定制编辑欢迎词，与机房主要数据页面可设置自动轮流展示。</w:t>
            </w:r>
            <w:r/>
          </w:p>
          <w:p>
            <w:pPr>
              <w:jc w:val="left"/>
              <w:keepNext/>
              <w:widowControl/>
              <w:rPr>
                <w:rStyle w:val="1012"/>
                <w:rFonts w:hint="eastAsia" w:ascii="宋体" w:hAnsi="宋体" w:eastAsia="宋体" w:cs="宋体"/>
                <w:color w:val="auto"/>
                <w:highlight w:val="none"/>
              </w:rPr>
            </w:pPr>
            <w:r>
              <w:rPr>
                <w:rStyle w:val="1012"/>
                <w:rFonts w:hint="eastAsia" w:ascii="宋体" w:hAnsi="宋体" w:eastAsia="宋体" w:cs="宋体"/>
                <w:color w:val="auto"/>
                <w:highlight w:val="none"/>
              </w:rPr>
              <w:t xml:space="preserve">8、通道一侧应配置40寸高亮度且高对比度的开放式电容触摸显示器，屏幕可展示微模块全部监控数据；</w:t>
            </w:r>
            <w:r/>
          </w:p>
          <w:p>
            <w:pPr>
              <w:jc w:val="left"/>
              <w:keepNext/>
              <w:widowControl/>
              <w:rPr>
                <w:rStyle w:val="1012"/>
                <w:rFonts w:hint="eastAsia" w:ascii="宋体" w:hAnsi="宋体" w:eastAsia="宋体" w:cs="宋体"/>
                <w:color w:val="auto"/>
                <w:highlight w:val="none"/>
              </w:rPr>
            </w:pPr>
            <w:r>
              <w:rPr>
                <w:rStyle w:val="1012"/>
                <w:rFonts w:hint="eastAsia" w:ascii="宋体" w:hAnsi="宋体" w:eastAsia="宋体" w:cs="宋体"/>
                <w:color w:val="auto"/>
                <w:highlight w:val="none"/>
              </w:rPr>
              <w:t xml:space="preserve">9、通道门底部应配置毛刷，左右门之间配置密封贴，减少冷热气流混合；</w:t>
            </w:r>
            <w:r/>
          </w:p>
          <w:p>
            <w:pPr>
              <w:jc w:val="left"/>
              <w:keepNext/>
              <w:widowControl/>
              <w:rPr>
                <w:rStyle w:val="1012"/>
                <w:rFonts w:hint="eastAsia" w:ascii="宋体" w:hAnsi="宋体" w:eastAsia="宋体" w:cs="宋体"/>
                <w:color w:val="auto"/>
                <w:highlight w:val="none"/>
              </w:rPr>
            </w:pPr>
            <w:r>
              <w:rPr>
                <w:rStyle w:val="1012"/>
                <w:rFonts w:hint="eastAsia" w:ascii="宋体" w:hAnsi="宋体" w:eastAsia="宋体" w:cs="宋体"/>
                <w:color w:val="auto"/>
                <w:highlight w:val="none"/>
              </w:rPr>
              <w:t xml:space="preserve">10、微模块应设置通道疏散照明及疏散指示标志灯，主机房通道疏散照明的照度值不应低于 81 1x；</w:t>
            </w:r>
            <w:r/>
          </w:p>
          <w:p>
            <w:pPr>
              <w:jc w:val="left"/>
              <w:keepNext/>
              <w:widowControl/>
              <w:rPr>
                <w:rStyle w:val="1012"/>
                <w:rFonts w:hint="eastAsia" w:ascii="宋体" w:hAnsi="宋体" w:eastAsia="宋体" w:cs="宋体"/>
                <w:color w:val="auto"/>
                <w:highlight w:val="none"/>
              </w:rPr>
            </w:pPr>
            <w:r>
              <w:rPr>
                <w:rStyle w:val="1012"/>
                <w:rFonts w:hint="eastAsia" w:ascii="宋体" w:hAnsi="宋体" w:eastAsia="宋体" w:cs="宋体"/>
                <w:color w:val="auto"/>
                <w:highlight w:val="none"/>
              </w:rPr>
              <w:t xml:space="preserve">11、微模块通道门应设置告警LED氛围灯，要求竖直安装在通道门正门两侧，如果遇到普通告警和严重告警，通道门口的告警灯可以通过闪烁和定制颜色进行告警；</w:t>
            </w:r>
            <w:r/>
          </w:p>
          <w:p>
            <w:pPr>
              <w:jc w:val="left"/>
              <w:keepNext/>
              <w:widowControl/>
              <w:rPr>
                <w:rStyle w:val="1012"/>
                <w:rFonts w:hint="eastAsia" w:ascii="宋体" w:hAnsi="宋体" w:eastAsia="宋体" w:cs="宋体"/>
                <w:color w:val="auto"/>
                <w:highlight w:val="none"/>
              </w:rPr>
            </w:pPr>
            <w:r>
              <w:rPr>
                <w:rStyle w:val="1012"/>
                <w:rFonts w:hint="eastAsia" w:ascii="宋体" w:hAnsi="宋体" w:eastAsia="宋体" w:cs="宋体"/>
                <w:color w:val="auto"/>
                <w:highlight w:val="none"/>
              </w:rPr>
              <w:t xml:space="preserve">12、天窗具备自动复位功能。可在气体灭火后确认无异常后自行复位，无需人为手动逐个进行复位。</w:t>
            </w:r>
            <w:r/>
          </w:p>
          <w:p>
            <w:pPr>
              <w:jc w:val="left"/>
              <w:keepNext/>
              <w:widowControl/>
              <w:rPr>
                <w:rStyle w:val="1012"/>
                <w:rFonts w:hint="eastAsia" w:ascii="宋体" w:hAnsi="宋体" w:eastAsia="宋体" w:cs="宋体"/>
                <w:color w:val="auto"/>
                <w:highlight w:val="none"/>
              </w:rPr>
            </w:pPr>
            <w:r>
              <w:rPr>
                <w:rStyle w:val="1012"/>
                <w:rFonts w:hint="eastAsia" w:ascii="宋体" w:hAnsi="宋体" w:eastAsia="宋体" w:cs="宋体"/>
                <w:color w:val="auto"/>
                <w:highlight w:val="none"/>
              </w:rPr>
              <w:t xml:space="preserve">13、微模块在满载和半载工况（依据北京地区全年温度分布计算出微模块的全年PUE），PUE值均小于1.2；</w:t>
            </w:r>
            <w:r/>
          </w:p>
          <w:p>
            <w:pPr>
              <w:jc w:val="left"/>
              <w:keepNext/>
              <w:widowControl/>
              <w:rPr>
                <w:rStyle w:val="1012"/>
                <w:rFonts w:hint="eastAsia" w:ascii="宋体" w:hAnsi="宋体" w:eastAsia="宋体" w:cs="宋体"/>
                <w:color w:val="auto"/>
                <w:highlight w:val="none"/>
              </w:rPr>
            </w:pPr>
            <w:r>
              <w:rPr>
                <w:rStyle w:val="1012"/>
                <w:rFonts w:hint="eastAsia" w:ascii="宋体" w:hAnsi="宋体" w:eastAsia="宋体" w:cs="宋体"/>
                <w:color w:val="auto"/>
                <w:highlight w:val="none"/>
              </w:rPr>
              <w:t xml:space="preserve">14、通道内需至少配备一个交流 220V/50Hz检修用市电插座位，空开容量应不低于 10A；</w:t>
            </w:r>
            <w:r/>
          </w:p>
          <w:p>
            <w:pPr>
              <w:jc w:val="left"/>
              <w:keepNext/>
              <w:widowControl/>
              <w:rPr>
                <w:rFonts w:hint="eastAsia" w:ascii="宋体" w:hAnsi="宋体" w:eastAsia="宋体" w:cs="宋体"/>
                <w:color w:val="auto"/>
                <w:sz w:val="20"/>
                <w:szCs w:val="20"/>
                <w:highlight w:val="none"/>
              </w:rPr>
            </w:pPr>
            <w:r>
              <w:rPr>
                <w:rStyle w:val="1012"/>
                <w:rFonts w:hint="eastAsia" w:ascii="宋体" w:hAnsi="宋体" w:eastAsia="宋体" w:cs="宋体"/>
                <w:color w:val="auto"/>
                <w:highlight w:val="none"/>
              </w:rPr>
              <w:t xml:space="preserve">15、微模块的强电电缆、铜缆、光纤</w:t>
            </w:r>
            <w:r>
              <w:rPr>
                <w:rStyle w:val="1012"/>
                <w:rFonts w:hint="eastAsia" w:ascii="宋体" w:hAnsi="宋体" w:eastAsia="宋体" w:cs="宋体"/>
                <w:color w:val="auto"/>
                <w:highlight w:val="none"/>
              </w:rPr>
              <w:t xml:space="preserve">及弱电信号线缆应在机柜顶部或底部布置；微模块的顶部或底部应设计独立的强电走线架、光纤槽、弱电（含信号、铜缆）走线架，走线架之间预留足够的维护及散热空间。微模块内部所有线缆均应通过微模块顶部或底部自带走线架进行布放；微模块应在强电配电柜顶部或底部预留强电电缆的进线口，同时预留各机柜的分配电缆及弱电线缆出线口。微模块应在弱电管控柜顶部或底部预留弱电、光纤、铜缆等线缆的出线口；进线口及出线口应具有足够的空间，避免电缆过度集中，过线孔边缘钣金应做保护处理，避免割伤电缆，且应有毛刷封堵，过线孔附近应设计线缆固定装置；</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2.机柜系统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通道机柜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服务器机柜尺寸（宽*深*高，mm）：≥600*1200*2000；</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符合标准：GB/T 19520，YD</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T2319-20</w:t>
            </w:r>
            <w:r>
              <w:rPr>
                <w:rFonts w:hint="eastAsia" w:ascii="宋体" w:hAnsi="宋体" w:cs="宋体"/>
                <w:color w:val="auto"/>
                <w:sz w:val="20"/>
                <w:szCs w:val="20"/>
                <w:highlight w:val="none"/>
                <w:lang w:val="en-US" w:eastAsia="zh-CN"/>
              </w:rPr>
              <w:t xml:space="preserve">20</w:t>
            </w:r>
            <w:r>
              <w:rPr>
                <w:rFonts w:hint="eastAsia" w:ascii="宋体" w:hAnsi="宋体" w:eastAsia="宋体" w:cs="宋体"/>
                <w:color w:val="auto"/>
                <w:sz w:val="20"/>
                <w:szCs w:val="20"/>
                <w:highlight w:val="none"/>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机柜主框架采用G型材焊接结构，横截面小，稳定性高；</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机柜框架组焊，拼合组焊式框架结构。材质为优质冷轧钢板，厚度为2.0mm冷轧钢板，前后门板材料为≥1.2mm冷轧钢板，侧板材料为≥1.2mm冷轧钢板。机柜U立柱≥4根，材质为2.0mm冷轧钢板。机柜内部应配置4根安装立柱，用于安装设备和固定层板，安装立柱能够前后移动调节；</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机柜静态承载能力不小于2800kg；动态承重能力不小于1600kg；机柜抗震要求：在配重800kg工况下，该设备通过8烈度结构抗地震考核；在配重600kg工况下，该设备连续通过8烈度和9烈度结构抗地震考核；</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机柜门：采用前后网孔门设计，前门单开，后门双开；前门开启角度不小于150°后门开启角度不小于160°，前门开孔率应不少于85%，后门开孔率应不少于88%，提供带有CMA标识的第三方测试报告证明；</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侧门：左右侧门采用上下两段式设计，带有弹扣锁，可免工具将侧板快速安装固定于框架上；</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安装支持：机柜可支持带PDU运输；机柜底部要求密封，底板为可拆卸结构；安装设备的U立柱可以调整，U立柱表面丝印有防腐蚀的RMU刻度，方便用户并快速安装设备；侧面留有方形安装孔配合安装固定承板及支架；机柜自带并柜组件，并柜时不需拆卸门板，方便工程实施；</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9</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布线部件：采用上进上出的走线方式时，机柜顶部应设计2个长方形进/出线口，其边缘应作钝化处理，并装有毛刷，以免划伤线缆。进线孔位置应具有线缆固定装置和专用封闭装置，不允许漏风。机柜顶部须有专用走线桥架，强电与弱电隔离设计；</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0</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机柜接地：机架内应设置不小于15*3mm2接地铜排，机柜及内部金属部件通过接地排多点接地和等电位连接；机柜可采用单独为PDU或者配电单元设置接地点，提高接地的安全及可靠性；</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机柜表面喷涂喷粉厚度应不小于88µm，采用黑色砂纹工艺，满足防腐、防锈表面光洁、色泽均匀、无流挂、不露底、无起泡、无裂纹、金属件无毛刺锈蚀。机柜前后门板、侧门板平整，无扭曲无变形，无明显抖动。门板开孔均匀，机柜标志应齐全，清晰，色泽均匀，耐久可靠。</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柜体水平偏差尺寸</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小于2mm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柜体垂直偏差尺寸</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小于2mm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机柜表面平整度在1㎡面积内不超过2mm；门与门框四周缝隙均保持一致</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机柜侧门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机柜侧门，卡扣式拆装，适用于600*1200*2000mm机柜</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L型支架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适用于600/800×1200×2000/2200机柜，长度：700mm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机柜承板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适用于600/800×1200×2000/2200机柜，仅适用19英寸机柜，承重：80kg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1U盲板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盲板，1U塑料盲板，44.45mm*480mm*14mm，黑色，适用19英寸机柜</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铜排</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铜排</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服务器机柜接地铜排</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长142*宽20*高25*厚4mm；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水平理线槽</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水平理线槽 496*55*44mm SPCC</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16口国标PDU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输入32A</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含接线盒</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1P总断路器与指示灯</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12位10A国标</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4位16A国标三扁插座</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左侧垂直安装。PDU 进线处带一个总电源指示灯，三相交流 PDU 每相须带一个指示灯，颜色为绿色，通电状态下指示灯常亮。指示灯要求支持热插拔维护</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PDU输入电源线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RVV3*6平方输入电源线</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卷</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设备底座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机柜承重底座，定制槽钢/钣金底座</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3.供电保障系统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功率模块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25KVA功率模块，PF=1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蓄电池</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1、容量：≥12V/100AH</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2、蓄电池的正、负极端子应有明显标志，且便于连接。</w:t>
            </w:r>
            <w:r/>
          </w:p>
          <w:p>
            <w:pPr>
              <w:jc w:val="left"/>
              <w:keepNext/>
              <w:widowControl/>
              <w:rPr>
                <w:rStyle w:val="1017"/>
                <w:rFonts w:hint="eastAsia" w:ascii="宋体" w:hAnsi="宋体" w:eastAsia="宋体" w:cs="宋体"/>
                <w:color w:val="auto"/>
                <w:highlight w:val="none"/>
              </w:rPr>
            </w:pP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3、</w:t>
            </w:r>
            <w:r>
              <w:rPr>
                <w:rStyle w:val="1011"/>
                <w:rFonts w:hint="eastAsia" w:ascii="宋体" w:hAnsi="宋体" w:eastAsia="宋体" w:cs="宋体"/>
                <w:color w:val="auto"/>
                <w:highlight w:val="none"/>
              </w:rPr>
              <w:t xml:space="preserve">密封反应效率不低于98.5%。</w:t>
            </w:r>
            <w:r>
              <w:rPr>
                <w:rStyle w:val="1010"/>
                <w:rFonts w:hint="eastAsia" w:ascii="宋体" w:hAnsi="宋体" w:eastAsia="宋体" w:cs="宋体"/>
                <w:color w:val="auto"/>
                <w:highlight w:val="none"/>
              </w:rPr>
              <w:t xml:space="preserve">充电过程中外部遇明火时其内部应不引燃、不引爆。</w:t>
            </w:r>
            <w:r/>
          </w:p>
          <w:p>
            <w:pPr>
              <w:jc w:val="left"/>
              <w:keepNext/>
              <w:widowControl/>
              <w:rPr>
                <w:rFonts w:hint="eastAsia" w:ascii="宋体" w:hAnsi="宋体" w:eastAsia="宋体" w:cs="宋体"/>
                <w:color w:val="auto"/>
                <w:sz w:val="20"/>
                <w:szCs w:val="20"/>
                <w:highlight w:val="none"/>
              </w:rPr>
            </w:pPr>
            <w:r>
              <w:rPr>
                <w:rStyle w:val="1017"/>
                <w:rFonts w:hint="eastAsia" w:ascii="宋体" w:hAnsi="宋体" w:eastAsia="宋体" w:cs="宋体"/>
                <w:color w:val="auto"/>
                <w:highlight w:val="none"/>
              </w:rPr>
              <w:t xml:space="preserve">4</w:t>
            </w:r>
            <w:r>
              <w:rPr>
                <w:rStyle w:val="1017"/>
                <w:rFonts w:hint="eastAsia" w:ascii="宋体" w:hAnsi="宋体" w:cs="宋体"/>
                <w:color w:val="auto"/>
                <w:highlight w:val="none"/>
                <w:lang w:eastAsia="zh-CN"/>
              </w:rPr>
              <w:t xml:space="preserve">、</w:t>
            </w:r>
            <w:r>
              <w:rPr>
                <w:rStyle w:val="1017"/>
                <w:rFonts w:hint="eastAsia" w:ascii="宋体" w:hAnsi="宋体" w:eastAsia="宋体" w:cs="宋体"/>
                <w:color w:val="auto"/>
                <w:highlight w:val="none"/>
              </w:rPr>
              <w:t xml:space="preserve">蓄电池壳体应能承受50kPa的正压或负压而不破裂、不开胶，压力释放后壳体无残余变形。</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节</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电池架/柜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32节12V100AH电池架，4层2列；尺寸：≤780x880x1200</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LxWxH</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电池开关盒</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尺寸：≤400×200×500（宽*深*高）mm；其中两极串联；工作电流250A；3P 250A空开</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含配套开关箱体</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电池连接铜排/电缆线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BVR-35mm2电池间连接线/跨层线缆</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主机</w:t>
            </w:r>
            <w:r>
              <w:rPr>
                <w:rFonts w:hint="eastAsia" w:ascii="宋体" w:hAnsi="宋体" w:eastAsia="宋体" w:cs="宋体"/>
                <w:color w:val="auto"/>
                <w:sz w:val="20"/>
                <w:szCs w:val="20"/>
                <w:highlight w:val="none"/>
              </w:rPr>
              <w:t xml:space="preserve">与电池间连接线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主机</w:t>
            </w:r>
            <w:r>
              <w:rPr>
                <w:rFonts w:hint="eastAsia" w:ascii="宋体" w:hAnsi="宋体" w:eastAsia="宋体" w:cs="宋体"/>
                <w:color w:val="auto"/>
                <w:sz w:val="20"/>
                <w:szCs w:val="20"/>
                <w:highlight w:val="none"/>
              </w:rPr>
              <w:t xml:space="preserve">与电池间连接线缆BVR-95mm2，含配件</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组</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输入电缆线</w:t>
            </w:r>
            <w:r/>
          </w:p>
        </w:tc>
        <w:tc>
          <w:tcPr>
            <w:tcBorders>
              <w:top w:val="single" w:color="000000" w:sz="4" w:space="0"/>
              <w:left w:val="non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规格：YJV4*70+1*35mm2</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输入电缆线</w:t>
            </w:r>
            <w:r/>
          </w:p>
        </w:tc>
        <w:tc>
          <w:tcPr>
            <w:tcBorders>
              <w:top w:val="single" w:color="000000" w:sz="4" w:space="0"/>
              <w:left w:val="non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规格：YJV5*10mm2，含配件</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设备底座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主机与电池架承重底座</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val="en-US" w:eastAsia="zh-CN"/>
              </w:rPr>
              <w:t xml:space="preserve">空气调节</w:t>
            </w:r>
            <w:r>
              <w:rPr>
                <w:rFonts w:hint="eastAsia" w:ascii="宋体" w:hAnsi="宋体" w:eastAsia="宋体" w:cs="宋体"/>
                <w:color w:val="auto"/>
                <w:sz w:val="20"/>
                <w:szCs w:val="20"/>
                <w:highlight w:val="none"/>
              </w:rPr>
              <w:t xml:space="preserve">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风冷列间</w:t>
            </w:r>
            <w:r>
              <w:rPr>
                <w:rFonts w:hint="eastAsia" w:ascii="宋体" w:hAnsi="宋体" w:cs="宋体"/>
                <w:color w:val="auto"/>
                <w:sz w:val="20"/>
                <w:szCs w:val="20"/>
                <w:highlight w:val="none"/>
                <w:lang w:val="en-US" w:eastAsia="zh-CN"/>
              </w:rPr>
              <w:t xml:space="preserve">调节</w:t>
            </w:r>
            <w:r>
              <w:rPr>
                <w:rFonts w:hint="eastAsia" w:ascii="宋体" w:hAnsi="宋体" w:eastAsia="宋体" w:cs="宋体"/>
                <w:color w:val="auto"/>
                <w:sz w:val="20"/>
                <w:szCs w:val="20"/>
                <w:highlight w:val="none"/>
              </w:rPr>
              <w:t xml:space="preserve">设备</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机械性能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1)室内机表面应采用耐高温、耐腐蚀材料喷层，并且喷涂均匀、无破损；信号灯、开关、测量显示装置布局合理。</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2)室内机风机应均匀分布在机组送风面，保证送风均匀。</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电气性能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1)电气性能应符合IEC标准，输入电压允许波动范围：380V，+15%～-15%，频率：50HZ2HZ。</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工作环境和温、湿度控制性能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1)工作环境温度：室内+18℃～+40℃，室外-15℃～35℃（常温型），湿度≤80%RH。</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2)温度调节范围：+18℃～+40℃，温度调节精度：1℃。</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3)湿度调节范围：20%80%RH，湿度调节精度：5%RH。</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4)温、湿度波动超限应能发出报警信号。</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机组性能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1)制冷量≥40kW，风量≥8600m3/h，电加热量≥6kW，加湿量≥3kg/h。</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2)为了保障换热效率，应采用传热效率高的内螺纹式铜管和冲缝型亲水膜翅片。</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3)应采用高效工业用直流变频压缩机，具有可靠性高、噪音低、寿命长、易安装等特点。</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4)室内风机必须采用可无极调速的EC离心风机，数量≥6个。</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5)膨胀阀应采用电子膨胀阀，有利于精准控制，更加高效节能。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6)应满足防尘要求，应配备G4过滤网。</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7)蒸发器形式：为保证机内气流组织最优，避免由于多片蒸发器造成的紊流，应采用“/”板型蒸发器，不接受‘V’型蒸发器。</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8)应考虑整体制冷系统稳定性，压缩机进气、出气管接口处应采用严格的焊接工艺处理，以防制冷剂泄漏，不接受抗震动性能差的螺纹式接管。</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9)应采用正温度系数的PTC陶瓷套铝翅片电加热器和更加节能的湿膜加湿器，考虑整体设备的节能性和水质的特殊要求，不接受不易分拆更换的红外加湿器和电极式加湿。</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10)应具有先进的微处理控制器，能储存并显示不少于1000条历史告警信息，不接受代码显示告警信息的显示器。</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11)机电控箱采用抽拉式设计，方便维护。</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监控性能和控制系统</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1)应具有高效的现场监控及远程监控能力，标配RS485通讯接口。</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监控系统应具有三遥性能：遥测项目范围：送风温度、回风温度、送风湿度、回风湿度、显示机组工作状态等。遥信项目范围：开/关机，回风温度过高/低，回风湿度过高/低，高压/低压，过滤器正常/堵塞，风机正常/故障等。遥控项目范围：开/关机等应答。</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3)在系统监控状态下应具备过压、欠压等报警及故、障诊断，告警记录功能，自动保护，自动恢复，自动重启，电力缺相保护等功能。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4)应采用全中文</w:t>
            </w: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寸触摸屏，人性化设计并实现智能化触摸式控制，可显示机组内各主要组件的运行状态和各项指标数据。</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5)应具有智能判断功能，对于超常规的参数设置，系统能自动拒绝，并且具备各项参数设置的帮助系统。机组的设置参数、运行参数及系统日志存储在内部存储器内，不会因断电而丢失，具有来电自动重启功能。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6)控制系统应具有多级密码保护功能，机组控制器具有多台机组备份联动或多台机组的控制功能，要求可控机组数量不少于32台。</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冷却设备</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1)为了适应多种工作环境条件，室外机应具有良好的刚性和防腐性能。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2)冷凝器风机应采用无极调速方式，可根据冷凝压力自动调节，风机叶片应为全金属材质，采用猫头鹰翅式（锯齿式）设计，有效降低能耗及噪音。</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3)机房专用机组的冷凝器出厂时应进行保压，管路端口应采取防止异物进入的措施。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安装配件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含定制支架、连接、故障诊断、调试、氮气、冷媒、支架构件及制作、铜管，保温管配件</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5.综合管理系统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机房监控软件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该软件内置于主机中</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一体化采集主机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一体化环境监控主机要求能独立自成系统（含应用软件），具有数据采集、数据处理、协议转换、联动控制、报警管理、存储等功能，内嵌WEB服务，支持远程IE访问；友好的人机界面，满足用户个性化需求。内置WEB服务为系统管理人员提供远程设置、远程监控、远程维护及远程报警等专业管理功能；网络中断时动环采集单元仍可独立运行、存储数据及联动控制。数据采集终端将采集的数据和处理后的结果、报警信息等上传至集中监控层；</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具备本地化管理功能，无需借助上端动环监控软件平台，采集器自带组态图形化、列表等多种形式进行数据监测呈现，所有的显示模块（含导航栏）、数据监测组态页面及内容均可由用户自定义，支持机房能耗数据（PUE）展示；满足不同应用场景不同需求。</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支持3D组态、支持本地TTS语音播报，支持联动及权限管理。</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ARM架构嵌入式采集设备。</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采用软硬件一体化设计，底端设备预处理，平台后处理及转发，大幅提升系统整体响应速度；具备底端协议解析、处理、存储功能，确保数据、告警不漏报，采用软件方式，不需要单独配置硬件协议解析器，具备数据缓存、断点续传功能。</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管理手段多样化：支持本地化屏幕（如平板电脑）监控、远程B/S监控、手机APP监控（可选配）、离线短信、邮件报警通知功能等。</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不少于12000个测点，支持不少于7天的本地存储，内置至少32GEMMC（非通过SD卡扩展）</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支持底端告警处理方式。离线情况下通过短信进行报警通知责任人；</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支持离线底端告警事件联动DO输出功能，具备自定义不同的告警事件联动不同DO输出支持Web远程配置和WEB展示、SSH远程配置，支持SNMP、网管功能；</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具有自诊断功能、故障检测、CPU利用率检测功能；</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平均无故障时间：不少于120万小时；</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具备不少于12个DI接口，4个DO接口，以及不少于10个RS485接口。可以接入现场门禁控制器、现场报警模块、DI输入模块、IO输入输出模块。</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单个串口支持不同种协议，不同波特率的智能设备混接，响应时间无明显影响</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电话语音模块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支持接口：TYPE B/USB</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支持三大运营商：移动/联通/电信，满足4G/3G/2G 网络环境中使用</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支持电话语音、短信远程报警通知，支持电话语音报警通知、中英文短信通知等</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DC继电器及插座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DC继电器</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24V</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2Z</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250VAC</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10A</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声光报警器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额定工作电压：12VDC</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工作电压范围：9-15V</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额定工作电流范围：60-85mA</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声压范围：102±3Db</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温湿度传感器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1、86底盒壁挂式安装</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2、大屏、不带背光、无露点温度</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烟雾感应器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光电式感烟探测器</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工作电压：12VDC；待机电流：小于12mA，报警电流：小于18mA；工作温度：-10℃～50℃；报警输出：常开/常闭可选，接点容量DC28V 100mA。</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不定位式水浸控制器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提供1路不定位漏水检测接口，1路继电器告警输出接口，1路RS485接口，支持Modbus RTU协议通讯，支持4档漏水灵敏度可设置</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10米不定位漏水感应线套装</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10米感应线一体型+固定胶贴夹</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双盘位8路POE，含4TB硬盘</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网络半球摄像机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400万，POE，3.6mm</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4、其他</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配电箱</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≥700*800*250含内部元器件</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医护对讲系统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医护</w:t>
            </w:r>
            <w:r>
              <w:rPr>
                <w:rFonts w:hint="eastAsia" w:ascii="宋体" w:hAnsi="宋体" w:cs="宋体"/>
                <w:color w:val="auto"/>
                <w:sz w:val="20"/>
                <w:szCs w:val="20"/>
                <w:highlight w:val="none"/>
                <w:lang w:val="en-US" w:eastAsia="zh-CN"/>
              </w:rPr>
              <w:t xml:space="preserve">主控</w:t>
            </w:r>
            <w:r>
              <w:rPr>
                <w:rFonts w:hint="eastAsia" w:ascii="宋体" w:hAnsi="宋体" w:eastAsia="宋体" w:cs="宋体"/>
                <w:color w:val="auto"/>
                <w:sz w:val="20"/>
                <w:szCs w:val="20"/>
                <w:highlight w:val="none"/>
              </w:rPr>
              <w:t xml:space="preserve">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硬件参数</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安卓操作系统，版本号不低于Android 11.0；CPU不低于6核，CPU主频不低于1.8GHz；运行内存不低于4G；机身存储不低于32G；</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显示尺寸不低于15英寸，支持手套操作，支持10点触控；显示分辨率不低于1920×1080；前置摄像头像素不低于1300W；双声道；</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读卡模块：支持IC卡；蓝牙</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5.0；以太网：支持10/100/1000Mbps自适应</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支持USB2.0*1、RJ45*1等接口；</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物理按键；</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硬件看门狗：支持，可实现设备异常时自动重启功能；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支持电源适配器供电、POE供电、电源箱集中供电三种方式；</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面板不低于6H硬度钢化玻璃。</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软件功能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呼叫患者：支持向病区患者发起呼叫，接通后可进行音频或视频通话，支持自动接通；</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呼叫医护：支持向本病区值班室、护士站以及其他病区护士站发起呼叫，接通后可进行音频或视频通话；</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多路通话：支持一病区多主机模式，当一个主机正在通话中时，不影响其他主机等终端处理患者呼叫。 </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接收呼叫：支持接听、挂断、忽略三种形式的处理呼叫方式，</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患者监护：支持主动调起患者的床头/床旁分机摄像头，查看患者的实时情况。</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忙音反馈：当主机在通话中时，系统可自动将呼叫信息收到的状态反馈给床头、床旁分机等终端，减轻患者焦虑。</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语音播报：支持对接收的呼叫信息进行汉字语音播报，如“X 床呼叫”、“X 房间卫生间呼叫”等，可设置报号次数。</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未处理提醒：支持设置持续提醒或间隔提醒，以满足不同环境、不同病区需要。</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一键清除：支持一键清除所有未处理呼叫，节省逐条清除时间。 </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呼叫记录：展示病区历史呼叫记录，包括发起方、被叫方、呼叫发起时间、呼叫处理时间、处理方式、通话时长等。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床位信息卡：展示床位一览，每个床位模块显示对应患者的床位信息、患者基本信息、护理标识信息等。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病区统计：支持统计并展示病区床位总数、患者总数、危重预警人数、各护理级别人数等。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显示模式：床位信息卡支持常规模式和极简模式两种显示模式，用户可根据使用习惯自行切换。</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患者详情：展示患者详情，包括床号、姓名、性别、年龄、出生日期、入院时间、入院诊断等。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护士进入：配合门口操作，支持查看病区护士所在房间位置。</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屏保动画：终端持续未操作时，支持自动显示屏保动画。</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17</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话筒广播：支持向整个病区、任意床位、任意房间发起实时话筒广播，广播时所有播放终端声音进度保持一致。</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18</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音频广播：支持通过播出单向整个病区、任意床位、任意房间发起定时或实时音频广播，支持单曲循环、列表循环、顺序播放三种播放模式，广播时所有播放终端声音进度保持一致。</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19</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护士定位：配合门口分机的护士进入功能，可查看哪些房间有护士进入。</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20</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屏幕亮度调整：支持后台配置多时间段屏幕亮度或亮、息屏，可根据医院作息灵活控制。</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终端音量调整：支持后台配置多时间段终端音量，可根据医院作息灵活控制。</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噪音抑制：通过噪音抑制算法，降低通话中的环境噪音，提高通话质量。硬件看门狗功能：硬件看门狗设计，支持设备异常时自动重启功能。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网络抖动抑制：可在弱网环境下提供高效网络传输、通话功能，提升用户通讯体验。</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硬件重启：支持通过实体按键完成硬件重启功能。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床头终端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硬件参数</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1、安卓操作系统，版本号不低于Android 10.0，显示尺寸不低于7英寸，显示分辨率不低于1024×600 ；防指纹，支持多点触控；</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2、CPU不低于4核1.6GHz；运行内存不低于1G，机身存储不低于8G；</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3、POE供电：POE与独立供电自动识别</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4、以太网：支持10/100Mbps自适应；</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5、支持DC12-48V宽电压供电；最大功率≤10W</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6、接口：支持网络转接口、电源接口、USB2.0接口等；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软件功能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患者信息床头卡：展示患者姓名、年龄、性别等患者人口学基本信息，展示入院时间、诊断、护理级别、饮食等此次就诊信息，展示过敏史等既往史信息，展示压疮、迭代等高危护理标识，并支持图片形式展示护理标识；</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2、播放广播联动：能够播放主机发起的话筒广播与音频广播内容，多个床头分机间播放进度一致；</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3、护士定位</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支持通过“护理”屏幕虚拟按键进入功能，联动其他设备显示护士进入该房间，再次点击按键恢复常规状态；</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4、呼叫转移：当护士触发护士定位后，可接收、处理其他床位的呼叫信息；</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5、定时息屏：可通过功能配置定时息屏；</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6、分时音量控制：可根据不同时间段配置不同的音量大小；</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7、闹钟计时器：可进入计时器，点击后开始计时，可点击结束完成计时</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卫生间求助按钮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IP68防护等级；呼叫按键占比大于25%；静电等级±15KV；具有专用取消按键，便于及时清除误操作，也支持在医护主机上取消报警</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组网方式：两线制组网；防冲突撞码：保证由主机下发的每一个分机码都能被对应的卫生间分机收到，形成贯通的通讯机制</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支持：呼叫拉绳、蜂鸣器、灯光指示、呼叫取消按键</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呼叫时有明显的声光报警提示</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病房门口终端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硬件参数</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安卓操作系统，版本号不低于Android 10.0；显示尺寸不低于10英寸，显示分辨率不低于1024*600；电容屏触摸屏，防指纹，支持多点触控；</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CPU不低于4核1.6GHz；运行内存不低于1G，机身存储不低于8G；</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具备一体式门灯，门灯颜色不小于7色；麦克风：支持，降噪防啸叫高清通话</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POE供电：支持，POE与独立供电自动识别；</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刷卡模块：支持IC卡；卫生间接口：支持；</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以太网：10/100Mbps，自适应；</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7</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其他接口：支持网络转接口、电源接口、8路安防接口、USB2.0接口等</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软件功能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房间信息卡：支持展示该房间的房间号和包含床号以及病房内的各床位患者的基本信息、责任医护信息、科主任、护士长；</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宣教文章展示：支持展示一页科室风采内容以宣教文章方式展示，支持展示图片、文字、音频、视频格式的宣教内容；</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呼叫功能：支持向医护主机和床位发起普通呼叫、向医护主机发起增援呼叫，可与床头（旁）分机、护士站医护主机、值班室分机等通话；</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呼叫提醒：显示病区内所有床头分机、卫生分机呼叫信息，呼叫时护理灯以护理级别颜色闪烁，显示呼叫的床位号，可清除床位呼叫。</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接听处理呼叫：作为广播机，能够接收本科室患者发来的呼叫请求，支持接听、挂断、忽略等操作；</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分时音量控制：可根据不同时间段配置不同的音量大小</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走廊显示终端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显示类型：双面Φ3.75mm，可显示</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2行*8个汉字；静电等级：±15KV；群脉冲等级：1.2KV@5KHz；</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护士位置显示：可显示护士进入的房间位置；</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时间显示：支持5种显示时间信息模式</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呼叫信息显示：呼叫时循环显示护理级别、房间号和床位号信息，可显示</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2行*8个汉字，支持多条呼叫信息显示</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待机信息显示：待机时滚动显示日期、时间、护士位置、温馨提示等内容</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护士站显示终端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CPU：≥4核 1.5GHZ ；操作系统：≥Android9.0；显示尺寸：≥55英寸，支持分辨率：≥1920*1080，亮度≥250cd/m²（Typ），运行内存：≥2G，机身存储：≥16G，背光寿命：≥30000hrs</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可对科室状态进行数据统计并展示，如住院人数、病重人数、各护理级别人数、空床数。</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可对需要特别关注的床位进行展示，如今日入院床位、今日出院床位、今日手术床位、明日手术床位、今日换床床位等。</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可对部分交班信息进行展示，如当日的值班医生信息、值班护士信息、责任制护理信息、要事留言等。</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可与病房呼叫系统联动，将呼叫信息实时醒目的显示到液晶电视中。</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可显示电子床头一览表信息，将床位信息情况更加直观，实时的展示。</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医护管理平台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账号信息：维护用户账号信息，支持为单个账号开通多个角色、多个岗位的功能权限与多个科室的数据权限；</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账号登录：支持验证“账号+密码”与“账号+密码+动态验证码”两种规则切换；登录成功后可在账号数据权限范围内的不同科室间切换；自动记住登录过的账户名，支持手动删除；</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身份识别：维护用户账号的IC卡号等身份认证信息；</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角色管理：支持控制用户所属角色登录系统WEB后台、床旁医护工作站的菜单权限与按钮权限（需搭配床旁分机使用）；</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岗位管理：维护岗位类型及新增多种派生岗位，支持控制用户所属岗位的特定权限；</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通讯录管理：维护用户所登录通讯终端的通讯范围，支持向全院范围的医护人员、患者、护士站、值班室等发起呼叫对讲（需搭配移动通讯终端使用）；</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门禁管理：维护用户通行的门禁权限范围，可以批量分配权限，支持刷卡开门方式，可支持扩展刷脸、手环等多种方式（需搭配病区门禁分机使用）；</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部门管理：维护医疗机构各个部门的组织架构关系，支持添加3级部门并可折叠显示；</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区域管理：维护医疗机构区域结构树，用于对应终端位置关系，支持设置区域、栋、单元、楼层、室等区域类型；</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终端管理：维护各个已注册终端的所属科室、设备型号、注册号码、IP地址、在线状态、软件版本等信息；</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终端升级：维护各个终端的安装包文件，具备对单个与批量终端进行OTA软件升级功能，包括即时与定时两种方式，支持查看升级/失败状态、软件版本；</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终端配置：支持对单个与批量终端进行功能配置，包括显示样式、屏幕亮度、喇叭音量、息屏时间、语音播报次数等；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终端日志：获取终端使用过程中产生的运行日志与错误日志，支持按日期导出下载；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运维主页：图形化显示系统授权许可、服务器资源、组件运行状态、微服务版本等信息，支持按科室查看终端离线数量，可对异常状态的组件进行重启操作；</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机构设置：维护医疗机构编号与显示logo、浏览器标签页标题与logo、备案号信息、HPTV与NTP服务器IP地址等；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电子床头卡模版配置：系统提供多套初始电子床头卡模版可供选择，支持对电子床头卡界面进行配置，选择所需的模版；</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17</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文件管理：维护本地视频、电子书、音乐等文件与相关分类，支持对文件与分类进行排序、搜索操作；</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18</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数据字典：维护护理级别等所包含选项的数据结构、显示规则与执行规则等；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19</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数据采集：支持数据库视图、WEBService、Http API、MQ、HL7 Message、XML中任一或组合方式的数据采集方式，通过异步、多线程任务等保障数据采集的高效性；</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20</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数据映射：支持将结构化或半结构化的数据进行映射转化，对应到业务应用系统所需的数据库字段中；支持平台已有数据与计划采集数据的有效性校验，过滤非增量数据，降低数据采集过程中产生的服务器资源占用；</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床位一览：展示病区床位一览界面，支持床位模式、房间模式、极简模式切换及统计信息显示，每个床位模块显示对应患者的床位信息、患者基本信息、护理标识信息等；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患者详情：展示患者详情界面，业务字段可通过显示标签自定义完成；</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显示标签：通过自定义显示标签属性，可自动生成床位一览页与患者详情页的业务字段；</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费用管理：展示患者的费用信息，包括预交金、费用明细、费用汇总、结算信息；</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手术安排：展示患者的手术安排信息，包括项目名称、手术时间、麻醉方式、主刀医师、手术状态等信息；</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临床报告：展示检查报告信息，包括项目名称、申请医生、报告状态、报告内容等信息；展示检验结果信息，可查看报告状态及报告中各项内容，系统对检验项目自动生成趋势图；</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27</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医嘱信息：支持对接HIS系统医嘱数据，查看患者长期、临时医嘱，展示包括医嘱名称、剂量、频次、用法等信息；</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28</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体况记录：展示从患者端（需硬件支持）录入的体征项数据，患者自行录入的数据经护士确认后可支持同步到HIS系统；</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29</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宣教记录：用以记录患者入院、住院、出院各个阶段进行宣教的全过程，包括宣教对象、方式、时间、内容、评价等；通过患者端（需硬件支持）可以查看宣教内容，支持患者已读签字确认，支持护士宣教完成打卡；</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30</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宣教内容：支持按病区与全院两种不同维度对宣教分类、宣教内容进行维护；宣教内容包括封面、音频、视频、PDF文档、诊断标签、推送规则等，支持累计阅读量查看；</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宣教推荐：维护宣教标签，用于给宣教内容进行标记，系统根据宣教内容与患者信息的匹配，自动推荐宣教内容；</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班次管理：支持按病区与全院两种不同维度对班次进行维护；</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排班流水：护士长进行病区排班的核心模块，可以按周对护士排班信息进行调整；</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医生班次管理：支持按科室与全院两种不同维度对班次进行维护；</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患者消息：定时或实时向病区不同情况的患者推送不同的消息，如服药提醒、缴费提醒、检查预约、手术事项等，消息内容支持图文、音频、视频；</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消息模板：维护病区消息模板，以便快捷完成推送消息操作，支持文字、音频、文字转语音多种消息类型；</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37</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医护公告：定时或实时向全院医护人员推送不同的文本公告，接收终端包括移动端、WEB端、护理看板等；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38</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病区公告：维护走廊显示</w:t>
            </w:r>
            <w:r>
              <w:rPr>
                <w:rFonts w:hint="eastAsia" w:ascii="宋体" w:hAnsi="宋体" w:cs="宋体"/>
                <w:color w:val="auto"/>
                <w:sz w:val="20"/>
                <w:szCs w:val="20"/>
                <w:highlight w:val="none"/>
                <w:lang w:val="en-US" w:eastAsia="zh-CN"/>
              </w:rPr>
              <w:t xml:space="preserve">终端</w:t>
            </w:r>
            <w:r>
              <w:rPr>
                <w:rFonts w:hint="eastAsia" w:ascii="宋体" w:hAnsi="宋体" w:eastAsia="宋体" w:cs="宋体"/>
                <w:color w:val="auto"/>
                <w:sz w:val="20"/>
                <w:szCs w:val="20"/>
                <w:highlight w:val="none"/>
              </w:rPr>
              <w:t xml:space="preserve">展示内容，多条可以轮播显示，支持对显示样式进行配置；</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39</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音频广播：维护播出单和音频文件，对全部或指定床位、房间进行音频广播，可按时间段和次数设置播放规则；</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40</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闹钟设置：维护患者端闹钟类型（需硬件支持），为不同类型闹钟设定不同的铃声和播放时长；</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呼叫记录：可将系统关键业务进行及时记录，包括通话记录、报警记录、呼叫满意度记录、巡视记录等；</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42、</w:t>
            </w:r>
            <w:r>
              <w:rPr>
                <w:rFonts w:hint="eastAsia" w:ascii="宋体" w:hAnsi="宋体" w:eastAsia="宋体" w:cs="宋体"/>
                <w:color w:val="auto"/>
                <w:sz w:val="20"/>
                <w:szCs w:val="20"/>
                <w:highlight w:val="none"/>
              </w:rPr>
              <w:t xml:space="preserve">呼叫统计：展示呼叫业务统计分析数据，包括科室、房间、床位对比图，日、时趋势图，响应对比图等。</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24口POE接入交换机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1、交换容量≥336Gbps，包转发率≥126Mpps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2、10/100/1000Base-T电口≥24个，千兆SFP口≥4个（其中GE combo口≥4个）；</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3、支持802.3at/POE+供电标准，单端口最大支持30W</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整机POE功率≥370W；</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4、支持基于端口的VLAN，支持基于协议的VLAN；</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5、堆叠链路冗余保护能够快速收敛，收敛时间≤50ms；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6、支持IPv4/IPV6双栈管理和转发，支持静态路由协议和RIP、OSPF等路由协议，支持丰富的管理和安全特性；</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7、支持内置智能图形化管理功能</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汇聚交换机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1、交换容量≥2.4Tbps，包转发率</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462Mpps；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2、≥320K MAC、≥80K路由表；</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3、≥28个100/1000Base-X SFP端口（4个千兆电combo口），4个10G/1G SFP+口；1个端口扩展插槽，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4、支持防火墙插卡、10G、25G、40G、100G和电口扩展插卡；</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5、双可插拔电源设计、2模块化风扇设计；</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6、支持VxLAN；支持M-LAG；支持MACsec</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7、支持抗大流量攻击能力、畸形包处理能力、Ping Flood攻击处理能力、SYN Flood攻击处理能力</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千兆光模块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光模块-SFP-GE-单模模块-</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1310nm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10km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LC</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信号线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WDZ-RVV4*0.5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2550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病房区标准时钟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手术时钟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1、外框材质：铝合金专用边框（银色）</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2、面板材质：有机玻璃面板+UV打印</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3、显示材质：</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1.5寸红光数码管（44mm高*31mm宽）</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4、电源供电：220V供电</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5、工作环境：温度-10℃～65℃相对湿度＜85%</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6、产品功耗：整屏＜单面7W</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7、产品寿命：平均使用寿命≥10W小时</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8、遥控距离：红外遥控≤10M</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9、断电保存：断电保存时长7天</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10、尺寸：≥600*400*35mm单面</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模拟指针钟（单）</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Style w:val="1012"/>
                <w:rFonts w:hint="eastAsia" w:ascii="宋体" w:hAnsi="宋体" w:eastAsia="宋体" w:cs="宋体"/>
                <w:color w:val="auto"/>
                <w:highlight w:val="none"/>
                <w:lang w:eastAsia="zh-CN"/>
              </w:rPr>
            </w:pPr>
            <w:r>
              <w:rPr>
                <w:rStyle w:val="1012"/>
                <w:rFonts w:hint="eastAsia" w:ascii="宋体" w:hAnsi="宋体" w:eastAsia="宋体" w:cs="宋体"/>
                <w:color w:val="auto"/>
                <w:highlight w:val="none"/>
              </w:rPr>
              <w:t xml:space="preserve">1、接收母钟信号</w:t>
            </w:r>
            <w:r>
              <w:rPr>
                <w:rStyle w:val="1012"/>
                <w:rFonts w:hint="eastAsia" w:ascii="宋体" w:hAnsi="宋体" w:cs="宋体"/>
                <w:color w:val="auto"/>
                <w:highlight w:val="none"/>
                <w:lang w:eastAsia="zh-CN"/>
              </w:rPr>
              <w:t xml:space="preserve">；</w:t>
            </w:r>
            <w:r/>
          </w:p>
          <w:p>
            <w:pPr>
              <w:keepNext/>
              <w:widowControl/>
              <w:rPr>
                <w:rStyle w:val="1012"/>
                <w:rFonts w:hint="eastAsia" w:ascii="宋体" w:hAnsi="宋体" w:eastAsia="宋体" w:cs="宋体"/>
                <w:color w:val="auto"/>
                <w:highlight w:val="none"/>
              </w:rPr>
            </w:pPr>
            <w:r>
              <w:rPr>
                <w:rStyle w:val="1012"/>
                <w:rFonts w:hint="eastAsia" w:ascii="宋体" w:hAnsi="宋体" w:eastAsia="宋体" w:cs="宋体"/>
                <w:color w:val="auto"/>
                <w:highlight w:val="none"/>
              </w:rPr>
              <w:t xml:space="preserve">2、显示时间；</w:t>
            </w:r>
            <w:r/>
          </w:p>
          <w:p>
            <w:pPr>
              <w:keepNext/>
              <w:widowControl/>
              <w:rPr>
                <w:rStyle w:val="1012"/>
                <w:rFonts w:hint="eastAsia" w:ascii="宋体" w:hAnsi="宋体" w:eastAsia="宋体" w:cs="宋体"/>
                <w:color w:val="auto"/>
                <w:highlight w:val="none"/>
              </w:rPr>
            </w:pPr>
            <w:r>
              <w:rPr>
                <w:rStyle w:val="1012"/>
                <w:rFonts w:hint="eastAsia" w:ascii="宋体" w:hAnsi="宋体" w:eastAsia="宋体" w:cs="宋体"/>
                <w:color w:val="auto"/>
                <w:highlight w:val="none"/>
              </w:rPr>
              <w:t xml:space="preserve">3、外径≥370mm；</w:t>
            </w:r>
            <w:r/>
          </w:p>
          <w:p>
            <w:pPr>
              <w:keepNext/>
              <w:widowControl/>
              <w:rPr>
                <w:rStyle w:val="1012"/>
                <w:rFonts w:hint="eastAsia" w:ascii="宋体" w:hAnsi="宋体" w:eastAsia="宋体" w:cs="宋体"/>
                <w:color w:val="auto"/>
                <w:highlight w:val="none"/>
              </w:rPr>
            </w:pPr>
            <w:r>
              <w:rPr>
                <w:rStyle w:val="1012"/>
                <w:rFonts w:hint="eastAsia" w:ascii="宋体" w:hAnsi="宋体" w:eastAsia="宋体" w:cs="宋体"/>
                <w:color w:val="auto"/>
                <w:highlight w:val="none"/>
              </w:rPr>
              <w:t xml:space="preserve">4、电源：220 AC 50Hz，功率&lt;4W；</w:t>
            </w:r>
            <w:r/>
          </w:p>
          <w:p>
            <w:pPr>
              <w:keepNext/>
              <w:widowControl/>
              <w:rPr>
                <w:rStyle w:val="1012"/>
                <w:rFonts w:hint="eastAsia" w:ascii="宋体" w:hAnsi="宋体" w:eastAsia="宋体" w:cs="宋体"/>
                <w:color w:val="auto"/>
                <w:highlight w:val="none"/>
              </w:rPr>
            </w:pPr>
            <w:r>
              <w:rPr>
                <w:rStyle w:val="1012"/>
                <w:rFonts w:hint="eastAsia" w:ascii="宋体" w:hAnsi="宋体" w:eastAsia="宋体" w:cs="宋体"/>
                <w:color w:val="auto"/>
                <w:highlight w:val="none"/>
              </w:rPr>
              <w:t xml:space="preserve">5、环境要求：－20℃～+65℃；          </w:t>
            </w:r>
            <w:r/>
          </w:p>
          <w:p>
            <w:pPr>
              <w:keepNext/>
              <w:widowControl/>
              <w:rPr>
                <w:rStyle w:val="1012"/>
                <w:rFonts w:hint="eastAsia" w:ascii="宋体" w:hAnsi="宋体" w:eastAsia="宋体" w:cs="宋体"/>
                <w:color w:val="auto"/>
                <w:highlight w:val="none"/>
              </w:rPr>
            </w:pPr>
            <w:r>
              <w:rPr>
                <w:rStyle w:val="1012"/>
                <w:rFonts w:hint="eastAsia" w:ascii="宋体" w:hAnsi="宋体" w:eastAsia="宋体" w:cs="宋体"/>
                <w:color w:val="auto"/>
                <w:highlight w:val="none"/>
              </w:rPr>
              <w:t xml:space="preserve">6、MTBF：≥10万小时；</w:t>
            </w:r>
            <w:r/>
          </w:p>
          <w:p>
            <w:pPr>
              <w:keepNext/>
              <w:widowControl/>
              <w:rPr>
                <w:rStyle w:val="1012"/>
                <w:rFonts w:hint="eastAsia" w:ascii="宋体" w:hAnsi="宋体" w:eastAsia="宋体" w:cs="宋体"/>
                <w:color w:val="auto"/>
                <w:highlight w:val="none"/>
              </w:rPr>
            </w:pPr>
            <w:r>
              <w:rPr>
                <w:rStyle w:val="1012"/>
                <w:rFonts w:hint="eastAsia" w:ascii="宋体" w:hAnsi="宋体" w:eastAsia="宋体" w:cs="宋体"/>
                <w:color w:val="auto"/>
                <w:highlight w:val="none"/>
              </w:rPr>
              <w:t xml:space="preserve">7、自动同步北京时间，每次上电自动校时一次，每天晚上自动校时一次；</w:t>
            </w:r>
            <w:r/>
          </w:p>
          <w:p>
            <w:pPr>
              <w:keepNext/>
              <w:widowControl/>
              <w:rPr>
                <w:rFonts w:hint="eastAsia" w:ascii="宋体" w:hAnsi="宋体" w:eastAsia="宋体" w:cs="宋体"/>
                <w:color w:val="auto"/>
                <w:sz w:val="20"/>
                <w:szCs w:val="20"/>
                <w:highlight w:val="none"/>
                <w:lang w:eastAsia="zh-CN"/>
              </w:rPr>
            </w:pPr>
            <w:r>
              <w:rPr>
                <w:rStyle w:val="1012"/>
                <w:rFonts w:hint="eastAsia" w:ascii="宋体" w:hAnsi="宋体" w:eastAsia="宋体" w:cs="宋体"/>
                <w:color w:val="auto"/>
                <w:highlight w:val="none"/>
              </w:rPr>
              <w:t xml:space="preserve">8、计时无累计误差</w:t>
            </w:r>
            <w:r>
              <w:rPr>
                <w:rStyle w:val="1012"/>
                <w:rFonts w:hint="eastAsia" w:ascii="宋体" w:hAnsi="宋体" w:cs="宋体"/>
                <w:color w:val="auto"/>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一级母钟（NTP时钟服务设备）</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1、GPS、北斗混合时钟参考模式，一级网络时间服务器，同步精度1µs</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2、输出1路NTP/SNTP网络时间接口（RJ45）供数字子钟和计算机网络时间同步，19英寸标准1U机架式</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3、用户终端同步授时精度：2 ms（局域网典型值）</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4、用户容量：可支持数万台客户端NTP请求量：8000次/秒</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5、支持所有NTP协议的服务器、PC、嵌入式设备等，包括但不限于：</w:t>
            </w:r>
            <w:r/>
          </w:p>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Microsoft Windows全系列、Linux 全系列（Redhat，Fedora，Bsd，Centos等</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Mac os 系列、Aix、HP-UX、Android等等。</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6、72通道授时型GPS/BeiDou/GLONASS 混合接收机</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7、UTC同步精度30ns（RMS），支持单星授时窗口模式GPS接收L1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C/A码信号-1575.42MHz北斗beiDou B1，模式可选择纯GPS、纯北斗或混合三种模式跟踪及锁定灵敏度可达-167dBm，显示年月日时分秒、锁定卫星数量、时间锁定状态、设备工作状态、天线状态GPS天线入：TNC，1路，L1，1575.42MHz</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8、网口：RJ-45，1路，10/100M自适应以太网接口</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9、2 个 RS485 串口</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GPS/BD信号接收装置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天线：具备防尘、防水、防腐</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同步误差：≤100ns</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信号传输距离：≤1200米</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接 口 方 式：BNC接口</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平均无故障时间：</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8万小时</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工作频率 1575.42MHz</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7</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频宽 20MHz 最小</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8</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驻波比</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VSWR</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 1.5：1</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9</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信号方向 半球型向上</w:t>
            </w:r>
            <w:r>
              <w:rPr>
                <w:rFonts w:hint="eastAsia" w:ascii="宋体" w:hAnsi="宋体" w:cs="宋体"/>
                <w:color w:val="auto"/>
                <w:sz w:val="20"/>
                <w:szCs w:val="20"/>
                <w:highlight w:val="none"/>
                <w:lang w:eastAsia="zh-CN"/>
              </w:rPr>
              <w:t xml:space="preserve">；</w:t>
            </w:r>
            <w:r/>
          </w:p>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10、线长默认50米。</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管理平台</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配套</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控制终端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配套</w:t>
            </w:r>
            <w:r>
              <w:rPr>
                <w:rFonts w:hint="eastAsia" w:ascii="宋体" w:hAnsi="宋体" w:eastAsia="宋体" w:cs="宋体"/>
                <w:color w:val="auto"/>
                <w:sz w:val="20"/>
                <w:szCs w:val="20"/>
                <w:highlight w:val="none"/>
              </w:rPr>
              <w:t xml:space="preserve">管理平台</w:t>
            </w:r>
            <w:r>
              <w:rPr>
                <w:rFonts w:hint="eastAsia" w:ascii="宋体" w:hAnsi="宋体" w:cs="宋体"/>
                <w:color w:val="auto"/>
                <w:sz w:val="20"/>
                <w:szCs w:val="20"/>
                <w:highlight w:val="none"/>
                <w:lang w:val="en-US" w:eastAsia="zh-CN"/>
              </w:rPr>
              <w:t xml:space="preserve">使用。</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24口接入交换机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1、交换容量≥336Gbps，包转发率≥51Mpps；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2、10/100/1000Base-T自适应以太网端口≥24个，千兆SFP口≥4个；</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3、支持基于端口的VLAN，支持基于协议的VLAN；</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4、支持ERPS功能，收敛时间小于50ms；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5、支持IPv4/IPV6双栈管理和转发，支持静态路由协议和RIP、OSPF等路由协议，支持丰富的管理和安全特性；</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6、支持内置智能图形化管理功能</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千兆光模块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光模块-SFP-GE-单模模块-</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1310nm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10km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LC</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智慧门诊系统</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护士分诊台管理软件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护士站支持多项功能，如设置分诊叫号可分为智能、人工、混合三种叫号模式</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同时也可以作为签到机使用，护士站刷卡、刷医保卡（及其它相关身份验证凭证）完成签到过程</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具备调科、优先、插后、转移、指定医生、指定诊室等常规功能。还有绿色通道等相关功能</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可以实现老人、军人等相关优先自动处理功能</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支持部门特殊科室多天复诊功能</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例：针推科多次冶疗免挂号</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护士可以通过此软件了解本诊区的叫号情况、等候情况、医生看诊情况、诊室内空与忙的情况</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7</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系统支持全院医生调配诊区处理，对于专家门诊可以灵活完整的自动调节诊区处理，无需人工处理就完成专家门诊全院调配诊区处理</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8</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普通门诊可以在同一诊区内灵活换诊室等功能</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9</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可以选配急诊分级诊疗过程，实现护士手工急诊分级，达到急诊分级诊疗</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支持初复诊比率叫号功能</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支持护士站与医生端的交流功能</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支持各科室显示方式自定义、各科室叫号声音方式自定义</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支持道闸或门禁呼叫连动功能</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支持二次分诊、预诊等相关功能</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支持护士代呼功能。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医生工作站叫号软件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支持危重病人复诊优先，支持选呼、复呼、暂停等功能。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独立工号登陆界面，医生工作站一套虚拟呼叫终端，实施提示候诊等候人数。</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查询已诊人员信息列表、等候就诊人员信息列表。</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支持热键设置功能。实现一键顺呼等相关功能。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实现护士站与医生端互动功能。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支持预诊功能呼叫、二次呼叫等相关功能。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诊室显示终端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规格：≥21.5"；</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操作系统：Android；</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CPU：≥四核；</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内存：≥1G DDR3；</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存储器：≥8GB EMMC</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可扩展</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显示比例：16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9；</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解码分辨率：最高支持 1080P；</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网络：支持以太网、WiFi；</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分辨率：≥1920*1080；</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亮度：≥250 cd/m2；</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屏幕寿命：≥15000小时；</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外观：钢制外壳，金属烤漆，前置钢化玻璃；</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语音播报：内置TTS语音合成终端，自带喇叭；</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支持横、竖、吊等方式安装；</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自定义个性化界面，根据业务量需求可自行更换显示内容或分屏显示。</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护士站显示终端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CPU：≥4核 1.5GHZ ；操作系统：≥Android9.0；显示尺寸：≥55英寸，支持分辨率：≥1920*1080，亮度≥250cd/m²（Typ），运行内存：≥2G，机身存储：≥16G，背光寿命：≥30000hrs</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可对科室状态进行数据统计并展示，如住院人数、病重人数、各护理级别人数、空床数。</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可对需要特别关注的床位进行展示，如今日入院床位、今日出院床位、今日手术床位、明日手术床位、今日换床床位等。</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可对部分交班信息进行展示，如当日的值班医生信息、值班护士信息、责任制护理信息、要事留言等。</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可与病房呼叫系统联动，将呼叫信息实时醒目的显示到液晶电视中。</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可显示电子床头一览表信息，将床位信息情况更加直观，实时的展示。</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自助报到终端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规格：≥21.5英寸；</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屏幕比例：16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9；</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分辩率：≥1920*1080；</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亮度：≥250cd/㎡；</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内存：≥2G；</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存储器：≥32GB；</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网络接口：有线网络；</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触摸类型：电容多点触摸</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打印</w:t>
            </w:r>
            <w:r>
              <w:rPr>
                <w:rFonts w:hint="eastAsia" w:ascii="宋体" w:hAnsi="宋体" w:cs="宋体"/>
                <w:color w:val="auto"/>
                <w:sz w:val="20"/>
                <w:szCs w:val="20"/>
                <w:highlight w:val="none"/>
                <w:lang w:val="en-US" w:eastAsia="zh-CN"/>
              </w:rPr>
              <w:t xml:space="preserve">设备</w:t>
            </w:r>
            <w:r>
              <w:rPr>
                <w:rFonts w:hint="eastAsia" w:ascii="宋体" w:hAnsi="宋体" w:eastAsia="宋体" w:cs="宋体"/>
                <w:color w:val="auto"/>
                <w:sz w:val="20"/>
                <w:szCs w:val="20"/>
                <w:highlight w:val="none"/>
              </w:rPr>
              <w:t xml:space="preserve">：带切刀热敏打印</w:t>
            </w:r>
            <w:r>
              <w:rPr>
                <w:rFonts w:hint="eastAsia" w:ascii="宋体" w:hAnsi="宋体" w:cs="宋体"/>
                <w:color w:val="auto"/>
                <w:sz w:val="20"/>
                <w:szCs w:val="20"/>
                <w:highlight w:val="none"/>
                <w:lang w:val="en-US" w:eastAsia="zh-CN"/>
              </w:rPr>
              <w:t xml:space="preserve">设备</w:t>
            </w:r>
            <w:r>
              <w:rPr>
                <w:rFonts w:hint="eastAsia" w:ascii="宋体" w:hAnsi="宋体" w:eastAsia="宋体" w:cs="宋体"/>
                <w:color w:val="auto"/>
                <w:sz w:val="20"/>
                <w:szCs w:val="20"/>
                <w:highlight w:val="none"/>
              </w:rPr>
              <w:t xml:space="preserve">，纸规格≥58㎜；</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预留模块：IC非接、IC接触、身份证、二维码模块等</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120W 机架式功放</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1、额定输出功率≥120W 支持接入≥12个以内定压6W喇叭</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2、定压输出：70V/100V、输出功率120W</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3、定阻输出：4-16Ω</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4、不均匀度小于1.5db</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、≥3路线路输入、≥2路话筒输入，每个通道可独立调校音量</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、频率响应 60Hz-18KHz</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、失真度 ＜0.1% at 1Khz</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1/3额定功率输出</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、信噪比 线路：70dB，话筒：60dB</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、音调调整范围 BASS：±10dB（100Hz</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 TREBLE：±10dB（10khz</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0</w:t>
            </w:r>
            <w:r>
              <w:rPr>
                <w:rFonts w:hint="eastAsia" w:ascii="宋体" w:hAnsi="宋体" w:eastAsia="宋体" w:cs="宋体"/>
                <w:color w:val="auto"/>
                <w:sz w:val="20"/>
                <w:szCs w:val="20"/>
                <w:highlight w:val="none"/>
              </w:rPr>
              <w:t xml:space="preserve">、保护设计：过载、过流、超温、短路</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、电源 AC220-240/50-60Hz</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6W定压式喇叭</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1、喇叭单元：6〞全频单元</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2、额定功率3/6W可选</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3、输入电压： 100V/70V</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4、频响110-16KHz</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5、灵敏度： 93±3dB</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6、材质：ABS外壳，金属网罩</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网络多媒体控制器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操作系统：Android；</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CPU：≥八核 ；</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内存：≥2G DDR3；</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存储器：≥16GB EMMC</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可扩展</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显示比例：16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9；</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分辨率：≥1920*1080；</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解码分辨率最高支持：≥1080P；</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网络：支持 以太网、WiFi</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17</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窗口显示终端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规格：≥32"；</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操作系统：Android；</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CPU：≥四核；</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内存：≥1G DDR3；</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存储器：≥8GB EMMC</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可扩展</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显示比例：16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9；</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解码分辨率：≥1080P；</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网络：支持以太网、WiFi；</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分辨率：≥1920*1080；</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亮度：≥250 cd/m2；</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屏幕寿命：≥于15000小时；</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外观：钢制外壳，金属烤漆，前置钢化玻璃；</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语音播报：内置TTS语音合成终端，自带喇叭；</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支持横、竖、吊等方式安装；</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自定义个性化界面，根据业务量需求可自行更换显示内容或分屏显示。</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控制卡</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控制范围：≥260K点像素，≥4096，≥512</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带载：单双色，七彩：4096*64；2048*128；1024*256；512*512</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存储容量：≥8MByte</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适配范围：各种规格的单色、双色和全彩</w:t>
            </w:r>
            <w:r>
              <w:rPr>
                <w:rFonts w:hint="eastAsia" w:ascii="宋体" w:hAnsi="宋体" w:cs="宋体"/>
                <w:color w:val="auto"/>
                <w:sz w:val="20"/>
                <w:szCs w:val="20"/>
                <w:highlight w:val="none"/>
                <w:lang w:val="en-US" w:eastAsia="zh-CN"/>
              </w:rPr>
              <w:t xml:space="preserve">显示终端；</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软件功能：集群管理/多区域显示/多语言版本</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节目数量：支持≥128个节目，每个节目划分为16个区域</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7</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区域类型：图文/字幕/动画/数字时钟/表盘/正负计时/温度/温湿度</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8</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边框显示：节目流水边框/区域流水边框</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9</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时钟显示：数字时钟/模拟时钟/正计时/倒计时</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10</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通讯接口：100M网络，USB，RS232，RS485</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显示接口：≥2个50PIN</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传感器：温湿度传感器，亮度传感器</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亮度调节：16级亮度，支持定时调节/手动调节</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远程开关：支持定时开关屏/软件开关屏</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工作电压：+5V</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最大功率：</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1W</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控制卡</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存储容量：≥2MByte</w:t>
            </w:r>
            <w:r>
              <w:rPr>
                <w:rFonts w:hint="eastAsia" w:ascii="宋体" w:hAnsi="宋体" w:cs="宋体"/>
                <w:color w:val="auto"/>
                <w:sz w:val="20"/>
                <w:szCs w:val="20"/>
                <w:highlight w:val="none"/>
                <w:lang w:eastAsia="zh-CN"/>
              </w:rPr>
              <w:t xml:space="preserve">；</w:t>
            </w:r>
            <w:r/>
          </w:p>
          <w:p>
            <w:pPr>
              <w:jc w:val="left"/>
              <w:keepNext/>
              <w:widowControl/>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适配范围：各种规格的单色，双色</w:t>
            </w:r>
            <w:r>
              <w:rPr>
                <w:rFonts w:hint="eastAsia" w:ascii="宋体" w:hAnsi="宋体" w:cs="宋体"/>
                <w:color w:val="auto"/>
                <w:sz w:val="20"/>
                <w:szCs w:val="20"/>
                <w:highlight w:val="none"/>
                <w:lang w:val="en-US" w:eastAsia="zh-CN"/>
              </w:rPr>
              <w:t xml:space="preserve">显示终端；</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像素点：单色128K点</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双色64K点</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带载：单：2048*641360*961024*128</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双：1024*64512*128</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软件功能：集群管理/多区域显示/多语言版本</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节目数量：支持128个节目，每个节目划分为16个区域</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7</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区域类型：图文/字幕/动画/时间/模拟时钟/正负计时/温度</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8</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边框显示：节目流水边框/区域流水边框</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9</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时钟显示：数字时钟/模拟时钟/正计时/倒计时</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10</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通讯接口：USB接口和百兆网口</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显示接口：≥2个HUB08接口，≥4个HUB12接口</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工作电压：3.5V~6V</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最大功率：</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1W</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窗口对讲机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采用物理式按压按键，一体式高性能会议话筒；窗口机采用全铝合金外壳，内置红外感应探头。</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双向对讲：支持窗口内外双向对讲。</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自动静音：支持红外探测功能，可自动进入静音模式。</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录音输出：支持耳机插口，可输出窗口内外双路声音信号。</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音量调节：支持单独开关窗口内外声音，音量大小可调节。</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供电方式：电源适配器供电。</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18</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无线护理通讯系统软件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账户管理：管理机构的账户信息；</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设备管理：对终端设备呼叫器、网关、门灯、通讯主机、点阵屏进行管理，设备的新增、删除、状态查看、数据导出；</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状态信息：集中查看所有异常设备，可以第一时间掌握所有设备信息，包括：呼叫中设备、故障设备、离线设备、低电量设备、触发防拆报警设备；</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呼叫记录：记录呼叫时间及处理时间，对呼叫信息进行有效管理；</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数据统计：按照年、月的时间维度，统计机构内所有的呼叫终端的呼叫次数，为管理层的管理方案提供数据支持；</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系统设置：对消息处理方式，门灯颜色进行设置；</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7</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系统日志：记录设备安装、设备删除、设备修改等系统操作信息</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1211"/>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无线通讯主机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系统不低于Android 11.0；CPU不低于6核，CPU主频不低于1.8GHz；运行内存不低于4G；机身存储不低于32G；</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显示尺寸不低于15英寸，支持手套操作，支持10点触控；显示分辨率不低于1920×1080；前置摄像头像素不低于1300W；双声道；</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读卡模块：支持IC卡；WIFI：支持WIFI6；蓝牙</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5.0；以太网：支持10/100/1000Mbps自适应；</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支持HDMI 2.0*1、USB2.0*1、RJ45*1、3.5mm耳机插孔*1等接口；</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物理按键：息屏键*1，便于使用人员快速开关屏幕；复位键*1，便于设备异常时快速重启，物理按键为隐藏式设计，可有效避免误按情况发生；</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硬件看门狗：支持，可实现设备异常时自动重启功能；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支持电源适配器供电、POE供电、电源箱集中供电三种方式；</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面板不低于6H硬度钢化玻璃。</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软件功能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呼叫长者：支持向护理区长者发起呼叫，接通后可进行音频或视频通话，支持自动接通；</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护理呼叫：支持向本护理区值班室、护士站以及其他护理区护士站发起呼叫，接通后可进行音频或视频通话；</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多路通话：支持一护理区多主机模式，当一个主机正在通话中时，不影响其他主机等终端处理长者呼叫。 </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接收呼叫：支持接听、挂断、忽略三种形式的处理呼叫方式，选择“忽略”后只会挂断在当前终端的呼叫请求，而不影响其他终端接收；</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宕机呼叫：服务器重启、宕机、停电等特殊情况均不影响分机向主机的呼叫功能。呼叫托管：可设置托管主机，床头、门口等分机的呼叫统一转移到被托管主机上处理。支持立即托管与定时段托管模式。</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忙音反馈：当主机在通话中时，系统可自动将呼叫信息收到的状态反馈给床头、床旁分机等终端，减轻长者焦虑。</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录音录像</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 支持对通话过程录音录像，并可在服务端查询播放录制的文件。</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语音播报：支持对接收的呼叫信息进行汉字语音播报，如“X 床呼叫”、“X 房间卫生间呼叫”等，可设置报号次数。</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未处理提醒：支持设置持续提醒或间隔提醒，以满足不同环境、不同护理区需要。</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一键清除：支持一键清除所有未处理呼叫，节省逐条清除时间。 </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呼叫记录：展示护理区历史呼叫记录，包括发起方、被叫方、呼叫发起时间、呼叫处理时间、处理方式、通话时长等。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床位信息卡：展示床位一览，每个床位模块显示对应长者的床位信息、基本信息、护理标识信息等。</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显示模式：床位信息卡支持常规模式和极简模式两种显示模式，用户可根据使用习惯自行切换。</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长者详情：展示长者详情，包括床号、姓名、性别、年龄等信息及呼叫记录。</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远程开门：配合护理区门禁分机，支持接收护理区开门请求并远程控制开门。</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可视门禁：配合病区门禁分机，支持查看护理区出入口的视频画面，支持视频通话。</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17</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话筒广播：支持向整个护理区、任意床位、任意房间发起实时话筒广播，广播时所有播放终端声音进度保持一致。</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18</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音频广播：支持通过播出单向整个护理区、任意床位、任意房间发起定时或实时音频广播，支持单次播放、连续播放、循环播放三种播放模式，广播时所有播放终端声音进度保持一致。</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19</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闹钟提醒：配合床头端闹钟功能，皮试、测血糖等闹钟到时后支持一同联动提醒，播放闹钟铃声。</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20</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屏幕亮度调整：支持后台配置多时间段屏幕亮度，可灵活控制。支持配置无操作息屏时间。</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终端音量调整：支持配置多时间段终端音量，可根据作息灵活控制。</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回音消除：具备回音消除算法，优化通话噪音，提高通话质量。</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噪音抑制：通过噪音抑制算法，降低通话中的环境噪音，提高通话质量。硬件看门狗功能：硬件看门狗设计，支持设备异常时自动重启功能。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网络抖动抑制：可在弱网环境下提供高效网络传输、通话功能，提升用户通讯体验。</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硬件重启：支持通过实体按键完成硬件重启功能。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延时上电：为防止多设备同时启动时瞬时电流过大，设备支持延时上电功能。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走廊显示终端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显示类型：双面Φ3.75mm，可显示</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2行*8个汉字；静电等级：±15KV；群脉冲等级：1.2KV@5KHz； </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护士位置显示：可显示护士进入的房间位置；</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时间显示：支持5种显示时间信息模式</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呼叫信息显示：呼叫时循环显示护理级别、房间号和床位号信息，可显示</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2行*8个汉字，支持多条呼叫信息显示。</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待机信息显示：待机时滚动显示日期、时间、护士位置、温馨提示等内容</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2</w:t>
            </w:r>
            <w:r>
              <w:rPr>
                <w:rFonts w:hint="eastAsia" w:ascii="宋体" w:hAnsi="宋体" w:eastAsia="宋体" w:cs="宋体"/>
                <w:color w:val="auto"/>
                <w:sz w:val="20"/>
                <w:szCs w:val="20"/>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无线呼叫分机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设备支持Lora通讯协议； </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设备正常使用情况下续航时间不低于三年；</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设备按键不少于2个：呼叫按键×1、取消按键×1；</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呼叫拉绳：选配支持，搭配防水吊坠；</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设备具有独立防水电池仓设计，使用5号锂铁电池</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具备指示灯，指示灯≥3色。  </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软件要求 </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支持通过呼叫按键发出呼叫，显示端收到呼叫并广播；</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支持通过取消呼叫按键取消已发出的呼叫；</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状态指示灯可以指示呼叫分机的实时状态； </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支持自动检测电池电量，电量过低时提醒</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150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网关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支持loRaWAN协议解析</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支持状态自检，异常状态自恢复</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支持LoRaWAN网络，以太网通讯</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支持异频全双工，CN470-510通讯频段</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支持使用专用配置工具进行网关配置、网关升级</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接收使用8路上行信道，发射使用1路下行通道。</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病区管理</w:t>
            </w:r>
            <w:r>
              <w:rPr>
                <w:rFonts w:hint="eastAsia" w:ascii="宋体" w:hAnsi="宋体" w:cs="宋体"/>
                <w:color w:val="auto"/>
                <w:sz w:val="20"/>
                <w:szCs w:val="20"/>
                <w:highlight w:val="none"/>
                <w:lang w:val="en-US" w:eastAsia="zh-CN"/>
              </w:rPr>
              <w:t xml:space="preserve">终端</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CPU≥4核2.0G；</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内存：≥16G；</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存储：≥128GB（MSATA固态硬盘）；</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网络：≥2个千兆网卡，支持网络唤醒/PXE；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接口：≥2*网口/1*HDMI/1*VGA/1*音频接口2*串口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可选支持2个RS485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/4*USB3.0/2*USB2.0；</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散热方式：无风扇被动散热；</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看门狗：支持硬件复位功能（256级，0~255秒）；</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开机方式：开关开启，支持来电自启</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汇聚交换机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1、交换容量≥2.4Tbps，包转发率</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462Mpps；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2、≥320K MAC、≥80K路由表；</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3、≥28个100/1000Base-X SFP端口（4个千兆电combo口），4个10G/1G SFP+口；1个端口扩展插槽</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4、支持防火墙插卡、10G、25G、40G、100G和电口扩展插卡；</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5、双可插拔电源设计、2模块化风扇设计；</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6、支持VxLAN；支持M-LAG；支持MACsec</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7、支持抗大流量攻击能力、畸形包处理能力、Ping Flood攻击处理能力、SYN Flood攻击处理能力</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24口接入交换机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1、交换容量≥336Gbps，包转发率≥51Mpps；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2、10/100/1000Base-T自适应以太网端口≥24个，千兆SFP口≥4个；</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3、支持基于端口的VLAN，支持基于协议的VLAN；</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4、支持ERPS功能，收敛时间小于50ms；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5、支持IPv4/IPV6双栈管理和转发，支持静态路由协议和RIP、OSPF等路由协议，支持丰富的管理和安全特性；</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6、支持内置智能图形化管理功能</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光模块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光模块-SFP-GE-单模模块-</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1310nm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10km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LC</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净化区安防</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二层检验科</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3U机架式16盘位嵌入式网络硬盘录像机，ATX电源</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支持满配</w:t>
            </w:r>
            <w:r>
              <w:rPr>
                <w:rFonts w:hint="eastAsia" w:ascii="宋体" w:hAnsi="宋体" w:cs="宋体"/>
                <w:color w:val="auto"/>
                <w:sz w:val="20"/>
                <w:szCs w:val="20"/>
                <w:highlight w:val="none"/>
                <w:lang w:val="en-US" w:eastAsia="zh-CN"/>
              </w:rPr>
              <w:t xml:space="preserve">20</w:t>
            </w:r>
            <w:r>
              <w:rPr>
                <w:rFonts w:hint="eastAsia" w:ascii="宋体" w:hAnsi="宋体" w:eastAsia="宋体" w:cs="宋体"/>
                <w:color w:val="auto"/>
                <w:sz w:val="20"/>
                <w:szCs w:val="20"/>
                <w:highlight w:val="none"/>
              </w:rPr>
              <w:t xml:space="preserve">TB硬盘（总容量可达32</w:t>
            </w:r>
            <w:r>
              <w:rPr>
                <w:rFonts w:hint="eastAsia" w:ascii="宋体" w:hAnsi="宋体" w:cs="宋体"/>
                <w:color w:val="auto"/>
                <w:sz w:val="20"/>
                <w:szCs w:val="20"/>
                <w:highlight w:val="none"/>
                <w:lang w:val="en-US" w:eastAsia="zh-CN"/>
              </w:rPr>
              <w:t xml:space="preserve">0</w:t>
            </w:r>
            <w:r>
              <w:rPr>
                <w:rFonts w:hint="eastAsia" w:ascii="宋体" w:hAnsi="宋体" w:eastAsia="宋体" w:cs="宋体"/>
                <w:color w:val="auto"/>
                <w:sz w:val="20"/>
                <w:szCs w:val="20"/>
                <w:highlight w:val="none"/>
              </w:rPr>
              <w:t xml:space="preserve">TB</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3、2</w:t>
            </w:r>
            <w:r>
              <w:rPr>
                <w:rFonts w:hint="eastAsia" w:ascii="宋体" w:hAnsi="宋体" w:eastAsia="宋体" w:cs="宋体"/>
                <w:color w:val="auto"/>
                <w:sz w:val="20"/>
                <w:szCs w:val="20"/>
                <w:highlight w:val="none"/>
              </w:rPr>
              <w:t xml:space="preserve">个HDMI接口、</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个VGA接口，同源输出，可支持4K输出</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个RJ45 10/100/1000Mbps自适应以太网口</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个USB2.0接口</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2个USB3.0接口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报警IO接口：16路报警输入，4路报警输出</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cs="宋体"/>
                <w:color w:val="auto"/>
                <w:sz w:val="20"/>
                <w:szCs w:val="20"/>
                <w:highlight w:val="none"/>
                <w:lang w:eastAsia="zh-CN"/>
              </w:rPr>
              <w:t xml:space="preserve">输入带宽：≥</w:t>
            </w:r>
            <w:r>
              <w:rPr>
                <w:rFonts w:hint="eastAsia" w:ascii="宋体" w:hAnsi="宋体" w:cs="宋体"/>
                <w:color w:val="auto"/>
                <w:sz w:val="20"/>
                <w:szCs w:val="20"/>
                <w:highlight w:val="none"/>
                <w:lang w:val="en-US" w:eastAsia="zh-CN"/>
              </w:rPr>
              <w:t xml:space="preserve">320</w:t>
            </w:r>
            <w:r>
              <w:rPr>
                <w:rFonts w:hint="eastAsia" w:ascii="宋体" w:hAnsi="宋体" w:cs="宋体"/>
                <w:color w:val="auto"/>
                <w:sz w:val="20"/>
                <w:szCs w:val="20"/>
                <w:highlight w:val="none"/>
                <w:lang w:eastAsia="zh-CN"/>
              </w:rPr>
              <w:t xml:space="preserve">Mbps；输出带宽：≥</w:t>
            </w:r>
            <w:r>
              <w:rPr>
                <w:rFonts w:hint="eastAsia" w:ascii="宋体" w:hAnsi="宋体" w:cs="宋体"/>
                <w:color w:val="auto"/>
                <w:sz w:val="20"/>
                <w:szCs w:val="20"/>
                <w:highlight w:val="none"/>
                <w:lang w:val="en-US" w:eastAsia="zh-CN"/>
              </w:rPr>
              <w:t xml:space="preserve">256</w:t>
            </w:r>
            <w:r>
              <w:rPr>
                <w:rFonts w:hint="eastAsia" w:ascii="宋体" w:hAnsi="宋体" w:cs="宋体"/>
                <w:color w:val="auto"/>
                <w:sz w:val="20"/>
                <w:szCs w:val="20"/>
                <w:highlight w:val="none"/>
                <w:lang w:eastAsia="zh-CN"/>
              </w:rPr>
              <w:t xml:space="preserve">Mbps；</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接入能力：32路H.264、H.265格式高清码流接入</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解码能力：最大支持8K+1080P、2×4K异源输出</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机械式，≥</w:t>
            </w:r>
            <w:r>
              <w:rPr>
                <w:rFonts w:hint="eastAsia" w:ascii="宋体" w:hAnsi="宋体" w:cs="宋体"/>
                <w:color w:val="auto"/>
                <w:sz w:val="20"/>
                <w:szCs w:val="20"/>
                <w:highlight w:val="none"/>
                <w:lang w:val="en-US" w:eastAsia="zh-CN"/>
              </w:rPr>
              <w:t xml:space="preserve">10</w:t>
            </w:r>
            <w:r>
              <w:rPr>
                <w:rFonts w:hint="eastAsia" w:ascii="宋体" w:hAnsi="宋体" w:cs="宋体"/>
                <w:color w:val="auto"/>
                <w:sz w:val="20"/>
                <w:szCs w:val="20"/>
                <w:highlight w:val="none"/>
                <w:lang w:eastAsia="zh-CN"/>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监视设备（含键鼠）</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、最高分辨率可达2560×1440@25fps；</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、支持用户登录锁定机制，及密码复杂度提示；</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、支持SmartIR，防止夜间红外过曝；</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、支持背光补偿，强光抑制，3D数字降噪，数字宽动态；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、支持ROI感兴趣区域增强编码；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、支持开放型网络视频接口，ISAPI，SDK，GB28181协议；</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、1个内置麦克风；</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、采用高效阵列红外灯，使用寿命长，红外照射最远可达30m；</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、符合IP66防尘防水设计，可靠性高；</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、传感器类型：1/2.7"Progressive Scan CMOS；</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、最低照度：彩色：0.005 Lux@（F1.2，AGC ON），0 Lux with IR；</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、最大图像尺寸：2560×1440；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、宽动态：数字宽动态；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、调节角度：水平：0°~360°，垂直：0°~75°，旋转：0°~360°；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、焦距&amp;视场角：2.8mm：水平视场角：94°，垂直视场角：49°，对角视场角：114°；</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4mm，水平视场角：70°，垂直视场角：35°，对角视场角：85°；</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6mm，水平视场角：46°，垂直视场角：24°，对角视场角：54°；</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8mm，水平视场角：43°，垂直视场角：24°，对角视场角：50°；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12mm，水平视场角：27°，垂直视场角：15°，对角视场角：31°。</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包转发率≥39Mpps，交换容量≥336Gbps，≥24个千兆电口，≥2个千兆光口，VLAN：≥4K，MAC：≥8K，1U标准机架款。</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可视门禁主机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视频监控：支持预览权限范围内公共摄像头及门口机实时画面，可4路720P画面同时监视，可点击门口机画面进行对讲</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对讲功能：支持与门口机、室内机及其他管理机之间的可视对讲，支持遇忙呼叫等待、呼叫转移功能</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多方对讲：支持拉取多台室内机、管理机设备进行多方对讲，最大支持16台设备</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副机管理：支持1主64副管理机，多管理机场景支持群呼和按优先级呼叫</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录音录像：支持视频监视时抓拍、录像监视画面，对讲通话时录音</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远程开门：支持在被门口机呼叫或远程监视门口机时远程开锁</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广播功能：支持实时广播、定时广播功能（面向门口机或室内机）</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报警接收：实时接收、显示业主家庭室内机发送的报警信息</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设备管理：设备支持对室内机校时，支持查看门口机、室内机在线状态可对门口机、室内机升级</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Web管理：设备支持web进行参数配置、账号管理、系统维护等操作</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【技术参数】</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≥10.1英寸；</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显示分辨率：≥1280*800；</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摄像头：CMOS ≥200W像素，可开关；</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4、操作方式：触摸屏幕+触摸按键；</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5、网络协议：TCP/IP 、RTSP、SIP2.0</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6、硬件接口：RJ45*1，RS485*1，USB*3（其中一个是下载口），IO输入*2，IO输出*2，TF拓展接口*1，HDMI*1</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7、供电方式：DC12V</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自带电源适配器</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或标准POE；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8、设备功耗：≤12W</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可视门禁分机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外观特色：采用星空灰色塑料直角边框+玻璃面板设计</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操作系统：Android操作系统</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屏幕规格：</w:t>
            </w:r>
            <w:r>
              <w:rPr>
                <w:rFonts w:hint="eastAsia" w:ascii="宋体" w:hAnsi="宋体" w:cs="宋体"/>
                <w:color w:val="auto"/>
                <w:sz w:val="20"/>
                <w:szCs w:val="20"/>
                <w:highlight w:val="none"/>
                <w:lang w:eastAsia="zh-CN"/>
              </w:rPr>
              <w:t xml:space="preserve">≥7英寸，≥1024*600分辨率；</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摄像头：</w:t>
            </w:r>
            <w:r>
              <w:rPr>
                <w:rFonts w:hint="eastAsia" w:ascii="宋体" w:hAnsi="宋体" w:cs="宋体"/>
                <w:color w:val="auto"/>
                <w:sz w:val="20"/>
                <w:szCs w:val="20"/>
                <w:highlight w:val="none"/>
                <w:lang w:eastAsia="zh-CN"/>
              </w:rPr>
              <w:t xml:space="preserve">≥400W高清双目摄像头</w:t>
            </w:r>
            <w:r>
              <w:rPr>
                <w:rFonts w:hint="eastAsia" w:ascii="宋体" w:hAnsi="宋体" w:eastAsia="宋体" w:cs="宋体"/>
                <w:color w:val="auto"/>
                <w:sz w:val="20"/>
                <w:szCs w:val="20"/>
                <w:highlight w:val="none"/>
              </w:rPr>
              <w:t xml:space="preserve">、108°广角</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操作方式：触摸按键</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认证方式：支持人脸、刷卡（IC卡、手机NFC卡、CPU卡序列号、身份证序列号）、密码、二维码（摄像头识别）等多种认证，可外接1个RS485读卡器</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人脸认证：设备采用深度学习算法和星光级图像传感器，无需白光补光，仍可在暗光或无光环境下稳定识别；识别距离：0.3~2.5m。人脸比对时间≤0.2s/人，人脸验证准确率≥99%，支持手机照片、视频防假，识别速度快，准确率高；</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存储容量：本地支持20000个用户、20000人脸库、100000张卡</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通信方式：有线网络（10M/100M/1000M自适应以太网）</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硬件接口：RJ45*2（1个网口、1个预留）、RS485*2、电锁接口*2（其中1路预留）、开门按钮*1、门磁输入*2（其中1路预留）、消防报警输入*1</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供电方式：DC 12V/2A（电源需另配）</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设备功耗：≤15W</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防护等级：IP65，室内外使用</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【功能特性】</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对讲功能：支持与室内机或中心管理机之间双向语音对讲，不支持接入半数字对讲系统；</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主副门口机：支持1台主门口机带8台副门口机，满足一个单元多门口机场景；</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门禁功能：可直接控制电锁，实现门禁管理，可定制扩展成双门控制；</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视频预览：支持管理中心远程视频预览，支持接入NVR设备，实现视频录像，编码格式H.264；可作为安防点 7×24 全天候预览、录像；</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报警功能：设备具有消防报警输入联动门锁常开功能，设备具有防拆报警、门磁检测报警功能；</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电梯联动：可与梯控设备对接，实现呼梯联动功能；</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事件上传：在线状态下将设备认证结果信息及联动抓拍照片实时上传给平台，支持断网续传功能；</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单机使用：可本地录入人员信息，实现免平台、免中心管理；</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Web管理：支持Web端管理，可进行人员管理、参数配置、事件查询、系统维护等操作；</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远程维护：支持中心远程升级，批量刷机</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磁力锁</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≥250kg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按钮开关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86型</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电源装置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12V DC</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电话插座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电话信息插座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RJ45+RJ45接口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17</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无线AC控制器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带机量≥200台，出口带宽≥1G，≥1*GE（WAN口），≥4*GE（LAN口），Mac地址表：≥2K，</w:t>
            </w:r>
            <w:r>
              <w:rPr>
                <w:rFonts w:hint="eastAsia" w:ascii="宋体" w:hAnsi="宋体" w:eastAsia="宋体" w:cs="宋体"/>
                <w:color w:val="auto"/>
                <w:sz w:val="20"/>
                <w:szCs w:val="20"/>
                <w:highlight w:val="none"/>
              </w:rPr>
              <w:t xml:space="preserve">自然散热</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桌面款</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支持AC功能</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最大可管理32个AP</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支持EasyWeb功能</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无线AP</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吸顶AP</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上行1个千兆电口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支持802.11ax</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2+2双频</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整机速率2.975Gbps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最大发射功率23dBm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最大功耗9.4W</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智能天线</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推荐用户数100个，推荐并发用户数28个</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8M每终端</w:t>
            </w:r>
            <w:r>
              <w:rPr>
                <w:rFonts w:hint="eastAsia" w:ascii="宋体" w:hAnsi="宋体" w:cs="宋体"/>
                <w:color w:val="auto"/>
                <w:sz w:val="20"/>
                <w:szCs w:val="20"/>
                <w:highlight w:val="none"/>
                <w:lang w:eastAsia="zh-CN"/>
              </w:rPr>
              <w:t xml:space="preserve">），覆盖半径≥20m。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POE交换机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≥24个10/100/1000BASE-T以太网端口（400W PoE+），≥4个2.5G SFP，包转发率≥88Mpps，交换容量≥432Gbps。</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三层血透中心</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3U机架式16盘位嵌入式网络硬盘录像机，ATX电源</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支持满配</w:t>
            </w:r>
            <w:r>
              <w:rPr>
                <w:rFonts w:hint="eastAsia" w:ascii="宋体" w:hAnsi="宋体" w:cs="宋体"/>
                <w:color w:val="auto"/>
                <w:sz w:val="20"/>
                <w:szCs w:val="20"/>
                <w:highlight w:val="none"/>
                <w:lang w:val="en-US" w:eastAsia="zh-CN"/>
              </w:rPr>
              <w:t xml:space="preserve">20</w:t>
            </w:r>
            <w:r>
              <w:rPr>
                <w:rFonts w:hint="eastAsia" w:ascii="宋体" w:hAnsi="宋体" w:eastAsia="宋体" w:cs="宋体"/>
                <w:color w:val="auto"/>
                <w:sz w:val="20"/>
                <w:szCs w:val="20"/>
                <w:highlight w:val="none"/>
              </w:rPr>
              <w:t xml:space="preserve">TB硬盘（总容量可达32</w:t>
            </w:r>
            <w:r>
              <w:rPr>
                <w:rFonts w:hint="eastAsia" w:ascii="宋体" w:hAnsi="宋体" w:cs="宋体"/>
                <w:color w:val="auto"/>
                <w:sz w:val="20"/>
                <w:szCs w:val="20"/>
                <w:highlight w:val="none"/>
                <w:lang w:val="en-US" w:eastAsia="zh-CN"/>
              </w:rPr>
              <w:t xml:space="preserve">0</w:t>
            </w:r>
            <w:r>
              <w:rPr>
                <w:rFonts w:hint="eastAsia" w:ascii="宋体" w:hAnsi="宋体" w:eastAsia="宋体" w:cs="宋体"/>
                <w:color w:val="auto"/>
                <w:sz w:val="20"/>
                <w:szCs w:val="20"/>
                <w:highlight w:val="none"/>
              </w:rPr>
              <w:t xml:space="preserve">TB</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3、2</w:t>
            </w:r>
            <w:r>
              <w:rPr>
                <w:rFonts w:hint="eastAsia" w:ascii="宋体" w:hAnsi="宋体" w:eastAsia="宋体" w:cs="宋体"/>
                <w:color w:val="auto"/>
                <w:sz w:val="20"/>
                <w:szCs w:val="20"/>
                <w:highlight w:val="none"/>
              </w:rPr>
              <w:t xml:space="preserve">个HDMI接口、</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个VGA接口，同源输出，可支持4K输出</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个RJ45 10/100/1000Mbps自适应以太网口</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个USB2.0接口</w:t>
            </w:r>
            <w:r>
              <w:rPr>
                <w:rFonts w:hint="eastAsia" w:ascii="宋体" w:hAnsi="宋体" w:cs="宋体"/>
                <w:color w:val="auto"/>
                <w:sz w:val="20"/>
                <w:szCs w:val="20"/>
                <w:highlight w:val="none"/>
                <w:lang w:val="en-US" w:eastAsia="zh-CN"/>
              </w:rPr>
              <w:t xml:space="preserve">,2个USB3.0接口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报警IO接口：16路报警输入，4路报警输出</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cs="宋体"/>
                <w:color w:val="auto"/>
                <w:sz w:val="20"/>
                <w:szCs w:val="20"/>
                <w:highlight w:val="none"/>
                <w:lang w:eastAsia="zh-CN"/>
              </w:rPr>
              <w:t xml:space="preserve">输入带宽：≥</w:t>
            </w:r>
            <w:r>
              <w:rPr>
                <w:rFonts w:hint="eastAsia" w:ascii="宋体" w:hAnsi="宋体" w:cs="宋体"/>
                <w:color w:val="auto"/>
                <w:sz w:val="20"/>
                <w:szCs w:val="20"/>
                <w:highlight w:val="none"/>
                <w:lang w:val="en-US" w:eastAsia="zh-CN"/>
              </w:rPr>
              <w:t xml:space="preserve">320</w:t>
            </w:r>
            <w:r>
              <w:rPr>
                <w:rFonts w:hint="eastAsia" w:ascii="宋体" w:hAnsi="宋体" w:cs="宋体"/>
                <w:color w:val="auto"/>
                <w:sz w:val="20"/>
                <w:szCs w:val="20"/>
                <w:highlight w:val="none"/>
                <w:lang w:eastAsia="zh-CN"/>
              </w:rPr>
              <w:t xml:space="preserve">Mbps；输出带宽：≥</w:t>
            </w:r>
            <w:r>
              <w:rPr>
                <w:rFonts w:hint="eastAsia" w:ascii="宋体" w:hAnsi="宋体" w:cs="宋体"/>
                <w:color w:val="auto"/>
                <w:sz w:val="20"/>
                <w:szCs w:val="20"/>
                <w:highlight w:val="none"/>
                <w:lang w:val="en-US" w:eastAsia="zh-CN"/>
              </w:rPr>
              <w:t xml:space="preserve">256</w:t>
            </w:r>
            <w:r>
              <w:rPr>
                <w:rFonts w:hint="eastAsia" w:ascii="宋体" w:hAnsi="宋体" w:cs="宋体"/>
                <w:color w:val="auto"/>
                <w:sz w:val="20"/>
                <w:szCs w:val="20"/>
                <w:highlight w:val="none"/>
                <w:lang w:eastAsia="zh-CN"/>
              </w:rPr>
              <w:t xml:space="preserve">Mbps；</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接入能力：32路H.264、H.265格式高清码流接入</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解码能力：最大支持8×1080P、2×4K异源输出</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机械式，≥</w:t>
            </w:r>
            <w:r>
              <w:rPr>
                <w:rFonts w:hint="eastAsia" w:ascii="宋体" w:hAnsi="宋体" w:cs="宋体"/>
                <w:color w:val="auto"/>
                <w:sz w:val="20"/>
                <w:szCs w:val="20"/>
                <w:highlight w:val="none"/>
                <w:lang w:val="en-US" w:eastAsia="zh-CN"/>
              </w:rPr>
              <w:t xml:space="preserve">10</w:t>
            </w:r>
            <w:r>
              <w:rPr>
                <w:rFonts w:hint="eastAsia" w:ascii="宋体" w:hAnsi="宋体" w:cs="宋体"/>
                <w:color w:val="auto"/>
                <w:sz w:val="20"/>
                <w:szCs w:val="20"/>
                <w:highlight w:val="none"/>
                <w:lang w:eastAsia="zh-CN"/>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监视设备（含键鼠）</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、最高分辨率可达2560×1440@25fps；</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、支持用户登录锁定机制，及密码复杂度提示；</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、支持SmartIR，防止夜间红外过曝；</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、支持背光补偿，强光抑制，3D数字降噪，数字宽动态；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、支持ROI感兴趣区域增强编码；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、支持开放型网络视频接口，ISAPI，SDK，GB28181协议；</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、1个内置麦克风；</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、采用高效阵列红外灯，使用寿命长，红外照射最远可达30m；</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、符合IP66防尘防水设计，可靠性高；</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、传感器类型：1/2.7"Progressive Scan CMOS；</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、最低照度：彩色：0.005 Lux@（F1.2，AGC ON），0 Lux with IR；</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、最大图像尺寸：2560×1440；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、宽动态：数字宽动态；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、调节角度：水平：0°~360°，垂直：0°~75°，旋转：0°~360°；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、焦距&amp;视场角：2.8mm：水平视场角：94°，垂直视场角：49°，对角视场角：114°；</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4mm，水平视场角：70°，垂直视场角：35°，对角视场角：85°；</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6mm，水平视场角：46°，垂直视场角：24°，对角视场角：54°；</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8mm，水平视场角：43°，垂直视场角：24°，对角视场角：50°；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12mm，水平视场角：27°，垂直视场角：15°，对角视场角：31°。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包转发率≥39Mpps，交换容量≥336Gbps，≥24个千兆电口，≥2个千兆光口，VLAN：≥4K，MAC：≥8K，1U标准机架款。</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可视门禁主机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视频监控：支持预览权限范围内公共摄像头及门口机实时画面，可4路720P画面同时监视，可点击门口机画面进行对讲</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对讲功能：支持与门口机、室内机及其他管理机之间的可视对讲，支持遇忙呼叫等待、呼叫转移功能</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多方对讲：支持拉取多台室内机、管理机设备进行多方对讲，最大支持16台设备</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副机管理：支持1主64副管理机，多管理机场景支持群呼和按优先级呼叫</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录音录像：支持视频监视时抓拍、录像监视画面，对讲通话时录音</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远程开门：支持在被门口机呼叫或远程监视门口机时远程开锁</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广播功能：支持实时广播、定时广播功能（面向门口机或室内机）</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报警接收：实时接收、显示业主家庭室内机发送的报警信息</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设备管理：设备支持对室内机校时，支持查看门口机、室内机在线状态可对门口机、室内机升级</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Web管理：设备支持web进行参数配置、账号管理、系统维护等操作</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【技术参数】</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≥10.1英寸；</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显示分辨率：≥1280*800；</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摄像头：CMOS ≥200W像素，可开关；</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4、操作方式：触摸屏幕+触摸按键；</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5、网络协议：TCP/IP 、RTSP、SIP2.0</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6、硬件接口：RJ45*1，RS485*1，USB*3（其中一个是下载口），IO输入*2，IO输出*2，TF拓展接口*1，HDMI*1</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7、供电方式：DC12V</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自带电源适配器</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或标准POE；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8、设备功耗：≤12W</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可视门禁分机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外观特色：采用星空灰色塑料直角边框+玻璃面板设计</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操作系统：Android操作系统</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屏幕规格：</w:t>
            </w:r>
            <w:r>
              <w:rPr>
                <w:rFonts w:hint="eastAsia" w:ascii="宋体" w:hAnsi="宋体" w:cs="宋体"/>
                <w:color w:val="auto"/>
                <w:sz w:val="20"/>
                <w:szCs w:val="20"/>
                <w:highlight w:val="none"/>
                <w:lang w:eastAsia="zh-CN"/>
              </w:rPr>
              <w:t xml:space="preserve">≥7英寸，≥1024*600分辨率；</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摄像头：</w:t>
            </w:r>
            <w:r>
              <w:rPr>
                <w:rFonts w:hint="eastAsia" w:ascii="宋体" w:hAnsi="宋体" w:cs="宋体"/>
                <w:color w:val="auto"/>
                <w:sz w:val="20"/>
                <w:szCs w:val="20"/>
                <w:highlight w:val="none"/>
                <w:lang w:eastAsia="zh-CN"/>
              </w:rPr>
              <w:t xml:space="preserve">≥400W高清双目摄像头</w:t>
            </w:r>
            <w:r>
              <w:rPr>
                <w:rFonts w:hint="eastAsia" w:ascii="宋体" w:hAnsi="宋体" w:eastAsia="宋体" w:cs="宋体"/>
                <w:color w:val="auto"/>
                <w:sz w:val="20"/>
                <w:szCs w:val="20"/>
                <w:highlight w:val="none"/>
              </w:rPr>
              <w:t xml:space="preserve">、108°广角</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操作方式：触摸按键</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认证方式：支持人脸、刷卡（IC卡、手机NFC卡、CPU卡序列号、身份证序列号）、密码、二维码（摄像头识别）等多种认证，可外接1个RS485读卡器</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人脸认证：设备采用深度学习算法和星光级图像传感器，无需白光补光，仍可在暗光或无光环境下稳定识别；识别距离：0.3~2.5m。人脸比对时间≤0.2s/人，人脸验证准确率≥99%，支持手机照片、视频防假，识别速度快，准确率高；</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存储容量：本地支持20000个用户、20000人脸库、100000张卡</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通信方式：有线网络（10M/100M/1000M自适应以太网）</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硬件接口：RJ45*2（1个网口、1个预留）、RS485*2、电锁接口*2（其中1路预留）、开门按钮*1、门磁输入*2（其中1路预留）、消防报警输入*1</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供电方式：DC 12V/2A（电源需另配）</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设备功耗：≤15W</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防护等级：IP65，室内外使用</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【功能特性】</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对讲功能：支持与室内机或中心管理机之间双向语音对讲，不支持接入半数字对讲系统；</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主副门口机：支持1台主门口机带8台副门口机，满足一个单元多门口机场景；</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门禁功能：可直接控制电锁，实现门禁管理，可定制扩展成双门控制；</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视频预览：支持管理中心远程视频预览，支持接入NVR设备，实现视频录像，编码格式H.264；可作为安防点 7×24 全天候预览、录像；</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报警功能：设备具有消防报警输入联动门锁常开功能，设备具有防拆报警、门磁检测报警功能；</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电梯联动：可与梯控设备对接，实现呼梯联动功能；</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事件上传：在线状态下将设备认证结果信息及联动抓拍照片实时上传给平台，支持断网续传功能；</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单机使用：可本地录入人员信息，实现免平台、免中心管理；</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Web管理：支持Web端管理，可进行人员管理、参数配置、事件查询、系统维护等操作；</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远程维护：支持中心远程升级，批量刷机</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磁力锁</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≥250kg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按钮开关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86型</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电源装置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12V DC</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电话插座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电话信息插座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RJ45+RJ45接口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无线AC控制器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带机量≥200台，出口带宽≥1G，≥1*GE（WAN口），≥4*GE（LAN口），Mac地址表：≥2K，</w:t>
            </w:r>
            <w:r>
              <w:rPr>
                <w:rFonts w:hint="eastAsia" w:ascii="宋体" w:hAnsi="宋体" w:eastAsia="宋体" w:cs="宋体"/>
                <w:color w:val="auto"/>
                <w:sz w:val="20"/>
                <w:szCs w:val="20"/>
                <w:highlight w:val="none"/>
              </w:rPr>
              <w:t xml:space="preserve">自然散热</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桌面款</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支持AC功能</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最大可管理32个AP</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支持EasyWeb功能</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无线AP</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吸顶AP</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上行1个千兆电口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支持802.11ax</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2+2双频</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整机速率2.975Gbps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最大发射功率23dBm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最大功耗9.4W</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智能天线</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推荐用户数100个，推荐并发用户数28个</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8M每终端</w:t>
            </w:r>
            <w:r>
              <w:rPr>
                <w:rFonts w:hint="eastAsia" w:ascii="宋体" w:hAnsi="宋体" w:cs="宋体"/>
                <w:color w:val="auto"/>
                <w:sz w:val="20"/>
                <w:szCs w:val="20"/>
                <w:highlight w:val="none"/>
                <w:lang w:eastAsia="zh-CN"/>
              </w:rPr>
              <w:t xml:space="preserve">），覆盖半径≥20m。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POE交换机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≥24个10/100/1000BASE-T以太网端口（400W PoE+），≥4个2.5G SFP，包转发率≥88Mpps，交换容量≥432Gbps。</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四层手术区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4U机架式24盘位嵌入式网络硬盘录像机，ATX电源</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支持满配</w:t>
            </w: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TB硬盘（总容量可达</w:t>
            </w:r>
            <w:r>
              <w:rPr>
                <w:rFonts w:hint="eastAsia" w:ascii="宋体" w:hAnsi="宋体" w:cs="宋体"/>
                <w:color w:val="auto"/>
                <w:sz w:val="20"/>
                <w:szCs w:val="20"/>
                <w:highlight w:val="none"/>
                <w:lang w:val="en-US" w:eastAsia="zh-CN"/>
              </w:rPr>
              <w:t xml:space="preserve">288</w:t>
            </w:r>
            <w:r>
              <w:rPr>
                <w:rFonts w:hint="eastAsia" w:ascii="宋体" w:hAnsi="宋体" w:eastAsia="宋体" w:cs="宋体"/>
                <w:color w:val="auto"/>
                <w:sz w:val="20"/>
                <w:szCs w:val="20"/>
                <w:highlight w:val="none"/>
              </w:rPr>
              <w:t xml:space="preserve">TB</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3、2</w:t>
            </w:r>
            <w:r>
              <w:rPr>
                <w:rFonts w:hint="eastAsia" w:ascii="宋体" w:hAnsi="宋体" w:eastAsia="宋体" w:cs="宋体"/>
                <w:color w:val="auto"/>
                <w:sz w:val="20"/>
                <w:szCs w:val="20"/>
                <w:highlight w:val="none"/>
              </w:rPr>
              <w:t xml:space="preserve">个HDMI接口、</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个VGA接口，同源输出，可支持4K输出</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个RJ45 10/100/1000Mbps自适应以太网口</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个USB2.0接口</w:t>
            </w:r>
            <w:r>
              <w:rPr>
                <w:rFonts w:hint="eastAsia" w:ascii="宋体" w:hAnsi="宋体" w:cs="宋体"/>
                <w:color w:val="auto"/>
                <w:sz w:val="20"/>
                <w:szCs w:val="20"/>
                <w:highlight w:val="none"/>
                <w:lang w:val="en-US" w:eastAsia="zh-CN"/>
              </w:rPr>
              <w:t xml:space="preserve">,1个USB3.0接口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报警IO接口：16路报警输入，</w:t>
            </w: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路报警输出</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cs="宋体"/>
                <w:color w:val="auto"/>
                <w:sz w:val="20"/>
                <w:szCs w:val="20"/>
                <w:highlight w:val="none"/>
                <w:lang w:eastAsia="zh-CN"/>
              </w:rPr>
              <w:t xml:space="preserve">输入带宽：≥</w:t>
            </w:r>
            <w:r>
              <w:rPr>
                <w:rFonts w:hint="eastAsia" w:ascii="宋体" w:hAnsi="宋体" w:cs="宋体"/>
                <w:color w:val="auto"/>
                <w:sz w:val="20"/>
                <w:szCs w:val="20"/>
                <w:highlight w:val="none"/>
                <w:lang w:val="en-US" w:eastAsia="zh-CN"/>
              </w:rPr>
              <w:t xml:space="preserve">320</w:t>
            </w:r>
            <w:r>
              <w:rPr>
                <w:rFonts w:hint="eastAsia" w:ascii="宋体" w:hAnsi="宋体" w:cs="宋体"/>
                <w:color w:val="auto"/>
                <w:sz w:val="20"/>
                <w:szCs w:val="20"/>
                <w:highlight w:val="none"/>
                <w:lang w:eastAsia="zh-CN"/>
              </w:rPr>
              <w:t xml:space="preserve">Mbps；输出带宽：≥</w:t>
            </w:r>
            <w:r>
              <w:rPr>
                <w:rFonts w:hint="eastAsia" w:ascii="宋体" w:hAnsi="宋体" w:cs="宋体"/>
                <w:color w:val="auto"/>
                <w:sz w:val="20"/>
                <w:szCs w:val="20"/>
                <w:highlight w:val="none"/>
                <w:lang w:val="en-US" w:eastAsia="zh-CN"/>
              </w:rPr>
              <w:t xml:space="preserve">160</w:t>
            </w:r>
            <w:r>
              <w:rPr>
                <w:rFonts w:hint="eastAsia" w:ascii="宋体" w:hAnsi="宋体" w:cs="宋体"/>
                <w:color w:val="auto"/>
                <w:sz w:val="20"/>
                <w:szCs w:val="20"/>
                <w:highlight w:val="none"/>
                <w:lang w:eastAsia="zh-CN"/>
              </w:rPr>
              <w:t xml:space="preserve">Mbps；</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接入能力：</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64路H.264、H.265格式高清码流接入</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解码能力：最大支持16×1080P</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机械式，</w:t>
            </w: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监视设备（含键鼠）</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、最高分辨率可达2560×1440@25fps；</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、支持用户登录锁定机制，及密码复杂度提示；</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、支持SmartIR，防止夜间红外过曝；</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、支持背光补偿，强光抑制，3D数字降噪，数字宽动态；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、支持ROI感兴趣区域增强编码；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、支持开放型网络视频接口，ISAPI，SDK，GB28181协议；</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、1个内置麦克风；</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、采用高效阵列红外灯，使用寿命长，红外照射最远可达30m；</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、符合IP66防尘防水设计，可靠性高；</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、传感器类型：1/2.7"Progressive Scan CMOS；</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、最低照度：彩色：0.005 Lux@（F1.2，AGC ON），0 Lux with IR；</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、最大图像尺寸：2560×1440；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、宽动态：数字宽动态；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、调节角度：水平：0°~360°，垂直：0°~75°，旋转：0°~360°；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、焦距&amp;视场角：2.8mm：水平视场角：94°，垂直视场角：49°，对角视场角：114°；</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4mm，水平视场角：70°，垂直视场角：35°，对角视场角：85°；</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6mm，水平视场角：46°，垂直视场角：24°，对角视场角：54°；</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8mm，水平视场角：43°，垂直视场角：24°，对角视场角：50°；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12mm，水平视场角：27°，垂直视场角：15°，对角视场角：31°。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包转发率≥126Mpps，交换容量≥432Gbps，≥48个千兆电口，≥4个千兆光口，VLAN：≥4K，MAC：≥16K，19英寸1U标准机架，金属外壳。</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可视门禁主机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视频监控：支持预览权限范围内公共摄像头及门口机实时画面，可4路720P画面同时监视，可点击门口机画面进行对讲</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对讲功能：支持与门口机、室内机及其他管理机之间的可视对讲，支持遇忙呼叫等待、呼叫转移功能</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多方对讲：支持拉取多台室内机、管理机设备进行多方对讲，最大支持16台设备</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副机管理：支持1主64副管理机，多管理机场景支持群呼和按优先级呼叫</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录音录像：支持视频监视时抓拍、录像监视画面，对讲通话时录音</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远程开门：支持在被门口机呼叫或远程监视门口机时远程开锁</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广播功能：支持实时广播、定时广播功能（面向门口机或室内机）</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报警接收：实时接收、显示业主家庭室内机发送的报警信息</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设备管理：设备支持对室内机校时，支持查看门口机、室内机在线状态可对门口机、室内机升级</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Web管理：设备支持web进行参数配置、账号管理、系统维护等操作</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【技术参数】</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≥10.1英寸；</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显示分辨率：≥1280*800；</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摄像头：CMOS ≥200W像素，可开关；</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4、操作方式：触摸屏幕+触摸按键；</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5、网络协议：TCP/IP 、RTSP、SIP2.0</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6、硬件接口：RJ45*1，RS485*1，USB*3（其中一个是下载口），IO输入*2，IO输出*2，TF拓展接口*1，HDMI*1</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7、供电方式：DC12V</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自带电源适配器</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或标准POE；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8、设备功耗：≤12W；</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可视门禁分机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外观特色：采用星空灰色塑料直角边框+玻璃面板设计</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操作系统：Android操作系统</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屏幕规格：</w:t>
            </w:r>
            <w:r>
              <w:rPr>
                <w:rFonts w:hint="eastAsia" w:ascii="宋体" w:hAnsi="宋体" w:cs="宋体"/>
                <w:color w:val="auto"/>
                <w:sz w:val="20"/>
                <w:szCs w:val="20"/>
                <w:highlight w:val="none"/>
                <w:lang w:eastAsia="zh-CN"/>
              </w:rPr>
              <w:t xml:space="preserve">≥7英寸，≥1024*600分辨率；</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摄像头：</w:t>
            </w:r>
            <w:r>
              <w:rPr>
                <w:rFonts w:hint="eastAsia" w:ascii="宋体" w:hAnsi="宋体" w:cs="宋体"/>
                <w:color w:val="auto"/>
                <w:sz w:val="20"/>
                <w:szCs w:val="20"/>
                <w:highlight w:val="none"/>
                <w:lang w:eastAsia="zh-CN"/>
              </w:rPr>
              <w:t xml:space="preserve">≥400W高清双目摄像头</w:t>
            </w:r>
            <w:r>
              <w:rPr>
                <w:rFonts w:hint="eastAsia" w:ascii="宋体" w:hAnsi="宋体" w:eastAsia="宋体" w:cs="宋体"/>
                <w:color w:val="auto"/>
                <w:sz w:val="20"/>
                <w:szCs w:val="20"/>
                <w:highlight w:val="none"/>
              </w:rPr>
              <w:t xml:space="preserve">、108°广角</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操作方式：触摸按键</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认证方式：支持人脸、刷卡（IC卡、手机NFC卡、CPU卡序列号、身份证序列号）、密码、二维码（摄像头识别）等多种认证，可外接1个RS485读卡器</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人脸认证：设备采用深度学习算法和星光级图像传感器，无需白光补光，仍可在暗光或无光环境下稳定识别；识别距离：0.3~2.5m。人脸比对时间≤0.2s/人，人脸验证准确率≥99%，支持手机照片、视频防假，识别速度快，准确率高；</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存储容量：本地支持20000个用户、20000人脸库、100000张卡</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通信方式：有线网络（10M/100M/1000M自适应以太网）</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硬件接口：RJ45*2（1个网口、1个预留）、RS485*2、电锁接口*2（其中1路预留）、开门按钮*1、门磁输入*2（其中1路预留）、消防报警输入*1</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供电方式：DC 12V/2A（电源需另配）</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设备功耗：≤15W</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防护等级：IP65，室内外使用</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【功能特性】</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对讲功能：支持与室内机或中心管理机之间双向语音对讲，不支持接入半数字对讲系统；</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主副门口机：支持1台主门口机带8台副门口机，满足一个单元多门口机场景；</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门禁功能：可直接控制电锁，实现门禁管理，可定制扩展成双门控制；</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视频预览：支持管理中心远程视频预览，支持接入NVR设备，实现视频录像，编码格式H.264；可作为安防点 7×24 全天候预览、录像；</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报警功能：设备具有消防报警输入联动门锁常开功能，设备具有防拆报警、门磁检测报警功能；</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电梯联动：可与梯控设备对接，实现呼梯联动功能；</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事件上传：在线状态下将设备认证结果信息及联动抓拍照片实时上传给平台，支持断网续传功能；</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单机使用：可本地录入人员信息，实现免平台、免中心管理；</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Web管理：支持Web端管理，可进行人员管理、参数配置、事件查询、系统维护等操作；</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远程维护：支持中心远程升级，批量刷机</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磁力锁</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≥250kg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按钮开关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86型</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电源装置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12V DC</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电话插座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电话信息插座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RJ45+RJ45接口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无线AC控制器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带机量≥200台，出口带宽≥1G，≥1*GE（WAN口），≥4*GE（LAN口），Mac地址表：≥2K，</w:t>
            </w:r>
            <w:r>
              <w:rPr>
                <w:rFonts w:hint="eastAsia" w:ascii="宋体" w:hAnsi="宋体" w:eastAsia="宋体" w:cs="宋体"/>
                <w:color w:val="auto"/>
                <w:sz w:val="20"/>
                <w:szCs w:val="20"/>
                <w:highlight w:val="none"/>
              </w:rPr>
              <w:t xml:space="preserve">自然散热</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桌面款</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支持AC功能</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最大可管理32个AP</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支持EasyWeb功能</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无线AP</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吸顶AP</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上行1个千兆电口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支持802.11ax</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2+2双频</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整机速率2.975Gbps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最大发射功率23dBm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最大功耗9.4W</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智能天线</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推荐用户数100个，推荐并发用户数28个</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8M每终端</w:t>
            </w:r>
            <w:r>
              <w:rPr>
                <w:rFonts w:hint="eastAsia" w:ascii="宋体" w:hAnsi="宋体" w:cs="宋体"/>
                <w:color w:val="auto"/>
                <w:sz w:val="20"/>
                <w:szCs w:val="20"/>
                <w:highlight w:val="none"/>
                <w:lang w:eastAsia="zh-CN"/>
              </w:rPr>
              <w:t xml:space="preserve">），覆盖半径≥20m。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POE交换机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≥24个10/100/1000BASE-T以太网端口（400W PoE+），≥4个2.5G SFP，包转发率≥88Mpps，交换容量≥432Gbps。</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四层ICU</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4U机架式24盘位嵌入式网络硬盘录像机，ATX电源</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支持满配</w:t>
            </w: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TB硬盘（总容量可达</w:t>
            </w:r>
            <w:r>
              <w:rPr>
                <w:rFonts w:hint="eastAsia" w:ascii="宋体" w:hAnsi="宋体" w:cs="宋体"/>
                <w:color w:val="auto"/>
                <w:sz w:val="20"/>
                <w:szCs w:val="20"/>
                <w:highlight w:val="none"/>
                <w:lang w:val="en-US" w:eastAsia="zh-CN"/>
              </w:rPr>
              <w:t xml:space="preserve">288</w:t>
            </w:r>
            <w:r>
              <w:rPr>
                <w:rFonts w:hint="eastAsia" w:ascii="宋体" w:hAnsi="宋体" w:eastAsia="宋体" w:cs="宋体"/>
                <w:color w:val="auto"/>
                <w:sz w:val="20"/>
                <w:szCs w:val="20"/>
                <w:highlight w:val="none"/>
              </w:rPr>
              <w:t xml:space="preserve">TB</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3、2</w:t>
            </w:r>
            <w:r>
              <w:rPr>
                <w:rFonts w:hint="eastAsia" w:ascii="宋体" w:hAnsi="宋体" w:eastAsia="宋体" w:cs="宋体"/>
                <w:color w:val="auto"/>
                <w:sz w:val="20"/>
                <w:szCs w:val="20"/>
                <w:highlight w:val="none"/>
              </w:rPr>
              <w:t xml:space="preserve">个HDMI接口、</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个VGA接口，同源输出，可支持4K输出</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个RJ45 10/100/1000Mbps自适应以太网口</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个USB2.0接口</w:t>
            </w:r>
            <w:r>
              <w:rPr>
                <w:rFonts w:hint="eastAsia" w:ascii="宋体" w:hAnsi="宋体" w:cs="宋体"/>
                <w:color w:val="auto"/>
                <w:sz w:val="20"/>
                <w:szCs w:val="20"/>
                <w:highlight w:val="none"/>
                <w:lang w:val="en-US" w:eastAsia="zh-CN"/>
              </w:rPr>
              <w:t xml:space="preserve">,1个USB3.0接口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报警IO接口：16路报警输入，</w:t>
            </w: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路报警输出</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cs="宋体"/>
                <w:color w:val="auto"/>
                <w:sz w:val="20"/>
                <w:szCs w:val="20"/>
                <w:highlight w:val="none"/>
                <w:lang w:eastAsia="zh-CN"/>
              </w:rPr>
              <w:t xml:space="preserve">输入带宽：≥</w:t>
            </w:r>
            <w:r>
              <w:rPr>
                <w:rFonts w:hint="eastAsia" w:ascii="宋体" w:hAnsi="宋体" w:cs="宋体"/>
                <w:color w:val="auto"/>
                <w:sz w:val="20"/>
                <w:szCs w:val="20"/>
                <w:highlight w:val="none"/>
                <w:lang w:val="en-US" w:eastAsia="zh-CN"/>
              </w:rPr>
              <w:t xml:space="preserve">320</w:t>
            </w:r>
            <w:r>
              <w:rPr>
                <w:rFonts w:hint="eastAsia" w:ascii="宋体" w:hAnsi="宋体" w:cs="宋体"/>
                <w:color w:val="auto"/>
                <w:sz w:val="20"/>
                <w:szCs w:val="20"/>
                <w:highlight w:val="none"/>
                <w:lang w:eastAsia="zh-CN"/>
              </w:rPr>
              <w:t xml:space="preserve">Mbps；输出带宽：≥</w:t>
            </w:r>
            <w:r>
              <w:rPr>
                <w:rFonts w:hint="eastAsia" w:ascii="宋体" w:hAnsi="宋体" w:cs="宋体"/>
                <w:color w:val="auto"/>
                <w:sz w:val="20"/>
                <w:szCs w:val="20"/>
                <w:highlight w:val="none"/>
                <w:lang w:val="en-US" w:eastAsia="zh-CN"/>
              </w:rPr>
              <w:t xml:space="preserve">160</w:t>
            </w:r>
            <w:r>
              <w:rPr>
                <w:rFonts w:hint="eastAsia" w:ascii="宋体" w:hAnsi="宋体" w:cs="宋体"/>
                <w:color w:val="auto"/>
                <w:sz w:val="20"/>
                <w:szCs w:val="20"/>
                <w:highlight w:val="none"/>
                <w:lang w:eastAsia="zh-CN"/>
              </w:rPr>
              <w:t xml:space="preserve">Mbps；</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接入能力：</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64路H.264、H.265格式高清码流接入</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解码能力：最大支持16×1080P</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机械式，</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监视设备（含键鼠）</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、最高分辨率可达2560×1440@25fps；</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、支持用户登录锁定机制，及密码复杂度提示；</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、支持SmartIR，防止夜间红外过曝；</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、支持背光补偿，强光抑制，3D数字降噪，数字宽动态；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、支持ROI感兴趣区域增强编码；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、支持开放型网络视频接口，ISAPI，SDK，GB28181协议；</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、1个内置麦克风；</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、采用高效阵列红外灯，使用寿命长，红外照射最远可达30m；</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、符合IP66防尘防水设计，可靠性高；</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、传感器类型：1/2.7"Progressive Scan CMOS；</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、最低照度：彩色：0.005 Lux@（F1.2，AGC ON），0 Lux with IR；</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、最大图像尺寸：2560×1440；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、宽动态：数字宽动态；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、调节角度：水平：0°~360°，垂直：0°~75°，旋转：0°~360°；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、焦距&amp;视场角：2.8mm：水平视场角：94°，垂直视场角：49°，对角视场角：114°；</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4mm，水平视场角：70°，垂直视场角：35°，对角视场角：85°；</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6mm，水平视场角：46°，垂直视场角：24°，对角视场角：54°；</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8mm，水平视场角：43°，垂直视场角：24°，对角视场角：50°；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12mm，水平视场角：27°，垂直视场角：15°，对角视场角：31°。</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包转发率≥126Mpps，交换容量≥432Gbps，≥48个千兆电口，≥4个千兆光口，VLAN：≥4K，MAC：≥16K，19英寸1U标准机架，金属外壳。</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可视门禁主机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视频监控：支持预览权限范围内公共摄像头及门口机实时画面，可4路720P画面同时监视，可点击门口机画面进行对讲</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对讲功能：支持与门口机、室内机及其他管理机之间的可视对讲，支持遇忙呼叫等待、呼叫转移功能</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多方对讲：支持拉取多台室内机、管理机设备进行多方对讲，最大支持16台设备</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副机管理：支持1主64副管理机，多管理机场景支持群呼和按优先级呼叫</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录音录像：支持视频监视时抓拍、录像监视画面，对讲通话时录音</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远程开门：支持在被门口机呼叫或远程监视门口机时远程开锁</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广播功能：支持实时广播、定时广播功能（面向门口机或室内机）</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报警接收：实时接收、显示业主家庭室内机发送的报警信息</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设备管理：设备支持对室内机校时，支持查看门口机、室内机在线状态可对门口机、室内机升级</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Web管理：设备支持web进行参数配置、账号管理、系统维护等操作</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【技术参数】</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≥10.1英寸；</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显示分辨率：≥1280*800；</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摄像头：CMOS ≥200W像素，可开关；</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4、操作方式：触摸屏幕+触摸按键；</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5、网络协议：TCP/IP 、RTSP、SIP2.0</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6、硬件接口：RJ45*1，RS485*1，USB*3（其中一个是下载口），IO输入*2，IO输出*2，TF拓展接口*1，HDMI*1</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7、供电方式：DC12V</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自带电源适配器</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或标准POE；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8、设备功耗：≤12W；</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可视门禁分机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外观特色：采用星空灰色塑料直角边框+玻璃面板设计</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操作系统：Android操作系统</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屏幕规格：</w:t>
            </w:r>
            <w:r>
              <w:rPr>
                <w:rFonts w:hint="eastAsia" w:ascii="宋体" w:hAnsi="宋体" w:cs="宋体"/>
                <w:color w:val="auto"/>
                <w:sz w:val="20"/>
                <w:szCs w:val="20"/>
                <w:highlight w:val="none"/>
                <w:lang w:eastAsia="zh-CN"/>
              </w:rPr>
              <w:t xml:space="preserve">≥7英寸，≥1024*600分辨率；</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摄像头：</w:t>
            </w:r>
            <w:r>
              <w:rPr>
                <w:rFonts w:hint="eastAsia" w:ascii="宋体" w:hAnsi="宋体" w:cs="宋体"/>
                <w:color w:val="auto"/>
                <w:sz w:val="20"/>
                <w:szCs w:val="20"/>
                <w:highlight w:val="none"/>
                <w:lang w:eastAsia="zh-CN"/>
              </w:rPr>
              <w:t xml:space="preserve">≥400W高清双目摄像头</w:t>
            </w:r>
            <w:r>
              <w:rPr>
                <w:rFonts w:hint="eastAsia" w:ascii="宋体" w:hAnsi="宋体" w:eastAsia="宋体" w:cs="宋体"/>
                <w:color w:val="auto"/>
                <w:sz w:val="20"/>
                <w:szCs w:val="20"/>
                <w:highlight w:val="none"/>
              </w:rPr>
              <w:t xml:space="preserve">、108°广角</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操作方式：触摸按键</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认证方式：支持人脸、刷卡（IC卡、手机NFC卡、CPU卡序列号、身份证序列号）、密码、二维码（摄像头识别）等多种认证，可外接1个RS485读卡器</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人脸认证：设备采用深度学习算法和星光级图像传感器，无需白光补光，仍可在暗光或无光环境下稳定识别；识别距离：0.3~2.5m。人脸比对时间≤0.2s/人，人脸验证准确率≥99%，支持手机照片、视频防假，识别速度快，准确率高；</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存储容量：本地支持20000个用户、20000人脸库、100000张卡</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通信方式：有线网络（10M/100M/1000M自适应以太网）</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硬件接口：RJ45*2（1个网口、1个预留）、RS485*2、电锁接口*2（其中1路预留）、开门按钮*1、门磁输入*2（其中1路预留）、消防报警输入*1</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供电方式：DC 12V/2A（电源需另配）</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设备功耗：≤15W</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防护等级：IP65，室内外使用</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【功能特性】</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对讲功能：支持与室内机或中心管理机之间双向语音对讲，不支持接入半数字对讲系统；</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主副门口机：支持1台主门口机带8台副门口机，满足一个单元多门口机场景；</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门禁功能：可直接控制电锁，实现门禁管理，可定制扩展成双门控制；</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视频预览：支持管理中心远程视频预览，支持接入NVR设备，实现视频录像，编码格式H.264；可作为安防点 7×24 全天候预览、录像；</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报警功能：设备具有消防报警输入联动门锁常开功能，设备具有防拆报警、门磁检测报警功能；</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电梯联动：可与梯控设备对接，实现呼梯联动功能；</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事件上传：在线状态下将设备认证结果信息及联动抓拍照片实时上传给平台，支持断网续传功能；</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单机使用：可本地录入人员信息，实现免平台、免中心管理；</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Web管理：支持Web端管理，可进行人员管理、参数配置、事件查询、系统维护等操作；</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远程维护：支持中心远程升级，批量刷机</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磁力锁</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≥250kg</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按钮开关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86型</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电源装置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12V DC</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电话插座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电话信息插座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RJ45+RJ45接口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44</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无线AC控制器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eastAsia="zh-CN"/>
              </w:rPr>
              <w:t xml:space="preserve">带机量≥200台，出口带宽≥1G，≥1*GE（WAN口），≥4*GE（LAN口），Mac地址表：≥2K，</w:t>
            </w:r>
            <w:r>
              <w:rPr>
                <w:rFonts w:hint="eastAsia" w:ascii="宋体" w:hAnsi="宋体" w:eastAsia="宋体" w:cs="宋体"/>
                <w:color w:val="auto"/>
                <w:sz w:val="20"/>
                <w:szCs w:val="20"/>
                <w:highlight w:val="none"/>
              </w:rPr>
              <w:t xml:space="preserve">自然散热</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桌面款</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支持AC功能</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最大可管理32个AP</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支持EasyWeb功能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无线AP</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吸顶AP</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上行1个千兆电口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支持802.11ax</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2+2双频</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整机速率2.975Gbps</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最大发射功率23dBm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最大功耗9.4W</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智能天线</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推荐用户数100个，推荐并发用户数28个</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8M每终端</w:t>
            </w:r>
            <w:r>
              <w:rPr>
                <w:rFonts w:hint="eastAsia" w:ascii="宋体" w:hAnsi="宋体" w:cs="宋体"/>
                <w:color w:val="auto"/>
                <w:sz w:val="20"/>
                <w:szCs w:val="20"/>
                <w:highlight w:val="none"/>
                <w:lang w:eastAsia="zh-CN"/>
              </w:rPr>
              <w:t xml:space="preserve">），覆盖半径≥20m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POE交换机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≥24个10/100/1000BASE-T以太网端口（400W PoE+），≥4个2.5G SFP，包转发率≥88Mpps，交换容量≥432Gbps。</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一层放射科</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存储接口：</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个SATA接口，可满配</w:t>
            </w: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TB硬盘</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视频接口：</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×HDMI，</w:t>
            </w: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×VGA</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网络接口：</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×RJ45 10/100/1000Mbps自适应以太网口</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报警接口：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16路报警输入，9路报警输出</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USB接口：2×USB 2.0，1×USB 3.0</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输入带宽：</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160</w:t>
            </w:r>
            <w:r>
              <w:rPr>
                <w:rFonts w:hint="eastAsia" w:ascii="宋体" w:hAnsi="宋体" w:eastAsia="宋体" w:cs="宋体"/>
                <w:color w:val="auto"/>
                <w:sz w:val="20"/>
                <w:szCs w:val="20"/>
                <w:highlight w:val="none"/>
              </w:rPr>
              <w:t xml:space="preserve">Mbps</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7、</w:t>
            </w:r>
            <w:r>
              <w:rPr>
                <w:rFonts w:hint="eastAsia" w:ascii="宋体" w:hAnsi="宋体" w:cs="宋体"/>
                <w:color w:val="auto"/>
                <w:sz w:val="20"/>
                <w:szCs w:val="20"/>
                <w:highlight w:val="none"/>
                <w:lang w:eastAsia="zh-CN"/>
              </w:rPr>
              <w:t xml:space="preserve">输出带宽：≥</w:t>
            </w:r>
            <w:r>
              <w:rPr>
                <w:rFonts w:hint="eastAsia" w:ascii="宋体" w:hAnsi="宋体" w:cs="宋体"/>
                <w:color w:val="auto"/>
                <w:sz w:val="20"/>
                <w:szCs w:val="20"/>
                <w:highlight w:val="none"/>
                <w:lang w:val="en-US" w:eastAsia="zh-CN"/>
              </w:rPr>
              <w:t xml:space="preserve">160</w:t>
            </w:r>
            <w:r>
              <w:rPr>
                <w:rFonts w:hint="eastAsia" w:ascii="宋体" w:hAnsi="宋体" w:cs="宋体"/>
                <w:color w:val="auto"/>
                <w:sz w:val="20"/>
                <w:szCs w:val="20"/>
                <w:highlight w:val="none"/>
                <w:lang w:eastAsia="zh-CN"/>
              </w:rPr>
              <w:t xml:space="preserve">Mbps；</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接入能力：</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16路H.264、H.265格式高清码流接入</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解码能力：最大支持24×1080P</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显示能力：最大支持4K+1080P异源输出</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机械式，</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监视</w:t>
            </w:r>
            <w:r>
              <w:rPr>
                <w:rFonts w:hint="eastAsia" w:ascii="宋体" w:hAnsi="宋体" w:cs="宋体"/>
                <w:color w:val="auto"/>
                <w:sz w:val="20"/>
                <w:szCs w:val="20"/>
                <w:highlight w:val="none"/>
                <w:lang w:val="en-US" w:eastAsia="zh-CN"/>
              </w:rPr>
              <w:t xml:space="preserve">设备</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含键鼠</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、最高分辨率可达2560×1440@25fps；</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、支持用户登录锁定机制，及密码复杂度提示；</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、支持SmartIR，防止夜间红外过曝；</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、支持背光补偿，强光抑制，3D数字降噪，数字宽动态；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、支持ROI感兴趣区域增强编码；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、支持开放型网络视频接口，ISAPI，SDK，GB28181协议；</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、1个内置麦克风；</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、采用高效阵列红外灯，使用寿命长，红外照射最远可达30m；</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、符合IP66防尘防水设计，可靠性高；</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、传感器类型：1/2.7"Progressive Scan CMOS；</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、最低照度：彩色：0.005 Lux@（F1.2，AGC ON），0 Lux with IR；</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、最大图像尺寸：2560×1440；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、宽动态：数字宽动态；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、调节角度：水平：0°~360°，垂直：0°~75°，旋转：0°~360°；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、焦距&amp;视场角：2.8mm：水平视场角：94°，垂直视场角：49°，对角视场角：114°；</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4mm，水平视场角：70°，垂直视场角：35°，对角视场角：85°；</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6mm，水平视场角：46°，垂直视场角：24°，对角视场角：54°；</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8mm，水平视场角：43°，垂直视场角：24°，对角视场角：50°；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12mm，水平视场角：27°，垂直视场角：15°，对角视场角：31°。</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包转发率≥15Mpps，交换容量≥336Gbps，≥9个千兆电口，≥1个千兆光口，VLAN：≥4K，MAC：≥8K，桌面式。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一层抢救室</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存储接口：</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个SATA接口，可满配</w:t>
            </w: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TB硬盘</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视频接口：</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×HDMI，1×VGA</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网络接口：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2×RJ45 10/100/1000Mbps自适应以太网口</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报警接口：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16路报警输入，4路报警输出</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USB接口：2×USB 2.0，1×USB 3.0</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输入带宽：</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80Mbps</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7、</w:t>
            </w:r>
            <w:r>
              <w:rPr>
                <w:rFonts w:hint="eastAsia" w:ascii="宋体" w:hAnsi="宋体" w:cs="宋体"/>
                <w:color w:val="auto"/>
                <w:sz w:val="20"/>
                <w:szCs w:val="20"/>
                <w:highlight w:val="none"/>
                <w:lang w:eastAsia="zh-CN"/>
              </w:rPr>
              <w:t xml:space="preserve">输出带宽：≥</w:t>
            </w:r>
            <w:r>
              <w:rPr>
                <w:rFonts w:hint="eastAsia" w:ascii="宋体" w:hAnsi="宋体" w:cs="宋体"/>
                <w:color w:val="auto"/>
                <w:sz w:val="20"/>
                <w:szCs w:val="20"/>
                <w:highlight w:val="none"/>
                <w:lang w:val="en-US" w:eastAsia="zh-CN"/>
              </w:rPr>
              <w:t xml:space="preserve">160</w:t>
            </w:r>
            <w:r>
              <w:rPr>
                <w:rFonts w:hint="eastAsia" w:ascii="宋体" w:hAnsi="宋体" w:cs="宋体"/>
                <w:color w:val="auto"/>
                <w:sz w:val="20"/>
                <w:szCs w:val="20"/>
                <w:highlight w:val="none"/>
                <w:lang w:eastAsia="zh-CN"/>
              </w:rPr>
              <w:t xml:space="preserve">Mbps；</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接入能力：</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8路H.264、H.265格式高清码流接入</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解码能力：最大支持24×1080P</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显示能力：最大支持4K+1080P异源输出</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机械式，</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监视</w:t>
            </w:r>
            <w:r>
              <w:rPr>
                <w:rFonts w:hint="eastAsia" w:ascii="宋体" w:hAnsi="宋体" w:cs="宋体"/>
                <w:color w:val="auto"/>
                <w:sz w:val="20"/>
                <w:szCs w:val="20"/>
                <w:highlight w:val="none"/>
                <w:lang w:val="en-US" w:eastAsia="zh-CN"/>
              </w:rPr>
              <w:t xml:space="preserve">设备</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含键鼠</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、最高分辨率可达2560×1440@25fps；</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、支持用户登录锁定机制，及密码复杂度提示；</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、支持SmartIR，防止夜间红外过曝；</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、支持背光补偿，强光抑制，3D数字降噪，数字宽动态；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、支持ROI感兴趣区域增强编码；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、支持开放型网络视频接口，ISAPI，SDK，GB28181协议；</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、1个内置麦克风；</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、采用高效阵列红外灯，使用寿命长，红外照射最远可达30m；</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、符合IP66防尘防水设计，可靠性高；</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、传感器类型：1/2.7"Progressive Scan CMOS；</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、最低照度：彩色：0.005 Lux@（F1.2，AGC ON），0 Lux with IR；</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、最大图像尺寸：2560×1440；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、宽动态：数字宽动态；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、调节角度：水平：0°~360°，垂直：0°~75°，旋转：0°~360°；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、焦距&amp;视场角：2.8mm：水平视场角：94°，垂直视场角：49°，对角视场角：114°；</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4mm，水平视场角：70°，垂直视场角：35°，对角视场角：85°；</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6mm，水平视场角：46°，垂直视场角：24°，对角视场角：54°；</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8mm，水平视场角：43°，垂直视场角：24°，对角视场角：50°；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12mm，水平视场角：27°，垂直视场角：15°，对角视场角：31°。</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包转发率≥15Mpps，交换容量≥336Gbps，≥9个千兆电口，≥1个千兆光口，VLAN：≥4K，MAC：≥8K，桌面式。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三层口腔</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存储接口：</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个SATA接口，可满配</w:t>
            </w: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TB硬盘</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视频接口：</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×HDMI，1×VGA</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网络接口：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2×RJ45 10/100/1000Mbps自适应以太网口</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报警接口：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16路报警输入，4路报警输出</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USB接口：2×USB 2.0，1×USB 3.0</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输入带宽：</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80Mbps</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7、</w:t>
            </w:r>
            <w:r>
              <w:rPr>
                <w:rFonts w:hint="eastAsia" w:ascii="宋体" w:hAnsi="宋体" w:cs="宋体"/>
                <w:color w:val="auto"/>
                <w:sz w:val="20"/>
                <w:szCs w:val="20"/>
                <w:highlight w:val="none"/>
                <w:lang w:eastAsia="zh-CN"/>
              </w:rPr>
              <w:t xml:space="preserve">输出带宽：≥</w:t>
            </w:r>
            <w:r>
              <w:rPr>
                <w:rFonts w:hint="eastAsia" w:ascii="宋体" w:hAnsi="宋体" w:cs="宋体"/>
                <w:color w:val="auto"/>
                <w:sz w:val="20"/>
                <w:szCs w:val="20"/>
                <w:highlight w:val="none"/>
                <w:lang w:val="en-US" w:eastAsia="zh-CN"/>
              </w:rPr>
              <w:t xml:space="preserve">160</w:t>
            </w:r>
            <w:r>
              <w:rPr>
                <w:rFonts w:hint="eastAsia" w:ascii="宋体" w:hAnsi="宋体" w:cs="宋体"/>
                <w:color w:val="auto"/>
                <w:sz w:val="20"/>
                <w:szCs w:val="20"/>
                <w:highlight w:val="none"/>
                <w:lang w:eastAsia="zh-CN"/>
              </w:rPr>
              <w:t xml:space="preserve">Mbps；</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接入能力：</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8路H.264、H.265格式高清码流接入</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解码能力：最大支持24×1080P</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显示能力：最大支持4K+1080P异源输出</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机械式，</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监视</w:t>
            </w:r>
            <w:r>
              <w:rPr>
                <w:rFonts w:hint="eastAsia" w:ascii="宋体" w:hAnsi="宋体" w:cs="宋体"/>
                <w:color w:val="auto"/>
                <w:sz w:val="20"/>
                <w:szCs w:val="20"/>
                <w:highlight w:val="none"/>
                <w:lang w:val="en-US" w:eastAsia="zh-CN"/>
              </w:rPr>
              <w:t xml:space="preserve">设备</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含键鼠</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、最高分辨率可达2560×1440@25fps；</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、支持用户登录锁定机制，及密码复杂度提示；</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、支持SmartIR，防止夜间红外过曝；</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、支持背光补偿，强光抑制，3D数字降噪，数字宽动态；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、支持ROI感兴趣区域增强编码；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、支持开放型网络视频接口，ISAPI，SDK，GB28181协议；</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、1个内置麦克风；</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、采用高效阵列红外灯，使用寿命长，红外照射最远可达30m；</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、符合IP66防尘防水设计，可靠性高；</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、传感器类型：1/2.7"Progressive Scan CMOS；</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、最低照度：彩色：0.005 Lux@（F1.2，AGC ON），0 Lux with IR；</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、最大图像尺寸：2560×1440；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、宽动态：数字宽动态；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、调节角度：水平：0°~360°，垂直：0°~75°，旋转：0°~360°；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、焦距&amp;视场角：2.8mm：水平视场角：94°，垂直视场角：49°，对角视场角：114°；</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4mm，水平视场角：70°，垂直视场角：35°，对角视场角：85°；</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6mm，水平视场角：46°，垂直视场角：24°，对角视场角：54°；</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8mm，水平视场角：43°，垂直视场角：24°，对角视场角：50°；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12mm，水平视场角：27°，垂直视场角：15°，对角视场角：31°。</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包转发率≥15Mpps，交换容量≥336Gbps，≥9个千兆电口，≥1个千兆光口，VLAN：≥4K，MAC：≥8K，桌面式。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三层抢救室</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8路硬盘录像机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存储接口：</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个SATA接口，可满配</w:t>
            </w:r>
            <w:r>
              <w:rPr>
                <w:rFonts w:hint="eastAsia" w:ascii="宋体" w:hAnsi="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TB硬盘</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视频接口：</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×HDMI，1×VGA</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网络接口：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2×RJ45 10/100/1000Mbps自适应以太网口</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报警接口：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16路报警输入，4路报警输出</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USB接口：2×USB 2.0，1×USB 3.0</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输入带宽：</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80Mbps</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7、</w:t>
            </w:r>
            <w:r>
              <w:rPr>
                <w:rFonts w:hint="eastAsia" w:ascii="宋体" w:hAnsi="宋体" w:cs="宋体"/>
                <w:color w:val="auto"/>
                <w:sz w:val="20"/>
                <w:szCs w:val="20"/>
                <w:highlight w:val="none"/>
                <w:lang w:eastAsia="zh-CN"/>
              </w:rPr>
              <w:t xml:space="preserve">输出带宽：≥</w:t>
            </w:r>
            <w:r>
              <w:rPr>
                <w:rFonts w:hint="eastAsia" w:ascii="宋体" w:hAnsi="宋体" w:cs="宋体"/>
                <w:color w:val="auto"/>
                <w:sz w:val="20"/>
                <w:szCs w:val="20"/>
                <w:highlight w:val="none"/>
                <w:lang w:val="en-US" w:eastAsia="zh-CN"/>
              </w:rPr>
              <w:t xml:space="preserve">160</w:t>
            </w:r>
            <w:r>
              <w:rPr>
                <w:rFonts w:hint="eastAsia" w:ascii="宋体" w:hAnsi="宋体" w:cs="宋体"/>
                <w:color w:val="auto"/>
                <w:sz w:val="20"/>
                <w:szCs w:val="20"/>
                <w:highlight w:val="none"/>
                <w:lang w:eastAsia="zh-CN"/>
              </w:rPr>
              <w:t xml:space="preserve">Mbps；</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接入能力：</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8路H.264、H.265格式高清码流接入</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解码能力：最大支持24×1080P</w:t>
            </w:r>
            <w:r>
              <w:rPr>
                <w:rFonts w:hint="eastAsia" w:ascii="宋体" w:hAnsi="宋体" w:cs="宋体"/>
                <w:color w:val="auto"/>
                <w:sz w:val="20"/>
                <w:szCs w:val="20"/>
                <w:highlight w:val="none"/>
                <w:lang w:eastAsia="zh-CN"/>
              </w:rPr>
              <w:t xml:space="preserve">；</w:t>
            </w:r>
            <w:r/>
          </w:p>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显示能力：最大支持4K+1080P异源输出</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存储硬盘</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机械式，≥</w:t>
            </w:r>
            <w:r>
              <w:rPr>
                <w:rFonts w:hint="eastAsia" w:ascii="宋体" w:hAnsi="宋体" w:cs="宋体"/>
                <w:color w:val="auto"/>
                <w:sz w:val="20"/>
                <w:szCs w:val="20"/>
                <w:highlight w:val="none"/>
                <w:lang w:val="en-US" w:eastAsia="zh-CN"/>
              </w:rPr>
              <w:t xml:space="preserve">10</w:t>
            </w:r>
            <w:r>
              <w:rPr>
                <w:rFonts w:hint="eastAsia" w:ascii="宋体" w:hAnsi="宋体" w:cs="宋体"/>
                <w:color w:val="auto"/>
                <w:sz w:val="20"/>
                <w:szCs w:val="20"/>
                <w:highlight w:val="none"/>
                <w:lang w:eastAsia="zh-CN"/>
              </w:rPr>
              <w:t xml:space="preserve">T</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监视</w:t>
            </w:r>
            <w:r>
              <w:rPr>
                <w:rFonts w:hint="eastAsia" w:ascii="宋体" w:hAnsi="宋体" w:cs="宋体"/>
                <w:color w:val="auto"/>
                <w:sz w:val="20"/>
                <w:szCs w:val="20"/>
                <w:highlight w:val="none"/>
                <w:lang w:val="en-US" w:eastAsia="zh-CN"/>
              </w:rPr>
              <w:t xml:space="preserve">设备</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含键鼠</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22英寸</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半球式摄像机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rPr>
              <w:t xml:space="preserve">、最高分辨率可达2560×1440@25fps；</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、支持用户登录锁定机制，及密码复杂度提示；</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、支持SmartIR，防止夜间红外过曝；</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rPr>
              <w:t xml:space="preserve">、支持背光补偿，强光抑制，3D数字降噪，数字宽动态；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、支持ROI感兴趣区域增强编码；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、支持开放型网络视频接口，ISAPI，SDK，GB28181协议；</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7</w:t>
            </w:r>
            <w:r>
              <w:rPr>
                <w:rFonts w:hint="eastAsia" w:ascii="宋体" w:hAnsi="宋体" w:eastAsia="宋体" w:cs="宋体"/>
                <w:color w:val="auto"/>
                <w:sz w:val="20"/>
                <w:szCs w:val="20"/>
                <w:highlight w:val="none"/>
              </w:rPr>
              <w:t xml:space="preserve">、1个内置麦克风；</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8</w:t>
            </w:r>
            <w:r>
              <w:rPr>
                <w:rFonts w:hint="eastAsia" w:ascii="宋体" w:hAnsi="宋体" w:eastAsia="宋体" w:cs="宋体"/>
                <w:color w:val="auto"/>
                <w:sz w:val="20"/>
                <w:szCs w:val="20"/>
                <w:highlight w:val="none"/>
              </w:rPr>
              <w:t xml:space="preserve">、采用高效阵列红外灯，使用寿命长，红外照射最远可达30m；</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、符合IP66防尘防水设计，可靠性高；</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10</w:t>
            </w:r>
            <w:r>
              <w:rPr>
                <w:rFonts w:hint="eastAsia" w:ascii="宋体" w:hAnsi="宋体" w:eastAsia="宋体" w:cs="宋体"/>
                <w:color w:val="auto"/>
                <w:sz w:val="20"/>
                <w:szCs w:val="20"/>
                <w:highlight w:val="none"/>
              </w:rPr>
              <w:t xml:space="preserve">、传感器类型：1/2.7"Progressive Scan CMOS；</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、最低照度：彩色：0.005 Lux@（F1.2，AGC ON），0 Lux with IR；</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12</w:t>
            </w:r>
            <w:r>
              <w:rPr>
                <w:rFonts w:hint="eastAsia" w:ascii="宋体" w:hAnsi="宋体" w:eastAsia="宋体" w:cs="宋体"/>
                <w:color w:val="auto"/>
                <w:sz w:val="20"/>
                <w:szCs w:val="20"/>
                <w:highlight w:val="none"/>
              </w:rPr>
              <w:t xml:space="preserve">、最大图像尺寸：2560×1440；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13</w:t>
            </w:r>
            <w:r>
              <w:rPr>
                <w:rFonts w:hint="eastAsia" w:ascii="宋体" w:hAnsi="宋体" w:eastAsia="宋体" w:cs="宋体"/>
                <w:color w:val="auto"/>
                <w:sz w:val="20"/>
                <w:szCs w:val="20"/>
                <w:highlight w:val="none"/>
              </w:rPr>
              <w:t xml:space="preserve">、宽动态：数字宽动态；</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14</w:t>
            </w:r>
            <w:r>
              <w:rPr>
                <w:rFonts w:hint="eastAsia" w:ascii="宋体" w:hAnsi="宋体" w:eastAsia="宋体" w:cs="宋体"/>
                <w:color w:val="auto"/>
                <w:sz w:val="20"/>
                <w:szCs w:val="20"/>
                <w:highlight w:val="none"/>
              </w:rPr>
              <w:t xml:space="preserve">、调节角度：水平：0°~360°，垂直：0°~75°，旋转：0°~360°；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15</w:t>
            </w:r>
            <w:r>
              <w:rPr>
                <w:rFonts w:hint="eastAsia" w:ascii="宋体" w:hAnsi="宋体" w:eastAsia="宋体" w:cs="宋体"/>
                <w:color w:val="auto"/>
                <w:sz w:val="20"/>
                <w:szCs w:val="20"/>
                <w:highlight w:val="none"/>
              </w:rPr>
              <w:t xml:space="preserve">、焦距&amp;视场角：2.8mm：水平视场角：94°，垂直视场角：49°，对角视场角：114°；</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4mm，水平视场角：70°，垂直视场角：35°，对角视场角：85°；</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6mm，水平视场角：46°，垂直视场角：24°，对角视场角：54°；</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8mm，水平视场角：43°，垂直视场角：24°，对角视场角：50°；</w:t>
            </w:r>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12mm，水平视场角：27°，垂直视场角：15°，对角视场角：31°。</w:t>
            </w:r>
            <w:r/>
          </w:p>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网络交换机</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包转发率≥15Mpps，交换容量≥336Gbps，≥9个千兆电口，≥1个千兆光口，VLAN：≥4K，MAC：≥8K，桌面式。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信息插座</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双口RJ45接口</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光模块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光模块-eSFP-GE-单模模块</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1310nm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10km</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LC</w:t>
            </w:r>
            <w:r>
              <w:rPr>
                <w:rFonts w:hint="eastAsia" w:ascii="宋体" w:hAnsi="宋体" w:cs="宋体"/>
                <w:color w:val="auto"/>
                <w:sz w:val="20"/>
                <w:szCs w:val="20"/>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40</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个</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弱电机柜</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 xml:space="preserve">≥18U，600*600*1000mm</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公区智慧照明</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综合楼及地库</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系统电源</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输入电压范围：85-264VAC/120-370VDC</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输出电压及功率：24VDC/60W，电压调整范围：21.6~29V</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输出短路</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过流</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过压保护功能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工作温度</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-40~+70℃</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外壳材料：阻燃PC+ABS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8路开关模块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8通道20A继电器；总线扩展模块，通信链路供电；</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功耗：</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25mA@24V；能在DC24V±2V的条件下正常工作；</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具有8路磁保持继电器输出功能，带手动应急开关，具有手动/自动指示功能，具有开关量输入功能，可接入开关</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报警</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人体红外感应器等信号；</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低温-10°C或高温50°C通电2小时应能正常工作；</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12路开关模块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12通道20A继电器；总线扩展模块，通信链路供电；</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功耗：</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25mA@24V；能在DC24V±2V的条件下正常工作；</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具有12路磁保持继电器输出功能，带手动应急开关，具有手动/自动指示功能，具有开关量输入功能，可接入开关</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报警</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人体红外感应器等信号；</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低温-10°C或高温50°C通电2小时应能正常工作；</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传感器</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支持总线链路供电及通迅。功耗：20mA@24V；</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具有红外信号监测功能，红外感应灵敏度调节功能；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安装方式：吸顶式/嵌入式；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智能面板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支持总线链路供电及通讯。</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.静态功耗：≤</w:t>
            </w:r>
            <w:r>
              <w:rPr>
                <w:rFonts w:hint="eastAsia" w:ascii="宋体" w:hAnsi="宋体" w:eastAsia="宋体" w:cs="宋体"/>
                <w:color w:val="auto"/>
                <w:sz w:val="20"/>
                <w:szCs w:val="20"/>
                <w:highlight w:val="none"/>
              </w:rPr>
              <w:t xml:space="preserve">15mA@24V</w:t>
            </w:r>
            <w:r>
              <w:rPr>
                <w:rFonts w:hint="eastAsia" w:ascii="宋体" w:hAnsi="宋体" w:cs="宋体"/>
                <w:color w:val="auto"/>
                <w:sz w:val="20"/>
                <w:szCs w:val="20"/>
                <w:highlight w:val="none"/>
                <w:lang w:eastAsia="zh-CN"/>
              </w:rPr>
              <w:t xml:space="preserve">，动态功耗：≤</w:t>
            </w:r>
            <w:r>
              <w:rPr>
                <w:rFonts w:hint="eastAsia" w:ascii="宋体" w:hAnsi="宋体" w:eastAsia="宋体" w:cs="宋体"/>
                <w:color w:val="auto"/>
                <w:sz w:val="20"/>
                <w:szCs w:val="20"/>
                <w:highlight w:val="none"/>
              </w:rPr>
              <w:t xml:space="preserve">20mA max@24V。</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玻璃面板，电容触摸按键。</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每个按键支持长按</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短按功能，均可实现开光</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调光</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场景控制。</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可选类型为6键，支持面板按键刻字。</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86底盒安装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照明网关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1路通信总线接口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1024I/O资源；</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具有RS485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RS232通信接口及10/100M网络接口；</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串口支持标准Modbus-RTU协议，速率1200~115200bps可配置；</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通过控制模块可实现第三方串口设备协议集成功能，具有多路开关量输入功能</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RTC实时时钟</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控制逻辑可编程；</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照明网关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2路通信总线接口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1024I/O资源；</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具有RS485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RS232通信接口及10/100M网络接口；</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串口支持标准Modbus-RTU协议，速率1200~115200bps可配置：</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通过控制模块可实现第三方串口设备协议集成功能，具有多路开关量输入功能</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RTC实时时钟</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控制逻辑可编程；</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智能照明系统软件</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WEB组态可视化系统</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2000点位号数据管理。四核CPU，LINUX操作系统，1T存储空间；内嵌WEB组态软件、可视化软件，自带图形库、基础组件、可扩展高级组件。支持WEB浏览访问、图形化组态、界面友好，简单易学。支持扩展云端服务及专家数据AI算法。支持开关模块、调光模块、人体感应、光照度、智能面板等产品的控制和联动；支持实时数据展示、历史数据存储，报警管理，报表管理，用户管理等功能；</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控制线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RVS2*1.5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后勤楼</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tcPr>
          <w:p>
            <w:pPr>
              <w:jc w:val="left"/>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系统电源</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输入电压范围：85-264VAC/120-370VDC</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输出电压及功率：24VDC/60W，电压调整范围：21.6~29V</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输出短路</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过流</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过压保护功能</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工作温度</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-40~+70℃</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外壳材料：阻燃PC+ABS</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8路开关模块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8通道20A继电器；总线扩展模块，通信链路供电；</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功耗：</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25mA@24V；能在DC24V±2V的条件下正常工作；</w:t>
            </w:r>
            <w:r/>
          </w:p>
          <w:p>
            <w:pPr>
              <w:jc w:val="left"/>
              <w:keepNext/>
              <w:widowControl/>
              <w:rPr>
                <w:rStyle w:val="1018"/>
                <w:rFonts w:hint="eastAsia" w:ascii="宋体" w:hAnsi="宋体" w:eastAsia="宋体" w:cs="宋体"/>
                <w:color w:val="auto"/>
                <w:highlight w:val="none"/>
              </w:rPr>
            </w:pPr>
            <w:r>
              <w:rPr>
                <w:rStyle w:val="1018"/>
                <w:rFonts w:hint="eastAsia" w:ascii="宋体" w:hAnsi="宋体" w:eastAsia="宋体" w:cs="宋体"/>
                <w:color w:val="auto"/>
                <w:highlight w:val="none"/>
              </w:rPr>
              <w:t xml:space="preserve">3</w:t>
            </w:r>
            <w:r>
              <w:rPr>
                <w:rStyle w:val="1018"/>
                <w:rFonts w:hint="eastAsia" w:ascii="宋体" w:hAnsi="宋体" w:cs="宋体"/>
                <w:color w:val="auto"/>
                <w:highlight w:val="none"/>
                <w:lang w:eastAsia="zh-CN"/>
              </w:rPr>
              <w:t xml:space="preserve">.</w:t>
            </w:r>
            <w:r>
              <w:rPr>
                <w:rStyle w:val="1018"/>
                <w:rFonts w:hint="eastAsia" w:ascii="宋体" w:hAnsi="宋体" w:eastAsia="宋体" w:cs="宋体"/>
                <w:color w:val="auto"/>
                <w:highlight w:val="none"/>
              </w:rPr>
              <w:t xml:space="preserve">具有8路磁保持继电器输出功能，带手动应急开关，具有手动/自动指示功能，具有开关量输入功能，可接入开关</w:t>
            </w:r>
            <w:r>
              <w:rPr>
                <w:rStyle w:val="1018"/>
                <w:rFonts w:hint="eastAsia" w:ascii="宋体" w:hAnsi="宋体" w:cs="宋体"/>
                <w:color w:val="auto"/>
                <w:highlight w:val="none"/>
                <w:lang w:eastAsia="zh-CN"/>
              </w:rPr>
              <w:t xml:space="preserve">.</w:t>
            </w:r>
            <w:r>
              <w:rPr>
                <w:rStyle w:val="1018"/>
                <w:rFonts w:hint="eastAsia" w:ascii="宋体" w:hAnsi="宋体" w:eastAsia="宋体" w:cs="宋体"/>
                <w:color w:val="auto"/>
                <w:highlight w:val="none"/>
              </w:rPr>
              <w:t xml:space="preserve">报警</w:t>
            </w:r>
            <w:r>
              <w:rPr>
                <w:rStyle w:val="1018"/>
                <w:rFonts w:hint="eastAsia" w:ascii="宋体" w:hAnsi="宋体" w:cs="宋体"/>
                <w:color w:val="auto"/>
                <w:highlight w:val="none"/>
                <w:lang w:eastAsia="zh-CN"/>
              </w:rPr>
              <w:t xml:space="preserve">.</w:t>
            </w:r>
            <w:r>
              <w:rPr>
                <w:rStyle w:val="1018"/>
                <w:rFonts w:hint="eastAsia" w:ascii="宋体" w:hAnsi="宋体" w:eastAsia="宋体" w:cs="宋体"/>
                <w:color w:val="auto"/>
                <w:highlight w:val="none"/>
              </w:rPr>
              <w:t xml:space="preserve">人体红外感应器等信号；</w:t>
            </w:r>
            <w:r/>
          </w:p>
          <w:p>
            <w:pPr>
              <w:jc w:val="left"/>
              <w:keepNext/>
              <w:widowControl/>
              <w:rPr>
                <w:rStyle w:val="1019"/>
                <w:rFonts w:hint="eastAsia" w:ascii="宋体" w:hAnsi="宋体" w:eastAsia="宋体" w:cs="宋体"/>
                <w:color w:val="auto"/>
                <w:highlight w:val="none"/>
              </w:rPr>
            </w:pPr>
            <w:r>
              <w:rPr>
                <w:rStyle w:val="1019"/>
                <w:rFonts w:hint="eastAsia" w:ascii="宋体" w:hAnsi="宋体" w:eastAsia="宋体" w:cs="宋体"/>
                <w:color w:val="auto"/>
                <w:highlight w:val="none"/>
              </w:rPr>
              <w:t xml:space="preserve">4</w:t>
            </w:r>
            <w:r>
              <w:rPr>
                <w:rStyle w:val="1019"/>
                <w:rFonts w:hint="eastAsia" w:ascii="宋体" w:hAnsi="宋体" w:cs="宋体"/>
                <w:color w:val="auto"/>
                <w:highlight w:val="none"/>
                <w:lang w:eastAsia="zh-CN"/>
              </w:rPr>
              <w:t xml:space="preserve">.</w:t>
            </w:r>
            <w:r>
              <w:rPr>
                <w:rStyle w:val="1019"/>
                <w:rFonts w:hint="eastAsia" w:ascii="宋体" w:hAnsi="宋体" w:eastAsia="宋体" w:cs="宋体"/>
                <w:color w:val="auto"/>
                <w:highlight w:val="none"/>
              </w:rPr>
              <w:t xml:space="preserve">低温-10°C或高温50°C通电2小时应能正常工作；</w:t>
            </w:r>
            <w:r/>
          </w:p>
          <w:p>
            <w:pPr>
              <w:jc w:val="left"/>
              <w:keepNext/>
              <w:widowControl/>
              <w:rPr>
                <w:rFonts w:hint="eastAsia" w:ascii="宋体" w:hAnsi="宋体" w:eastAsia="宋体" w:cs="宋体"/>
                <w:color w:val="auto"/>
                <w:sz w:val="20"/>
                <w:szCs w:val="20"/>
                <w:highlight w:val="none"/>
              </w:rPr>
            </w:pPr>
            <w:r>
              <w:rPr>
                <w:rStyle w:val="1019"/>
                <w:rFonts w:hint="eastAsia" w:ascii="宋体" w:hAnsi="宋体" w:eastAsia="宋体" w:cs="宋体"/>
                <w:color w:val="auto"/>
                <w:highlight w:val="none"/>
              </w:rPr>
              <w:t xml:space="preserve">5</w:t>
            </w:r>
            <w:r>
              <w:rPr>
                <w:rStyle w:val="1019"/>
                <w:rFonts w:hint="eastAsia" w:ascii="宋体" w:hAnsi="宋体" w:cs="宋体"/>
                <w:color w:val="auto"/>
                <w:highlight w:val="none"/>
                <w:lang w:eastAsia="zh-CN"/>
              </w:rPr>
              <w:t xml:space="preserve">.</w:t>
            </w:r>
            <w:r>
              <w:rPr>
                <w:rStyle w:val="1019"/>
                <w:rFonts w:hint="eastAsia" w:ascii="宋体" w:hAnsi="宋体" w:eastAsia="宋体" w:cs="宋体"/>
                <w:color w:val="auto"/>
                <w:highlight w:val="none"/>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12路开关模块</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12通道20A继电器；总线扩展模块，通信链路供电；</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功耗：</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25mA@24V；能在DC24V±2V的条件下正常工作；</w:t>
            </w:r>
            <w:r/>
          </w:p>
          <w:p>
            <w:pPr>
              <w:jc w:val="left"/>
              <w:keepNext/>
              <w:widowControl/>
              <w:rPr>
                <w:rStyle w:val="1018"/>
                <w:rFonts w:hint="eastAsia" w:ascii="宋体" w:hAnsi="宋体" w:eastAsia="宋体" w:cs="宋体"/>
                <w:color w:val="auto"/>
                <w:highlight w:val="none"/>
              </w:rPr>
            </w:pPr>
            <w:r>
              <w:rPr>
                <w:rStyle w:val="1018"/>
                <w:rFonts w:hint="eastAsia" w:ascii="宋体" w:hAnsi="宋体" w:eastAsia="宋体" w:cs="宋体"/>
                <w:color w:val="auto"/>
                <w:highlight w:val="none"/>
              </w:rPr>
              <w:t xml:space="preserve">3</w:t>
            </w:r>
            <w:r>
              <w:rPr>
                <w:rStyle w:val="1018"/>
                <w:rFonts w:hint="eastAsia" w:ascii="宋体" w:hAnsi="宋体" w:cs="宋体"/>
                <w:color w:val="auto"/>
                <w:highlight w:val="none"/>
                <w:lang w:eastAsia="zh-CN"/>
              </w:rPr>
              <w:t xml:space="preserve">.</w:t>
            </w:r>
            <w:r>
              <w:rPr>
                <w:rStyle w:val="1018"/>
                <w:rFonts w:hint="eastAsia" w:ascii="宋体" w:hAnsi="宋体" w:eastAsia="宋体" w:cs="宋体"/>
                <w:color w:val="auto"/>
                <w:highlight w:val="none"/>
              </w:rPr>
              <w:t xml:space="preserve">具有12路磁保持继电器输出功能，带手动应急开关，具有手动/自动指示功能，具有开关量输入功能，可接入开关</w:t>
            </w:r>
            <w:r>
              <w:rPr>
                <w:rStyle w:val="1018"/>
                <w:rFonts w:hint="eastAsia" w:ascii="宋体" w:hAnsi="宋体" w:cs="宋体"/>
                <w:color w:val="auto"/>
                <w:highlight w:val="none"/>
                <w:lang w:eastAsia="zh-CN"/>
              </w:rPr>
              <w:t xml:space="preserve">.</w:t>
            </w:r>
            <w:r>
              <w:rPr>
                <w:rStyle w:val="1018"/>
                <w:rFonts w:hint="eastAsia" w:ascii="宋体" w:hAnsi="宋体" w:eastAsia="宋体" w:cs="宋体"/>
                <w:color w:val="auto"/>
                <w:highlight w:val="none"/>
              </w:rPr>
              <w:t xml:space="preserve">报警</w:t>
            </w:r>
            <w:r>
              <w:rPr>
                <w:rStyle w:val="1018"/>
                <w:rFonts w:hint="eastAsia" w:ascii="宋体" w:hAnsi="宋体" w:cs="宋体"/>
                <w:color w:val="auto"/>
                <w:highlight w:val="none"/>
                <w:lang w:eastAsia="zh-CN"/>
              </w:rPr>
              <w:t xml:space="preserve">.</w:t>
            </w:r>
            <w:r>
              <w:rPr>
                <w:rStyle w:val="1018"/>
                <w:rFonts w:hint="eastAsia" w:ascii="宋体" w:hAnsi="宋体" w:eastAsia="宋体" w:cs="宋体"/>
                <w:color w:val="auto"/>
                <w:highlight w:val="none"/>
              </w:rPr>
              <w:t xml:space="preserve">人体红外感应器等信号；</w:t>
            </w:r>
            <w:r/>
          </w:p>
          <w:p>
            <w:pPr>
              <w:jc w:val="left"/>
              <w:keepNext/>
              <w:widowControl/>
              <w:rPr>
                <w:rStyle w:val="1019"/>
                <w:rFonts w:hint="eastAsia" w:ascii="宋体" w:hAnsi="宋体" w:eastAsia="宋体" w:cs="宋体"/>
                <w:color w:val="auto"/>
                <w:highlight w:val="none"/>
              </w:rPr>
            </w:pPr>
            <w:r>
              <w:rPr>
                <w:rStyle w:val="1019"/>
                <w:rFonts w:hint="eastAsia" w:ascii="宋体" w:hAnsi="宋体" w:eastAsia="宋体" w:cs="宋体"/>
                <w:color w:val="auto"/>
                <w:highlight w:val="none"/>
              </w:rPr>
              <w:t xml:space="preserve">4</w:t>
            </w:r>
            <w:r>
              <w:rPr>
                <w:rStyle w:val="1019"/>
                <w:rFonts w:hint="eastAsia" w:ascii="宋体" w:hAnsi="宋体" w:cs="宋体"/>
                <w:color w:val="auto"/>
                <w:highlight w:val="none"/>
                <w:lang w:eastAsia="zh-CN"/>
              </w:rPr>
              <w:t xml:space="preserve">.</w:t>
            </w:r>
            <w:r>
              <w:rPr>
                <w:rStyle w:val="1019"/>
                <w:rFonts w:hint="eastAsia" w:ascii="宋体" w:hAnsi="宋体" w:eastAsia="宋体" w:cs="宋体"/>
                <w:color w:val="auto"/>
                <w:highlight w:val="none"/>
              </w:rPr>
              <w:t xml:space="preserve">低温-10°C或高温50°C通电2小时应能正常工作；</w:t>
            </w:r>
            <w:r/>
          </w:p>
          <w:p>
            <w:pPr>
              <w:jc w:val="left"/>
              <w:keepNext/>
              <w:widowControl/>
              <w:rPr>
                <w:rFonts w:hint="eastAsia" w:ascii="宋体" w:hAnsi="宋体" w:eastAsia="宋体" w:cs="宋体"/>
                <w:color w:val="auto"/>
                <w:sz w:val="20"/>
                <w:szCs w:val="20"/>
                <w:highlight w:val="none"/>
              </w:rPr>
            </w:pPr>
            <w:r>
              <w:rPr>
                <w:rStyle w:val="1019"/>
                <w:rFonts w:hint="eastAsia" w:ascii="宋体" w:hAnsi="宋体" w:eastAsia="宋体" w:cs="宋体"/>
                <w:color w:val="auto"/>
                <w:highlight w:val="none"/>
              </w:rPr>
              <w:t xml:space="preserve">5</w:t>
            </w:r>
            <w:r>
              <w:rPr>
                <w:rStyle w:val="1019"/>
                <w:rFonts w:hint="eastAsia" w:ascii="宋体" w:hAnsi="宋体" w:cs="宋体"/>
                <w:color w:val="auto"/>
                <w:highlight w:val="none"/>
                <w:lang w:eastAsia="zh-CN"/>
              </w:rPr>
              <w:t xml:space="preserve">.</w:t>
            </w:r>
            <w:r>
              <w:rPr>
                <w:rStyle w:val="1019"/>
                <w:rFonts w:hint="eastAsia" w:ascii="宋体" w:hAnsi="宋体" w:eastAsia="宋体" w:cs="宋体"/>
                <w:color w:val="auto"/>
                <w:highlight w:val="none"/>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智能面板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支持总线链路供电及通讯。</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.静态功耗：≤</w:t>
            </w:r>
            <w:r>
              <w:rPr>
                <w:rFonts w:hint="eastAsia" w:ascii="宋体" w:hAnsi="宋体" w:eastAsia="宋体" w:cs="宋体"/>
                <w:color w:val="auto"/>
                <w:sz w:val="20"/>
                <w:szCs w:val="20"/>
                <w:highlight w:val="none"/>
              </w:rPr>
              <w:t xml:space="preserve">15mA@24V</w:t>
            </w:r>
            <w:r>
              <w:rPr>
                <w:rFonts w:hint="eastAsia" w:ascii="宋体" w:hAnsi="宋体" w:cs="宋体"/>
                <w:color w:val="auto"/>
                <w:sz w:val="20"/>
                <w:szCs w:val="20"/>
                <w:highlight w:val="none"/>
                <w:lang w:eastAsia="zh-CN"/>
              </w:rPr>
              <w:t xml:space="preserve">，动态功耗：≤</w:t>
            </w:r>
            <w:r>
              <w:rPr>
                <w:rFonts w:hint="eastAsia" w:ascii="宋体" w:hAnsi="宋体" w:eastAsia="宋体" w:cs="宋体"/>
                <w:color w:val="auto"/>
                <w:sz w:val="20"/>
                <w:szCs w:val="20"/>
                <w:highlight w:val="none"/>
              </w:rPr>
              <w:t xml:space="preserve">20mA max@24V。</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玻璃面板，电容触摸按键。</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每个按键支持长按</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短按功能，均可实现开光</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调光</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场景控制。</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可选类型为6键，支持面板按键刻字。</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86底盒安装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照明网关</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rPr>
              <w:t xml:space="preserve">2路通信总线接口</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1024I/O资源；</w:t>
            </w:r>
            <w:r/>
          </w:p>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具有RS485</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RS232通信接口及10/100M网络接口；</w:t>
            </w:r>
            <w:r/>
          </w:p>
          <w:p>
            <w:pPr>
              <w:jc w:val="left"/>
              <w:keepNext/>
              <w:widowControl/>
              <w:rPr>
                <w:rStyle w:val="1018"/>
                <w:rFonts w:hint="eastAsia" w:ascii="宋体" w:hAnsi="宋体" w:eastAsia="宋体" w:cs="宋体"/>
                <w:color w:val="auto"/>
                <w:highlight w:val="none"/>
              </w:rPr>
            </w:pPr>
            <w:r>
              <w:rPr>
                <w:rFonts w:hint="eastAsia" w:ascii="宋体" w:hAnsi="宋体" w:eastAsia="宋体" w:cs="宋体"/>
                <w:color w:val="auto"/>
                <w:sz w:val="20"/>
                <w:szCs w:val="20"/>
                <w:highlight w:val="none"/>
              </w:rPr>
              <w:t xml:space="preserve">3</w:t>
            </w:r>
            <w:r>
              <w:rPr>
                <w:rFonts w:hint="eastAsia" w:ascii="宋体" w:hAnsi="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串口支持标准Modbus-RTU协议，速率</w:t>
            </w:r>
            <w:r>
              <w:rPr>
                <w:rStyle w:val="1018"/>
                <w:rFonts w:hint="eastAsia" w:ascii="宋体" w:hAnsi="宋体" w:eastAsia="宋体" w:cs="宋体"/>
                <w:color w:val="auto"/>
                <w:highlight w:val="none"/>
              </w:rPr>
              <w:t xml:space="preserve">1200~115200bps可配置：</w:t>
            </w:r>
            <w:r/>
          </w:p>
          <w:p>
            <w:pPr>
              <w:jc w:val="left"/>
              <w:keepNext/>
              <w:widowControl/>
              <w:rPr>
                <w:rStyle w:val="1018"/>
                <w:rFonts w:hint="eastAsia" w:ascii="宋体" w:hAnsi="宋体" w:eastAsia="宋体" w:cs="宋体"/>
                <w:color w:val="auto"/>
                <w:highlight w:val="none"/>
              </w:rPr>
            </w:pPr>
            <w:r>
              <w:rPr>
                <w:rStyle w:val="1018"/>
                <w:rFonts w:hint="eastAsia" w:ascii="宋体" w:hAnsi="宋体" w:eastAsia="宋体" w:cs="宋体"/>
                <w:color w:val="auto"/>
                <w:highlight w:val="none"/>
              </w:rPr>
              <w:t xml:space="preserve">4</w:t>
            </w:r>
            <w:r>
              <w:rPr>
                <w:rStyle w:val="1018"/>
                <w:rFonts w:hint="eastAsia" w:ascii="宋体" w:hAnsi="宋体" w:cs="宋体"/>
                <w:color w:val="auto"/>
                <w:highlight w:val="none"/>
                <w:lang w:eastAsia="zh-CN"/>
              </w:rPr>
              <w:t xml:space="preserve">.</w:t>
            </w:r>
            <w:r>
              <w:rPr>
                <w:rStyle w:val="1018"/>
                <w:rFonts w:hint="eastAsia" w:ascii="宋体" w:hAnsi="宋体" w:eastAsia="宋体" w:cs="宋体"/>
                <w:color w:val="auto"/>
                <w:highlight w:val="none"/>
              </w:rPr>
              <w:t xml:space="preserve">通过控制模块可实现第三方串口设备协议集成功能，具有多路开关量输入功能</w:t>
            </w:r>
            <w:r>
              <w:rPr>
                <w:rStyle w:val="1018"/>
                <w:rFonts w:hint="eastAsia" w:ascii="宋体" w:hAnsi="宋体" w:cs="宋体"/>
                <w:color w:val="auto"/>
                <w:highlight w:val="none"/>
                <w:lang w:eastAsia="zh-CN"/>
              </w:rPr>
              <w:t xml:space="preserve">.</w:t>
            </w:r>
            <w:r>
              <w:rPr>
                <w:rStyle w:val="1018"/>
                <w:rFonts w:hint="eastAsia" w:ascii="宋体" w:hAnsi="宋体" w:eastAsia="宋体" w:cs="宋体"/>
                <w:color w:val="auto"/>
                <w:highlight w:val="none"/>
              </w:rPr>
              <w:t xml:space="preserve">RTC实时时钟</w:t>
            </w:r>
            <w:r>
              <w:rPr>
                <w:rStyle w:val="1018"/>
                <w:rFonts w:hint="eastAsia" w:ascii="宋体" w:hAnsi="宋体" w:cs="宋体"/>
                <w:color w:val="auto"/>
                <w:highlight w:val="none"/>
                <w:lang w:eastAsia="zh-CN"/>
              </w:rPr>
              <w:t xml:space="preserve">.</w:t>
            </w:r>
            <w:r>
              <w:rPr>
                <w:rStyle w:val="1018"/>
                <w:rFonts w:hint="eastAsia" w:ascii="宋体" w:hAnsi="宋体" w:eastAsia="宋体" w:cs="宋体"/>
                <w:color w:val="auto"/>
                <w:highlight w:val="none"/>
              </w:rPr>
              <w:t xml:space="preserve">控制逻辑可编程；</w:t>
            </w:r>
            <w:r/>
          </w:p>
          <w:p>
            <w:pPr>
              <w:jc w:val="left"/>
              <w:keepNext/>
              <w:widowControl/>
              <w:rPr>
                <w:rFonts w:hint="eastAsia" w:ascii="宋体" w:hAnsi="宋体" w:eastAsia="宋体" w:cs="宋体"/>
                <w:color w:val="auto"/>
                <w:sz w:val="20"/>
                <w:szCs w:val="20"/>
                <w:highlight w:val="none"/>
              </w:rPr>
            </w:pPr>
            <w:r>
              <w:rPr>
                <w:rStyle w:val="1019"/>
                <w:rFonts w:hint="eastAsia" w:ascii="宋体" w:hAnsi="宋体" w:eastAsia="宋体" w:cs="宋体"/>
                <w:color w:val="auto"/>
                <w:highlight w:val="none"/>
              </w:rPr>
              <w:t xml:space="preserve">5</w:t>
            </w:r>
            <w:r>
              <w:rPr>
                <w:rStyle w:val="1019"/>
                <w:rFonts w:hint="eastAsia" w:ascii="宋体" w:hAnsi="宋体" w:cs="宋体"/>
                <w:color w:val="auto"/>
                <w:highlight w:val="none"/>
                <w:lang w:eastAsia="zh-CN"/>
              </w:rPr>
              <w:t xml:space="preserve">.</w:t>
            </w:r>
            <w:r>
              <w:rPr>
                <w:rStyle w:val="1019"/>
                <w:rFonts w:hint="eastAsia" w:ascii="宋体" w:hAnsi="宋体" w:eastAsia="宋体" w:cs="宋体"/>
                <w:color w:val="auto"/>
                <w:highlight w:val="none"/>
              </w:rPr>
              <w:t xml:space="preserve">35mm标准导轨式安装。</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台</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控制线</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RVS2*1.5</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800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Nex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米</w:t>
            </w:r>
            <w:r/>
          </w:p>
        </w:tc>
      </w:tr>
    </w:tbl>
    <w:p>
      <w:pPr>
        <w:ind w:firstLine="422"/>
        <w:jc w:val="both"/>
        <w:spacing w:line="400" w:lineRule="exact"/>
        <w:tabs>
          <w:tab w:val="left" w:pos="540" w:leader="none"/>
        </w:tabs>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4.核心产品：本项目为非单一产品采购项目，核心产品为医护管理平台、半球式摄像机。多家投标人提供的核心产品品牌相同的，按一家投标人计算，评审后得分最高的同品牌投标人获得中标人推荐资格（《政府采购货物和服务招标投标管理办法》第三十一条）。</w:t>
      </w:r>
      <w:r/>
    </w:p>
    <w:p>
      <w:pPr>
        <w:ind w:firstLine="422"/>
        <w:jc w:val="both"/>
        <w:spacing w:line="400" w:lineRule="exact"/>
        <w:tabs>
          <w:tab w:val="left" w:pos="540" w:leader="none"/>
        </w:tabs>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5.技术参数说明</w:t>
      </w:r>
      <w:r/>
    </w:p>
    <w:p>
      <w:pPr>
        <w:ind w:firstLine="422"/>
        <w:jc w:val="both"/>
        <w:spacing w:line="400" w:lineRule="exact"/>
        <w:tabs>
          <w:tab w:val="left" w:pos="540" w:leader="none"/>
        </w:tabs>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5.1采购清单中的技术参数为最低要求，投标人应当提供满足或者优于该要求的产品；标注“≥”“≤”等区间的，以区间边界值为最低（最高）要求。</w:t>
      </w:r>
      <w:r/>
    </w:p>
    <w:p>
      <w:pPr>
        <w:ind w:firstLine="422"/>
        <w:jc w:val="both"/>
        <w:spacing w:line="400" w:lineRule="exact"/>
        <w:tabs>
          <w:tab w:val="left" w:pos="540" w:leader="none"/>
        </w:tabs>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5.2采购清单中的品牌、型号、图片（如有）仅供参考，不构成对特定品牌、型号的指定；投标人可以提供性能、质量、功能相当于或者优于参考产品的其他产品，但应当在投标文件中提供技术对比说明及证明材料。采购人、采购代理机构不得以不合理条件对投标人实行差别待遇或者歧视待遇（《中华人民共和国政府采购法实施条例》第二十条、《政府采购货物和服务招标投标管理办法》第二十条）。</w:t>
      </w:r>
      <w:r/>
    </w:p>
    <w:p>
      <w:pPr>
        <w:ind w:firstLine="422"/>
        <w:jc w:val="both"/>
        <w:spacing w:line="400" w:lineRule="exact"/>
        <w:tabs>
          <w:tab w:val="left" w:pos="540" w:leader="none"/>
        </w:tabs>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6.政府采购政策落实要求</w:t>
      </w:r>
      <w:r/>
    </w:p>
    <w:p>
      <w:pPr>
        <w:ind w:firstLine="422"/>
        <w:jc w:val="both"/>
        <w:spacing w:line="400" w:lineRule="exact"/>
        <w:tabs>
          <w:tab w:val="left" w:pos="540" w:leader="none"/>
        </w:tabs>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6.1中小企业：依据《政府采购促进中小企业发展管理办法》（财库〔2020〕46号）第六条，经主管预算单位组织评估，本项目采购标的为医院智能化系统设备及相关安装、调试、系统集成服务，技术复杂、专业集成度高，预留采购份额无法确保充分供应、充分竞争，存在</w:t>
      </w:r>
      <w:r>
        <w:rPr>
          <w:rFonts w:hint="eastAsia" w:ascii="宋体" w:hAnsi="宋体" w:eastAsia="宋体" w:cs="宋体"/>
          <w:color w:val="auto"/>
          <w:szCs w:val="21"/>
          <w:highlight w:val="none"/>
        </w:rPr>
        <w:t xml:space="preserve">可能影响政府采购目标实现的情形，故本项目不专门面向中小企业预留采购份额。本项目对小型、微型企业报价给予10%的价格扣除，用扣除后的价格参与评审；接受大中型企业向小微企业分包，且分包意向协议约定小微企业合同份额占合同总金额30%以上的，给予4%的价格扣除。价格扣除比例对小型企业和微型企业同等对待，不作区分。本项目采购标的对应的中小企业划分标准所属行业为工业（制造业）。投标人应当按第六章格式提供《中小企业声明函》，未提供的不得享受价格扣除；监狱企业、残疾人福利性单位视同小型、微型企业，应当按规定提供相应声明函。</w:t>
      </w:r>
      <w:r/>
    </w:p>
    <w:p>
      <w:pPr>
        <w:ind w:firstLine="422"/>
        <w:jc w:val="both"/>
        <w:spacing w:line="400" w:lineRule="exact"/>
        <w:tabs>
          <w:tab w:val="left" w:pos="540" w:leader="none"/>
        </w:tabs>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6.2节能环保：本项目采购产品属于《节能产品政府采购品目清单》中政府强制采购范围的，投标人必须提供国家确定的认证机构出具的、处于有效期之内的节能产品认证证书；属于优先采购范围的节能产品、环境标志产品，在性能、技术、服务等指标同等条件下优先采购（财库〔2019〕9号）。</w:t>
      </w:r>
      <w:r/>
    </w:p>
    <w:p>
      <w:pPr>
        <w:ind w:firstLine="422"/>
        <w:jc w:val="both"/>
        <w:spacing w:line="400" w:lineRule="exact"/>
        <w:tabs>
          <w:tab w:val="left" w:pos="540" w:leader="none"/>
        </w:tabs>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6.3本国产品：本项目采购本国产品。投标产品为进口产品的，其投标无效（《政府采购进口产品管理办法》财库〔2007〕119号；依法经财政部门审核同意采购进口产品的除外）。</w:t>
      </w:r>
      <w:r/>
    </w:p>
    <w:p>
      <w:pPr>
        <w:ind w:firstLine="422"/>
        <w:jc w:val="both"/>
        <w:spacing w:line="400" w:lineRule="exact"/>
        <w:tabs>
          <w:tab w:val="left" w:pos="540" w:leader="none"/>
        </w:tabs>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7.数</w:t>
      </w:r>
      <w:r>
        <w:rPr>
          <w:rFonts w:hint="eastAsia" w:ascii="宋体" w:hAnsi="宋体" w:eastAsia="宋体" w:cs="宋体"/>
          <w:color w:val="auto"/>
          <w:szCs w:val="21"/>
          <w:highlight w:val="none"/>
        </w:rPr>
        <w:t xml:space="preserve">据安全与保密要求：本项目涉及医疗机构信息系统，投标人及中标人应当遵守《中华人民共和国网络安全法》《中华人民共和国数据安全法》《中华人民共和国个人信息保护法》《中华人民共和国保守国家秘密法》等法律法规，落实网络安全等级保护制度要求；不得非法收集、使用、加工、传输、买卖、提供或者公开患者信息及其他数据；项目实施及质保期内接触的数据、图纸、文档等资料的所有权归采购人所有，未经采购人书面同意不得复制、留存、披露或者用于其他用途；项目结束后应当按照采购人要求清除或者返还。违反上述要求造成损失的，由中标人承担全部责任。</w:t>
      </w:r>
      <w:r/>
    </w:p>
    <w:p>
      <w:pPr>
        <w:ind w:firstLine="422"/>
        <w:jc w:val="both"/>
        <w:spacing w:line="400" w:lineRule="exact"/>
        <w:tabs>
          <w:tab w:val="left" w:pos="540" w:leader="none"/>
        </w:tabs>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8.安全生产与文明施工要求：中标人应当遵守《中华人民共和国安全生产法》《建设工程安全生产管理条例》等规定，落实安全生产主体责任，制定安全施工方案和应急预案；因中标人原因造成安全生产事故或者第三方损害的，由中标人承担全部责任。中标人应当依法用工，不得拖欠劳动者工资（《保障农民工工资支付条例》）。</w:t>
      </w:r>
      <w:r/>
    </w:p>
    <w:p>
      <w:pPr>
        <w:ind w:left="105" w:firstLine="316"/>
        <w:spacing w:line="360" w:lineRule="auto"/>
        <w:rPr>
          <w:rFonts w:hint="eastAsia" w:ascii="宋体" w:hAnsi="宋体" w:eastAsia="宋体" w:cs="宋体"/>
          <w:b/>
          <w:color w:val="auto"/>
          <w:highlight w:val="none"/>
          <w:u w:val="single"/>
        </w:rPr>
      </w:pPr>
      <w:r>
        <w:rPr>
          <w:rFonts w:hint="eastAsia" w:ascii="宋体" w:hAnsi="宋体" w:eastAsia="宋体" w:cs="宋体"/>
          <w:b/>
          <w:color w:val="auto"/>
          <w:highlight w:val="none"/>
          <w:u w:val="single"/>
        </w:rPr>
      </w:r>
      <w:r/>
    </w:p>
    <w:p>
      <w:pPr>
        <w:ind w:firstLine="422"/>
        <w:spacing w:line="400" w:lineRule="exact"/>
        <w:tabs>
          <w:tab w:val="left" w:pos="54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（三）其他要求：</w:t>
      </w:r>
      <w:r/>
    </w:p>
    <w:p>
      <w:pPr>
        <w:ind w:firstLine="420"/>
        <w:spacing w:line="440" w:lineRule="exact"/>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1、若中标人在合同履行期间，违反下列规定将被解除合同：</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（1）严禁将合同项目转包他人。</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（2）未按照国家劳动法规定聘用服务人员。</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（3）中标人必须依法用工，拖欠工资引起讨薪事件或对项目正常运行造成严重影响的。</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（4）在服务期间出现重大安全生产事故。</w:t>
      </w:r>
      <w:r/>
    </w:p>
    <w:p>
      <w:pPr>
        <w:ind w:firstLine="420"/>
        <w:spacing w:line="44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2、其他技术要求：</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运维巡检服务：定期开展软硬件系统远程运维巡检，包含系统运行状态，有无故障报警，使用状况，主动汇报并协调解决软件故障。</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数据服务：投标人应具备数据安全管理及分析能力，结合系统运维过程采集数据对该系统运行状态进行深度分析，如有需要可按采购单位要求提供分析报告。</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网络安全服务：投标人应对项目实施过程中复杂的网络故障问题进行调查处理，处置和处理问题和难题，提供良好的用户支持和服务。</w:t>
      </w:r>
      <w:r/>
    </w:p>
    <w:p>
      <w:pPr>
        <w:ind w:firstLine="420"/>
        <w:spacing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）安全保障服务：投标人应具备系统平台数据安全管理及保障能力，对本项目所涉及系统平台数据安全提供系统性解决方案和保障服务。</w:t>
      </w:r>
      <w:r/>
    </w:p>
    <w:p>
      <w:pPr>
        <w:ind w:firstLine="420"/>
        <w:spacing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）系统分析服务</w:t>
      </w:r>
      <w:r>
        <w:rPr>
          <w:rFonts w:hint="eastAsia" w:ascii="宋体" w:hAnsi="宋体" w:cs="宋体"/>
          <w:color w:val="auto"/>
          <w:highlight w:val="none"/>
          <w:lang w:eastAsia="zh-CN"/>
        </w:rPr>
        <w:t xml:space="preserve">：</w:t>
      </w:r>
      <w:r>
        <w:rPr>
          <w:rFonts w:hint="eastAsia" w:ascii="宋体" w:hAnsi="宋体" w:eastAsia="宋体" w:cs="宋体"/>
          <w:color w:val="auto"/>
          <w:highlight w:val="none"/>
          <w:lang w:eastAsia="zh-CN"/>
        </w:rPr>
        <w:t xml:space="preserve">投标人应具备系统分析能力，结本项目中视频监控系统、防盗报警系统、巡更系统、门禁一卡通系统、停车场管理系统、电梯五方通话系统、综合管路系统等多系统，需要确保系统的质量和稳定性。</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人工智能算法应用与调试服务：本项目语音增强处理器、会议话筒处理器、智能照明控制系统、可视门禁等设备内置人工智能算法（语音降噪、自动增益、自适应声场、人脸识别等）。投标人应当：1）在投标文件中说明所投产品所用算法的类型、应用场景及可调参数</w:t>
      </w:r>
      <w:r>
        <w:rPr>
          <w:rFonts w:hint="eastAsia" w:ascii="宋体" w:hAnsi="宋体" w:eastAsia="宋体" w:cs="宋体"/>
          <w:color w:val="auto"/>
          <w:highlight w:val="none"/>
          <w:lang w:val="en-US" w:eastAsia="zh-CN"/>
        </w:rPr>
        <w:t xml:space="preserve">范围；2）在项目实施阶段配合采购人完成算法参数的现场调试与优化，包括降噪等级、增益阈值、识别阈值等，并提交调试记录；3）质保期内每半年提交一次算法运行效果评估报告，内容包括识别准确率、误报率、降噪效果等，累计不少于4次；4）建立算法应用的数据安全与合规管理措施，包括算法参数及配置的变更留痕、算法运行异常的处置流程；涉及医疗业务数据处理的，应当符合《数据安全法》《个人信息保护法》以及医院信息安全管理制度的要求。本条不含人工智能模型训练、算法开发或者数据集标注等开发类服务，相关能力以所投产品内置的既有算法为限。</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val="en-US" w:eastAsia="zh-CN"/>
        </w:rPr>
        <w:t xml:space="preserve">）能耗监测管理服务</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eastAsia="zh-CN"/>
        </w:rPr>
        <w:t xml:space="preserve">投标人应</w:t>
      </w:r>
      <w:r>
        <w:rPr>
          <w:rFonts w:hint="eastAsia" w:ascii="宋体" w:hAnsi="宋体" w:eastAsia="宋体" w:cs="宋体"/>
          <w:color w:val="auto"/>
          <w:highlight w:val="none"/>
          <w:lang w:val="en-US" w:eastAsia="zh-CN"/>
        </w:rPr>
        <w:t xml:space="preserve">具备能耗监测管理服务，结合本项目中的产品内容配合采购人开展分项计量、采集通讯与平台对接专业知识，包括统筹现场施工、多方协调、安全质量管控，解决软硬件联调难题，保障系统稳定采集数据并完成监管平台接入与验收交付。</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（8）本项目具备一定的技术要求</w:t>
      </w:r>
      <w:r>
        <w:rPr>
          <w:rFonts w:hint="eastAsia" w:ascii="宋体" w:hAnsi="宋体" w:eastAsia="宋体" w:cs="宋体"/>
          <w:color w:val="auto"/>
          <w:highlight w:val="none"/>
          <w:lang w:eastAsia="zh-CN"/>
        </w:rPr>
        <w:t xml:space="preserve">，为能保证在规定时间内完成项目建设及质保期内所有设备的正常运行，投标人应针对本项目配备实施团队，具体要求如下：配备项目负责人（项目经理）1名，负责统筹项目整体实施；配备实施负责人1名，负责统筹项目实施管理方面的相关工作；配备技术负责人1名，负责统筹把关软硬件及项目实施的技术方向；配备信息安全负责人1名，负责项目数据安全、网络安全与保密管理。上述四类人员不得相互兼任。项目负责人、技术负责人、信息安全负责人的资格条件及评分办法见第四章评审办法；实施负责人为履约要求，不作为评审因素，中标人应当按投标文件承诺配备。</w:t>
      </w:r>
      <w:r/>
    </w:p>
    <w:p>
      <w:pPr>
        <w:ind w:firstLine="420"/>
        <w:jc w:val="left"/>
        <w:spacing w:line="400" w:lineRule="exact"/>
        <w:shd w:val="clear" w:color="auto" w:fill="ffffff"/>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六、涉及招标文件的补充说明和修改，均以江苏政府采购网（省级以上财政部门指定的政府采购信息发布媒体）上发布的通知为准；中国招标投标公共服务平台同步发布，但不作为政府采购信息发布的法定媒体。</w:t>
      </w:r>
      <w:r/>
    </w:p>
    <w:p>
      <w:pPr>
        <w:ind w:left="1533" w:firstLine="1260"/>
        <w:jc w:val="left"/>
        <w:spacing w:line="360" w:lineRule="auto"/>
        <w:rPr>
          <w:rFonts w:hint="eastAsia" w:ascii="宋体" w:hAnsi="宋体" w:eastAsia="宋体" w:cs="宋体"/>
          <w:b/>
          <w:color w:val="auto"/>
          <w:sz w:val="32"/>
          <w:highlight w:val="none"/>
        </w:rPr>
        <w:outlineLvl w:val="0"/>
      </w:pPr>
      <w:r>
        <w:rPr>
          <w:rFonts w:hint="eastAsia" w:ascii="宋体" w:hAnsi="宋体" w:eastAsia="宋体" w:cs="宋体"/>
          <w:color w:val="auto"/>
          <w:szCs w:val="21"/>
          <w:highlight w:val="none"/>
        </w:rPr>
        <w:br w:type="page" w:clear="all"/>
      </w:r>
      <w:bookmarkStart w:id="4" w:name="_Toc32329"/>
      <w:r>
        <w:rPr>
          <w:rFonts w:hint="eastAsia" w:ascii="宋体" w:hAnsi="宋体" w:eastAsia="宋体" w:cs="宋体"/>
          <w:b/>
          <w:color w:val="auto"/>
          <w:sz w:val="32"/>
          <w:highlight w:val="none"/>
        </w:rPr>
        <w:t xml:space="preserve">第四章 评审办法及评分标准</w:t>
      </w:r>
      <w:bookmarkEnd w:id="4"/>
      <w:r/>
      <w:r/>
    </w:p>
    <w:p>
      <w:pPr>
        <w:pStyle w:val="918"/>
        <w:ind w:firstLine="422"/>
        <w:spacing w:line="360" w:lineRule="auto"/>
        <w:rPr>
          <w:rFonts w:hint="eastAsia" w:ascii="宋体" w:hAnsi="宋体" w:eastAsia="宋体" w:cs="宋体"/>
          <w:b/>
          <w:color w:val="auto"/>
          <w:sz w:val="21"/>
          <w:szCs w:val="21"/>
          <w:highlight w:val="none"/>
        </w:rPr>
      </w:pPr>
      <w:r/>
      <w:bookmarkStart w:id="5" w:name="_Toc521"/>
      <w:r/>
      <w:bookmarkStart w:id="6" w:name="_Toc9123"/>
      <w:r>
        <w:rPr>
          <w:rFonts w:hint="eastAsia" w:ascii="宋体" w:hAnsi="宋体" w:eastAsia="宋体" w:cs="宋体"/>
          <w:b/>
          <w:color w:val="auto"/>
          <w:sz w:val="21"/>
          <w:szCs w:val="21"/>
          <w:highlight w:val="none"/>
        </w:rPr>
        <w:t xml:space="preserve">一、评标方法：</w:t>
      </w:r>
      <w:bookmarkEnd w:id="5"/>
      <w:r/>
      <w:bookmarkEnd w:id="6"/>
      <w:r/>
      <w:r/>
    </w:p>
    <w:p>
      <w:pPr>
        <w:pStyle w:val="9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9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2、综合评分的主要因素为：价格、产品质量、售后服务、履约能力等对招标文件的响应程度，以及相应的商务标和技术标比重或者分值等。</w:t>
      </w:r>
      <w:r/>
    </w:p>
    <w:p>
      <w:pPr>
        <w:pStyle w:val="9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为非单一产品采购项目，核心产品为医护管理平台、半球式摄像机。提供相同品牌核心产品且通过资格审查、符合性审查的不同投标人参加同一合同项下投标的，按一家投标人计算，评审后得分最高的同品牌投标人获得中标人推荐资格；评审得分相同的，由报价较低的投标人获得中标人推荐资格，报价也相同的，采取随机抽取方式确定，其他同品牌投标人不作为中标候选人（《政府采购货物和服务招标投标管理办法》第三十一条）。</w:t>
      </w:r>
      <w:r/>
    </w:p>
    <w:p>
      <w:pPr>
        <w:pStyle w:val="9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4、评标时，评标委员会对每个有效投标人的投标文件进行评分，对评委的评分进行统计汇总，按算术平均方法计算出每个投标人的评审得分。（保留小数点后2位）</w:t>
      </w:r>
      <w:r/>
    </w:p>
    <w:p>
      <w:pPr>
        <w:pStyle w:val="918"/>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结果按评审后得分由高到低顺序排列。得分相同的，按投标报价由低到高顺序排列。得分且投标报价相同的并列，由采购人或者采购人委托评标委员会按照招标文件规定的方式确定中标人，招标文件未规定的采取随机抽取方式确定（《政府采购货物和服务招标投标管理办法》第五十七条、第六十八条）。</w:t>
      </w:r>
      <w:r/>
    </w:p>
    <w:p>
      <w:pPr>
        <w:ind w:firstLine="422"/>
        <w:spacing w:line="360" w:lineRule="auto"/>
        <w:tabs>
          <w:tab w:val="left" w:pos="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二、综合评分标准：</w:t>
      </w:r>
      <w:r/>
    </w:p>
    <w:p>
      <w:pPr>
        <w:ind w:firstLine="422"/>
        <w:spacing w:line="360" w:lineRule="auto"/>
        <w:tabs>
          <w:tab w:val="left" w:pos="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（一）报价评分（30分）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第一步：投标总报价低于或者等于采购预算（最高限价）的，为有效投标报价。超过采购预算（最高限价）的投标报价为无效投标，不参与评审。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第二步：以满足招标文件要求且投标价格最低的投标有效报价为评标基准价，其价格分为满分，即30分。其他报价得分统一按照下列公式计算（计算结果四舍五入，保留两位小数）：</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投标报价得分=（评标基准价/有效投标报价）×价格权值×100（价格权值为30%）。</w:t>
      </w:r>
      <w:r/>
    </w:p>
    <w:p>
      <w:pPr>
        <w:ind w:firstLine="422"/>
        <w:jc w:val="both"/>
        <w:spacing w:line="400" w:lineRule="exac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说明（价格扣除）：本项目为依据《政府采购促进中小企业发展管理办法》（财库〔2020〕46号）第六条不预留份额的采购项目。对符合条件的小型、微型企业（含视同小微企业的监狱企业、残疾人福利性单位），分别给予10%、4%的价</w:t>
      </w:r>
      <w:r>
        <w:rPr>
          <w:rFonts w:hint="eastAsia" w:ascii="宋体" w:hAnsi="宋体" w:eastAsia="宋体" w:cs="宋体"/>
          <w:color w:val="auto"/>
          <w:szCs w:val="21"/>
          <w:highlight w:val="none"/>
        </w:rPr>
        <w:t xml:space="preserve">格扣除（小微企业的扣除比例为10%，小微企业分包份额占合同总金额30%以上的扣除比例为4%），以扣除后的价格作为评审价格，参与评标基准价和投标报价得分的计算（财库〔2020〕46号第九条、《关于进一步加大政府采购支持中小企业力度的通知》财库〔2022〕19号）。价格扣除比例对小型企业和微型企业同等对待，不作区分。未提供《中小企业声明函》或者声明函内容不符合要求的，不享受价格扣除；声明函内容不实的，依照《中华人民共和国政府采购法》第七十七条“提供虚假材料谋取中标、成交”处理（财库〔2020〕46号第二十条）。</w:t>
      </w:r>
      <w:r/>
    </w:p>
    <w:p>
      <w:pPr>
        <w:pStyle w:val="914"/>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根据《关于推动解决政府采购异常低价问题相关工作的通知》（苏财购〔2025〕62号）文件规定，评标委员会认为供应商的报价明显低于其他通过符合性审查供应商的报价，有可能影响产品质量或者不能诚信履约的，应当要求其在系统要求的时间内提供项目具体成本测算等与报价合理性相关的书面说明及相关证明材料，对投标（响应）价格作出解释；供应商不提供书面说明、证明材料，或者提供的书面说明、证明材料不能证明其报价合理性的，评标委员会应当将其作为无效投标（响应）处理。</w:t>
      </w:r>
      <w:r/>
    </w:p>
    <w:p>
      <w:pPr>
        <w:pStyle w:val="914"/>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评审过程中出现下列情形之一的，评标委员会应当启动异常低价投标（响应）审查程序：</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3.投标（响应）报价低于采购项目最高限价45%的，即投标（响应）报价&lt;采购项目最高限价×45%；</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color w:val="auto"/>
          <w:sz w:val="21"/>
          <w:szCs w:val="21"/>
          <w:highlight w:val="none"/>
        </w:rPr>
        <w:t xml:space="preserve">4.评审委员会基于专业判断，认为供应商报价过低，有可能影响产品质量或者不能诚信履约的其他情形。</w:t>
      </w:r>
      <w:r>
        <w:rPr>
          <w:rFonts w:hint="eastAsia" w:ascii="宋体" w:hAnsi="宋体" w:eastAsia="宋体" w:cs="宋体"/>
          <w:b/>
          <w:bCs/>
          <w:color w:val="auto"/>
          <w:szCs w:val="21"/>
          <w:highlight w:val="none"/>
        </w:rPr>
        <w:t xml:space="preserve">（二）投标产品技术质量（包括产品技术参数、产品性能等）情况（</w:t>
      </w:r>
      <w:r>
        <w:rPr>
          <w:rFonts w:hint="eastAsia" w:ascii="宋体" w:hAnsi="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1、评委根据投标人投标产品技术参数、产品性能及对招标文件要求的满足程度评比进行评定打分，符合或高于招标文件的要求的得</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分，带“</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”号的技术指标有负偏离的每项扣</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分，其余技术指标</w:t>
      </w:r>
      <w:r>
        <w:rPr>
          <w:rFonts w:hint="eastAsia" w:ascii="宋体" w:hAnsi="宋体" w:cs="宋体"/>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除</w:t>
      </w:r>
      <w:r>
        <w:rPr>
          <w:rFonts w:hint="eastAsia" w:ascii="宋体" w:hAnsi="宋体" w:eastAsia="宋体" w:cs="宋体"/>
          <w:b w:val="0"/>
          <w:bCs/>
          <w:color w:val="auto"/>
          <w:szCs w:val="21"/>
          <w:highlight w:val="none"/>
        </w:rPr>
        <w:t xml:space="preserve">带“▲”</w:t>
      </w:r>
      <w:r>
        <w:rPr>
          <w:rFonts w:hint="eastAsia" w:ascii="宋体" w:hAnsi="宋体" w:eastAsia="宋体" w:cs="宋体"/>
          <w:b w:val="0"/>
          <w:bCs/>
          <w:color w:val="auto"/>
          <w:szCs w:val="21"/>
          <w:highlight w:val="none"/>
        </w:rPr>
        <w:t xml:space="preserve">号</w:t>
      </w:r>
      <w:r>
        <w:rPr>
          <w:rFonts w:hint="eastAsia" w:ascii="宋体" w:hAnsi="宋体" w:cs="宋体"/>
          <w:b w:val="0"/>
          <w:bCs/>
          <w:color w:val="auto"/>
          <w:szCs w:val="21"/>
          <w:highlight w:val="none"/>
          <w:lang w:val="en-US" w:eastAsia="zh-CN"/>
        </w:rPr>
        <w:t xml:space="preserve">的</w:t>
      </w:r>
      <w:r>
        <w:rPr>
          <w:rFonts w:hint="eastAsia" w:ascii="宋体" w:hAnsi="宋体" w:eastAsia="宋体" w:cs="宋体"/>
          <w:b w:val="0"/>
          <w:bCs/>
          <w:color w:val="auto"/>
          <w:szCs w:val="21"/>
          <w:highlight w:val="none"/>
        </w:rPr>
        <w:t xml:space="preserve">技术指标</w:t>
      </w:r>
      <w:r>
        <w:rPr>
          <w:rFonts w:hint="eastAsia" w:ascii="宋体" w:hAnsi="宋体" w:cs="宋体"/>
          <w:b w:val="0"/>
          <w:bCs/>
          <w:color w:val="auto"/>
          <w:szCs w:val="21"/>
          <w:highlight w:val="none"/>
          <w:lang w:val="en-US" w:eastAsia="zh-CN"/>
        </w:rPr>
        <w:t xml:space="preserve">外</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有负</w:t>
      </w:r>
      <w:r>
        <w:rPr>
          <w:rFonts w:hint="eastAsia" w:ascii="宋体" w:hAnsi="宋体" w:eastAsia="宋体" w:cs="宋体"/>
          <w:b w:val="0"/>
          <w:bCs/>
          <w:color w:val="auto"/>
          <w:szCs w:val="21"/>
          <w:highlight w:val="none"/>
        </w:rPr>
        <w:t xml:space="preserve">偏离的每项扣</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分，扣完为止。（其中标注“</w:t>
      </w:r>
      <w:r>
        <w:rPr>
          <w:rFonts w:hint="eastAsia" w:ascii="宋体" w:hAnsi="宋体" w:eastAsia="宋体" w:cs="宋体"/>
          <w:color w:val="auto"/>
          <w:sz w:val="20"/>
          <w:szCs w:val="20"/>
          <w:highlight w:val="none"/>
        </w:rPr>
        <w:t xml:space="preserve">■</w:t>
      </w:r>
      <w:r>
        <w:rPr>
          <w:rFonts w:hint="eastAsia" w:ascii="宋体" w:hAnsi="宋体" w:eastAsia="宋体" w:cs="宋体"/>
          <w:b w:val="0"/>
          <w:bCs/>
          <w:color w:val="auto"/>
          <w:szCs w:val="21"/>
          <w:highlight w:val="none"/>
        </w:rPr>
        <w:t xml:space="preserve">”的参数需提供CNAS或CMA认证的权威第三方机构检</w:t>
      </w:r>
      <w:r>
        <w:rPr>
          <w:rFonts w:hint="eastAsia" w:ascii="宋体" w:hAnsi="宋体" w:cs="宋体"/>
          <w:b w:val="0"/>
          <w:bCs/>
          <w:color w:val="auto"/>
          <w:szCs w:val="21"/>
          <w:highlight w:val="none"/>
          <w:lang w:val="en-US" w:eastAsia="zh-CN"/>
        </w:rPr>
        <w:t xml:space="preserve">出具的完整</w:t>
      </w:r>
      <w:r>
        <w:rPr>
          <w:rFonts w:hint="eastAsia" w:ascii="宋体" w:hAnsi="宋体" w:eastAsia="宋体" w:cs="宋体"/>
          <w:b w:val="0"/>
          <w:bCs w:val="0"/>
          <w:color w:val="auto"/>
          <w:szCs w:val="21"/>
          <w:highlight w:val="none"/>
        </w:rPr>
        <w:t xml:space="preserve">检</w:t>
      </w:r>
      <w:r>
        <w:rPr>
          <w:rFonts w:hint="eastAsia" w:ascii="宋体" w:hAnsi="宋体" w:eastAsia="宋体" w:cs="宋体"/>
          <w:b w:val="0"/>
          <w:bCs/>
          <w:color w:val="auto"/>
          <w:szCs w:val="21"/>
          <w:highlight w:val="none"/>
        </w:rPr>
        <w:t xml:space="preserve">测报告扫描件并加盖</w:t>
      </w:r>
      <w:r>
        <w:rPr>
          <w:rFonts w:hint="eastAsia" w:ascii="宋体" w:hAnsi="宋体" w:cs="宋体"/>
          <w:b w:val="0"/>
          <w:bCs/>
          <w:color w:val="auto"/>
          <w:szCs w:val="21"/>
          <w:highlight w:val="none"/>
          <w:lang w:val="en-US" w:eastAsia="zh-CN"/>
        </w:rPr>
        <w:t xml:space="preserve">投标单位</w:t>
      </w:r>
      <w:r>
        <w:rPr>
          <w:rFonts w:hint="eastAsia" w:ascii="宋体" w:hAnsi="宋体" w:eastAsia="宋体" w:cs="宋体"/>
          <w:b w:val="0"/>
          <w:bCs/>
          <w:color w:val="auto"/>
          <w:szCs w:val="21"/>
          <w:highlight w:val="none"/>
        </w:rPr>
        <w:t xml:space="preserve">公章，</w:t>
      </w:r>
      <w:r>
        <w:rPr>
          <w:rFonts w:hint="eastAsia" w:ascii="宋体" w:hAnsi="宋体" w:eastAsia="宋体" w:cs="宋体"/>
          <w:color w:val="auto"/>
          <w:szCs w:val="21"/>
          <w:highlight w:val="none"/>
        </w:rPr>
        <w:t xml:space="preserve">未提供上述检测报告，视为负偏离。）</w:t>
      </w:r>
      <w:r/>
    </w:p>
    <w:p>
      <w:pPr>
        <w:pStyle w:val="935"/>
        <w:rPr>
          <w:rFonts w:hint="eastAsia"/>
          <w:color w:val="auto"/>
          <w:highlight w:val="none"/>
        </w:rPr>
      </w:pPr>
      <w:r>
        <w:rPr>
          <w:rFonts w:hint="eastAsia"/>
          <w:color w:val="auto"/>
          <w:highlight w:val="none"/>
        </w:rPr>
      </w:r>
      <w:r/>
    </w:p>
    <w:p>
      <w:pPr>
        <w:pStyle w:val="935"/>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（三）带“▲”标注投标产品质量、先进性、可靠性等比较（</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（1）所投 内网核心交换机（</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支持TAP功能，支持TAP基于同源同宿功能，支持TAP基于报文截断功能，支持TAP基于源端口标识功能；</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支持跨设备链路聚合，支持网络安全协防功能，支持将IP和端口扫描流量重定向给网络安全智能系统进行诱捕，与网络安全智能系统联动实施反制措施，以实现网络安全协防；</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支持丢包查询功能，支持软件安全可信计算，支持系统通过对代码的数字签名来标识软件来源，通过两层签名机制防止软件被篡改，提高系统软件的安全可信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上述3条参数</w:t>
      </w:r>
      <w:r>
        <w:rPr>
          <w:rFonts w:hint="eastAsia" w:ascii="宋体" w:hAnsi="宋体" w:eastAsia="宋体" w:cs="宋体"/>
          <w:bCs/>
          <w:color w:val="auto"/>
          <w:szCs w:val="21"/>
          <w:highlight w:val="none"/>
        </w:rPr>
        <w:t xml:space="preserve">有负</w:t>
      </w:r>
      <w:r>
        <w:rPr>
          <w:rFonts w:hint="eastAsia" w:ascii="宋体" w:hAnsi="宋体" w:eastAsia="宋体" w:cs="宋体"/>
          <w:b w:val="0"/>
          <w:bCs/>
          <w:color w:val="auto"/>
          <w:szCs w:val="21"/>
          <w:highlight w:val="none"/>
        </w:rPr>
        <w:t xml:space="preserve">偏离的每项扣</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rPr>
          <w:rFonts w:hint="eastAsia" w:ascii="宋体" w:hAnsi="宋体" w:cs="宋体"/>
          <w:b w:val="0"/>
          <w:bCs/>
          <w:color w:val="auto"/>
          <w:szCs w:val="21"/>
          <w:highlight w:val="none"/>
          <w:lang w:eastAsia="zh-CN"/>
        </w:rPr>
        <w:t xml:space="preserve">，</w:t>
      </w:r>
      <w:r>
        <w:rPr>
          <w:rFonts w:hint="eastAsia" w:ascii="宋体" w:hAnsi="宋体" w:eastAsia="宋体" w:cs="宋体"/>
          <w:color w:val="auto"/>
          <w:szCs w:val="21"/>
          <w:highlight w:val="none"/>
        </w:rPr>
        <w:t xml:space="preserve">本项最高</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b w:val="0"/>
          <w:bCs w:val="0"/>
          <w:color w:val="auto"/>
          <w:szCs w:val="21"/>
          <w:highlight w:val="none"/>
        </w:rPr>
        <w:t xml:space="preserve">（需提供CNAS或CMA认证的权威第三方机构</w:t>
      </w:r>
      <w:r>
        <w:rPr>
          <w:rFonts w:hint="eastAsia" w:ascii="宋体" w:hAnsi="宋体" w:cs="宋体"/>
          <w:b w:val="0"/>
          <w:bCs w:val="0"/>
          <w:color w:val="auto"/>
          <w:szCs w:val="21"/>
          <w:highlight w:val="none"/>
          <w:lang w:val="en-US" w:eastAsia="zh-CN"/>
        </w:rPr>
        <w:t xml:space="preserve">出具的完整的</w:t>
      </w:r>
      <w:r>
        <w:rPr>
          <w:rFonts w:hint="eastAsia" w:ascii="宋体" w:hAnsi="宋体" w:eastAsia="宋体" w:cs="宋体"/>
          <w:b w:val="0"/>
          <w:bCs w:val="0"/>
          <w:color w:val="auto"/>
          <w:szCs w:val="21"/>
          <w:highlight w:val="none"/>
        </w:rPr>
        <w:t xml:space="preserve">检测报告扫描件并加盖</w:t>
      </w:r>
      <w:r>
        <w:rPr>
          <w:rFonts w:hint="eastAsia" w:ascii="宋体" w:hAnsi="宋体" w:cs="宋体"/>
          <w:b w:val="0"/>
          <w:bCs/>
          <w:color w:val="auto"/>
          <w:szCs w:val="21"/>
          <w:highlight w:val="none"/>
          <w:lang w:val="en-US" w:eastAsia="zh-CN"/>
        </w:rPr>
        <w:t xml:space="preserve">投标单位</w:t>
      </w:r>
      <w:r>
        <w:rPr>
          <w:rFonts w:hint="eastAsia" w:ascii="宋体" w:hAnsi="宋体" w:eastAsia="宋体" w:cs="宋体"/>
          <w:b w:val="0"/>
          <w:bCs w:val="0"/>
          <w:color w:val="auto"/>
          <w:szCs w:val="21"/>
          <w:highlight w:val="none"/>
        </w:rPr>
        <w:t xml:space="preserve">公章）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（2）所投 内网OLT（</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支持二层特性VLAN+MAC转发</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SVLAN+CVLAN转发；支持DHCPv6中继功能，支持DHCP Relay功能，DHCP Relay报文处理速度需要在每秒1000个以上；</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主控和业务板都需支持ISSU，设备支持ISSU升级过程中ONU不下线，升级不断业务功能，支持802.1X认证、MAC地址认证、Portal认证；</w:t>
      </w:r>
      <w:r>
        <w:rPr>
          <w:rFonts w:hint="eastAsia" w:ascii="宋体" w:hAnsi="宋体" w:cs="宋体"/>
          <w:color w:val="auto"/>
          <w:szCs w:val="21"/>
          <w:highlight w:val="none"/>
          <w:lang w:val="en-US" w:eastAsia="zh-CN"/>
        </w:rPr>
        <w:t xml:space="preserve">上述2条参数</w:t>
      </w:r>
      <w:r>
        <w:rPr>
          <w:rFonts w:hint="eastAsia" w:ascii="宋体" w:hAnsi="宋体" w:eastAsia="宋体" w:cs="宋体"/>
          <w:bCs/>
          <w:color w:val="auto"/>
          <w:szCs w:val="21"/>
          <w:highlight w:val="none"/>
        </w:rPr>
        <w:t xml:space="preserve">有负</w:t>
      </w:r>
      <w:r>
        <w:rPr>
          <w:rFonts w:hint="eastAsia" w:ascii="宋体" w:hAnsi="宋体" w:eastAsia="宋体" w:cs="宋体"/>
          <w:b w:val="0"/>
          <w:bCs/>
          <w:color w:val="auto"/>
          <w:szCs w:val="21"/>
          <w:highlight w:val="none"/>
        </w:rPr>
        <w:t xml:space="preserve">偏离的每项扣</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rPr>
          <w:rFonts w:hint="eastAsia" w:ascii="宋体" w:hAnsi="宋体" w:cs="宋体"/>
          <w:b w:val="0"/>
          <w:bCs/>
          <w:color w:val="auto"/>
          <w:szCs w:val="21"/>
          <w:highlight w:val="none"/>
          <w:lang w:eastAsia="zh-CN"/>
        </w:rPr>
        <w:t xml:space="preserve">，</w:t>
      </w:r>
      <w:r>
        <w:rPr>
          <w:rFonts w:hint="eastAsia" w:ascii="宋体" w:hAnsi="宋体" w:eastAsia="宋体" w:cs="宋体"/>
          <w:color w:val="auto"/>
          <w:szCs w:val="21"/>
          <w:highlight w:val="none"/>
        </w:rPr>
        <w:t xml:space="preserve">本项最高</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b w:val="0"/>
          <w:bCs w:val="0"/>
          <w:color w:val="auto"/>
          <w:szCs w:val="21"/>
          <w:highlight w:val="none"/>
        </w:rPr>
        <w:t xml:space="preserve">（需提供CNAS或CMA认证的权威第三方机构</w:t>
      </w:r>
      <w:r>
        <w:rPr>
          <w:rFonts w:hint="eastAsia" w:ascii="宋体" w:hAnsi="宋体" w:cs="宋体"/>
          <w:b w:val="0"/>
          <w:bCs w:val="0"/>
          <w:color w:val="auto"/>
          <w:szCs w:val="21"/>
          <w:highlight w:val="none"/>
          <w:lang w:val="en-US" w:eastAsia="zh-CN"/>
        </w:rPr>
        <w:t xml:space="preserve">出具的完整的</w:t>
      </w:r>
      <w:r>
        <w:rPr>
          <w:rFonts w:hint="eastAsia" w:ascii="宋体" w:hAnsi="宋体" w:eastAsia="宋体" w:cs="宋体"/>
          <w:b w:val="0"/>
          <w:bCs w:val="0"/>
          <w:color w:val="auto"/>
          <w:szCs w:val="21"/>
          <w:highlight w:val="none"/>
        </w:rPr>
        <w:t xml:space="preserve">检测报告扫描件并加盖</w:t>
      </w:r>
      <w:r>
        <w:rPr>
          <w:rFonts w:hint="eastAsia" w:ascii="宋体" w:hAnsi="宋体" w:cs="宋体"/>
          <w:b w:val="0"/>
          <w:bCs/>
          <w:color w:val="auto"/>
          <w:szCs w:val="21"/>
          <w:highlight w:val="none"/>
          <w:lang w:val="en-US" w:eastAsia="zh-CN"/>
        </w:rPr>
        <w:t xml:space="preserve">投标单位</w:t>
      </w:r>
      <w:r>
        <w:rPr>
          <w:rFonts w:hint="eastAsia" w:ascii="宋体" w:hAnsi="宋体" w:eastAsia="宋体" w:cs="宋体"/>
          <w:b w:val="0"/>
          <w:bCs w:val="0"/>
          <w:color w:val="auto"/>
          <w:szCs w:val="21"/>
          <w:highlight w:val="none"/>
        </w:rPr>
        <w:t xml:space="preserve">公章）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（3）所投 内网无线控制器（</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支持访客接入Portal认证，支持无线用户下线原因追溯，支持信号覆盖黑洞检测；支持认证用户授权限速，支持终端画像的漫游调度、支持终端业务的漫游调度；</w:t>
      </w:r>
      <w:r>
        <w:rPr>
          <w:rFonts w:hint="eastAsia" w:ascii="宋体" w:hAnsi="宋体" w:cs="宋体"/>
          <w:color w:val="auto"/>
          <w:szCs w:val="21"/>
          <w:highlight w:val="none"/>
          <w:lang w:val="en-US" w:eastAsia="zh-CN"/>
        </w:rPr>
        <w:t xml:space="preserve">上述参数</w:t>
      </w:r>
      <w:r>
        <w:rPr>
          <w:rFonts w:hint="eastAsia" w:ascii="宋体" w:hAnsi="宋体" w:eastAsia="宋体" w:cs="宋体"/>
          <w:bCs/>
          <w:color w:val="auto"/>
          <w:szCs w:val="21"/>
          <w:highlight w:val="none"/>
        </w:rPr>
        <w:t xml:space="preserve">有负</w:t>
      </w:r>
      <w:r>
        <w:rPr>
          <w:rFonts w:hint="eastAsia" w:ascii="宋体" w:hAnsi="宋体" w:eastAsia="宋体" w:cs="宋体"/>
          <w:b w:val="0"/>
          <w:bCs/>
          <w:color w:val="auto"/>
          <w:szCs w:val="21"/>
          <w:highlight w:val="none"/>
        </w:rPr>
        <w:t xml:space="preserve">偏离的每项扣</w:t>
      </w:r>
      <w:r>
        <w:rPr>
          <w:rFonts w:hint="eastAsia" w:ascii="宋体" w:hAnsi="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分</w:t>
      </w:r>
      <w:r>
        <w:rPr>
          <w:rFonts w:hint="eastAsia" w:ascii="宋体" w:hAnsi="宋体" w:cs="宋体"/>
          <w:b w:val="0"/>
          <w:bCs/>
          <w:color w:val="auto"/>
          <w:szCs w:val="21"/>
          <w:highlight w:val="none"/>
          <w:lang w:eastAsia="zh-CN"/>
        </w:rPr>
        <w:t xml:space="preserve">，</w:t>
      </w:r>
      <w:r>
        <w:rPr>
          <w:rFonts w:hint="eastAsia" w:ascii="宋体" w:hAnsi="宋体" w:eastAsia="宋体" w:cs="宋体"/>
          <w:color w:val="auto"/>
          <w:szCs w:val="21"/>
          <w:highlight w:val="none"/>
        </w:rPr>
        <w:t xml:space="preserve">本项最高</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eastAsia="宋体" w:cs="宋体"/>
          <w:b w:val="0"/>
          <w:bCs w:val="0"/>
          <w:color w:val="auto"/>
          <w:szCs w:val="21"/>
          <w:highlight w:val="none"/>
        </w:rPr>
        <w:t xml:space="preserve">（需提供CNAS或CMA认证的权威第三方机构</w:t>
      </w:r>
      <w:r>
        <w:rPr>
          <w:rFonts w:hint="eastAsia" w:ascii="宋体" w:hAnsi="宋体" w:cs="宋体"/>
          <w:b w:val="0"/>
          <w:bCs w:val="0"/>
          <w:color w:val="auto"/>
          <w:szCs w:val="21"/>
          <w:highlight w:val="none"/>
          <w:lang w:val="en-US" w:eastAsia="zh-CN"/>
        </w:rPr>
        <w:t xml:space="preserve">出具的完整的</w:t>
      </w:r>
      <w:r>
        <w:rPr>
          <w:rFonts w:hint="eastAsia" w:ascii="宋体" w:hAnsi="宋体" w:eastAsia="宋体" w:cs="宋体"/>
          <w:b w:val="0"/>
          <w:bCs w:val="0"/>
          <w:color w:val="auto"/>
          <w:szCs w:val="21"/>
          <w:highlight w:val="none"/>
        </w:rPr>
        <w:t xml:space="preserve">检测报告扫描件并加盖</w:t>
      </w:r>
      <w:r>
        <w:rPr>
          <w:rFonts w:hint="eastAsia" w:ascii="宋体" w:hAnsi="宋体" w:cs="宋体"/>
          <w:b w:val="0"/>
          <w:bCs/>
          <w:color w:val="auto"/>
          <w:szCs w:val="21"/>
          <w:highlight w:val="none"/>
          <w:lang w:val="en-US" w:eastAsia="zh-CN"/>
        </w:rPr>
        <w:t xml:space="preserve">投标单位</w:t>
      </w:r>
      <w:r>
        <w:rPr>
          <w:rFonts w:hint="eastAsia" w:ascii="宋体" w:hAnsi="宋体" w:eastAsia="宋体" w:cs="宋体"/>
          <w:b w:val="0"/>
          <w:bCs w:val="0"/>
          <w:color w:val="auto"/>
          <w:szCs w:val="21"/>
          <w:highlight w:val="none"/>
        </w:rPr>
        <w:t xml:space="preserve">公章）</w:t>
      </w:r>
      <w:r/>
    </w:p>
    <w:p>
      <w:pPr>
        <w:pStyle w:val="935"/>
        <w:rPr>
          <w:rFonts w:hint="eastAsia"/>
          <w:color w:val="auto"/>
          <w:highlight w:val="none"/>
        </w:rPr>
      </w:pPr>
      <w:r>
        <w:rPr>
          <w:rFonts w:hint="eastAsia"/>
          <w:color w:val="auto"/>
          <w:highlight w:val="none"/>
        </w:rPr>
      </w:r>
      <w:r/>
    </w:p>
    <w:p>
      <w:pPr>
        <w:ind w:firstLine="422"/>
        <w:spacing w:line="360" w:lineRule="auto"/>
        <w:rPr>
          <w:rFonts w:hint="eastAsia" w:ascii="宋体" w:hAnsi="宋体" w:eastAsia="宋体" w:cs="宋体"/>
          <w:b/>
          <w:bCs/>
          <w:color w:val="auto"/>
          <w:szCs w:val="21"/>
          <w:highlight w:val="none"/>
        </w:rPr>
      </w:pPr>
      <w:r/>
      <w:bookmarkStart w:id="7" w:name="_Toc45883335"/>
      <w:r/>
      <w:bookmarkStart w:id="8" w:name="_Toc45368395"/>
      <w:r/>
      <w:bookmarkStart w:id="9" w:name="_Toc45895197"/>
      <w:r>
        <w:rPr>
          <w:rFonts w:hint="eastAsia" w:ascii="宋体" w:hAnsi="宋体" w:eastAsia="宋体" w:cs="宋体"/>
          <w:b/>
          <w:bCs/>
          <w:color w:val="auto"/>
          <w:szCs w:val="21"/>
          <w:highlight w:val="none"/>
        </w:rPr>
        <w:t xml:space="preserve">（四）项目方案比较（最高</w:t>
      </w:r>
      <w:r>
        <w:rPr>
          <w:rFonts w:hint="eastAsia" w:ascii="宋体" w:hAnsi="宋体" w:cs="宋体"/>
          <w:b/>
          <w:bCs/>
          <w:color w:val="auto"/>
          <w:szCs w:val="21"/>
          <w:highlight w:val="none"/>
          <w:lang w:val="en-US" w:eastAsia="zh-CN"/>
        </w:rPr>
        <w:t xml:space="preserve">45</w:t>
      </w:r>
      <w:r>
        <w:rPr>
          <w:rFonts w:hint="eastAsia" w:ascii="宋体" w:hAnsi="宋体" w:eastAsia="宋体" w:cs="宋体"/>
          <w:b/>
          <w:bCs/>
          <w:color w:val="auto"/>
          <w:szCs w:val="21"/>
          <w:highlight w:val="none"/>
        </w:rPr>
        <w:t xml:space="preserve">分）</w:t>
      </w:r>
      <w:bookmarkEnd w:id="7"/>
      <w:r/>
      <w:bookmarkEnd w:id="8"/>
      <w:r/>
      <w:bookmarkEnd w:id="9"/>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1、技术方案综合比较（</w:t>
      </w:r>
      <w:r>
        <w:rPr>
          <w:rFonts w:hint="eastAsia" w:ascii="宋体" w:hAnsi="宋体" w:cs="宋体"/>
          <w:b/>
          <w:color w:val="auto"/>
          <w:szCs w:val="21"/>
          <w:highlight w:val="none"/>
          <w:lang w:val="en-US" w:eastAsia="zh-CN"/>
        </w:rPr>
        <w:t xml:space="preserve">8</w:t>
      </w:r>
      <w:r>
        <w:rPr>
          <w:rFonts w:hint="eastAsia" w:ascii="宋体" w:hAnsi="宋体" w:eastAsia="宋体" w:cs="宋体"/>
          <w:b/>
          <w:color w:val="auto"/>
          <w:szCs w:val="21"/>
          <w:highlight w:val="none"/>
        </w:rPr>
        <w:t xml:space="preserve">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投标单位的整体技术方案比较：根据方案的需求分析、完整性、合理性综合评价。对本项目充分了解且方案内容全面完整详细、具有明确针对性、操作流程清晰明了的得</w:t>
      </w: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分；方案内容完整、针对性不突出、操作流程存在不明确的得5分；方案无实质性内容、针对性缺失、操作流程不具备可实施性的得2分；未提供不得分。</w:t>
      </w:r>
      <w:r/>
    </w:p>
    <w:p>
      <w:pPr>
        <w:ind w:firstLine="422"/>
        <w:spacing w:line="360" w:lineRule="auto"/>
        <w:rPr>
          <w:rFonts w:hint="eastAsia" w:ascii="宋体" w:hAnsi="宋体" w:eastAsia="宋体" w:cs="宋体"/>
          <w:b/>
          <w:color w:val="auto"/>
          <w:szCs w:val="21"/>
          <w:highlight w:val="none"/>
        </w:rPr>
      </w:pPr>
      <w:r/>
      <w:bookmarkStart w:id="10" w:name="_Toc30850"/>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rPr>
        <w:t xml:space="preserve">、供货、安装、调试、验收方案</w:t>
      </w:r>
      <w:bookmarkEnd w:id="10"/>
      <w:r>
        <w:rPr>
          <w:rFonts w:hint="eastAsia" w:ascii="宋体" w:hAnsi="宋体" w:eastAsia="宋体" w:cs="宋体"/>
          <w:b/>
          <w:color w:val="auto"/>
          <w:szCs w:val="21"/>
          <w:highlight w:val="none"/>
        </w:rPr>
        <w:t xml:space="preserve">（8分）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单位的供货、安装、验收方案比较：方案、流程的科学性、合理性、规范性和可操作性比较：方案详细完善，合理性可行性强，供货、安装方案最完整、验收方案最科学、最完善的得8分；方案较详细，合理性可行性较强，供货、安装方案较为完整、验收方案可行，能满足项目实施需要的得</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分；方案不太详细，合理性可行性一般，基本能满足项目实施需要的得2分；未提供不得分。</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、项目质量保证及安全保密措施（8分）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单位的项目质量保证及安全保密措施方案比较：针对本项目质量保障措施中的项目质量承诺、产品质量保障方案和安全保密措施等进行评审，相应措施完整、内容详实、优于采购需求且便于执行的得8分；措施比较完整、内容比较详实、比较能够满足采购需求的得</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分；措施完整性差、内容不详实、基本满足采购需求的得2分；未提供不得分。</w:t>
      </w:r>
      <w:r/>
    </w:p>
    <w:p>
      <w:pPr>
        <w:ind w:firstLine="480"/>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、售后服务方案（</w:t>
      </w:r>
      <w:r>
        <w:rPr>
          <w:rFonts w:hint="eastAsia" w:ascii="宋体" w:hAnsi="宋体" w:cs="宋体"/>
          <w:b/>
          <w:bCs/>
          <w:color w:val="auto"/>
          <w:szCs w:val="21"/>
          <w:highlight w:val="none"/>
          <w:lang w:val="en-US" w:eastAsia="zh-CN"/>
        </w:rPr>
        <w:t xml:space="preserve">7</w:t>
      </w:r>
      <w:r>
        <w:rPr>
          <w:rFonts w:hint="eastAsia" w:ascii="宋体" w:hAnsi="宋体" w:eastAsia="宋体" w:cs="宋体"/>
          <w:b/>
          <w:bCs/>
          <w:color w:val="auto"/>
          <w:szCs w:val="21"/>
          <w:highlight w:val="none"/>
        </w:rPr>
        <w:t xml:space="preserve">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投标单位的售后服务方案比较：根据售后服务体系、服务措施、机构设置、响应时间等综合评价。方案完整详细、服务安排合理高效、服务体系措施完善、机构设置健全的得</w:t>
      </w: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分；方案较详细、服务安排较合理、服务体系措施较完善、机构设置较健全的得</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分；方案一般、服务安排一般、服务体系措施一般、机构设置一般的得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分；未提供不得分。</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val="en-US" w:eastAsia="zh-CN"/>
        </w:rPr>
        <w:t xml:space="preserve">5</w:t>
      </w:r>
      <w:r>
        <w:rPr>
          <w:rFonts w:hint="eastAsia" w:ascii="宋体" w:hAnsi="宋体" w:eastAsia="宋体" w:cs="宋体"/>
          <w:b/>
          <w:color w:val="auto"/>
          <w:szCs w:val="21"/>
          <w:highlight w:val="none"/>
        </w:rPr>
        <w:t xml:space="preserve">、风险管理及应急保障方案（</w:t>
      </w:r>
      <w:r>
        <w:rPr>
          <w:rFonts w:hint="eastAsia" w:ascii="宋体" w:hAnsi="宋体" w:cs="宋体"/>
          <w:b/>
          <w:color w:val="auto"/>
          <w:szCs w:val="21"/>
          <w:highlight w:val="none"/>
          <w:lang w:val="en-US" w:eastAsia="zh-CN"/>
        </w:rPr>
        <w:t xml:space="preserve">7</w:t>
      </w:r>
      <w:r>
        <w:rPr>
          <w:rFonts w:hint="eastAsia" w:ascii="宋体" w:hAnsi="宋体" w:eastAsia="宋体" w:cs="宋体"/>
          <w:b/>
          <w:color w:val="auto"/>
          <w:szCs w:val="21"/>
          <w:highlight w:val="none"/>
        </w:rPr>
        <w:t xml:space="preserve">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投标单位的风险管理及应急保障方案比较：包括但不限于风险应对策略、风险分析工具、风险清单及措施、应急措施、应急演练等。方案完整度高、科学合理性强、专业性强、可行性强的得</w:t>
      </w: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分；方案完整度一般、科学合理性一般、专业性一般、可行性一般的得4分；方案完整度较差、科学合理性较差、专业性较差、可行性较差的得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分；未提供不得分。</w:t>
      </w:r>
      <w:r/>
    </w:p>
    <w:p>
      <w:pPr>
        <w:ind w:firstLine="422"/>
        <w:spacing w:line="360" w:lineRule="auto"/>
        <w:rPr>
          <w:rFonts w:hint="eastAsia" w:ascii="宋体" w:hAnsi="宋体" w:eastAsia="宋体" w:cs="宋体"/>
          <w:b/>
          <w:color w:val="auto"/>
          <w:szCs w:val="21"/>
          <w:highlight w:val="none"/>
        </w:rPr>
      </w:pPr>
      <w:r>
        <w:rPr>
          <w:rFonts w:hint="eastAsia" w:ascii="宋体" w:hAnsi="宋体" w:cs="宋体"/>
          <w:b/>
          <w:color w:val="auto"/>
          <w:szCs w:val="21"/>
          <w:highlight w:val="none"/>
          <w:lang w:val="en-US" w:eastAsia="zh-CN"/>
        </w:rPr>
        <w:t xml:space="preserve">6</w:t>
      </w:r>
      <w:r>
        <w:rPr>
          <w:rFonts w:hint="eastAsia" w:ascii="宋体" w:hAnsi="宋体" w:eastAsia="宋体" w:cs="宋体"/>
          <w:b/>
          <w:color w:val="auto"/>
          <w:szCs w:val="21"/>
          <w:highlight w:val="none"/>
        </w:rPr>
        <w:t xml:space="preserve">、安全生产方案（</w:t>
      </w:r>
      <w:r>
        <w:rPr>
          <w:rFonts w:hint="eastAsia" w:ascii="宋体" w:hAnsi="宋体" w:cs="宋体"/>
          <w:b/>
          <w:color w:val="auto"/>
          <w:szCs w:val="21"/>
          <w:highlight w:val="none"/>
          <w:lang w:val="en-US" w:eastAsia="zh-CN"/>
        </w:rPr>
        <w:t xml:space="preserve">7</w:t>
      </w:r>
      <w:r>
        <w:rPr>
          <w:rFonts w:hint="eastAsia" w:ascii="宋体" w:hAnsi="宋体" w:eastAsia="宋体" w:cs="宋体"/>
          <w:b/>
          <w:color w:val="auto"/>
          <w:szCs w:val="21"/>
          <w:highlight w:val="none"/>
        </w:rPr>
        <w:t xml:space="preserve">分）</w:t>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投标单位的</w:t>
      </w:r>
      <w:r>
        <w:rPr>
          <w:rFonts w:hint="eastAsia" w:ascii="宋体" w:hAnsi="宋体" w:eastAsia="宋体" w:cs="宋体"/>
          <w:bCs/>
          <w:color w:val="auto"/>
          <w:szCs w:val="21"/>
          <w:highlight w:val="none"/>
          <w:lang w:val="en-US" w:eastAsia="zh-CN"/>
        </w:rPr>
        <w:t xml:space="preserve">安全生产方案比较：包括但不限于安全防护措施、文明施工措施、内部管理措施等。方案完整度高、科学合理性强、专业性强、可行性强的得</w:t>
      </w: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lang w:val="en-US" w:eastAsia="zh-CN"/>
        </w:rPr>
        <w:t xml:space="preserve">分；方案完整度一般、科学合理性一般、专业性一般、可行性一般的得</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lang w:val="en-US" w:eastAsia="zh-CN"/>
        </w:rPr>
        <w:t xml:space="preserve">分；方案完整度较差、科学合理性较差、专业性较差、可行性较差的得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lang w:val="en-US" w:eastAsia="zh-CN"/>
        </w:rPr>
        <w:t xml:space="preserve">分；未提供不得分。</w:t>
      </w:r>
      <w:r/>
    </w:p>
    <w:p>
      <w:pPr>
        <w:pStyle w:val="911"/>
        <w:rPr>
          <w:rFonts w:hint="eastAsia"/>
          <w:color w:val="auto"/>
          <w:highlight w:val="none"/>
          <w:lang w:val="en-US" w:eastAsia="zh-CN"/>
        </w:rPr>
      </w:pPr>
      <w:r>
        <w:rPr>
          <w:rFonts w:hint="eastAsia"/>
          <w:color w:val="auto"/>
          <w:highlight w:val="none"/>
          <w:lang w:val="en-US" w:eastAsia="zh-CN"/>
        </w:rPr>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（五）针对本项目人员配置（1</w:t>
      </w:r>
      <w:r>
        <w:rPr>
          <w:rFonts w:hint="eastAsia" w:ascii="宋体" w:hAnsi="宋体" w:eastAsia="宋体" w:cs="宋体"/>
          <w:b/>
          <w:bCs/>
          <w:color w:val="auto"/>
          <w:szCs w:val="21"/>
          <w:highlight w:val="none"/>
          <w:lang w:val="en-US" w:eastAsia="zh-CN"/>
        </w:rPr>
        <w:t xml:space="preserve">0</w:t>
      </w:r>
      <w:r>
        <w:rPr>
          <w:rFonts w:hint="eastAsia" w:ascii="宋体" w:hAnsi="宋体" w:eastAsia="宋体" w:cs="宋体"/>
          <w:b/>
          <w:bCs/>
          <w:color w:val="auto"/>
          <w:szCs w:val="21"/>
          <w:highlight w:val="none"/>
        </w:rPr>
        <w:t xml:space="preserve">分）</w:t>
      </w:r>
      <w:r/>
    </w:p>
    <w:p>
      <w:pPr>
        <w:ind w:firstLine="422"/>
        <w:jc w:val="both"/>
        <w:spacing w:line="400" w:lineRule="exac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1、项目负责人（4分）：投标人拟派的项目负责人具备有效期内的信息系统项目管理师证书、系统架构设计师证书、系统分析师证书、IT服务工程师证书的，每提供一本得1分，本项最高4分。</w:t>
      </w:r>
      <w:r/>
    </w:p>
    <w:p>
      <w:pPr>
        <w:ind w:firstLine="422"/>
        <w:jc w:val="both"/>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此项限评一人，与本项目团队其他人员不可重复；投标文件中需提供相关证书扫描件、投标人为其缴纳的最近三个月社保证明并加盖投标人电子公章，依法不需要缴纳社会保障资金的人员可以提供劳动合同或者劳务合同及说明；缺失、不符或者不提供的，对应项不得分。）</w:t>
      </w:r>
      <w:r/>
    </w:p>
    <w:p>
      <w:pPr>
        <w:ind w:firstLine="422"/>
        <w:jc w:val="both"/>
        <w:spacing w:line="400" w:lineRule="exact"/>
        <w:rPr>
          <w:rFonts w:hint="eastAsia" w:ascii="宋体" w:hAnsi="宋体" w:eastAsia="宋体" w:cs="宋体"/>
          <w:bCs/>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技术负责人（3分）：投标人拟派的技术负责人具备有效期内的信息系统项目管理师证书、系统规划与管理师证书、注册信息安全专业人员（CISP）大类下注册信息安全工程师（CISE）方向证书、IT服务项目经理证书的，其中信息系统项目管理师证书、系统规划与管理师证书每提供一本得1分，注册信息安全工程师（CISE）方向证书、IT服务项目经理证书每提供一本得0.5分，本项最高3分。（此项限评一人，证明材料要求同本项第1</w:t>
      </w:r>
      <w:r>
        <w:rPr>
          <w:rFonts w:hint="eastAsia" w:ascii="宋体" w:hAnsi="宋体" w:cs="宋体"/>
          <w:color w:val="auto"/>
          <w:szCs w:val="21"/>
          <w:highlight w:val="none"/>
          <w:lang w:val="en-US" w:eastAsia="zh-CN"/>
        </w:rPr>
        <w:t xml:space="preserve">条</w:t>
      </w:r>
      <w:r>
        <w:rPr>
          <w:rFonts w:hint="eastAsia" w:ascii="宋体" w:hAnsi="宋体" w:eastAsia="宋体" w:cs="宋体"/>
          <w:color w:val="auto"/>
          <w:szCs w:val="21"/>
          <w:highlight w:val="none"/>
        </w:rPr>
        <w:t xml:space="preserve">。）</w:t>
      </w:r>
      <w:r/>
    </w:p>
    <w:p>
      <w:pPr>
        <w:ind w:firstLine="422"/>
        <w:jc w:val="both"/>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信息安全负责人（3分）：投标人拟派的信息安全负责人具备有效期内的信息系统管理工程师证书、数据安全评估师认证证书（CCRC-DSA）、网络通信安全管理员（高级）证书、IT运维工程师（高级）证书的，其中信息系统管理工程师证书、数据安全评估师认证证书（CCRC-DSA）每提供一本得1分，网络通信安全管理员（高级）证书、IT运维工程师（高级）证书每提供一本得0.5分，本项最高3分。（此项限评一人，证明材料要求同本项第1</w:t>
      </w:r>
      <w:r>
        <w:rPr>
          <w:rFonts w:hint="eastAsia" w:ascii="宋体" w:hAnsi="宋体" w:cs="宋体"/>
          <w:color w:val="auto"/>
          <w:szCs w:val="21"/>
          <w:highlight w:val="none"/>
          <w:lang w:val="en-US" w:eastAsia="zh-CN"/>
        </w:rPr>
        <w:t xml:space="preserve">条</w:t>
      </w:r>
      <w:r>
        <w:rPr>
          <w:rFonts w:hint="eastAsia" w:ascii="宋体" w:hAnsi="宋体" w:eastAsia="宋体" w:cs="宋体"/>
          <w:color w:val="auto"/>
          <w:szCs w:val="21"/>
          <w:highlight w:val="none"/>
        </w:rPr>
        <w:t xml:space="preserve">。）</w:t>
      </w:r>
      <w:r/>
    </w:p>
    <w:p>
      <w:pPr>
        <w:pStyle w:val="911"/>
        <w:rPr>
          <w:rFonts w:hint="eastAsia"/>
          <w:color w:val="auto"/>
          <w:highlight w:val="none"/>
        </w:rPr>
      </w:pPr>
      <w:r>
        <w:rPr>
          <w:rFonts w:hint="eastAsia"/>
          <w:color w:val="auto"/>
          <w:highlight w:val="none"/>
        </w:rPr>
      </w:r>
      <w:r/>
    </w:p>
    <w:p>
      <w:pPr>
        <w:spacing w:line="360" w:lineRule="auto"/>
        <w:rPr>
          <w:rFonts w:hint="eastAsia" w:ascii="宋体" w:hAnsi="宋体" w:eastAsia="宋体" w:cs="宋体"/>
          <w:b/>
          <w:bCs/>
          <w:color w:val="auto"/>
          <w:szCs w:val="21"/>
          <w:highlight w:val="none"/>
        </w:rPr>
      </w:pPr>
      <w:r>
        <w:rPr>
          <w:rFonts w:hint="default" w:ascii="宋体" w:hAnsi="宋体" w:cs="宋体"/>
          <w:b/>
          <w:bCs/>
          <w:color w:val="auto"/>
          <w:szCs w:val="21"/>
          <w:highlight w:val="none"/>
        </w:rPr>
        <w:t xml:space="preserve">    </w:t>
      </w:r>
      <w:r>
        <w:rPr>
          <w:rFonts w:hint="eastAsia" w:ascii="宋体" w:hAnsi="宋体" w:eastAsia="宋体" w:cs="宋体"/>
          <w:b/>
          <w:bCs/>
          <w:color w:val="auto"/>
          <w:szCs w:val="21"/>
          <w:highlight w:val="none"/>
        </w:rPr>
        <w:t xml:space="preserve">（</w:t>
      </w:r>
      <w:r>
        <w:rPr>
          <w:rFonts w:hint="default" w:ascii="宋体" w:hAnsi="宋体" w:cs="宋体"/>
          <w:b/>
          <w:bCs/>
          <w:color w:val="auto"/>
          <w:szCs w:val="21"/>
          <w:highlight w:val="none"/>
        </w:rPr>
        <w:t xml:space="preserve">六</w:t>
      </w:r>
      <w:r>
        <w:rPr>
          <w:rFonts w:hint="eastAsia" w:ascii="宋体" w:hAnsi="宋体" w:eastAsia="宋体" w:cs="宋体"/>
          <w:b/>
          <w:bCs/>
          <w:color w:val="auto"/>
          <w:szCs w:val="21"/>
          <w:highlight w:val="none"/>
        </w:rPr>
        <w:t xml:space="preserve">）投标人综合实力比较（</w:t>
      </w:r>
      <w:r>
        <w:rPr>
          <w:rFonts w:hint="eastAsia" w:ascii="宋体" w:hAnsi="宋体" w:cs="宋体"/>
          <w:b/>
          <w:bCs/>
          <w:color w:val="auto"/>
          <w:szCs w:val="21"/>
          <w:highlight w:val="none"/>
          <w:lang w:val="en-US" w:eastAsia="zh-CN"/>
        </w:rPr>
        <w:t xml:space="preserve">1</w:t>
      </w:r>
      <w:r>
        <w:rPr>
          <w:rFonts w:hint="eastAsia" w:ascii="宋体" w:hAnsi="宋体" w:eastAsia="宋体" w:cs="宋体"/>
          <w:b/>
          <w:bCs/>
          <w:color w:val="auto"/>
          <w:szCs w:val="21"/>
          <w:highlight w:val="none"/>
        </w:rPr>
        <w:t xml:space="preserve">分）</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投标单位具有有效期内ISO42001人工智能管理体系认证证书得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分，最高1分。（投标文件中提供认证证书扫描件并加盖投标人电子公章；未提供、提供材料不符合要求或者提供不全的，该项不得分。）</w:t>
      </w:r>
      <w:r/>
    </w:p>
    <w:p>
      <w:pPr>
        <w:pStyle w:val="935"/>
        <w:rPr>
          <w:rFonts w:hint="eastAsia"/>
          <w:color w:val="auto"/>
          <w:highlight w:val="none"/>
        </w:rPr>
      </w:pPr>
      <w:r>
        <w:rPr>
          <w:rFonts w:hint="eastAsia"/>
          <w:color w:val="auto"/>
          <w:highlight w:val="none"/>
        </w:rPr>
      </w:r>
      <w:r/>
    </w:p>
    <w:p>
      <w:pPr>
        <w:spacing w:line="360" w:lineRule="auto"/>
        <w:rPr>
          <w:rFonts w:hint="eastAsia" w:ascii="宋体" w:hAnsi="宋体" w:eastAsia="宋体" w:cs="宋体"/>
          <w:b/>
          <w:bCs/>
          <w:color w:val="auto"/>
          <w:szCs w:val="21"/>
          <w:highlight w:val="none"/>
        </w:rPr>
      </w:pPr>
      <w:r>
        <w:rPr>
          <w:rFonts w:hint="default" w:ascii="宋体" w:hAnsi="宋体" w:cs="宋体"/>
          <w:b/>
          <w:bCs/>
          <w:color w:val="auto"/>
          <w:szCs w:val="21"/>
          <w:highlight w:val="none"/>
        </w:rPr>
        <w:t xml:space="preserve">    </w:t>
      </w:r>
      <w:r>
        <w:rPr>
          <w:rFonts w:hint="eastAsia" w:ascii="宋体" w:hAnsi="宋体" w:eastAsia="宋体" w:cs="宋体"/>
          <w:b/>
          <w:bCs/>
          <w:color w:val="auto"/>
          <w:szCs w:val="21"/>
          <w:highlight w:val="none"/>
        </w:rPr>
        <w:t xml:space="preserve">（</w:t>
      </w:r>
      <w:r>
        <w:rPr>
          <w:rFonts w:hint="default" w:ascii="宋体" w:hAnsi="宋体" w:cs="宋体"/>
          <w:b/>
          <w:bCs/>
          <w:color w:val="auto"/>
          <w:szCs w:val="21"/>
          <w:highlight w:val="none"/>
        </w:rPr>
        <w:t xml:space="preserve">七</w:t>
      </w:r>
      <w:r>
        <w:rPr>
          <w:rFonts w:hint="eastAsia" w:ascii="宋体" w:hAnsi="宋体" w:eastAsia="宋体" w:cs="宋体"/>
          <w:b/>
          <w:bCs/>
          <w:color w:val="auto"/>
          <w:szCs w:val="21"/>
          <w:highlight w:val="none"/>
        </w:rPr>
        <w:t xml:space="preserve">）类</w:t>
      </w:r>
      <w:r>
        <w:rPr>
          <w:rFonts w:hint="eastAsia" w:ascii="宋体" w:hAnsi="宋体" w:eastAsia="宋体" w:cs="宋体"/>
          <w:b/>
          <w:bCs/>
          <w:color w:val="auto"/>
          <w:szCs w:val="21"/>
          <w:highlight w:val="none"/>
        </w:rPr>
        <w:t xml:space="preserve">似业绩比较（</w:t>
      </w:r>
      <w:r>
        <w:rPr>
          <w:rFonts w:hint="eastAsia" w:ascii="宋体" w:hAnsi="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分）</w:t>
      </w:r>
      <w:r/>
    </w:p>
    <w:p>
      <w:pPr>
        <w:pStyle w:val="935"/>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投标单位自2023年10月1日</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具体以合同签订时间为准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具有相关项目类似业绩的，</w:t>
      </w:r>
      <w:r>
        <w:rPr>
          <w:rFonts w:hint="eastAsia" w:ascii="宋体" w:hAnsi="宋体" w:eastAsia="宋体" w:cs="宋体"/>
          <w:color w:val="auto"/>
          <w:szCs w:val="21"/>
          <w:highlight w:val="none"/>
        </w:rPr>
        <w:t xml:space="preserve">每提供一份得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分，最高</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rPr>
        <w:t xml:space="preserve">（投标文件中须提供合同关键页（含合同金额、标的、签字盖章页）以及验收证明（验收报告或者用户证明）扫描件，中标（成交）通知书、结算资料等材料可以作为补充证明。未提供或者提供材料不能证明上述内容的，不得分。）</w:t>
      </w:r>
      <w:r/>
    </w:p>
    <w:p>
      <w:pPr>
        <w:pStyle w:val="911"/>
        <w:rPr>
          <w:rFonts w:hint="eastAsia"/>
          <w:color w:val="auto"/>
          <w:highlight w:val="none"/>
        </w:rPr>
      </w:pPr>
      <w:r>
        <w:rPr>
          <w:rFonts w:hint="eastAsia"/>
          <w:color w:val="auto"/>
          <w:highlight w:val="none"/>
        </w:rPr>
      </w:r>
      <w:r/>
    </w:p>
    <w:p>
      <w:pPr>
        <w:ind w:firstLine="420"/>
        <w:spacing w:line="360" w:lineRule="auto"/>
        <w:tabs>
          <w:tab w:val="left" w:pos="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w:t>
      </w:r>
      <w:r/>
    </w:p>
    <w:p>
      <w:pPr>
        <w:ind w:firstLine="420"/>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1、投标报价超过采购预算或最高限价的将不进入综合评审程序，也不得中标。</w:t>
      </w:r>
      <w:r/>
    </w:p>
    <w:p>
      <w:pPr>
        <w:ind w:firstLine="420"/>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2、付款步骤、交货期限、质保期如有负偏离的为无效投标。</w:t>
      </w:r>
      <w:r/>
    </w:p>
    <w:p>
      <w:pPr>
        <w:ind w:firstLine="420"/>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3、针对评分标准中评分的每一条，投标人均应提供相关资料并作出相应说明供评委评判，不提供相关资料或提供的相关资料不清晰的视为不具备该项得分的条件。</w:t>
      </w:r>
      <w:r/>
    </w:p>
    <w:p>
      <w:pPr>
        <w:ind w:firstLine="420"/>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4、招标文件中要求加盖投标人公章的，可用电子签章代替。</w:t>
      </w:r>
      <w:r/>
    </w:p>
    <w:p>
      <w:pPr>
        <w:ind w:firstLine="422"/>
        <w:jc w:val="both"/>
        <w:spacing w:line="400" w:lineRule="exact"/>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评标委员会成员应当按照招标文件规定的评审程序、评审方法和评分标准独立评审，客观、公正地履行职务，不得有《政府采购货物和服务招标投标管理办法》第六十二条规定的情形；评审因素和评分标准在评标时不得改变。</w:t>
      </w:r>
      <w:r/>
    </w:p>
    <w:p>
      <w:pPr>
        <w:ind w:firstLine="422"/>
        <w:jc w:val="both"/>
        <w:spacing w:line="400" w:lineRule="exact"/>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评标结果汇总完成后，除分值汇总计算错误、分项评分超出评分标准范围、评标委员会成员对客观评审因素评分不一致、经评标委员会认定评分畸高或者畸低外，任何人不得修改评标结果（《政府采购货物和服务招标投标管理办法》第六十四条）。</w:t>
      </w:r>
      <w:r/>
    </w:p>
    <w:p>
      <w:pPr>
        <w:ind w:firstLine="422"/>
        <w:jc w:val="both"/>
        <w:spacing w:line="400" w:lineRule="exact"/>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7、投标人认为自己的权益受到损害的，可以按照第二章第10条的规定提出质疑、投诉。</w:t>
      </w:r>
      <w:r/>
    </w:p>
    <w:p>
      <w:pPr>
        <w:ind w:firstLine="420"/>
        <w:spacing w:line="360" w:lineRule="auto"/>
        <w:tabs>
          <w:tab w:val="left" w:pos="0" w:leader="none"/>
        </w:tabs>
        <w:rPr>
          <w:rFonts w:hint="eastAsia" w:ascii="宋体" w:hAnsi="宋体" w:eastAsia="宋体" w:cs="宋体"/>
          <w:color w:val="auto"/>
          <w:szCs w:val="21"/>
          <w:highlight w:val="none"/>
        </w:rPr>
      </w:pPr>
      <w:r>
        <w:rPr>
          <w:color w:val="auto"/>
          <w:highlight w:val="none"/>
        </w:rPr>
        <w:t xml:space="preserve">8、投标人必须保证全部投标资料的真实性，采购人有权在采购的任何阶段进行调查和核实，如有虚假或者对采购文件所要求说明的情况故意隐瞒、虚报的，视为未实质性响应采购文件，其投标无效。已中标的取消中标资格，并按《中华人民共和国政府采购法》第七十七条“提供虚假材料谋取中标、成交”的规定处理。</w:t>
      </w:r>
      <w:r/>
    </w:p>
    <w:p>
      <w:pPr>
        <w:pStyle w:val="956"/>
        <w:jc w:val="center"/>
        <w:rPr>
          <w:rFonts w:hint="eastAsia" w:ascii="宋体" w:hAnsi="宋体" w:eastAsia="宋体" w:cs="宋体"/>
          <w:b/>
          <w:color w:val="auto"/>
          <w:sz w:val="32"/>
          <w:highlight w:val="none"/>
        </w:rPr>
        <w:outlineLvl w:val="0"/>
      </w:pPr>
      <w:r>
        <w:rPr>
          <w:rFonts w:hint="eastAsia" w:ascii="宋体" w:hAnsi="宋体" w:eastAsia="宋体" w:cs="宋体"/>
          <w:b/>
          <w:bCs/>
          <w:color w:val="auto"/>
          <w:spacing w:val="20"/>
          <w:sz w:val="52"/>
          <w:szCs w:val="52"/>
          <w:highlight w:val="none"/>
        </w:rPr>
        <w:br w:type="page" w:clear="all"/>
      </w:r>
      <w:bookmarkStart w:id="11" w:name="_Toc17779"/>
      <w:r>
        <w:rPr>
          <w:rFonts w:hint="eastAsia" w:ascii="宋体" w:hAnsi="宋体" w:eastAsia="宋体" w:cs="宋体"/>
          <w:b/>
          <w:color w:val="auto"/>
          <w:sz w:val="32"/>
          <w:highlight w:val="none"/>
        </w:rPr>
        <w:t xml:space="preserve">第五章 合同主要条款</w:t>
      </w:r>
      <w:bookmarkEnd w:id="11"/>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采购单位（甲方）：</w:t>
      </w:r>
      <w:r>
        <w:rPr>
          <w:rFonts w:hint="eastAsia" w:ascii="宋体" w:hAnsi="宋体" w:eastAsia="宋体" w:cs="宋体"/>
          <w:color w:val="auto"/>
          <w:szCs w:val="21"/>
          <w:highlight w:val="none"/>
          <w:u w:val="single"/>
        </w:rPr>
        <w:t xml:space="preserve">苏州市吴江区第四人民医院</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供货单位（乙方）：</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采购单位委托供货单位承担</w:t>
      </w:r>
      <w:r>
        <w:rPr>
          <w:rFonts w:hint="eastAsia" w:ascii="宋体" w:hAnsi="宋体" w:eastAsia="宋体" w:cs="宋体"/>
          <w:bCs/>
          <w:color w:val="auto"/>
          <w:szCs w:val="21"/>
          <w:highlight w:val="none"/>
          <w:u w:val="single"/>
        </w:rPr>
        <w:t xml:space="preserve">吴江四院扩建工程-智能化二标段等</w:t>
      </w:r>
      <w:r>
        <w:rPr>
          <w:rFonts w:hint="eastAsia" w:ascii="宋体" w:hAnsi="宋体" w:eastAsia="宋体" w:cs="宋体"/>
          <w:color w:val="auto"/>
          <w:szCs w:val="21"/>
          <w:highlight w:val="none"/>
        </w:rPr>
        <w:t xml:space="preserve">工作内容。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根据《中华人民共和国民法典》及国家有关法规规定，结合本项目的具体情况，为明确责任，协作配合，确保项目软件质量，经采购单位、供货单位协商一致，签订本合同，共同遵守。</w:t>
      </w:r>
      <w:r/>
    </w:p>
    <w:p>
      <w:pPr>
        <w:ind w:firstLine="361"/>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一、定义：以下术语有特定的含义：</w:t>
      </w:r>
      <w:r/>
    </w:p>
    <w:p>
      <w:pPr>
        <w:ind w:firstLine="3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“货物”本合同所称货物是指乙方应向甲方提供符合甲方需求规格及功能</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采购新进</w:t>
      </w:r>
      <w:r>
        <w:rPr>
          <w:rFonts w:hint="eastAsia" w:ascii="宋体" w:hAnsi="宋体" w:eastAsia="宋体" w:cs="宋体"/>
          <w:color w:val="auto"/>
          <w:szCs w:val="21"/>
          <w:highlight w:val="none"/>
          <w:u w:val="single"/>
          <w:lang w:val="en-US" w:eastAsia="zh-CN"/>
        </w:rPr>
        <w:t xml:space="preserve">智能化系统</w:t>
      </w:r>
      <w:r>
        <w:rPr>
          <w:rFonts w:hint="eastAsia" w:ascii="宋体" w:hAnsi="宋体" w:eastAsia="宋体" w:cs="宋体"/>
          <w:color w:val="auto"/>
          <w:szCs w:val="21"/>
          <w:highlight w:val="none"/>
        </w:rPr>
        <w:t xml:space="preserve">及其</w:t>
      </w:r>
      <w:r>
        <w:rPr>
          <w:rFonts w:hint="eastAsia" w:ascii="宋体" w:hAnsi="宋体" w:eastAsia="宋体" w:cs="宋体"/>
          <w:color w:val="auto"/>
          <w:szCs w:val="21"/>
          <w:highlight w:val="none"/>
        </w:rPr>
        <w:t xml:space="preserve">全部备品备件，它还应包括由乙方送交给甲方的所有的必需文件和与使用及测试有关的应进行的任何规定的服务。</w:t>
      </w:r>
      <w:r/>
    </w:p>
    <w:p>
      <w:pPr>
        <w:ind w:firstLine="3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系指根据合同规定乙方应承担的与供货有关的辅助义务，比如运输、保险以及其他伴随服务，比如安装、调试以及送货上门提供技术援助、培训、配合措施、维修响应和合同中规定乙方应承担的其它义务。</w:t>
      </w:r>
      <w:r/>
    </w:p>
    <w:p>
      <w:pPr>
        <w:ind w:firstLine="3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“合同价”系指根据合同规定，乙方在正确地履行合同义务后甲方应支付乙方的价款。</w:t>
      </w:r>
      <w:r/>
    </w:p>
    <w:p>
      <w:pPr>
        <w:ind w:firstLine="3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“甲方”系指合同中明确规定的实际购买货物和接受服务单位。</w:t>
      </w:r>
      <w:r/>
    </w:p>
    <w:p>
      <w:pPr>
        <w:ind w:firstLine="3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“乙方”系指合同中规定的提供货物和提供服务的单位。</w:t>
      </w:r>
      <w:r/>
    </w:p>
    <w:p>
      <w:pPr>
        <w:ind w:firstLine="3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firstLine="361"/>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货物或服务名称、数量及价格：本合同货物（服务）的名称、规格型号、数量、单价及合价，详见招标文件第三章采购清单及投标文件开标一览表（报价表）、分项报价明细表；上述文件作为本合同附件，与本合同具有同等效力。</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费用包括但不限于设备及配件、附件的价格为到厂价，包含货物到达甲方指定地点的一切乙方履行本合同项下所有义务的一切费用，包括但不限于设备原价、运输费、装卸费、包装费、设备供销部门手续费、安装费、调试费、采购与保管费、税金等，甲方不再另行支付。结算时供货数量根据甲方需求按实结算，单价固定不变。</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三、合同价：大写：人民币（小写：</w:t>
      </w:r>
      <w:r>
        <w:rPr>
          <w:rFonts w:hint="eastAsia" w:ascii="宋体" w:hAnsi="宋体" w:eastAsia="宋体" w:cs="宋体"/>
          <w:b/>
          <w:bCs/>
          <w:color w:val="auto"/>
          <w:szCs w:val="21"/>
          <w:highlight w:val="none"/>
          <w:u w:val="single"/>
        </w:rPr>
        <w:t xml:space="preserve">￥          </w:t>
      </w:r>
      <w:r>
        <w:rPr>
          <w:rFonts w:hint="eastAsia" w:ascii="宋体" w:hAnsi="宋体" w:eastAsia="宋体" w:cs="宋体"/>
          <w:b/>
          <w:bCs/>
          <w:color w:val="auto"/>
          <w:szCs w:val="21"/>
          <w:highlight w:val="none"/>
        </w:rPr>
        <w:t xml:space="preserve">）；</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四、合同范围：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（一）</w:t>
      </w:r>
      <w:r>
        <w:rPr>
          <w:rFonts w:hint="eastAsia" w:ascii="宋体" w:hAnsi="宋体" w:eastAsia="宋体" w:cs="宋体"/>
          <w:color w:val="auto"/>
          <w:szCs w:val="21"/>
          <w:highlight w:val="none"/>
        </w:rPr>
        <w:t xml:space="preserve">负责运输（包括上、下力、运输）及含运输保险。</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（二）</w:t>
      </w:r>
      <w:r>
        <w:rPr>
          <w:rFonts w:hint="eastAsia" w:ascii="宋体" w:hAnsi="宋体" w:eastAsia="宋体" w:cs="宋体"/>
          <w:color w:val="auto"/>
          <w:szCs w:val="21"/>
          <w:highlight w:val="none"/>
        </w:rPr>
        <w:t xml:space="preserve">包括货物及配件、附件的价格等。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（三）</w:t>
      </w:r>
      <w:r>
        <w:rPr>
          <w:rFonts w:hint="eastAsia" w:ascii="宋体" w:hAnsi="宋体" w:eastAsia="宋体" w:cs="宋体"/>
          <w:color w:val="auto"/>
          <w:szCs w:val="21"/>
          <w:highlight w:val="none"/>
        </w:rPr>
        <w:t xml:space="preserve">包括中国政府根据现行税法征收的与本合同有关的一切税费。 </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五、供货内容：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（一）</w:t>
      </w:r>
      <w:r>
        <w:rPr>
          <w:rFonts w:hint="eastAsia" w:ascii="宋体" w:hAnsi="宋体" w:eastAsia="宋体" w:cs="宋体"/>
          <w:color w:val="auto"/>
          <w:szCs w:val="21"/>
          <w:highlight w:val="none"/>
        </w:rPr>
        <w:t xml:space="preserve">符合本合同规定的货物或服务。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（二）</w:t>
      </w:r>
      <w:r>
        <w:rPr>
          <w:rFonts w:hint="eastAsia" w:ascii="宋体" w:hAnsi="宋体" w:eastAsia="宋体" w:cs="宋体"/>
          <w:color w:val="auto"/>
          <w:szCs w:val="21"/>
          <w:highlight w:val="none"/>
        </w:rPr>
        <w:t xml:space="preserve">须提供的一般文件：装箱单。</w:t>
      </w:r>
      <w:r/>
    </w:p>
    <w:p>
      <w:pPr>
        <w:ind w:firstLine="422"/>
        <w:spacing w:line="360" w:lineRule="auto"/>
        <w:rPr>
          <w:rFonts w:hint="eastAsia" w:ascii="宋体" w:hAnsi="宋体" w:eastAsia="宋体" w:cs="宋体"/>
          <w:color w:val="auto"/>
          <w:szCs w:val="21"/>
          <w:highlight w:val="none"/>
          <w:u w:val="single"/>
        </w:rPr>
      </w:pPr>
      <w:r>
        <w:rPr>
          <w:rFonts w:hint="eastAsia" w:ascii="宋体" w:hAnsi="宋体" w:eastAsia="宋体" w:cs="宋体"/>
          <w:b/>
          <w:bCs/>
          <w:color w:val="auto"/>
          <w:szCs w:val="21"/>
          <w:highlight w:val="none"/>
        </w:rPr>
        <w:t xml:space="preserve">六、供货地点：</w:t>
      </w:r>
      <w:r>
        <w:rPr>
          <w:rFonts w:hint="eastAsia" w:ascii="宋体" w:hAnsi="宋体" w:eastAsia="宋体" w:cs="宋体"/>
          <w:color w:val="auto"/>
          <w:szCs w:val="21"/>
          <w:highlight w:val="none"/>
          <w:u w:val="single"/>
        </w:rPr>
        <w:t xml:space="preserve">乙方交货至甲方指定地点，所发生的运输等费用及货物的损坏造成的损失由乙方承担。</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七、产品质量</w:t>
      </w:r>
      <w:r/>
    </w:p>
    <w:p>
      <w:pPr>
        <w:ind w:firstLine="422"/>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一</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乙方提供的产品必须符合我国最新颁布的与之相关的技术规范与标准，同时须满足招标总文件中所列全部规格、技术条件及功能要求和其承诺的其它指标，</w:t>
      </w:r>
      <w:r/>
    </w:p>
    <w:p>
      <w:pPr>
        <w:ind w:firstLine="422"/>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验收包括</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数量、外观、质量、性能、随机备品备件、产品合格证、装箱单、随机资料及包装，所有产品和附配件应符合其规定的性能，无瑕疵和缺陷，质量为合格品，同时有明确的制造厂商。交货时乙方需提供加盖制造厂商公章的检测报告或产品说明书等证明材料。如产品出现质量问题或产品配置参数不符合采购清单、投标承诺等原因，乙方负责包退、包换，因此发生的费用由乙方负责。</w:t>
      </w:r>
      <w:r/>
    </w:p>
    <w:p>
      <w:pPr>
        <w:ind w:firstLine="422"/>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三</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乙方提供货物必须是全新的、未使用过的、原包装未拆封的商品，完全符合采购产品规定的质量、规格和性能的要求，产品配置必须原厂出厂时全部自带，所有产品外包装箱不得自行拆封，包装箱上所有标签等不得涂改或撕毁，除有特殊要求外，其余均为标准配置，否则甲方有权拒绝验收。</w:t>
      </w:r>
      <w:r/>
    </w:p>
    <w:p>
      <w:pPr>
        <w:ind w:firstLine="422"/>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四</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乙方应保证所提供货物涉及到的知识产权是合法取得，并享有完整的知识产权，不会因为甲方的使用而被责令停止使用、追偿或要求赔偿损失，如出现此情况，一切经济和法律责任均由乙方承担。乙方应按招标文件的有关规定提供合格货物及服务，质量符合国际或国家通用标准。</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★八、付款方式：</w:t>
      </w:r>
      <w:r/>
    </w:p>
    <w:p>
      <w:pPr>
        <w:ind w:firstLine="422"/>
        <w:jc w:val="both"/>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（一）合同签订且乙方提交同等金额预付款保函（由银行、保险公司或者担保机构出具）后，甲方于收到合格发票之日起30日内支付合同价款的30%；</w:t>
      </w:r>
      <w:r/>
    </w:p>
    <w:p>
      <w:pPr>
        <w:ind w:firstLine="422"/>
        <w:jc w:val="both"/>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（二）全部货物到达现场，经代建、监理、采购人验收合格后，甲方于收到合格发票之日起30日内支付至合同价款的60%；</w:t>
      </w:r>
      <w:r/>
    </w:p>
    <w:p>
      <w:pPr>
        <w:ind w:firstLine="422"/>
        <w:jc w:val="both"/>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（三）安装、调试完毕并经最终验收合格后，甲方于收到合格发票之日起30日内支付至合同价款的97%；</w:t>
      </w:r>
      <w:r/>
    </w:p>
    <w:p>
      <w:pPr>
        <w:ind w:firstLine="422"/>
        <w:jc w:val="both"/>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（四）剩余3%为质量保证金，质保期满且乙方完全履行质保义务后，甲方于收到乙方书面申请之日起30日内无息退还；乙方以银行、保险公司或者担保机构出具的保函替代质量保证金的，甲方应当接受。</w:t>
      </w:r>
      <w:r/>
    </w:p>
    <w:p>
      <w:pPr>
        <w:ind w:firstLine="422"/>
        <w:jc w:val="both"/>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五）甲方不得以法定代表人或者主要负责人变更、履行内部付款流程，或者在合同未作约定的情况下以等待竣工验收备案、决算审计等为由拒绝或者迟延支付；不得强制要求以审计机关的审计结果作为结算依据（法律、行政法规另有规定的除外）。部分存在争议但不影响其他部分履行的，对无争议部分甲方应当及时付款。</w:t>
      </w:r>
      <w:r/>
    </w:p>
    <w:p>
      <w:pPr>
        <w:ind w:firstLine="422"/>
        <w:jc w:val="both"/>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六）甲方逾期支付合同价款的，应当自逾期之日起按合同订立时1年期贷款市场报价利率（LPR）向乙方支付逾期利息，约定利率不得低于合同订立时1年期贷款市场报价利率（《保障中小企业款项支付条例》第九条、第十条、第十二条、第十三条、第十四条、第十五条、第十七条）。</w:t>
      </w:r>
      <w:r/>
    </w:p>
    <w:p>
      <w:pPr>
        <w:ind w:firstLine="422"/>
        <w:jc w:val="both"/>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（七）乙方应当在甲方付款前开具相应合格发票；因乙方未按规定开具发票导致付款延迟的，不视为甲方逾期付款。</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九、储放和保护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（一）</w:t>
      </w:r>
      <w:r>
        <w:rPr>
          <w:rFonts w:hint="eastAsia" w:ascii="宋体" w:hAnsi="宋体" w:eastAsia="宋体" w:cs="宋体"/>
          <w:color w:val="auto"/>
          <w:szCs w:val="21"/>
          <w:highlight w:val="none"/>
        </w:rPr>
        <w:t xml:space="preserve">货物由乙方运至甲方指定地点，验收交货前存放及保管概由乙方负责。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（二）</w:t>
      </w:r>
      <w:r>
        <w:rPr>
          <w:rFonts w:hint="eastAsia" w:ascii="宋体" w:hAnsi="宋体" w:eastAsia="宋体" w:cs="宋体"/>
          <w:color w:val="auto"/>
          <w:szCs w:val="21"/>
          <w:highlight w:val="none"/>
        </w:rPr>
        <w:t xml:space="preserve">相关毁损、灭失的风险在货物完成安装并验收通过交付给甲方前由乙方承担。</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★十、交货期限：</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bCs/>
          <w:color w:val="auto"/>
          <w:szCs w:val="21"/>
          <w:highlight w:val="none"/>
        </w:rPr>
        <w:t xml:space="preserve">以上清单所有货物于2026年12月20日前完成安装、调试并交付使用。经现场勘查，本项目实施条件已具备；除因甲方原因或者不可抗力外，因乙方原因导致逾期交付的，由乙方承担违约责任。每逾期一日，按合同价款的万分之五向甲方支付违约金，累计不超过合同价款的5%。乙方应安全施工，不得在其安装区域内随便搭建施工建筑。在施工完成前，乙方应从施工现场清除乙方的全部工程设备、多余材料、垃圾，并保持施工现场清洁整齐。乙方在履行合同过程中如给甲方或者第三方造成损失，乙方应承担全部责任。</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十一、技术条款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乙方所供货物须符合设计图纸和国家标准及规范要求，乙方列明的设备及元器件品牌、生产地、制造厂商、质量保证等必须符合相关的国家标准和规范。</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★十二、质量保证</w:t>
      </w:r>
      <w:r/>
    </w:p>
    <w:p>
      <w:pPr>
        <w:pStyle w:val="916"/>
        <w:ind w:firstLine="420"/>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本合同质保期为3年，自项目最终验收合格之日起计算。质保期内因产品质量或者施工质量原因造成的故障，乙方应当免费维修或者更换。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同时甲方将对成品及原辅材料作全面抽查进行检测，对于检测不合格的，该批次货物无条件退场。为确保供货期内合格产品供货，如不能提供按合同条款规定的产品，将进行处罚。同时甲方有权取消乙方的中标资格且终止采购合同。</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十三、验收标准、方法及提出异议期限：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（一）到货开箱验收。甲方在到货时进行清点和初步验收，并核对产品名称、型号、数量、外观、随机资料及合格证。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在到货时有权进行清点和初步验收，但甲方的清点和初步验收并不免除乙方的任何责任或代表甲方对产品数量和质量的任何确认，最终以安装完成后的最终验收为准。如果甲方在验收中，发现货物短缺、质次、损坏、产地和规格不符及单据缺少等问题，甲方有权拒付后续货款，并向乙方提出，乙方应立即无条件为甲方调换或补齐，超过合同规定交货期限调换或补交的，即作为乙方逾期交货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即使甲方已验收收取货物，如甲方在产品保修期内有证据证明发现质量或规格不符合合同约定或为假冒伪劣产品或有其他缺陷，仍有权向乙方提出索赔，根据具体情况要求乙方全部或部分退换货物、降价补偿、修理及要求乙方承担违约责任。乙方在接到甲方书面异议后，应在10天内负责处理，否则，即视为默认甲方提出的异议和处理意见。</w:t>
      </w:r>
      <w:r/>
    </w:p>
    <w:p>
      <w:pPr>
        <w:ind w:firstLine="422"/>
        <w:jc w:val="both"/>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履约验收：乙方完成供货、安装、调试并具备验收条件后，应当向甲方提交书面验收申请及完整的验收资料。甲方应当自收到验收申请之日起7个工作日内组织验收并出具验收书，验收书应当包括每一项技术、服务、安全标准的履约情况。甲方可以邀请参加本项目的其他投标人或者第三方专业机构参与验收，也可以邀请国家认可的质量检测机构参加验收（《中华人民共和国政府采购法》第四十一条、《中华人民共和国政府采购法实施条例》第四十五条、《政府采购货物和服务招标投标管理办法》第七十四条）。</w:t>
      </w:r>
      <w:r/>
    </w:p>
    <w:p>
      <w:pPr>
        <w:ind w:firstLine="422"/>
        <w:jc w:val="both"/>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（五）甲方逾期未组织验收且未提出书面异议的，视为验收合格，付款期限自前款约定的验收期限届满之日起算（《保障中小企业款项支付条例》第十条）。</w:t>
      </w:r>
      <w:r/>
    </w:p>
    <w:p>
      <w:pPr>
        <w:ind w:firstLine="422"/>
        <w:jc w:val="both"/>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（六）验收不合格的，乙方应当在甲方要求的期限内整改并重新申请验收，由此增加的费用和延误的工期由乙方承担。</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十四、本合同应为完整货物及功能的提供</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对于甲方所要求的及乙方所承诺提供的功能，乙方应无条件提供，由于设计及其他原因所造成的额外费用由乙方自行承担。</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十五、售后服务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（一）</w:t>
      </w:r>
      <w:r>
        <w:rPr>
          <w:rFonts w:hint="eastAsia" w:ascii="宋体" w:hAnsi="宋体" w:eastAsia="宋体" w:cs="宋体"/>
          <w:color w:val="auto"/>
          <w:szCs w:val="21"/>
          <w:highlight w:val="none"/>
        </w:rPr>
        <w:t xml:space="preserve">接到甲方问题通知后，乙方以优良的服务态度</w:t>
      </w:r>
      <w:r>
        <w:rPr>
          <w:rFonts w:hint="eastAsia" w:ascii="宋体" w:hAnsi="宋体" w:eastAsia="宋体" w:cs="宋体"/>
          <w:color w:val="auto"/>
          <w:szCs w:val="21"/>
          <w:highlight w:val="none"/>
          <w:u w:val="single"/>
        </w:rPr>
        <w:t xml:space="preserve">2</w:t>
      </w:r>
      <w:r>
        <w:rPr>
          <w:rFonts w:hint="eastAsia" w:ascii="宋体" w:hAnsi="宋体" w:eastAsia="宋体" w:cs="宋体"/>
          <w:color w:val="auto"/>
          <w:szCs w:val="21"/>
          <w:highlight w:val="none"/>
        </w:rPr>
        <w:t xml:space="preserve">小时内响应，</w:t>
      </w:r>
      <w:r>
        <w:rPr>
          <w:rFonts w:hint="eastAsia" w:ascii="宋体" w:hAnsi="宋体" w:eastAsia="宋体" w:cs="宋体"/>
          <w:color w:val="auto"/>
          <w:szCs w:val="21"/>
          <w:highlight w:val="none"/>
          <w:u w:val="single"/>
        </w:rPr>
        <w:t xml:space="preserve">24</w:t>
      </w:r>
      <w:r>
        <w:rPr>
          <w:rFonts w:hint="eastAsia" w:ascii="宋体" w:hAnsi="宋体" w:eastAsia="宋体" w:cs="宋体"/>
          <w:color w:val="auto"/>
          <w:szCs w:val="21"/>
          <w:highlight w:val="none"/>
        </w:rPr>
        <w:t xml:space="preserve">小时内到达现场解决问题。乙方未在约定的期限内及时解决问题的，甲方有权另行委托第三方进行维修，由此产生的费用由乙方承担。</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（二）其他</w:t>
      </w:r>
      <w:r>
        <w:rPr>
          <w:rFonts w:hint="eastAsia" w:ascii="宋体" w:hAnsi="宋体" w:eastAsia="宋体" w:cs="宋体"/>
          <w:color w:val="auto"/>
          <w:szCs w:val="21"/>
          <w:highlight w:val="none"/>
        </w:rPr>
        <w:t xml:space="preserve">按照乙方承诺的服务执行。</w:t>
      </w:r>
      <w:r/>
    </w:p>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十六、不可抗力事故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于不可抗力的原因造成延期或不能交货，乙方将不承担责任，但乙方应立即通知甲方，在不可抗力事故发生后15天内乙方将由当地有关部门出具的事故证明书以书面形式通知甲方。在上述情况下，乙方仍应采取必要措施尽快交货。不可抗力事故发生持续15天以上，甲方有权取消此合同，并保留要求乙方赔偿的权利。</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十七、违约责任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一）除不可抗力因素外，乙方不能按期交货，或者因运输及安装中货物缺损需要更换而影响实际交付使用时，乙方必须向甲方支付延期交货或者延期交付使用的违约金，标准按合同总价每日万分之五计算，累计不超过合同总价的5%；该金额不足以赔偿甲方所受损失的，乙方还应负责补足。</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（二）延期完成供货、安装或者其他原因导致不能交付使用时间超过15天，或者交货不合格从而影响甲方按期正常使用的，视为乙方严重违约，甲方有权立即终止合同，并要求乙方支付合同总价10%的违约金。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（三）</w:t>
      </w:r>
      <w:r>
        <w:rPr>
          <w:rFonts w:hint="eastAsia" w:ascii="宋体" w:hAnsi="宋体" w:eastAsia="宋体" w:cs="宋体"/>
          <w:color w:val="auto"/>
          <w:szCs w:val="21"/>
          <w:highlight w:val="none"/>
        </w:rPr>
        <w:t xml:space="preserve">乙方因违反合同及其他应尽义务的，甲方有权根据乙方违约程度要求乙方支付相当于合同总价款 </w:t>
      </w:r>
      <w:r>
        <w:rPr>
          <w:rFonts w:hint="eastAsia" w:ascii="宋体" w:hAnsi="宋体" w:eastAsia="宋体" w:cs="宋体"/>
          <w:color w:val="auto"/>
          <w:szCs w:val="21"/>
          <w:highlight w:val="none"/>
          <w:u w:val="single"/>
        </w:rPr>
        <w:t xml:space="preserve"> 5 %</w:t>
      </w:r>
      <w:r>
        <w:rPr>
          <w:rFonts w:hint="eastAsia" w:ascii="宋体" w:hAnsi="宋体" w:eastAsia="宋体" w:cs="宋体"/>
          <w:color w:val="auto"/>
          <w:szCs w:val="21"/>
          <w:highlight w:val="none"/>
        </w:rPr>
        <w:t xml:space="preserve">的违约金。如违约金不足弥补甲方损失的，由乙方另行支付，由此引起的后果，甲方保留进一步追索的权利。</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（四）乙方全部履行合同，甲方在收到乙方的付款通知并审定无误后30个工作日内按期付款；甲方逾期付款的，按本合同第八条第（六）项的约定承担逾期付款利息。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（五）</w:t>
      </w:r>
      <w:r>
        <w:rPr>
          <w:rFonts w:hint="eastAsia" w:ascii="宋体" w:hAnsi="宋体" w:eastAsia="宋体" w:cs="宋体"/>
          <w:color w:val="auto"/>
          <w:szCs w:val="21"/>
          <w:highlight w:val="none"/>
        </w:rPr>
        <w:t xml:space="preserve">乙方提前交货的，甲方接货后，按合同规定的付款方式付款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（六）</w:t>
      </w:r>
      <w:r>
        <w:rPr>
          <w:rFonts w:hint="eastAsia" w:ascii="宋体" w:hAnsi="宋体" w:eastAsia="宋体" w:cs="宋体"/>
          <w:color w:val="auto"/>
          <w:szCs w:val="21"/>
          <w:highlight w:val="none"/>
        </w:rPr>
        <w:t xml:space="preserve">乙方供货前未尽通知义务的，甲方有权拒收或者代为保管。在代保管期内实际支付的保管、保养等费用以及非因甲方保管不善而发生的损失，由乙方承担；这些产品毁损、灭失的风险也由乙方承担。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w:t>
      </w:r>
      <w:r>
        <w:rPr>
          <w:rFonts w:hint="eastAsia" w:ascii="宋体" w:hAnsi="宋体" w:eastAsia="宋体" w:cs="宋体"/>
          <w:color w:val="auto"/>
          <w:szCs w:val="21"/>
          <w:highlight w:val="none"/>
        </w:rPr>
        <w:t xml:space="preserve">未经甲方书面同意，乙方不得转让其在本合同下的全部或部分权利或义务。否则甲方有权解除合同，并要求乙方支付合同总价20%的违约金。</w:t>
      </w:r>
      <w:r/>
    </w:p>
    <w:p>
      <w:pPr>
        <w:ind w:firstLine="422"/>
        <w:jc w:val="both"/>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（八）本合同约定的违约金累计不超过合同总价款的20%；违约金过分高于或者低于造成的损失的，任何一方可以请求人民法院或者仲裁机构予以适当调整（《中华人民共和国民法典》第五百八十五条）。</w:t>
      </w:r>
      <w:r/>
    </w:p>
    <w:p>
      <w:pPr>
        <w:ind w:firstLine="422"/>
        <w:jc w:val="both"/>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（九）甲方违反本合同约定，无正当理由拒绝或者迟延接收货物、拒绝或者迟延组织验收、拒绝或者迟延支付合同价款的，应当承担相应的违约责任，并赔偿由此给乙方造成的损失。</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十八、索赔：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（一）</w:t>
      </w:r>
      <w:r>
        <w:rPr>
          <w:rFonts w:hint="eastAsia" w:ascii="宋体" w:hAnsi="宋体" w:eastAsia="宋体" w:cs="宋体"/>
          <w:color w:val="auto"/>
          <w:szCs w:val="21"/>
          <w:highlight w:val="none"/>
        </w:rPr>
        <w:t xml:space="preserve">甲方有权根据甲方所在地产品质量检验机构或其它有权部门出具的检验证书向乙方提出索赔。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（二）</w:t>
      </w:r>
      <w:r>
        <w:rPr>
          <w:rFonts w:hint="eastAsia" w:ascii="宋体" w:hAnsi="宋体" w:eastAsia="宋体" w:cs="宋体"/>
          <w:color w:val="auto"/>
          <w:szCs w:val="21"/>
          <w:highlight w:val="none"/>
        </w:rPr>
        <w:t xml:space="preserve">在本合同规定的检验期和质量保证期内，如果乙方对甲方提出的索赔或差异有责任，则乙方应按甲方同意的下列一种或多种方式解决索赔事宜：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1.乙方同意退货，并按合同规定的货币将货款退还给甲方，并承担由此发生的一切损失和费用，包括利息、银行手续费、运费、保险费、检验费、仓储费、装卸费以及为保护退回货物所需的其他必要费用。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2.根据货物的低劣程度、损坏程度以及甲方遭受损失的数额，经双方协商确定降低货物的价格。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用符合规格、质量和性能要求的新的货物或零件、部件来更换缺陷部分或修补缺陷部分，乙方应承担一切费用和风险并负担甲方所发生的一切直接费用。同时，乙方应按合同规定，相应延长修补或更换部件或货物的质量保证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4.甲方提出的其他合理方式。</w:t>
      </w:r>
      <w:r/>
    </w:p>
    <w:p>
      <w:pPr>
        <w:ind w:firstLine="359"/>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（三）</w:t>
      </w:r>
      <w:r>
        <w:rPr>
          <w:rFonts w:hint="eastAsia" w:ascii="宋体" w:hAnsi="宋体" w:eastAsia="宋体" w:cs="宋体"/>
          <w:color w:val="auto"/>
          <w:szCs w:val="21"/>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359"/>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（四）</w:t>
      </w:r>
      <w:r>
        <w:rPr>
          <w:rFonts w:hint="eastAsia" w:ascii="宋体" w:hAnsi="宋体" w:eastAsia="宋体" w:cs="宋体"/>
          <w:color w:val="auto"/>
          <w:szCs w:val="21"/>
          <w:highlight w:val="none"/>
        </w:rPr>
        <w:t xml:space="preserve">乙方应保护甲方在使用该货物或其任何一部分不受第三方提出的侵犯其知识产权或其他权利的起诉。如因此使甲方受到损害的，乙方应承担赔偿责任。</w:t>
      </w:r>
      <w:r/>
    </w:p>
    <w:p>
      <w:pPr>
        <w:ind w:firstLine="361"/>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十九、资料提供：</w:t>
      </w:r>
      <w:r>
        <w:rPr>
          <w:rFonts w:hint="eastAsia" w:ascii="宋体" w:hAnsi="宋体" w:eastAsia="宋体" w:cs="宋体"/>
          <w:color w:val="auto"/>
          <w:szCs w:val="21"/>
          <w:highlight w:val="none"/>
        </w:rPr>
        <w:t xml:space="preserve">货物产品合格书证等。</w:t>
      </w:r>
      <w:r/>
    </w:p>
    <w:p>
      <w:pPr>
        <w:ind w:firstLine="361"/>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二十</w:t>
      </w: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rPr>
        <w:t xml:space="preserve">争议解决</w:t>
      </w:r>
      <w:r/>
    </w:p>
    <w:p>
      <w:pPr>
        <w:ind w:firstLine="3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因本合同及合同有关事项发生的争议，双方应当协商解决；协商不成的，任何一方均可向甲方所在地有管辖权的人民法院提起诉讼。本合同的订立、效力、解释、履行及争议解决适用中华人民共和国法律。</w:t>
      </w:r>
      <w:r/>
    </w:p>
    <w:p>
      <w:pPr>
        <w:ind w:firstLine="361"/>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二十</w:t>
      </w:r>
      <w:r>
        <w:rPr>
          <w:rFonts w:hint="eastAsia" w:ascii="宋体" w:hAnsi="宋体" w:eastAsia="宋体" w:cs="宋体"/>
          <w:b/>
          <w:bCs/>
          <w:color w:val="auto"/>
          <w:szCs w:val="21"/>
          <w:highlight w:val="none"/>
          <w:lang w:val="en-US" w:eastAsia="zh-CN"/>
        </w:rPr>
        <w:t xml:space="preserve">一</w:t>
      </w:r>
      <w:r>
        <w:rPr>
          <w:rFonts w:hint="eastAsia" w:ascii="宋体" w:hAnsi="宋体" w:eastAsia="宋体" w:cs="宋体"/>
          <w:b/>
          <w:bCs/>
          <w:color w:val="auto"/>
          <w:szCs w:val="21"/>
          <w:highlight w:val="none"/>
        </w:rPr>
        <w:t xml:space="preserve">、其他条款</w:t>
      </w:r>
      <w:r/>
    </w:p>
    <w:p>
      <w:pPr>
        <w:ind w:firstLine="3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1.双方签约人为各自法定代表人或被授权代表。</w:t>
      </w:r>
      <w:r/>
    </w:p>
    <w:p>
      <w:pPr>
        <w:ind w:firstLine="3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2.本合同系指本文件及其附件中的所有部分；如有招标文件、中标的投标文件、中标单位在投标过程中的澄清、承诺等均为本合同不可缺少的必要组成部分，具有同等法律效力</w:t>
      </w:r>
      <w:r/>
    </w:p>
    <w:p>
      <w:pPr>
        <w:ind w:firstLine="3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3.本合同一式</w:t>
      </w:r>
      <w:r>
        <w:rPr>
          <w:rFonts w:hint="eastAsia" w:ascii="宋体" w:hAnsi="宋体" w:eastAsia="宋体" w:cs="宋体"/>
          <w:color w:val="auto"/>
          <w:szCs w:val="21"/>
          <w:highlight w:val="none"/>
          <w:u w:val="single"/>
        </w:rPr>
        <w:t xml:space="preserve"> 七  </w:t>
      </w:r>
      <w:r>
        <w:rPr>
          <w:rFonts w:hint="eastAsia" w:ascii="宋体" w:hAnsi="宋体" w:eastAsia="宋体" w:cs="宋体"/>
          <w:color w:val="auto"/>
          <w:szCs w:val="21"/>
          <w:highlight w:val="none"/>
        </w:rPr>
        <w:t xml:space="preserve">份，甲方执</w:t>
      </w:r>
      <w:r>
        <w:rPr>
          <w:rFonts w:hint="eastAsia" w:ascii="宋体" w:hAnsi="宋体" w:eastAsia="宋体" w:cs="宋体"/>
          <w:color w:val="auto"/>
          <w:szCs w:val="21"/>
          <w:highlight w:val="none"/>
          <w:u w:val="single"/>
        </w:rPr>
        <w:t xml:space="preserve">四</w:t>
      </w:r>
      <w:r>
        <w:rPr>
          <w:rFonts w:hint="eastAsia" w:ascii="宋体" w:hAnsi="宋体" w:eastAsia="宋体" w:cs="宋体"/>
          <w:color w:val="auto"/>
          <w:szCs w:val="21"/>
          <w:highlight w:val="none"/>
        </w:rPr>
        <w:t xml:space="preserve">份，乙方执</w:t>
      </w:r>
      <w:r>
        <w:rPr>
          <w:rFonts w:hint="eastAsia" w:ascii="宋体" w:hAnsi="宋体" w:eastAsia="宋体" w:cs="宋体"/>
          <w:color w:val="auto"/>
          <w:szCs w:val="21"/>
          <w:highlight w:val="none"/>
          <w:u w:val="single"/>
        </w:rPr>
        <w:t xml:space="preserve">二</w:t>
      </w:r>
      <w:r>
        <w:rPr>
          <w:rFonts w:hint="eastAsia" w:ascii="宋体" w:hAnsi="宋体" w:eastAsia="宋体" w:cs="宋体"/>
          <w:color w:val="auto"/>
          <w:szCs w:val="21"/>
          <w:highlight w:val="none"/>
        </w:rPr>
        <w:t xml:space="preserve">份，代理公司</w:t>
      </w:r>
      <w:r>
        <w:rPr>
          <w:rFonts w:hint="eastAsia" w:ascii="宋体" w:hAnsi="宋体" w:eastAsia="宋体" w:cs="宋体"/>
          <w:color w:val="auto"/>
          <w:szCs w:val="21"/>
          <w:highlight w:val="none"/>
          <w:u w:val="single"/>
        </w:rPr>
        <w:t xml:space="preserve"> 一 </w:t>
      </w:r>
      <w:r>
        <w:rPr>
          <w:rFonts w:hint="eastAsia" w:ascii="宋体" w:hAnsi="宋体" w:eastAsia="宋体" w:cs="宋体"/>
          <w:color w:val="auto"/>
          <w:szCs w:val="21"/>
          <w:highlight w:val="none"/>
        </w:rPr>
        <w:t xml:space="preserve">份，各份具有同等法律效力。</w:t>
      </w:r>
      <w:r/>
    </w:p>
    <w:p>
      <w:pPr>
        <w:ind w:firstLine="3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合同履行中，甲方需追加与合同标的相同的货物或者服务的，在不改变合同其他条款的前提下，可以与乙方协商签订补充合同，但所有补充合同的采购金额不得超过原合同采购金额的10%（《中华人民共和国政府采购法》第四十九条）；甲方减少货物数量或者服务内容的，按实结算，乙方不得就此主张违约或者索赔。</w:t>
      </w:r>
      <w:r/>
    </w:p>
    <w:p>
      <w:pPr>
        <w:ind w:firstLine="422"/>
        <w:jc w:val="both"/>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分包：乙方不得转包合同，不得将主体、关键性工作分包；非主体、非关键性工作确需分包的，应当经甲方书面同意，分包单位应当具备相应资格条件且不得再次分包。乙方就采购项目和分包项目向甲方负责，分包单位就分包项目承担责任（《中华人民共和国政府采购法》第四十八条）。</w:t>
      </w:r>
      <w:r/>
    </w:p>
    <w:p>
      <w:pPr>
        <w:ind w:firstLine="422"/>
        <w:jc w:val="both"/>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保密与数据安全：双方应当对在合同订立和履行过程中知悉的对方商业秘密、技术秘密以及患者信息、个人信息等承担保密义务，保密义务不因合同终止而免除。乙方违反保密义务或者发生数据安全事件的，应当承担全部赔偿责任（《中华人民共和国个人信息保护法》《中华人民共和国数据安全法》《中华人民共和国网络安全法》）。</w:t>
      </w:r>
      <w:r/>
    </w:p>
    <w:p>
      <w:pPr>
        <w:ind w:firstLine="422"/>
        <w:jc w:val="both"/>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7.廉洁：双方应当签订并履行《廉政合同》（附件），任何一方不得向对方工作人员行贿或者提供其他不正当利益。</w:t>
      </w:r>
      <w:r/>
    </w:p>
    <w:p>
      <w:pPr>
        <w:ind w:firstLine="3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8.合同生效：甲乙双方法定代表人或被授权代表人签字、双方盖上公章或合同专用章后本合同生效。</w:t>
      </w:r>
      <w:r/>
    </w:p>
    <w:p>
      <w:pPr>
        <w:ind w:firstLine="420"/>
        <w:spacing w:line="360" w:lineRule="auto"/>
        <w:rPr>
          <w:rFonts w:hint="eastAsia" w:ascii="宋体" w:hAnsi="宋体" w:eastAsia="宋体" w:cs="宋体"/>
          <w:b/>
          <w:bCs/>
          <w:color w:val="auto"/>
          <w:spacing w:val="-10"/>
          <w:sz w:val="24"/>
          <w:highlight w:val="none"/>
          <w:u w:val="single"/>
        </w:rPr>
      </w:pPr>
      <w:r>
        <w:rPr>
          <w:rFonts w:hint="eastAsia" w:ascii="宋体" w:hAnsi="宋体" w:eastAsia="宋体" w:cs="宋体"/>
          <w:b/>
          <w:bCs/>
          <w:color w:val="auto"/>
          <w:spacing w:val="-10"/>
          <w:sz w:val="24"/>
          <w:highlight w:val="none"/>
          <w:u w:val="singl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65"/>
        <w:spacing w:line="360" w:lineRule="auto"/>
        <w:rPr>
          <w:rFonts w:hint="eastAsia" w:ascii="宋体" w:hAnsi="宋体" w:eastAsia="宋体" w:cs="宋体"/>
          <w:b/>
          <w:bCs/>
          <w:color w:val="auto"/>
          <w:spacing w:val="20"/>
          <w:szCs w:val="21"/>
          <w:highlight w:val="none"/>
        </w:rPr>
      </w:pPr>
      <w:r/>
      <w:bookmarkStart w:id="12" w:name="_Toc13543221"/>
      <w:r/>
      <w:bookmarkEnd w:id="12"/>
      <w:r/>
      <w:r/>
    </w:p>
    <w:p>
      <w:pPr>
        <w:ind w:firstLine="46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甲方名称：（盖章）                      乙方名称：（盖章）</w:t>
      </w:r>
      <w:r/>
    </w:p>
    <w:p>
      <w:pPr>
        <w:ind w:firstLine="46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                    法定代表人：（签字）</w:t>
      </w:r>
      <w:r/>
    </w:p>
    <w:p>
      <w:pPr>
        <w:ind w:firstLine="46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委托代理人：（签字）                    委托代理人：（签字）</w:t>
      </w:r>
      <w:r/>
    </w:p>
    <w:p>
      <w:pPr>
        <w:ind w:firstLine="46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住    所：                              住    所：</w:t>
      </w:r>
      <w:r/>
    </w:p>
    <w:p>
      <w:pPr>
        <w:ind w:firstLine="46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                              邮政编码：</w:t>
      </w:r>
      <w:r/>
    </w:p>
    <w:p>
      <w:pPr>
        <w:ind w:firstLine="46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电    话：</w:t>
      </w:r>
      <w:r/>
    </w:p>
    <w:p>
      <w:pPr>
        <w:ind w:firstLine="46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    真：                              传    真：</w:t>
      </w:r>
      <w:r/>
    </w:p>
    <w:p>
      <w:pPr>
        <w:ind w:firstLine="46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                              开户银行：</w:t>
      </w:r>
      <w:r/>
    </w:p>
    <w:p>
      <w:pPr>
        <w:ind w:firstLine="465"/>
        <w:spacing w:line="360" w:lineRule="auto"/>
        <w:rPr>
          <w:rFonts w:hint="eastAsia" w:ascii="宋体" w:hAnsi="宋体" w:eastAsia="宋体" w:cs="宋体"/>
          <w:b/>
          <w:color w:val="auto"/>
          <w:sz w:val="30"/>
          <w:szCs w:val="30"/>
          <w:highlight w:val="none"/>
        </w:rPr>
      </w:pPr>
      <w:r>
        <w:rPr>
          <w:rFonts w:hint="eastAsia" w:ascii="宋体" w:hAnsi="宋体" w:eastAsia="宋体" w:cs="宋体"/>
          <w:color w:val="auto"/>
          <w:szCs w:val="21"/>
          <w:highlight w:val="none"/>
        </w:rPr>
        <w:t xml:space="preserve">银行账号：                              银行账号：</w:t>
      </w:r>
      <w:r/>
    </w:p>
    <w:p>
      <w:pPr>
        <w:pStyle w:val="1002"/>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pStyle w:val="1002"/>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pStyle w:val="1002"/>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pStyle w:val="1002"/>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pStyle w:val="1002"/>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pStyle w:val="1002"/>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pStyle w:val="1002"/>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pStyle w:val="1002"/>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廉政合同</w:t>
      </w:r>
      <w:r/>
    </w:p>
    <w:p>
      <w:pPr>
        <w:pStyle w:val="100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（采购人与中标人）</w:t>
      </w:r>
      <w:r/>
    </w:p>
    <w:p>
      <w:pPr>
        <w:pStyle w:val="1003"/>
        <w:ind w:firstLine="560"/>
        <w:spacing w:line="5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发包人：</w:t>
      </w:r>
      <w:r/>
    </w:p>
    <w:p>
      <w:pPr>
        <w:pStyle w:val="1003"/>
        <w:ind w:firstLine="560"/>
        <w:spacing w:line="500" w:lineRule="exact"/>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 xml:space="preserve">承包人：</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为贯彻落实党中央、国务院《关于实行党风廉政建设责任制的规定》，进一步加强工程建设中的党风廉政建设，保证建设优质、高效、有序地进行，经双方协商一致，自愿签订以下廉政合同。</w:t>
      </w:r>
      <w:r/>
    </w:p>
    <w:p>
      <w:pPr>
        <w:pStyle w:val="1003"/>
        <w:ind w:firstLine="422"/>
        <w:jc w:val="both"/>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（说明：本廉政合同为第五章合同主要条款的附件。文中“发包人”指采购人（甲方），“承包人”指中标人（乙方），“施工单位”指中标人或者其依法确定的分包单位。）</w:t>
      </w:r>
      <w:r/>
    </w:p>
    <w:p>
      <w:pPr>
        <w:pStyle w:val="1003"/>
        <w:ind w:firstLine="562"/>
        <w:spacing w:line="50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第一条</w:t>
      </w:r>
      <w:r>
        <w:rPr>
          <w:rFonts w:hint="eastAsia" w:ascii="宋体" w:hAnsi="宋体" w:eastAsia="宋体" w:cs="宋体"/>
          <w:color w:val="auto"/>
          <w:szCs w:val="21"/>
          <w:highlight w:val="none"/>
        </w:rPr>
        <w:t xml:space="preserve">  承、发包人双方的权利和义务</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（一）严格遵守党和国家有关法规及党风廉政建设各项规定。</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（二）严格执行各项规定，自觉按合同办事。</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（三）双方的业务活动坚持公开、公正、公平、诚信的原则（法律认定的商业秘密和合同文件另有规定除外），严禁损害国家和集体利益、违反工程建设管理规章制度。</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（四）建立健全党风廉政建设各项制度，开展反腐倡廉宣传教育，加强对本方工作人员的监督检查。</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pStyle w:val="1003"/>
        <w:ind w:firstLine="562"/>
        <w:spacing w:line="5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第二条  </w:t>
      </w:r>
      <w:r>
        <w:rPr>
          <w:rFonts w:hint="eastAsia" w:ascii="宋体" w:hAnsi="宋体" w:eastAsia="宋体" w:cs="宋体"/>
          <w:color w:val="auto"/>
          <w:szCs w:val="21"/>
          <w:highlight w:val="none"/>
        </w:rPr>
        <w:t xml:space="preserve">发包人在廉政建设方面的义务</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（一）发包人及其工作人员不准在施工单位安插亲友及介绍销售工程材料，不得指定需购物资设备的销售单位或部门；不得挤占、截留、挪用工程款或超进度拨付工程款；严禁私设“小金库”。 </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（二）发包人及其工作人员不准利用职务之便索要或接受承包人的现金、有价证券、支付凭证及收受干股，或以赌博等交易形式非法收受承包人财物。</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（三）发包人及其工作人员不准让承包人报销应由发包人或个人支付的费用；不准利用职务便利为承包人谋取不当利益。</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（四）发包人工作人员不准要求或者接受承包人可能影响公正执行公务的宴请；不准要求承包人提供交通工具、通讯工具、高档办公用品等。</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（五）发包人及其工作人员不准要求或者接受承包人为其住房装修、婚丧嫁娶、特定关系人（近亲属及其它共同利益关系的人）出国（境）旅游提供方便。</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（六）发包人及其工作人员不准利用职务之便为承包人谋取利益之前或之后，约定在其离职后收受承包人财物，并在离职后收受。</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（七）发包人及其工作人员不准要求或者收受承包人住房、汽车等物品，不准收受承包人为其以明显低于市场价购置住房或以劣换优、以借为名占用承包人住房。</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（九）发包人及其工作人员不准在与承包人有直接利害关系的企事业单位兼职、兼职取酬、投资入股、经商办企业以及从事有偿中介活动。</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（十）发包人或工作人员不得利用职务便利为承包人谋取利益，由承包人出资 “合作”开办公司或进行其他合作投资，或委托承包人投资证券、期货或以其他委托理财名义，未实际出资并获取“收益”，或虽然出资，但获取“利益”明显高于出资应得收益；或授意承包人以本规定所列形式，将有关财物给特定关系人。</w:t>
      </w:r>
      <w:r/>
    </w:p>
    <w:p>
      <w:pPr>
        <w:pStyle w:val="1003"/>
        <w:ind w:firstLine="562"/>
        <w:spacing w:line="5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第三条  </w:t>
      </w:r>
      <w:r>
        <w:rPr>
          <w:rFonts w:hint="eastAsia" w:ascii="宋体" w:hAnsi="宋体" w:eastAsia="宋体" w:cs="宋体"/>
          <w:color w:val="auto"/>
          <w:szCs w:val="21"/>
          <w:highlight w:val="none"/>
        </w:rPr>
        <w:t xml:space="preserve">承包人在廉政建设方面义务</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（一）承包人不准以任何形式向发包人及其工作人员馈赠现金、有价证券、支付凭证及赠送干股，或以赌博等交易形式非法赠送发包人财物。</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（二）承包人不准以任何名义为发包人及其工作人员报销应由发包人或个人支付的费用。</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（三）承包人不准以任何理由邀请发包人工作人员参加对承建的工程项目有影响的宴请及娱乐活动；不准为其提供通讯工具、交通工具、高档办公用品等。</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（四）承包人不准为发包人工作人员住房装修、婚丧嫁娶、特定关系人出国（境）旅游提供方便；不准为发包人工作人员的特定关系人以安排工作为名，使其不实际工作却获取薪酬。</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（五）承包人不准赠送发包人工作人员住房、汽车等物品，不准为其以明显低于市场价购置住房或以劣换优、以借为名赠送住房。</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（六）承包人不准违反规定将承建的施工项目分包或非法转包。</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（七）承包人及其工作人员不准与该工程的监理单位串通，违反工程计量、资金支付、质量验评、竣工验收等有关规定和程序，损害发包人利益，影响工程质量、进度和安全。</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（八）按照发包人和监督部门的要求，对农民工工资实行银行卡支付，不得克扣、截留、拖欠农民工工资。</w:t>
      </w:r>
      <w:r/>
    </w:p>
    <w:p>
      <w:pPr>
        <w:pStyle w:val="1003"/>
        <w:ind w:firstLine="562"/>
        <w:spacing w:line="50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第四条</w:t>
      </w:r>
      <w:r>
        <w:rPr>
          <w:rFonts w:hint="eastAsia" w:ascii="宋体" w:hAnsi="宋体" w:eastAsia="宋体" w:cs="宋体"/>
          <w:color w:val="auto"/>
          <w:szCs w:val="21"/>
          <w:highlight w:val="none"/>
        </w:rPr>
        <w:t xml:space="preserve">  违约责任</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（一）发包人若违反本《廉政合同》有关规定的，对违纪违规人员，由发包人主管部门依据有关规定查处，构成犯罪的移交司法机关处理，给承包人造成的损失，按有关规定予以赔偿。</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承包人若违反本《廉政合同》有关规定的，对违纪违规人员，由承包人主管部门或行业管理部门依据有关规定查处，构成犯罪的移交司法机关处理，给发包人造成的损失，按有关规定予以赔偿，并按江苏省工程建设项目招投标诚信管理相关办法予以处罚。</w:t>
      </w:r>
      <w:r/>
    </w:p>
    <w:p>
      <w:pPr>
        <w:pStyle w:val="1003"/>
        <w:ind w:firstLine="562"/>
        <w:spacing w:line="50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第五条</w:t>
      </w:r>
      <w:r>
        <w:rPr>
          <w:rFonts w:hint="eastAsia" w:ascii="宋体" w:hAnsi="宋体" w:eastAsia="宋体" w:cs="宋体"/>
          <w:color w:val="auto"/>
          <w:szCs w:val="21"/>
          <w:highlight w:val="none"/>
        </w:rPr>
        <w:t xml:space="preserve">  督查单位</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双方约定：自愿接受</w:t>
      </w:r>
      <w:r>
        <w:rPr>
          <w:rFonts w:hint="eastAsia" w:ascii="宋体" w:hAnsi="宋体" w:eastAsia="宋体" w:cs="宋体"/>
          <w:color w:val="auto"/>
          <w:szCs w:val="21"/>
          <w:highlight w:val="none"/>
          <w:u w:val="single"/>
        </w:rPr>
        <w:t xml:space="preserve">纪委</w:t>
      </w:r>
      <w:r>
        <w:rPr>
          <w:rFonts w:hint="eastAsia" w:ascii="宋体" w:hAnsi="宋体" w:eastAsia="宋体" w:cs="宋体"/>
          <w:color w:val="auto"/>
          <w:szCs w:val="21"/>
          <w:highlight w:val="none"/>
        </w:rPr>
        <w:t xml:space="preserve">对合同执行情况的监督检查，双方应积极配合督查单位的检查，包括提供有关资料和财务账册凭证，接受本合同规定范围内的裁定意见。</w:t>
      </w:r>
      <w:r/>
    </w:p>
    <w:p>
      <w:pPr>
        <w:pStyle w:val="1003"/>
        <w:ind w:firstLine="562"/>
        <w:spacing w:line="50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第六条</w:t>
      </w:r>
      <w:r>
        <w:rPr>
          <w:rFonts w:hint="eastAsia" w:ascii="宋体" w:hAnsi="宋体" w:eastAsia="宋体" w:cs="宋体"/>
          <w:color w:val="auto"/>
          <w:szCs w:val="21"/>
          <w:highlight w:val="none"/>
        </w:rPr>
        <w:t xml:space="preserve">  检查方式</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的履约情况由督查单位主持，双方共同派员参加，检查方式为座谈、问卷调查、查看资料及财务账册或由各方约定的其他方式等。检查时间、次数、方式、检查结论和执行违约责任等由双方协商确定，如无法达成一致的，由督查单位依据事实裁定。</w:t>
      </w:r>
      <w:r/>
    </w:p>
    <w:p>
      <w:pPr>
        <w:pStyle w:val="1003"/>
        <w:ind w:firstLine="562"/>
        <w:spacing w:line="5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本合同有效期自本合同签订之日起至项目最终验收合格之日止。</w:t>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03"/>
        <w:ind w:firstLine="56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03"/>
        <w:ind w:firstLine="424"/>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03"/>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  包  人：（盖章）                       承包人：（盖章）                </w:t>
      </w:r>
      <w:r/>
    </w:p>
    <w:p>
      <w:pPr>
        <w:pStyle w:val="1003"/>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03"/>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                       法定代表人：（签名）</w:t>
      </w:r>
      <w:r/>
    </w:p>
    <w:p>
      <w:pPr>
        <w:pStyle w:val="1003"/>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03"/>
        <w:ind w:firstLine="42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或授权代理人：（签名）                     或授权代理人：（签名）</w:t>
      </w:r>
      <w:r/>
    </w:p>
    <w:p>
      <w:pPr>
        <w:pStyle w:val="1003"/>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rPr>
          <w:rStyle w:val="936"/>
          <w:rFonts w:hint="eastAsia" w:ascii="宋体" w:hAnsi="宋体" w:eastAsia="宋体" w:cs="宋体"/>
          <w:bCs/>
          <w:color w:val="auto"/>
          <w:szCs w:val="44"/>
          <w:highlight w:val="none"/>
        </w:rPr>
      </w:pPr>
      <w:r>
        <w:rPr>
          <w:rFonts w:hint="eastAsia" w:ascii="宋体" w:hAnsi="宋体" w:eastAsia="宋体" w:cs="宋体"/>
          <w:color w:val="auto"/>
          <w:szCs w:val="21"/>
          <w:highlight w:val="none"/>
        </w:rPr>
        <w:t xml:space="preserve">签 约 日 期：                           签 约 日 期：</w:t>
      </w:r>
      <w:r/>
    </w:p>
    <w:p>
      <w:pPr>
        <w:pStyle w:val="914"/>
        <w:ind w:firstLine="475"/>
        <w:jc w:val="both"/>
        <w:spacing w:line="360" w:lineRule="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r>
      <w:r/>
    </w:p>
    <w:p>
      <w:pPr>
        <w:pStyle w:val="954"/>
        <w:ind w:firstLine="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left="1533" w:firstLine="1767"/>
        <w:jc w:val="left"/>
        <w:rPr>
          <w:rFonts w:hint="eastAsia" w:ascii="宋体" w:hAnsi="宋体" w:eastAsia="宋体" w:cs="宋体"/>
          <w:b/>
          <w:color w:val="auto"/>
          <w:sz w:val="32"/>
          <w:highlight w:val="none"/>
        </w:rPr>
        <w:outlineLvl w:val="0"/>
      </w:pPr>
      <w:r/>
      <w:bookmarkStart w:id="13" w:name="_Toc31128"/>
      <w:r>
        <w:rPr>
          <w:rFonts w:hint="eastAsia" w:ascii="宋体" w:hAnsi="宋体" w:eastAsia="宋体" w:cs="宋体"/>
          <w:b/>
          <w:color w:val="auto"/>
          <w:sz w:val="32"/>
          <w:highlight w:val="none"/>
        </w:rPr>
        <w:t xml:space="preserve">第六章 投标文件部分格式</w:t>
      </w:r>
      <w:bookmarkEnd w:id="13"/>
      <w:r/>
      <w:r/>
    </w:p>
    <w:p>
      <w:pP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说明：</w:t>
      </w:r>
      <w:r/>
    </w:p>
    <w:p>
      <w:pPr>
        <w:ind w:firstLine="422"/>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对本章所有的投标文件格式，投标人可根据自身情况进行补充和修改，但补充和修改不得造成与本格式内容有实质性的违背。</w:t>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bCs/>
          <w:color w:val="auto"/>
          <w:highlight w:val="none"/>
        </w:rPr>
      </w:pPr>
      <w:r>
        <w:rPr>
          <w:rFonts w:hint="eastAsia" w:ascii="宋体" w:hAnsi="宋体" w:eastAsia="宋体" w:cs="宋体"/>
          <w:b/>
          <w:color w:val="auto"/>
          <w:szCs w:val="21"/>
          <w:highlight w:val="none"/>
        </w:rPr>
      </w:r>
      <w:r>
        <w:rPr>
          <w:rFonts w:hint="eastAsia" w:ascii="宋体" w:hAnsi="宋体" w:eastAsia="宋体" w:cs="宋体"/>
          <w:b/>
          <w:color w:val="auto"/>
          <w:szCs w:val="21"/>
          <w:highlight w:val="none"/>
        </w:rPr>
      </w:r>
      <w:r/>
    </w:p>
    <w:p>
      <w:pPr>
        <w:pStyle w:val="954"/>
        <w:ind w:firstLine="0"/>
        <w:rPr>
          <w:rFonts w:hint="eastAsia" w:ascii="宋体" w:hAnsi="宋体" w:eastAsia="宋体" w:cs="宋体"/>
          <w:b/>
          <w:bCs/>
          <w:color w:val="auto"/>
          <w:highlight w:val="none"/>
        </w:rPr>
      </w:pPr>
      <w:r>
        <w:rPr>
          <w:rFonts w:hint="eastAsia" w:ascii="宋体" w:hAnsi="宋体" w:eastAsia="宋体" w:cs="宋体"/>
          <w:b/>
          <w:bCs/>
          <w:color w:val="auto"/>
          <w:highlight w:val="none"/>
        </w:rPr>
      </w:r>
      <w:r>
        <w:rPr>
          <w:rFonts w:hint="eastAsia" w:ascii="宋体" w:hAnsi="宋体" w:eastAsia="宋体" w:cs="宋体"/>
          <w:b/>
          <w:bCs/>
          <w:color w:val="auto"/>
          <w:highlight w:val="none"/>
        </w:rPr>
      </w:r>
      <w:r/>
    </w:p>
    <w:p>
      <w:pPr>
        <w:pStyle w:val="954"/>
        <w:ind w:firstLine="0"/>
        <w:rPr>
          <w:rFonts w:hint="eastAsia" w:ascii="宋体" w:hAnsi="宋体" w:eastAsia="宋体" w:cs="宋体"/>
          <w:b/>
          <w:bCs/>
          <w:color w:val="auto"/>
          <w:highlight w:val="none"/>
        </w:rPr>
      </w:pPr>
      <w:r>
        <w:rPr>
          <w:rFonts w:hint="eastAsia" w:ascii="宋体" w:hAnsi="宋体" w:eastAsia="宋体" w:cs="宋体"/>
          <w:b/>
          <w:bCs/>
          <w:color w:val="auto"/>
          <w:highlight w:val="none"/>
        </w:rPr>
      </w:r>
      <w:r>
        <w:rPr>
          <w:rFonts w:hint="eastAsia" w:ascii="宋体" w:hAnsi="宋体" w:eastAsia="宋体" w:cs="宋体"/>
          <w:b/>
          <w:bCs/>
          <w:color w:val="auto"/>
          <w:highlight w:val="none"/>
        </w:rPr>
      </w:r>
      <w:r/>
    </w:p>
    <w:p>
      <w:pPr>
        <w:pStyle w:val="954"/>
        <w:ind w:firstLine="0"/>
        <w:rPr>
          <w:rFonts w:hint="eastAsia" w:ascii="宋体" w:hAnsi="宋体" w:eastAsia="宋体" w:cs="宋体"/>
          <w:b/>
          <w:bCs/>
          <w:color w:val="auto"/>
          <w:highlight w:val="none"/>
        </w:rPr>
      </w:pPr>
      <w:r>
        <w:rPr>
          <w:rFonts w:hint="eastAsia" w:ascii="宋体" w:hAnsi="宋体" w:eastAsia="宋体" w:cs="宋体"/>
          <w:b/>
          <w:bCs/>
          <w:color w:val="auto"/>
          <w:highlight w:val="none"/>
        </w:rPr>
      </w:r>
      <w:r>
        <w:rPr>
          <w:rFonts w:hint="eastAsia" w:ascii="宋体" w:hAnsi="宋体" w:eastAsia="宋体" w:cs="宋体"/>
          <w:b/>
          <w:bCs/>
          <w:color w:val="auto"/>
          <w:highlight w:val="none"/>
        </w:rPr>
      </w:r>
      <w:r/>
    </w:p>
    <w:p>
      <w:pPr>
        <w:pStyle w:val="954"/>
        <w:ind w:firstLine="0"/>
        <w:rPr>
          <w:rFonts w:hint="eastAsia" w:ascii="宋体" w:hAnsi="宋体" w:eastAsia="宋体" w:cs="宋体"/>
          <w:b/>
          <w:bCs/>
          <w:color w:val="auto"/>
          <w:highlight w:val="none"/>
        </w:rPr>
      </w:pPr>
      <w:r>
        <w:rPr>
          <w:rFonts w:hint="eastAsia" w:ascii="宋体" w:hAnsi="宋体" w:eastAsia="宋体" w:cs="宋体"/>
          <w:b/>
          <w:bCs/>
          <w:color w:val="auto"/>
          <w:highlight w:val="none"/>
        </w:rPr>
      </w:r>
      <w:r>
        <w:rPr>
          <w:rFonts w:hint="eastAsia" w:ascii="宋体" w:hAnsi="宋体" w:eastAsia="宋体" w:cs="宋体"/>
          <w:b/>
          <w:bCs/>
          <w:color w:val="auto"/>
          <w:highlight w:val="none"/>
        </w:rPr>
      </w:r>
      <w:r/>
    </w:p>
    <w:p>
      <w:pPr>
        <w:pStyle w:val="954"/>
        <w:ind w:firstLine="0"/>
        <w:rPr>
          <w:rFonts w:hint="eastAsia" w:ascii="宋体" w:hAnsi="宋体" w:eastAsia="宋体" w:cs="宋体"/>
          <w:b/>
          <w:bCs/>
          <w:color w:val="auto"/>
          <w:highlight w:val="none"/>
        </w:rPr>
      </w:pPr>
      <w:r>
        <w:rPr>
          <w:rFonts w:hint="eastAsia" w:ascii="宋体" w:hAnsi="宋体" w:eastAsia="宋体" w:cs="宋体"/>
          <w:b/>
          <w:bCs/>
          <w:color w:val="auto"/>
          <w:highlight w:val="none"/>
        </w:rPr>
      </w:r>
      <w:r>
        <w:rPr>
          <w:rFonts w:hint="eastAsia" w:ascii="宋体" w:hAnsi="宋体" w:eastAsia="宋体" w:cs="宋体"/>
          <w:b/>
          <w:bCs/>
          <w:color w:val="auto"/>
          <w:highlight w:val="none"/>
        </w:rPr>
      </w:r>
      <w:r/>
    </w:p>
    <w:p>
      <w:pPr>
        <w:pStyle w:val="954"/>
        <w:ind w:firstLine="0"/>
        <w:rPr>
          <w:rFonts w:hint="eastAsia" w:ascii="宋体" w:hAnsi="宋体" w:eastAsia="宋体" w:cs="宋体"/>
          <w:b/>
          <w:bCs/>
          <w:color w:val="auto"/>
          <w:highlight w:val="none"/>
        </w:rPr>
      </w:pPr>
      <w:r>
        <w:rPr>
          <w:rFonts w:hint="eastAsia" w:ascii="宋体" w:hAnsi="宋体" w:eastAsia="宋体" w:cs="宋体"/>
          <w:b/>
          <w:bCs/>
          <w:color w:val="auto"/>
          <w:highlight w:val="none"/>
        </w:rPr>
      </w:r>
      <w:r>
        <w:rPr>
          <w:rFonts w:hint="eastAsia" w:ascii="宋体" w:hAnsi="宋体" w:eastAsia="宋体" w:cs="宋体"/>
          <w:b/>
          <w:bCs/>
          <w:color w:val="auto"/>
          <w:highlight w:val="none"/>
        </w:rPr>
      </w:r>
      <w:r/>
    </w:p>
    <w:p>
      <w:pPr>
        <w:pStyle w:val="954"/>
        <w:ind w:firstLine="0"/>
        <w:rPr>
          <w:rFonts w:hint="eastAsia" w:ascii="宋体" w:hAnsi="宋体" w:eastAsia="宋体" w:cs="宋体"/>
          <w:b/>
          <w:bCs/>
          <w:color w:val="auto"/>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4"/>
        <w:ind w:firstLine="0"/>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格式1、投标函</w:t>
      </w:r>
      <w:r/>
    </w:p>
    <w:p>
      <w:pPr>
        <w:jc w:val="center"/>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投标函</w:t>
      </w:r>
      <w:r/>
    </w:p>
    <w:p>
      <w:pPr>
        <w:jc w:val="left"/>
        <w:spacing w:line="440" w:lineRule="exact"/>
        <w:rPr>
          <w:rFonts w:hint="eastAsia" w:ascii="宋体" w:hAnsi="宋体" w:eastAsia="宋体" w:cs="宋体"/>
          <w:b/>
          <w:bCs/>
          <w:color w:val="auto"/>
          <w:spacing w:val="20"/>
          <w:szCs w:val="21"/>
          <w:highlight w:val="none"/>
        </w:rPr>
      </w:pPr>
      <w:r>
        <w:rPr>
          <w:rFonts w:hint="eastAsia" w:ascii="宋体" w:hAnsi="宋体" w:eastAsia="宋体" w:cs="宋体"/>
          <w:b/>
          <w:bCs/>
          <w:color w:val="auto"/>
          <w:spacing w:val="20"/>
          <w:szCs w:val="21"/>
          <w:highlight w:val="none"/>
        </w:rPr>
      </w:r>
      <w:r/>
    </w:p>
    <w:p>
      <w:pPr>
        <w:pStyle w:val="918"/>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江苏祥和项目管理有限公司</w:t>
      </w:r>
      <w:r>
        <w:rPr>
          <w:rFonts w:hint="eastAsia" w:ascii="宋体" w:hAnsi="宋体" w:eastAsia="宋体" w:cs="宋体"/>
          <w:color w:val="auto"/>
          <w:sz w:val="21"/>
          <w:szCs w:val="21"/>
          <w:highlight w:val="none"/>
        </w:rPr>
        <w:t xml:space="preserve">： </w:t>
      </w:r>
      <w:r/>
    </w:p>
    <w:p>
      <w:pPr>
        <w:pStyle w:val="918"/>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4"/>
        <w:ind w:firstLine="420"/>
        <w:jc w:val="left"/>
        <w:spacing w:line="460" w:lineRule="exact"/>
        <w:tabs>
          <w:tab w:val="left" w:pos="37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我方收到贵方项目编号为            的招标文件，经仔细阅读和研究，我方决定参加本项目投标。</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1.我方已详细阅读全部招标文件，包括澄清、修改公告（如有），对招标文件及澄清、修改公告（如有）无任何异议。我方完全理解并同意放弃对这方面有不明及误解的权利。</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2.我方愿意按照招标文件的一切要求，提供本项目的全部内容，我方投标报价包括完成本项目所需的一切费用。</w:t>
      </w:r>
      <w:r/>
    </w:p>
    <w:p>
      <w:pPr>
        <w:pStyle w:val="944"/>
        <w:ind w:firstLine="420"/>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3.如果我方的投标文件被接受，我们将严格履行招标文件中规定的每一项要求，按期、按质、按量履行合同的义务。</w:t>
      </w:r>
      <w:r/>
    </w:p>
    <w:p>
      <w:pPr>
        <w:pStyle w:val="944"/>
        <w:ind w:firstLine="420"/>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4.我方同意招标文件关于违约责任的认定方式和对违约责任的处罚；在履行合同过程中，如我方违约，我方愿意承担相应违约责任。</w:t>
      </w:r>
      <w:r/>
    </w:p>
    <w:p>
      <w:pPr>
        <w:pStyle w:val="944"/>
        <w:ind w:firstLine="420"/>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5.我方投标有效期为自提交投标文件截止之日起90日历天。</w:t>
      </w:r>
      <w:r/>
    </w:p>
    <w:p>
      <w:pPr>
        <w:pStyle w:val="944"/>
        <w:ind w:firstLine="420"/>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6.我方愿意提供采购人在招标文件中要求的所有资料。</w:t>
      </w:r>
      <w:r/>
    </w:p>
    <w:p>
      <w:pPr>
        <w:pStyle w:val="944"/>
        <w:ind w:firstLine="420"/>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7.我方承诺遵守招标文件所列的各项规定，不向采购人、采购代理机构、评标委员会成员行贿或者提供其他不正当利益。</w:t>
      </w:r>
      <w:r/>
    </w:p>
    <w:p>
      <w:pPr>
        <w:pStyle w:val="944"/>
        <w:ind w:firstLine="420"/>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8.我方承诺本投标文件在投标有效期内保持有效，不作任何更改和变动。</w:t>
      </w:r>
      <w:r/>
    </w:p>
    <w:p>
      <w:pPr>
        <w:pStyle w:val="944"/>
        <w:ind w:firstLine="420"/>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9.我方承诺所提交的投标文件中所有资料均是真实的、准确的。若与真实情况不符，我方愿意承担由此而产生的一切后果，并接受《中华人民共和国政府采购法》第七十七条规定的处理。</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10.我方承诺满足《中华人民共和国政府采购法》第二十二条规定的条件，且不属于失信被执行人、重大税收违法失信主体、政府采购严重违法失信行为记录名单中的主体。</w:t>
      </w:r>
      <w:r/>
    </w:p>
    <w:p>
      <w:pPr>
        <w:ind w:firstLine="420"/>
        <w:spacing w:line="4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11.我方愿意按照《中华人民共和国民法典》履行自己应该承担的全部责任。</w:t>
      </w:r>
      <w:r/>
    </w:p>
    <w:p>
      <w:pPr>
        <w:pStyle w:val="944"/>
        <w:ind w:firstLine="420"/>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所有与本投标相关的函电，请按下列地址联系：</w:t>
      </w:r>
      <w:r/>
    </w:p>
    <w:p>
      <w:pPr>
        <w:pStyle w:val="944"/>
        <w:ind w:firstLine="420"/>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                             联系人：</w:t>
      </w:r>
      <w:r/>
    </w:p>
    <w:p>
      <w:pPr>
        <w:pStyle w:val="944"/>
        <w:ind w:firstLine="420"/>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邮政编码：</w:t>
      </w:r>
      <w:r/>
    </w:p>
    <w:p>
      <w:pPr>
        <w:pStyle w:val="944"/>
        <w:ind w:firstLine="420"/>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传真：</w:t>
      </w:r>
      <w:r/>
    </w:p>
    <w:p>
      <w:pPr>
        <w:pStyle w:val="944"/>
        <w:ind w:firstLine="420"/>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投标人（公章）：</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法定代表人或代理人（签字或盖章）：</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jc w:val="left"/>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格式2、法定代表人授权委托书（如有）</w:t>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40" w:lineRule="exact"/>
        <w:rPr>
          <w:rFonts w:hint="eastAsia" w:ascii="宋体" w:hAnsi="宋体" w:eastAsia="宋体" w:cs="宋体"/>
          <w:b/>
          <w:bCs/>
          <w:color w:val="auto"/>
          <w:sz w:val="24"/>
          <w:highlight w:val="none"/>
        </w:rPr>
      </w:pPr>
      <w:r>
        <w:rPr>
          <w:rFonts w:hint="eastAsia" w:ascii="宋体" w:hAnsi="宋体" w:eastAsia="宋体" w:cs="宋体"/>
          <w:b/>
          <w:color w:val="auto"/>
          <w:highlight w:val="none"/>
        </w:rPr>
        <w:t xml:space="preserve">法定代表人授权委托书</w:t>
      </w:r>
      <w:r/>
    </w:p>
    <w:p>
      <w:pPr>
        <w:ind w:firstLine="420"/>
        <w:jc w:val="left"/>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本授权委托书声明：我</w:t>
      </w:r>
      <w:r>
        <w:rPr>
          <w:rFonts w:hint="eastAsia" w:ascii="宋体" w:hAnsi="宋体" w:eastAsia="宋体" w:cs="宋体"/>
          <w:color w:val="auto"/>
          <w:szCs w:val="21"/>
          <w:highlight w:val="none"/>
          <w:u w:val="single"/>
        </w:rPr>
        <w:t xml:space="preserve">       （姓名）</w:t>
      </w:r>
      <w:r>
        <w:rPr>
          <w:rFonts w:hint="eastAsia" w:ascii="宋体" w:hAnsi="宋体" w:eastAsia="宋体" w:cs="宋体"/>
          <w:color w:val="auto"/>
          <w:szCs w:val="21"/>
          <w:highlight w:val="none"/>
        </w:rPr>
        <w:t xml:space="preserve">系</w:t>
      </w:r>
      <w:r>
        <w:rPr>
          <w:rFonts w:hint="eastAsia" w:ascii="宋体" w:hAnsi="宋体" w:eastAsia="宋体" w:cs="宋体"/>
          <w:color w:val="auto"/>
          <w:szCs w:val="21"/>
          <w:highlight w:val="none"/>
          <w:u w:val="single"/>
        </w:rPr>
        <w:t xml:space="preserve">       （供应商名称） </w:t>
      </w:r>
      <w:r>
        <w:rPr>
          <w:rFonts w:hint="eastAsia" w:ascii="宋体" w:hAnsi="宋体" w:eastAsia="宋体" w:cs="宋体"/>
          <w:b/>
          <w:i/>
          <w:color w:val="auto"/>
          <w:szCs w:val="21"/>
          <w:highlight w:val="none"/>
          <w:u w:val="single"/>
        </w:rPr>
        <w:t xml:space="preserve"> </w:t>
      </w:r>
      <w:r>
        <w:rPr>
          <w:rFonts w:hint="eastAsia" w:ascii="宋体" w:hAnsi="宋体" w:eastAsia="宋体" w:cs="宋体"/>
          <w:color w:val="auto"/>
          <w:szCs w:val="21"/>
          <w:highlight w:val="none"/>
        </w:rPr>
        <w:t xml:space="preserve">的法定代表人，现授权委托</w:t>
      </w:r>
      <w:r>
        <w:rPr>
          <w:rFonts w:hint="eastAsia" w:ascii="宋体" w:hAnsi="宋体" w:eastAsia="宋体" w:cs="宋体"/>
          <w:color w:val="auto"/>
          <w:szCs w:val="21"/>
          <w:highlight w:val="none"/>
          <w:u w:val="single"/>
        </w:rPr>
        <w:t xml:space="preserve">        （姓名）</w:t>
      </w:r>
      <w:r>
        <w:rPr>
          <w:rFonts w:hint="eastAsia" w:ascii="宋体" w:hAnsi="宋体" w:eastAsia="宋体" w:cs="宋体"/>
          <w:color w:val="auto"/>
          <w:szCs w:val="21"/>
          <w:highlight w:val="none"/>
        </w:rPr>
        <w:t xml:space="preserve">为我公司授权代表（即代理人），以本公司的名义参加</w:t>
      </w:r>
      <w:r>
        <w:rPr>
          <w:rFonts w:hint="eastAsia" w:ascii="宋体" w:hAnsi="宋体" w:eastAsia="宋体" w:cs="宋体"/>
          <w:color w:val="auto"/>
          <w:szCs w:val="21"/>
          <w:highlight w:val="none"/>
          <w:u w:val="single"/>
        </w:rPr>
        <w:t xml:space="preserve">江苏祥和项目管理有限公司</w:t>
      </w:r>
      <w:r>
        <w:rPr>
          <w:rFonts w:hint="eastAsia" w:ascii="宋体" w:hAnsi="宋体" w:eastAsia="宋体" w:cs="宋体"/>
          <w:color w:val="auto"/>
          <w:szCs w:val="21"/>
          <w:highlight w:val="none"/>
        </w:rPr>
        <w:t xml:space="preserve">组织实施的编号为</w:t>
      </w:r>
      <w:r>
        <w:rPr>
          <w:rFonts w:hint="eastAsia" w:ascii="宋体" w:hAnsi="宋体" w:eastAsia="宋体" w:cs="宋体"/>
          <w:color w:val="auto"/>
          <w:szCs w:val="21"/>
          <w:highlight w:val="none"/>
          <w:u w:val="single"/>
        </w:rPr>
        <w:t xml:space="preserve">      （项目编号） </w:t>
      </w:r>
      <w:r>
        <w:rPr>
          <w:rFonts w:hint="eastAsia" w:ascii="宋体" w:hAnsi="宋体" w:eastAsia="宋体" w:cs="宋体"/>
          <w:color w:val="auto"/>
          <w:szCs w:val="21"/>
          <w:highlight w:val="none"/>
        </w:rPr>
        <w:t xml:space="preserve">号的投标活动。代理人在投标活动过程中所签署的一切文件和处理与这有关的一切事务，我均予以承认。</w:t>
      </w:r>
      <w:r/>
    </w:p>
    <w:p>
      <w:pPr>
        <w:ind w:firstLine="420"/>
        <w:jc w:val="left"/>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代理人在授权委托书有效期内签署的所有文件不因授权委托的撤销而失效，除非有撤销授权委托的书面通知，本授权委托书自投标活动开始至合同履行完毕止。</w:t>
      </w:r>
      <w:r/>
    </w:p>
    <w:p>
      <w:pPr>
        <w:ind w:firstLine="420"/>
        <w:jc w:val="left"/>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代理人无转委托权。特此委托！</w:t>
      </w:r>
      <w:r/>
    </w:p>
    <w:p>
      <w:pPr>
        <w:ind w:firstLine="84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投标人（公章）：</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法定代表人（签字或盖章）：</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代理人（签字或盖章）：</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jc w:val="left"/>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p>
    <w:p>
      <w:pPr>
        <w:ind w:firstLine="422"/>
        <w:spacing w:line="440" w:lineRule="exact"/>
        <w:rPr>
          <w:rFonts w:hint="eastAsia" w:ascii="宋体" w:hAnsi="宋体" w:eastAsia="宋体" w:cs="宋体"/>
          <w:b/>
          <w:color w:val="auto"/>
          <w:highlight w:val="none"/>
        </w:rPr>
      </w:pPr>
      <w:r>
        <w:rPr>
          <w:rFonts w:hint="eastAsia" w:ascii="宋体" w:hAnsi="宋体" w:eastAsia="宋体" w:cs="宋体"/>
          <w:b/>
          <w:bCs/>
          <w:color w:val="auto"/>
          <w:szCs w:val="21"/>
          <w:highlight w:val="none"/>
        </w:rPr>
        <w:t xml:space="preserve">1.</w:t>
      </w:r>
      <w:r>
        <w:rPr>
          <w:rFonts w:hint="eastAsia" w:ascii="宋体" w:hAnsi="宋体" w:eastAsia="宋体" w:cs="宋体"/>
          <w:b/>
          <w:color w:val="auto"/>
          <w:highlight w:val="none"/>
        </w:rPr>
        <w:t xml:space="preserve">本授权委托书仅限于法人性质投标人投标，且必须提供法定代表人和代理人身份证复印件。非法人性质投标人投标，授权委托书格式自拟，且必须同时提供受托双方身份证复印件。</w:t>
      </w:r>
      <w:r/>
    </w:p>
    <w:p>
      <w:pPr>
        <w:ind w:firstLine="422"/>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2.须单位签章、法定代表人签字或盖章、代理人签字或盖章三者齐全，否则该授权委托书无效。</w:t>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left"/>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格式3、投标报价表</w:t>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投标报价一览表</w:t>
      </w:r>
      <w:r/>
    </w:p>
    <w:tbl>
      <w:tblPr>
        <w:tblStyle w:val="910"/>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74"/>
        <w:gridCol w:w="3120"/>
        <w:gridCol w:w="3402"/>
        <w:gridCol w:w="1701"/>
        <w:gridCol w:w="958"/>
      </w:tblGrid>
      <w:tr>
        <w:trPr>
          <w:cantSplit/>
          <w:jc w:val="center"/>
          <w:trHeight w:val="595"/>
        </w:trPr>
        <w:tc>
          <w:tcPr>
            <w:tcW w:w="342" w:type="pct"/>
            <w:vAlign w:val="center"/>
            <w:textDirection w:val="lrTb"/>
            <w:noWrap w:val="false"/>
          </w:tcPr>
          <w:p>
            <w:pPr>
              <w:pStyle w:val="918"/>
              <w:jc w:val="center"/>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t xml:space="preserve">序号</w:t>
            </w:r>
            <w:r/>
          </w:p>
        </w:tc>
        <w:tc>
          <w:tcPr>
            <w:tcW w:w="1583" w:type="pct"/>
            <w:vAlign w:val="center"/>
            <w:textDirection w:val="lrTb"/>
            <w:noWrap w:val="false"/>
          </w:tcPr>
          <w:p>
            <w:pPr>
              <w:pStyle w:val="918"/>
              <w:jc w:val="center"/>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t xml:space="preserve">项目名称</w:t>
            </w:r>
            <w:r/>
          </w:p>
        </w:tc>
        <w:tc>
          <w:tcPr>
            <w:tcW w:w="1726" w:type="pct"/>
            <w:vAlign w:val="center"/>
            <w:textDirection w:val="lrTb"/>
            <w:noWrap w:val="false"/>
          </w:tcPr>
          <w:p>
            <w:pPr>
              <w:pStyle w:val="918"/>
              <w:jc w:val="center"/>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t xml:space="preserve">标段名称</w:t>
            </w:r>
            <w:r/>
          </w:p>
        </w:tc>
        <w:tc>
          <w:tcPr>
            <w:tcW w:w="863" w:type="pct"/>
            <w:vAlign w:val="center"/>
            <w:textDirection w:val="lrTb"/>
            <w:noWrap w:val="false"/>
          </w:tcPr>
          <w:p>
            <w:pPr>
              <w:pStyle w:val="918"/>
              <w:jc w:val="center"/>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t xml:space="preserve">报价</w:t>
            </w:r>
            <w:r/>
          </w:p>
        </w:tc>
        <w:tc>
          <w:tcPr>
            <w:tcBorders>
              <w:right w:val="single" w:color="auto" w:sz="4" w:space="0"/>
            </w:tcBorders>
            <w:tcW w:w="486" w:type="pct"/>
            <w:vAlign w:val="center"/>
            <w:textDirection w:val="lrTb"/>
            <w:noWrap w:val="false"/>
          </w:tcPr>
          <w:p>
            <w:pPr>
              <w:pStyle w:val="918"/>
              <w:jc w:val="center"/>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t xml:space="preserve">备注</w:t>
            </w:r>
            <w:r/>
          </w:p>
        </w:tc>
      </w:tr>
      <w:tr>
        <w:trPr>
          <w:cantSplit/>
          <w:jc w:val="center"/>
          <w:trHeight w:val="595"/>
        </w:trPr>
        <w:tc>
          <w:tcPr>
            <w:tcW w:w="342" w:type="pct"/>
            <w:vAlign w:val="center"/>
            <w:textDirection w:val="lrTb"/>
            <w:noWrap w:val="false"/>
          </w:tcPr>
          <w:p>
            <w:pPr>
              <w:pStyle w:val="918"/>
              <w:ind w:firstLine="504"/>
              <w:jc w:val="center"/>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r>
            <w:r/>
          </w:p>
        </w:tc>
        <w:tc>
          <w:tcPr>
            <w:tcW w:w="1583" w:type="pct"/>
            <w:vAlign w:val="center"/>
            <w:textDirection w:val="lrTb"/>
            <w:noWrap w:val="false"/>
          </w:tcPr>
          <w:p>
            <w:pPr>
              <w:pStyle w:val="918"/>
              <w:ind w:firstLine="504"/>
              <w:jc w:val="center"/>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r>
            <w:r/>
          </w:p>
        </w:tc>
        <w:tc>
          <w:tcPr>
            <w:tcW w:w="1726" w:type="pct"/>
            <w:textDirection w:val="lrTb"/>
            <w:noWrap w:val="false"/>
          </w:tcPr>
          <w:p>
            <w:pPr>
              <w:pStyle w:val="918"/>
              <w:ind w:firstLine="504"/>
              <w:jc w:val="center"/>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r>
            <w:r/>
          </w:p>
        </w:tc>
        <w:tc>
          <w:tcPr>
            <w:tcW w:w="863" w:type="pct"/>
            <w:vAlign w:val="center"/>
            <w:textDirection w:val="lrTb"/>
            <w:noWrap w:val="false"/>
          </w:tcPr>
          <w:p>
            <w:pPr>
              <w:pStyle w:val="918"/>
              <w:jc w:val="center"/>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r>
            <w:r/>
          </w:p>
        </w:tc>
        <w:tc>
          <w:tcPr>
            <w:tcBorders>
              <w:right w:val="single" w:color="auto" w:sz="4" w:space="0"/>
            </w:tcBorders>
            <w:tcW w:w="486" w:type="pct"/>
            <w:vAlign w:val="center"/>
            <w:textDirection w:val="lrTb"/>
            <w:noWrap w:val="false"/>
          </w:tcPr>
          <w:p>
            <w:pPr>
              <w:pStyle w:val="918"/>
              <w:ind w:firstLine="504"/>
              <w:jc w:val="center"/>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r>
            <w:r/>
          </w:p>
        </w:tc>
      </w:tr>
    </w:tbl>
    <w:p>
      <w:pPr>
        <w:ind w:firstLine="422"/>
        <w:jc w:val="both"/>
        <w:spacing w:line="400" w:lineRule="exact"/>
        <w:rPr>
          <w:rFonts w:hint="eastAsia" w:ascii="宋体" w:hAnsi="宋体" w:eastAsia="宋体" w:cs="宋体"/>
          <w:b/>
          <w:color w:val="auto"/>
          <w:highlight w:val="none"/>
        </w:rPr>
      </w:pPr>
      <w:r>
        <w:rPr>
          <w:rFonts w:hint="eastAsia" w:ascii="宋体" w:hAnsi="宋体" w:eastAsia="宋体" w:cs="宋体"/>
          <w:color w:val="auto"/>
          <w:highlight w:val="none"/>
        </w:rPr>
        <w:t xml:space="preserve">注：1.投标报价应当包括设备、配件、运输、装卸、安装、调试、系统集成、检测、培训、税费、质保期内服务等全部费用。</w:t>
      </w:r>
      <w:r/>
    </w:p>
    <w:p>
      <w:pPr>
        <w:ind w:firstLine="422"/>
        <w:jc w:val="both"/>
        <w:spacing w:line="400" w:lineRule="exact"/>
        <w:rPr>
          <w:rFonts w:hint="eastAsia" w:ascii="宋体" w:hAnsi="宋体" w:eastAsia="宋体" w:cs="宋体"/>
          <w:b/>
          <w:color w:val="auto"/>
          <w:highlight w:val="none"/>
        </w:rPr>
      </w:pPr>
      <w:r>
        <w:rPr>
          <w:rFonts w:hint="eastAsia" w:ascii="宋体" w:hAnsi="宋体" w:eastAsia="宋体" w:cs="宋体"/>
          <w:color w:val="auto"/>
          <w:highlight w:val="none"/>
        </w:rPr>
        <w:t xml:space="preserve">　　2.投标报价的大写金额与小写金额不一致的，以大写金额为准；开标一览表（报价表）内容与投标文件中相应内容不一致的，以开标一览表（报价表）为准（《政府采购货物和服务招标投标管理办法》第五十九条）。</w:t>
      </w:r>
      <w:r/>
    </w:p>
    <w:p>
      <w:pPr>
        <w:ind w:firstLine="422"/>
        <w:jc w:val="both"/>
        <w:spacing w:line="400" w:lineRule="exact"/>
        <w:rPr>
          <w:rFonts w:hint="eastAsia" w:ascii="宋体" w:hAnsi="宋体" w:eastAsia="宋体" w:cs="宋体"/>
          <w:b/>
          <w:color w:val="auto"/>
          <w:highlight w:val="none"/>
        </w:rPr>
      </w:pPr>
      <w:r>
        <w:rPr>
          <w:rFonts w:hint="eastAsia" w:ascii="宋体" w:hAnsi="宋体" w:eastAsia="宋体" w:cs="宋体"/>
          <w:color w:val="auto"/>
          <w:highlight w:val="none"/>
        </w:rPr>
        <w:t xml:space="preserve">　　3.投标人不得以低于成本的报价投标，也不得以他人名义投标或者以其他方式弄虚作假。</w:t>
      </w:r>
      <w:r/>
    </w:p>
    <w:p>
      <w:pPr>
        <w:pStyle w:val="918"/>
        <w:ind w:firstLine="504"/>
        <w:spacing w:line="360" w:lineRule="auto"/>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r>
      <w:r/>
    </w:p>
    <w:p>
      <w:pPr>
        <w:pStyle w:val="918"/>
        <w:ind w:firstLine="504"/>
        <w:spacing w:line="360" w:lineRule="auto"/>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r>
      <w:r/>
    </w:p>
    <w:p>
      <w:pPr>
        <w:pStyle w:val="918"/>
        <w:ind w:firstLine="504"/>
        <w:spacing w:line="360" w:lineRule="auto"/>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t xml:space="preserve">投标人（公章）：</w:t>
      </w:r>
      <w:r/>
    </w:p>
    <w:p>
      <w:pPr>
        <w:pStyle w:val="918"/>
        <w:ind w:firstLine="504"/>
        <w:spacing w:line="360" w:lineRule="auto"/>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t xml:space="preserve">法定代表人或代理人：（签字或盖章）</w:t>
      </w:r>
      <w:r/>
    </w:p>
    <w:p>
      <w:pPr>
        <w:pStyle w:val="918"/>
        <w:ind w:firstLine="504"/>
        <w:spacing w:line="360" w:lineRule="auto"/>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t xml:space="preserve">日期：         年         月       日</w:t>
      </w:r>
      <w:r/>
    </w:p>
    <w:p>
      <w:pPr>
        <w:pStyle w:val="918"/>
        <w:ind w:firstLine="504"/>
        <w:spacing w:line="360" w:lineRule="auto"/>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t xml:space="preserve">联系电话：</w:t>
      </w:r>
      <w:r/>
    </w:p>
    <w:p>
      <w:pPr>
        <w:pStyle w:val="914"/>
        <w:ind w:firstLine="0"/>
        <w:spacing w:line="360" w:lineRule="auto"/>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 </w:t>
      </w:r>
      <w:r/>
    </w:p>
    <w:p>
      <w:pPr>
        <w:pStyle w:val="914"/>
        <w:ind w:firstLine="0"/>
        <w:spacing w:line="360" w:lineRule="auto"/>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r>
      <w:r/>
    </w:p>
    <w:p>
      <w:pPr>
        <w:pStyle w:val="914"/>
        <w:ind w:firstLine="0"/>
        <w:spacing w:line="360" w:lineRule="auto"/>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r>
      <w:r/>
    </w:p>
    <w:p>
      <w:pPr>
        <w:pStyle w:val="914"/>
        <w:ind w:firstLine="0"/>
        <w:spacing w:line="360" w:lineRule="auto"/>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r>
      <w:r/>
    </w:p>
    <w:p>
      <w:pPr>
        <w:pStyle w:val="914"/>
        <w:ind w:firstLine="0"/>
        <w:spacing w:line="360" w:lineRule="auto"/>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r>
      <w:r/>
    </w:p>
    <w:p>
      <w:pPr>
        <w:pStyle w:val="914"/>
        <w:ind w:firstLine="0"/>
        <w:spacing w:line="360" w:lineRule="auto"/>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r>
      <w:r/>
    </w:p>
    <w:p>
      <w:pPr>
        <w:pStyle w:val="914"/>
        <w:ind w:firstLine="0"/>
        <w:spacing w:line="360" w:lineRule="auto"/>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r>
      <w:r/>
    </w:p>
    <w:p>
      <w:pPr>
        <w:pStyle w:val="914"/>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4"/>
          <w:highlight w:val="none"/>
        </w:rPr>
      </w:r>
      <w:r>
        <w:rPr>
          <w:rFonts w:hint="eastAsia" w:ascii="宋体" w:hAnsi="宋体" w:eastAsia="宋体" w:cs="宋体"/>
          <w:b/>
          <w:color w:val="auto"/>
          <w:sz w:val="21"/>
          <w:szCs w:val="24"/>
          <w:highlight w:val="none"/>
        </w:rPr>
      </w:r>
      <w:r/>
    </w:p>
    <w:p>
      <w:pPr>
        <w:pStyle w:val="914"/>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pStyle w:val="914"/>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pStyle w:val="914"/>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r/>
    </w:p>
    <w:p>
      <w:pPr>
        <w:pStyle w:val="914"/>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4"/>
          <w:highlight w:val="none"/>
        </w:rPr>
      </w:r>
      <w:r/>
    </w:p>
    <w:p>
      <w:pPr>
        <w:pStyle w:val="914"/>
        <w:ind w:firstLine="0"/>
        <w:spacing w:line="360" w:lineRule="auto"/>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r>
      <w:r/>
    </w:p>
    <w:p>
      <w:pPr>
        <w:pStyle w:val="914"/>
        <w:ind w:firstLine="0"/>
        <w:spacing w:line="360" w:lineRule="auto"/>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r>
      <w:r/>
    </w:p>
    <w:p>
      <w:pPr>
        <w:jc w:val="left"/>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格式4、具有履行合同所必需的设备和专业技术能力声明函</w:t>
      </w:r>
      <w:r/>
    </w:p>
    <w:p>
      <w:pPr>
        <w:pStyle w:val="954"/>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具有履行合同所必需的设备和专业技术能力声明函</w:t>
      </w:r>
      <w:r/>
    </w:p>
    <w:p>
      <w:pPr>
        <w:pStyle w:val="954"/>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江苏祥和项目管理有限公司：</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我单位   （供应商名称） 郑重声明：我单位具有履行本项采购合同所必需的设备和专业技术能力。</w:t>
      </w:r>
      <w:r/>
    </w:p>
    <w:p>
      <w:pPr>
        <w:pStyle w:val="954"/>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声明人（公章）： </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日期：    年    月    日</w:t>
      </w:r>
      <w:r/>
    </w:p>
    <w:p>
      <w:pPr>
        <w:jc w:val="left"/>
        <w:widowControl/>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格式5、无重大违法记录声明</w:t>
      </w:r>
      <w:r/>
    </w:p>
    <w:p>
      <w:pPr>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无重大违法记录声明</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江苏祥和项目管理有限公司</w:t>
      </w:r>
      <w:r>
        <w:rPr>
          <w:rFonts w:hint="eastAsia" w:ascii="宋体" w:hAnsi="宋体" w:eastAsia="宋体" w:cs="宋体"/>
          <w:color w:val="auto"/>
          <w:highlight w:val="none"/>
        </w:rPr>
        <w:t xml:space="preserve">：</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我单位 </w:t>
      </w:r>
      <w:r>
        <w:rPr>
          <w:rFonts w:hint="eastAsia" w:ascii="宋体" w:hAnsi="宋体" w:eastAsia="宋体" w:cs="宋体"/>
          <w:color w:val="auto"/>
          <w:highlight w:val="none"/>
          <w:u w:val="single"/>
        </w:rPr>
        <w:t xml:space="preserve">   （供应商名称）    </w:t>
      </w:r>
      <w:r>
        <w:rPr>
          <w:rFonts w:hint="eastAsia" w:ascii="宋体" w:hAnsi="宋体" w:eastAsia="宋体" w:cs="宋体"/>
          <w:color w:val="auto"/>
          <w:highlight w:val="none"/>
        </w:rPr>
        <w:t xml:space="preserve">郑重声明：参加本次政府采购活动前3年内，我单位在经营活动中 </w:t>
      </w:r>
      <w:r>
        <w:rPr>
          <w:rFonts w:hint="eastAsia" w:ascii="宋体" w:hAnsi="宋体" w:eastAsia="宋体" w:cs="宋体"/>
          <w:color w:val="auto"/>
          <w:highlight w:val="none"/>
          <w:u w:val="single"/>
        </w:rPr>
        <w:t xml:space="preserve">  （在下划线上如实填写：有或没有） </w:t>
      </w:r>
      <w:r>
        <w:rPr>
          <w:rFonts w:hint="eastAsia" w:ascii="宋体" w:hAnsi="宋体" w:eastAsia="宋体" w:cs="宋体"/>
          <w:color w:val="auto"/>
          <w:highlight w:val="none"/>
        </w:rPr>
        <w:t xml:space="preserve">重大违法记录。</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（说明：政府采购法第二十二条第一款第五项所称重大违法记录，是指供应商因违法经营受到刑事处罚或者责令停产停业、吊销许可证或者执照、较大数额罚款等行政处罚。）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声明人（公章）：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jc w:val="lef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格式6、关于资格文件的声明函</w:t>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4"/>
        <w:ind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关于资格文件的声明</w:t>
      </w:r>
      <w:r>
        <w:rPr>
          <w:rFonts w:hint="eastAsia" w:ascii="宋体" w:hAnsi="宋体" w:eastAsia="宋体" w:cs="宋体"/>
          <w:b/>
          <w:color w:val="auto"/>
          <w:szCs w:val="21"/>
          <w:highlight w:val="none"/>
        </w:rPr>
        <w:t xml:space="preserve">函</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江苏祥和项目管理有限公司</w:t>
      </w:r>
      <w:r>
        <w:rPr>
          <w:rFonts w:hint="eastAsia" w:ascii="宋体" w:hAnsi="宋体" w:eastAsia="宋体" w:cs="宋体"/>
          <w:color w:val="auto"/>
          <w:szCs w:val="21"/>
          <w:highlight w:val="none"/>
        </w:rPr>
        <w:t xml:space="preserve">：</w:t>
      </w:r>
      <w:r/>
    </w:p>
    <w:p>
      <w:pPr>
        <w:pStyle w:val="914"/>
        <w:ind w:left="315"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本公司愿就由贵方组织实施的编号为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号的投标采购活动进行响应。本公司所提交的投标文件中所有关于</w:t>
      </w:r>
      <w:r>
        <w:rPr>
          <w:rFonts w:hint="eastAsia" w:ascii="宋体" w:hAnsi="宋体" w:eastAsia="宋体" w:cs="宋体"/>
          <w:color w:val="auto"/>
          <w:sz w:val="21"/>
          <w:highlight w:val="none"/>
        </w:rPr>
        <w:t xml:space="preserve">投标资格的文件</w:t>
      </w:r>
      <w:r>
        <w:rPr>
          <w:rFonts w:hint="eastAsia" w:ascii="宋体" w:hAnsi="宋体" w:eastAsia="宋体" w:cs="宋体"/>
          <w:color w:val="auto"/>
          <w:sz w:val="21"/>
          <w:szCs w:val="21"/>
          <w:highlight w:val="none"/>
        </w:rPr>
        <w:t xml:space="preserve">、证明和陈述均是真实的、准确的、有效的。若与真实情况不符，本公司愿意承担由此而产生的一切后果。</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投标人（公章）：</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法定代表人或代理人（签字或盖章）：</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jc w:val="left"/>
        <w:widowControl/>
        <w:rPr>
          <w:rFonts w:hint="eastAsia" w:ascii="宋体" w:hAnsi="宋体" w:eastAsia="宋体" w:cs="宋体"/>
          <w:color w:val="auto"/>
          <w:sz w:val="28"/>
          <w:highlight w:val="none"/>
          <w:lang w:val="zh-CN"/>
        </w:rPr>
      </w:pPr>
      <w:r>
        <w:rPr>
          <w:rFonts w:hint="eastAsia" w:ascii="宋体" w:hAnsi="宋体" w:eastAsia="宋体" w:cs="宋体"/>
          <w:color w:val="auto"/>
          <w:sz w:val="28"/>
          <w:highlight w:val="none"/>
          <w:lang w:val="zh-CN"/>
        </w:rPr>
        <w:br w:type="page" w:clear="all"/>
      </w:r>
      <w:r/>
    </w:p>
    <w:p>
      <w:pPr>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格式7、投标人情况表</w:t>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4"/>
        <w:ind w:firstLine="0"/>
        <w:jc w:val="center"/>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投标人情况表（本表信息仅用于采购人了解投标人基本情况，不作为资格审查或者评审依据）</w:t>
      </w:r>
      <w:r/>
    </w:p>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单位名称（盖章）</w:t>
      </w:r>
      <w:r/>
    </w:p>
    <w:tbl>
      <w:tblPr>
        <w:tblStyle w:val="910"/>
        <w:tblW w:w="8360" w:type="dxa"/>
        <w:tblInd w:w="11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970"/>
        <w:gridCol w:w="1757"/>
        <w:gridCol w:w="1364"/>
        <w:gridCol w:w="2269"/>
      </w:tblGrid>
      <w:tr>
        <w:trPr>
          <w:cantSplit/>
        </w:trPr>
        <w:tc>
          <w:tcPr>
            <w:tcW w:w="2970"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法定代表人/负责人</w:t>
            </w:r>
            <w:r/>
          </w:p>
        </w:tc>
        <w:tc>
          <w:tcPr>
            <w:tcW w:w="1757"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4"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成立日期</w:t>
            </w:r>
            <w:r/>
          </w:p>
        </w:tc>
        <w:tc>
          <w:tcPr>
            <w:tcW w:w="2269"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Pr>
        <w:tc>
          <w:tcPr>
            <w:tcW w:w="2970"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企业地址</w:t>
            </w:r>
            <w:r/>
          </w:p>
        </w:tc>
        <w:tc>
          <w:tcPr>
            <w:tcW w:w="1757"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4"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注册资本</w:t>
            </w:r>
            <w:r/>
          </w:p>
        </w:tc>
        <w:tc>
          <w:tcPr>
            <w:tcW w:w="2269"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万元</w:t>
            </w:r>
            <w:r/>
          </w:p>
        </w:tc>
      </w:tr>
      <w:tr>
        <w:trPr>
          <w:cantSplit/>
        </w:trPr>
        <w:tc>
          <w:tcPr>
            <w:tcW w:w="2970"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经营范围</w:t>
            </w:r>
            <w:r/>
          </w:p>
        </w:tc>
        <w:tc>
          <w:tcPr>
            <w:gridSpan w:val="3"/>
            <w:tcW w:w="5390"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Pr>
        <w:tc>
          <w:tcPr>
            <w:tcW w:w="2970"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职工人数</w:t>
            </w:r>
            <w:r/>
          </w:p>
        </w:tc>
        <w:tc>
          <w:tcPr>
            <w:tcW w:w="1757"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4"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其中：有中高级以上职称的人数</w:t>
            </w:r>
            <w:r/>
          </w:p>
        </w:tc>
        <w:tc>
          <w:tcPr>
            <w:tcW w:w="2269"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Pr>
        <w:tc>
          <w:tcPr>
            <w:tcW w:w="2970"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资产总计</w:t>
            </w:r>
            <w:r/>
          </w:p>
        </w:tc>
        <w:tc>
          <w:tcPr>
            <w:tcW w:w="1757"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万元</w:t>
            </w:r>
            <w:r/>
          </w:p>
        </w:tc>
        <w:tc>
          <w:tcPr>
            <w:tcW w:w="1364" w:type="dxa"/>
            <w:vAlign w:val="center"/>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净资产</w:t>
            </w:r>
            <w:r/>
          </w:p>
        </w:tc>
        <w:tc>
          <w:tcPr>
            <w:tcW w:w="2269"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万元</w:t>
            </w:r>
            <w:r/>
          </w:p>
        </w:tc>
      </w:tr>
      <w:tr>
        <w:trPr>
          <w:cantSplit/>
        </w:trPr>
        <w:tc>
          <w:tcPr>
            <w:tcW w:w="2970"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股东权益</w:t>
            </w:r>
            <w:r/>
          </w:p>
        </w:tc>
        <w:tc>
          <w:tcPr>
            <w:tcW w:w="1757"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万元</w:t>
            </w:r>
            <w:r/>
          </w:p>
        </w:tc>
        <w:tc>
          <w:tcPr>
            <w:tcW w:w="1364" w:type="dxa"/>
            <w:vAlign w:val="center"/>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销售收入</w:t>
            </w:r>
            <w:r/>
          </w:p>
        </w:tc>
        <w:tc>
          <w:tcPr>
            <w:tcW w:w="2269" w:type="dxa"/>
            <w:vAlign w:val="center"/>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2024年         万元</w:t>
            </w:r>
            <w:r/>
          </w:p>
        </w:tc>
      </w:tr>
      <w:tr>
        <w:trPr>
          <w:cantSplit/>
        </w:trPr>
        <w:tc>
          <w:tcPr>
            <w:tcW w:w="2970"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实现利润</w:t>
            </w:r>
            <w:r/>
          </w:p>
        </w:tc>
        <w:tc>
          <w:tcPr>
            <w:tcW w:w="1757"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2024年    万元</w:t>
            </w:r>
            <w:r/>
          </w:p>
        </w:tc>
        <w:tc>
          <w:tcPr>
            <w:tcW w:w="1364"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69"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Pr>
        <w:tc>
          <w:tcPr>
            <w:tcW w:w="2970"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营业面积</w:t>
            </w:r>
            <w:r/>
          </w:p>
        </w:tc>
        <w:tc>
          <w:tcPr>
            <w:tcW w:w="1757" w:type="dxa"/>
            <w:vAlign w:val="center"/>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平方米</w:t>
            </w:r>
            <w:r/>
          </w:p>
        </w:tc>
        <w:tc>
          <w:tcPr>
            <w:tcW w:w="1364" w:type="dxa"/>
            <w:vAlign w:val="center"/>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w:t>
            </w:r>
            <w:r/>
          </w:p>
        </w:tc>
        <w:tc>
          <w:tcPr>
            <w:tcW w:w="2269"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自有面积     平方米</w:t>
            </w:r>
            <w:r/>
          </w:p>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承租面积     平方米</w:t>
            </w:r>
            <w:r/>
          </w:p>
        </w:tc>
      </w:tr>
      <w:tr>
        <w:trPr>
          <w:cantSplit/>
          <w:trHeight w:val="356"/>
        </w:trPr>
        <w:tc>
          <w:tcPr>
            <w:tcW w:w="2970"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单位简历及内设机构情况</w:t>
            </w:r>
            <w:r/>
          </w:p>
        </w:tc>
        <w:tc>
          <w:tcPr>
            <w:gridSpan w:val="3"/>
            <w:tcW w:w="5390"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431"/>
        </w:trPr>
        <w:tc>
          <w:tcPr>
            <w:tcW w:w="2970" w:type="dxa"/>
            <w:vAlign w:val="center"/>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单位优势及特长</w:t>
            </w:r>
            <w:r/>
          </w:p>
        </w:tc>
        <w:tc>
          <w:tcPr>
            <w:gridSpan w:val="3"/>
            <w:tcW w:w="5390"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Pr>
        <w:tc>
          <w:tcPr>
            <w:tcW w:w="2970"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近两年来完成或正在履行的重大合同情况</w:t>
            </w:r>
            <w:r/>
          </w:p>
        </w:tc>
        <w:tc>
          <w:tcPr>
            <w:gridSpan w:val="3"/>
            <w:tcW w:w="5390"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Pr>
        <w:tc>
          <w:tcPr>
            <w:tcW w:w="2970"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最近2年内在经营过程中受到何种奖励或处分</w:t>
            </w:r>
            <w:r/>
          </w:p>
        </w:tc>
        <w:tc>
          <w:tcPr>
            <w:gridSpan w:val="3"/>
            <w:tcW w:w="5390"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（包括财政、工商、税务、物价、技监部门稽查情况和结果）</w:t>
            </w:r>
            <w:r/>
          </w:p>
        </w:tc>
      </w:tr>
      <w:tr>
        <w:trPr>
          <w:cantSplit/>
        </w:trPr>
        <w:tc>
          <w:tcPr>
            <w:tcW w:w="2970"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最近3年内有无因售假、售劣或其他原因被消费者投诉或起诉的情况及说明</w:t>
            </w:r>
            <w:r/>
          </w:p>
        </w:tc>
        <w:tc>
          <w:tcPr>
            <w:gridSpan w:val="3"/>
            <w:tcW w:w="5390"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（包括解决方式和结果）</w:t>
            </w:r>
            <w:r/>
          </w:p>
        </w:tc>
      </w:tr>
      <w:tr>
        <w:trPr>
          <w:cantSplit/>
          <w:trHeight w:val="1161"/>
        </w:trPr>
        <w:tc>
          <w:tcPr>
            <w:tcW w:w="2970"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最近3年内主要负责人有无因经济犯罪被司法机关追究的情况及说明</w:t>
            </w:r>
            <w:r/>
          </w:p>
        </w:tc>
        <w:tc>
          <w:tcPr>
            <w:gridSpan w:val="3"/>
            <w:tcW w:w="5390"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978"/>
        </w:trPr>
        <w:tc>
          <w:tcPr>
            <w:tcW w:w="2970"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其他需要说明的情况</w:t>
            </w:r>
            <w:r/>
          </w:p>
        </w:tc>
        <w:tc>
          <w:tcPr>
            <w:gridSpan w:val="3"/>
            <w:tcW w:w="5390" w:type="dxa"/>
            <w:textDirection w:val="lrTb"/>
            <w:noWrap w:val="false"/>
          </w:tcPr>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16"/>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格式8、技术参数及服务条款偏离表</w:t>
      </w:r>
      <w:r/>
    </w:p>
    <w:p>
      <w:pPr>
        <w:pStyle w:val="916"/>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技术参数及服务条款偏离表</w:t>
      </w:r>
      <w:r/>
    </w:p>
    <w:p>
      <w:pPr>
        <w:pStyle w:val="997"/>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997"/>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项目编号：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项目名称：</w:t>
      </w:r>
      <w:r>
        <w:rPr>
          <w:rFonts w:hint="eastAsia" w:ascii="宋体" w:hAnsi="宋体" w:eastAsia="宋体" w:cs="宋体"/>
          <w:color w:val="auto"/>
          <w:highlight w:val="none"/>
        </w:rPr>
        <w:t xml:space="preserve">                             </w:t>
      </w:r>
      <w:r/>
    </w:p>
    <w:tbl>
      <w:tblPr>
        <w:tblStyle w:val="910"/>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447"/>
        <w:gridCol w:w="2127"/>
        <w:gridCol w:w="2146"/>
        <w:gridCol w:w="1308"/>
      </w:tblGrid>
      <w:tr>
        <w:trPr>
          <w:jc w:val="center"/>
        </w:trPr>
        <w:tc>
          <w:tcPr>
            <w:tcW w:w="7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序号</w:t>
            </w:r>
            <w:r/>
          </w:p>
        </w:tc>
        <w:tc>
          <w:tcPr>
            <w:tcW w:w="24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条款名称</w:t>
            </w:r>
            <w:r/>
          </w:p>
        </w:tc>
        <w:tc>
          <w:tcPr>
            <w:tcW w:w="21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采购要求</w:t>
            </w:r>
            <w:r/>
          </w:p>
        </w:tc>
        <w:tc>
          <w:tcPr>
            <w:tcW w:w="21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响应情况</w:t>
            </w:r>
            <w:r/>
          </w:p>
        </w:tc>
        <w:tc>
          <w:tcPr>
            <w:tcW w:w="1308" w:type="dxa"/>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说明</w:t>
            </w:r>
            <w:r/>
          </w:p>
        </w:tc>
      </w:tr>
      <w:tr>
        <w:trPr>
          <w:jc w:val="center"/>
        </w:trPr>
        <w:tc>
          <w:tcPr>
            <w:tcW w:w="7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24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8"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7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24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8"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7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24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8"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7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24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14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08"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投标人（单位盖章）：</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法定代表人或代理人（签字或盖章）：</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ind w:firstLine="31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16"/>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注：</w:t>
      </w:r>
      <w:r/>
    </w:p>
    <w:p>
      <w:pPr>
        <w:ind w:firstLine="316"/>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1.服务条款内容主要是针对投标文件有关的服务部分（包括但不限于服务内容、服务要求等内容）。</w:t>
      </w:r>
      <w:r/>
    </w:p>
    <w:p>
      <w:pPr>
        <w:ind w:firstLine="316"/>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2.供应商应在本表中对照采购文件服务条款相关内容对应列出响应情况，在“响应情况”栏填写以下内容：优于的，填写“正偏离”；符合的，填写“无偏离”；低于的，填写“负偏离”。 </w:t>
      </w:r>
      <w:r/>
    </w:p>
    <w:p>
      <w:pPr>
        <w:ind w:firstLine="316"/>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3.供应商提交的投标文件中与采购文件的服务条款相关要求有不同时，应在本表中“说明”栏逐项对应列出情况说明。</w:t>
      </w:r>
      <w:r/>
    </w:p>
    <w:p>
      <w:pPr>
        <w:ind w:firstLine="316"/>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4.以上表格内容不够的请自行添加。</w:t>
      </w:r>
      <w:r/>
    </w:p>
    <w:p>
      <w:pPr>
        <w:pStyle w:val="916"/>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color w:val="auto"/>
          <w:highlight w:val="none"/>
        </w:rPr>
        <w:br w:type="page" w:clear="all"/>
      </w:r>
      <w:r>
        <w:rPr>
          <w:rFonts w:hint="eastAsia" w:ascii="宋体" w:hAnsi="宋体" w:eastAsia="宋体" w:cs="宋体"/>
          <w:b/>
          <w:bCs/>
          <w:color w:val="auto"/>
          <w:sz w:val="21"/>
          <w:szCs w:val="21"/>
          <w:highlight w:val="none"/>
          <w:lang w:val="zh-CN"/>
        </w:rPr>
        <w:t xml:space="preserve">格式9、商务条款偏离表</w:t>
      </w:r>
      <w:r/>
    </w:p>
    <w:p>
      <w:pPr>
        <w:pStyle w:val="916"/>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商务条款偏离表</w:t>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7"/>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项目编号：</w:t>
      </w:r>
      <w:r/>
    </w:p>
    <w:p>
      <w:pPr>
        <w:pStyle w:val="997"/>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 </w:t>
      </w:r>
      <w:r/>
    </w:p>
    <w:tbl>
      <w:tblPr>
        <w:tblStyle w:val="910"/>
        <w:tblW w:w="88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397"/>
      </w:tblGrid>
      <w:tr>
        <w:trPr>
          <w:jc w:val="center"/>
        </w:trPr>
        <w:tc>
          <w:tcPr>
            <w:tcW w:w="7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序号</w:t>
            </w:r>
            <w:r/>
          </w:p>
        </w:tc>
        <w:tc>
          <w:tcPr>
            <w:tcW w:w="192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条款名称</w:t>
            </w:r>
            <w:r/>
          </w:p>
        </w:tc>
        <w:tc>
          <w:tcPr>
            <w:tcW w:w="240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采购要求</w:t>
            </w:r>
            <w:r/>
          </w:p>
        </w:tc>
        <w:tc>
          <w:tcPr>
            <w:tcW w:w="240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响应情况</w:t>
            </w:r>
            <w:r/>
          </w:p>
        </w:tc>
        <w:tc>
          <w:tcPr>
            <w:tcW w:w="1397" w:type="dxa"/>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说明</w:t>
            </w:r>
            <w:r/>
          </w:p>
        </w:tc>
      </w:tr>
      <w:tr>
        <w:trPr>
          <w:jc w:val="center"/>
        </w:trPr>
        <w:tc>
          <w:tcPr>
            <w:tcW w:w="7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192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0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0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97" w:type="dxa"/>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7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192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0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0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97" w:type="dxa"/>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7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192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0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0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97" w:type="dxa"/>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Pr>
        <w:tc>
          <w:tcPr>
            <w:tcW w:w="7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192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0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00"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97" w:type="dxa"/>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投标人（公章）：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法定代表人或代理人（签字或盖章）：</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316"/>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注：</w:t>
      </w:r>
      <w:r/>
    </w:p>
    <w:p>
      <w:pPr>
        <w:ind w:firstLine="316"/>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1.商务条款内容主要是针对投标文件有关的商务部分（包括但不限于合同履行期限、价格与支付等合同条款等内容）。</w:t>
      </w:r>
      <w:r/>
    </w:p>
    <w:p>
      <w:pPr>
        <w:ind w:firstLine="316"/>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2.供应商应在本表中对照采购文件商务条款相关内容对应列出响应情况，在“响应情况”栏填写以下内容：优于的，填写“正偏离”；符合的，填写“无偏离”；低于的，填写“负偏离”。 </w:t>
      </w:r>
      <w:r/>
    </w:p>
    <w:p>
      <w:pPr>
        <w:ind w:firstLine="316"/>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3.供应商提交的投标文件中与采购文件的商务条款相关要求有不同时，应在本表中“说明”栏逐项对应列出情况说明。</w:t>
      </w:r>
      <w:r/>
    </w:p>
    <w:p>
      <w:pPr>
        <w:ind w:firstLine="316"/>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4.以上表格内容不够的请自行添加。</w:t>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格式10、投标（响应）保证承诺书</w:t>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投标（响应）保证承诺书</w:t>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江苏祥和项目管理有限公司</w:t>
      </w:r>
      <w:r/>
    </w:p>
    <w:p>
      <w:pPr>
        <w:pStyle w:val="926"/>
        <w:ind w:firstLine="6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我（单位/本人，以下统称我单位）自愿参加</w:t>
      </w:r>
      <w:r>
        <w:rPr>
          <w:rFonts w:hint="eastAsia" w:ascii="宋体" w:hAnsi="宋体" w:eastAsia="宋体" w:cs="宋体"/>
          <w:color w:val="auto"/>
          <w:sz w:val="21"/>
          <w:szCs w:val="21"/>
          <w:highlight w:val="none"/>
          <w:u w:val="single"/>
        </w:rPr>
        <w:t xml:space="preserve"> （项目名称和项目编号）</w:t>
      </w:r>
      <w:r>
        <w:rPr>
          <w:rFonts w:hint="eastAsia" w:ascii="宋体" w:hAnsi="宋体" w:eastAsia="宋体" w:cs="宋体"/>
          <w:color w:val="auto"/>
          <w:sz w:val="21"/>
          <w:szCs w:val="21"/>
          <w:highlight w:val="none"/>
        </w:rPr>
        <w:t xml:space="preserve">的投标（响应），并做出如下承诺：</w:t>
      </w:r>
      <w:r/>
    </w:p>
    <w:p>
      <w:pPr>
        <w:pStyle w:val="914"/>
        <w:ind w:firstLine="422"/>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一、我单位承诺：</w:t>
      </w:r>
      <w:r/>
    </w:p>
    <w:p>
      <w:pPr>
        <w:pStyle w:val="914"/>
        <w:ind w:firstLine="422"/>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1.自投标截止时间至本项目发布中标公告为止，不撤销投标；</w:t>
      </w:r>
      <w:r/>
    </w:p>
    <w:p>
      <w:pPr>
        <w:pStyle w:val="914"/>
        <w:ind w:firstLine="422"/>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2.中标后依法与采购人签订合同，并按照招标文件和中标通知书的要求履行合同义务；</w:t>
      </w:r>
      <w:r/>
    </w:p>
    <w:p>
      <w:pPr>
        <w:pStyle w:val="914"/>
        <w:ind w:firstLine="422"/>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3.中标后按照招标文件规定向采购代理机构支付采购代理服务费；</w:t>
      </w:r>
      <w:r/>
    </w:p>
    <w:p>
      <w:pPr>
        <w:pStyle w:val="914"/>
        <w:ind w:firstLine="422"/>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4.不与其他投标人串通投标，不向采购人、采购代理机构、评标委员会成员行贿或者提供其他不正当利益，不提供虚假材料谋取中标。</w:t>
      </w:r>
      <w:r/>
    </w:p>
    <w:p>
      <w:pPr>
        <w:pStyle w:val="926"/>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我单位知晓：本项目不收取投标保证金和履约保证金；我单位违反上述承诺的，采购人、采购代理机构可以依法取消我单位的中标资格、解除合同，并将有关情况报告财政部门，记入政府采购信用记录；给其他主体造成损失的，我单位依法承担赔偿责任。</w:t>
      </w:r>
      <w:r/>
    </w:p>
    <w:p>
      <w:pPr>
        <w:pStyle w:val="926"/>
        <w:ind w:left="15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投标（响应）人（公章）：</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地址：</w:t>
      </w:r>
      <w:r/>
    </w:p>
    <w:p>
      <w:pPr>
        <w:pStyle w:val="95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电话：                               传真：</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电子邮件：                           邮编：</w:t>
      </w:r>
      <w:r/>
    </w:p>
    <w:p>
      <w:pPr>
        <w:pStyle w:val="954"/>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法定代表人或委托代理人（签字或盖章）：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日期：</w:t>
      </w:r>
      <w:r>
        <w:rPr>
          <w:rFonts w:hint="eastAsia" w:ascii="宋体" w:hAnsi="宋体" w:eastAsia="宋体" w:cs="宋体"/>
          <w:color w:val="auto"/>
          <w:highlight w:val="none"/>
        </w:rPr>
        <w:t xml:space="preserve">    年    月    日</w:t>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left"/>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格式11、项目人员配置表</w:t>
      </w:r>
      <w:r/>
    </w:p>
    <w:p>
      <w:pPr>
        <w:jc w:val="left"/>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pacing w:val="20"/>
          <w:highlight w:val="none"/>
        </w:rPr>
      </w:pPr>
      <w:r>
        <w:rPr>
          <w:rFonts w:hint="eastAsia" w:ascii="宋体" w:hAnsi="宋体" w:eastAsia="宋体" w:cs="宋体"/>
          <w:b/>
          <w:bCs/>
          <w:color w:val="auto"/>
          <w:spacing w:val="20"/>
          <w:highlight w:val="none"/>
        </w:rPr>
        <w:t xml:space="preserve">项目人员配置表</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10"/>
        <w:tblW w:w="9652" w:type="dxa"/>
        <w:tblInd w:w="-7" w:type="dxa"/>
        <w:tblLayout w:type="fixed"/>
        <w:tblCellMar>
          <w:left w:w="0" w:type="dxa"/>
          <w:top w:w="0" w:type="dxa"/>
          <w:right w:w="0" w:type="dxa"/>
          <w:bottom w:w="0" w:type="dxa"/>
        </w:tblCellMar>
        <w:tblLook w:val="04A0" w:firstRow="1" w:lastRow="0" w:firstColumn="1" w:lastColumn="0" w:noHBand="0" w:noVBand="1"/>
      </w:tblPr>
      <w:tblGrid>
        <w:gridCol w:w="594"/>
        <w:gridCol w:w="771"/>
        <w:gridCol w:w="750"/>
        <w:gridCol w:w="764"/>
        <w:gridCol w:w="991"/>
        <w:gridCol w:w="1157"/>
        <w:gridCol w:w="658"/>
        <w:gridCol w:w="690"/>
        <w:gridCol w:w="1349"/>
        <w:gridCol w:w="1349"/>
        <w:gridCol w:w="579"/>
      </w:tblGrid>
      <w:tr>
        <w:trPr/>
        <w:tc>
          <w:tcPr>
            <w:tcBorders>
              <w:top w:val="single" w:color="auto" w:sz="6" w:space="0"/>
              <w:left w:val="single" w:color="auto" w:sz="6" w:space="0"/>
              <w:right w:val="single" w:color="auto" w:sz="6" w:space="0"/>
            </w:tcBorders>
            <w:tcW w:w="594"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序号</w:t>
            </w:r>
            <w:r/>
          </w:p>
        </w:tc>
        <w:tc>
          <w:tcPr>
            <w:tcBorders>
              <w:top w:val="single" w:color="auto" w:sz="6" w:space="0"/>
              <w:left w:val="single" w:color="auto" w:sz="6" w:space="0"/>
              <w:right w:val="single" w:color="auto" w:sz="6" w:space="0"/>
            </w:tcBorders>
            <w:tcW w:w="771"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姓名</w:t>
            </w:r>
            <w:r/>
          </w:p>
        </w:tc>
        <w:tc>
          <w:tcPr>
            <w:tcBorders>
              <w:top w:val="single" w:color="auto" w:sz="6" w:space="0"/>
              <w:left w:val="single" w:color="auto" w:sz="6" w:space="0"/>
              <w:right w:val="single" w:color="auto" w:sz="6" w:space="0"/>
            </w:tcBorders>
            <w:tcW w:w="750"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性别</w:t>
            </w:r>
            <w:r/>
          </w:p>
        </w:tc>
        <w:tc>
          <w:tcPr>
            <w:tcBorders>
              <w:top w:val="single" w:color="auto" w:sz="6" w:space="0"/>
              <w:left w:val="single" w:color="auto" w:sz="6" w:space="0"/>
              <w:right w:val="single" w:color="auto" w:sz="6" w:space="0"/>
            </w:tcBorders>
            <w:tcW w:w="764"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年龄</w:t>
            </w:r>
            <w:r/>
          </w:p>
        </w:tc>
        <w:tc>
          <w:tcPr>
            <w:tcBorders>
              <w:top w:val="single" w:color="auto" w:sz="6" w:space="0"/>
              <w:left w:val="single" w:color="auto" w:sz="6" w:space="0"/>
              <w:right w:val="single" w:color="auto" w:sz="6" w:space="0"/>
            </w:tcBorders>
            <w:tcW w:w="991"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文化程度</w:t>
            </w:r>
            <w:r/>
          </w:p>
        </w:tc>
        <w:tc>
          <w:tcPr>
            <w:tcBorders>
              <w:top w:val="single" w:color="auto" w:sz="6" w:space="0"/>
              <w:left w:val="single" w:color="auto" w:sz="6" w:space="0"/>
              <w:right w:val="single" w:color="auto" w:sz="6" w:space="0"/>
            </w:tcBorders>
            <w:tcW w:w="1157"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技术职称</w:t>
            </w:r>
            <w:r/>
          </w:p>
        </w:tc>
        <w:tc>
          <w:tcPr>
            <w:gridSpan w:val="2"/>
            <w:tcBorders>
              <w:top w:val="single" w:color="auto" w:sz="6" w:space="0"/>
              <w:left w:val="none" w:color="000000" w:sz="4" w:space="0"/>
              <w:bottom w:val="single" w:color="auto" w:sz="6" w:space="0"/>
              <w:right w:val="single" w:color="auto" w:sz="6" w:space="0"/>
            </w:tcBorders>
            <w:tcW w:w="134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资格证书</w:t>
            </w:r>
            <w:r/>
          </w:p>
        </w:tc>
        <w:tc>
          <w:tcPr>
            <w:tcBorders>
              <w:top w:val="single" w:color="auto" w:sz="6" w:space="0"/>
              <w:left w:val="single" w:color="auto" w:sz="6" w:space="0"/>
              <w:right w:val="single" w:color="auto" w:sz="6" w:space="0"/>
            </w:tcBorders>
            <w:tcW w:w="1349"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从事本专业工作的年限</w:t>
            </w:r>
            <w:r/>
          </w:p>
        </w:tc>
        <w:tc>
          <w:tcPr>
            <w:tcBorders>
              <w:top w:val="single" w:color="auto" w:sz="6" w:space="0"/>
              <w:left w:val="single" w:color="auto" w:sz="6" w:space="0"/>
              <w:right w:val="single" w:color="auto" w:sz="6" w:space="0"/>
            </w:tcBorders>
            <w:tcW w:w="1349"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本项目中拟担任的职务</w:t>
            </w:r>
            <w:r/>
          </w:p>
        </w:tc>
        <w:tc>
          <w:tcPr>
            <w:tcBorders>
              <w:top w:val="single" w:color="auto" w:sz="6" w:space="0"/>
              <w:left w:val="single" w:color="auto" w:sz="6" w:space="0"/>
              <w:right w:val="single" w:color="auto" w:sz="6" w:space="0"/>
            </w:tcBorders>
            <w:tcW w:w="579"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备注</w:t>
            </w:r>
            <w:r/>
          </w:p>
        </w:tc>
      </w:tr>
      <w:tr>
        <w:trPr/>
        <w:tc>
          <w:tcPr>
            <w:tcBorders>
              <w:left w:val="single" w:color="auto" w:sz="6" w:space="0"/>
              <w:bottom w:val="single" w:color="auto" w:sz="6" w:space="0"/>
              <w:right w:val="single" w:color="auto" w:sz="6" w:space="0"/>
            </w:tcBorders>
            <w:tcW w:w="594"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left w:val="single" w:color="auto" w:sz="6" w:space="0"/>
              <w:bottom w:val="single" w:color="auto" w:sz="6" w:space="0"/>
              <w:right w:val="single" w:color="auto" w:sz="6" w:space="0"/>
            </w:tcBorders>
            <w:tcW w:w="77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left w:val="single" w:color="auto" w:sz="6" w:space="0"/>
              <w:bottom w:val="single" w:color="auto" w:sz="6" w:space="0"/>
              <w:right w:val="single" w:color="auto" w:sz="6" w:space="0"/>
            </w:tcBorders>
            <w:tcW w:w="750"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left w:val="single" w:color="auto" w:sz="6" w:space="0"/>
              <w:bottom w:val="single" w:color="auto" w:sz="6" w:space="0"/>
              <w:right w:val="single" w:color="auto" w:sz="6" w:space="0"/>
            </w:tcBorders>
            <w:tcW w:w="764"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left w:val="single" w:color="auto" w:sz="6" w:space="0"/>
              <w:bottom w:val="single" w:color="auto" w:sz="6" w:space="0"/>
              <w:right w:val="single" w:color="auto" w:sz="6" w:space="0"/>
            </w:tcBorders>
            <w:tcW w:w="99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left w:val="single" w:color="auto" w:sz="6" w:space="0"/>
              <w:bottom w:val="single" w:color="auto" w:sz="6" w:space="0"/>
              <w:right w:val="single" w:color="auto" w:sz="6" w:space="0"/>
            </w:tcBorders>
            <w:tcW w:w="1157"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类别</w:t>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编号</w:t>
            </w:r>
            <w:r/>
          </w:p>
        </w:tc>
        <w:tc>
          <w:tcPr>
            <w:tcBorders>
              <w:left w:val="single" w:color="auto" w:sz="6" w:space="0"/>
              <w:bottom w:val="single" w:color="auto" w:sz="6" w:space="0"/>
              <w:right w:val="single" w:color="auto" w:sz="6" w:space="0"/>
            </w:tcBorders>
            <w:tcW w:w="1349"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left w:val="single" w:color="auto" w:sz="6" w:space="0"/>
              <w:bottom w:val="single" w:color="auto" w:sz="6" w:space="0"/>
              <w:right w:val="single" w:color="auto" w:sz="6" w:space="0"/>
            </w:tcBorders>
            <w:tcW w:w="1349"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left w:val="single" w:color="auto" w:sz="6" w:space="0"/>
              <w:bottom w:val="single" w:color="auto" w:sz="6" w:space="0"/>
              <w:right w:val="single" w:color="auto" w:sz="6" w:space="0"/>
            </w:tcBorders>
            <w:tcW w:w="579"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57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r>
      <w:tr>
        <w:trPr/>
        <w:tc>
          <w:tcPr>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71"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50"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764"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991"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157"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658"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690"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6" w:space="0"/>
            </w:tcBorders>
            <w:tcW w:w="134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auto" w:sz="6" w:space="0"/>
              <w:left w:val="none" w:color="000000" w:sz="4" w:space="0"/>
              <w:bottom w:val="single" w:color="auto" w:sz="6" w:space="0"/>
              <w:right w:val="single" w:color="auto" w:sz="4" w:space="0"/>
            </w:tcBorders>
            <w:tcW w:w="579"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r>
      <w:tr>
        <w:trPr/>
        <w:tc>
          <w:tcPr>
            <w:gridSpan w:val="11"/>
            <w:tcBorders>
              <w:top w:val="single" w:color="auto" w:sz="6" w:space="0"/>
              <w:left w:val="single" w:color="auto" w:sz="6" w:space="0"/>
              <w:bottom w:val="single" w:color="auto" w:sz="6" w:space="0"/>
              <w:right w:val="single" w:color="auto" w:sz="4" w:space="0"/>
            </w:tcBorders>
            <w:tcW w:w="9652" w:type="dxa"/>
            <w:vAlign w:val="center"/>
            <w:textDirection w:val="lrTb"/>
            <w:noWrap w:val="false"/>
          </w:tcPr>
          <w:p>
            <w:pPr>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Cs w:val="21"/>
                <w:highlight w:val="none"/>
                <w:lang w:val="zh-CN"/>
              </w:rPr>
              <w:t xml:space="preserve">说明：1、表中资格证明类别一栏按资格证书、岗位证书、培训证书填写；</w:t>
            </w:r>
            <w:r/>
          </w:p>
        </w:tc>
      </w:tr>
    </w:tbl>
    <w:p>
      <w:pPr>
        <w:spacing w:line="360" w:lineRule="auto"/>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投标人（公章）：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法定代表人或代理人（签字或盖章）：</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954"/>
        <w:ind w:firstLine="0"/>
        <w:rPr>
          <w:rFonts w:hint="eastAsia" w:ascii="宋体" w:hAnsi="宋体" w:eastAsia="宋体" w:cs="宋体"/>
          <w:color w:val="auto"/>
          <w:spacing w:val="20"/>
          <w:szCs w:val="24"/>
          <w:highlight w:val="none"/>
        </w:rPr>
      </w:pPr>
      <w:r>
        <w:rPr>
          <w:rFonts w:hint="eastAsia" w:ascii="宋体" w:hAnsi="宋体" w:eastAsia="宋体" w:cs="宋体"/>
          <w:color w:val="auto"/>
          <w:spacing w:val="20"/>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注：</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1.须提供相关证书及投标人为其缴纳的至少近三个月的社保证明材料（依法不需要缴纳社会保障资金的人员，提供劳动合同或者劳务合同及说明），否则视为未提供。</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2.供应商可参照上述格式自行设计表格投标。</w:t>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left"/>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格式12、</w:t>
      </w:r>
      <w:r>
        <w:rPr>
          <w:rFonts w:hint="eastAsia" w:ascii="宋体" w:hAnsi="宋体" w:eastAsia="宋体" w:cs="宋体"/>
          <w:b/>
          <w:color w:val="auto"/>
          <w:szCs w:val="21"/>
          <w:highlight w:val="none"/>
        </w:rPr>
        <w:t xml:space="preserve">项目负责人情况表</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项目负责人情况表</w:t>
      </w:r>
      <w:r/>
    </w:p>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bl>
      <w:tblPr>
        <w:tblStyle w:val="910"/>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9"/>
        <w:gridCol w:w="3261"/>
        <w:gridCol w:w="1701"/>
        <w:gridCol w:w="3026"/>
      </w:tblGrid>
      <w:tr>
        <w:trPr>
          <w:jc w:val="center"/>
          <w:trHeight w:val="567"/>
        </w:trPr>
        <w:tc>
          <w:tcPr>
            <w:tcW w:w="162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326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    龄</w:t>
            </w:r>
            <w:r/>
          </w:p>
        </w:tc>
        <w:tc>
          <w:tcPr>
            <w:tcW w:w="302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rPr>
        <w:tc>
          <w:tcPr>
            <w:tcW w:w="162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    历</w:t>
            </w:r>
            <w:r/>
          </w:p>
        </w:tc>
        <w:tc>
          <w:tcPr>
            <w:tcW w:w="3261" w:type="dxa"/>
            <w:vAlign w:val="center"/>
            <w:textDirection w:val="lrTb"/>
            <w:noWrap w:val="false"/>
          </w:tcPr>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170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专    业</w:t>
            </w:r>
            <w:r/>
          </w:p>
        </w:tc>
        <w:tc>
          <w:tcPr>
            <w:tcW w:w="3026" w:type="dxa"/>
            <w:vAlign w:val="center"/>
            <w:textDirection w:val="lrTb"/>
            <w:noWrap w:val="false"/>
          </w:tcPr>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（指毕业证书上所学专业）</w:t>
            </w:r>
            <w:r/>
          </w:p>
        </w:tc>
      </w:tr>
      <w:tr>
        <w:trPr>
          <w:jc w:val="center"/>
          <w:trHeight w:val="567"/>
        </w:trPr>
        <w:tc>
          <w:tcPr>
            <w:tcW w:w="162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资格证书</w:t>
            </w:r>
            <w:r/>
          </w:p>
        </w:tc>
        <w:tc>
          <w:tcPr>
            <w:tcW w:w="326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（如有需提供相关证书）</w:t>
            </w:r>
            <w:r/>
          </w:p>
        </w:tc>
        <w:tc>
          <w:tcPr>
            <w:tcW w:w="170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技术职称</w:t>
            </w:r>
            <w:r/>
          </w:p>
        </w:tc>
        <w:tc>
          <w:tcPr>
            <w:tcW w:w="3026" w:type="dxa"/>
            <w:vAlign w:val="center"/>
            <w:textDirection w:val="lrTb"/>
            <w:noWrap w:val="false"/>
          </w:tcPr>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（如有需提供职称证书）</w:t>
            </w:r>
            <w:r/>
          </w:p>
        </w:tc>
      </w:tr>
      <w:tr>
        <w:trPr>
          <w:jc w:val="center"/>
          <w:trHeight w:val="567"/>
        </w:trPr>
        <w:tc>
          <w:tcPr>
            <w:gridSpan w:val="2"/>
            <w:tcW w:w="48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相关工作从业时间</w:t>
            </w:r>
            <w:r/>
          </w:p>
        </w:tc>
        <w:tc>
          <w:tcPr>
            <w:gridSpan w:val="2"/>
            <w:tcW w:w="47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rPr>
        <w:tc>
          <w:tcPr>
            <w:gridSpan w:val="2"/>
            <w:tcW w:w="48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为投标人服务时间</w:t>
            </w:r>
            <w:r/>
          </w:p>
        </w:tc>
        <w:tc>
          <w:tcPr>
            <w:gridSpan w:val="2"/>
            <w:tcW w:w="4727" w:type="dxa"/>
            <w:vAlign w:val="center"/>
            <w:textDirection w:val="lrTb"/>
            <w:noWrap w:val="false"/>
          </w:tcPr>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tc>
      </w:tr>
      <w:tr>
        <w:trPr>
          <w:jc w:val="center"/>
          <w:trHeight w:val="567"/>
        </w:trPr>
        <w:tc>
          <w:tcPr>
            <w:gridSpan w:val="2"/>
            <w:tcW w:w="48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本项目拟担任职务</w:t>
            </w:r>
            <w:r/>
          </w:p>
        </w:tc>
        <w:tc>
          <w:tcPr>
            <w:gridSpan w:val="2"/>
            <w:tcW w:w="47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rPr>
        <w:tc>
          <w:tcPr>
            <w:gridSpan w:val="4"/>
            <w:tcW w:w="961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主要工作经历</w:t>
            </w:r>
            <w:r/>
          </w:p>
        </w:tc>
      </w:tr>
      <w:tr>
        <w:trPr>
          <w:jc w:val="center"/>
          <w:trHeight w:val="567"/>
        </w:trPr>
        <w:tc>
          <w:tcPr>
            <w:tcW w:w="162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参与时间</w:t>
            </w:r>
            <w:r/>
          </w:p>
        </w:tc>
        <w:tc>
          <w:tcPr>
            <w:tcW w:w="326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参与项目名称及规模</w:t>
            </w:r>
            <w:r/>
          </w:p>
        </w:tc>
        <w:tc>
          <w:tcPr>
            <w:gridSpan w:val="2"/>
            <w:tcW w:w="47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在该项目中所任职务及其主要工作内容</w:t>
            </w:r>
            <w:r/>
          </w:p>
        </w:tc>
      </w:tr>
      <w:tr>
        <w:trPr>
          <w:jc w:val="center"/>
          <w:trHeight w:val="567"/>
        </w:trPr>
        <w:tc>
          <w:tcPr>
            <w:tcW w:w="162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47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67"/>
        </w:trPr>
        <w:tc>
          <w:tcPr>
            <w:gridSpan w:val="2"/>
            <w:tcW w:w="48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获得的荣誉或评定情况</w:t>
            </w:r>
            <w:r/>
          </w:p>
        </w:tc>
        <w:tc>
          <w:tcPr>
            <w:gridSpan w:val="2"/>
            <w:tcW w:w="4727" w:type="dxa"/>
            <w:vAlign w:val="center"/>
            <w:textDirection w:val="lrTb"/>
            <w:noWrap w:val="false"/>
          </w:tcPr>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（如有需提供证明材料）</w:t>
            </w:r>
            <w:r/>
          </w:p>
        </w:tc>
      </w:tr>
      <w:tr>
        <w:trPr>
          <w:jc w:val="center"/>
          <w:trHeight w:val="567"/>
        </w:trPr>
        <w:tc>
          <w:tcPr>
            <w:gridSpan w:val="2"/>
            <w:tcW w:w="48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其他需补充说明的内容</w:t>
            </w:r>
            <w:r/>
          </w:p>
        </w:tc>
        <w:tc>
          <w:tcPr>
            <w:gridSpan w:val="2"/>
            <w:tcW w:w="4727" w:type="dxa"/>
            <w:vAlign w:val="center"/>
            <w:textDirection w:val="lrTb"/>
            <w:noWrap w:val="false"/>
          </w:tcPr>
          <w:p>
            <w:pPr>
              <w:pStyle w:val="914"/>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本公司承诺：</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该人员在从业经历中没有任何违法、违规而被查处的不良记录。</w:t>
            </w:r>
            <w:r/>
          </w:p>
        </w:tc>
      </w:tr>
    </w:tbl>
    <w:p>
      <w:pPr>
        <w:ind w:firstLine="420"/>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投标人（公章）：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法定代表人或代理人（签字或盖章）：</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9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注：须提供相关证书及投标人为其缴纳的至少近三个月的社保证明材料（依法不需要缴纳社会保障资金的人员，提供劳动合同或者劳务合同及说明），否则视为未提供。</w:t>
      </w:r>
      <w:r/>
    </w:p>
    <w:p>
      <w:pPr>
        <w:pStyle w:val="954"/>
        <w:jc w:val="righ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54"/>
        <w:jc w:val="right"/>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11"/>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11"/>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11"/>
        <w:rPr>
          <w:rFonts w:hint="eastAsia" w:ascii="宋体" w:hAnsi="宋体" w:eastAsia="宋体" w:cs="宋体"/>
          <w:b/>
          <w:bCs/>
          <w:color w:val="auto"/>
          <w:highlight w:val="none"/>
        </w:rPr>
      </w:pPr>
      <w:r>
        <w:rPr>
          <w:rFonts w:hint="eastAsia" w:ascii="宋体" w:hAnsi="宋体" w:eastAsia="宋体" w:cs="宋体"/>
          <w:b/>
          <w:color w:val="auto"/>
          <w:highlight w:val="none"/>
        </w:rPr>
      </w:r>
      <w:r>
        <w:rPr>
          <w:rFonts w:hint="eastAsia" w:ascii="宋体" w:hAnsi="宋体" w:eastAsia="宋体" w:cs="宋体"/>
          <w:b/>
          <w:color w:val="auto"/>
          <w:highlight w:val="none"/>
        </w:rPr>
      </w:r>
      <w:r/>
    </w:p>
    <w:p>
      <w:pPr>
        <w:pStyle w:val="911"/>
        <w:rPr>
          <w:rFonts w:hint="eastAsia" w:ascii="宋体" w:hAnsi="宋体" w:eastAsia="宋体" w:cs="宋体"/>
          <w:b/>
          <w:bCs/>
          <w:color w:val="auto"/>
          <w:highlight w:val="none"/>
        </w:rPr>
      </w:pPr>
      <w:r>
        <w:rPr>
          <w:rFonts w:hint="eastAsia" w:ascii="宋体" w:hAnsi="宋体" w:eastAsia="宋体" w:cs="宋体"/>
          <w:b/>
          <w:bCs/>
          <w:color w:val="auto"/>
          <w:highlight w:val="none"/>
        </w:rPr>
      </w:r>
      <w:r>
        <w:rPr>
          <w:rFonts w:hint="eastAsia" w:ascii="宋体" w:hAnsi="宋体" w:eastAsia="宋体" w:cs="宋体"/>
          <w:b/>
          <w:bCs/>
          <w:color w:val="auto"/>
          <w:highlight w:val="none"/>
        </w:rPr>
      </w:r>
      <w:r/>
    </w:p>
    <w:p>
      <w:pPr>
        <w:pStyle w:val="911"/>
        <w:rPr>
          <w:rFonts w:hint="eastAsia" w:ascii="宋体" w:hAnsi="宋体" w:eastAsia="宋体" w:cs="宋体"/>
          <w:b/>
          <w:bCs/>
          <w:color w:val="auto"/>
          <w:highlight w:val="none"/>
        </w:rPr>
      </w:pPr>
      <w:r>
        <w:rPr>
          <w:rFonts w:hint="eastAsia" w:ascii="宋体" w:hAnsi="宋体" w:eastAsia="宋体" w:cs="宋体"/>
          <w:b/>
          <w:bCs/>
          <w:color w:val="auto"/>
          <w:highlight w:val="none"/>
        </w:rPr>
      </w:r>
      <w:r>
        <w:rPr>
          <w:rFonts w:hint="eastAsia" w:ascii="宋体" w:hAnsi="宋体" w:eastAsia="宋体" w:cs="宋体"/>
          <w:b/>
          <w:bCs/>
          <w:color w:val="auto"/>
          <w:highlight w:val="none"/>
        </w:rPr>
      </w:r>
      <w:r/>
    </w:p>
    <w:p>
      <w:pPr>
        <w:pStyle w:val="954"/>
        <w:ind w:firstLine="422"/>
        <w:jc w:val="left"/>
        <w:spacing w:line="440" w:lineRule="exact"/>
        <w:rPr>
          <w:rFonts w:hAnsi="宋体"/>
          <w:b/>
          <w:color w:val="auto"/>
          <w:highlight w:val="none"/>
        </w:rPr>
      </w:pPr>
      <w:r>
        <w:rPr>
          <w:rFonts w:hint="eastAsia" w:ascii="宋体" w:hAnsi="宋体" w:eastAsia="宋体" w:cs="宋体"/>
          <w:b/>
          <w:color w:val="auto"/>
          <w:highlight w:val="none"/>
        </w:rPr>
        <w:t xml:space="preserve">格式13、中小企业声明函</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中小企业声明函（货物）</w:t>
      </w:r>
      <w:r/>
    </w:p>
    <w:p>
      <w:pPr>
        <w:pStyle w:val="911"/>
        <w:rPr>
          <w:rFonts w:hint="eastAsia"/>
          <w:color w:val="auto"/>
          <w:highlight w:val="none"/>
        </w:rPr>
      </w:pPr>
      <w:r>
        <w:rPr>
          <w:rFonts w:hint="eastAsia"/>
          <w:color w:val="auto"/>
          <w:highlight w:val="non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1.（标的名称），属于制造业（工业）行业；制造商为（企业名称），从业人员___人，营业收入为___万元，资产总额为___万元，属于（中型企业、小型企业、微型企业）；</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2.（标的名称），属于制造业（工业）行业；制造商为（企业名称），从业人员___人，营业收入为___万元，资产总额为___万元，属于（中型企业、小型企业、微型企业）；</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pStyle w:val="911"/>
        <w:rPr>
          <w:rFonts w:hint="eastAsia"/>
          <w:color w:val="auto"/>
          <w:highlight w:val="none"/>
        </w:rPr>
      </w:pPr>
      <w:r>
        <w:rPr>
          <w:rFonts w:hint="eastAsia"/>
          <w:color w:val="auto"/>
          <w:highlight w:val="non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pStyle w:val="911"/>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color w:val="auto"/>
          <w:highlight w:val="none"/>
        </w:rPr>
      </w:pPr>
      <w:r>
        <w:rPr>
          <w:rFonts w:hint="eastAsia"/>
          <w:color w:val="auto"/>
          <w:highlight w:val="non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企业名称（盖章）：</w:t>
      </w:r>
      <w:r/>
    </w:p>
    <w:p>
      <w:pPr>
        <w:pStyle w:val="911"/>
        <w:rPr>
          <w:rFonts w:hint="eastAsia"/>
          <w:color w:val="auto"/>
          <w:highlight w:val="none"/>
        </w:rPr>
      </w:pPr>
      <w:r>
        <w:rPr>
          <w:rFonts w:hint="eastAsia"/>
          <w:color w:val="auto"/>
          <w:highlight w:val="non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911"/>
        <w:rPr>
          <w:rFonts w:hint="eastAsia"/>
          <w:color w:val="auto"/>
          <w:highlight w:val="none"/>
        </w:rPr>
      </w:pPr>
      <w:r>
        <w:rPr>
          <w:rFonts w:hint="eastAsia"/>
          <w:color w:val="auto"/>
          <w:highlight w:val="none"/>
        </w:rPr>
      </w:r>
      <w:r/>
    </w:p>
    <w:p>
      <w:pPr>
        <w:ind w:left="842" w:hanging="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注：1.从业人员、营业收入、资产总额填报上一年度数据，无上一年度数据的新成立企业可不填报。2.投标人未按本格式提供声明函的，不享受价格扣除。</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4"/>
        <w:ind w:firstLine="422"/>
        <w:jc w:val="left"/>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格式14、残疾人福利性单位声明函</w:t>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残疾人福利性单位声明函</w:t>
      </w:r>
      <w:r/>
    </w:p>
    <w:p>
      <w:pPr>
        <w:pStyle w:val="911"/>
        <w:rPr>
          <w:color w:val="auto"/>
          <w:highlight w:val="none"/>
        </w:rPr>
      </w:pPr>
      <w:r>
        <w:rPr>
          <w:color w:val="auto"/>
          <w:highlight w:val="non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11"/>
        <w:rPr>
          <w:rFonts w:hint="eastAsia"/>
          <w:color w:val="auto"/>
          <w:highlight w:val="none"/>
        </w:rPr>
      </w:pPr>
      <w:r>
        <w:rPr>
          <w:rFonts w:hint="eastAsia"/>
          <w:color w:val="auto"/>
          <w:highlight w:val="non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pStyle w:val="911"/>
        <w:rPr>
          <w:rFonts w:hint="eastAsia"/>
          <w:color w:val="auto"/>
          <w:highlight w:val="none"/>
        </w:rPr>
      </w:pPr>
      <w:r>
        <w:rPr>
          <w:rFonts w:hint="eastAsia"/>
          <w:color w:val="auto"/>
          <w:highlight w:val="non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单位名称（盖章）：</w:t>
      </w:r>
      <w:r/>
    </w:p>
    <w:p>
      <w:pPr>
        <w:pStyle w:val="911"/>
        <w:rPr>
          <w:rFonts w:hint="eastAsia"/>
          <w:color w:val="auto"/>
          <w:highlight w:val="none"/>
        </w:rPr>
      </w:pPr>
      <w:r>
        <w:rPr>
          <w:rFonts w:hint="eastAsia"/>
          <w:color w:val="auto"/>
          <w:highlight w:val="non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4"/>
        <w:ind w:firstLine="422"/>
        <w:jc w:val="left"/>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格式15、节能产品、环境标志产品认证情况表</w:t>
      </w:r>
      <w:r/>
    </w:p>
    <w:p>
      <w:pPr>
        <w:rPr>
          <w:rFonts w:hint="eastAsia"/>
          <w:color w:val="auto"/>
          <w:highlight w:val="none"/>
        </w:rPr>
      </w:pPr>
      <w:r>
        <w:rPr>
          <w:rFonts w:hint="eastAsia"/>
          <w:color w:val="auto"/>
          <w:highlight w:val="none"/>
        </w:rPr>
      </w:r>
      <w:r/>
    </w:p>
    <w:p>
      <w:pPr>
        <w:jc w:val="center"/>
        <w:rPr>
          <w:color w:val="auto"/>
          <w:highlight w:val="none"/>
        </w:rPr>
      </w:pPr>
      <w:r>
        <w:rPr>
          <w:rFonts w:hint="eastAsia" w:ascii="宋体" w:hAnsi="宋体" w:eastAsia="宋体" w:cs="宋体"/>
          <w:b/>
          <w:color w:val="auto"/>
          <w:highlight w:val="none"/>
        </w:rPr>
        <w:t xml:space="preserve">节能产品、环境标志产品认证情况表</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投标人名称：                    项目编号：</w:t>
      </w:r>
      <w:r/>
    </w:p>
    <w:p>
      <w:pPr>
        <w:pStyle w:val="911"/>
        <w:rPr>
          <w:rFonts w:hint="eastAsia"/>
          <w:color w:val="auto"/>
          <w:highlight w:val="none"/>
        </w:rPr>
      </w:pPr>
      <w:r>
        <w:rPr>
          <w:rFonts w:hint="eastAsia"/>
          <w:color w:val="auto"/>
          <w:highlight w:val="none"/>
        </w:rPr>
      </w:r>
      <w:r/>
    </w:p>
    <w:p>
      <w:pPr>
        <w:pStyle w:val="911"/>
        <w:rPr>
          <w:rFonts w:hint="eastAsia"/>
          <w:color w:val="auto"/>
          <w:highlight w:val="none"/>
        </w:rPr>
      </w:pPr>
      <w:r>
        <w:rPr>
          <w:rFonts w:hint="eastAsia"/>
          <w:color w:val="auto"/>
          <w:highlight w:val="none"/>
        </w:rPr>
      </w:r>
      <w:r/>
    </w:p>
    <w:p>
      <w:pPr>
        <w:numPr>
          <w:ilvl w:val="0"/>
          <w:numId w:val="0"/>
        </w:numPr>
        <w:ind w:firstLine="840"/>
        <w:spacing w:line="44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产品名称：__________；规格型号：__________；认证证书编号：__________；有效期至：__________；认证机构：__________；是否属于政府强制采购品目：□是 □否</w:t>
      </w:r>
      <w:r/>
    </w:p>
    <w:p>
      <w:pPr>
        <w:pStyle w:val="911"/>
        <w:numPr>
          <w:ilvl w:val="0"/>
          <w:numId w:val="0"/>
        </w:numPr>
        <w:rPr>
          <w:rFonts w:hint="eastAsia"/>
          <w:color w:val="auto"/>
          <w:highlight w:val="none"/>
        </w:rPr>
      </w:pPr>
      <w:r>
        <w:rPr>
          <w:rFonts w:hint="eastAsia"/>
          <w:color w:val="auto"/>
          <w:highlight w:val="none"/>
        </w:rPr>
      </w:r>
      <w:r/>
    </w:p>
    <w:p>
      <w:pPr>
        <w:numPr>
          <w:ilvl w:val="0"/>
          <w:numId w:val="0"/>
        </w:numPr>
        <w:ind w:firstLine="840"/>
        <w:spacing w:line="44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产品名称：__________；规格型号：__________；认证证书编号：__________；有效期至：__________；认证机构：__________；是否属于政府强制采购品目：□是 □否</w:t>
      </w:r>
      <w:r/>
    </w:p>
    <w:p>
      <w:pPr>
        <w:pStyle w:val="911"/>
        <w:numPr>
          <w:ilvl w:val="0"/>
          <w:numId w:val="0"/>
        </w:numPr>
        <w:rPr>
          <w:rFonts w:hint="eastAsia"/>
          <w:color w:val="auto"/>
          <w:highlight w:val="none"/>
        </w:rPr>
      </w:pPr>
      <w:r>
        <w:rPr>
          <w:rFonts w:hint="eastAsia"/>
          <w:color w:val="auto"/>
          <w:highlight w:val="non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（本表可扩展；所投产品属于政府强制采购品目清单范围的，必须提供认证证书，否则其投标无效。）</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4"/>
        <w:ind w:firstLine="422"/>
        <w:jc w:val="left"/>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格式16、分包意向协议（如有）</w:t>
      </w:r>
      <w:r/>
    </w:p>
    <w:p>
      <w:pPr>
        <w:rPr>
          <w:color w:val="auto"/>
          <w:highlight w:val="none"/>
        </w:rPr>
      </w:pPr>
      <w:r>
        <w:rPr>
          <w:color w:val="auto"/>
          <w:highlight w:val="none"/>
        </w:rPr>
      </w: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分包意向协议</w:t>
      </w:r>
      <w:r/>
    </w:p>
    <w:p>
      <w:pPr>
        <w:pStyle w:val="954"/>
        <w:ind w:firstLine="422"/>
        <w:jc w:val="both"/>
        <w:spacing w:line="400" w:lineRule="exact"/>
        <w:rPr>
          <w:rFonts w:hAnsi="宋体"/>
          <w:b/>
          <w:color w:val="auto"/>
          <w:highlight w:val="none"/>
        </w:rPr>
      </w:pPr>
      <w:r>
        <w:rPr>
          <w:rFonts w:hint="eastAsia" w:ascii="宋体" w:hAnsi="宋体" w:eastAsia="宋体" w:cs="宋体"/>
          <w:color w:val="auto"/>
          <w:highlight w:val="none"/>
        </w:rPr>
        <w:t xml:space="preserve">甲方（投标人/中标人）：</w:t>
      </w:r>
      <w:r/>
    </w:p>
    <w:p>
      <w:pPr>
        <w:pStyle w:val="954"/>
        <w:ind w:firstLine="422"/>
        <w:jc w:val="both"/>
        <w:spacing w:line="400" w:lineRule="exact"/>
        <w:rPr>
          <w:rFonts w:hAnsi="宋体"/>
          <w:b/>
          <w:color w:val="auto"/>
          <w:highlight w:val="none"/>
        </w:rPr>
      </w:pPr>
      <w:r>
        <w:rPr>
          <w:rFonts w:hint="eastAsia" w:ascii="宋体" w:hAnsi="宋体" w:eastAsia="宋体" w:cs="宋体"/>
          <w:color w:val="auto"/>
          <w:highlight w:val="none"/>
        </w:rPr>
        <w:t xml:space="preserve">乙方（拟分包单位）：</w:t>
      </w:r>
      <w:r/>
    </w:p>
    <w:p>
      <w:pPr>
        <w:pStyle w:val="954"/>
        <w:ind w:firstLine="422"/>
        <w:jc w:val="both"/>
        <w:spacing w:line="400" w:lineRule="exact"/>
        <w:rPr>
          <w:rFonts w:hAnsi="宋体"/>
          <w:b/>
          <w:color w:val="auto"/>
          <w:highlight w:val="none"/>
        </w:rPr>
      </w:pPr>
      <w:r>
        <w:rPr>
          <w:rFonts w:hint="eastAsia" w:ascii="宋体" w:hAnsi="宋体" w:eastAsia="宋体" w:cs="宋体"/>
          <w:color w:val="auto"/>
          <w:highlight w:val="none"/>
        </w:rPr>
        <w:t xml:space="preserve">经双方协商一致，就（项目名称、项目编号）分包事项达成如下协议：</w:t>
      </w:r>
      <w:r/>
    </w:p>
    <w:p>
      <w:pPr>
        <w:pStyle w:val="954"/>
        <w:ind w:firstLine="422"/>
        <w:jc w:val="both"/>
        <w:spacing w:line="400" w:lineRule="exact"/>
        <w:rPr>
          <w:rFonts w:hAnsi="宋体"/>
          <w:b/>
          <w:color w:val="auto"/>
          <w:highlight w:val="none"/>
        </w:rPr>
      </w:pPr>
      <w:r>
        <w:rPr>
          <w:rFonts w:hint="eastAsia" w:ascii="宋体" w:hAnsi="宋体" w:eastAsia="宋体" w:cs="宋体"/>
          <w:color w:val="auto"/>
          <w:highlight w:val="none"/>
        </w:rPr>
        <w:t xml:space="preserve">一、甲方拟将下列非主体、非关键性工作分包给乙方：__________（工作内容），预计合同份额__________万元，占合同总金额的__________%。</w:t>
      </w:r>
      <w:r/>
    </w:p>
    <w:p>
      <w:pPr>
        <w:pStyle w:val="954"/>
        <w:ind w:firstLine="422"/>
        <w:jc w:val="both"/>
        <w:spacing w:line="400" w:lineRule="exact"/>
        <w:rPr>
          <w:rFonts w:hAnsi="宋体"/>
          <w:b/>
          <w:color w:val="auto"/>
          <w:highlight w:val="none"/>
        </w:rPr>
      </w:pPr>
      <w:r>
        <w:rPr>
          <w:rFonts w:hint="eastAsia" w:ascii="宋体" w:hAnsi="宋体" w:eastAsia="宋体" w:cs="宋体"/>
          <w:color w:val="auto"/>
          <w:highlight w:val="none"/>
        </w:rPr>
        <w:t xml:space="preserve">二、乙方应当具备承担上述工作的相应资格条件，并不得再次分包。</w:t>
      </w:r>
      <w:r/>
    </w:p>
    <w:p>
      <w:pPr>
        <w:pStyle w:val="954"/>
        <w:ind w:firstLine="422"/>
        <w:jc w:val="both"/>
        <w:spacing w:line="400" w:lineRule="exact"/>
        <w:rPr>
          <w:rFonts w:hAnsi="宋体"/>
          <w:b/>
          <w:color w:val="auto"/>
          <w:highlight w:val="none"/>
        </w:rPr>
      </w:pPr>
      <w:r>
        <w:rPr>
          <w:rFonts w:hint="eastAsia" w:ascii="宋体" w:hAnsi="宋体" w:eastAsia="宋体" w:cs="宋体"/>
          <w:color w:val="auto"/>
          <w:highlight w:val="none"/>
        </w:rPr>
        <w:t xml:space="preserve">三、甲方就采购项目和分包项目向采购人负责，乙方就分包项目承担责任。</w:t>
      </w:r>
      <w:r/>
    </w:p>
    <w:p>
      <w:pPr>
        <w:pStyle w:val="954"/>
        <w:ind w:firstLine="422"/>
        <w:jc w:val="both"/>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四、本协议自双方盖章之日起生效。</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color w:val="auto"/>
          <w:highlight w:val="none"/>
        </w:rPr>
      </w:pPr>
      <w:r>
        <w:rPr>
          <w:color w:val="auto"/>
          <w:highlight w:val="none"/>
        </w:rPr>
      </w:r>
      <w:r/>
    </w:p>
    <w:p>
      <w:pPr>
        <w:pStyle w:val="954"/>
        <w:ind w:firstLine="422"/>
        <w:jc w:val="both"/>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甲方（盖章）：                   </w:t>
      </w:r>
      <w:r>
        <w:rPr>
          <w:rFonts w:hint="eastAsia" w:hAnsi="宋体" w:cs="宋体"/>
          <w:color w:val="auto"/>
          <w:highlight w:val="none"/>
          <w:lang w:val="en-US" w:eastAsia="zh-CN"/>
        </w:rPr>
        <w:t xml:space="preserve">   </w:t>
      </w:r>
      <w:r>
        <w:rPr>
          <w:rFonts w:hint="eastAsia" w:ascii="宋体" w:hAnsi="宋体" w:eastAsia="宋体" w:cs="宋体"/>
          <w:color w:val="auto"/>
          <w:highlight w:val="none"/>
        </w:rPr>
        <w:t xml:space="preserve"> 乙方（盖章）：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color w:val="auto"/>
          <w:highlight w:val="none"/>
        </w:rPr>
      </w:pPr>
      <w:r>
        <w:rPr>
          <w:color w:val="auto"/>
          <w:highlight w:val="none"/>
        </w:rPr>
      </w:r>
      <w:r/>
    </w:p>
    <w:p>
      <w:pPr>
        <w:pStyle w:val="954"/>
        <w:ind w:firstLine="422"/>
        <w:jc w:val="both"/>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              日期：    年    月    日</w:t>
      </w:r>
      <w:r/>
    </w:p>
    <w:p>
      <w:pPr>
        <w:pStyle w:val="91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1"/>
        <w:rPr>
          <w:color w:val="auto"/>
          <w:highlight w:val="none"/>
        </w:rPr>
      </w:pPr>
      <w:r>
        <w:rPr>
          <w:color w:val="auto"/>
          <w:highlight w:val="none"/>
        </w:rPr>
      </w:r>
      <w:r/>
    </w:p>
    <w:p>
      <w:pPr>
        <w:pStyle w:val="954"/>
        <w:ind w:firstLine="422"/>
        <w:jc w:val="right"/>
        <w:spacing w:line="400" w:lineRule="exact"/>
        <w:rPr>
          <w:rFonts w:hAnsi="宋体"/>
          <w:b/>
          <w:color w:val="auto"/>
          <w:highlight w:val="none"/>
        </w:rPr>
      </w:pPr>
      <w:r>
        <w:rPr>
          <w:rFonts w:hint="eastAsia" w:ascii="宋体" w:hAnsi="宋体" w:eastAsia="宋体" w:cs="宋体"/>
          <w:color w:val="auto"/>
          <w:highlight w:val="none"/>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907" w:right="1133" w:bottom="907" w:left="1021"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等线">
    <w:panose1 w:val="02010600030101010101"/>
  </w:font>
  <w:font w:name="??????">
    <w:panose1 w:val="020B0503020202020204"/>
  </w:font>
  <w:font w:name="Calibri">
    <w:panose1 w:val="020F0502020204030204"/>
  </w:font>
  <w:font w:name="?????">
    <w:panose1 w:val="020B0503020202020204"/>
  </w:font>
  <w:font w:name="Courier New">
    <w:panose1 w:val="02070309020205020404"/>
  </w:font>
  <w:font w:name="楷体_GB2312">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14935" cy="131445"/>
              <wp:effectExtent l="0" t="0" r="0" b="0"/>
              <wp:wrapNone/>
              <wp:docPr id="1" name="文本框 4097"/>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21"/>
                          </w:pPr>
                          <w:r>
                            <w:rPr>
                              <w:rFonts w:hint="eastAsia"/>
                            </w:rPr>
                            <w:t xml:space="preserve">第</w:t>
                          </w:r>
                          <w:r>
                            <w:t xml:space="preserve"> </w:t>
                          </w:r>
                          <w:r>
                            <w:fldChar w:fldCharType="begin"/>
                          </w:r>
                          <w:r>
                            <w:instrText xml:space="preserve"> PAGE  \* MERGEFORMAT </w:instrText>
                          </w:r>
                          <w:r>
                            <w:fldChar w:fldCharType="separate"/>
                          </w:r>
                          <w:r>
                            <w:t xml:space="preserve">99</w:t>
                          </w:r>
                          <w:r>
                            <w:fldChar w:fldCharType="end"/>
                          </w:r>
                          <w:r>
                            <w:t xml:space="preserve"> </w:t>
                          </w:r>
                          <w:r>
                            <w:rPr>
                              <w:rFonts w:hint="eastAsia"/>
                            </w:rPr>
                            <w:t xml:space="preserve">页</w:t>
                          </w:r>
                          <w:r>
                            <w:t xml:space="preserve"> </w:t>
                          </w:r>
                          <w:r>
                            <w:rPr>
                              <w:rFonts w:hint="eastAsia"/>
                            </w:rPr>
                            <w:t xml:space="preserve">共</w:t>
                          </w:r>
                          <w:r>
                            <w:t xml:space="preserve"> </w:t>
                          </w:r>
                          <w:r>
                            <w:fldChar w:fldCharType="begin"/>
                          </w:r>
                          <w:r>
                            <w:instrText xml:space="preserve"> NUMPAGES  \* MERGEFORMAT </w:instrText>
                          </w:r>
                          <w:r>
                            <w:fldChar w:fldCharType="separate"/>
                          </w:r>
                          <w:r>
                            <w:t xml:space="preserve">117</w:t>
                          </w:r>
                          <w:r>
                            <w:fldChar w:fldCharType="end"/>
                          </w:r>
                          <w:r>
                            <w:t xml:space="preserve"> </w:t>
                          </w:r>
                          <w:r>
                            <w:rPr>
                              <w:rFonts w:hint="eastAsia"/>
                            </w:rPr>
                            <w:t xml:space="preserve">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9.0pt;height:10.3pt;mso-wrap-distance-left:9.0pt;mso-wrap-distance-top:0.0pt;mso-wrap-distance-right:9.0pt;mso-wrap-distance-bottom:0.0pt;visibility:visible;" filled="f" stroked="f">
              <v:textbox inset="0,0,0,0">
                <w:txbxContent>
                  <w:p>
                    <w:pPr>
                      <w:pStyle w:val="921"/>
                    </w:pPr>
                    <w:r>
                      <w:rPr>
                        <w:rFonts w:hint="eastAsia"/>
                      </w:rPr>
                      <w:t xml:space="preserve">第</w:t>
                    </w:r>
                    <w:r>
                      <w:t xml:space="preserve"> </w:t>
                    </w:r>
                    <w:r>
                      <w:fldChar w:fldCharType="begin"/>
                    </w:r>
                    <w:r>
                      <w:instrText xml:space="preserve"> PAGE  \* MERGEFORMAT </w:instrText>
                    </w:r>
                    <w:r>
                      <w:fldChar w:fldCharType="separate"/>
                    </w:r>
                    <w:r>
                      <w:t xml:space="preserve">99</w:t>
                    </w:r>
                    <w:r>
                      <w:fldChar w:fldCharType="end"/>
                    </w:r>
                    <w:r>
                      <w:t xml:space="preserve"> </w:t>
                    </w:r>
                    <w:r>
                      <w:rPr>
                        <w:rFonts w:hint="eastAsia"/>
                      </w:rPr>
                      <w:t xml:space="preserve">页</w:t>
                    </w:r>
                    <w:r>
                      <w:t xml:space="preserve"> </w:t>
                    </w:r>
                    <w:r>
                      <w:rPr>
                        <w:rFonts w:hint="eastAsia"/>
                      </w:rPr>
                      <w:t xml:space="preserve">共</w:t>
                    </w:r>
                    <w:r>
                      <w:t xml:space="preserve"> </w:t>
                    </w:r>
                    <w:r>
                      <w:fldChar w:fldCharType="begin"/>
                    </w:r>
                    <w:r>
                      <w:instrText xml:space="preserve"> NUMPAGES  \* MERGEFORMAT </w:instrText>
                    </w:r>
                    <w:r>
                      <w:fldChar w:fldCharType="separate"/>
                    </w:r>
                    <w:r>
                      <w:t xml:space="preserve">117</w:t>
                    </w:r>
                    <w:r>
                      <w:fldChar w:fldCharType="end"/>
                    </w:r>
                    <w:r>
                      <w:t xml:space="preserve"> </w:t>
                    </w:r>
                    <w:r>
                      <w:rPr>
                        <w:rFonts w:hint="eastAsia"/>
                      </w:rP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4098"/>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21"/>
                          </w:p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2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rPr>
        <w:rFonts w:ascii="宋体"/>
      </w:rPr>
      <w:pBdr>
        <w:bottom w:val="single" w:color="auto" w:sz="6" w:space="0"/>
      </w:pBdr>
    </w:pPr>
    <w:r>
      <w:rPr>
        <w:rFonts w:hint="eastAsia"/>
      </w:rPr>
      <w:t xml:space="preserve">江苏祥和项目管理有限公司</w:t>
    </w:r>
    <w:r>
      <w:t xml:space="preserve">                                                               </w:t>
    </w:r>
    <w:r>
      <w:rPr>
        <w:rFonts w:ascii="宋体" w:hAnsi="宋体"/>
      </w:rPr>
      <w:t xml:space="preserve">JSXH2026-ZZ-GKZB-027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both"/>
      <w:rPr>
        <w:rFonts w:ascii="宋体"/>
      </w:rPr>
    </w:pPr>
    <w:r>
      <w:rPr>
        <w:rFonts w:hint="eastAsia"/>
      </w:rPr>
      <w:t xml:space="preserve">江苏祥和项目管理有限公司</w:t>
    </w:r>
    <w:r>
      <w:t xml:space="preserve">                                                               </w:t>
    </w:r>
    <w:r>
      <w:rPr>
        <w:rFonts w:ascii="宋体" w:hAnsi="宋体"/>
      </w:rPr>
      <w:t xml:space="preserve">JSXH2026-ZZ-GKZB-027</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1">
    <w:multiLevelType w:val="hybridMultilevel"/>
    <w:lvl w:ilvl="0">
      <w:start w:val="1"/>
      <w:numFmt w:val="decimal"/>
      <w:pStyle w:val="989"/>
      <w:isLgl w:val="false"/>
      <w:suff w:val="tab"/>
      <w:lvlText w:val="%1)"/>
      <w:lvlJc w:val="left"/>
      <w:pPr>
        <w:ind w:left="420" w:hanging="420"/>
      </w:pPr>
      <w:rPr>
        <w:rFonts w:cs="Times New Roman"/>
      </w:rPr>
    </w:lvl>
    <w:lvl w:ilvl="1">
      <w:start w:val="1"/>
      <w:numFmt w:val="lowerLetter"/>
      <w:isLgl w:val="false"/>
      <w:suff w:val="tab"/>
      <w:lvlText w:val="%1)"/>
      <w:lvlJc w:val="left"/>
      <w:pPr>
        <w:ind w:left="840" w:hanging="420"/>
      </w:pPr>
      <w:rPr>
        <w:rFonts w:cs="Times New Roman"/>
      </w:rPr>
    </w:lvl>
    <w:lvl w:ilvl="2">
      <w:start w:val="1"/>
      <w:numFmt w:val="lowerRoman"/>
      <w:isLgl w:val="false"/>
      <w:suff w:val="tab"/>
      <w:lvlText w:val="%1."/>
      <w:lvlJc w:val="right"/>
      <w:pPr>
        <w:ind w:left="1260" w:hanging="420"/>
      </w:pPr>
      <w:rPr>
        <w:rFonts w:cs="Times New Roman"/>
      </w:rPr>
    </w:lvl>
    <w:lvl w:ilvl="3">
      <w:start w:val="1"/>
      <w:numFmt w:val="decimal"/>
      <w:isLgl w:val="false"/>
      <w:suff w:val="tab"/>
      <w:lvlText w:val="%1."/>
      <w:lvlJc w:val="left"/>
      <w:pPr>
        <w:ind w:left="1680" w:hanging="420"/>
      </w:pPr>
      <w:rPr>
        <w:rFonts w:cs="Times New Roman"/>
      </w:rPr>
    </w:lvl>
    <w:lvl w:ilvl="4">
      <w:start w:val="1"/>
      <w:numFmt w:val="lowerLetter"/>
      <w:isLgl w:val="false"/>
      <w:suff w:val="tab"/>
      <w:lvlText w:val="%1)"/>
      <w:lvlJc w:val="left"/>
      <w:pPr>
        <w:ind w:left="2100" w:hanging="420"/>
      </w:pPr>
      <w:rPr>
        <w:rFonts w:cs="Times New Roman"/>
      </w:rPr>
    </w:lvl>
    <w:lvl w:ilvl="5">
      <w:start w:val="1"/>
      <w:numFmt w:val="lowerRoman"/>
      <w:isLgl w:val="false"/>
      <w:suff w:val="tab"/>
      <w:lvlText w:val="%1."/>
      <w:lvlJc w:val="right"/>
      <w:pPr>
        <w:ind w:left="2520" w:hanging="420"/>
      </w:pPr>
      <w:rPr>
        <w:rFonts w:cs="Times New Roman"/>
      </w:rPr>
    </w:lvl>
    <w:lvl w:ilvl="6">
      <w:start w:val="1"/>
      <w:numFmt w:val="decimal"/>
      <w:isLgl w:val="false"/>
      <w:suff w:val="tab"/>
      <w:lvlText w:val="%1."/>
      <w:lvlJc w:val="left"/>
      <w:pPr>
        <w:ind w:left="2940" w:hanging="420"/>
      </w:pPr>
      <w:rPr>
        <w:rFonts w:cs="Times New Roman"/>
      </w:rPr>
    </w:lvl>
    <w:lvl w:ilvl="7">
      <w:start w:val="1"/>
      <w:numFmt w:val="lowerLetter"/>
      <w:isLgl w:val="false"/>
      <w:suff w:val="tab"/>
      <w:lvlText w:val="%1)"/>
      <w:lvlJc w:val="left"/>
      <w:pPr>
        <w:ind w:left="3360" w:hanging="420"/>
      </w:pPr>
      <w:rPr>
        <w:rFonts w:cs="Times New Roman"/>
      </w:rPr>
    </w:lvl>
    <w:lvl w:ilvl="8">
      <w:start w:val="1"/>
      <w:numFmt w:val="lowerRoman"/>
      <w:isLgl w:val="false"/>
      <w:suff w:val="tab"/>
      <w:lvlText w:val="%1."/>
      <w:lvlJc w:val="right"/>
      <w:pPr>
        <w:ind w:left="3780" w:hanging="420"/>
      </w:pPr>
      <w:rPr>
        <w:rFonts w:cs="Times New Roman"/>
      </w:rPr>
    </w:lvl>
  </w:abstractNum>
  <w:abstractNum w:abstractNumId="2">
    <w:multiLevelType w:val="hybridMultilevel"/>
    <w:lvl w:ilvl="0">
      <w:start w:val="1"/>
      <w:numFmt w:val="chineseCountingThousand"/>
      <w:pStyle w:val="905"/>
      <w:isLgl w:val="false"/>
      <w:suff w:val="tab"/>
      <w:lvlText w:val="第%1章"/>
      <w:lvlJc w:val="center"/>
      <w:pPr>
        <w:ind w:left="144" w:hanging="144"/>
        <w:tabs>
          <w:tab w:val="left" w:pos="792" w:leader="none"/>
        </w:tabs>
      </w:pPr>
      <w:rPr>
        <w:rFonts w:hint="eastAsia" w:eastAsia="黑体" w:cs="Times New Roman"/>
        <w:b/>
        <w:i w:val="0"/>
        <w:sz w:val="32"/>
        <w:szCs w:val="32"/>
      </w:rPr>
    </w:lvl>
    <w:lvl w:ilvl="1">
      <w:start w:val="1"/>
      <w:numFmt w:val="decimal"/>
      <w:pStyle w:val="975"/>
      <w:isLgl/>
      <w:suff w:val="tab"/>
      <w:lvlText w:val="%1.%2"/>
      <w:lvlJc w:val="left"/>
      <w:pPr>
        <w:ind w:left="576" w:hanging="576"/>
        <w:tabs>
          <w:tab w:val="left" w:pos="576" w:leader="none"/>
        </w:tabs>
      </w:pPr>
      <w:rPr>
        <w:rFonts w:hint="eastAsia" w:eastAsia="宋体" w:cs="Times New Roman"/>
        <w:b/>
        <w:i w:val="0"/>
        <w:sz w:val="28"/>
        <w:szCs w:val="28"/>
      </w:rPr>
    </w:lvl>
    <w:lvl w:ilvl="2">
      <w:start w:val="1"/>
      <w:numFmt w:val="decimal"/>
      <w:pStyle w:val="960"/>
      <w:isLgl/>
      <w:suff w:val="tab"/>
      <w:lvlText w:val="%1.%2.%3"/>
      <w:lvlJc w:val="left"/>
      <w:pPr>
        <w:ind w:left="720" w:hanging="720"/>
        <w:tabs>
          <w:tab w:val="left" w:pos="720" w:leader="none"/>
        </w:tabs>
      </w:pPr>
      <w:rPr>
        <w:rFonts w:hint="eastAsia" w:eastAsia="宋体" w:cs="Times New Roman"/>
        <w:b/>
        <w:i w:val="0"/>
        <w:sz w:val="24"/>
        <w:szCs w:val="24"/>
      </w:rPr>
    </w:lvl>
    <w:lvl w:ilvl="3">
      <w:start w:val="1"/>
      <w:numFmt w:val="decimal"/>
      <w:pStyle w:val="962"/>
      <w:isLgl/>
      <w:suff w:val="tab"/>
      <w:lvlText w:val="%4."/>
      <w:lvlJc w:val="left"/>
      <w:pPr>
        <w:tabs>
          <w:tab w:val="left" w:pos="0" w:leader="none"/>
        </w:tabs>
      </w:pPr>
      <w:rPr>
        <w:rFonts w:hint="eastAsia" w:eastAsia="宋体" w:cs="Times New Roman"/>
        <w:b/>
        <w:i w:val="0"/>
        <w:sz w:val="24"/>
        <w:szCs w:val="24"/>
      </w:rPr>
    </w:lvl>
    <w:lvl w:ilvl="4">
      <w:start w:val="1"/>
      <w:numFmt w:val="decimal"/>
      <w:isLgl/>
      <w:suff w:val="tab"/>
      <w:lvlText w:val="（%5）"/>
      <w:lvlJc w:val="left"/>
      <w:pPr>
        <w:tabs>
          <w:tab w:val="left" w:pos="0" w:leader="none"/>
        </w:tabs>
      </w:pPr>
      <w:rPr>
        <w:rFonts w:hint="eastAsia" w:cs="Times New Roman"/>
      </w:rPr>
    </w:lvl>
    <w:lvl w:ilvl="5">
      <w:start w:val="1"/>
      <w:numFmt w:val="upperLetter"/>
      <w:isLgl w:val="false"/>
      <w:suff w:val="tab"/>
      <w:lvlText w:val="%6."/>
      <w:lvlJc w:val="left"/>
      <w:pPr>
        <w:tabs>
          <w:tab w:val="left" w:pos="0" w:leader="none"/>
        </w:tabs>
      </w:pPr>
      <w:rPr>
        <w:rFonts w:hint="eastAsia" w:cs="Times New Roman"/>
      </w:rPr>
    </w:lvl>
    <w:lvl w:ilvl="6">
      <w:start w:val="1"/>
      <w:numFmt w:val="bullet"/>
      <w:isLgl w:val="false"/>
      <w:suff w:val="tab"/>
      <w:lvlText w:val=""/>
      <w:lvlJc w:val="left"/>
      <w:pPr>
        <w:tabs>
          <w:tab w:val="left" w:pos="0" w:leader="none"/>
        </w:tabs>
      </w:pPr>
      <w:rPr>
        <w:rFonts w:hint="default" w:ascii="Symbol" w:hAnsi="Symbol"/>
        <w:color w:val="auto"/>
      </w:rPr>
    </w:lvl>
    <w:lvl w:ilvl="7">
      <w:start w:val="1"/>
      <w:numFmt w:val="decimal"/>
      <w:isLgl w:val="false"/>
      <w:suff w:val="tab"/>
      <w:lvlText w:val="%1.%2.%3.%4.%5.%6.%7.%8"/>
      <w:lvlJc w:val="left"/>
      <w:pPr>
        <w:ind w:left="1440" w:hanging="1440"/>
        <w:tabs>
          <w:tab w:val="left" w:pos="1440" w:leader="none"/>
        </w:tabs>
      </w:pPr>
      <w:rPr>
        <w:rFonts w:hint="eastAsia" w:cs="Times New Roman"/>
      </w:rPr>
    </w:lvl>
    <w:lvl w:ilvl="8">
      <w:start w:val="1"/>
      <w:numFmt w:val="decimal"/>
      <w:isLgl w:val="false"/>
      <w:suff w:val="tab"/>
      <w:lvlText w:val="%1.%2.%3.%4.%5.%6.%7.%8.%9"/>
      <w:lvlJc w:val="left"/>
      <w:pPr>
        <w:ind w:left="1584" w:hanging="1584"/>
        <w:tabs>
          <w:tab w:val="left" w:pos="1584" w:leader="none"/>
        </w:tabs>
      </w:pPr>
      <w:rPr>
        <w:rFonts w:hint="eastAsia"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5"/>
    <w:basedOn w:val="904"/>
    <w:next w:val="904"/>
    <w:link w:val="746"/>
    <w:uiPriority w:val="9"/>
    <w:unhideWhenUsed/>
    <w:qFormat/>
    <w:pPr>
      <w:keepLines/>
      <w:keepNext/>
      <w:spacing w:before="320" w:after="200"/>
      <w:outlineLvl w:val="4"/>
    </w:pPr>
    <w:rPr>
      <w:rFonts w:ascii="Arial" w:hAnsi="Arial" w:eastAsia="Arial" w:cs="Arial"/>
      <w:b/>
      <w:bCs/>
      <w:sz w:val="24"/>
      <w:szCs w:val="24"/>
    </w:rPr>
  </w:style>
  <w:style w:type="character" w:styleId="746">
    <w:name w:val="Heading 5 Char"/>
    <w:basedOn w:val="909"/>
    <w:link w:val="745"/>
    <w:uiPriority w:val="9"/>
    <w:rPr>
      <w:rFonts w:ascii="Arial" w:hAnsi="Arial" w:eastAsia="Arial" w:cs="Arial"/>
      <w:b/>
      <w:bCs/>
      <w:sz w:val="24"/>
      <w:szCs w:val="24"/>
    </w:rPr>
  </w:style>
  <w:style w:type="paragraph" w:styleId="747">
    <w:name w:val="Heading 6"/>
    <w:basedOn w:val="904"/>
    <w:next w:val="904"/>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basedOn w:val="909"/>
    <w:link w:val="747"/>
    <w:uiPriority w:val="9"/>
    <w:rPr>
      <w:rFonts w:ascii="Arial" w:hAnsi="Arial" w:eastAsia="Arial" w:cs="Arial"/>
      <w:b/>
      <w:bCs/>
      <w:sz w:val="22"/>
      <w:szCs w:val="22"/>
    </w:rPr>
  </w:style>
  <w:style w:type="paragraph" w:styleId="749">
    <w:name w:val="Heading 7"/>
    <w:basedOn w:val="904"/>
    <w:next w:val="904"/>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basedOn w:val="909"/>
    <w:link w:val="749"/>
    <w:uiPriority w:val="9"/>
    <w:rPr>
      <w:rFonts w:ascii="Arial" w:hAnsi="Arial" w:eastAsia="Arial" w:cs="Arial"/>
      <w:b/>
      <w:bCs/>
      <w:i/>
      <w:iCs/>
      <w:sz w:val="22"/>
      <w:szCs w:val="22"/>
    </w:rPr>
  </w:style>
  <w:style w:type="paragraph" w:styleId="751">
    <w:name w:val="Heading 8"/>
    <w:basedOn w:val="904"/>
    <w:next w:val="904"/>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basedOn w:val="909"/>
    <w:link w:val="751"/>
    <w:uiPriority w:val="9"/>
    <w:rPr>
      <w:rFonts w:ascii="Arial" w:hAnsi="Arial" w:eastAsia="Arial" w:cs="Arial"/>
      <w:i/>
      <w:iCs/>
      <w:sz w:val="22"/>
      <w:szCs w:val="22"/>
    </w:rPr>
  </w:style>
  <w:style w:type="paragraph" w:styleId="753">
    <w:name w:val="Heading 9"/>
    <w:basedOn w:val="904"/>
    <w:next w:val="904"/>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basedOn w:val="909"/>
    <w:link w:val="753"/>
    <w:uiPriority w:val="9"/>
    <w:rPr>
      <w:rFonts w:ascii="Arial" w:hAnsi="Arial" w:eastAsia="Arial" w:cs="Arial"/>
      <w:i/>
      <w:iCs/>
      <w:sz w:val="21"/>
      <w:szCs w:val="21"/>
    </w:rPr>
  </w:style>
  <w:style w:type="paragraph" w:styleId="755">
    <w:name w:val="No Spacing"/>
    <w:uiPriority w:val="1"/>
    <w:qFormat/>
    <w:pPr>
      <w:spacing w:before="0" w:after="0" w:line="240" w:lineRule="auto"/>
    </w:pPr>
  </w:style>
  <w:style w:type="paragraph" w:styleId="756">
    <w:name w:val="Subtitle"/>
    <w:basedOn w:val="904"/>
    <w:next w:val="904"/>
    <w:link w:val="757"/>
    <w:uiPriority w:val="11"/>
    <w:qFormat/>
    <w:pPr>
      <w:spacing w:before="200" w:after="200"/>
    </w:pPr>
    <w:rPr>
      <w:sz w:val="24"/>
      <w:szCs w:val="24"/>
    </w:rPr>
  </w:style>
  <w:style w:type="character" w:styleId="757">
    <w:name w:val="Subtitle Char"/>
    <w:basedOn w:val="909"/>
    <w:link w:val="756"/>
    <w:uiPriority w:val="11"/>
    <w:rPr>
      <w:sz w:val="24"/>
      <w:szCs w:val="24"/>
    </w:rPr>
  </w:style>
  <w:style w:type="paragraph" w:styleId="758">
    <w:name w:val="Quote"/>
    <w:basedOn w:val="904"/>
    <w:next w:val="904"/>
    <w:link w:val="759"/>
    <w:uiPriority w:val="29"/>
    <w:qFormat/>
    <w:pPr>
      <w:ind w:left="720" w:right="720"/>
    </w:pPr>
    <w:rPr>
      <w:i/>
    </w:rPr>
  </w:style>
  <w:style w:type="character" w:styleId="759">
    <w:name w:val="Quote Char"/>
    <w:link w:val="758"/>
    <w:uiPriority w:val="29"/>
    <w:rPr>
      <w:i/>
    </w:rPr>
  </w:style>
  <w:style w:type="paragraph" w:styleId="760">
    <w:name w:val="Intense Quote"/>
    <w:basedOn w:val="904"/>
    <w:next w:val="904"/>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paragraph" w:styleId="762">
    <w:name w:val="Caption"/>
    <w:basedOn w:val="904"/>
    <w:next w:val="904"/>
    <w:uiPriority w:val="35"/>
    <w:semiHidden/>
    <w:unhideWhenUsed/>
    <w:qFormat/>
    <w:pPr>
      <w:spacing w:line="276" w:lineRule="auto"/>
    </w:pPr>
    <w:rPr>
      <w:b/>
      <w:bCs/>
      <w:color w:val="4f81bd" w:themeColor="accent1"/>
      <w:sz w:val="18"/>
      <w:szCs w:val="18"/>
    </w:rPr>
  </w:style>
  <w:style w:type="character" w:styleId="763">
    <w:name w:val="Caption Char"/>
    <w:basedOn w:val="762"/>
    <w:link w:val="921"/>
    <w:uiPriority w:val="99"/>
  </w:style>
  <w:style w:type="table" w:styleId="764">
    <w:name w:val="Table Grid Light"/>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basedOn w:val="9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basedOn w:val="9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basedOn w:val="9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basedOn w:val="9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basedOn w:val="9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basedOn w:val="9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basedOn w:val="9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basedOn w:val="9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basedOn w:val="9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basedOn w:val="9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basedOn w:val="9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basedOn w:val="9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basedOn w:val="9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basedOn w:val="9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basedOn w:val="9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basedOn w:val="9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basedOn w:val="9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basedOn w:val="9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basedOn w:val="9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basedOn w:val="9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basedOn w:val="9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basedOn w:val="9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basedOn w:val="9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basedOn w:val="9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basedOn w:val="9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basedOn w:val="9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basedOn w:val="9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9">
    <w:name w:val="footnote text"/>
    <w:basedOn w:val="904"/>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basedOn w:val="909"/>
    <w:uiPriority w:val="99"/>
    <w:unhideWhenUsed/>
    <w:rPr>
      <w:vertAlign w:val="superscript"/>
    </w:rPr>
  </w:style>
  <w:style w:type="paragraph" w:styleId="892">
    <w:name w:val="endnote text"/>
    <w:basedOn w:val="904"/>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09"/>
    <w:uiPriority w:val="99"/>
    <w:semiHidden/>
    <w:unhideWhenUsed/>
    <w:rPr>
      <w:vertAlign w:val="superscript"/>
    </w:rPr>
  </w:style>
  <w:style w:type="paragraph" w:styleId="895">
    <w:name w:val="toc 2"/>
    <w:basedOn w:val="904"/>
    <w:next w:val="904"/>
    <w:uiPriority w:val="39"/>
    <w:unhideWhenUsed/>
    <w:pPr>
      <w:ind w:left="283" w:right="0" w:firstLine="0"/>
      <w:spacing w:after="57"/>
    </w:pPr>
  </w:style>
  <w:style w:type="paragraph" w:styleId="896">
    <w:name w:val="toc 3"/>
    <w:basedOn w:val="904"/>
    <w:next w:val="904"/>
    <w:uiPriority w:val="39"/>
    <w:unhideWhenUsed/>
    <w:pPr>
      <w:ind w:left="567" w:right="0" w:firstLine="0"/>
      <w:spacing w:after="57"/>
    </w:pPr>
  </w:style>
  <w:style w:type="paragraph" w:styleId="897">
    <w:name w:val="toc 4"/>
    <w:basedOn w:val="904"/>
    <w:next w:val="904"/>
    <w:uiPriority w:val="39"/>
    <w:unhideWhenUsed/>
    <w:pPr>
      <w:ind w:left="850" w:right="0" w:firstLine="0"/>
      <w:spacing w:after="57"/>
    </w:pPr>
  </w:style>
  <w:style w:type="paragraph" w:styleId="898">
    <w:name w:val="toc 5"/>
    <w:basedOn w:val="904"/>
    <w:next w:val="904"/>
    <w:uiPriority w:val="39"/>
    <w:unhideWhenUsed/>
    <w:pPr>
      <w:ind w:left="1134" w:right="0" w:firstLine="0"/>
      <w:spacing w:after="57"/>
    </w:pPr>
  </w:style>
  <w:style w:type="paragraph" w:styleId="899">
    <w:name w:val="toc 6"/>
    <w:basedOn w:val="904"/>
    <w:next w:val="904"/>
    <w:uiPriority w:val="39"/>
    <w:unhideWhenUsed/>
    <w:pPr>
      <w:ind w:left="1417" w:right="0" w:firstLine="0"/>
      <w:spacing w:after="57"/>
    </w:pPr>
  </w:style>
  <w:style w:type="paragraph" w:styleId="900">
    <w:name w:val="toc 8"/>
    <w:basedOn w:val="904"/>
    <w:next w:val="904"/>
    <w:uiPriority w:val="39"/>
    <w:unhideWhenUsed/>
    <w:pPr>
      <w:ind w:left="1984" w:right="0" w:firstLine="0"/>
      <w:spacing w:after="57"/>
    </w:pPr>
  </w:style>
  <w:style w:type="paragraph" w:styleId="901">
    <w:name w:val="toc 9"/>
    <w:basedOn w:val="904"/>
    <w:next w:val="904"/>
    <w:uiPriority w:val="39"/>
    <w:unhideWhenUsed/>
    <w:pPr>
      <w:ind w:left="2268" w:right="0" w:firstLine="0"/>
      <w:spacing w:after="57"/>
    </w:p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next w:val="911"/>
    <w:uiPriority w:val="0"/>
    <w:qFormat/>
    <w:pPr>
      <w:jc w:val="both"/>
      <w:widowControl w:val="off"/>
    </w:pPr>
    <w:rPr>
      <w:rFonts w:ascii="Times New Roman" w:hAnsi="Times New Roman" w:eastAsia="宋体" w:cs="Times New Roman"/>
      <w:sz w:val="21"/>
      <w:szCs w:val="24"/>
      <w:lang w:val="en-US" w:eastAsia="zh-CN" w:bidi="ar-SA"/>
    </w:rPr>
  </w:style>
  <w:style w:type="paragraph" w:styleId="905">
    <w:name w:val="Heading 1"/>
    <w:basedOn w:val="904"/>
    <w:next w:val="904"/>
    <w:link w:val="936"/>
    <w:uiPriority w:val="99"/>
    <w:qFormat/>
    <w:pPr>
      <w:numPr>
        <w:ilvl w:val="0"/>
        <w:numId w:val="1"/>
      </w:numPr>
      <w:jc w:val="center"/>
      <w:keepLines/>
      <w:keepNext/>
      <w:pageBreakBefore/>
      <w:spacing w:before="340" w:after="330" w:line="578" w:lineRule="auto"/>
      <w:outlineLvl w:val="0"/>
    </w:pPr>
    <w:rPr>
      <w:b/>
      <w:bCs/>
      <w:sz w:val="44"/>
      <w:szCs w:val="44"/>
    </w:rPr>
  </w:style>
  <w:style w:type="paragraph" w:styleId="906">
    <w:name w:val="Heading 2"/>
    <w:basedOn w:val="904"/>
    <w:next w:val="904"/>
    <w:link w:val="937"/>
    <w:uiPriority w:val="99"/>
    <w:qFormat/>
    <w:pPr>
      <w:keepLines/>
      <w:keepNext/>
      <w:spacing w:before="260" w:after="260" w:line="413" w:lineRule="auto"/>
      <w:outlineLvl w:val="1"/>
    </w:pPr>
    <w:rPr>
      <w:rFonts w:ascii="Arial" w:hAnsi="Arial" w:eastAsia="黑体"/>
      <w:b/>
      <w:bCs/>
      <w:sz w:val="32"/>
      <w:szCs w:val="32"/>
    </w:rPr>
  </w:style>
  <w:style w:type="paragraph" w:styleId="907">
    <w:name w:val="Heading 3"/>
    <w:basedOn w:val="904"/>
    <w:next w:val="904"/>
    <w:link w:val="938"/>
    <w:uiPriority w:val="99"/>
    <w:qFormat/>
    <w:pPr>
      <w:keepLines/>
      <w:keepNext/>
      <w:spacing w:before="260" w:after="260" w:line="416" w:lineRule="auto"/>
      <w:outlineLvl w:val="2"/>
    </w:pPr>
    <w:rPr>
      <w:b/>
      <w:bCs/>
      <w:sz w:val="32"/>
      <w:szCs w:val="32"/>
    </w:rPr>
  </w:style>
  <w:style w:type="paragraph" w:styleId="908">
    <w:name w:val="Heading 4"/>
    <w:basedOn w:val="904"/>
    <w:next w:val="904"/>
    <w:link w:val="939"/>
    <w:uiPriority w:val="99"/>
    <w:qFormat/>
    <w:pPr>
      <w:keepLines/>
      <w:keepNext/>
      <w:spacing w:before="280" w:after="290" w:line="376" w:lineRule="auto"/>
      <w:outlineLvl w:val="3"/>
    </w:pPr>
    <w:rPr>
      <w:rFonts w:ascii="Cambria" w:hAnsi="Cambria"/>
      <w:b/>
      <w:bCs/>
      <w:sz w:val="28"/>
      <w:szCs w:val="28"/>
    </w:rPr>
  </w:style>
  <w:style w:type="character" w:styleId="909" w:default="1">
    <w:name w:val="Default Paragraph Font"/>
    <w:uiPriority w:val="99"/>
    <w:semiHidden/>
    <w:qFormat/>
  </w:style>
  <w:style w:type="table" w:styleId="910" w:default="1">
    <w:name w:val="Normal Table"/>
    <w:uiPriority w:val="99"/>
    <w:semiHidden/>
    <w:unhideWhenUsed/>
    <w:qFormat/>
    <w:tblPr>
      <w:tblCellMar>
        <w:left w:w="108" w:type="dxa"/>
        <w:top w:w="0" w:type="dxa"/>
        <w:right w:w="108" w:type="dxa"/>
        <w:bottom w:w="0" w:type="dxa"/>
      </w:tblCellMar>
    </w:tblPr>
  </w:style>
  <w:style w:type="paragraph" w:styleId="911">
    <w:name w:val="Body Text First Indent 2"/>
    <w:basedOn w:val="912"/>
    <w:next w:val="904"/>
    <w:link w:val="953"/>
    <w:uiPriority w:val="99"/>
    <w:qFormat/>
    <w:pPr>
      <w:ind w:firstLine="420"/>
    </w:pPr>
  </w:style>
  <w:style w:type="paragraph" w:styleId="912">
    <w:name w:val="Body Text Indent"/>
    <w:basedOn w:val="904"/>
    <w:next w:val="904"/>
    <w:link w:val="942"/>
    <w:uiPriority w:val="99"/>
    <w:qFormat/>
    <w:pPr>
      <w:ind w:left="420"/>
      <w:spacing w:after="120"/>
    </w:pPr>
  </w:style>
  <w:style w:type="paragraph" w:styleId="913">
    <w:name w:val="toc 7"/>
    <w:basedOn w:val="904"/>
    <w:next w:val="904"/>
    <w:uiPriority w:val="99"/>
    <w:semiHidden/>
    <w:qFormat/>
    <w:pPr>
      <w:ind w:left="2520"/>
    </w:pPr>
  </w:style>
  <w:style w:type="paragraph" w:styleId="914">
    <w:name w:val="Normal Indent"/>
    <w:basedOn w:val="904"/>
    <w:next w:val="904"/>
    <w:link w:val="965"/>
    <w:uiPriority w:val="99"/>
    <w:qFormat/>
    <w:pPr>
      <w:ind w:firstLine="420"/>
      <w:jc w:val="left"/>
    </w:pPr>
    <w:rPr>
      <w:rFonts w:eastAsia="楷体_GB2312"/>
      <w:sz w:val="24"/>
      <w:szCs w:val="20"/>
    </w:rPr>
  </w:style>
  <w:style w:type="paragraph" w:styleId="915">
    <w:name w:val="annotation text"/>
    <w:basedOn w:val="904"/>
    <w:link w:val="940"/>
    <w:uiPriority w:val="99"/>
    <w:qFormat/>
    <w:pPr>
      <w:jc w:val="left"/>
    </w:pPr>
  </w:style>
  <w:style w:type="paragraph" w:styleId="916">
    <w:name w:val="Body Text"/>
    <w:basedOn w:val="904"/>
    <w:next w:val="904"/>
    <w:link w:val="941"/>
    <w:uiPriority w:val="99"/>
    <w:qFormat/>
    <w:pPr>
      <w:tabs>
        <w:tab w:val="left" w:pos="5250" w:leader="none"/>
      </w:tabs>
    </w:pPr>
    <w:rPr>
      <w:sz w:val="28"/>
    </w:rPr>
  </w:style>
  <w:style w:type="paragraph" w:styleId="917">
    <w:name w:val="Block Text"/>
    <w:basedOn w:val="904"/>
    <w:uiPriority w:val="99"/>
    <w:qFormat/>
    <w:pPr>
      <w:ind w:left="630" w:right="-609" w:firstLine="420"/>
      <w:spacing w:line="360" w:lineRule="auto"/>
    </w:pPr>
    <w:rPr>
      <w:rFonts w:ascii="仿宋_GB2312" w:eastAsia="仿宋_GB2312"/>
      <w:szCs w:val="20"/>
    </w:rPr>
  </w:style>
  <w:style w:type="paragraph" w:styleId="918">
    <w:name w:val="Plain Text"/>
    <w:basedOn w:val="904"/>
    <w:link w:val="970"/>
    <w:uiPriority w:val="99"/>
    <w:qFormat/>
    <w:rPr>
      <w:rFonts w:ascii="宋体" w:hAnsi="Courier New" w:eastAsia="楷体_GB2312"/>
      <w:sz w:val="28"/>
      <w:szCs w:val="20"/>
    </w:rPr>
  </w:style>
  <w:style w:type="paragraph" w:styleId="919">
    <w:name w:val="Date"/>
    <w:basedOn w:val="904"/>
    <w:next w:val="904"/>
    <w:link w:val="945"/>
    <w:uiPriority w:val="99"/>
    <w:qFormat/>
    <w:pPr>
      <w:ind w:left="100"/>
    </w:pPr>
  </w:style>
  <w:style w:type="paragraph" w:styleId="920">
    <w:name w:val="Balloon Text"/>
    <w:basedOn w:val="904"/>
    <w:link w:val="946"/>
    <w:uiPriority w:val="99"/>
    <w:qFormat/>
    <w:rPr>
      <w:sz w:val="18"/>
      <w:szCs w:val="18"/>
    </w:rPr>
  </w:style>
  <w:style w:type="paragraph" w:styleId="921">
    <w:name w:val="Footer"/>
    <w:basedOn w:val="904"/>
    <w:link w:val="947"/>
    <w:uiPriority w:val="99"/>
    <w:qFormat/>
    <w:pPr>
      <w:jc w:val="left"/>
      <w:tabs>
        <w:tab w:val="center" w:pos="4153" w:leader="none"/>
        <w:tab w:val="right" w:pos="8306" w:leader="none"/>
      </w:tabs>
    </w:pPr>
    <w:rPr>
      <w:sz w:val="18"/>
      <w:szCs w:val="18"/>
    </w:rPr>
  </w:style>
  <w:style w:type="paragraph" w:styleId="922">
    <w:name w:val="envelope return"/>
    <w:basedOn w:val="904"/>
    <w:uiPriority w:val="99"/>
    <w:qFormat/>
    <w:rPr>
      <w:rFonts w:ascii="Arial" w:hAnsi="Arial"/>
    </w:rPr>
  </w:style>
  <w:style w:type="paragraph" w:styleId="923">
    <w:name w:val="Header"/>
    <w:basedOn w:val="904"/>
    <w:link w:val="948"/>
    <w:uiPriority w:val="99"/>
    <w:qFormat/>
    <w:pPr>
      <w:jc w:val="center"/>
      <w:tabs>
        <w:tab w:val="center" w:pos="4153" w:leader="none"/>
        <w:tab w:val="right" w:pos="8306" w:leader="none"/>
      </w:tabs>
      <w:pBdr>
        <w:bottom w:val="single" w:color="auto" w:sz="6" w:space="1"/>
      </w:pBdr>
    </w:pPr>
    <w:rPr>
      <w:sz w:val="18"/>
      <w:szCs w:val="18"/>
    </w:rPr>
  </w:style>
  <w:style w:type="paragraph" w:styleId="924">
    <w:name w:val="toc 1"/>
    <w:basedOn w:val="904"/>
    <w:next w:val="904"/>
    <w:uiPriority w:val="99"/>
    <w:qFormat/>
  </w:style>
  <w:style w:type="paragraph" w:styleId="925">
    <w:name w:val="Body Text Indent 3"/>
    <w:basedOn w:val="904"/>
    <w:link w:val="949"/>
    <w:uiPriority w:val="99"/>
    <w:qFormat/>
    <w:pPr>
      <w:ind w:firstLine="480"/>
      <w:spacing w:line="360" w:lineRule="auto"/>
      <w:widowControl/>
    </w:pPr>
    <w:rPr>
      <w:sz w:val="24"/>
    </w:rPr>
  </w:style>
  <w:style w:type="paragraph" w:styleId="926">
    <w:name w:val="Normal (Web)"/>
    <w:basedOn w:val="904"/>
    <w:uiPriority w:val="99"/>
    <w:qFormat/>
    <w:pPr>
      <w:jc w:val="left"/>
      <w:spacing w:after="150"/>
      <w:widowControl/>
    </w:pPr>
    <w:rPr>
      <w:rFonts w:ascii="宋体" w:hAnsi="宋体" w:cs="宋体"/>
      <w:sz w:val="24"/>
    </w:rPr>
  </w:style>
  <w:style w:type="paragraph" w:styleId="927">
    <w:name w:val="Title"/>
    <w:basedOn w:val="904"/>
    <w:next w:val="904"/>
    <w:link w:val="950"/>
    <w:uiPriority w:val="99"/>
    <w:qFormat/>
    <w:pPr>
      <w:jc w:val="center"/>
      <w:spacing w:before="240" w:after="60"/>
      <w:outlineLvl w:val="0"/>
    </w:pPr>
    <w:rPr>
      <w:rFonts w:ascii="Cambria" w:hAnsi="Cambria"/>
      <w:b/>
      <w:bCs/>
      <w:sz w:val="32"/>
      <w:szCs w:val="32"/>
    </w:rPr>
  </w:style>
  <w:style w:type="paragraph" w:styleId="928">
    <w:name w:val="annotation subject"/>
    <w:basedOn w:val="915"/>
    <w:next w:val="915"/>
    <w:link w:val="951"/>
    <w:uiPriority w:val="99"/>
    <w:qFormat/>
    <w:rPr>
      <w:b/>
      <w:bCs/>
    </w:rPr>
  </w:style>
  <w:style w:type="paragraph" w:styleId="929">
    <w:name w:val="Body Text First Indent"/>
    <w:basedOn w:val="916"/>
    <w:link w:val="952"/>
    <w:uiPriority w:val="99"/>
    <w:qFormat/>
    <w:pPr>
      <w:ind w:firstLine="420"/>
    </w:pPr>
  </w:style>
  <w:style w:type="table" w:styleId="930">
    <w:name w:val="Table Grid"/>
    <w:basedOn w:val="910"/>
    <w:uiPriority w:val="9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name w:val="page number"/>
    <w:basedOn w:val="909"/>
    <w:uiPriority w:val="99"/>
    <w:qFormat/>
    <w:rPr>
      <w:rFonts w:ascii="Times New Roman" w:hAnsi="Times New Roman" w:eastAsia="宋体" w:cs="Times New Roman"/>
    </w:rPr>
  </w:style>
  <w:style w:type="character" w:styleId="932">
    <w:name w:val="FollowedHyperlink"/>
    <w:basedOn w:val="909"/>
    <w:uiPriority w:val="99"/>
    <w:semiHidden/>
    <w:qFormat/>
    <w:rPr>
      <w:rFonts w:cs="Times New Roman"/>
      <w:color w:val="800080"/>
      <w:u w:val="single"/>
    </w:rPr>
  </w:style>
  <w:style w:type="character" w:styleId="933">
    <w:name w:val="Hyperlink"/>
    <w:basedOn w:val="909"/>
    <w:uiPriority w:val="99"/>
    <w:qFormat/>
    <w:rPr>
      <w:rFonts w:cs="Times New Roman"/>
      <w:color w:val="0000ff"/>
      <w:u w:val="single"/>
    </w:rPr>
  </w:style>
  <w:style w:type="character" w:styleId="934">
    <w:name w:val="annotation reference"/>
    <w:basedOn w:val="909"/>
    <w:uiPriority w:val="99"/>
    <w:qFormat/>
    <w:rPr>
      <w:rFonts w:cs="Times New Roman"/>
      <w:sz w:val="21"/>
    </w:rPr>
  </w:style>
  <w:style w:type="paragraph" w:styleId="935" w:customStyle="1">
    <w:name w:val="正文缩进11"/>
    <w:basedOn w:val="904"/>
    <w:next w:val="904"/>
    <w:uiPriority w:val="99"/>
    <w:qFormat/>
    <w:pPr>
      <w:ind w:firstLine="420"/>
    </w:pPr>
    <w:rPr>
      <w:rFonts w:eastAsia="楷体_GB2312"/>
      <w:szCs w:val="20"/>
    </w:rPr>
  </w:style>
  <w:style w:type="character" w:styleId="936" w:customStyle="1">
    <w:name w:val="Heading 1 Char"/>
    <w:basedOn w:val="909"/>
    <w:link w:val="905"/>
    <w:uiPriority w:val="99"/>
    <w:qFormat/>
    <w:rPr>
      <w:rFonts w:ascii="Times New Roman" w:hAnsi="Times New Roman" w:eastAsia="宋体"/>
      <w:b/>
      <w:sz w:val="44"/>
    </w:rPr>
  </w:style>
  <w:style w:type="character" w:styleId="937" w:customStyle="1">
    <w:name w:val="Heading 2 Char"/>
    <w:basedOn w:val="909"/>
    <w:link w:val="906"/>
    <w:uiPriority w:val="99"/>
    <w:qFormat/>
    <w:rPr>
      <w:rFonts w:ascii="Arial" w:hAnsi="Arial" w:eastAsia="黑体"/>
      <w:b/>
      <w:sz w:val="32"/>
    </w:rPr>
  </w:style>
  <w:style w:type="character" w:styleId="938" w:customStyle="1">
    <w:name w:val="Heading 3 Char"/>
    <w:basedOn w:val="909"/>
    <w:link w:val="907"/>
    <w:uiPriority w:val="99"/>
    <w:semiHidden/>
    <w:qFormat/>
    <w:rPr>
      <w:b/>
      <w:sz w:val="32"/>
    </w:rPr>
  </w:style>
  <w:style w:type="character" w:styleId="939" w:customStyle="1">
    <w:name w:val="Heading 4 Char"/>
    <w:basedOn w:val="909"/>
    <w:link w:val="908"/>
    <w:uiPriority w:val="99"/>
    <w:semiHidden/>
    <w:qFormat/>
    <w:rPr>
      <w:rFonts w:ascii="Cambria" w:hAnsi="Cambria" w:eastAsia="宋体"/>
      <w:b/>
      <w:sz w:val="28"/>
    </w:rPr>
  </w:style>
  <w:style w:type="character" w:styleId="940" w:customStyle="1">
    <w:name w:val="Comment Text Char"/>
    <w:basedOn w:val="909"/>
    <w:link w:val="915"/>
    <w:uiPriority w:val="99"/>
    <w:qFormat/>
    <w:rPr>
      <w:sz w:val="24"/>
    </w:rPr>
  </w:style>
  <w:style w:type="character" w:styleId="941" w:customStyle="1">
    <w:name w:val="Body Text Char"/>
    <w:basedOn w:val="909"/>
    <w:link w:val="916"/>
    <w:uiPriority w:val="99"/>
    <w:qFormat/>
    <w:rPr>
      <w:sz w:val="24"/>
    </w:rPr>
  </w:style>
  <w:style w:type="character" w:styleId="942" w:customStyle="1">
    <w:name w:val="Body Text Indent Char"/>
    <w:basedOn w:val="909"/>
    <w:link w:val="912"/>
    <w:uiPriority w:val="99"/>
    <w:qFormat/>
    <w:rPr>
      <w:sz w:val="24"/>
    </w:rPr>
  </w:style>
  <w:style w:type="character" w:styleId="943" w:customStyle="1">
    <w:name w:val="Plain Text Char"/>
    <w:basedOn w:val="909"/>
    <w:link w:val="944"/>
    <w:uiPriority w:val="99"/>
    <w:qFormat/>
    <w:rPr>
      <w:rFonts w:ascii="宋体" w:hAnsi="Courier New" w:eastAsia="楷体_GB2312"/>
      <w:sz w:val="28"/>
    </w:rPr>
  </w:style>
  <w:style w:type="paragraph" w:styleId="944" w:customStyle="1">
    <w:name w:val="纯文本1"/>
    <w:basedOn w:val="904"/>
    <w:link w:val="943"/>
    <w:uiPriority w:val="99"/>
    <w:qFormat/>
    <w:rPr>
      <w:rFonts w:ascii="宋体" w:hAnsi="Courier New" w:eastAsia="楷体_GB2312"/>
      <w:sz w:val="28"/>
      <w:szCs w:val="20"/>
    </w:rPr>
  </w:style>
  <w:style w:type="character" w:styleId="945" w:customStyle="1">
    <w:name w:val="Date Char"/>
    <w:basedOn w:val="909"/>
    <w:link w:val="919"/>
    <w:uiPriority w:val="99"/>
    <w:qFormat/>
    <w:rPr>
      <w:sz w:val="24"/>
    </w:rPr>
  </w:style>
  <w:style w:type="character" w:styleId="946" w:customStyle="1">
    <w:name w:val="Balloon Text Char"/>
    <w:basedOn w:val="909"/>
    <w:link w:val="920"/>
    <w:uiPriority w:val="99"/>
    <w:qFormat/>
    <w:rPr>
      <w:sz w:val="18"/>
    </w:rPr>
  </w:style>
  <w:style w:type="character" w:styleId="947" w:customStyle="1">
    <w:name w:val="Footer Char"/>
    <w:basedOn w:val="909"/>
    <w:link w:val="921"/>
    <w:uiPriority w:val="99"/>
    <w:qFormat/>
    <w:rPr>
      <w:sz w:val="18"/>
    </w:rPr>
  </w:style>
  <w:style w:type="character" w:styleId="948" w:customStyle="1">
    <w:name w:val="Header Char"/>
    <w:basedOn w:val="909"/>
    <w:link w:val="923"/>
    <w:uiPriority w:val="99"/>
    <w:qFormat/>
    <w:rPr>
      <w:sz w:val="18"/>
    </w:rPr>
  </w:style>
  <w:style w:type="character" w:styleId="949" w:customStyle="1">
    <w:name w:val="Body Text Indent 3 Char"/>
    <w:basedOn w:val="909"/>
    <w:link w:val="925"/>
    <w:uiPriority w:val="99"/>
    <w:semiHidden/>
    <w:qFormat/>
    <w:rPr>
      <w:sz w:val="16"/>
      <w:szCs w:val="16"/>
    </w:rPr>
  </w:style>
  <w:style w:type="character" w:styleId="950" w:customStyle="1">
    <w:name w:val="Title Char"/>
    <w:basedOn w:val="909"/>
    <w:link w:val="927"/>
    <w:uiPriority w:val="99"/>
    <w:qFormat/>
    <w:rPr>
      <w:rFonts w:ascii="Cambria" w:hAnsi="Cambria"/>
      <w:b/>
      <w:sz w:val="32"/>
    </w:rPr>
  </w:style>
  <w:style w:type="character" w:styleId="951" w:customStyle="1">
    <w:name w:val="Comment Subject Char"/>
    <w:basedOn w:val="940"/>
    <w:link w:val="928"/>
    <w:uiPriority w:val="99"/>
    <w:qFormat/>
    <w:rPr>
      <w:b/>
    </w:rPr>
  </w:style>
  <w:style w:type="character" w:styleId="952" w:customStyle="1">
    <w:name w:val="Body Text First Indent Char"/>
    <w:basedOn w:val="941"/>
    <w:link w:val="929"/>
    <w:uiPriority w:val="99"/>
    <w:semiHidden/>
    <w:qFormat/>
    <w:rPr>
      <w:szCs w:val="24"/>
    </w:rPr>
  </w:style>
  <w:style w:type="character" w:styleId="953" w:customStyle="1">
    <w:name w:val="Body Text First Indent 2 Char"/>
    <w:basedOn w:val="942"/>
    <w:link w:val="911"/>
    <w:uiPriority w:val="99"/>
    <w:qFormat/>
  </w:style>
  <w:style w:type="paragraph" w:styleId="954" w:customStyle="1">
    <w:name w:val="段"/>
    <w:next w:val="904"/>
    <w:uiPriority w:val="99"/>
    <w:qFormat/>
    <w:pPr>
      <w:ind w:firstLine="200"/>
      <w:jc w:val="both"/>
    </w:pPr>
    <w:rPr>
      <w:rFonts w:ascii="宋体" w:hAnsi="Times New Roman" w:eastAsia="宋体" w:cs="Times New Roman"/>
      <w:sz w:val="21"/>
      <w:szCs w:val="20"/>
      <w:lang w:val="en-US" w:eastAsia="zh-CN" w:bidi="ar-SA"/>
    </w:rPr>
  </w:style>
  <w:style w:type="paragraph" w:styleId="955" w:customStyle="1">
    <w:name w:val="首行缩进"/>
    <w:basedOn w:val="904"/>
    <w:uiPriority w:val="99"/>
    <w:qFormat/>
    <w:pPr>
      <w:ind w:firstLine="480"/>
    </w:pPr>
    <w:rPr>
      <w:rFonts w:ascii="Calibri" w:hAnsi="Calibri"/>
      <w:szCs w:val="20"/>
      <w:lang w:val="zh-CN"/>
    </w:rPr>
  </w:style>
  <w:style w:type="paragraph" w:styleId="956" w:customStyle="1">
    <w:name w:val="正文文本缩进11"/>
    <w:basedOn w:val="904"/>
    <w:next w:val="957"/>
    <w:uiPriority w:val="99"/>
    <w:qFormat/>
    <w:pPr>
      <w:ind w:left="570"/>
      <w:spacing w:line="520" w:lineRule="atLeast"/>
    </w:pPr>
    <w:rPr>
      <w:rFonts w:ascii="??????" w:hAnsi="?????" w:eastAsia="Times New Roman"/>
      <w:sz w:val="24"/>
    </w:rPr>
  </w:style>
  <w:style w:type="paragraph" w:styleId="957" w:customStyle="1">
    <w:name w:val="寄信人地址11"/>
    <w:basedOn w:val="904"/>
    <w:uiPriority w:val="99"/>
    <w:qFormat/>
    <w:rPr>
      <w:rFonts w:ascii="Arial" w:hAnsi="Arial"/>
    </w:rPr>
  </w:style>
  <w:style w:type="character" w:styleId="958" w:customStyle="1">
    <w:name w:val="标题 Char1"/>
    <w:uiPriority w:val="99"/>
    <w:qFormat/>
    <w:rPr>
      <w:rFonts w:ascii="Cambria" w:hAnsi="Cambria"/>
      <w:b/>
      <w:sz w:val="32"/>
    </w:rPr>
  </w:style>
  <w:style w:type="character" w:styleId="959" w:customStyle="1">
    <w:name w:val="投标标题3 Char"/>
    <w:link w:val="960"/>
    <w:uiPriority w:val="99"/>
    <w:qFormat/>
    <w:rPr>
      <w:rFonts w:ascii="宋体" w:hAnsi="宋体" w:eastAsia="宋体"/>
      <w:b/>
      <w:color w:val="000000"/>
      <w:sz w:val="24"/>
    </w:rPr>
  </w:style>
  <w:style w:type="paragraph" w:styleId="960" w:customStyle="1">
    <w:name w:val="投标标题3"/>
    <w:basedOn w:val="904"/>
    <w:link w:val="959"/>
    <w:uiPriority w:val="99"/>
    <w:qFormat/>
    <w:pPr>
      <w:numPr>
        <w:ilvl w:val="2"/>
        <w:numId w:val="1"/>
      </w:numPr>
      <w:keepLines/>
      <w:keepNext/>
      <w:spacing w:line="480" w:lineRule="auto"/>
      <w:tabs>
        <w:tab w:val="left" w:pos="900" w:leader="none"/>
      </w:tabs>
      <w:outlineLvl w:val="2"/>
    </w:pPr>
    <w:rPr>
      <w:rFonts w:ascii="宋体" w:hAnsi="宋体"/>
      <w:b/>
      <w:bCs/>
      <w:color w:val="000000"/>
      <w:sz w:val="24"/>
    </w:rPr>
  </w:style>
  <w:style w:type="character" w:styleId="961" w:customStyle="1">
    <w:name w:val="投标标题4 Char"/>
    <w:link w:val="962"/>
    <w:uiPriority w:val="99"/>
    <w:qFormat/>
    <w:rPr>
      <w:rFonts w:ascii="宋体" w:hAnsi="宋体" w:eastAsia="宋体"/>
      <w:b/>
      <w:color w:val="000000"/>
      <w:sz w:val="24"/>
    </w:rPr>
  </w:style>
  <w:style w:type="paragraph" w:styleId="962" w:customStyle="1">
    <w:name w:val="投标标题4"/>
    <w:basedOn w:val="908"/>
    <w:link w:val="961"/>
    <w:uiPriority w:val="99"/>
    <w:qFormat/>
    <w:pPr>
      <w:numPr>
        <w:ilvl w:val="3"/>
        <w:numId w:val="1"/>
      </w:numPr>
      <w:ind w:left="16"/>
      <w:spacing w:line="360" w:lineRule="auto"/>
      <w:tabs>
        <w:tab w:val="clear" w:pos="0" w:leader="none"/>
        <w:tab w:val="left" w:pos="376" w:leader="none"/>
      </w:tabs>
    </w:pPr>
    <w:rPr>
      <w:rFonts w:ascii="宋体" w:hAnsi="宋体"/>
      <w:color w:val="000000"/>
      <w:sz w:val="24"/>
      <w:szCs w:val="24"/>
    </w:rPr>
  </w:style>
  <w:style w:type="character" w:styleId="963" w:customStyle="1">
    <w:name w:val="投标正文 Char"/>
    <w:link w:val="964"/>
    <w:uiPriority w:val="99"/>
    <w:qFormat/>
    <w:rPr>
      <w:rFonts w:ascii="Calibri" w:hAnsi="Calibri" w:eastAsia="宋体"/>
      <w:sz w:val="24"/>
    </w:rPr>
  </w:style>
  <w:style w:type="paragraph" w:styleId="964" w:customStyle="1">
    <w:name w:val="投标正文"/>
    <w:basedOn w:val="904"/>
    <w:link w:val="963"/>
    <w:uiPriority w:val="99"/>
    <w:qFormat/>
    <w:pPr>
      <w:ind w:left="100" w:firstLine="480"/>
      <w:spacing w:line="360" w:lineRule="auto"/>
    </w:pPr>
    <w:rPr>
      <w:rFonts w:ascii="Calibri" w:hAnsi="Calibri"/>
      <w:sz w:val="24"/>
    </w:rPr>
  </w:style>
  <w:style w:type="character" w:styleId="965" w:customStyle="1">
    <w:name w:val="Normal Indent Char"/>
    <w:link w:val="914"/>
    <w:uiPriority w:val="99"/>
    <w:qFormat/>
    <w:rPr>
      <w:rFonts w:eastAsia="楷体_GB2312"/>
      <w:sz w:val="24"/>
    </w:rPr>
  </w:style>
  <w:style w:type="character" w:styleId="966" w:customStyle="1">
    <w:name w:val="样式 首行缩进:  2 字符 Char"/>
    <w:link w:val="967"/>
    <w:uiPriority w:val="99"/>
    <w:qFormat/>
    <w:rPr>
      <w:rFonts w:eastAsia="仿宋_GB2312"/>
      <w:sz w:val="24"/>
    </w:rPr>
  </w:style>
  <w:style w:type="paragraph" w:styleId="967" w:customStyle="1">
    <w:name w:val="样式 首行缩进:  2 字符"/>
    <w:basedOn w:val="904"/>
    <w:link w:val="966"/>
    <w:uiPriority w:val="99"/>
    <w:qFormat/>
    <w:pPr>
      <w:ind w:firstLine="560"/>
      <w:spacing w:line="360" w:lineRule="auto"/>
    </w:pPr>
    <w:rPr>
      <w:rFonts w:eastAsia="仿宋_GB2312"/>
      <w:sz w:val="24"/>
      <w:szCs w:val="20"/>
    </w:rPr>
  </w:style>
  <w:style w:type="character" w:styleId="968" w:customStyle="1">
    <w:name w:val="p141"/>
    <w:uiPriority w:val="99"/>
    <w:qFormat/>
    <w:rPr>
      <w:color w:val="000000"/>
      <w:sz w:val="28"/>
      <w:u w:val="none"/>
    </w:rPr>
  </w:style>
  <w:style w:type="character" w:styleId="969" w:customStyle="1">
    <w:name w:val="正文文本缩进 Char1"/>
    <w:uiPriority w:val="99"/>
    <w:qFormat/>
    <w:rPr>
      <w:sz w:val="24"/>
    </w:rPr>
  </w:style>
  <w:style w:type="character" w:styleId="970" w:customStyle="1">
    <w:name w:val="Plain Text Char1"/>
    <w:link w:val="918"/>
    <w:uiPriority w:val="99"/>
    <w:qFormat/>
    <w:rPr>
      <w:rFonts w:ascii="宋体" w:hAnsi="Courier New" w:eastAsia="楷体_GB2312"/>
      <w:sz w:val="28"/>
      <w:lang w:val="en-US" w:eastAsia="zh-CN"/>
    </w:rPr>
  </w:style>
  <w:style w:type="character" w:styleId="971" w:customStyle="1">
    <w:name w:val="NormalCharacter"/>
    <w:uiPriority w:val="99"/>
    <w:qFormat/>
    <w:rPr>
      <w:rFonts w:ascii="Calibri" w:hAnsi="Calibri" w:eastAsia="宋体"/>
    </w:rPr>
  </w:style>
  <w:style w:type="character" w:styleId="972" w:customStyle="1">
    <w:name w:val="列出段落 Char"/>
    <w:link w:val="973"/>
    <w:uiPriority w:val="99"/>
    <w:qFormat/>
    <w:rPr>
      <w:rFonts w:ascii="Calibri" w:hAnsi="Calibri" w:eastAsia="宋体"/>
      <w:sz w:val="22"/>
    </w:rPr>
  </w:style>
  <w:style w:type="paragraph" w:styleId="973" w:customStyle="1">
    <w:name w:val="列出段落1"/>
    <w:basedOn w:val="904"/>
    <w:link w:val="972"/>
    <w:uiPriority w:val="99"/>
    <w:qFormat/>
    <w:pPr>
      <w:ind w:firstLine="200"/>
      <w:spacing w:line="360" w:lineRule="auto"/>
    </w:pPr>
    <w:rPr>
      <w:rFonts w:ascii="Calibri" w:hAnsi="Calibri"/>
      <w:sz w:val="22"/>
      <w:szCs w:val="20"/>
    </w:rPr>
  </w:style>
  <w:style w:type="paragraph" w:styleId="974" w:customStyle="1">
    <w:name w:val="Plain Text1"/>
    <w:basedOn w:val="904"/>
    <w:uiPriority w:val="99"/>
    <w:qFormat/>
    <w:rPr>
      <w:rFonts w:ascii="宋体" w:hAnsi="Courier New" w:eastAsia="楷体_GB2312"/>
      <w:sz w:val="26"/>
      <w:szCs w:val="20"/>
    </w:rPr>
  </w:style>
  <w:style w:type="paragraph" w:styleId="975" w:customStyle="1">
    <w:name w:val="投标标题2"/>
    <w:basedOn w:val="906"/>
    <w:next w:val="904"/>
    <w:uiPriority w:val="99"/>
    <w:qFormat/>
    <w:pPr>
      <w:numPr>
        <w:ilvl w:val="1"/>
        <w:numId w:val="1"/>
      </w:numPr>
      <w:spacing w:line="415" w:lineRule="auto"/>
    </w:pPr>
    <w:rPr>
      <w:rFonts w:ascii="Times New Roman" w:hAnsi="Times New Roman"/>
      <w:sz w:val="28"/>
      <w:szCs w:val="28"/>
    </w:rPr>
  </w:style>
  <w:style w:type="paragraph" w:styleId="976" w:customStyle="1">
    <w:name w:val="段落"/>
    <w:basedOn w:val="904"/>
    <w:uiPriority w:val="99"/>
    <w:qFormat/>
    <w:rPr>
      <w:rFonts w:ascii="Calibri" w:hAnsi="Calibri"/>
    </w:rPr>
  </w:style>
  <w:style w:type="paragraph" w:styleId="977" w:customStyle="1">
    <w:name w:val="列出段落2"/>
    <w:basedOn w:val="904"/>
    <w:uiPriority w:val="99"/>
    <w:qFormat/>
    <w:pPr>
      <w:ind w:firstLine="420"/>
    </w:pPr>
    <w:rPr>
      <w:rFonts w:ascii="Calibri" w:hAnsi="Calibri"/>
      <w:sz w:val="24"/>
    </w:rPr>
  </w:style>
  <w:style w:type="paragraph" w:styleId="978" w:customStyle="1">
    <w:name w:val="纯文本11"/>
    <w:basedOn w:val="904"/>
    <w:uiPriority w:val="99"/>
    <w:qFormat/>
    <w:rPr>
      <w:rFonts w:ascii="宋体" w:hAnsi="Courier New" w:eastAsia="楷体_GB2312"/>
      <w:sz w:val="26"/>
    </w:rPr>
  </w:style>
  <w:style w:type="paragraph" w:styleId="979" w:customStyle="1">
    <w:name w:val="xl24"/>
    <w:basedOn w:val="904"/>
    <w:uiPriority w:val="99"/>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szCs w:val="20"/>
    </w:rPr>
  </w:style>
  <w:style w:type="paragraph" w:styleId="980" w:customStyle="1">
    <w:name w:val="列表段落1"/>
    <w:basedOn w:val="904"/>
    <w:uiPriority w:val="99"/>
    <w:qFormat/>
    <w:pPr>
      <w:ind w:firstLine="420"/>
      <w:spacing w:line="590" w:lineRule="atLeast"/>
    </w:pPr>
    <w:rPr>
      <w:rFonts w:ascii="等线" w:hAnsi="等线" w:eastAsia="等线" w:cs="等线"/>
      <w:sz w:val="32"/>
      <w:szCs w:val="32"/>
    </w:rPr>
  </w:style>
  <w:style w:type="paragraph" w:styleId="981" w:customStyle="1">
    <w:name w:val="普通正文"/>
    <w:basedOn w:val="904"/>
    <w:uiPriority w:val="99"/>
    <w:qFormat/>
    <w:pPr>
      <w:ind w:firstLine="480"/>
      <w:jc w:val="left"/>
      <w:spacing w:before="120" w:after="120" w:line="360" w:lineRule="auto"/>
    </w:pPr>
    <w:rPr>
      <w:rFonts w:ascii="Arial" w:hAnsi="Arial"/>
      <w:sz w:val="24"/>
    </w:rPr>
  </w:style>
  <w:style w:type="paragraph" w:styleId="982" w:customStyle="1">
    <w:name w:val="+标题1"/>
    <w:basedOn w:val="905"/>
    <w:uiPriority w:val="99"/>
    <w:qFormat/>
    <w:pPr>
      <w:numPr>
        <w:ilvl w:val="0"/>
        <w:numId w:val="0"/>
      </w:numPr>
      <w:keepLines w:val="0"/>
      <w:keepNext w:val="0"/>
      <w:spacing w:before="0" w:after="0" w:line="240" w:lineRule="auto"/>
      <w:tabs>
        <w:tab w:val="clear" w:pos="792" w:leader="none"/>
      </w:tabs>
    </w:pPr>
    <w:rPr>
      <w:rFonts w:ascii="宋体" w:hAnsi="宋体"/>
      <w:b w:val="0"/>
      <w:bCs w:val="0"/>
      <w:color w:val="000000"/>
      <w:sz w:val="36"/>
      <w:szCs w:val="20"/>
    </w:rPr>
  </w:style>
  <w:style w:type="paragraph" w:styleId="983" w:customStyle="1">
    <w:name w:val="Char Char Char Char"/>
    <w:basedOn w:val="904"/>
    <w:uiPriority w:val="99"/>
    <w:qFormat/>
    <w:rPr>
      <w:szCs w:val="20"/>
    </w:rPr>
  </w:style>
  <w:style w:type="paragraph" w:styleId="984" w:customStyle="1">
    <w:name w:val="UserStyle_98"/>
    <w:basedOn w:val="904"/>
    <w:uiPriority w:val="99"/>
    <w:qFormat/>
    <w:pPr>
      <w:jc w:val="left"/>
      <w:widowControl/>
    </w:pPr>
    <w:rPr>
      <w:rFonts w:ascii="Calibri" w:hAnsi="Calibri"/>
      <w:sz w:val="22"/>
      <w:szCs w:val="22"/>
      <w:lang w:eastAsia="en-US"/>
    </w:rPr>
  </w:style>
  <w:style w:type="paragraph" w:styleId="985" w:customStyle="1">
    <w:name w:val="列出段落5"/>
    <w:basedOn w:val="904"/>
    <w:uiPriority w:val="99"/>
    <w:qFormat/>
    <w:pPr>
      <w:ind w:firstLine="420"/>
    </w:pPr>
    <w:rPr>
      <w:rFonts w:ascii="Calibri" w:hAnsi="Calibri"/>
      <w:sz w:val="24"/>
    </w:rPr>
  </w:style>
  <w:style w:type="paragraph" w:styleId="986" w:customStyle="1">
    <w:name w:val="标题3"/>
    <w:basedOn w:val="907"/>
    <w:uiPriority w:val="99"/>
    <w:qFormat/>
    <w:pPr>
      <w:contextualSpacing/>
      <w:jc w:val="center"/>
      <w:spacing w:line="240" w:lineRule="auto"/>
    </w:pPr>
    <w:rPr>
      <w:rFonts w:eastAsia="黑体" w:cs="宋体"/>
      <w:sz w:val="28"/>
      <w:szCs w:val="20"/>
    </w:rPr>
  </w:style>
  <w:style w:type="paragraph" w:styleId="987" w:customStyle="1">
    <w:name w:val="Char Char Char"/>
    <w:basedOn w:val="904"/>
    <w:uiPriority w:val="99"/>
    <w:qFormat/>
    <w:pPr>
      <w:spacing w:line="360" w:lineRule="auto"/>
    </w:pPr>
    <w:rPr>
      <w:sz w:val="28"/>
      <w:szCs w:val="20"/>
    </w:rPr>
  </w:style>
  <w:style w:type="paragraph" w:styleId="988" w:customStyle="1">
    <w:name w:val="UserStyle_112"/>
    <w:basedOn w:val="904"/>
    <w:uiPriority w:val="99"/>
    <w:qFormat/>
    <w:pPr>
      <w:ind w:firstLine="480"/>
      <w:jc w:val="left"/>
      <w:spacing w:line="360" w:lineRule="auto"/>
      <w:widowControl/>
    </w:pPr>
    <w:rPr>
      <w:rFonts w:ascii="宋体" w:hAnsi="宋体"/>
      <w:sz w:val="24"/>
    </w:rPr>
  </w:style>
  <w:style w:type="paragraph" w:styleId="989" w:customStyle="1">
    <w:name w:val="UserStyle_116"/>
    <w:basedOn w:val="904"/>
    <w:next w:val="904"/>
    <w:uiPriority w:val="99"/>
    <w:qFormat/>
    <w:pPr>
      <w:numPr>
        <w:ilvl w:val="0"/>
        <w:numId w:val="2"/>
      </w:numPr>
      <w:jc w:val="left"/>
      <w:tabs>
        <w:tab w:val="left" w:pos="420" w:leader="none"/>
        <w:tab w:val="left" w:pos="840" w:leader="none"/>
      </w:tabs>
    </w:pPr>
    <w:rPr>
      <w:sz w:val="18"/>
    </w:rPr>
  </w:style>
  <w:style w:type="paragraph" w:styleId="990" w:customStyle="1">
    <w:name w:val="列出段落11"/>
    <w:basedOn w:val="904"/>
    <w:uiPriority w:val="99"/>
    <w:qFormat/>
    <w:pPr>
      <w:ind w:firstLine="420"/>
    </w:pPr>
    <w:rPr>
      <w:rFonts w:ascii="Calibri" w:hAnsi="Calibri"/>
    </w:rPr>
  </w:style>
  <w:style w:type="paragraph" w:styleId="991">
    <w:name w:val="List Paragraph"/>
    <w:basedOn w:val="904"/>
    <w:uiPriority w:val="99"/>
    <w:qFormat/>
    <w:pPr>
      <w:ind w:firstLine="420"/>
    </w:pPr>
    <w:rPr>
      <w:rFonts w:ascii="Calibri" w:hAnsi="Calibri"/>
      <w:szCs w:val="20"/>
    </w:rPr>
  </w:style>
  <w:style w:type="paragraph" w:styleId="992" w:customStyle="1">
    <w:name w:val="_正文段落"/>
    <w:basedOn w:val="904"/>
    <w:uiPriority w:val="99"/>
    <w:qFormat/>
    <w:pPr>
      <w:ind w:firstLine="480"/>
      <w:spacing w:line="360" w:lineRule="auto"/>
    </w:pPr>
    <w:rPr>
      <w:rFonts w:ascii="宋体" w:hAnsi="宋体"/>
      <w:sz w:val="24"/>
    </w:rPr>
  </w:style>
  <w:style w:type="table" w:styleId="993" w:customStyle="1">
    <w:name w:val="网格型1"/>
    <w:uiPriority w:val="99"/>
    <w:qFormat/>
    <w:rPr>
      <w:rFonts w:ascii="Calibri" w:hAnsi="Calibri"/>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4" w:customStyle="1">
    <w:name w:val="WPSOffice手动目录 1"/>
    <w:uiPriority w:val="99"/>
    <w:qFormat/>
    <w:rPr>
      <w:rFonts w:ascii="Times New Roman" w:hAnsi="Times New Roman" w:eastAsia="宋体" w:cs="Times New Roman"/>
      <w:sz w:val="20"/>
      <w:szCs w:val="20"/>
      <w:lang w:val="en-US" w:eastAsia="zh-CN" w:bidi="ar-SA"/>
    </w:rPr>
  </w:style>
  <w:style w:type="paragraph" w:styleId="995" w:customStyle="1">
    <w:name w:val="+正文"/>
    <w:basedOn w:val="904"/>
    <w:uiPriority w:val="99"/>
    <w:qFormat/>
    <w:pPr>
      <w:ind w:firstLine="200"/>
      <w:spacing w:line="360" w:lineRule="auto"/>
    </w:pPr>
    <w:rPr>
      <w:szCs w:val="20"/>
    </w:rPr>
  </w:style>
  <w:style w:type="paragraph" w:styleId="996" w:customStyle="1">
    <w:name w:val="纯文本111"/>
    <w:basedOn w:val="904"/>
    <w:uiPriority w:val="99"/>
    <w:qFormat/>
    <w:rPr>
      <w:rFonts w:ascii="宋体" w:hAnsi="Courier New" w:eastAsia="楷体_GB2312"/>
      <w:sz w:val="26"/>
      <w:szCs w:val="20"/>
    </w:rPr>
  </w:style>
  <w:style w:type="paragraph" w:styleId="997" w:customStyle="1">
    <w:name w:val="纯文本2"/>
    <w:basedOn w:val="904"/>
    <w:uiPriority w:val="99"/>
    <w:qFormat/>
    <w:rPr>
      <w:rFonts w:ascii="宋体" w:hAnsi="Courier New" w:eastAsia="楷体_GB2312"/>
      <w:sz w:val="28"/>
      <w:szCs w:val="20"/>
    </w:rPr>
  </w:style>
  <w:style w:type="character" w:styleId="998" w:customStyle="1">
    <w:name w:val="apple-converted-space"/>
    <w:basedOn w:val="909"/>
    <w:uiPriority w:val="99"/>
    <w:qFormat/>
    <w:rPr>
      <w:rFonts w:cs="Times New Roman"/>
    </w:rPr>
  </w:style>
  <w:style w:type="character" w:styleId="999" w:customStyle="1">
    <w:name w:val="纯文本 Char1"/>
    <w:uiPriority w:val="99"/>
    <w:qFormat/>
    <w:rPr>
      <w:rFonts w:ascii="宋体" w:hAnsi="Courier New"/>
      <w:sz w:val="21"/>
    </w:rPr>
  </w:style>
  <w:style w:type="character" w:styleId="1000" w:customStyle="1">
    <w:name w:val="15"/>
    <w:basedOn w:val="909"/>
    <w:uiPriority w:val="99"/>
    <w:qFormat/>
    <w:rPr>
      <w:rFonts w:ascii="Times New Roman" w:hAnsi="Times New Roman" w:eastAsia="宋体" w:cs="Times New Roman"/>
    </w:rPr>
  </w:style>
  <w:style w:type="paragraph" w:styleId="1001" w:customStyle="1">
    <w:name w:val="正文1"/>
    <w:basedOn w:val="904"/>
    <w:next w:val="904"/>
    <w:uiPriority w:val="99"/>
    <w:qFormat/>
    <w:pPr>
      <w:ind w:left="420" w:firstLine="527"/>
      <w:spacing w:before="120" w:line="360" w:lineRule="auto"/>
    </w:pPr>
    <w:rPr>
      <w:rFonts w:ascii="宋体" w:hAnsi="宋体"/>
    </w:rPr>
  </w:style>
  <w:style w:type="paragraph" w:styleId="1002" w:customStyle="1">
    <w:name w:val="正文(其它)"/>
    <w:basedOn w:val="904"/>
    <w:uiPriority w:val="99"/>
    <w:qFormat/>
    <w:pPr>
      <w:jc w:val="center"/>
      <w:spacing w:line="312" w:lineRule="auto"/>
    </w:pPr>
    <w:rPr>
      <w:rFonts w:ascii="黑体" w:eastAsia="黑体"/>
      <w:sz w:val="32"/>
      <w:szCs w:val="32"/>
    </w:rPr>
  </w:style>
  <w:style w:type="paragraph" w:styleId="1003" w:customStyle="1">
    <w:name w:val="正文_7_1"/>
    <w:uiPriority w:val="99"/>
    <w:qFormat/>
    <w:pPr>
      <w:jc w:val="both"/>
      <w:widowControl w:val="off"/>
    </w:pPr>
    <w:rPr>
      <w:rFonts w:ascii="Times New Roman" w:hAnsi="Times New Roman" w:eastAsia="宋体" w:cs="Times New Roman"/>
      <w:sz w:val="21"/>
      <w:szCs w:val="22"/>
      <w:lang w:val="en-US" w:eastAsia="zh-CN" w:bidi="ar-SA"/>
    </w:rPr>
  </w:style>
  <w:style w:type="paragraph" w:styleId="1004" w:customStyle="1">
    <w:name w:val="msolistparagraph"/>
    <w:basedOn w:val="904"/>
    <w:uiPriority w:val="99"/>
    <w:qFormat/>
    <w:pPr>
      <w:ind w:firstLine="420"/>
    </w:pPr>
    <w:rPr>
      <w:rFonts w:ascii="Calibri" w:hAnsi="Calibri"/>
      <w:szCs w:val="22"/>
    </w:rPr>
  </w:style>
  <w:style w:type="paragraph" w:styleId="1005" w:customStyle="1">
    <w:name w:val="_Style 30"/>
    <w:basedOn w:val="904"/>
    <w:next w:val="918"/>
    <w:uiPriority w:val="99"/>
    <w:qFormat/>
    <w:rPr>
      <w:rFonts w:ascii="宋体" w:hAnsi="Courier New"/>
    </w:rPr>
  </w:style>
  <w:style w:type="paragraph" w:styleId="1006" w:customStyle="1">
    <w:name w:val="p0"/>
    <w:basedOn w:val="904"/>
    <w:uiPriority w:val="99"/>
    <w:qFormat/>
    <w:pPr>
      <w:widowControl/>
    </w:pPr>
    <w:rPr>
      <w:sz w:val="26"/>
      <w:szCs w:val="26"/>
    </w:rPr>
  </w:style>
  <w:style w:type="paragraph" w:styleId="1007" w:customStyle="1">
    <w:name w:val="普通(网站)1"/>
    <w:basedOn w:val="904"/>
    <w:uiPriority w:val="99"/>
    <w:qFormat/>
    <w:pPr>
      <w:jc w:val="left"/>
      <w:spacing w:before="100" w:beforeAutospacing="1" w:after="100" w:afterAutospacing="1"/>
      <w:widowControl/>
    </w:pPr>
    <w:rPr>
      <w:rFonts w:ascii="宋体" w:hAnsi="宋体" w:cs="宋体"/>
      <w:sz w:val="24"/>
    </w:rPr>
  </w:style>
  <w:style w:type="character" w:styleId="1008" w:customStyle="1">
    <w:name w:val="font11"/>
    <w:basedOn w:val="909"/>
    <w:uiPriority w:val="99"/>
    <w:qFormat/>
    <w:rPr>
      <w:rFonts w:ascii="方正小标宋_GBK" w:hAnsi="方正小标宋_GBK" w:eastAsia="方正小标宋_GBK" w:cs="方正小标宋_GBK"/>
      <w:color w:val="000000"/>
      <w:sz w:val="32"/>
      <w:szCs w:val="32"/>
      <w:u w:val="none"/>
    </w:rPr>
  </w:style>
  <w:style w:type="paragraph" w:styleId="1009" w:customStyle="1">
    <w:name w:val="Blockquote"/>
    <w:basedOn w:val="904"/>
    <w:uiPriority w:val="99"/>
    <w:qFormat/>
    <w:pPr>
      <w:ind w:left="360" w:right="360"/>
      <w:jc w:val="left"/>
      <w:spacing w:before="100" w:after="100"/>
    </w:pPr>
    <w:rPr>
      <w:sz w:val="24"/>
      <w:szCs w:val="20"/>
    </w:rPr>
  </w:style>
  <w:style w:type="character" w:styleId="1010" w:customStyle="1">
    <w:name w:val="font121"/>
    <w:basedOn w:val="909"/>
    <w:uiPriority w:val="99"/>
    <w:qFormat/>
    <w:rPr>
      <w:rFonts w:ascii="宋体" w:hAnsi="宋体" w:eastAsia="宋体" w:cs="宋体"/>
      <w:color w:val="339966"/>
      <w:sz w:val="20"/>
      <w:szCs w:val="20"/>
      <w:u w:val="none"/>
    </w:rPr>
  </w:style>
  <w:style w:type="character" w:styleId="1011" w:customStyle="1">
    <w:name w:val="font132"/>
    <w:basedOn w:val="909"/>
    <w:uiPriority w:val="99"/>
    <w:qFormat/>
    <w:rPr>
      <w:rFonts w:ascii="宋体" w:hAnsi="宋体" w:eastAsia="宋体" w:cs="宋体"/>
      <w:color w:val="ff0000"/>
      <w:sz w:val="20"/>
      <w:szCs w:val="20"/>
      <w:u w:val="none"/>
    </w:rPr>
  </w:style>
  <w:style w:type="character" w:styleId="1012" w:customStyle="1">
    <w:name w:val="font13"/>
    <w:basedOn w:val="909"/>
    <w:uiPriority w:val="99"/>
    <w:qFormat/>
    <w:rPr>
      <w:rFonts w:ascii="宋体" w:hAnsi="宋体" w:eastAsia="宋体" w:cs="宋体"/>
      <w:color w:val="000000"/>
      <w:sz w:val="20"/>
      <w:szCs w:val="20"/>
      <w:u w:val="none"/>
    </w:rPr>
  </w:style>
  <w:style w:type="character" w:styleId="1013" w:customStyle="1">
    <w:name w:val="font141"/>
    <w:basedOn w:val="909"/>
    <w:uiPriority w:val="99"/>
    <w:qFormat/>
    <w:rPr>
      <w:rFonts w:ascii="宋体" w:hAnsi="宋体" w:eastAsia="宋体" w:cs="宋体"/>
      <w:color w:val="ff0000"/>
      <w:sz w:val="20"/>
      <w:szCs w:val="20"/>
      <w:u w:val="none"/>
    </w:rPr>
  </w:style>
  <w:style w:type="character" w:styleId="1014" w:customStyle="1">
    <w:name w:val="font151"/>
    <w:basedOn w:val="909"/>
    <w:uiPriority w:val="99"/>
    <w:qFormat/>
    <w:rPr>
      <w:rFonts w:ascii="宋体" w:hAnsi="宋体" w:eastAsia="宋体" w:cs="宋体"/>
      <w:color w:val="00b050"/>
      <w:sz w:val="20"/>
      <w:szCs w:val="20"/>
      <w:u w:val="none"/>
    </w:rPr>
  </w:style>
  <w:style w:type="character" w:styleId="1015" w:customStyle="1">
    <w:name w:val="font161"/>
    <w:basedOn w:val="909"/>
    <w:uiPriority w:val="99"/>
    <w:qFormat/>
    <w:rPr>
      <w:rFonts w:ascii="宋体" w:hAnsi="宋体" w:eastAsia="宋体" w:cs="宋体"/>
      <w:color w:val="339966"/>
      <w:sz w:val="20"/>
      <w:szCs w:val="20"/>
      <w:u w:val="none"/>
    </w:rPr>
  </w:style>
  <w:style w:type="character" w:styleId="1016" w:customStyle="1">
    <w:name w:val="font171"/>
    <w:basedOn w:val="909"/>
    <w:uiPriority w:val="99"/>
    <w:qFormat/>
    <w:rPr>
      <w:rFonts w:ascii="宋体" w:hAnsi="宋体" w:eastAsia="宋体" w:cs="宋体"/>
      <w:b/>
      <w:bCs/>
      <w:color w:val="000000"/>
      <w:sz w:val="20"/>
      <w:szCs w:val="20"/>
      <w:u w:val="none"/>
    </w:rPr>
  </w:style>
  <w:style w:type="character" w:styleId="1017" w:customStyle="1">
    <w:name w:val="font51"/>
    <w:basedOn w:val="909"/>
    <w:uiPriority w:val="99"/>
    <w:qFormat/>
    <w:rPr>
      <w:rFonts w:ascii="宋体" w:hAnsi="宋体" w:eastAsia="宋体" w:cs="宋体"/>
      <w:color w:val="000000"/>
      <w:sz w:val="20"/>
      <w:szCs w:val="20"/>
      <w:u w:val="none"/>
    </w:rPr>
  </w:style>
  <w:style w:type="character" w:styleId="1018" w:customStyle="1">
    <w:name w:val="font181"/>
    <w:basedOn w:val="909"/>
    <w:uiPriority w:val="99"/>
    <w:qFormat/>
    <w:rPr>
      <w:rFonts w:ascii="新宋体" w:hAnsi="新宋体" w:eastAsia="新宋体" w:cs="新宋体"/>
      <w:color w:val="000000"/>
      <w:sz w:val="20"/>
      <w:szCs w:val="20"/>
      <w:u w:val="none"/>
    </w:rPr>
  </w:style>
  <w:style w:type="character" w:styleId="1019" w:customStyle="1">
    <w:name w:val="font81"/>
    <w:basedOn w:val="909"/>
    <w:uiPriority w:val="99"/>
    <w:qFormat/>
    <w:rPr>
      <w:rFonts w:ascii="新宋体" w:hAnsi="新宋体" w:eastAsia="新宋体" w:cs="新宋体"/>
      <w:color w:val="000000"/>
      <w:sz w:val="20"/>
      <w:szCs w:val="20"/>
      <w:u w:val="none"/>
    </w:rPr>
  </w:style>
  <w:style w:type="paragraph" w:styleId="1020" w:customStyle="1">
    <w:name w:val="正文文本缩进 31"/>
    <w:basedOn w:val="904"/>
    <w:uiPriority w:val="0"/>
    <w:qFormat/>
    <w:pPr>
      <w:ind w:firstLine="480"/>
      <w:spacing w:line="300" w:lineRule="auto"/>
      <w:widowControl w:val="off"/>
    </w:pPr>
  </w:style>
  <w:style w:type="numbering" w:styleId="1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董毅</cp:lastModifiedBy>
  <cp:revision>2</cp:revision>
  <dcterms:created xsi:type="dcterms:W3CDTF">2023-12-02T00:55:00Z</dcterms:created>
  <dcterms:modified xsi:type="dcterms:W3CDTF">2026-10-28T06:27:41Z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E65A243D917140DFB77E7B6C3EA02F45_13</vt:lpwstr>
  </property>
  <property fmtid="{D5CDD505-2E9C-101B-9397-08002B2CF9AE}" pid="4" name="KSOTemplateDocerSaveRecord">
    <vt:lpwstr>eyJoZGlkIjoiNTZmOWQxNzE4NGM1NmI4NTQ5ZjQ5MmNmMTY2N2JkYjYiLCJ1c2VySWQiOiIxOTA4OTc5NDgifQ==</vt:lpwstr>
  </property>
</Properties>
</file>